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F8473" w14:textId="2498CBE0" w:rsidR="007F615E" w:rsidRDefault="00205FE8" w:rsidP="005129EF">
      <w:pPr>
        <w:spacing w:after="0" w:line="240" w:lineRule="auto"/>
        <w:ind w:left="-2268" w:firstLine="2464"/>
        <w:jc w:val="left"/>
        <w:rPr>
          <w:b/>
          <w:color w:val="4F6228" w:themeColor="accent3" w:themeShade="80"/>
          <w:sz w:val="36"/>
          <w:szCs w:val="36"/>
        </w:rPr>
        <w:sectPr w:rsidR="007F615E" w:rsidSect="00797636">
          <w:headerReference w:type="even" r:id="rId8"/>
          <w:headerReference w:type="default" r:id="rId9"/>
          <w:footerReference w:type="even" r:id="rId10"/>
          <w:footerReference w:type="default" r:id="rId11"/>
          <w:headerReference w:type="first" r:id="rId12"/>
          <w:footerReference w:type="first" r:id="rId13"/>
          <w:pgSz w:w="11906" w:h="16838"/>
          <w:pgMar w:top="238" w:right="284" w:bottom="284" w:left="567" w:header="709" w:footer="709" w:gutter="0"/>
          <w:cols w:space="708"/>
          <w:docGrid w:linePitch="360"/>
        </w:sectPr>
      </w:pPr>
      <w:bookmarkStart w:id="0" w:name="_Toc362347837"/>
      <w:bookmarkStart w:id="1" w:name="_Toc433371631"/>
      <w:bookmarkStart w:id="2" w:name="_GoBack"/>
      <w:bookmarkEnd w:id="2"/>
      <w:r>
        <w:rPr>
          <w:b/>
          <w:noProof/>
          <w:color w:val="4F6228" w:themeColor="accent3" w:themeShade="80"/>
          <w:sz w:val="36"/>
          <w:szCs w:val="36"/>
          <w:lang w:eastAsia="en-AU"/>
        </w:rPr>
        <mc:AlternateContent>
          <mc:Choice Requires="wps">
            <w:drawing>
              <wp:anchor distT="0" distB="0" distL="114300" distR="114300" simplePos="0" relativeHeight="251729919" behindDoc="0" locked="0" layoutInCell="1" allowOverlap="1" wp14:anchorId="3B4F95B4" wp14:editId="030E6E48">
                <wp:simplePos x="0" y="0"/>
                <wp:positionH relativeFrom="column">
                  <wp:posOffset>-7620</wp:posOffset>
                </wp:positionH>
                <wp:positionV relativeFrom="paragraph">
                  <wp:posOffset>-636270</wp:posOffset>
                </wp:positionV>
                <wp:extent cx="7105650" cy="447675"/>
                <wp:effectExtent l="0" t="0" r="0" b="952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469B3B" id="Rectangle 80" o:spid="_x0000_s1026" style="position:absolute;margin-left:-.6pt;margin-top:-50.1pt;width:559.5pt;height:35.25pt;z-index:25172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" fillcolor="white [3212]" stroked="f" strokeweight="2pt">
                <v:path arrowok="t"/>
              </v:rect>
            </w:pict>
          </mc:Fallback>
        </mc:AlternateContent>
      </w:r>
      <w:r w:rsidR="005129EF">
        <w:rPr>
          <w:b/>
          <w:noProof/>
          <w:color w:val="4F6228" w:themeColor="accent3" w:themeShade="80"/>
          <w:sz w:val="36"/>
          <w:szCs w:val="36"/>
          <w:lang w:eastAsia="en-AU"/>
        </w:rPr>
        <w:drawing>
          <wp:inline distT="0" distB="0" distL="0" distR="0" wp14:anchorId="3B4F95B5" wp14:editId="304179FC">
            <wp:extent cx="6667500" cy="94348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ward-Wakool Evaluation Report 2015-16 cover.png"/>
                    <pic:cNvPicPr/>
                  </pic:nvPicPr>
                  <pic:blipFill rotWithShape="1">
                    <a:blip r:embed="rId14" cstate="email">
                      <a:extLst>
                        <a:ext uri="{28A0092B-C50C-407E-A947-70E740481C1C}">
                          <a14:useLocalDpi xmlns:a14="http://schemas.microsoft.com/office/drawing/2010/main"/>
                        </a:ext>
                      </a:extLst>
                    </a:blip>
                    <a:srcRect l="2049" t="4926" r="2332" b="-580"/>
                    <a:stretch/>
                  </pic:blipFill>
                  <pic:spPr bwMode="auto">
                    <a:xfrm>
                      <a:off x="0" y="0"/>
                      <a:ext cx="6667868" cy="94353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6804"/>
      </w:tblGrid>
      <w:tr w:rsidR="0000180C" w:rsidRPr="001665D6" w14:paraId="3B4F8475" w14:textId="77777777" w:rsidTr="0000180C">
        <w:trPr>
          <w:trHeight w:hRule="exact" w:val="683"/>
        </w:trPr>
        <w:tc>
          <w:tcPr>
            <w:tcW w:w="5000" w:type="pct"/>
            <w:gridSpan w:val="2"/>
          </w:tcPr>
          <w:p w14:paraId="3B4F8474" w14:textId="77777777" w:rsidR="0000180C" w:rsidRPr="0000180C" w:rsidRDefault="0000180C" w:rsidP="0000180C">
            <w:pPr>
              <w:pStyle w:val="ProjectName"/>
              <w:rPr>
                <w:rFonts w:asciiTheme="minorHAnsi" w:hAnsiTheme="minorHAnsi"/>
              </w:rPr>
            </w:pPr>
            <w:r w:rsidRPr="0000180C">
              <w:rPr>
                <w:rFonts w:asciiTheme="minorHAnsi" w:hAnsiTheme="minorHAnsi"/>
                <w:color w:val="4F6228" w:themeColor="accent3" w:themeShade="80"/>
              </w:rPr>
              <w:lastRenderedPageBreak/>
              <w:t>Commonwealth Environmental Water Office Long-Term I</w:t>
            </w:r>
            <w:r w:rsidR="008336CC">
              <w:rPr>
                <w:rFonts w:asciiTheme="minorHAnsi" w:hAnsiTheme="minorHAnsi"/>
                <w:color w:val="4F6228" w:themeColor="accent3" w:themeShade="80"/>
              </w:rPr>
              <w:t>ntervention Monitoring Project:</w:t>
            </w:r>
            <w:r w:rsidRPr="0000180C">
              <w:rPr>
                <w:rFonts w:asciiTheme="minorHAnsi" w:hAnsiTheme="minorHAnsi"/>
                <w:color w:val="4F6228" w:themeColor="accent3" w:themeShade="80"/>
              </w:rPr>
              <w:t xml:space="preserve"> </w:t>
            </w:r>
            <w:r>
              <w:rPr>
                <w:rFonts w:asciiTheme="minorHAnsi" w:hAnsiTheme="minorHAnsi"/>
                <w:color w:val="4F6228" w:themeColor="accent3" w:themeShade="80"/>
              </w:rPr>
              <w:t>Edward-Wakool</w:t>
            </w:r>
            <w:r w:rsidRPr="0000180C">
              <w:rPr>
                <w:rFonts w:asciiTheme="minorHAnsi" w:hAnsiTheme="minorHAnsi"/>
                <w:color w:val="4F6228" w:themeColor="accent3" w:themeShade="80"/>
              </w:rPr>
              <w:t xml:space="preserve"> </w:t>
            </w:r>
            <w:r w:rsidR="008336CC">
              <w:rPr>
                <w:rFonts w:asciiTheme="minorHAnsi" w:hAnsiTheme="minorHAnsi"/>
                <w:color w:val="4F6228" w:themeColor="accent3" w:themeShade="80"/>
              </w:rPr>
              <w:t xml:space="preserve">River System </w:t>
            </w:r>
            <w:r w:rsidRPr="0000180C">
              <w:rPr>
                <w:rFonts w:asciiTheme="minorHAnsi" w:hAnsiTheme="minorHAnsi"/>
                <w:color w:val="4F6228" w:themeColor="accent3" w:themeShade="80"/>
              </w:rPr>
              <w:t>Selected Area</w:t>
            </w:r>
            <w:r w:rsidR="008336CC">
              <w:rPr>
                <w:rFonts w:asciiTheme="minorHAnsi" w:hAnsiTheme="minorHAnsi"/>
                <w:color w:val="4F6228" w:themeColor="accent3" w:themeShade="80"/>
              </w:rPr>
              <w:t xml:space="preserve"> Evaluation R</w:t>
            </w:r>
            <w:r>
              <w:rPr>
                <w:rFonts w:asciiTheme="minorHAnsi" w:hAnsiTheme="minorHAnsi"/>
                <w:color w:val="4F6228" w:themeColor="accent3" w:themeShade="80"/>
              </w:rPr>
              <w:t>eport 2015</w:t>
            </w:r>
            <w:r w:rsidRPr="0000180C">
              <w:rPr>
                <w:rFonts w:asciiTheme="minorHAnsi" w:hAnsiTheme="minorHAnsi"/>
                <w:color w:val="4F6228" w:themeColor="accent3" w:themeShade="80"/>
              </w:rPr>
              <w:t>-1</w:t>
            </w:r>
            <w:r>
              <w:rPr>
                <w:rFonts w:asciiTheme="minorHAnsi" w:hAnsiTheme="minorHAnsi"/>
                <w:color w:val="4F6228" w:themeColor="accent3" w:themeShade="80"/>
              </w:rPr>
              <w:t>6</w:t>
            </w:r>
          </w:p>
        </w:tc>
      </w:tr>
      <w:tr w:rsidR="0000180C" w:rsidRPr="001665D6" w14:paraId="3B4F8478" w14:textId="77777777" w:rsidTr="0000180C">
        <w:trPr>
          <w:trHeight w:val="284"/>
        </w:trPr>
        <w:tc>
          <w:tcPr>
            <w:tcW w:w="1000" w:type="pct"/>
          </w:tcPr>
          <w:p w14:paraId="3B4F8476"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Project no:</w:t>
            </w:r>
          </w:p>
        </w:tc>
        <w:tc>
          <w:tcPr>
            <w:tcW w:w="4000" w:type="pct"/>
          </w:tcPr>
          <w:p w14:paraId="3B4F8477" w14:textId="77777777" w:rsidR="0000180C" w:rsidRPr="008336CC" w:rsidRDefault="008336CC" w:rsidP="008336CC">
            <w:pPr>
              <w:pStyle w:val="ProjectNo"/>
              <w:rPr>
                <w:rFonts w:asciiTheme="minorHAnsi" w:hAnsiTheme="minorHAnsi"/>
                <w:sz w:val="22"/>
                <w:szCs w:val="22"/>
              </w:rPr>
            </w:pPr>
            <w:r w:rsidRPr="008336CC">
              <w:rPr>
                <w:rFonts w:asciiTheme="minorHAnsi" w:hAnsiTheme="minorHAnsi"/>
                <w:sz w:val="22"/>
                <w:szCs w:val="22"/>
              </w:rPr>
              <w:t>OPA</w:t>
            </w:r>
            <w:r w:rsidR="0000180C" w:rsidRPr="008336CC">
              <w:rPr>
                <w:rFonts w:asciiTheme="minorHAnsi" w:hAnsiTheme="minorHAnsi"/>
                <w:sz w:val="22"/>
                <w:szCs w:val="22"/>
              </w:rPr>
              <w:t xml:space="preserve"> </w:t>
            </w:r>
            <w:r w:rsidRPr="008336CC">
              <w:rPr>
                <w:rFonts w:asciiTheme="minorHAnsi" w:hAnsiTheme="minorHAnsi"/>
                <w:sz w:val="22"/>
                <w:szCs w:val="22"/>
              </w:rPr>
              <w:t>101022</w:t>
            </w:r>
          </w:p>
        </w:tc>
      </w:tr>
      <w:tr w:rsidR="0000180C" w:rsidRPr="001665D6" w14:paraId="3B4F847B" w14:textId="77777777" w:rsidTr="0000180C">
        <w:trPr>
          <w:trHeight w:val="284"/>
        </w:trPr>
        <w:tc>
          <w:tcPr>
            <w:tcW w:w="1000" w:type="pct"/>
          </w:tcPr>
          <w:p w14:paraId="3B4F8479"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Document title:</w:t>
            </w:r>
          </w:p>
        </w:tc>
        <w:tc>
          <w:tcPr>
            <w:tcW w:w="4000" w:type="pct"/>
          </w:tcPr>
          <w:p w14:paraId="3B4F847A" w14:textId="77777777" w:rsidR="0000180C" w:rsidRPr="008336CC" w:rsidRDefault="0000180C" w:rsidP="008336CC">
            <w:pPr>
              <w:pStyle w:val="DocumentTitle"/>
              <w:spacing w:before="0" w:after="0"/>
              <w:rPr>
                <w:rFonts w:asciiTheme="minorHAnsi" w:hAnsiTheme="minorHAnsi"/>
                <w:sz w:val="22"/>
                <w:szCs w:val="22"/>
              </w:rPr>
            </w:pPr>
            <w:r w:rsidRPr="008336CC">
              <w:rPr>
                <w:rFonts w:asciiTheme="minorHAnsi" w:hAnsiTheme="minorHAnsi"/>
                <w:sz w:val="22"/>
                <w:szCs w:val="22"/>
              </w:rPr>
              <w:t>Commonwealth Environmental Water Office Long-Term Intervention Monitoring Proje</w:t>
            </w:r>
            <w:r w:rsidR="008336CC" w:rsidRPr="008336CC">
              <w:rPr>
                <w:rFonts w:asciiTheme="minorHAnsi" w:hAnsiTheme="minorHAnsi"/>
                <w:sz w:val="22"/>
                <w:szCs w:val="22"/>
              </w:rPr>
              <w:t>ct:</w:t>
            </w:r>
            <w:r w:rsidRPr="008336CC">
              <w:rPr>
                <w:rFonts w:asciiTheme="minorHAnsi" w:hAnsiTheme="minorHAnsi"/>
                <w:sz w:val="22"/>
                <w:szCs w:val="22"/>
              </w:rPr>
              <w:t xml:space="preserve"> </w:t>
            </w:r>
            <w:r w:rsidR="008336CC" w:rsidRPr="008336CC">
              <w:rPr>
                <w:rFonts w:asciiTheme="minorHAnsi" w:hAnsiTheme="minorHAnsi"/>
                <w:sz w:val="22"/>
                <w:szCs w:val="22"/>
              </w:rPr>
              <w:t>Edward-Wakool</w:t>
            </w:r>
            <w:r w:rsidRPr="008336CC">
              <w:rPr>
                <w:rFonts w:asciiTheme="minorHAnsi" w:hAnsiTheme="minorHAnsi"/>
                <w:sz w:val="22"/>
                <w:szCs w:val="22"/>
              </w:rPr>
              <w:t xml:space="preserve"> </w:t>
            </w:r>
            <w:r w:rsidR="008336CC">
              <w:rPr>
                <w:rFonts w:asciiTheme="minorHAnsi" w:hAnsiTheme="minorHAnsi"/>
                <w:sz w:val="22"/>
                <w:szCs w:val="22"/>
              </w:rPr>
              <w:t xml:space="preserve">River System </w:t>
            </w:r>
            <w:r w:rsidRPr="008336CC">
              <w:rPr>
                <w:rFonts w:asciiTheme="minorHAnsi" w:hAnsiTheme="minorHAnsi"/>
                <w:sz w:val="22"/>
                <w:szCs w:val="22"/>
              </w:rPr>
              <w:t>Selected Area</w:t>
            </w:r>
            <w:r w:rsidRPr="008336CC" w:rsidDel="00417D1D">
              <w:rPr>
                <w:rFonts w:asciiTheme="minorHAnsi" w:hAnsiTheme="minorHAnsi"/>
                <w:sz w:val="22"/>
                <w:szCs w:val="22"/>
              </w:rPr>
              <w:t xml:space="preserve"> </w:t>
            </w:r>
            <w:r w:rsidR="008336CC" w:rsidRPr="008336CC">
              <w:rPr>
                <w:rFonts w:asciiTheme="minorHAnsi" w:hAnsiTheme="minorHAnsi"/>
                <w:sz w:val="22"/>
                <w:szCs w:val="22"/>
              </w:rPr>
              <w:t>Evaluation Report 2015</w:t>
            </w:r>
            <w:r w:rsidRPr="008336CC">
              <w:rPr>
                <w:rFonts w:asciiTheme="minorHAnsi" w:hAnsiTheme="minorHAnsi"/>
                <w:sz w:val="22"/>
                <w:szCs w:val="22"/>
              </w:rPr>
              <w:t>-1</w:t>
            </w:r>
            <w:r w:rsidR="008336CC" w:rsidRPr="008336CC">
              <w:rPr>
                <w:rFonts w:asciiTheme="minorHAnsi" w:hAnsiTheme="minorHAnsi"/>
                <w:sz w:val="22"/>
                <w:szCs w:val="22"/>
              </w:rPr>
              <w:t>6</w:t>
            </w:r>
          </w:p>
        </w:tc>
      </w:tr>
      <w:tr w:rsidR="0000180C" w:rsidRPr="001665D6" w14:paraId="3B4F847E" w14:textId="77777777" w:rsidTr="0000180C">
        <w:trPr>
          <w:trHeight w:val="284"/>
        </w:trPr>
        <w:tc>
          <w:tcPr>
            <w:tcW w:w="1000" w:type="pct"/>
          </w:tcPr>
          <w:p w14:paraId="3B4F847C"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Revision:</w:t>
            </w:r>
          </w:p>
        </w:tc>
        <w:tc>
          <w:tcPr>
            <w:tcW w:w="4000" w:type="pct"/>
          </w:tcPr>
          <w:p w14:paraId="3B4F847D" w14:textId="77777777" w:rsidR="0000180C" w:rsidRPr="008336CC" w:rsidRDefault="008336CC" w:rsidP="0000180C">
            <w:pPr>
              <w:pStyle w:val="Tabletext"/>
              <w:spacing w:before="0"/>
              <w:rPr>
                <w:rFonts w:asciiTheme="minorHAnsi" w:hAnsiTheme="minorHAnsi"/>
                <w:sz w:val="22"/>
                <w:szCs w:val="22"/>
              </w:rPr>
            </w:pPr>
            <w:r>
              <w:rPr>
                <w:rFonts w:asciiTheme="minorHAnsi" w:hAnsiTheme="minorHAnsi"/>
                <w:sz w:val="22"/>
                <w:szCs w:val="22"/>
              </w:rPr>
              <w:t>First draft</w:t>
            </w:r>
            <w:r w:rsidR="0000180C" w:rsidRPr="008336CC">
              <w:rPr>
                <w:rFonts w:asciiTheme="minorHAnsi" w:hAnsiTheme="minorHAnsi"/>
                <w:sz w:val="22"/>
                <w:szCs w:val="22"/>
              </w:rPr>
              <w:t xml:space="preserve"> </w:t>
            </w:r>
            <w:r w:rsidR="006C4962">
              <w:rPr>
                <w:rFonts w:asciiTheme="minorHAnsi" w:hAnsiTheme="minorHAnsi"/>
                <w:sz w:val="22"/>
                <w:szCs w:val="22"/>
              </w:rPr>
              <w:t>o</w:t>
            </w:r>
            <w:r>
              <w:rPr>
                <w:rFonts w:asciiTheme="minorHAnsi" w:hAnsiTheme="minorHAnsi"/>
                <w:sz w:val="22"/>
                <w:szCs w:val="22"/>
              </w:rPr>
              <w:t>f annual r</w:t>
            </w:r>
            <w:r w:rsidR="0000180C" w:rsidRPr="008336CC">
              <w:rPr>
                <w:rFonts w:asciiTheme="minorHAnsi" w:hAnsiTheme="minorHAnsi"/>
                <w:sz w:val="22"/>
                <w:szCs w:val="22"/>
              </w:rPr>
              <w:t>eport</w:t>
            </w:r>
          </w:p>
        </w:tc>
      </w:tr>
      <w:tr w:rsidR="0000180C" w:rsidRPr="001665D6" w14:paraId="3B4F8481" w14:textId="77777777" w:rsidTr="0000180C">
        <w:trPr>
          <w:trHeight w:val="284"/>
        </w:trPr>
        <w:tc>
          <w:tcPr>
            <w:tcW w:w="1000" w:type="pct"/>
          </w:tcPr>
          <w:p w14:paraId="3B4F847F" w14:textId="77777777" w:rsidR="0000180C" w:rsidRPr="006C0327" w:rsidRDefault="0000180C" w:rsidP="0000180C">
            <w:pPr>
              <w:pStyle w:val="Tabletext"/>
              <w:spacing w:before="0"/>
              <w:rPr>
                <w:rFonts w:asciiTheme="minorHAnsi" w:hAnsiTheme="minorHAnsi"/>
                <w:sz w:val="22"/>
                <w:szCs w:val="22"/>
              </w:rPr>
            </w:pPr>
            <w:r w:rsidRPr="006C0327">
              <w:rPr>
                <w:rFonts w:asciiTheme="minorHAnsi" w:hAnsiTheme="minorHAnsi"/>
                <w:sz w:val="22"/>
                <w:szCs w:val="22"/>
              </w:rPr>
              <w:t>Date:</w:t>
            </w:r>
          </w:p>
        </w:tc>
        <w:tc>
          <w:tcPr>
            <w:tcW w:w="4000" w:type="pct"/>
          </w:tcPr>
          <w:p w14:paraId="3B4F8480" w14:textId="77777777" w:rsidR="0000180C" w:rsidRPr="006C0327" w:rsidRDefault="006C0327" w:rsidP="008336CC">
            <w:pPr>
              <w:pStyle w:val="Tabletext"/>
              <w:spacing w:before="0"/>
              <w:rPr>
                <w:rFonts w:asciiTheme="minorHAnsi" w:hAnsiTheme="minorHAnsi"/>
                <w:sz w:val="22"/>
                <w:szCs w:val="22"/>
              </w:rPr>
            </w:pPr>
            <w:r w:rsidRPr="006C0327">
              <w:rPr>
                <w:rFonts w:asciiTheme="minorHAnsi" w:hAnsiTheme="minorHAnsi"/>
                <w:sz w:val="22"/>
                <w:szCs w:val="22"/>
              </w:rPr>
              <w:t>23</w:t>
            </w:r>
            <w:r w:rsidR="0000180C" w:rsidRPr="006C0327">
              <w:rPr>
                <w:rFonts w:asciiTheme="minorHAnsi" w:hAnsiTheme="minorHAnsi"/>
                <w:sz w:val="22"/>
                <w:szCs w:val="22"/>
              </w:rPr>
              <w:t xml:space="preserve"> </w:t>
            </w:r>
            <w:r w:rsidR="008336CC" w:rsidRPr="006C0327">
              <w:rPr>
                <w:rFonts w:asciiTheme="minorHAnsi" w:hAnsiTheme="minorHAnsi"/>
                <w:sz w:val="22"/>
                <w:szCs w:val="22"/>
              </w:rPr>
              <w:t>September</w:t>
            </w:r>
            <w:r w:rsidR="0000180C" w:rsidRPr="006C0327">
              <w:rPr>
                <w:rFonts w:asciiTheme="minorHAnsi" w:hAnsiTheme="minorHAnsi"/>
                <w:sz w:val="22"/>
                <w:szCs w:val="22"/>
              </w:rPr>
              <w:t xml:space="preserve"> 2016</w:t>
            </w:r>
          </w:p>
        </w:tc>
      </w:tr>
      <w:tr w:rsidR="0000180C" w:rsidRPr="001665D6" w14:paraId="3B4F8484" w14:textId="77777777" w:rsidTr="0000180C">
        <w:trPr>
          <w:trHeight w:val="284"/>
        </w:trPr>
        <w:tc>
          <w:tcPr>
            <w:tcW w:w="1000" w:type="pct"/>
          </w:tcPr>
          <w:p w14:paraId="3B4F8482"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Client name:</w:t>
            </w:r>
          </w:p>
        </w:tc>
        <w:tc>
          <w:tcPr>
            <w:tcW w:w="4000" w:type="pct"/>
          </w:tcPr>
          <w:p w14:paraId="3B4F8483" w14:textId="77777777" w:rsidR="0000180C" w:rsidRPr="008336CC" w:rsidRDefault="0000180C" w:rsidP="0000180C">
            <w:pPr>
              <w:pStyle w:val="ClientName"/>
              <w:rPr>
                <w:rFonts w:asciiTheme="minorHAnsi" w:hAnsiTheme="minorHAnsi"/>
                <w:sz w:val="22"/>
                <w:szCs w:val="22"/>
              </w:rPr>
            </w:pPr>
            <w:r w:rsidRPr="008336CC">
              <w:rPr>
                <w:rFonts w:asciiTheme="minorHAnsi" w:hAnsiTheme="minorHAnsi"/>
                <w:sz w:val="22"/>
                <w:szCs w:val="22"/>
              </w:rPr>
              <w:t xml:space="preserve">Commonwealth Department of </w:t>
            </w:r>
            <w:r w:rsidR="008336CC">
              <w:rPr>
                <w:rFonts w:asciiTheme="minorHAnsi" w:hAnsiTheme="minorHAnsi"/>
                <w:sz w:val="22"/>
                <w:szCs w:val="22"/>
              </w:rPr>
              <w:t xml:space="preserve">the </w:t>
            </w:r>
            <w:r w:rsidRPr="008336CC">
              <w:rPr>
                <w:rFonts w:asciiTheme="minorHAnsi" w:hAnsiTheme="minorHAnsi"/>
                <w:sz w:val="22"/>
                <w:szCs w:val="22"/>
              </w:rPr>
              <w:t>Environment</w:t>
            </w:r>
          </w:p>
        </w:tc>
      </w:tr>
      <w:tr w:rsidR="0000180C" w:rsidRPr="001665D6" w14:paraId="3B4F8487" w14:textId="77777777" w:rsidTr="0000180C">
        <w:trPr>
          <w:trHeight w:val="284"/>
        </w:trPr>
        <w:tc>
          <w:tcPr>
            <w:tcW w:w="1000" w:type="pct"/>
          </w:tcPr>
          <w:p w14:paraId="3B4F8485"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Project manager:</w:t>
            </w:r>
          </w:p>
        </w:tc>
        <w:tc>
          <w:tcPr>
            <w:tcW w:w="4000" w:type="pct"/>
          </w:tcPr>
          <w:p w14:paraId="3B4F8486" w14:textId="77777777" w:rsidR="0000180C" w:rsidRPr="008336CC" w:rsidRDefault="008336CC" w:rsidP="0000180C">
            <w:pPr>
              <w:pStyle w:val="Tabletext"/>
              <w:spacing w:before="0"/>
              <w:rPr>
                <w:rFonts w:asciiTheme="minorHAnsi" w:hAnsiTheme="minorHAnsi"/>
                <w:sz w:val="22"/>
                <w:szCs w:val="22"/>
              </w:rPr>
            </w:pPr>
            <w:r w:rsidRPr="008336CC">
              <w:rPr>
                <w:rFonts w:asciiTheme="minorHAnsi" w:hAnsiTheme="minorHAnsi"/>
                <w:sz w:val="22"/>
                <w:szCs w:val="22"/>
              </w:rPr>
              <w:t>Robyn Watts</w:t>
            </w:r>
          </w:p>
        </w:tc>
      </w:tr>
      <w:tr w:rsidR="0000180C" w:rsidRPr="001665D6" w14:paraId="3B4F848A" w14:textId="77777777" w:rsidTr="0000180C">
        <w:trPr>
          <w:trHeight w:val="284"/>
        </w:trPr>
        <w:tc>
          <w:tcPr>
            <w:tcW w:w="1000" w:type="pct"/>
          </w:tcPr>
          <w:p w14:paraId="3B4F8488"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Authors:</w:t>
            </w:r>
          </w:p>
        </w:tc>
        <w:tc>
          <w:tcPr>
            <w:tcW w:w="4000" w:type="pct"/>
          </w:tcPr>
          <w:p w14:paraId="3B4F8489" w14:textId="77777777" w:rsidR="0000180C" w:rsidRPr="008336CC" w:rsidRDefault="008336CC" w:rsidP="0000180C">
            <w:pPr>
              <w:pStyle w:val="Tabletext"/>
              <w:spacing w:before="0"/>
              <w:rPr>
                <w:rFonts w:asciiTheme="minorHAnsi" w:hAnsiTheme="minorHAnsi"/>
                <w:sz w:val="22"/>
                <w:szCs w:val="22"/>
              </w:rPr>
            </w:pPr>
            <w:r>
              <w:rPr>
                <w:rFonts w:asciiTheme="minorHAnsi" w:hAnsiTheme="minorHAnsi"/>
                <w:sz w:val="22"/>
                <w:szCs w:val="22"/>
              </w:rPr>
              <w:t xml:space="preserve">Robyn </w:t>
            </w:r>
            <w:r w:rsidR="00EC77BA">
              <w:rPr>
                <w:rFonts w:asciiTheme="minorHAnsi" w:hAnsiTheme="minorHAnsi"/>
                <w:sz w:val="22"/>
                <w:szCs w:val="22"/>
              </w:rPr>
              <w:t xml:space="preserve">J </w:t>
            </w:r>
            <w:r>
              <w:rPr>
                <w:rFonts w:asciiTheme="minorHAnsi" w:hAnsiTheme="minorHAnsi"/>
                <w:sz w:val="22"/>
                <w:szCs w:val="22"/>
              </w:rPr>
              <w:t xml:space="preserve">Watts, Nicole McCasker, Julia </w:t>
            </w:r>
            <w:r w:rsidR="00EC77BA">
              <w:rPr>
                <w:rFonts w:asciiTheme="minorHAnsi" w:hAnsiTheme="minorHAnsi"/>
                <w:sz w:val="22"/>
                <w:szCs w:val="22"/>
              </w:rPr>
              <w:t xml:space="preserve">A </w:t>
            </w:r>
            <w:r>
              <w:rPr>
                <w:rFonts w:asciiTheme="minorHAnsi" w:hAnsiTheme="minorHAnsi"/>
                <w:sz w:val="22"/>
                <w:szCs w:val="22"/>
              </w:rPr>
              <w:t xml:space="preserve">Howitt, Jason Thiem, Mike Grace, Richard </w:t>
            </w:r>
            <w:r w:rsidR="00EC77BA">
              <w:rPr>
                <w:rFonts w:asciiTheme="minorHAnsi" w:hAnsiTheme="minorHAnsi"/>
                <w:sz w:val="22"/>
                <w:szCs w:val="22"/>
              </w:rPr>
              <w:t xml:space="preserve">K </w:t>
            </w:r>
            <w:r>
              <w:rPr>
                <w:rFonts w:asciiTheme="minorHAnsi" w:hAnsiTheme="minorHAnsi"/>
                <w:sz w:val="22"/>
                <w:szCs w:val="22"/>
              </w:rPr>
              <w:t>Kopf, Sascha Healy, Nick Bond</w:t>
            </w:r>
          </w:p>
        </w:tc>
      </w:tr>
      <w:tr w:rsidR="0000180C" w:rsidRPr="001665D6" w14:paraId="3B4F848D" w14:textId="77777777" w:rsidTr="0000180C">
        <w:trPr>
          <w:trHeight w:val="284"/>
        </w:trPr>
        <w:tc>
          <w:tcPr>
            <w:tcW w:w="1000" w:type="pct"/>
          </w:tcPr>
          <w:p w14:paraId="3B4F848B" w14:textId="77777777" w:rsidR="0000180C" w:rsidRPr="008336CC" w:rsidRDefault="0000180C" w:rsidP="0000180C">
            <w:pPr>
              <w:pStyle w:val="Tabletext"/>
              <w:spacing w:before="0"/>
              <w:rPr>
                <w:rFonts w:asciiTheme="minorHAnsi" w:hAnsiTheme="minorHAnsi"/>
                <w:sz w:val="22"/>
                <w:szCs w:val="22"/>
              </w:rPr>
            </w:pPr>
            <w:r w:rsidRPr="008336CC">
              <w:rPr>
                <w:rFonts w:asciiTheme="minorHAnsi" w:hAnsiTheme="minorHAnsi"/>
                <w:sz w:val="22"/>
                <w:szCs w:val="22"/>
              </w:rPr>
              <w:t>File name:</w:t>
            </w:r>
          </w:p>
        </w:tc>
        <w:tc>
          <w:tcPr>
            <w:tcW w:w="4000" w:type="pct"/>
          </w:tcPr>
          <w:p w14:paraId="3B4F848C" w14:textId="3A1F86A2" w:rsidR="0000180C" w:rsidRPr="008336CC" w:rsidRDefault="008336CC" w:rsidP="004B7F17">
            <w:pPr>
              <w:pStyle w:val="Tabletext"/>
              <w:spacing w:before="0"/>
              <w:rPr>
                <w:rFonts w:asciiTheme="minorHAnsi" w:hAnsiTheme="minorHAnsi"/>
                <w:sz w:val="22"/>
                <w:szCs w:val="22"/>
              </w:rPr>
            </w:pPr>
            <w:r w:rsidRPr="008336CC">
              <w:rPr>
                <w:rFonts w:asciiTheme="minorHAnsi" w:hAnsiTheme="minorHAnsi"/>
                <w:sz w:val="22"/>
                <w:szCs w:val="22"/>
              </w:rPr>
              <w:t>Edward-Wakool</w:t>
            </w:r>
            <w:r>
              <w:rPr>
                <w:rFonts w:asciiTheme="minorHAnsi" w:hAnsiTheme="minorHAnsi"/>
                <w:sz w:val="22"/>
                <w:szCs w:val="22"/>
              </w:rPr>
              <w:t xml:space="preserve"> LTIM A</w:t>
            </w:r>
            <w:r w:rsidR="0000180C" w:rsidRPr="008336CC">
              <w:rPr>
                <w:rFonts w:asciiTheme="minorHAnsi" w:hAnsiTheme="minorHAnsi"/>
                <w:sz w:val="22"/>
                <w:szCs w:val="22"/>
              </w:rPr>
              <w:t xml:space="preserve">nnual </w:t>
            </w:r>
            <w:r>
              <w:rPr>
                <w:rFonts w:asciiTheme="minorHAnsi" w:hAnsiTheme="minorHAnsi"/>
                <w:sz w:val="22"/>
                <w:szCs w:val="22"/>
              </w:rPr>
              <w:t>R</w:t>
            </w:r>
            <w:r w:rsidRPr="008336CC">
              <w:rPr>
                <w:rFonts w:asciiTheme="minorHAnsi" w:hAnsiTheme="minorHAnsi"/>
                <w:sz w:val="22"/>
                <w:szCs w:val="22"/>
              </w:rPr>
              <w:t>eport 2015-16</w:t>
            </w:r>
            <w:r w:rsidR="0000180C" w:rsidRPr="008336CC">
              <w:rPr>
                <w:rFonts w:asciiTheme="minorHAnsi" w:hAnsiTheme="minorHAnsi"/>
                <w:sz w:val="22"/>
                <w:szCs w:val="22"/>
              </w:rPr>
              <w:t>.docx</w:t>
            </w:r>
          </w:p>
        </w:tc>
      </w:tr>
      <w:tr w:rsidR="0000180C" w:rsidRPr="001665D6" w14:paraId="3B4F8495" w14:textId="77777777" w:rsidTr="0000180C">
        <w:trPr>
          <w:trHeight w:val="2278"/>
        </w:trPr>
        <w:tc>
          <w:tcPr>
            <w:tcW w:w="5000" w:type="pct"/>
            <w:gridSpan w:val="2"/>
          </w:tcPr>
          <w:p w14:paraId="3B4F848E" w14:textId="77777777" w:rsidR="0000180C" w:rsidRPr="008336CC" w:rsidRDefault="0000180C" w:rsidP="0000180C">
            <w:pPr>
              <w:pStyle w:val="Tabletext"/>
              <w:spacing w:before="0" w:after="0"/>
              <w:rPr>
                <w:rFonts w:asciiTheme="minorHAnsi" w:hAnsiTheme="minorHAnsi"/>
                <w:sz w:val="22"/>
                <w:szCs w:val="22"/>
              </w:rPr>
            </w:pPr>
          </w:p>
          <w:p w14:paraId="3B4F848F" w14:textId="77777777" w:rsidR="0000180C" w:rsidRPr="008336CC" w:rsidRDefault="0000180C" w:rsidP="0000180C">
            <w:pPr>
              <w:pStyle w:val="Tabletext"/>
              <w:spacing w:before="0" w:after="0"/>
              <w:rPr>
                <w:rFonts w:asciiTheme="minorHAnsi" w:hAnsiTheme="minorHAnsi"/>
                <w:sz w:val="22"/>
                <w:szCs w:val="22"/>
              </w:rPr>
            </w:pPr>
            <w:r w:rsidRPr="008336CC">
              <w:rPr>
                <w:rFonts w:asciiTheme="minorHAnsi" w:hAnsiTheme="minorHAnsi"/>
                <w:sz w:val="22"/>
                <w:szCs w:val="22"/>
              </w:rPr>
              <w:t>Institute for Land, Water and Society</w:t>
            </w:r>
          </w:p>
          <w:p w14:paraId="3B4F8490" w14:textId="77777777" w:rsidR="0000180C" w:rsidRPr="008336CC" w:rsidRDefault="008336CC" w:rsidP="0000180C">
            <w:pPr>
              <w:pStyle w:val="Tabletext"/>
              <w:spacing w:before="0" w:after="0"/>
              <w:rPr>
                <w:rFonts w:asciiTheme="minorHAnsi" w:hAnsiTheme="minorHAnsi"/>
                <w:sz w:val="22"/>
                <w:szCs w:val="22"/>
              </w:rPr>
            </w:pPr>
            <w:r w:rsidRPr="008336CC">
              <w:rPr>
                <w:rFonts w:asciiTheme="minorHAnsi" w:hAnsiTheme="minorHAnsi"/>
                <w:sz w:val="22"/>
                <w:szCs w:val="22"/>
              </w:rPr>
              <w:t>Charles Sturt University</w:t>
            </w:r>
          </w:p>
          <w:p w14:paraId="3B4F8491" w14:textId="77777777" w:rsidR="0000180C" w:rsidRPr="008336CC" w:rsidRDefault="008336CC" w:rsidP="0000180C">
            <w:pPr>
              <w:pStyle w:val="Tabletext"/>
              <w:spacing w:before="0" w:after="0"/>
              <w:rPr>
                <w:rFonts w:asciiTheme="minorHAnsi" w:hAnsiTheme="minorHAnsi"/>
                <w:sz w:val="22"/>
                <w:szCs w:val="22"/>
              </w:rPr>
            </w:pPr>
            <w:r w:rsidRPr="008336CC">
              <w:rPr>
                <w:rFonts w:asciiTheme="minorHAnsi" w:hAnsiTheme="minorHAnsi"/>
                <w:sz w:val="22"/>
                <w:szCs w:val="22"/>
              </w:rPr>
              <w:t>PO Box 789</w:t>
            </w:r>
          </w:p>
          <w:p w14:paraId="3B4F8492" w14:textId="77777777" w:rsidR="008336CC" w:rsidRPr="008336CC" w:rsidRDefault="008336CC" w:rsidP="0000180C">
            <w:pPr>
              <w:pStyle w:val="Tabletext"/>
              <w:spacing w:before="0" w:after="0"/>
              <w:rPr>
                <w:rFonts w:asciiTheme="minorHAnsi" w:hAnsiTheme="minorHAnsi"/>
                <w:sz w:val="22"/>
                <w:szCs w:val="22"/>
              </w:rPr>
            </w:pPr>
            <w:r w:rsidRPr="008336CC">
              <w:rPr>
                <w:rFonts w:asciiTheme="minorHAnsi" w:hAnsiTheme="minorHAnsi"/>
                <w:sz w:val="22"/>
                <w:szCs w:val="22"/>
              </w:rPr>
              <w:t>Albury, NSW 2640</w:t>
            </w:r>
          </w:p>
          <w:p w14:paraId="3B4F8493" w14:textId="77777777" w:rsidR="0000180C" w:rsidRPr="008336CC" w:rsidRDefault="0000180C" w:rsidP="0000180C">
            <w:pPr>
              <w:pStyle w:val="Tabletext"/>
              <w:spacing w:before="0" w:after="0"/>
              <w:rPr>
                <w:rFonts w:asciiTheme="minorHAnsi" w:hAnsiTheme="minorHAnsi"/>
                <w:sz w:val="22"/>
                <w:szCs w:val="22"/>
              </w:rPr>
            </w:pPr>
            <w:r w:rsidRPr="008336CC">
              <w:rPr>
                <w:rFonts w:asciiTheme="minorHAnsi" w:hAnsiTheme="minorHAnsi"/>
                <w:sz w:val="22"/>
                <w:szCs w:val="22"/>
              </w:rPr>
              <w:t xml:space="preserve">ABN </w:t>
            </w:r>
            <w:r w:rsidR="008336CC">
              <w:rPr>
                <w:rFonts w:asciiTheme="minorHAnsi" w:hAnsiTheme="minorHAnsi"/>
                <w:sz w:val="22"/>
                <w:szCs w:val="22"/>
              </w:rPr>
              <w:t>83 878 708 551</w:t>
            </w:r>
          </w:p>
          <w:p w14:paraId="3B4F8494" w14:textId="77777777" w:rsidR="0000180C" w:rsidRPr="008336CC" w:rsidRDefault="0000180C" w:rsidP="0000180C">
            <w:pPr>
              <w:pStyle w:val="Tabletext"/>
              <w:spacing w:before="0" w:after="0"/>
              <w:rPr>
                <w:rFonts w:asciiTheme="minorHAnsi" w:eastAsiaTheme="majorEastAsia" w:hAnsiTheme="minorHAnsi" w:cstheme="majorBidi"/>
                <w:b/>
                <w:bCs/>
                <w:color w:val="00338D"/>
                <w:sz w:val="22"/>
                <w:szCs w:val="22"/>
              </w:rPr>
            </w:pPr>
          </w:p>
        </w:tc>
      </w:tr>
    </w:tbl>
    <w:p w14:paraId="3B4F8496" w14:textId="77777777" w:rsidR="0000180C" w:rsidRPr="0000180C" w:rsidRDefault="0000180C" w:rsidP="0000180C">
      <w:pPr>
        <w:pStyle w:val="Tablecaption0"/>
        <w:rPr>
          <w:rFonts w:asciiTheme="minorHAnsi" w:hAnsiTheme="minorHAnsi"/>
          <w:color w:val="4F6228" w:themeColor="accent3" w:themeShade="80"/>
          <w:sz w:val="24"/>
        </w:rPr>
      </w:pPr>
      <w:r w:rsidRPr="0000180C">
        <w:rPr>
          <w:rFonts w:asciiTheme="minorHAnsi" w:hAnsiTheme="minorHAnsi"/>
          <w:color w:val="4F6228" w:themeColor="accent3" w:themeShade="80"/>
          <w:sz w:val="24"/>
        </w:rPr>
        <w:t>Document history and status</w:t>
      </w:r>
    </w:p>
    <w:tbl>
      <w:tblPr>
        <w:tblStyle w:val="TableGrid"/>
        <w:tblW w:w="4976" w:type="pct"/>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091"/>
        <w:gridCol w:w="1232"/>
        <w:gridCol w:w="2832"/>
        <w:gridCol w:w="1074"/>
        <w:gridCol w:w="1156"/>
        <w:gridCol w:w="1069"/>
      </w:tblGrid>
      <w:tr w:rsidR="0000180C" w:rsidRPr="001665D6" w14:paraId="3B4F849D" w14:textId="77777777" w:rsidTr="008336CC">
        <w:trPr>
          <w:cantSplit/>
          <w:tblHeader/>
        </w:trPr>
        <w:tc>
          <w:tcPr>
            <w:tcW w:w="1138" w:type="dxa"/>
            <w:tcBorders>
              <w:right w:val="single" w:sz="4" w:space="0" w:color="FFFFFF" w:themeColor="background1"/>
            </w:tcBorders>
            <w:shd w:val="clear" w:color="auto" w:fill="EAF1DD" w:themeFill="accent3" w:themeFillTint="33"/>
          </w:tcPr>
          <w:p w14:paraId="3B4F8497" w14:textId="77777777" w:rsidR="0000180C" w:rsidRPr="0000180C" w:rsidRDefault="0000180C" w:rsidP="0000180C">
            <w:pPr>
              <w:pStyle w:val="Tablesmallheading"/>
              <w:ind w:left="-33" w:firstLine="33"/>
              <w:rPr>
                <w:rFonts w:asciiTheme="minorHAnsi" w:hAnsiTheme="minorHAnsi"/>
                <w:color w:val="000000" w:themeColor="text1"/>
                <w:sz w:val="22"/>
                <w:szCs w:val="22"/>
              </w:rPr>
            </w:pPr>
            <w:r w:rsidRPr="0000180C">
              <w:rPr>
                <w:rFonts w:asciiTheme="minorHAnsi" w:hAnsiTheme="minorHAnsi"/>
                <w:color w:val="000000" w:themeColor="text1"/>
                <w:sz w:val="22"/>
                <w:szCs w:val="22"/>
              </w:rPr>
              <w:t>Revision</w:t>
            </w:r>
          </w:p>
        </w:tc>
        <w:tc>
          <w:tcPr>
            <w:tcW w:w="1059" w:type="dxa"/>
            <w:tcBorders>
              <w:left w:val="single" w:sz="4" w:space="0" w:color="FFFFFF" w:themeColor="background1"/>
              <w:right w:val="single" w:sz="4" w:space="0" w:color="FFFFFF" w:themeColor="background1"/>
            </w:tcBorders>
            <w:shd w:val="clear" w:color="auto" w:fill="EAF1DD" w:themeFill="accent3" w:themeFillTint="33"/>
          </w:tcPr>
          <w:p w14:paraId="3B4F8498" w14:textId="77777777" w:rsidR="0000180C" w:rsidRPr="0000180C" w:rsidRDefault="0000180C" w:rsidP="0000180C">
            <w:pPr>
              <w:pStyle w:val="Tablesmallheading"/>
              <w:ind w:left="-33" w:firstLine="33"/>
              <w:rPr>
                <w:rFonts w:asciiTheme="minorHAnsi" w:hAnsiTheme="minorHAnsi"/>
                <w:color w:val="000000" w:themeColor="text1"/>
                <w:sz w:val="22"/>
                <w:szCs w:val="22"/>
              </w:rPr>
            </w:pPr>
            <w:r w:rsidRPr="0000180C">
              <w:rPr>
                <w:rFonts w:asciiTheme="minorHAnsi" w:hAnsiTheme="minorHAnsi"/>
                <w:color w:val="000000" w:themeColor="text1"/>
                <w:sz w:val="22"/>
                <w:szCs w:val="22"/>
              </w:rPr>
              <w:t>Date</w:t>
            </w:r>
          </w:p>
        </w:tc>
        <w:tc>
          <w:tcPr>
            <w:tcW w:w="3332" w:type="dxa"/>
            <w:tcBorders>
              <w:left w:val="single" w:sz="4" w:space="0" w:color="FFFFFF" w:themeColor="background1"/>
              <w:right w:val="single" w:sz="4" w:space="0" w:color="FFFFFF" w:themeColor="background1"/>
            </w:tcBorders>
            <w:shd w:val="clear" w:color="auto" w:fill="EAF1DD" w:themeFill="accent3" w:themeFillTint="33"/>
          </w:tcPr>
          <w:p w14:paraId="3B4F8499" w14:textId="77777777" w:rsidR="0000180C" w:rsidRPr="0000180C" w:rsidRDefault="0000180C" w:rsidP="0000180C">
            <w:pPr>
              <w:pStyle w:val="Tablesmallheading"/>
              <w:ind w:left="-33" w:firstLine="33"/>
              <w:rPr>
                <w:rFonts w:asciiTheme="minorHAnsi" w:hAnsiTheme="minorHAnsi"/>
                <w:color w:val="000000" w:themeColor="text1"/>
                <w:sz w:val="22"/>
                <w:szCs w:val="22"/>
              </w:rPr>
            </w:pPr>
            <w:r w:rsidRPr="0000180C">
              <w:rPr>
                <w:rFonts w:asciiTheme="minorHAnsi" w:hAnsiTheme="minorHAnsi"/>
                <w:color w:val="000000" w:themeColor="text1"/>
                <w:sz w:val="22"/>
                <w:szCs w:val="22"/>
              </w:rPr>
              <w:t>Description</w:t>
            </w:r>
          </w:p>
        </w:tc>
        <w:tc>
          <w:tcPr>
            <w:tcW w:w="1134" w:type="dxa"/>
            <w:tcBorders>
              <w:left w:val="single" w:sz="4" w:space="0" w:color="FFFFFF" w:themeColor="background1"/>
              <w:right w:val="single" w:sz="4" w:space="0" w:color="FFFFFF" w:themeColor="background1"/>
            </w:tcBorders>
            <w:shd w:val="clear" w:color="auto" w:fill="EAF1DD" w:themeFill="accent3" w:themeFillTint="33"/>
          </w:tcPr>
          <w:p w14:paraId="3B4F849A" w14:textId="77777777" w:rsidR="0000180C" w:rsidRPr="0000180C" w:rsidRDefault="0000180C" w:rsidP="0000180C">
            <w:pPr>
              <w:pStyle w:val="Tablesmallheading"/>
              <w:ind w:left="-33" w:firstLine="33"/>
              <w:rPr>
                <w:rFonts w:asciiTheme="minorHAnsi" w:hAnsiTheme="minorHAnsi"/>
                <w:color w:val="000000" w:themeColor="text1"/>
                <w:sz w:val="22"/>
                <w:szCs w:val="22"/>
              </w:rPr>
            </w:pPr>
            <w:r w:rsidRPr="0000180C">
              <w:rPr>
                <w:rFonts w:asciiTheme="minorHAnsi" w:hAnsiTheme="minorHAnsi"/>
                <w:color w:val="000000" w:themeColor="text1"/>
                <w:sz w:val="22"/>
                <w:szCs w:val="22"/>
              </w:rPr>
              <w:t>By</w:t>
            </w:r>
          </w:p>
        </w:tc>
        <w:tc>
          <w:tcPr>
            <w:tcW w:w="1241" w:type="dxa"/>
            <w:tcBorders>
              <w:left w:val="single" w:sz="4" w:space="0" w:color="FFFFFF" w:themeColor="background1"/>
              <w:right w:val="single" w:sz="4" w:space="0" w:color="FFFFFF" w:themeColor="background1"/>
            </w:tcBorders>
            <w:shd w:val="clear" w:color="auto" w:fill="EAF1DD" w:themeFill="accent3" w:themeFillTint="33"/>
          </w:tcPr>
          <w:p w14:paraId="3B4F849B" w14:textId="77777777" w:rsidR="0000180C" w:rsidRPr="0000180C" w:rsidRDefault="0000180C" w:rsidP="0000180C">
            <w:pPr>
              <w:pStyle w:val="Tablesmallheading"/>
              <w:ind w:left="-33" w:firstLine="33"/>
              <w:rPr>
                <w:rFonts w:asciiTheme="minorHAnsi" w:hAnsiTheme="minorHAnsi"/>
                <w:color w:val="000000" w:themeColor="text1"/>
                <w:sz w:val="22"/>
                <w:szCs w:val="22"/>
              </w:rPr>
            </w:pPr>
            <w:r w:rsidRPr="0000180C">
              <w:rPr>
                <w:rFonts w:asciiTheme="minorHAnsi" w:hAnsiTheme="minorHAnsi"/>
                <w:color w:val="000000" w:themeColor="text1"/>
                <w:sz w:val="22"/>
                <w:szCs w:val="22"/>
              </w:rPr>
              <w:t>Review</w:t>
            </w:r>
          </w:p>
        </w:tc>
        <w:tc>
          <w:tcPr>
            <w:tcW w:w="1069" w:type="dxa"/>
            <w:tcBorders>
              <w:left w:val="single" w:sz="4" w:space="0" w:color="FFFFFF" w:themeColor="background1"/>
            </w:tcBorders>
            <w:shd w:val="clear" w:color="auto" w:fill="EAF1DD" w:themeFill="accent3" w:themeFillTint="33"/>
          </w:tcPr>
          <w:p w14:paraId="3B4F849C" w14:textId="77777777" w:rsidR="0000180C" w:rsidRPr="0000180C" w:rsidRDefault="0000180C" w:rsidP="0000180C">
            <w:pPr>
              <w:pStyle w:val="Tablesmallheading"/>
              <w:ind w:left="-33" w:firstLine="33"/>
              <w:rPr>
                <w:rFonts w:asciiTheme="minorHAnsi" w:hAnsiTheme="minorHAnsi"/>
                <w:color w:val="000000" w:themeColor="text1"/>
                <w:sz w:val="22"/>
                <w:szCs w:val="22"/>
              </w:rPr>
            </w:pPr>
            <w:r w:rsidRPr="0000180C">
              <w:rPr>
                <w:rFonts w:asciiTheme="minorHAnsi" w:hAnsiTheme="minorHAnsi"/>
                <w:color w:val="000000" w:themeColor="text1"/>
                <w:sz w:val="22"/>
                <w:szCs w:val="22"/>
              </w:rPr>
              <w:t>Approved</w:t>
            </w:r>
          </w:p>
        </w:tc>
      </w:tr>
      <w:tr w:rsidR="0000180C" w:rsidRPr="001665D6" w14:paraId="3B4F84A4" w14:textId="77777777" w:rsidTr="008336CC">
        <w:trPr>
          <w:cantSplit/>
        </w:trPr>
        <w:tc>
          <w:tcPr>
            <w:tcW w:w="1138" w:type="dxa"/>
          </w:tcPr>
          <w:p w14:paraId="3B4F849E" w14:textId="77777777" w:rsidR="0000180C" w:rsidRPr="0000180C" w:rsidRDefault="0000180C" w:rsidP="0000180C">
            <w:pPr>
              <w:pStyle w:val="Tablesmalltext"/>
              <w:ind w:left="-33" w:firstLine="33"/>
              <w:rPr>
                <w:rFonts w:asciiTheme="minorHAnsi" w:hAnsiTheme="minorHAnsi"/>
                <w:sz w:val="22"/>
                <w:szCs w:val="22"/>
              </w:rPr>
            </w:pPr>
            <w:r w:rsidRPr="0000180C">
              <w:rPr>
                <w:rFonts w:asciiTheme="minorHAnsi" w:hAnsiTheme="minorHAnsi"/>
                <w:sz w:val="22"/>
                <w:szCs w:val="22"/>
              </w:rPr>
              <w:t>First draft</w:t>
            </w:r>
          </w:p>
        </w:tc>
        <w:tc>
          <w:tcPr>
            <w:tcW w:w="1059" w:type="dxa"/>
          </w:tcPr>
          <w:p w14:paraId="3B4F849F" w14:textId="77777777" w:rsidR="0000180C" w:rsidRPr="0000180C" w:rsidRDefault="006C0327" w:rsidP="0000180C">
            <w:pPr>
              <w:pStyle w:val="Tablesmalltext"/>
              <w:ind w:left="-33" w:firstLine="33"/>
              <w:rPr>
                <w:rFonts w:asciiTheme="minorHAnsi" w:hAnsiTheme="minorHAnsi"/>
                <w:sz w:val="22"/>
                <w:szCs w:val="22"/>
              </w:rPr>
            </w:pPr>
            <w:r w:rsidRPr="006C0327">
              <w:rPr>
                <w:rFonts w:asciiTheme="minorHAnsi" w:hAnsiTheme="minorHAnsi"/>
                <w:sz w:val="22"/>
                <w:szCs w:val="22"/>
              </w:rPr>
              <w:t>23</w:t>
            </w:r>
            <w:r w:rsidR="008336CC" w:rsidRPr="006C0327">
              <w:rPr>
                <w:rFonts w:asciiTheme="minorHAnsi" w:hAnsiTheme="minorHAnsi"/>
                <w:sz w:val="22"/>
                <w:szCs w:val="22"/>
              </w:rPr>
              <w:t>/09</w:t>
            </w:r>
            <w:r w:rsidR="008336CC">
              <w:rPr>
                <w:rFonts w:asciiTheme="minorHAnsi" w:hAnsiTheme="minorHAnsi"/>
                <w:sz w:val="22"/>
                <w:szCs w:val="22"/>
              </w:rPr>
              <w:t>/16</w:t>
            </w:r>
          </w:p>
        </w:tc>
        <w:tc>
          <w:tcPr>
            <w:tcW w:w="3332" w:type="dxa"/>
          </w:tcPr>
          <w:p w14:paraId="3B4F84A0" w14:textId="77777777" w:rsidR="0000180C" w:rsidRPr="0000180C" w:rsidRDefault="0000180C" w:rsidP="0000180C">
            <w:pPr>
              <w:pStyle w:val="Tablesmalltext"/>
              <w:ind w:left="-33" w:firstLine="33"/>
              <w:rPr>
                <w:rFonts w:asciiTheme="minorHAnsi" w:hAnsiTheme="minorHAnsi"/>
                <w:sz w:val="22"/>
                <w:szCs w:val="22"/>
              </w:rPr>
            </w:pPr>
            <w:r w:rsidRPr="0000180C">
              <w:rPr>
                <w:rFonts w:asciiTheme="minorHAnsi" w:hAnsiTheme="minorHAnsi"/>
                <w:sz w:val="22"/>
                <w:szCs w:val="22"/>
              </w:rPr>
              <w:t>Draft submitted to CEWO</w:t>
            </w:r>
          </w:p>
        </w:tc>
        <w:tc>
          <w:tcPr>
            <w:tcW w:w="1134" w:type="dxa"/>
          </w:tcPr>
          <w:p w14:paraId="3B4F84A1" w14:textId="77777777" w:rsidR="0000180C" w:rsidRPr="0000180C" w:rsidRDefault="0000180C" w:rsidP="0000180C">
            <w:pPr>
              <w:pStyle w:val="Tablesmalltext"/>
              <w:ind w:left="-33" w:firstLine="33"/>
              <w:rPr>
                <w:rFonts w:asciiTheme="minorHAnsi" w:hAnsiTheme="minorHAnsi"/>
                <w:sz w:val="22"/>
                <w:szCs w:val="22"/>
              </w:rPr>
            </w:pPr>
            <w:r w:rsidRPr="0000180C">
              <w:rPr>
                <w:rFonts w:asciiTheme="minorHAnsi" w:hAnsiTheme="minorHAnsi"/>
                <w:sz w:val="22"/>
                <w:szCs w:val="22"/>
              </w:rPr>
              <w:t>Authors</w:t>
            </w:r>
          </w:p>
        </w:tc>
        <w:tc>
          <w:tcPr>
            <w:tcW w:w="1241" w:type="dxa"/>
          </w:tcPr>
          <w:p w14:paraId="3B4F84A2" w14:textId="77777777" w:rsidR="0000180C" w:rsidRPr="0000180C" w:rsidRDefault="0000180C" w:rsidP="0000180C">
            <w:pPr>
              <w:pStyle w:val="Tablesmalltext"/>
              <w:ind w:left="-33" w:firstLine="33"/>
              <w:rPr>
                <w:rFonts w:asciiTheme="minorHAnsi" w:hAnsiTheme="minorHAnsi"/>
                <w:sz w:val="22"/>
                <w:szCs w:val="22"/>
              </w:rPr>
            </w:pPr>
            <w:r w:rsidRPr="0000180C">
              <w:rPr>
                <w:rFonts w:asciiTheme="minorHAnsi" w:hAnsiTheme="minorHAnsi"/>
                <w:sz w:val="22"/>
                <w:szCs w:val="22"/>
              </w:rPr>
              <w:t>co-authors</w:t>
            </w:r>
            <w:r w:rsidR="008336CC">
              <w:rPr>
                <w:rFonts w:asciiTheme="minorHAnsi" w:hAnsiTheme="minorHAnsi"/>
                <w:sz w:val="22"/>
                <w:szCs w:val="22"/>
              </w:rPr>
              <w:t>, CEWO</w:t>
            </w:r>
          </w:p>
        </w:tc>
        <w:tc>
          <w:tcPr>
            <w:tcW w:w="1069" w:type="dxa"/>
          </w:tcPr>
          <w:p w14:paraId="3B4F84A3" w14:textId="77777777" w:rsidR="0000180C" w:rsidRPr="0000180C" w:rsidRDefault="0000180C" w:rsidP="009B5133">
            <w:pPr>
              <w:pStyle w:val="Tablesmalltext"/>
              <w:ind w:left="-33"/>
              <w:rPr>
                <w:rFonts w:asciiTheme="minorHAnsi" w:hAnsiTheme="minorHAnsi"/>
                <w:sz w:val="22"/>
                <w:szCs w:val="22"/>
              </w:rPr>
            </w:pPr>
            <w:r w:rsidRPr="0000180C">
              <w:rPr>
                <w:rFonts w:asciiTheme="minorHAnsi" w:hAnsiTheme="minorHAnsi"/>
                <w:sz w:val="22"/>
                <w:szCs w:val="22"/>
              </w:rPr>
              <w:t>Robyn Watts</w:t>
            </w:r>
          </w:p>
        </w:tc>
      </w:tr>
      <w:tr w:rsidR="0000180C" w:rsidRPr="001665D6" w14:paraId="3B4F84AB" w14:textId="77777777" w:rsidTr="008336CC">
        <w:trPr>
          <w:cantSplit/>
        </w:trPr>
        <w:tc>
          <w:tcPr>
            <w:tcW w:w="1138" w:type="dxa"/>
          </w:tcPr>
          <w:p w14:paraId="3B4F84A5" w14:textId="5F39F16C" w:rsidR="0000180C" w:rsidRPr="0000180C" w:rsidRDefault="006F5361" w:rsidP="0000180C">
            <w:pPr>
              <w:pStyle w:val="Tablesmalltext"/>
              <w:ind w:left="-33" w:firstLine="33"/>
              <w:rPr>
                <w:rFonts w:asciiTheme="minorHAnsi" w:hAnsiTheme="minorHAnsi"/>
                <w:sz w:val="22"/>
                <w:szCs w:val="22"/>
              </w:rPr>
            </w:pPr>
            <w:r>
              <w:rPr>
                <w:rFonts w:asciiTheme="minorHAnsi" w:hAnsiTheme="minorHAnsi"/>
                <w:sz w:val="22"/>
                <w:szCs w:val="22"/>
              </w:rPr>
              <w:t>First draft</w:t>
            </w:r>
          </w:p>
        </w:tc>
        <w:tc>
          <w:tcPr>
            <w:tcW w:w="1059" w:type="dxa"/>
          </w:tcPr>
          <w:p w14:paraId="3B4F84A6" w14:textId="4CEFA369" w:rsidR="0000180C" w:rsidRPr="0000180C" w:rsidRDefault="006F5361" w:rsidP="0000180C">
            <w:pPr>
              <w:pStyle w:val="Tablesmalltext"/>
              <w:ind w:left="-33" w:firstLine="33"/>
              <w:rPr>
                <w:rFonts w:asciiTheme="minorHAnsi" w:hAnsiTheme="minorHAnsi"/>
                <w:sz w:val="22"/>
                <w:szCs w:val="22"/>
              </w:rPr>
            </w:pPr>
            <w:r>
              <w:rPr>
                <w:rFonts w:asciiTheme="minorHAnsi" w:hAnsiTheme="minorHAnsi"/>
                <w:sz w:val="22"/>
                <w:szCs w:val="22"/>
              </w:rPr>
              <w:t>16/12/2016</w:t>
            </w:r>
          </w:p>
        </w:tc>
        <w:tc>
          <w:tcPr>
            <w:tcW w:w="3332" w:type="dxa"/>
          </w:tcPr>
          <w:p w14:paraId="3B4F84A7" w14:textId="61D822AF" w:rsidR="0000180C" w:rsidRPr="0000180C" w:rsidRDefault="006F5361" w:rsidP="005C23DF">
            <w:pPr>
              <w:pStyle w:val="Tablesmalltext"/>
              <w:rPr>
                <w:rFonts w:asciiTheme="minorHAnsi" w:hAnsiTheme="minorHAnsi"/>
                <w:sz w:val="22"/>
                <w:szCs w:val="22"/>
              </w:rPr>
            </w:pPr>
            <w:r>
              <w:rPr>
                <w:rFonts w:asciiTheme="minorHAnsi" w:hAnsiTheme="minorHAnsi"/>
                <w:sz w:val="22"/>
                <w:szCs w:val="22"/>
              </w:rPr>
              <w:t>C</w:t>
            </w:r>
            <w:r w:rsidR="005C23DF">
              <w:rPr>
                <w:rFonts w:asciiTheme="minorHAnsi" w:hAnsiTheme="minorHAnsi"/>
                <w:sz w:val="22"/>
                <w:szCs w:val="22"/>
              </w:rPr>
              <w:t>omments from CEWO</w:t>
            </w:r>
          </w:p>
        </w:tc>
        <w:tc>
          <w:tcPr>
            <w:tcW w:w="1134" w:type="dxa"/>
          </w:tcPr>
          <w:p w14:paraId="3B4F84A8" w14:textId="6A22C791" w:rsidR="0000180C" w:rsidRPr="0000180C" w:rsidRDefault="005C23DF" w:rsidP="0000180C">
            <w:pPr>
              <w:pStyle w:val="Tablesmalltext"/>
              <w:ind w:left="-33" w:firstLine="33"/>
              <w:rPr>
                <w:rFonts w:asciiTheme="minorHAnsi" w:hAnsiTheme="minorHAnsi"/>
                <w:sz w:val="22"/>
                <w:szCs w:val="22"/>
              </w:rPr>
            </w:pPr>
            <w:r>
              <w:rPr>
                <w:rFonts w:asciiTheme="minorHAnsi" w:hAnsiTheme="minorHAnsi"/>
                <w:sz w:val="22"/>
                <w:szCs w:val="22"/>
              </w:rPr>
              <w:t>CEWO</w:t>
            </w:r>
          </w:p>
        </w:tc>
        <w:tc>
          <w:tcPr>
            <w:tcW w:w="1241" w:type="dxa"/>
          </w:tcPr>
          <w:p w14:paraId="3B4F84A9" w14:textId="19F79688" w:rsidR="0000180C" w:rsidRPr="0000180C" w:rsidRDefault="005C23DF" w:rsidP="0000180C">
            <w:pPr>
              <w:pStyle w:val="Tablesmalltext"/>
              <w:ind w:left="-33" w:firstLine="33"/>
              <w:rPr>
                <w:rFonts w:asciiTheme="minorHAnsi" w:hAnsiTheme="minorHAnsi"/>
                <w:sz w:val="22"/>
                <w:szCs w:val="22"/>
              </w:rPr>
            </w:pPr>
            <w:r>
              <w:rPr>
                <w:rFonts w:asciiTheme="minorHAnsi" w:hAnsiTheme="minorHAnsi"/>
                <w:sz w:val="22"/>
                <w:szCs w:val="22"/>
              </w:rPr>
              <w:t>Damian McRae, Thomas Hart</w:t>
            </w:r>
          </w:p>
        </w:tc>
        <w:tc>
          <w:tcPr>
            <w:tcW w:w="1069" w:type="dxa"/>
          </w:tcPr>
          <w:p w14:paraId="3B4F84AA" w14:textId="0974BB99" w:rsidR="0000180C" w:rsidRPr="0000180C" w:rsidRDefault="005C23DF" w:rsidP="0000180C">
            <w:pPr>
              <w:pStyle w:val="Tablesmalltext"/>
              <w:ind w:left="-33" w:firstLine="33"/>
              <w:rPr>
                <w:rFonts w:asciiTheme="minorHAnsi" w:hAnsiTheme="minorHAnsi"/>
                <w:sz w:val="22"/>
                <w:szCs w:val="22"/>
              </w:rPr>
            </w:pPr>
            <w:r>
              <w:rPr>
                <w:rFonts w:asciiTheme="minorHAnsi" w:hAnsiTheme="minorHAnsi"/>
                <w:sz w:val="22"/>
                <w:szCs w:val="22"/>
              </w:rPr>
              <w:t>Damian McRae</w:t>
            </w:r>
          </w:p>
        </w:tc>
      </w:tr>
      <w:tr w:rsidR="0000180C" w:rsidRPr="001665D6" w14:paraId="3B4F84B2" w14:textId="77777777" w:rsidTr="008336CC">
        <w:trPr>
          <w:cantSplit/>
        </w:trPr>
        <w:tc>
          <w:tcPr>
            <w:tcW w:w="1138" w:type="dxa"/>
          </w:tcPr>
          <w:p w14:paraId="3B4F84AC" w14:textId="618AF663" w:rsidR="0000180C" w:rsidRPr="0000180C" w:rsidRDefault="005C23DF" w:rsidP="00671636">
            <w:pPr>
              <w:pStyle w:val="Tablesmalltext"/>
              <w:ind w:left="-33"/>
              <w:rPr>
                <w:rFonts w:asciiTheme="minorHAnsi" w:hAnsiTheme="minorHAnsi"/>
                <w:sz w:val="22"/>
                <w:szCs w:val="22"/>
              </w:rPr>
            </w:pPr>
            <w:r>
              <w:rPr>
                <w:rFonts w:asciiTheme="minorHAnsi" w:hAnsiTheme="minorHAnsi"/>
                <w:sz w:val="22"/>
                <w:szCs w:val="22"/>
              </w:rPr>
              <w:t>Final report</w:t>
            </w:r>
          </w:p>
        </w:tc>
        <w:tc>
          <w:tcPr>
            <w:tcW w:w="1059" w:type="dxa"/>
          </w:tcPr>
          <w:p w14:paraId="3B4F84AD" w14:textId="7E3818C6" w:rsidR="0000180C" w:rsidRPr="0000180C" w:rsidRDefault="00671636" w:rsidP="0000180C">
            <w:pPr>
              <w:pStyle w:val="Tablesmalltext"/>
              <w:ind w:left="-33" w:firstLine="33"/>
              <w:rPr>
                <w:rFonts w:asciiTheme="minorHAnsi" w:hAnsiTheme="minorHAnsi"/>
                <w:sz w:val="22"/>
                <w:szCs w:val="22"/>
              </w:rPr>
            </w:pPr>
            <w:r>
              <w:rPr>
                <w:rFonts w:asciiTheme="minorHAnsi" w:hAnsiTheme="minorHAnsi"/>
                <w:sz w:val="22"/>
                <w:szCs w:val="22"/>
              </w:rPr>
              <w:t>31/5/2017</w:t>
            </w:r>
          </w:p>
        </w:tc>
        <w:tc>
          <w:tcPr>
            <w:tcW w:w="3332" w:type="dxa"/>
          </w:tcPr>
          <w:p w14:paraId="3B4F84AE" w14:textId="09C76C56" w:rsidR="0000180C" w:rsidRPr="0000180C" w:rsidRDefault="005C23DF" w:rsidP="00417F7C">
            <w:pPr>
              <w:pStyle w:val="Tablesmalltext"/>
              <w:ind w:left="-33" w:firstLine="33"/>
              <w:rPr>
                <w:rFonts w:asciiTheme="minorHAnsi" w:hAnsiTheme="minorHAnsi"/>
                <w:sz w:val="22"/>
                <w:szCs w:val="22"/>
              </w:rPr>
            </w:pPr>
            <w:r>
              <w:rPr>
                <w:rFonts w:asciiTheme="minorHAnsi" w:hAnsiTheme="minorHAnsi"/>
                <w:sz w:val="22"/>
                <w:szCs w:val="22"/>
              </w:rPr>
              <w:t>Final report</w:t>
            </w:r>
          </w:p>
        </w:tc>
        <w:tc>
          <w:tcPr>
            <w:tcW w:w="1134" w:type="dxa"/>
          </w:tcPr>
          <w:p w14:paraId="3B4F84AF" w14:textId="4857C4B9" w:rsidR="0000180C" w:rsidRPr="0000180C" w:rsidRDefault="005C23DF" w:rsidP="0000180C">
            <w:pPr>
              <w:pStyle w:val="Tablesmalltext"/>
              <w:ind w:left="-33" w:firstLine="33"/>
              <w:rPr>
                <w:rFonts w:asciiTheme="minorHAnsi" w:hAnsiTheme="minorHAnsi"/>
                <w:sz w:val="22"/>
                <w:szCs w:val="22"/>
              </w:rPr>
            </w:pPr>
            <w:r>
              <w:rPr>
                <w:rFonts w:asciiTheme="minorHAnsi" w:hAnsiTheme="minorHAnsi"/>
                <w:sz w:val="22"/>
                <w:szCs w:val="22"/>
              </w:rPr>
              <w:t>authors</w:t>
            </w:r>
          </w:p>
        </w:tc>
        <w:tc>
          <w:tcPr>
            <w:tcW w:w="1241" w:type="dxa"/>
          </w:tcPr>
          <w:p w14:paraId="3B4F84B0" w14:textId="4A56B041" w:rsidR="0000180C" w:rsidRPr="0000180C" w:rsidRDefault="005C23DF" w:rsidP="0000180C">
            <w:pPr>
              <w:pStyle w:val="Tablesmalltext"/>
              <w:ind w:left="-33" w:firstLine="33"/>
              <w:rPr>
                <w:rFonts w:asciiTheme="minorHAnsi" w:hAnsiTheme="minorHAnsi"/>
                <w:sz w:val="22"/>
                <w:szCs w:val="22"/>
              </w:rPr>
            </w:pPr>
            <w:r>
              <w:rPr>
                <w:rFonts w:asciiTheme="minorHAnsi" w:hAnsiTheme="minorHAnsi"/>
                <w:sz w:val="22"/>
                <w:szCs w:val="22"/>
              </w:rPr>
              <w:t>authors</w:t>
            </w:r>
          </w:p>
        </w:tc>
        <w:tc>
          <w:tcPr>
            <w:tcW w:w="1069" w:type="dxa"/>
          </w:tcPr>
          <w:p w14:paraId="3B4F84B1" w14:textId="7AB48713" w:rsidR="0000180C" w:rsidRPr="0000180C" w:rsidRDefault="005C23DF" w:rsidP="0000180C">
            <w:pPr>
              <w:pStyle w:val="Tablesmalltext"/>
              <w:ind w:left="-33" w:firstLine="33"/>
              <w:rPr>
                <w:rFonts w:asciiTheme="minorHAnsi" w:hAnsiTheme="minorHAnsi"/>
                <w:sz w:val="22"/>
                <w:szCs w:val="22"/>
              </w:rPr>
            </w:pPr>
            <w:r>
              <w:rPr>
                <w:rFonts w:asciiTheme="minorHAnsi" w:hAnsiTheme="minorHAnsi"/>
                <w:sz w:val="22"/>
                <w:szCs w:val="22"/>
              </w:rPr>
              <w:t>Robyn Watts</w:t>
            </w:r>
          </w:p>
        </w:tc>
      </w:tr>
      <w:tr w:rsidR="0000180C" w:rsidRPr="001665D6" w14:paraId="3B4F84B9" w14:textId="77777777" w:rsidTr="008336CC">
        <w:trPr>
          <w:cantSplit/>
        </w:trPr>
        <w:tc>
          <w:tcPr>
            <w:tcW w:w="1138" w:type="dxa"/>
          </w:tcPr>
          <w:p w14:paraId="3B4F84B3" w14:textId="77777777" w:rsidR="0000180C" w:rsidRPr="0000180C" w:rsidRDefault="0000180C" w:rsidP="0000180C">
            <w:pPr>
              <w:pStyle w:val="Tablesmalltext"/>
              <w:ind w:left="-33" w:firstLine="33"/>
              <w:rPr>
                <w:rFonts w:asciiTheme="minorHAnsi" w:hAnsiTheme="minorHAnsi"/>
                <w:sz w:val="22"/>
                <w:szCs w:val="22"/>
              </w:rPr>
            </w:pPr>
          </w:p>
        </w:tc>
        <w:tc>
          <w:tcPr>
            <w:tcW w:w="1059" w:type="dxa"/>
          </w:tcPr>
          <w:p w14:paraId="3B4F84B4" w14:textId="77777777" w:rsidR="0000180C" w:rsidRPr="0000180C" w:rsidRDefault="0000180C" w:rsidP="0000180C">
            <w:pPr>
              <w:pStyle w:val="Tablesmalltext"/>
              <w:ind w:left="-33" w:firstLine="33"/>
              <w:rPr>
                <w:rFonts w:asciiTheme="minorHAnsi" w:hAnsiTheme="minorHAnsi"/>
                <w:sz w:val="22"/>
                <w:szCs w:val="22"/>
              </w:rPr>
            </w:pPr>
          </w:p>
        </w:tc>
        <w:tc>
          <w:tcPr>
            <w:tcW w:w="3332" w:type="dxa"/>
          </w:tcPr>
          <w:p w14:paraId="3B4F84B5" w14:textId="77777777" w:rsidR="0000180C" w:rsidRPr="0000180C" w:rsidRDefault="0000180C" w:rsidP="0000180C">
            <w:pPr>
              <w:pStyle w:val="Tablesmalltext"/>
              <w:ind w:left="-33" w:firstLine="33"/>
              <w:rPr>
                <w:rFonts w:asciiTheme="minorHAnsi" w:hAnsiTheme="minorHAnsi"/>
                <w:sz w:val="22"/>
                <w:szCs w:val="22"/>
              </w:rPr>
            </w:pPr>
          </w:p>
        </w:tc>
        <w:tc>
          <w:tcPr>
            <w:tcW w:w="1134" w:type="dxa"/>
          </w:tcPr>
          <w:p w14:paraId="3B4F84B6" w14:textId="77777777" w:rsidR="0000180C" w:rsidRPr="0000180C" w:rsidRDefault="0000180C" w:rsidP="0000180C">
            <w:pPr>
              <w:pStyle w:val="Tablesmalltext"/>
              <w:ind w:left="-33" w:firstLine="33"/>
              <w:rPr>
                <w:rFonts w:asciiTheme="minorHAnsi" w:hAnsiTheme="minorHAnsi"/>
                <w:sz w:val="22"/>
                <w:szCs w:val="22"/>
              </w:rPr>
            </w:pPr>
          </w:p>
        </w:tc>
        <w:tc>
          <w:tcPr>
            <w:tcW w:w="1241" w:type="dxa"/>
          </w:tcPr>
          <w:p w14:paraId="3B4F84B7" w14:textId="77777777" w:rsidR="0000180C" w:rsidRPr="0000180C" w:rsidRDefault="0000180C" w:rsidP="0000180C">
            <w:pPr>
              <w:pStyle w:val="Tablesmalltext"/>
              <w:ind w:left="-33" w:firstLine="33"/>
              <w:rPr>
                <w:rFonts w:asciiTheme="minorHAnsi" w:hAnsiTheme="minorHAnsi"/>
                <w:sz w:val="22"/>
                <w:szCs w:val="22"/>
              </w:rPr>
            </w:pPr>
          </w:p>
        </w:tc>
        <w:tc>
          <w:tcPr>
            <w:tcW w:w="1069" w:type="dxa"/>
          </w:tcPr>
          <w:p w14:paraId="3B4F84B8" w14:textId="77777777" w:rsidR="0000180C" w:rsidRPr="0000180C" w:rsidRDefault="0000180C" w:rsidP="0000180C">
            <w:pPr>
              <w:pStyle w:val="Tablesmalltext"/>
              <w:ind w:left="-33" w:firstLine="33"/>
              <w:rPr>
                <w:rFonts w:asciiTheme="minorHAnsi" w:hAnsiTheme="minorHAnsi"/>
                <w:sz w:val="22"/>
                <w:szCs w:val="22"/>
              </w:rPr>
            </w:pPr>
          </w:p>
        </w:tc>
      </w:tr>
      <w:tr w:rsidR="0000180C" w:rsidRPr="001665D6" w14:paraId="3B4F84C0" w14:textId="77777777" w:rsidTr="008336CC">
        <w:trPr>
          <w:cantSplit/>
        </w:trPr>
        <w:tc>
          <w:tcPr>
            <w:tcW w:w="1138" w:type="dxa"/>
          </w:tcPr>
          <w:p w14:paraId="3B4F84BA" w14:textId="77777777" w:rsidR="0000180C" w:rsidRPr="0000180C" w:rsidRDefault="0000180C" w:rsidP="0000180C">
            <w:pPr>
              <w:pStyle w:val="Tablesmalltext"/>
              <w:ind w:left="-33" w:firstLine="33"/>
              <w:rPr>
                <w:rFonts w:asciiTheme="minorHAnsi" w:hAnsiTheme="minorHAnsi"/>
                <w:sz w:val="22"/>
                <w:szCs w:val="22"/>
              </w:rPr>
            </w:pPr>
          </w:p>
        </w:tc>
        <w:tc>
          <w:tcPr>
            <w:tcW w:w="1059" w:type="dxa"/>
          </w:tcPr>
          <w:p w14:paraId="3B4F84BB" w14:textId="77777777" w:rsidR="0000180C" w:rsidRPr="0000180C" w:rsidRDefault="0000180C" w:rsidP="0000180C">
            <w:pPr>
              <w:pStyle w:val="Tablesmalltext"/>
              <w:ind w:left="-33" w:firstLine="33"/>
              <w:rPr>
                <w:rFonts w:asciiTheme="minorHAnsi" w:hAnsiTheme="minorHAnsi"/>
                <w:sz w:val="22"/>
                <w:szCs w:val="22"/>
              </w:rPr>
            </w:pPr>
          </w:p>
        </w:tc>
        <w:tc>
          <w:tcPr>
            <w:tcW w:w="3332" w:type="dxa"/>
          </w:tcPr>
          <w:p w14:paraId="3B4F84BC" w14:textId="77777777" w:rsidR="0000180C" w:rsidRPr="0000180C" w:rsidRDefault="0000180C" w:rsidP="0000180C">
            <w:pPr>
              <w:pStyle w:val="Tablesmalltext"/>
              <w:ind w:left="-33" w:firstLine="33"/>
              <w:rPr>
                <w:rFonts w:asciiTheme="minorHAnsi" w:hAnsiTheme="minorHAnsi"/>
                <w:sz w:val="22"/>
                <w:szCs w:val="22"/>
              </w:rPr>
            </w:pPr>
          </w:p>
        </w:tc>
        <w:tc>
          <w:tcPr>
            <w:tcW w:w="1134" w:type="dxa"/>
          </w:tcPr>
          <w:p w14:paraId="3B4F84BD" w14:textId="77777777" w:rsidR="0000180C" w:rsidRPr="0000180C" w:rsidRDefault="0000180C" w:rsidP="0000180C">
            <w:pPr>
              <w:pStyle w:val="Tablesmalltext"/>
              <w:ind w:left="-33" w:firstLine="33"/>
              <w:rPr>
                <w:rFonts w:asciiTheme="minorHAnsi" w:hAnsiTheme="minorHAnsi"/>
                <w:sz w:val="22"/>
                <w:szCs w:val="22"/>
              </w:rPr>
            </w:pPr>
          </w:p>
        </w:tc>
        <w:tc>
          <w:tcPr>
            <w:tcW w:w="1241" w:type="dxa"/>
          </w:tcPr>
          <w:p w14:paraId="3B4F84BE" w14:textId="77777777" w:rsidR="0000180C" w:rsidRPr="0000180C" w:rsidRDefault="0000180C" w:rsidP="0000180C">
            <w:pPr>
              <w:pStyle w:val="Tablesmalltext"/>
              <w:ind w:left="-33" w:firstLine="33"/>
              <w:rPr>
                <w:rFonts w:asciiTheme="minorHAnsi" w:hAnsiTheme="minorHAnsi"/>
                <w:sz w:val="22"/>
                <w:szCs w:val="22"/>
              </w:rPr>
            </w:pPr>
          </w:p>
        </w:tc>
        <w:tc>
          <w:tcPr>
            <w:tcW w:w="1069" w:type="dxa"/>
          </w:tcPr>
          <w:p w14:paraId="3B4F84BF" w14:textId="77777777" w:rsidR="0000180C" w:rsidRPr="0000180C" w:rsidRDefault="0000180C" w:rsidP="0000180C">
            <w:pPr>
              <w:pStyle w:val="Tablesmalltext"/>
              <w:ind w:left="-33" w:firstLine="33"/>
              <w:rPr>
                <w:rFonts w:asciiTheme="minorHAnsi" w:hAnsiTheme="minorHAnsi"/>
                <w:sz w:val="22"/>
                <w:szCs w:val="22"/>
              </w:rPr>
            </w:pPr>
          </w:p>
        </w:tc>
      </w:tr>
    </w:tbl>
    <w:p w14:paraId="3B4F84C1" w14:textId="77777777" w:rsidR="004D599F" w:rsidRDefault="004D599F">
      <w:pPr>
        <w:spacing w:after="0" w:line="240" w:lineRule="auto"/>
        <w:jc w:val="left"/>
        <w:rPr>
          <w:b/>
          <w:color w:val="4F6228" w:themeColor="accent3" w:themeShade="80"/>
          <w:sz w:val="36"/>
          <w:szCs w:val="36"/>
        </w:rPr>
      </w:pPr>
    </w:p>
    <w:p w14:paraId="3B4F84C2" w14:textId="77777777" w:rsidR="004D599F" w:rsidRDefault="004D599F">
      <w:pPr>
        <w:spacing w:after="0" w:line="240" w:lineRule="auto"/>
        <w:jc w:val="left"/>
        <w:rPr>
          <w:b/>
          <w:color w:val="4F6228" w:themeColor="accent3" w:themeShade="80"/>
          <w:sz w:val="36"/>
          <w:szCs w:val="36"/>
        </w:rPr>
      </w:pPr>
      <w:r>
        <w:rPr>
          <w:b/>
          <w:color w:val="4F6228" w:themeColor="accent3" w:themeShade="80"/>
          <w:sz w:val="36"/>
          <w:szCs w:val="36"/>
        </w:rPr>
        <w:br w:type="page"/>
      </w:r>
    </w:p>
    <w:p w14:paraId="3B4F84C3" w14:textId="77777777" w:rsidR="004D599F" w:rsidRDefault="004D599F" w:rsidP="004D599F">
      <w:pPr>
        <w:pStyle w:val="BodyText1"/>
        <w:spacing w:after="0" w:line="240" w:lineRule="auto"/>
        <w:rPr>
          <w:rFonts w:asciiTheme="minorHAnsi" w:hAnsiTheme="minorHAnsi" w:cstheme="minorHAnsi"/>
        </w:rPr>
      </w:pPr>
      <w:r>
        <w:rPr>
          <w:rFonts w:asciiTheme="minorHAnsi" w:hAnsiTheme="minorHAnsi" w:cstheme="minorHAnsi"/>
          <w:b/>
        </w:rPr>
        <w:lastRenderedPageBreak/>
        <w:t>Copyright</w:t>
      </w:r>
      <w:r w:rsidR="00BC4426">
        <w:rPr>
          <w:rFonts w:asciiTheme="minorHAnsi" w:hAnsiTheme="minorHAnsi" w:cstheme="minorHAnsi"/>
          <w:b/>
        </w:rPr>
        <w:t xml:space="preserve">  </w:t>
      </w:r>
      <w:r>
        <w:rPr>
          <w:rFonts w:asciiTheme="minorHAnsi" w:hAnsiTheme="minorHAnsi" w:cstheme="minorHAnsi"/>
        </w:rPr>
        <w:t>© Copyright</w:t>
      </w:r>
      <w:r w:rsidR="00CA015A">
        <w:rPr>
          <w:rFonts w:asciiTheme="minorHAnsi" w:hAnsiTheme="minorHAnsi" w:cstheme="minorHAnsi"/>
        </w:rPr>
        <w:t xml:space="preserve"> Commonwealth of Australia, 2016</w:t>
      </w:r>
    </w:p>
    <w:p w14:paraId="3B4F84C4" w14:textId="77777777" w:rsidR="004D599F" w:rsidRDefault="004D599F" w:rsidP="004D599F">
      <w:pPr>
        <w:pStyle w:val="BodyText1"/>
        <w:spacing w:after="0" w:line="240" w:lineRule="auto"/>
        <w:rPr>
          <w:rFonts w:asciiTheme="minorHAnsi" w:hAnsiTheme="minorHAnsi" w:cstheme="minorHAnsi"/>
        </w:rPr>
      </w:pPr>
      <w:r>
        <w:rPr>
          <w:rFonts w:asciiTheme="minorHAnsi" w:hAnsiTheme="minorHAnsi" w:cstheme="minorHAnsi"/>
          <w:noProof/>
          <w:lang w:eastAsia="en-AU" w:bidi="ar-SA"/>
        </w:rPr>
        <w:drawing>
          <wp:inline distT="0" distB="0" distL="0" distR="0" wp14:anchorId="3B4F95B7" wp14:editId="3B4F95B8">
            <wp:extent cx="1809750" cy="628650"/>
            <wp:effectExtent l="0" t="0" r="0" b="0"/>
            <wp:docPr id="461" name="Picture 461"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p w14:paraId="3B4F84C5" w14:textId="77777777" w:rsidR="00BC4426" w:rsidRDefault="004D599F" w:rsidP="00CB047F">
      <w:pPr>
        <w:pStyle w:val="BodyText1"/>
        <w:spacing w:after="0" w:line="240" w:lineRule="auto"/>
        <w:jc w:val="left"/>
        <w:rPr>
          <w:rFonts w:asciiTheme="minorHAnsi" w:hAnsiTheme="minorHAnsi" w:cstheme="minorHAnsi"/>
        </w:rPr>
      </w:pPr>
      <w:r>
        <w:rPr>
          <w:rFonts w:asciiTheme="minorHAnsi" w:hAnsiTheme="minorHAnsi" w:cstheme="minorHAnsi"/>
        </w:rPr>
        <w:t xml:space="preserve">‘Commonwealth Environmental Water Office Long Term Intervention Monitoring Project: Edward-Wakool </w:t>
      </w:r>
      <w:r w:rsidR="00BC4426">
        <w:rPr>
          <w:rFonts w:asciiTheme="minorHAnsi" w:hAnsiTheme="minorHAnsi" w:cstheme="minorHAnsi"/>
        </w:rPr>
        <w:t xml:space="preserve">River System </w:t>
      </w:r>
      <w:r>
        <w:rPr>
          <w:rFonts w:asciiTheme="minorHAnsi" w:hAnsiTheme="minorHAnsi" w:cstheme="minorHAnsi"/>
        </w:rPr>
        <w:t>Sele</w:t>
      </w:r>
      <w:r w:rsidR="00BC4426">
        <w:rPr>
          <w:rFonts w:asciiTheme="minorHAnsi" w:hAnsiTheme="minorHAnsi" w:cstheme="minorHAnsi"/>
        </w:rPr>
        <w:t>cted Area Evaluation Report, 2015-16</w:t>
      </w:r>
      <w:r>
        <w:rPr>
          <w:rFonts w:asciiTheme="minorHAnsi" w:hAnsiTheme="minorHAnsi" w:cstheme="minorHAnsi"/>
        </w:rPr>
        <w:t>’</w:t>
      </w:r>
      <w:r>
        <w:rPr>
          <w:bCs/>
        </w:rPr>
        <w:t xml:space="preserve"> </w:t>
      </w:r>
      <w:r>
        <w:rPr>
          <w:rFonts w:asciiTheme="minorHAnsi" w:hAnsiTheme="minorHAnsi" w:cstheme="minorHAnsi"/>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Pr>
            <w:rStyle w:val="Hyperlink"/>
            <w:rFonts w:asciiTheme="minorHAnsi" w:hAnsiTheme="minorHAnsi" w:cstheme="minorHAnsi"/>
          </w:rPr>
          <w:t>http://creativecommons.org/licenses/by/3.0/au/</w:t>
        </w:r>
      </w:hyperlink>
      <w:r w:rsidR="00BC4426">
        <w:rPr>
          <w:rFonts w:asciiTheme="minorHAnsi" w:hAnsiTheme="minorHAnsi" w:cstheme="minorHAnsi"/>
        </w:rPr>
        <w:t xml:space="preserve"> </w:t>
      </w:r>
    </w:p>
    <w:p w14:paraId="3B4F84C6" w14:textId="77777777" w:rsidR="00BC4426" w:rsidRDefault="00BC4426" w:rsidP="004D599F">
      <w:pPr>
        <w:pStyle w:val="BodyText1"/>
        <w:spacing w:after="0" w:line="240" w:lineRule="auto"/>
        <w:rPr>
          <w:rFonts w:asciiTheme="minorHAnsi" w:hAnsiTheme="minorHAnsi" w:cstheme="minorHAnsi"/>
        </w:rPr>
      </w:pPr>
      <w:r w:rsidRPr="00BC4426">
        <w:rPr>
          <w:rFonts w:asciiTheme="minorHAnsi" w:hAnsiTheme="minorHAnsi" w:cstheme="minorHAnsi"/>
          <w:b/>
        </w:rPr>
        <w:t>Citation</w:t>
      </w:r>
      <w:r>
        <w:rPr>
          <w:rFonts w:asciiTheme="minorHAnsi" w:hAnsiTheme="minorHAnsi" w:cstheme="minorHAnsi"/>
          <w:b/>
        </w:rPr>
        <w:t>:</w:t>
      </w:r>
      <w:r>
        <w:rPr>
          <w:rFonts w:asciiTheme="minorHAnsi" w:hAnsiTheme="minorHAnsi" w:cstheme="minorHAnsi"/>
        </w:rPr>
        <w:t xml:space="preserve"> </w:t>
      </w:r>
      <w:r w:rsidR="004D599F">
        <w:rPr>
          <w:rFonts w:asciiTheme="minorHAnsi" w:hAnsiTheme="minorHAnsi" w:cstheme="minorHAnsi"/>
        </w:rPr>
        <w:t xml:space="preserve"> </w:t>
      </w:r>
      <w:r>
        <w:rPr>
          <w:rFonts w:asciiTheme="minorHAnsi" w:hAnsiTheme="minorHAnsi" w:cstheme="minorHAnsi"/>
        </w:rPr>
        <w:t>This report should be attributed as</w:t>
      </w:r>
    </w:p>
    <w:p w14:paraId="3B4F84C7" w14:textId="77777777" w:rsidR="00BC4426" w:rsidRDefault="00BC4426" w:rsidP="004D599F">
      <w:pPr>
        <w:pStyle w:val="BodyText1"/>
        <w:spacing w:after="0" w:line="240" w:lineRule="auto"/>
        <w:rPr>
          <w:rFonts w:asciiTheme="minorHAnsi" w:hAnsiTheme="minorHAnsi" w:cstheme="minorHAnsi"/>
        </w:rPr>
      </w:pPr>
      <w:r w:rsidRPr="00BC4426">
        <w:rPr>
          <w:rFonts w:asciiTheme="minorHAnsi" w:hAnsiTheme="minorHAnsi"/>
          <w:bCs/>
        </w:rPr>
        <w:t>Watts, R.J., McCasker, N., Howitt, J.A., Thiem, J., Grace, M., Kopf, R.K., Healy, S., Bond, N. (2016).</w:t>
      </w:r>
      <w:r>
        <w:rPr>
          <w:bCs/>
        </w:rPr>
        <w:t xml:space="preserve"> </w:t>
      </w:r>
      <w:r w:rsidR="004D599F">
        <w:rPr>
          <w:rFonts w:asciiTheme="minorHAnsi" w:hAnsiTheme="minorHAnsi" w:cstheme="minorHAnsi"/>
        </w:rPr>
        <w:t xml:space="preserve">‘Commonwealth Environmental Water Office Long Term Intervention Monitoring Project: Edward-Wakool </w:t>
      </w:r>
      <w:r>
        <w:rPr>
          <w:rFonts w:asciiTheme="minorHAnsi" w:hAnsiTheme="minorHAnsi" w:cstheme="minorHAnsi"/>
        </w:rPr>
        <w:t xml:space="preserve">River System </w:t>
      </w:r>
      <w:r w:rsidR="004D599F">
        <w:rPr>
          <w:rFonts w:asciiTheme="minorHAnsi" w:hAnsiTheme="minorHAnsi" w:cstheme="minorHAnsi"/>
        </w:rPr>
        <w:t>Sele</w:t>
      </w:r>
      <w:r>
        <w:rPr>
          <w:rFonts w:asciiTheme="minorHAnsi" w:hAnsiTheme="minorHAnsi" w:cstheme="minorHAnsi"/>
        </w:rPr>
        <w:t xml:space="preserve">cted </w:t>
      </w:r>
      <w:r w:rsidRPr="00BC4426">
        <w:rPr>
          <w:rFonts w:asciiTheme="minorHAnsi" w:hAnsiTheme="minorHAnsi" w:cstheme="minorHAnsi"/>
        </w:rPr>
        <w:t>Area Evaluation Report, 2015-16</w:t>
      </w:r>
      <w:r w:rsidR="004D599F" w:rsidRPr="00BC4426">
        <w:rPr>
          <w:rFonts w:asciiTheme="minorHAnsi" w:hAnsiTheme="minorHAnsi" w:cstheme="minorHAnsi"/>
        </w:rPr>
        <w:t xml:space="preserve">’. </w:t>
      </w:r>
      <w:r>
        <w:rPr>
          <w:rFonts w:asciiTheme="minorHAnsi" w:hAnsiTheme="minorHAnsi"/>
          <w:bCs/>
        </w:rPr>
        <w:t xml:space="preserve">Report prepared for </w:t>
      </w:r>
      <w:r w:rsidRPr="00BC4426">
        <w:rPr>
          <w:rFonts w:asciiTheme="minorHAnsi" w:hAnsiTheme="minorHAnsi"/>
        </w:rPr>
        <w:t>Commonwealth Environmental Water</w:t>
      </w:r>
      <w:r>
        <w:rPr>
          <w:rFonts w:asciiTheme="minorHAnsi" w:hAnsiTheme="minorHAnsi"/>
        </w:rPr>
        <w:t xml:space="preserve"> Office</w:t>
      </w:r>
      <w:r w:rsidRPr="00BC4426">
        <w:rPr>
          <w:rFonts w:asciiTheme="minorHAnsi" w:hAnsiTheme="minorHAnsi"/>
        </w:rPr>
        <w:t>.</w:t>
      </w:r>
      <w:r>
        <w:rPr>
          <w:rFonts w:asciiTheme="minorHAnsi" w:hAnsiTheme="minorHAnsi"/>
        </w:rPr>
        <w:t xml:space="preserve"> Commonwealth of Australia.</w:t>
      </w:r>
    </w:p>
    <w:p w14:paraId="3B4F84C8" w14:textId="77777777" w:rsidR="004D599F" w:rsidRDefault="004D599F" w:rsidP="004D599F">
      <w:pPr>
        <w:pStyle w:val="BodyText1"/>
        <w:spacing w:after="0" w:line="240" w:lineRule="auto"/>
        <w:rPr>
          <w:rFonts w:asciiTheme="minorHAnsi" w:hAnsiTheme="minorHAnsi" w:cstheme="minorHAnsi"/>
        </w:rPr>
      </w:pPr>
      <w:r>
        <w:rPr>
          <w:rFonts w:asciiTheme="minorHAnsi" w:hAnsiTheme="minorHAnsi" w:cstheme="minorHAnsi"/>
        </w:rPr>
        <w:t>The Commonwealth of Australia has made all reasonable efforts to identify content supplied by third parties using the following format ‘© Copyright.</w:t>
      </w:r>
    </w:p>
    <w:p w14:paraId="3B4F84C9" w14:textId="77777777" w:rsidR="004D599F" w:rsidRDefault="004D599F" w:rsidP="004D599F">
      <w:pPr>
        <w:pStyle w:val="BodyText1"/>
        <w:spacing w:after="0" w:line="240" w:lineRule="auto"/>
        <w:rPr>
          <w:rFonts w:asciiTheme="minorHAnsi" w:hAnsiTheme="minorHAnsi" w:cstheme="minorHAnsi"/>
          <w:b/>
        </w:rPr>
      </w:pPr>
      <w:r>
        <w:rPr>
          <w:rFonts w:asciiTheme="minorHAnsi" w:hAnsiTheme="minorHAnsi" w:cstheme="minorHAnsi"/>
          <w:b/>
        </w:rPr>
        <w:t>Disclaimer</w:t>
      </w:r>
      <w:r w:rsidR="00BC4426">
        <w:rPr>
          <w:rFonts w:asciiTheme="minorHAnsi" w:hAnsiTheme="minorHAnsi" w:cstheme="minorHAnsi"/>
          <w:b/>
        </w:rPr>
        <w:t>:</w:t>
      </w:r>
    </w:p>
    <w:p w14:paraId="3B4F84CA" w14:textId="77777777" w:rsidR="00BC4426" w:rsidRDefault="004D599F" w:rsidP="006C0327">
      <w:pPr>
        <w:pStyle w:val="BodyText1"/>
        <w:spacing w:after="0" w:line="240" w:lineRule="auto"/>
        <w:jc w:val="left"/>
        <w:rPr>
          <w:rFonts w:asciiTheme="minorHAnsi" w:hAnsiTheme="minorHAnsi" w:cstheme="minorHAnsi"/>
        </w:rPr>
      </w:pPr>
      <w:r>
        <w:rPr>
          <w:rFonts w:asciiTheme="minorHAnsi" w:hAnsiTheme="minorHAnsi" w:cstheme="minorHAnsi"/>
        </w:rPr>
        <w:t>The views and opinions expressed in this publication are those of the authors and do not necessarily reflect those of the Australian Government or the Minister for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B4F84CB" w14:textId="77777777" w:rsidR="00BC4426" w:rsidRPr="00BC4426" w:rsidRDefault="00BC4426" w:rsidP="00BC4426">
      <w:pPr>
        <w:rPr>
          <w:lang w:eastAsia="zh-CN" w:bidi="th-TH"/>
        </w:rPr>
      </w:pPr>
    </w:p>
    <w:p w14:paraId="3B4F84CC" w14:textId="77777777" w:rsidR="00BC4426" w:rsidRDefault="00BC4426" w:rsidP="00BC4426">
      <w:pPr>
        <w:spacing w:after="0" w:line="240" w:lineRule="auto"/>
        <w:rPr>
          <w:sz w:val="20"/>
        </w:rPr>
      </w:pPr>
      <w:r>
        <w:rPr>
          <w:sz w:val="20"/>
          <w:vertAlign w:val="superscript"/>
        </w:rPr>
        <w:t xml:space="preserve">     </w:t>
      </w:r>
      <w:r>
        <w:rPr>
          <w:bCs/>
          <w:sz w:val="20"/>
        </w:rPr>
        <w:t>Institute for Land, Water and Society</w:t>
      </w:r>
      <w:r>
        <w:rPr>
          <w:sz w:val="20"/>
        </w:rPr>
        <w:t xml:space="preserve">  </w:t>
      </w:r>
      <w:r>
        <w:rPr>
          <w:sz w:val="20"/>
        </w:rPr>
        <w:tab/>
      </w:r>
      <w:r>
        <w:rPr>
          <w:sz w:val="20"/>
        </w:rPr>
        <w:tab/>
      </w:r>
      <w:r>
        <w:rPr>
          <w:sz w:val="20"/>
          <w:vertAlign w:val="superscript"/>
        </w:rPr>
        <w:t xml:space="preserve">   </w:t>
      </w:r>
      <w:r>
        <w:rPr>
          <w:rFonts w:ascii="Arial" w:hAnsi="Arial" w:cs="Arial"/>
          <w:color w:val="C20041"/>
          <w:sz w:val="20"/>
        </w:rPr>
        <w:t xml:space="preserve"> </w:t>
      </w:r>
      <w:r>
        <w:rPr>
          <w:sz w:val="20"/>
        </w:rPr>
        <w:t xml:space="preserve">NSW Department of Primary Industries </w:t>
      </w:r>
    </w:p>
    <w:p w14:paraId="3B4F84CD" w14:textId="77777777" w:rsidR="00BC4426" w:rsidRDefault="00BC4426" w:rsidP="00BC4426">
      <w:pPr>
        <w:spacing w:after="0" w:line="240" w:lineRule="auto"/>
        <w:rPr>
          <w:sz w:val="20"/>
        </w:rPr>
      </w:pPr>
      <w:r>
        <w:rPr>
          <w:sz w:val="20"/>
        </w:rPr>
        <w:t xml:space="preserve">   Charles Sturt University </w:t>
      </w:r>
      <w:r>
        <w:rPr>
          <w:sz w:val="20"/>
        </w:rPr>
        <w:tab/>
      </w:r>
      <w:r>
        <w:rPr>
          <w:sz w:val="20"/>
        </w:rPr>
        <w:tab/>
      </w:r>
      <w:r>
        <w:rPr>
          <w:sz w:val="20"/>
        </w:rPr>
        <w:tab/>
        <w:t xml:space="preserve">   </w:t>
      </w:r>
      <w:r>
        <w:rPr>
          <w:sz w:val="20"/>
        </w:rPr>
        <w:tab/>
        <w:t xml:space="preserve">   Narrandera Fisheries Centre,</w:t>
      </w:r>
    </w:p>
    <w:p w14:paraId="3B4F84CE" w14:textId="77777777" w:rsidR="00BC4426" w:rsidRDefault="00BC4426" w:rsidP="00BC4426">
      <w:pPr>
        <w:spacing w:after="0" w:line="240" w:lineRule="auto"/>
        <w:rPr>
          <w:sz w:val="20"/>
        </w:rPr>
      </w:pPr>
      <w:r>
        <w:rPr>
          <w:sz w:val="20"/>
        </w:rPr>
        <w:t xml:space="preserve">   PO Box789, Albury, NSW 2640</w:t>
      </w:r>
      <w:r>
        <w:rPr>
          <w:sz w:val="20"/>
        </w:rPr>
        <w:tab/>
      </w:r>
      <w:r>
        <w:rPr>
          <w:sz w:val="20"/>
        </w:rPr>
        <w:tab/>
      </w:r>
      <w:r>
        <w:rPr>
          <w:sz w:val="20"/>
        </w:rPr>
        <w:tab/>
        <w:t xml:space="preserve">   PO Box 182, Narrandera NSW 2700</w:t>
      </w:r>
    </w:p>
    <w:p w14:paraId="3B4F84CF" w14:textId="77777777" w:rsidR="00BC4426" w:rsidRDefault="00BC4426" w:rsidP="00BC4426">
      <w:pPr>
        <w:spacing w:after="0" w:line="240" w:lineRule="auto"/>
        <w:ind w:right="-1"/>
      </w:pPr>
      <w:r>
        <w:rPr>
          <w:noProof/>
          <w:vertAlign w:val="superscript"/>
          <w:lang w:eastAsia="en-AU"/>
        </w:rPr>
        <w:drawing>
          <wp:inline distT="0" distB="0" distL="0" distR="0" wp14:anchorId="3B4F95B9" wp14:editId="23EF2A0F">
            <wp:extent cx="1590675" cy="428625"/>
            <wp:effectExtent l="0" t="0" r="9525" b="9525"/>
            <wp:docPr id="468" name="Picture 468" descr="InstLandWaterSociety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nstLandWaterSociety Logo RGB"/>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90675" cy="428625"/>
                    </a:xfrm>
                    <a:prstGeom prst="rect">
                      <a:avLst/>
                    </a:prstGeom>
                    <a:noFill/>
                    <a:ln>
                      <a:noFill/>
                    </a:ln>
                  </pic:spPr>
                </pic:pic>
              </a:graphicData>
            </a:graphic>
          </wp:inline>
        </w:drawing>
      </w:r>
      <w:r>
        <w:t xml:space="preserve">                                    </w:t>
      </w:r>
      <w:r>
        <w:rPr>
          <w:noProof/>
          <w:lang w:eastAsia="en-AU"/>
        </w:rPr>
        <w:drawing>
          <wp:inline distT="0" distB="0" distL="0" distR="0" wp14:anchorId="3B4F95BB" wp14:editId="53099637">
            <wp:extent cx="1704975" cy="428625"/>
            <wp:effectExtent l="0" t="0" r="9525" b="9525"/>
            <wp:docPr id="467" name="Picture 467" descr="DPI_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_logo_colour_rgb.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04975" cy="428625"/>
                    </a:xfrm>
                    <a:prstGeom prst="rect">
                      <a:avLst/>
                    </a:prstGeom>
                    <a:noFill/>
                    <a:ln>
                      <a:noFill/>
                    </a:ln>
                  </pic:spPr>
                </pic:pic>
              </a:graphicData>
            </a:graphic>
          </wp:inline>
        </w:drawing>
      </w:r>
    </w:p>
    <w:p w14:paraId="3B4F84D0" w14:textId="77777777" w:rsidR="00BC4426" w:rsidRDefault="00BC4426" w:rsidP="00BC4426">
      <w:pPr>
        <w:spacing w:after="0" w:line="240" w:lineRule="auto"/>
        <w:ind w:right="-1"/>
        <w:rPr>
          <w:sz w:val="20"/>
        </w:rPr>
      </w:pPr>
    </w:p>
    <w:p w14:paraId="3B4F84D1" w14:textId="77777777" w:rsidR="00BC4426" w:rsidRDefault="00BC4426" w:rsidP="00BC4426">
      <w:pPr>
        <w:spacing w:after="0" w:line="240" w:lineRule="auto"/>
        <w:ind w:right="-1"/>
        <w:rPr>
          <w:sz w:val="20"/>
          <w:vertAlign w:val="superscript"/>
        </w:rPr>
      </w:pPr>
      <w:r>
        <w:rPr>
          <w:sz w:val="20"/>
          <w:vertAlign w:val="superscript"/>
        </w:rPr>
        <w:t xml:space="preserve"> </w:t>
      </w:r>
      <w:r>
        <w:rPr>
          <w:sz w:val="20"/>
        </w:rPr>
        <w:t xml:space="preserve">  Water Studies Centre</w:t>
      </w: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t xml:space="preserve">    </w:t>
      </w:r>
      <w:r>
        <w:rPr>
          <w:sz w:val="20"/>
        </w:rPr>
        <w:t>NSW Office of Environment and Heritage</w:t>
      </w:r>
    </w:p>
    <w:p w14:paraId="3B4F84D2" w14:textId="77777777" w:rsidR="00BC4426" w:rsidRDefault="00BC4426" w:rsidP="00BC4426">
      <w:pPr>
        <w:spacing w:after="0" w:line="240" w:lineRule="auto"/>
        <w:ind w:right="-1"/>
        <w:jc w:val="left"/>
        <w:rPr>
          <w:sz w:val="20"/>
        </w:rPr>
      </w:pPr>
      <w:r>
        <w:rPr>
          <w:sz w:val="20"/>
        </w:rPr>
        <w:t xml:space="preserve">   Monash University,</w:t>
      </w:r>
      <w:r>
        <w:rPr>
          <w:sz w:val="20"/>
        </w:rPr>
        <w:tab/>
      </w:r>
      <w:r>
        <w:rPr>
          <w:sz w:val="20"/>
        </w:rPr>
        <w:tab/>
      </w:r>
      <w:r>
        <w:rPr>
          <w:sz w:val="20"/>
        </w:rPr>
        <w:tab/>
      </w:r>
      <w:r>
        <w:rPr>
          <w:sz w:val="20"/>
        </w:rPr>
        <w:tab/>
        <w:t xml:space="preserve">   PO Box 363, Buronga NSW 2739</w:t>
      </w:r>
    </w:p>
    <w:p w14:paraId="3B4F84D3" w14:textId="77777777" w:rsidR="00BC4426" w:rsidRDefault="00BC4426" w:rsidP="00BC4426">
      <w:pPr>
        <w:spacing w:after="0" w:line="240" w:lineRule="auto"/>
        <w:ind w:right="-1"/>
        <w:jc w:val="left"/>
        <w:rPr>
          <w:sz w:val="20"/>
        </w:rPr>
      </w:pPr>
      <w:r>
        <w:rPr>
          <w:sz w:val="20"/>
        </w:rPr>
        <w:t xml:space="preserve">   Clayton, Victoria, 3800</w:t>
      </w:r>
    </w:p>
    <w:p w14:paraId="3B4F84D4" w14:textId="77777777" w:rsidR="00BC4426" w:rsidRDefault="00BC4426" w:rsidP="00BC4426">
      <w:pPr>
        <w:spacing w:after="0" w:line="240" w:lineRule="auto"/>
        <w:ind w:right="-1"/>
        <w:jc w:val="left"/>
      </w:pPr>
      <w:r>
        <w:rPr>
          <w:noProof/>
          <w:lang w:eastAsia="en-AU"/>
        </w:rPr>
        <w:drawing>
          <wp:anchor distT="0" distB="0" distL="114300" distR="114300" simplePos="0" relativeHeight="251720703" behindDoc="0" locked="0" layoutInCell="1" allowOverlap="1" wp14:anchorId="3B4F95BD" wp14:editId="31D4A362">
            <wp:simplePos x="0" y="0"/>
            <wp:positionH relativeFrom="column">
              <wp:posOffset>-139700</wp:posOffset>
            </wp:positionH>
            <wp:positionV relativeFrom="paragraph">
              <wp:posOffset>52070</wp:posOffset>
            </wp:positionV>
            <wp:extent cx="2266950" cy="395605"/>
            <wp:effectExtent l="0" t="0" r="0" b="444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9" cstate="email">
                      <a:extLst>
                        <a:ext uri="{28A0092B-C50C-407E-A947-70E740481C1C}">
                          <a14:useLocalDpi xmlns:a14="http://schemas.microsoft.com/office/drawing/2010/main"/>
                        </a:ext>
                      </a:extLst>
                    </a:blip>
                    <a:srcRect t="14999"/>
                    <a:stretch>
                      <a:fillRect/>
                    </a:stretch>
                  </pic:blipFill>
                  <pic:spPr bwMode="auto">
                    <a:xfrm>
                      <a:off x="0" y="0"/>
                      <a:ext cx="2266950" cy="395605"/>
                    </a:xfrm>
                    <a:prstGeom prst="rect">
                      <a:avLst/>
                    </a:prstGeom>
                    <a:noFill/>
                  </pic:spPr>
                </pic:pic>
              </a:graphicData>
            </a:graphic>
          </wp:anchor>
        </w:drawing>
      </w:r>
      <w:r>
        <w:t xml:space="preserve">                                                                                        </w:t>
      </w:r>
      <w:r>
        <w:rPr>
          <w:noProof/>
          <w:lang w:eastAsia="en-AU"/>
        </w:rPr>
        <w:drawing>
          <wp:inline distT="0" distB="0" distL="0" distR="0" wp14:anchorId="3B4F95BF" wp14:editId="0D6AED68">
            <wp:extent cx="1304925" cy="447675"/>
            <wp:effectExtent l="0" t="0" r="9525" b="9525"/>
            <wp:docPr id="463" name="Picture 463" descr="OEH2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H2Colou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04925" cy="447675"/>
                    </a:xfrm>
                    <a:prstGeom prst="rect">
                      <a:avLst/>
                    </a:prstGeom>
                    <a:noFill/>
                    <a:ln>
                      <a:noFill/>
                    </a:ln>
                  </pic:spPr>
                </pic:pic>
              </a:graphicData>
            </a:graphic>
          </wp:inline>
        </w:drawing>
      </w:r>
    </w:p>
    <w:p w14:paraId="3B4F84D5" w14:textId="77777777" w:rsidR="00BC4426" w:rsidRDefault="00BC4426" w:rsidP="00BC4426">
      <w:pPr>
        <w:spacing w:after="0" w:line="240" w:lineRule="auto"/>
        <w:ind w:right="-1"/>
        <w:jc w:val="left"/>
      </w:pPr>
    </w:p>
    <w:p w14:paraId="3B4F84D6" w14:textId="77777777" w:rsidR="00BC4426" w:rsidRDefault="00BC4426" w:rsidP="00BC4426">
      <w:pPr>
        <w:spacing w:after="0" w:line="240" w:lineRule="auto"/>
        <w:rPr>
          <w:sz w:val="20"/>
        </w:rPr>
      </w:pPr>
      <w:r>
        <w:rPr>
          <w:sz w:val="20"/>
          <w:vertAlign w:val="superscript"/>
        </w:rPr>
        <w:t xml:space="preserve"> </w:t>
      </w:r>
      <w:r>
        <w:rPr>
          <w:sz w:val="20"/>
        </w:rPr>
        <w:t xml:space="preserve">  Australian Rivers Institute</w:t>
      </w:r>
    </w:p>
    <w:p w14:paraId="3B4F84D7" w14:textId="77777777" w:rsidR="00BC4426" w:rsidRDefault="00BC4426" w:rsidP="00BC4426">
      <w:pPr>
        <w:spacing w:after="120" w:line="240" w:lineRule="auto"/>
      </w:pPr>
      <w:r>
        <w:rPr>
          <w:sz w:val="20"/>
        </w:rPr>
        <w:t xml:space="preserve">   Griffith University, Nathan, Qld, 4111</w:t>
      </w:r>
    </w:p>
    <w:p w14:paraId="3B4F84D8" w14:textId="77777777" w:rsidR="00350B90" w:rsidRDefault="00BC4426">
      <w:pPr>
        <w:spacing w:after="0" w:line="240" w:lineRule="auto"/>
        <w:jc w:val="left"/>
        <w:rPr>
          <w:rFonts w:ascii="Century Gothic" w:eastAsia="Times New Roman" w:hAnsi="Century Gothic" w:cs="Angsana New"/>
          <w:szCs w:val="22"/>
          <w:lang w:eastAsia="zh-CN" w:bidi="th-TH"/>
        </w:rPr>
      </w:pPr>
      <w:r>
        <w:rPr>
          <w:noProof/>
          <w:sz w:val="24"/>
          <w:szCs w:val="24"/>
          <w:vertAlign w:val="superscript"/>
          <w:lang w:eastAsia="en-AU"/>
        </w:rPr>
        <w:drawing>
          <wp:inline distT="0" distB="0" distL="0" distR="0" wp14:anchorId="3B4F95C1" wp14:editId="5A2262EE">
            <wp:extent cx="1543050" cy="438150"/>
            <wp:effectExtent l="0" t="0" r="0" b="0"/>
            <wp:docPr id="462" name="Picture 462" descr="Griff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Griffith.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43050" cy="438150"/>
                    </a:xfrm>
                    <a:prstGeom prst="rect">
                      <a:avLst/>
                    </a:prstGeom>
                    <a:noFill/>
                    <a:ln>
                      <a:noFill/>
                    </a:ln>
                  </pic:spPr>
                </pic:pic>
              </a:graphicData>
            </a:graphic>
          </wp:inline>
        </w:drawing>
      </w:r>
      <w:r w:rsidR="004D599F">
        <w:br w:type="page"/>
      </w:r>
    </w:p>
    <w:sdt>
      <w:sdtPr>
        <w:rPr>
          <w:rFonts w:ascii="Calibri" w:eastAsia="Calibri" w:hAnsi="Calibri" w:cs="Times New Roman"/>
          <w:b/>
          <w:noProof/>
          <w:szCs w:val="20"/>
          <w:lang w:eastAsia="en-US" w:bidi="ar-SA"/>
        </w:rPr>
        <w:id w:val="1063846258"/>
        <w:docPartObj>
          <w:docPartGallery w:val="Table of Contents"/>
          <w:docPartUnique/>
        </w:docPartObj>
      </w:sdtPr>
      <w:sdtContent>
        <w:p w14:paraId="3B4F84D9" w14:textId="77777777" w:rsidR="004D403B" w:rsidRPr="00995192" w:rsidRDefault="004D403B" w:rsidP="00995192">
          <w:pPr>
            <w:pStyle w:val="BodyText1"/>
            <w:rPr>
              <w:b/>
              <w:color w:val="4F6228" w:themeColor="accent3" w:themeShade="80"/>
              <w:sz w:val="32"/>
              <w:szCs w:val="32"/>
            </w:rPr>
          </w:pPr>
          <w:r w:rsidRPr="00995192">
            <w:rPr>
              <w:b/>
              <w:color w:val="4F6228" w:themeColor="accent3" w:themeShade="80"/>
              <w:sz w:val="32"/>
              <w:szCs w:val="32"/>
            </w:rPr>
            <w:t>Contents</w:t>
          </w:r>
        </w:p>
        <w:p w14:paraId="5305F5AE" w14:textId="77777777" w:rsidR="005C3AB4" w:rsidRDefault="000B5FD7">
          <w:pPr>
            <w:pStyle w:val="TOC1"/>
            <w:rPr>
              <w:rFonts w:asciiTheme="minorHAnsi" w:eastAsiaTheme="minorEastAsia" w:hAnsiTheme="minorHAnsi" w:cstheme="minorBidi"/>
              <w:b w:val="0"/>
              <w:szCs w:val="22"/>
              <w:lang w:eastAsia="en-AU"/>
            </w:rPr>
          </w:pPr>
          <w:r>
            <w:fldChar w:fldCharType="begin"/>
          </w:r>
          <w:r w:rsidR="004D403B">
            <w:instrText xml:space="preserve"> TOC \o "1-3" \h \z \u </w:instrText>
          </w:r>
          <w:r>
            <w:fldChar w:fldCharType="separate"/>
          </w:r>
          <w:hyperlink w:anchor="_Toc484078403" w:history="1">
            <w:r w:rsidR="005C3AB4" w:rsidRPr="00A307BF">
              <w:rPr>
                <w:rStyle w:val="Hyperlink"/>
              </w:rPr>
              <w:t>1.</w:t>
            </w:r>
            <w:r w:rsidR="005C3AB4">
              <w:rPr>
                <w:rFonts w:asciiTheme="minorHAnsi" w:eastAsiaTheme="minorEastAsia" w:hAnsiTheme="minorHAnsi" w:cstheme="minorBidi"/>
                <w:b w:val="0"/>
                <w:szCs w:val="22"/>
                <w:lang w:eastAsia="en-AU"/>
              </w:rPr>
              <w:tab/>
            </w:r>
            <w:r w:rsidR="005C3AB4" w:rsidRPr="00A307BF">
              <w:rPr>
                <w:rStyle w:val="Hyperlink"/>
              </w:rPr>
              <w:t>Introduction</w:t>
            </w:r>
            <w:r w:rsidR="005C3AB4">
              <w:rPr>
                <w:webHidden/>
              </w:rPr>
              <w:tab/>
            </w:r>
            <w:r w:rsidR="005C3AB4">
              <w:rPr>
                <w:webHidden/>
              </w:rPr>
              <w:fldChar w:fldCharType="begin"/>
            </w:r>
            <w:r w:rsidR="005C3AB4">
              <w:rPr>
                <w:webHidden/>
              </w:rPr>
              <w:instrText xml:space="preserve"> PAGEREF _Toc484078403 \h </w:instrText>
            </w:r>
            <w:r w:rsidR="005C3AB4">
              <w:rPr>
                <w:webHidden/>
              </w:rPr>
            </w:r>
            <w:r w:rsidR="005C3AB4">
              <w:rPr>
                <w:webHidden/>
              </w:rPr>
              <w:fldChar w:fldCharType="separate"/>
            </w:r>
            <w:r w:rsidR="0060539F">
              <w:rPr>
                <w:webHidden/>
              </w:rPr>
              <w:t>9</w:t>
            </w:r>
            <w:r w:rsidR="005C3AB4">
              <w:rPr>
                <w:webHidden/>
              </w:rPr>
              <w:fldChar w:fldCharType="end"/>
            </w:r>
          </w:hyperlink>
        </w:p>
        <w:p w14:paraId="26AEFBC4" w14:textId="77777777" w:rsidR="005C3AB4" w:rsidRDefault="00176965">
          <w:pPr>
            <w:pStyle w:val="TOC1"/>
            <w:rPr>
              <w:rFonts w:asciiTheme="minorHAnsi" w:eastAsiaTheme="minorEastAsia" w:hAnsiTheme="minorHAnsi" w:cstheme="minorBidi"/>
              <w:b w:val="0"/>
              <w:szCs w:val="22"/>
              <w:lang w:eastAsia="en-AU"/>
            </w:rPr>
          </w:pPr>
          <w:hyperlink w:anchor="_Toc484078404" w:history="1">
            <w:r w:rsidR="005C3AB4" w:rsidRPr="00A307BF">
              <w:rPr>
                <w:rStyle w:val="Hyperlink"/>
              </w:rPr>
              <w:t>2.</w:t>
            </w:r>
            <w:r w:rsidR="005C3AB4">
              <w:rPr>
                <w:rFonts w:asciiTheme="minorHAnsi" w:eastAsiaTheme="minorEastAsia" w:hAnsiTheme="minorHAnsi" w:cstheme="minorBidi"/>
                <w:b w:val="0"/>
                <w:szCs w:val="22"/>
                <w:lang w:eastAsia="en-AU"/>
              </w:rPr>
              <w:tab/>
            </w:r>
            <w:r w:rsidR="005C3AB4" w:rsidRPr="00A307BF">
              <w:rPr>
                <w:rStyle w:val="Hyperlink"/>
              </w:rPr>
              <w:t>Commonwealth environmental water use objectives and watering actions in the Edward-Wakool system 2015-16</w:t>
            </w:r>
            <w:r w:rsidR="005C3AB4">
              <w:rPr>
                <w:webHidden/>
              </w:rPr>
              <w:tab/>
            </w:r>
            <w:r w:rsidR="005C3AB4">
              <w:rPr>
                <w:webHidden/>
              </w:rPr>
              <w:fldChar w:fldCharType="begin"/>
            </w:r>
            <w:r w:rsidR="005C3AB4">
              <w:rPr>
                <w:webHidden/>
              </w:rPr>
              <w:instrText xml:space="preserve"> PAGEREF _Toc484078404 \h </w:instrText>
            </w:r>
            <w:r w:rsidR="005C3AB4">
              <w:rPr>
                <w:webHidden/>
              </w:rPr>
            </w:r>
            <w:r w:rsidR="005C3AB4">
              <w:rPr>
                <w:webHidden/>
              </w:rPr>
              <w:fldChar w:fldCharType="separate"/>
            </w:r>
            <w:r w:rsidR="0060539F">
              <w:rPr>
                <w:webHidden/>
              </w:rPr>
              <w:t>14</w:t>
            </w:r>
            <w:r w:rsidR="005C3AB4">
              <w:rPr>
                <w:webHidden/>
              </w:rPr>
              <w:fldChar w:fldCharType="end"/>
            </w:r>
          </w:hyperlink>
        </w:p>
        <w:p w14:paraId="21FD42BB" w14:textId="77777777" w:rsidR="005C3AB4" w:rsidRDefault="00176965">
          <w:pPr>
            <w:pStyle w:val="TOC1"/>
            <w:rPr>
              <w:rFonts w:asciiTheme="minorHAnsi" w:eastAsiaTheme="minorEastAsia" w:hAnsiTheme="minorHAnsi" w:cstheme="minorBidi"/>
              <w:b w:val="0"/>
              <w:szCs w:val="22"/>
              <w:lang w:eastAsia="en-AU"/>
            </w:rPr>
          </w:pPr>
          <w:hyperlink w:anchor="_Toc484078405" w:history="1">
            <w:r w:rsidR="005C3AB4" w:rsidRPr="00A307BF">
              <w:rPr>
                <w:rStyle w:val="Hyperlink"/>
              </w:rPr>
              <w:t>3.</w:t>
            </w:r>
            <w:r w:rsidR="005C3AB4">
              <w:rPr>
                <w:rFonts w:asciiTheme="minorHAnsi" w:eastAsiaTheme="minorEastAsia" w:hAnsiTheme="minorHAnsi" w:cstheme="minorBidi"/>
                <w:b w:val="0"/>
                <w:szCs w:val="22"/>
                <w:lang w:eastAsia="en-AU"/>
              </w:rPr>
              <w:tab/>
            </w:r>
            <w:r w:rsidR="005C3AB4" w:rsidRPr="00A307BF">
              <w:rPr>
                <w:rStyle w:val="Hyperlink"/>
              </w:rPr>
              <w:t>Monitoring and evaluation</w:t>
            </w:r>
            <w:r w:rsidR="005C3AB4">
              <w:rPr>
                <w:webHidden/>
              </w:rPr>
              <w:tab/>
            </w:r>
            <w:r w:rsidR="005C3AB4">
              <w:rPr>
                <w:webHidden/>
              </w:rPr>
              <w:fldChar w:fldCharType="begin"/>
            </w:r>
            <w:r w:rsidR="005C3AB4">
              <w:rPr>
                <w:webHidden/>
              </w:rPr>
              <w:instrText xml:space="preserve"> PAGEREF _Toc484078405 \h </w:instrText>
            </w:r>
            <w:r w:rsidR="005C3AB4">
              <w:rPr>
                <w:webHidden/>
              </w:rPr>
            </w:r>
            <w:r w:rsidR="005C3AB4">
              <w:rPr>
                <w:webHidden/>
              </w:rPr>
              <w:fldChar w:fldCharType="separate"/>
            </w:r>
            <w:r w:rsidR="0060539F">
              <w:rPr>
                <w:webHidden/>
              </w:rPr>
              <w:t>21</w:t>
            </w:r>
            <w:r w:rsidR="005C3AB4">
              <w:rPr>
                <w:webHidden/>
              </w:rPr>
              <w:fldChar w:fldCharType="end"/>
            </w:r>
          </w:hyperlink>
        </w:p>
        <w:p w14:paraId="0BF5C013" w14:textId="77777777" w:rsidR="005C3AB4" w:rsidRDefault="00176965">
          <w:pPr>
            <w:pStyle w:val="TOC1"/>
            <w:rPr>
              <w:rFonts w:asciiTheme="minorHAnsi" w:eastAsiaTheme="minorEastAsia" w:hAnsiTheme="minorHAnsi" w:cstheme="minorBidi"/>
              <w:b w:val="0"/>
              <w:szCs w:val="22"/>
              <w:lang w:eastAsia="en-AU"/>
            </w:rPr>
          </w:pPr>
          <w:hyperlink w:anchor="_Toc484078406" w:history="1">
            <w:r w:rsidR="005C3AB4" w:rsidRPr="00A307BF">
              <w:rPr>
                <w:rStyle w:val="Hyperlink"/>
              </w:rPr>
              <w:t>4.</w:t>
            </w:r>
            <w:r w:rsidR="005C3AB4">
              <w:rPr>
                <w:rFonts w:asciiTheme="minorHAnsi" w:eastAsiaTheme="minorEastAsia" w:hAnsiTheme="minorHAnsi" w:cstheme="minorBidi"/>
                <w:b w:val="0"/>
                <w:szCs w:val="22"/>
                <w:lang w:eastAsia="en-AU"/>
              </w:rPr>
              <w:tab/>
            </w:r>
            <w:r w:rsidR="005C3AB4" w:rsidRPr="00A307BF">
              <w:rPr>
                <w:rStyle w:val="Hyperlink"/>
              </w:rPr>
              <w:t>Hydrological outcomes of Commonwealth environmental water delivered in 2015-16</w:t>
            </w:r>
            <w:r w:rsidR="005C3AB4">
              <w:rPr>
                <w:webHidden/>
              </w:rPr>
              <w:tab/>
            </w:r>
            <w:r w:rsidR="005C3AB4">
              <w:rPr>
                <w:webHidden/>
              </w:rPr>
              <w:fldChar w:fldCharType="begin"/>
            </w:r>
            <w:r w:rsidR="005C3AB4">
              <w:rPr>
                <w:webHidden/>
              </w:rPr>
              <w:instrText xml:space="preserve"> PAGEREF _Toc484078406 \h </w:instrText>
            </w:r>
            <w:r w:rsidR="005C3AB4">
              <w:rPr>
                <w:webHidden/>
              </w:rPr>
            </w:r>
            <w:r w:rsidR="005C3AB4">
              <w:rPr>
                <w:webHidden/>
              </w:rPr>
              <w:fldChar w:fldCharType="separate"/>
            </w:r>
            <w:r w:rsidR="0060539F">
              <w:rPr>
                <w:webHidden/>
              </w:rPr>
              <w:t>28</w:t>
            </w:r>
            <w:r w:rsidR="005C3AB4">
              <w:rPr>
                <w:webHidden/>
              </w:rPr>
              <w:fldChar w:fldCharType="end"/>
            </w:r>
          </w:hyperlink>
        </w:p>
        <w:p w14:paraId="6DD65EF5" w14:textId="77777777" w:rsidR="005C3AB4" w:rsidRDefault="00176965">
          <w:pPr>
            <w:pStyle w:val="TOC1"/>
            <w:rPr>
              <w:rFonts w:asciiTheme="minorHAnsi" w:eastAsiaTheme="minorEastAsia" w:hAnsiTheme="minorHAnsi" w:cstheme="minorBidi"/>
              <w:b w:val="0"/>
              <w:szCs w:val="22"/>
              <w:lang w:eastAsia="en-AU"/>
            </w:rPr>
          </w:pPr>
          <w:hyperlink w:anchor="_Toc484078407" w:history="1">
            <w:r w:rsidR="005C3AB4" w:rsidRPr="00A307BF">
              <w:rPr>
                <w:rStyle w:val="Hyperlink"/>
              </w:rPr>
              <w:t>5.</w:t>
            </w:r>
            <w:r w:rsidR="005C3AB4">
              <w:rPr>
                <w:rFonts w:asciiTheme="minorHAnsi" w:eastAsiaTheme="minorEastAsia" w:hAnsiTheme="minorHAnsi" w:cstheme="minorBidi"/>
                <w:b w:val="0"/>
                <w:szCs w:val="22"/>
                <w:lang w:eastAsia="en-AU"/>
              </w:rPr>
              <w:tab/>
            </w:r>
            <w:r w:rsidR="005C3AB4" w:rsidRPr="00A307BF">
              <w:rPr>
                <w:rStyle w:val="Hyperlink"/>
              </w:rPr>
              <w:t>Summary of water quality and carbon responses to Commonwealth environmental watering</w:t>
            </w:r>
            <w:r w:rsidR="005C3AB4">
              <w:rPr>
                <w:webHidden/>
              </w:rPr>
              <w:tab/>
            </w:r>
            <w:r w:rsidR="005C3AB4">
              <w:rPr>
                <w:webHidden/>
              </w:rPr>
              <w:fldChar w:fldCharType="begin"/>
            </w:r>
            <w:r w:rsidR="005C3AB4">
              <w:rPr>
                <w:webHidden/>
              </w:rPr>
              <w:instrText xml:space="preserve"> PAGEREF _Toc484078407 \h </w:instrText>
            </w:r>
            <w:r w:rsidR="005C3AB4">
              <w:rPr>
                <w:webHidden/>
              </w:rPr>
            </w:r>
            <w:r w:rsidR="005C3AB4">
              <w:rPr>
                <w:webHidden/>
              </w:rPr>
              <w:fldChar w:fldCharType="separate"/>
            </w:r>
            <w:r w:rsidR="0060539F">
              <w:rPr>
                <w:webHidden/>
              </w:rPr>
              <w:t>33</w:t>
            </w:r>
            <w:r w:rsidR="005C3AB4">
              <w:rPr>
                <w:webHidden/>
              </w:rPr>
              <w:fldChar w:fldCharType="end"/>
            </w:r>
          </w:hyperlink>
        </w:p>
        <w:p w14:paraId="5405D6D6" w14:textId="77777777" w:rsidR="005C3AB4" w:rsidRDefault="00176965">
          <w:pPr>
            <w:pStyle w:val="TOC1"/>
            <w:rPr>
              <w:rFonts w:asciiTheme="minorHAnsi" w:eastAsiaTheme="minorEastAsia" w:hAnsiTheme="minorHAnsi" w:cstheme="minorBidi"/>
              <w:b w:val="0"/>
              <w:szCs w:val="22"/>
              <w:lang w:eastAsia="en-AU"/>
            </w:rPr>
          </w:pPr>
          <w:hyperlink w:anchor="_Toc484078408" w:history="1">
            <w:r w:rsidR="005C3AB4" w:rsidRPr="00A307BF">
              <w:rPr>
                <w:rStyle w:val="Hyperlink"/>
              </w:rPr>
              <w:t>6.</w:t>
            </w:r>
            <w:r w:rsidR="005C3AB4">
              <w:rPr>
                <w:rFonts w:asciiTheme="minorHAnsi" w:eastAsiaTheme="minorEastAsia" w:hAnsiTheme="minorHAnsi" w:cstheme="minorBidi"/>
                <w:b w:val="0"/>
                <w:szCs w:val="22"/>
                <w:lang w:eastAsia="en-AU"/>
              </w:rPr>
              <w:tab/>
            </w:r>
            <w:r w:rsidR="005C3AB4" w:rsidRPr="00A307BF">
              <w:rPr>
                <w:rStyle w:val="Hyperlink"/>
              </w:rPr>
              <w:t>Summary of stream metabolism responses to Commonwealth environmental watering</w:t>
            </w:r>
            <w:r w:rsidR="005C3AB4">
              <w:rPr>
                <w:webHidden/>
              </w:rPr>
              <w:tab/>
            </w:r>
            <w:r w:rsidR="005C3AB4">
              <w:rPr>
                <w:webHidden/>
              </w:rPr>
              <w:fldChar w:fldCharType="begin"/>
            </w:r>
            <w:r w:rsidR="005C3AB4">
              <w:rPr>
                <w:webHidden/>
              </w:rPr>
              <w:instrText xml:space="preserve"> PAGEREF _Toc484078408 \h </w:instrText>
            </w:r>
            <w:r w:rsidR="005C3AB4">
              <w:rPr>
                <w:webHidden/>
              </w:rPr>
            </w:r>
            <w:r w:rsidR="005C3AB4">
              <w:rPr>
                <w:webHidden/>
              </w:rPr>
              <w:fldChar w:fldCharType="separate"/>
            </w:r>
            <w:r w:rsidR="0060539F">
              <w:rPr>
                <w:webHidden/>
              </w:rPr>
              <w:t>38</w:t>
            </w:r>
            <w:r w:rsidR="005C3AB4">
              <w:rPr>
                <w:webHidden/>
              </w:rPr>
              <w:fldChar w:fldCharType="end"/>
            </w:r>
          </w:hyperlink>
        </w:p>
        <w:p w14:paraId="7F0FB711" w14:textId="77777777" w:rsidR="005C3AB4" w:rsidRDefault="00176965">
          <w:pPr>
            <w:pStyle w:val="TOC1"/>
            <w:rPr>
              <w:rFonts w:asciiTheme="minorHAnsi" w:eastAsiaTheme="minorEastAsia" w:hAnsiTheme="minorHAnsi" w:cstheme="minorBidi"/>
              <w:b w:val="0"/>
              <w:szCs w:val="22"/>
              <w:lang w:eastAsia="en-AU"/>
            </w:rPr>
          </w:pPr>
          <w:hyperlink w:anchor="_Toc484078409" w:history="1">
            <w:r w:rsidR="005C3AB4" w:rsidRPr="00A307BF">
              <w:rPr>
                <w:rStyle w:val="Hyperlink"/>
              </w:rPr>
              <w:t>7.</w:t>
            </w:r>
            <w:r w:rsidR="005C3AB4">
              <w:rPr>
                <w:rFonts w:asciiTheme="minorHAnsi" w:eastAsiaTheme="minorEastAsia" w:hAnsiTheme="minorHAnsi" w:cstheme="minorBidi"/>
                <w:b w:val="0"/>
                <w:szCs w:val="22"/>
                <w:lang w:eastAsia="en-AU"/>
              </w:rPr>
              <w:tab/>
            </w:r>
            <w:r w:rsidR="005C3AB4" w:rsidRPr="00A307BF">
              <w:rPr>
                <w:rStyle w:val="Hyperlink"/>
              </w:rPr>
              <w:t>Summary of aquatic and riverbank vegetation responses to Commonwealth environmental watering</w:t>
            </w:r>
            <w:r w:rsidR="005C3AB4">
              <w:rPr>
                <w:webHidden/>
              </w:rPr>
              <w:tab/>
            </w:r>
            <w:r w:rsidR="005C3AB4">
              <w:rPr>
                <w:webHidden/>
              </w:rPr>
              <w:fldChar w:fldCharType="begin"/>
            </w:r>
            <w:r w:rsidR="005C3AB4">
              <w:rPr>
                <w:webHidden/>
              </w:rPr>
              <w:instrText xml:space="preserve"> PAGEREF _Toc484078409 \h </w:instrText>
            </w:r>
            <w:r w:rsidR="005C3AB4">
              <w:rPr>
                <w:webHidden/>
              </w:rPr>
            </w:r>
            <w:r w:rsidR="005C3AB4">
              <w:rPr>
                <w:webHidden/>
              </w:rPr>
              <w:fldChar w:fldCharType="separate"/>
            </w:r>
            <w:r w:rsidR="0060539F">
              <w:rPr>
                <w:webHidden/>
              </w:rPr>
              <w:t>41</w:t>
            </w:r>
            <w:r w:rsidR="005C3AB4">
              <w:rPr>
                <w:webHidden/>
              </w:rPr>
              <w:fldChar w:fldCharType="end"/>
            </w:r>
          </w:hyperlink>
        </w:p>
        <w:p w14:paraId="18EEF386" w14:textId="77777777" w:rsidR="005C3AB4" w:rsidRDefault="00176965">
          <w:pPr>
            <w:pStyle w:val="TOC1"/>
            <w:rPr>
              <w:rFonts w:asciiTheme="minorHAnsi" w:eastAsiaTheme="minorEastAsia" w:hAnsiTheme="minorHAnsi" w:cstheme="minorBidi"/>
              <w:b w:val="0"/>
              <w:szCs w:val="22"/>
              <w:lang w:eastAsia="en-AU"/>
            </w:rPr>
          </w:pPr>
          <w:hyperlink w:anchor="_Toc484078410" w:history="1">
            <w:r w:rsidR="005C3AB4" w:rsidRPr="00A307BF">
              <w:rPr>
                <w:rStyle w:val="Hyperlink"/>
              </w:rPr>
              <w:t>8.</w:t>
            </w:r>
            <w:r w:rsidR="005C3AB4">
              <w:rPr>
                <w:rFonts w:asciiTheme="minorHAnsi" w:eastAsiaTheme="minorEastAsia" w:hAnsiTheme="minorHAnsi" w:cstheme="minorBidi"/>
                <w:b w:val="0"/>
                <w:szCs w:val="22"/>
                <w:lang w:eastAsia="en-AU"/>
              </w:rPr>
              <w:tab/>
            </w:r>
            <w:r w:rsidR="005C3AB4" w:rsidRPr="00A307BF">
              <w:rPr>
                <w:rStyle w:val="Hyperlink"/>
              </w:rPr>
              <w:t>Summary of fish movement responses to Commonwealth environmental watering</w:t>
            </w:r>
            <w:r w:rsidR="005C3AB4">
              <w:rPr>
                <w:webHidden/>
              </w:rPr>
              <w:tab/>
            </w:r>
            <w:r w:rsidR="005C3AB4">
              <w:rPr>
                <w:webHidden/>
              </w:rPr>
              <w:fldChar w:fldCharType="begin"/>
            </w:r>
            <w:r w:rsidR="005C3AB4">
              <w:rPr>
                <w:webHidden/>
              </w:rPr>
              <w:instrText xml:space="preserve"> PAGEREF _Toc484078410 \h </w:instrText>
            </w:r>
            <w:r w:rsidR="005C3AB4">
              <w:rPr>
                <w:webHidden/>
              </w:rPr>
            </w:r>
            <w:r w:rsidR="005C3AB4">
              <w:rPr>
                <w:webHidden/>
              </w:rPr>
              <w:fldChar w:fldCharType="separate"/>
            </w:r>
            <w:r w:rsidR="0060539F">
              <w:rPr>
                <w:webHidden/>
              </w:rPr>
              <w:t>45</w:t>
            </w:r>
            <w:r w:rsidR="005C3AB4">
              <w:rPr>
                <w:webHidden/>
              </w:rPr>
              <w:fldChar w:fldCharType="end"/>
            </w:r>
          </w:hyperlink>
        </w:p>
        <w:p w14:paraId="22012855" w14:textId="77777777" w:rsidR="005C3AB4" w:rsidRDefault="00176965">
          <w:pPr>
            <w:pStyle w:val="TOC1"/>
            <w:rPr>
              <w:rFonts w:asciiTheme="minorHAnsi" w:eastAsiaTheme="minorEastAsia" w:hAnsiTheme="minorHAnsi" w:cstheme="minorBidi"/>
              <w:b w:val="0"/>
              <w:szCs w:val="22"/>
              <w:lang w:eastAsia="en-AU"/>
            </w:rPr>
          </w:pPr>
          <w:hyperlink w:anchor="_Toc484078411" w:history="1">
            <w:r w:rsidR="005C3AB4" w:rsidRPr="00A307BF">
              <w:rPr>
                <w:rStyle w:val="Hyperlink"/>
              </w:rPr>
              <w:t>9.</w:t>
            </w:r>
            <w:r w:rsidR="005C3AB4">
              <w:rPr>
                <w:rFonts w:asciiTheme="minorHAnsi" w:eastAsiaTheme="minorEastAsia" w:hAnsiTheme="minorHAnsi" w:cstheme="minorBidi"/>
                <w:b w:val="0"/>
                <w:szCs w:val="22"/>
                <w:lang w:eastAsia="en-AU"/>
              </w:rPr>
              <w:tab/>
            </w:r>
            <w:r w:rsidR="005C3AB4" w:rsidRPr="00A307BF">
              <w:rPr>
                <w:rStyle w:val="Hyperlink"/>
              </w:rPr>
              <w:t>Summary of fish spawning responses to Commonwealth environmental watering</w:t>
            </w:r>
            <w:r w:rsidR="005C3AB4">
              <w:rPr>
                <w:webHidden/>
              </w:rPr>
              <w:tab/>
            </w:r>
            <w:r w:rsidR="005C3AB4">
              <w:rPr>
                <w:webHidden/>
              </w:rPr>
              <w:fldChar w:fldCharType="begin"/>
            </w:r>
            <w:r w:rsidR="005C3AB4">
              <w:rPr>
                <w:webHidden/>
              </w:rPr>
              <w:instrText xml:space="preserve"> PAGEREF _Toc484078411 \h </w:instrText>
            </w:r>
            <w:r w:rsidR="005C3AB4">
              <w:rPr>
                <w:webHidden/>
              </w:rPr>
            </w:r>
            <w:r w:rsidR="005C3AB4">
              <w:rPr>
                <w:webHidden/>
              </w:rPr>
              <w:fldChar w:fldCharType="separate"/>
            </w:r>
            <w:r w:rsidR="0060539F">
              <w:rPr>
                <w:webHidden/>
              </w:rPr>
              <w:t>50</w:t>
            </w:r>
            <w:r w:rsidR="005C3AB4">
              <w:rPr>
                <w:webHidden/>
              </w:rPr>
              <w:fldChar w:fldCharType="end"/>
            </w:r>
          </w:hyperlink>
        </w:p>
        <w:p w14:paraId="217517C0" w14:textId="77777777" w:rsidR="005C3AB4" w:rsidRDefault="00176965">
          <w:pPr>
            <w:pStyle w:val="TOC1"/>
            <w:rPr>
              <w:rFonts w:asciiTheme="minorHAnsi" w:eastAsiaTheme="minorEastAsia" w:hAnsiTheme="minorHAnsi" w:cstheme="minorBidi"/>
              <w:b w:val="0"/>
              <w:szCs w:val="22"/>
              <w:lang w:eastAsia="en-AU"/>
            </w:rPr>
          </w:pPr>
          <w:hyperlink w:anchor="_Toc484078412" w:history="1">
            <w:r w:rsidR="005C3AB4" w:rsidRPr="00A307BF">
              <w:rPr>
                <w:rStyle w:val="Hyperlink"/>
              </w:rPr>
              <w:t>10.</w:t>
            </w:r>
            <w:r w:rsidR="005C3AB4">
              <w:rPr>
                <w:rFonts w:asciiTheme="minorHAnsi" w:eastAsiaTheme="minorEastAsia" w:hAnsiTheme="minorHAnsi" w:cstheme="minorBidi"/>
                <w:b w:val="0"/>
                <w:szCs w:val="22"/>
                <w:lang w:eastAsia="en-AU"/>
              </w:rPr>
              <w:tab/>
            </w:r>
            <w:r w:rsidR="005C3AB4" w:rsidRPr="00A307BF">
              <w:rPr>
                <w:rStyle w:val="Hyperlink"/>
              </w:rPr>
              <w:t>Summary of Murray cod, golden perch and silver perch recruitment and early life-history growth responses to Commonwealth environmental watering</w:t>
            </w:r>
            <w:r w:rsidR="005C3AB4">
              <w:rPr>
                <w:webHidden/>
              </w:rPr>
              <w:tab/>
            </w:r>
            <w:r w:rsidR="005C3AB4">
              <w:rPr>
                <w:webHidden/>
              </w:rPr>
              <w:fldChar w:fldCharType="begin"/>
            </w:r>
            <w:r w:rsidR="005C3AB4">
              <w:rPr>
                <w:webHidden/>
              </w:rPr>
              <w:instrText xml:space="preserve"> PAGEREF _Toc484078412 \h </w:instrText>
            </w:r>
            <w:r w:rsidR="005C3AB4">
              <w:rPr>
                <w:webHidden/>
              </w:rPr>
            </w:r>
            <w:r w:rsidR="005C3AB4">
              <w:rPr>
                <w:webHidden/>
              </w:rPr>
              <w:fldChar w:fldCharType="separate"/>
            </w:r>
            <w:r w:rsidR="0060539F">
              <w:rPr>
                <w:webHidden/>
              </w:rPr>
              <w:t>54</w:t>
            </w:r>
            <w:r w:rsidR="005C3AB4">
              <w:rPr>
                <w:webHidden/>
              </w:rPr>
              <w:fldChar w:fldCharType="end"/>
            </w:r>
          </w:hyperlink>
        </w:p>
        <w:p w14:paraId="241CF68C" w14:textId="77777777" w:rsidR="005C3AB4" w:rsidRDefault="00176965">
          <w:pPr>
            <w:pStyle w:val="TOC1"/>
            <w:rPr>
              <w:rFonts w:asciiTheme="minorHAnsi" w:eastAsiaTheme="minorEastAsia" w:hAnsiTheme="minorHAnsi" w:cstheme="minorBidi"/>
              <w:b w:val="0"/>
              <w:szCs w:val="22"/>
              <w:lang w:eastAsia="en-AU"/>
            </w:rPr>
          </w:pPr>
          <w:hyperlink w:anchor="_Toc484078413" w:history="1">
            <w:r w:rsidR="005C3AB4" w:rsidRPr="00A307BF">
              <w:rPr>
                <w:rStyle w:val="Hyperlink"/>
              </w:rPr>
              <w:t>11.</w:t>
            </w:r>
            <w:r w:rsidR="005C3AB4">
              <w:rPr>
                <w:rFonts w:asciiTheme="minorHAnsi" w:eastAsiaTheme="minorEastAsia" w:hAnsiTheme="minorHAnsi" w:cstheme="minorBidi"/>
                <w:b w:val="0"/>
                <w:szCs w:val="22"/>
                <w:lang w:eastAsia="en-AU"/>
              </w:rPr>
              <w:tab/>
            </w:r>
            <w:r w:rsidR="005C3AB4" w:rsidRPr="00A307BF">
              <w:rPr>
                <w:rStyle w:val="Hyperlink"/>
              </w:rPr>
              <w:t>Summary of fish community responses to Commonwealth environmental watering</w:t>
            </w:r>
            <w:r w:rsidR="005C3AB4">
              <w:rPr>
                <w:webHidden/>
              </w:rPr>
              <w:tab/>
            </w:r>
            <w:r w:rsidR="005C3AB4">
              <w:rPr>
                <w:webHidden/>
              </w:rPr>
              <w:fldChar w:fldCharType="begin"/>
            </w:r>
            <w:r w:rsidR="005C3AB4">
              <w:rPr>
                <w:webHidden/>
              </w:rPr>
              <w:instrText xml:space="preserve"> PAGEREF _Toc484078413 \h </w:instrText>
            </w:r>
            <w:r w:rsidR="005C3AB4">
              <w:rPr>
                <w:webHidden/>
              </w:rPr>
            </w:r>
            <w:r w:rsidR="005C3AB4">
              <w:rPr>
                <w:webHidden/>
              </w:rPr>
              <w:fldChar w:fldCharType="separate"/>
            </w:r>
            <w:r w:rsidR="0060539F">
              <w:rPr>
                <w:webHidden/>
              </w:rPr>
              <w:t>57</w:t>
            </w:r>
            <w:r w:rsidR="005C3AB4">
              <w:rPr>
                <w:webHidden/>
              </w:rPr>
              <w:fldChar w:fldCharType="end"/>
            </w:r>
          </w:hyperlink>
        </w:p>
        <w:p w14:paraId="062B0B84" w14:textId="77777777" w:rsidR="005C3AB4" w:rsidRDefault="00176965">
          <w:pPr>
            <w:pStyle w:val="TOC1"/>
            <w:rPr>
              <w:rFonts w:asciiTheme="minorHAnsi" w:eastAsiaTheme="minorEastAsia" w:hAnsiTheme="minorHAnsi" w:cstheme="minorBidi"/>
              <w:b w:val="0"/>
              <w:szCs w:val="22"/>
              <w:lang w:eastAsia="en-AU"/>
            </w:rPr>
          </w:pPr>
          <w:hyperlink w:anchor="_Toc484078414" w:history="1">
            <w:r w:rsidR="005C3AB4" w:rsidRPr="00A307BF">
              <w:rPr>
                <w:rStyle w:val="Hyperlink"/>
              </w:rPr>
              <w:t>12.</w:t>
            </w:r>
            <w:r w:rsidR="005C3AB4">
              <w:rPr>
                <w:rFonts w:asciiTheme="minorHAnsi" w:eastAsiaTheme="minorEastAsia" w:hAnsiTheme="minorHAnsi" w:cstheme="minorBidi"/>
                <w:b w:val="0"/>
                <w:szCs w:val="22"/>
                <w:lang w:eastAsia="en-AU"/>
              </w:rPr>
              <w:tab/>
            </w:r>
            <w:r w:rsidR="005C3AB4" w:rsidRPr="00A307BF">
              <w:rPr>
                <w:rStyle w:val="Hyperlink"/>
              </w:rPr>
              <w:t>Synthesis</w:t>
            </w:r>
            <w:r w:rsidR="005C3AB4">
              <w:rPr>
                <w:webHidden/>
              </w:rPr>
              <w:tab/>
            </w:r>
            <w:r w:rsidR="005C3AB4">
              <w:rPr>
                <w:webHidden/>
              </w:rPr>
              <w:fldChar w:fldCharType="begin"/>
            </w:r>
            <w:r w:rsidR="005C3AB4">
              <w:rPr>
                <w:webHidden/>
              </w:rPr>
              <w:instrText xml:space="preserve"> PAGEREF _Toc484078414 \h </w:instrText>
            </w:r>
            <w:r w:rsidR="005C3AB4">
              <w:rPr>
                <w:webHidden/>
              </w:rPr>
            </w:r>
            <w:r w:rsidR="005C3AB4">
              <w:rPr>
                <w:webHidden/>
              </w:rPr>
              <w:fldChar w:fldCharType="separate"/>
            </w:r>
            <w:r w:rsidR="0060539F">
              <w:rPr>
                <w:webHidden/>
              </w:rPr>
              <w:t>59</w:t>
            </w:r>
            <w:r w:rsidR="005C3AB4">
              <w:rPr>
                <w:webHidden/>
              </w:rPr>
              <w:fldChar w:fldCharType="end"/>
            </w:r>
          </w:hyperlink>
        </w:p>
        <w:p w14:paraId="3C657256" w14:textId="77777777" w:rsidR="005C3AB4" w:rsidRDefault="00176965">
          <w:pPr>
            <w:pStyle w:val="TOC1"/>
            <w:rPr>
              <w:rFonts w:asciiTheme="minorHAnsi" w:eastAsiaTheme="minorEastAsia" w:hAnsiTheme="minorHAnsi" w:cstheme="minorBidi"/>
              <w:b w:val="0"/>
              <w:szCs w:val="22"/>
              <w:lang w:eastAsia="en-AU"/>
            </w:rPr>
          </w:pPr>
          <w:hyperlink w:anchor="_Toc484078415" w:history="1">
            <w:r w:rsidR="005C3AB4" w:rsidRPr="00A307BF">
              <w:rPr>
                <w:rStyle w:val="Hyperlink"/>
              </w:rPr>
              <w:t>13.</w:t>
            </w:r>
            <w:r w:rsidR="005C3AB4">
              <w:rPr>
                <w:rFonts w:asciiTheme="minorHAnsi" w:eastAsiaTheme="minorEastAsia" w:hAnsiTheme="minorHAnsi" w:cstheme="minorBidi"/>
                <w:b w:val="0"/>
                <w:szCs w:val="22"/>
                <w:lang w:eastAsia="en-AU"/>
              </w:rPr>
              <w:tab/>
            </w:r>
            <w:r w:rsidR="005C3AB4" w:rsidRPr="00A307BF">
              <w:rPr>
                <w:rStyle w:val="Hyperlink"/>
              </w:rPr>
              <w:t>Recommendations for the adaptive management and future use of Commonwealth environmental water</w:t>
            </w:r>
            <w:r w:rsidR="005C3AB4">
              <w:rPr>
                <w:webHidden/>
              </w:rPr>
              <w:tab/>
            </w:r>
            <w:r w:rsidR="005C3AB4">
              <w:rPr>
                <w:webHidden/>
              </w:rPr>
              <w:fldChar w:fldCharType="begin"/>
            </w:r>
            <w:r w:rsidR="005C3AB4">
              <w:rPr>
                <w:webHidden/>
              </w:rPr>
              <w:instrText xml:space="preserve"> PAGEREF _Toc484078415 \h </w:instrText>
            </w:r>
            <w:r w:rsidR="005C3AB4">
              <w:rPr>
                <w:webHidden/>
              </w:rPr>
            </w:r>
            <w:r w:rsidR="005C3AB4">
              <w:rPr>
                <w:webHidden/>
              </w:rPr>
              <w:fldChar w:fldCharType="separate"/>
            </w:r>
            <w:r w:rsidR="0060539F">
              <w:rPr>
                <w:webHidden/>
              </w:rPr>
              <w:t>63</w:t>
            </w:r>
            <w:r w:rsidR="005C3AB4">
              <w:rPr>
                <w:webHidden/>
              </w:rPr>
              <w:fldChar w:fldCharType="end"/>
            </w:r>
          </w:hyperlink>
        </w:p>
        <w:p w14:paraId="1AE02D9A" w14:textId="77777777" w:rsidR="005C3AB4" w:rsidRDefault="00176965">
          <w:pPr>
            <w:pStyle w:val="TOC1"/>
            <w:rPr>
              <w:rFonts w:asciiTheme="minorHAnsi" w:eastAsiaTheme="minorEastAsia" w:hAnsiTheme="minorHAnsi" w:cstheme="minorBidi"/>
              <w:b w:val="0"/>
              <w:szCs w:val="22"/>
              <w:lang w:eastAsia="en-AU"/>
            </w:rPr>
          </w:pPr>
          <w:hyperlink w:anchor="_Toc484078416" w:history="1">
            <w:r w:rsidR="005C3AB4" w:rsidRPr="00A307BF">
              <w:rPr>
                <w:rStyle w:val="Hyperlink"/>
              </w:rPr>
              <w:t>14.</w:t>
            </w:r>
            <w:r w:rsidR="005C3AB4">
              <w:rPr>
                <w:rFonts w:asciiTheme="minorHAnsi" w:eastAsiaTheme="minorEastAsia" w:hAnsiTheme="minorHAnsi" w:cstheme="minorBidi"/>
                <w:b w:val="0"/>
                <w:szCs w:val="22"/>
                <w:lang w:eastAsia="en-AU"/>
              </w:rPr>
              <w:tab/>
            </w:r>
            <w:r w:rsidR="005C3AB4" w:rsidRPr="00A307BF">
              <w:rPr>
                <w:rStyle w:val="Hyperlink"/>
              </w:rPr>
              <w:t>Acknowledgements</w:t>
            </w:r>
            <w:r w:rsidR="005C3AB4">
              <w:rPr>
                <w:webHidden/>
              </w:rPr>
              <w:tab/>
            </w:r>
            <w:r w:rsidR="005C3AB4">
              <w:rPr>
                <w:webHidden/>
              </w:rPr>
              <w:fldChar w:fldCharType="begin"/>
            </w:r>
            <w:r w:rsidR="005C3AB4">
              <w:rPr>
                <w:webHidden/>
              </w:rPr>
              <w:instrText xml:space="preserve"> PAGEREF _Toc484078416 \h </w:instrText>
            </w:r>
            <w:r w:rsidR="005C3AB4">
              <w:rPr>
                <w:webHidden/>
              </w:rPr>
            </w:r>
            <w:r w:rsidR="005C3AB4">
              <w:rPr>
                <w:webHidden/>
              </w:rPr>
              <w:fldChar w:fldCharType="separate"/>
            </w:r>
            <w:r w:rsidR="0060539F">
              <w:rPr>
                <w:webHidden/>
              </w:rPr>
              <w:t>73</w:t>
            </w:r>
            <w:r w:rsidR="005C3AB4">
              <w:rPr>
                <w:webHidden/>
              </w:rPr>
              <w:fldChar w:fldCharType="end"/>
            </w:r>
          </w:hyperlink>
        </w:p>
        <w:p w14:paraId="2542370D" w14:textId="77777777" w:rsidR="005C3AB4" w:rsidRDefault="00176965">
          <w:pPr>
            <w:pStyle w:val="TOC1"/>
            <w:rPr>
              <w:rFonts w:asciiTheme="minorHAnsi" w:eastAsiaTheme="minorEastAsia" w:hAnsiTheme="minorHAnsi" w:cstheme="minorBidi"/>
              <w:b w:val="0"/>
              <w:szCs w:val="22"/>
              <w:lang w:eastAsia="en-AU"/>
            </w:rPr>
          </w:pPr>
          <w:hyperlink w:anchor="_Toc484078417" w:history="1">
            <w:r w:rsidR="005C3AB4" w:rsidRPr="00A307BF">
              <w:rPr>
                <w:rStyle w:val="Hyperlink"/>
              </w:rPr>
              <w:t>15.</w:t>
            </w:r>
            <w:r w:rsidR="005C3AB4">
              <w:rPr>
                <w:rFonts w:asciiTheme="minorHAnsi" w:eastAsiaTheme="minorEastAsia" w:hAnsiTheme="minorHAnsi" w:cstheme="minorBidi"/>
                <w:b w:val="0"/>
                <w:szCs w:val="22"/>
                <w:lang w:eastAsia="en-AU"/>
              </w:rPr>
              <w:tab/>
            </w:r>
            <w:r w:rsidR="005C3AB4" w:rsidRPr="00A307BF">
              <w:rPr>
                <w:rStyle w:val="Hyperlink"/>
              </w:rPr>
              <w:t>References</w:t>
            </w:r>
            <w:r w:rsidR="005C3AB4">
              <w:rPr>
                <w:webHidden/>
              </w:rPr>
              <w:tab/>
            </w:r>
            <w:r w:rsidR="005C3AB4">
              <w:rPr>
                <w:webHidden/>
              </w:rPr>
              <w:fldChar w:fldCharType="begin"/>
            </w:r>
            <w:r w:rsidR="005C3AB4">
              <w:rPr>
                <w:webHidden/>
              </w:rPr>
              <w:instrText xml:space="preserve"> PAGEREF _Toc484078417 \h </w:instrText>
            </w:r>
            <w:r w:rsidR="005C3AB4">
              <w:rPr>
                <w:webHidden/>
              </w:rPr>
            </w:r>
            <w:r w:rsidR="005C3AB4">
              <w:rPr>
                <w:webHidden/>
              </w:rPr>
              <w:fldChar w:fldCharType="separate"/>
            </w:r>
            <w:r w:rsidR="0060539F">
              <w:rPr>
                <w:webHidden/>
              </w:rPr>
              <w:t>73</w:t>
            </w:r>
            <w:r w:rsidR="005C3AB4">
              <w:rPr>
                <w:webHidden/>
              </w:rPr>
              <w:fldChar w:fldCharType="end"/>
            </w:r>
          </w:hyperlink>
        </w:p>
        <w:p w14:paraId="7846B9D9" w14:textId="77777777" w:rsidR="005C3AB4" w:rsidRDefault="00176965">
          <w:pPr>
            <w:pStyle w:val="TOC1"/>
            <w:rPr>
              <w:rFonts w:asciiTheme="minorHAnsi" w:eastAsiaTheme="minorEastAsia" w:hAnsiTheme="minorHAnsi" w:cstheme="minorBidi"/>
              <w:b w:val="0"/>
              <w:szCs w:val="22"/>
              <w:lang w:eastAsia="en-AU"/>
            </w:rPr>
          </w:pPr>
          <w:hyperlink w:anchor="_Toc484078418" w:history="1">
            <w:r w:rsidR="005C3AB4" w:rsidRPr="00A307BF">
              <w:rPr>
                <w:rStyle w:val="Hyperlink"/>
              </w:rPr>
              <w:t>16.</w:t>
            </w:r>
            <w:r w:rsidR="005C3AB4">
              <w:rPr>
                <w:rFonts w:asciiTheme="minorHAnsi" w:eastAsiaTheme="minorEastAsia" w:hAnsiTheme="minorHAnsi" w:cstheme="minorBidi"/>
                <w:b w:val="0"/>
                <w:szCs w:val="22"/>
                <w:lang w:eastAsia="en-AU"/>
              </w:rPr>
              <w:tab/>
            </w:r>
            <w:r w:rsidR="005C3AB4" w:rsidRPr="00A307BF">
              <w:rPr>
                <w:rStyle w:val="Hyperlink"/>
              </w:rPr>
              <w:t>Appendix A: Water Quality &amp; Carbon</w:t>
            </w:r>
            <w:r w:rsidR="005C3AB4">
              <w:rPr>
                <w:webHidden/>
              </w:rPr>
              <w:tab/>
            </w:r>
            <w:r w:rsidR="005C3AB4">
              <w:rPr>
                <w:webHidden/>
              </w:rPr>
              <w:fldChar w:fldCharType="begin"/>
            </w:r>
            <w:r w:rsidR="005C3AB4">
              <w:rPr>
                <w:webHidden/>
              </w:rPr>
              <w:instrText xml:space="preserve"> PAGEREF _Toc484078418 \h </w:instrText>
            </w:r>
            <w:r w:rsidR="005C3AB4">
              <w:rPr>
                <w:webHidden/>
              </w:rPr>
            </w:r>
            <w:r w:rsidR="005C3AB4">
              <w:rPr>
                <w:webHidden/>
              </w:rPr>
              <w:fldChar w:fldCharType="separate"/>
            </w:r>
            <w:r w:rsidR="0060539F">
              <w:rPr>
                <w:webHidden/>
              </w:rPr>
              <w:t>77</w:t>
            </w:r>
            <w:r w:rsidR="005C3AB4">
              <w:rPr>
                <w:webHidden/>
              </w:rPr>
              <w:fldChar w:fldCharType="end"/>
            </w:r>
          </w:hyperlink>
        </w:p>
        <w:p w14:paraId="4C54A8A7" w14:textId="77777777" w:rsidR="005C3AB4" w:rsidRDefault="00176965">
          <w:pPr>
            <w:pStyle w:val="TOC1"/>
            <w:rPr>
              <w:rFonts w:asciiTheme="minorHAnsi" w:eastAsiaTheme="minorEastAsia" w:hAnsiTheme="minorHAnsi" w:cstheme="minorBidi"/>
              <w:b w:val="0"/>
              <w:szCs w:val="22"/>
              <w:lang w:eastAsia="en-AU"/>
            </w:rPr>
          </w:pPr>
          <w:hyperlink w:anchor="_Toc484078419" w:history="1">
            <w:r w:rsidR="005C3AB4" w:rsidRPr="00A307BF">
              <w:rPr>
                <w:rStyle w:val="Hyperlink"/>
              </w:rPr>
              <w:t>17.</w:t>
            </w:r>
            <w:r w:rsidR="005C3AB4">
              <w:rPr>
                <w:rFonts w:asciiTheme="minorHAnsi" w:eastAsiaTheme="minorEastAsia" w:hAnsiTheme="minorHAnsi" w:cstheme="minorBidi"/>
                <w:b w:val="0"/>
                <w:szCs w:val="22"/>
                <w:lang w:eastAsia="en-AU"/>
              </w:rPr>
              <w:tab/>
            </w:r>
            <w:r w:rsidR="005C3AB4" w:rsidRPr="00A307BF">
              <w:rPr>
                <w:rStyle w:val="Hyperlink"/>
              </w:rPr>
              <w:t>Appendix B: Stream Metabolism</w:t>
            </w:r>
            <w:r w:rsidR="005C3AB4">
              <w:rPr>
                <w:webHidden/>
              </w:rPr>
              <w:tab/>
            </w:r>
            <w:r w:rsidR="005C3AB4">
              <w:rPr>
                <w:webHidden/>
              </w:rPr>
              <w:fldChar w:fldCharType="begin"/>
            </w:r>
            <w:r w:rsidR="005C3AB4">
              <w:rPr>
                <w:webHidden/>
              </w:rPr>
              <w:instrText xml:space="preserve"> PAGEREF _Toc484078419 \h </w:instrText>
            </w:r>
            <w:r w:rsidR="005C3AB4">
              <w:rPr>
                <w:webHidden/>
              </w:rPr>
            </w:r>
            <w:r w:rsidR="005C3AB4">
              <w:rPr>
                <w:webHidden/>
              </w:rPr>
              <w:fldChar w:fldCharType="separate"/>
            </w:r>
            <w:r w:rsidR="0060539F">
              <w:rPr>
                <w:webHidden/>
              </w:rPr>
              <w:t>112</w:t>
            </w:r>
            <w:r w:rsidR="005C3AB4">
              <w:rPr>
                <w:webHidden/>
              </w:rPr>
              <w:fldChar w:fldCharType="end"/>
            </w:r>
          </w:hyperlink>
        </w:p>
        <w:p w14:paraId="66D6DB05" w14:textId="77777777" w:rsidR="005C3AB4" w:rsidRDefault="00176965">
          <w:pPr>
            <w:pStyle w:val="TOC1"/>
            <w:rPr>
              <w:rFonts w:asciiTheme="minorHAnsi" w:eastAsiaTheme="minorEastAsia" w:hAnsiTheme="minorHAnsi" w:cstheme="minorBidi"/>
              <w:b w:val="0"/>
              <w:szCs w:val="22"/>
              <w:lang w:eastAsia="en-AU"/>
            </w:rPr>
          </w:pPr>
          <w:hyperlink w:anchor="_Toc484078420" w:history="1">
            <w:r w:rsidR="005C3AB4" w:rsidRPr="00A307BF">
              <w:rPr>
                <w:rStyle w:val="Hyperlink"/>
              </w:rPr>
              <w:t>18.</w:t>
            </w:r>
            <w:r w:rsidR="005C3AB4">
              <w:rPr>
                <w:rFonts w:asciiTheme="minorHAnsi" w:eastAsiaTheme="minorEastAsia" w:hAnsiTheme="minorHAnsi" w:cstheme="minorBidi"/>
                <w:b w:val="0"/>
                <w:szCs w:val="22"/>
                <w:lang w:eastAsia="en-AU"/>
              </w:rPr>
              <w:tab/>
            </w:r>
            <w:r w:rsidR="005C3AB4" w:rsidRPr="00A307BF">
              <w:rPr>
                <w:rStyle w:val="Hyperlink"/>
              </w:rPr>
              <w:t>Appendix C: Riverbank &amp; Aquatic Vegetation</w:t>
            </w:r>
            <w:r w:rsidR="005C3AB4">
              <w:rPr>
                <w:webHidden/>
              </w:rPr>
              <w:tab/>
            </w:r>
            <w:r w:rsidR="005C3AB4">
              <w:rPr>
                <w:webHidden/>
              </w:rPr>
              <w:fldChar w:fldCharType="begin"/>
            </w:r>
            <w:r w:rsidR="005C3AB4">
              <w:rPr>
                <w:webHidden/>
              </w:rPr>
              <w:instrText xml:space="preserve"> PAGEREF _Toc484078420 \h </w:instrText>
            </w:r>
            <w:r w:rsidR="005C3AB4">
              <w:rPr>
                <w:webHidden/>
              </w:rPr>
            </w:r>
            <w:r w:rsidR="005C3AB4">
              <w:rPr>
                <w:webHidden/>
              </w:rPr>
              <w:fldChar w:fldCharType="separate"/>
            </w:r>
            <w:r w:rsidR="0060539F">
              <w:rPr>
                <w:webHidden/>
              </w:rPr>
              <w:t>122</w:t>
            </w:r>
            <w:r w:rsidR="005C3AB4">
              <w:rPr>
                <w:webHidden/>
              </w:rPr>
              <w:fldChar w:fldCharType="end"/>
            </w:r>
          </w:hyperlink>
        </w:p>
        <w:p w14:paraId="5B9D2C2D" w14:textId="77777777" w:rsidR="005C3AB4" w:rsidRDefault="00176965">
          <w:pPr>
            <w:pStyle w:val="TOC1"/>
            <w:rPr>
              <w:rFonts w:asciiTheme="minorHAnsi" w:eastAsiaTheme="minorEastAsia" w:hAnsiTheme="minorHAnsi" w:cstheme="minorBidi"/>
              <w:b w:val="0"/>
              <w:szCs w:val="22"/>
              <w:lang w:eastAsia="en-AU"/>
            </w:rPr>
          </w:pPr>
          <w:hyperlink w:anchor="_Toc484078421" w:history="1">
            <w:r w:rsidR="005C3AB4" w:rsidRPr="00A307BF">
              <w:rPr>
                <w:rStyle w:val="Hyperlink"/>
              </w:rPr>
              <w:t>20.</w:t>
            </w:r>
            <w:r w:rsidR="005C3AB4">
              <w:rPr>
                <w:rFonts w:asciiTheme="minorHAnsi" w:eastAsiaTheme="minorEastAsia" w:hAnsiTheme="minorHAnsi" w:cstheme="minorBidi"/>
                <w:b w:val="0"/>
                <w:szCs w:val="22"/>
                <w:lang w:eastAsia="en-AU"/>
              </w:rPr>
              <w:tab/>
            </w:r>
            <w:r w:rsidR="005C3AB4" w:rsidRPr="00A307BF">
              <w:rPr>
                <w:rStyle w:val="Hyperlink"/>
              </w:rPr>
              <w:t>Appendix D: Fish</w:t>
            </w:r>
            <w:r w:rsidR="005C3AB4">
              <w:rPr>
                <w:webHidden/>
              </w:rPr>
              <w:tab/>
            </w:r>
            <w:r w:rsidR="005C3AB4">
              <w:rPr>
                <w:webHidden/>
              </w:rPr>
              <w:fldChar w:fldCharType="begin"/>
            </w:r>
            <w:r w:rsidR="005C3AB4">
              <w:rPr>
                <w:webHidden/>
              </w:rPr>
              <w:instrText xml:space="preserve"> PAGEREF _Toc484078421 \h </w:instrText>
            </w:r>
            <w:r w:rsidR="005C3AB4">
              <w:rPr>
                <w:webHidden/>
              </w:rPr>
            </w:r>
            <w:r w:rsidR="005C3AB4">
              <w:rPr>
                <w:webHidden/>
              </w:rPr>
              <w:fldChar w:fldCharType="separate"/>
            </w:r>
            <w:r w:rsidR="0060539F">
              <w:rPr>
                <w:webHidden/>
              </w:rPr>
              <w:t>138</w:t>
            </w:r>
            <w:r w:rsidR="005C3AB4">
              <w:rPr>
                <w:webHidden/>
              </w:rPr>
              <w:fldChar w:fldCharType="end"/>
            </w:r>
          </w:hyperlink>
        </w:p>
        <w:p w14:paraId="37B4A0A0" w14:textId="77777777" w:rsidR="005C3AB4" w:rsidRDefault="00176965">
          <w:pPr>
            <w:pStyle w:val="TOC1"/>
            <w:rPr>
              <w:rFonts w:asciiTheme="minorHAnsi" w:eastAsiaTheme="minorEastAsia" w:hAnsiTheme="minorHAnsi" w:cstheme="minorBidi"/>
              <w:b w:val="0"/>
              <w:szCs w:val="22"/>
              <w:lang w:eastAsia="en-AU"/>
            </w:rPr>
          </w:pPr>
          <w:hyperlink w:anchor="_Toc484078422" w:history="1">
            <w:r w:rsidR="005C3AB4" w:rsidRPr="00A307BF">
              <w:rPr>
                <w:rStyle w:val="Hyperlink"/>
              </w:rPr>
              <w:t>21.</w:t>
            </w:r>
            <w:r w:rsidR="005C3AB4">
              <w:rPr>
                <w:rFonts w:asciiTheme="minorHAnsi" w:eastAsiaTheme="minorEastAsia" w:hAnsiTheme="minorHAnsi" w:cstheme="minorBidi"/>
                <w:b w:val="0"/>
                <w:szCs w:val="22"/>
                <w:lang w:eastAsia="en-AU"/>
              </w:rPr>
              <w:tab/>
            </w:r>
            <w:r w:rsidR="005C3AB4" w:rsidRPr="00A307BF">
              <w:rPr>
                <w:rStyle w:val="Hyperlink"/>
              </w:rPr>
              <w:t>Appendix E: References for Appendices</w:t>
            </w:r>
            <w:r w:rsidR="005C3AB4">
              <w:rPr>
                <w:webHidden/>
              </w:rPr>
              <w:tab/>
            </w:r>
            <w:r w:rsidR="005C3AB4">
              <w:rPr>
                <w:webHidden/>
              </w:rPr>
              <w:fldChar w:fldCharType="begin"/>
            </w:r>
            <w:r w:rsidR="005C3AB4">
              <w:rPr>
                <w:webHidden/>
              </w:rPr>
              <w:instrText xml:space="preserve"> PAGEREF _Toc484078422 \h </w:instrText>
            </w:r>
            <w:r w:rsidR="005C3AB4">
              <w:rPr>
                <w:webHidden/>
              </w:rPr>
            </w:r>
            <w:r w:rsidR="005C3AB4">
              <w:rPr>
                <w:webHidden/>
              </w:rPr>
              <w:fldChar w:fldCharType="separate"/>
            </w:r>
            <w:r w:rsidR="0060539F">
              <w:rPr>
                <w:webHidden/>
              </w:rPr>
              <w:t>171</w:t>
            </w:r>
            <w:r w:rsidR="005C3AB4">
              <w:rPr>
                <w:webHidden/>
              </w:rPr>
              <w:fldChar w:fldCharType="end"/>
            </w:r>
          </w:hyperlink>
        </w:p>
        <w:p w14:paraId="3B4F84EE" w14:textId="1F6E9448" w:rsidR="004D403B" w:rsidRPr="004D403B" w:rsidRDefault="000B5FD7" w:rsidP="00AB52BD">
          <w:pPr>
            <w:pStyle w:val="TOC1"/>
          </w:pPr>
          <w:r>
            <w:rPr>
              <w:b w:val="0"/>
              <w:bCs/>
            </w:rPr>
            <w:fldChar w:fldCharType="end"/>
          </w:r>
        </w:p>
      </w:sdtContent>
    </w:sdt>
    <w:p w14:paraId="2493D9DC" w14:textId="77777777" w:rsidR="00417F7C" w:rsidRDefault="00417F7C">
      <w:pPr>
        <w:spacing w:after="0" w:line="240" w:lineRule="auto"/>
        <w:jc w:val="left"/>
        <w:rPr>
          <w:b/>
          <w:color w:val="4F6228" w:themeColor="accent3" w:themeShade="80"/>
          <w:sz w:val="36"/>
          <w:szCs w:val="36"/>
        </w:rPr>
      </w:pPr>
      <w:r>
        <w:rPr>
          <w:b/>
          <w:color w:val="4F6228" w:themeColor="accent3" w:themeShade="80"/>
          <w:sz w:val="36"/>
          <w:szCs w:val="36"/>
        </w:rPr>
        <w:lastRenderedPageBreak/>
        <w:br w:type="page"/>
      </w:r>
    </w:p>
    <w:p w14:paraId="3B4F84EF" w14:textId="7845B092" w:rsidR="008D269D" w:rsidRDefault="00A93118" w:rsidP="00C51F4F">
      <w:pPr>
        <w:spacing w:after="240" w:line="320" w:lineRule="exact"/>
        <w:jc w:val="left"/>
        <w:rPr>
          <w:b/>
          <w:color w:val="4F6228" w:themeColor="accent3" w:themeShade="80"/>
          <w:sz w:val="36"/>
          <w:szCs w:val="36"/>
        </w:rPr>
      </w:pPr>
      <w:r>
        <w:rPr>
          <w:b/>
          <w:color w:val="4F6228" w:themeColor="accent3" w:themeShade="80"/>
          <w:sz w:val="36"/>
          <w:szCs w:val="36"/>
        </w:rPr>
        <w:lastRenderedPageBreak/>
        <w:t>EXECUTIVE SUMMARY</w:t>
      </w:r>
    </w:p>
    <w:p w14:paraId="3B4F84F0" w14:textId="77777777" w:rsidR="00C51F4F" w:rsidRDefault="00C51F4F" w:rsidP="00774B60">
      <w:pPr>
        <w:spacing w:after="240" w:line="280" w:lineRule="exact"/>
        <w:jc w:val="left"/>
      </w:pPr>
      <w:r>
        <w:t xml:space="preserve">This report documents the monitoring and evaluation of ecosystem responses to Commonwealth environmental watering in the Edward-Wakool </w:t>
      </w:r>
      <w:r w:rsidR="00891FE8">
        <w:t>River S</w:t>
      </w:r>
      <w:r>
        <w:t xml:space="preserve">ystem </w:t>
      </w:r>
      <w:r w:rsidR="00891FE8">
        <w:t xml:space="preserve">Selected Area </w:t>
      </w:r>
      <w:r>
        <w:t xml:space="preserve">in 2015-16. It is the </w:t>
      </w:r>
      <w:r w:rsidR="00004021">
        <w:t>second</w:t>
      </w:r>
      <w:r>
        <w:t xml:space="preserve"> annual report of the Long Term Intervention Monitoring (LTIM) Project funded by the Commonwealth Environmental Watering Office</w:t>
      </w:r>
      <w:r>
        <w:rPr>
          <w:rFonts w:asciiTheme="minorHAnsi" w:eastAsia="Times New Roman" w:hAnsiTheme="minorHAnsi" w:cs="Courier New"/>
          <w:color w:val="000000"/>
        </w:rPr>
        <w:t xml:space="preserve">. </w:t>
      </w:r>
      <w:r>
        <w:t>This project was undertaken as a collaboration among Charles Sturt University, NSW DPI (Fisheries), Monash University, NSW Office of Environment and Heritage, Griffith University and Murray Local Land S</w:t>
      </w:r>
      <w:r w:rsidR="00666AD9">
        <w:t>ervices. Field sampling for the</w:t>
      </w:r>
      <w:r>
        <w:t xml:space="preserve"> project was undertaken by staff from Charles Sturt University, NSW DPI (Fisheries), and NSW Office of Environment and Heritage. </w:t>
      </w:r>
    </w:p>
    <w:p w14:paraId="3B4F84F1" w14:textId="77777777" w:rsidR="00C51F4F" w:rsidRDefault="00C51F4F" w:rsidP="00774B60">
      <w:pPr>
        <w:spacing w:after="240" w:line="280" w:lineRule="exact"/>
        <w:jc w:val="left"/>
      </w:pPr>
      <w:r>
        <w:t>This report provides details of the Commonwealth environmental watering actions, indic</w:t>
      </w:r>
      <w:r w:rsidR="0089729C">
        <w:t>ators</w:t>
      </w:r>
      <w:r>
        <w:t xml:space="preserve"> and an evaluation of </w:t>
      </w:r>
      <w:r w:rsidR="0029746C">
        <w:t>the</w:t>
      </w:r>
      <w:r>
        <w:t xml:space="preserve"> ecosystem responses to environmental watering in </w:t>
      </w:r>
      <w:r w:rsidR="00A858B9">
        <w:t xml:space="preserve">the </w:t>
      </w:r>
      <w:r w:rsidR="00175C68">
        <w:t xml:space="preserve">Edward-Wakool </w:t>
      </w:r>
      <w:r w:rsidR="00A858B9">
        <w:t xml:space="preserve">Selected Area </w:t>
      </w:r>
      <w:r w:rsidR="00175C68">
        <w:t xml:space="preserve">during the </w:t>
      </w:r>
      <w:r>
        <w:t xml:space="preserve">2015-16 </w:t>
      </w:r>
      <w:r w:rsidR="00175C68">
        <w:t xml:space="preserve">watering year </w:t>
      </w:r>
      <w:r>
        <w:t xml:space="preserve">with respect to the objectives set by the Commonwealth Environmental Water Office. </w:t>
      </w:r>
      <w:r w:rsidR="00666AD9">
        <w:t xml:space="preserve">Results from monitoring undertaken in 2014-15 </w:t>
      </w:r>
      <w:r w:rsidR="008A57DC">
        <w:t>were</w:t>
      </w:r>
      <w:r w:rsidR="00666AD9">
        <w:t xml:space="preserve"> </w:t>
      </w:r>
      <w:r w:rsidR="008A57DC">
        <w:t>included in</w:t>
      </w:r>
      <w:r w:rsidR="00666AD9">
        <w:t xml:space="preserve"> </w:t>
      </w:r>
      <w:r w:rsidR="008A57DC">
        <w:t xml:space="preserve">some sections </w:t>
      </w:r>
      <w:r w:rsidR="00666AD9">
        <w:t xml:space="preserve">to provide context and comparison. </w:t>
      </w:r>
      <w:r w:rsidR="008A57DC">
        <w:t xml:space="preserve">This report also evaluates additional </w:t>
      </w:r>
      <w:r w:rsidR="008A57DC">
        <w:rPr>
          <w:szCs w:val="22"/>
        </w:rPr>
        <w:t xml:space="preserve">water quality data that was collected over thirteen weeks </w:t>
      </w:r>
      <w:r w:rsidR="008A57DC" w:rsidRPr="00C33D1B">
        <w:t xml:space="preserve">between March and May </w:t>
      </w:r>
      <w:r w:rsidR="005B2913" w:rsidRPr="00C33D1B">
        <w:t xml:space="preserve">2016 </w:t>
      </w:r>
      <w:r w:rsidR="008A57DC" w:rsidRPr="00C33D1B">
        <w:t xml:space="preserve">during a cyanobacteria bloom that extended throughout the Murray system. </w:t>
      </w:r>
    </w:p>
    <w:p w14:paraId="3B4F84F2" w14:textId="0BD6FA14" w:rsidR="004F2656" w:rsidRPr="004F2656" w:rsidRDefault="00487D89" w:rsidP="00C33D1B">
      <w:pPr>
        <w:pStyle w:val="ListBullet"/>
        <w:spacing w:line="276" w:lineRule="auto"/>
        <w:jc w:val="left"/>
      </w:pPr>
      <w:r>
        <w:rPr>
          <w:rFonts w:eastAsia="Calibri"/>
          <w:sz w:val="22"/>
          <w:lang w:eastAsia="en-US"/>
        </w:rPr>
        <w:t>A C</w:t>
      </w:r>
      <w:r w:rsidR="00C33D1B" w:rsidRPr="00C33D1B">
        <w:rPr>
          <w:rFonts w:eastAsia="Calibri"/>
          <w:sz w:val="22"/>
          <w:lang w:eastAsia="en-US"/>
        </w:rPr>
        <w:t xml:space="preserve">ommonwealth </w:t>
      </w:r>
      <w:r w:rsidR="00C33D1B">
        <w:rPr>
          <w:rFonts w:eastAsia="Calibri"/>
          <w:sz w:val="22"/>
          <w:lang w:eastAsia="en-US"/>
        </w:rPr>
        <w:t xml:space="preserve">multi-site </w:t>
      </w:r>
      <w:r w:rsidR="00C33D1B" w:rsidRPr="00C33D1B">
        <w:rPr>
          <w:rFonts w:eastAsia="Calibri"/>
          <w:sz w:val="22"/>
          <w:lang w:eastAsia="en-US"/>
        </w:rPr>
        <w:t>environmental watering</w:t>
      </w:r>
      <w:r w:rsidR="00C33D1B">
        <w:rPr>
          <w:rFonts w:eastAsia="Calibri"/>
          <w:sz w:val="22"/>
          <w:lang w:eastAsia="en-US"/>
        </w:rPr>
        <w:t xml:space="preserve"> action</w:t>
      </w:r>
      <w:r w:rsidR="00C33D1B" w:rsidRPr="00C33D1B">
        <w:rPr>
          <w:rFonts w:eastAsia="Calibri"/>
          <w:sz w:val="22"/>
          <w:lang w:eastAsia="en-US"/>
        </w:rPr>
        <w:t xml:space="preserve"> in the Murray River contributed to a period of discharge above channel capa</w:t>
      </w:r>
      <w:r w:rsidR="00C33D1B">
        <w:rPr>
          <w:rFonts w:eastAsia="Calibri"/>
          <w:sz w:val="22"/>
          <w:lang w:eastAsia="en-US"/>
        </w:rPr>
        <w:t>city from late July through to early</w:t>
      </w:r>
      <w:r w:rsidR="00C33D1B" w:rsidRPr="00C33D1B">
        <w:rPr>
          <w:rFonts w:eastAsia="Calibri"/>
          <w:sz w:val="22"/>
          <w:lang w:eastAsia="en-US"/>
        </w:rPr>
        <w:t xml:space="preserve"> November</w:t>
      </w:r>
      <w:r>
        <w:rPr>
          <w:rFonts w:eastAsia="Calibri"/>
          <w:sz w:val="22"/>
          <w:lang w:eastAsia="en-US"/>
        </w:rPr>
        <w:t xml:space="preserve"> 2015</w:t>
      </w:r>
      <w:r w:rsidR="00C33D1B" w:rsidRPr="00C33D1B">
        <w:rPr>
          <w:rFonts w:eastAsia="Calibri"/>
          <w:sz w:val="22"/>
          <w:lang w:eastAsia="en-US"/>
        </w:rPr>
        <w:t xml:space="preserve">. The environmental watering actions in the Edward-Wakool system for 2015-16 commenced on 4th September and until 10th November used flows returning from the Barmah-Millewa Forest </w:t>
      </w:r>
      <w:r w:rsidR="00C33D1B">
        <w:rPr>
          <w:rFonts w:eastAsia="Calibri"/>
          <w:sz w:val="22"/>
          <w:lang w:eastAsia="en-US"/>
        </w:rPr>
        <w:t xml:space="preserve">from the Murray River multi-site </w:t>
      </w:r>
      <w:r w:rsidR="00C33D1B" w:rsidRPr="00C33D1B">
        <w:rPr>
          <w:rFonts w:eastAsia="Calibri"/>
          <w:sz w:val="22"/>
          <w:lang w:eastAsia="en-US"/>
        </w:rPr>
        <w:t>watering action.</w:t>
      </w:r>
      <w:r w:rsidR="00C33D1B">
        <w:rPr>
          <w:rFonts w:eastAsia="Calibri"/>
          <w:sz w:val="22"/>
          <w:lang w:eastAsia="en-US"/>
        </w:rPr>
        <w:t xml:space="preserve"> </w:t>
      </w:r>
      <w:r w:rsidR="003E7141" w:rsidRPr="00C33D1B">
        <w:rPr>
          <w:rFonts w:eastAsia="Calibri"/>
          <w:sz w:val="22"/>
          <w:lang w:eastAsia="en-US"/>
        </w:rPr>
        <w:t xml:space="preserve">Two Commonwealth environmental watering actions </w:t>
      </w:r>
      <w:r w:rsidR="00305C20" w:rsidRPr="00C33D1B">
        <w:rPr>
          <w:rFonts w:eastAsia="Calibri"/>
          <w:sz w:val="22"/>
          <w:lang w:eastAsia="en-US"/>
        </w:rPr>
        <w:t xml:space="preserve">delivered from 4 September 2015 to 30 January 2016 </w:t>
      </w:r>
      <w:r w:rsidR="003E7141" w:rsidRPr="00C33D1B">
        <w:rPr>
          <w:rFonts w:eastAsia="Calibri"/>
          <w:sz w:val="22"/>
          <w:lang w:eastAsia="en-US"/>
        </w:rPr>
        <w:t xml:space="preserve">were evaluated </w:t>
      </w:r>
      <w:r w:rsidR="004F2656" w:rsidRPr="00C33D1B">
        <w:rPr>
          <w:rFonts w:eastAsia="Calibri"/>
          <w:sz w:val="22"/>
          <w:lang w:eastAsia="en-US"/>
        </w:rPr>
        <w:t>in this report:</w:t>
      </w:r>
      <w:r w:rsidR="006E6536" w:rsidRPr="00C33D1B">
        <w:rPr>
          <w:rFonts w:eastAsia="Calibri"/>
          <w:sz w:val="22"/>
          <w:lang w:eastAsia="en-US"/>
        </w:rPr>
        <w:t xml:space="preserve"> i) </w:t>
      </w:r>
      <w:r w:rsidR="003E7141" w:rsidRPr="00C33D1B">
        <w:rPr>
          <w:rFonts w:eastAsia="Calibri"/>
          <w:sz w:val="22"/>
          <w:lang w:eastAsia="en-US"/>
        </w:rPr>
        <w:t xml:space="preserve">A watering action in the </w:t>
      </w:r>
      <w:r w:rsidR="00113C82" w:rsidRPr="00C33D1B">
        <w:rPr>
          <w:rFonts w:eastAsia="Calibri"/>
          <w:sz w:val="22"/>
          <w:lang w:eastAsia="en-US"/>
        </w:rPr>
        <w:t xml:space="preserve">upper </w:t>
      </w:r>
      <w:r w:rsidR="003E7141" w:rsidRPr="00C33D1B">
        <w:rPr>
          <w:rFonts w:eastAsia="Calibri"/>
          <w:sz w:val="22"/>
          <w:lang w:eastAsia="en-US"/>
        </w:rPr>
        <w:t xml:space="preserve">Wakool River </w:t>
      </w:r>
      <w:r w:rsidR="00113C82" w:rsidRPr="00C33D1B">
        <w:rPr>
          <w:rFonts w:eastAsia="Calibri"/>
          <w:sz w:val="22"/>
          <w:lang w:eastAsia="en-US"/>
        </w:rPr>
        <w:t xml:space="preserve">(zone 2), </w:t>
      </w:r>
      <w:r w:rsidR="004F2656" w:rsidRPr="00C33D1B">
        <w:rPr>
          <w:rFonts w:eastAsia="Calibri"/>
          <w:sz w:val="22"/>
          <w:lang w:eastAsia="en-US"/>
        </w:rPr>
        <w:t xml:space="preserve">that </w:t>
      </w:r>
      <w:r w:rsidR="003E7141" w:rsidRPr="00C33D1B">
        <w:rPr>
          <w:rFonts w:eastAsia="Calibri"/>
          <w:sz w:val="22"/>
          <w:lang w:eastAsia="en-US"/>
        </w:rPr>
        <w:t>had an opera</w:t>
      </w:r>
      <w:r w:rsidR="005C23DF" w:rsidRPr="00C33D1B">
        <w:rPr>
          <w:rFonts w:eastAsia="Calibri"/>
          <w:sz w:val="22"/>
          <w:lang w:eastAsia="en-US"/>
        </w:rPr>
        <w:t xml:space="preserve">ting range of between 50-100 ML </w:t>
      </w:r>
      <w:r w:rsidR="007478C0" w:rsidRPr="00C33D1B">
        <w:rPr>
          <w:rFonts w:eastAsia="Calibri"/>
          <w:sz w:val="22"/>
          <w:lang w:eastAsia="en-US"/>
        </w:rPr>
        <w:t>d</w:t>
      </w:r>
      <w:r w:rsidR="007478C0" w:rsidRPr="00487D89">
        <w:rPr>
          <w:rFonts w:eastAsia="Calibri"/>
          <w:sz w:val="22"/>
          <w:vertAlign w:val="superscript"/>
          <w:lang w:eastAsia="en-US"/>
        </w:rPr>
        <w:t>-1</w:t>
      </w:r>
      <w:r w:rsidR="001B4447" w:rsidRPr="00C33D1B">
        <w:rPr>
          <w:rFonts w:eastAsia="Calibri"/>
          <w:sz w:val="22"/>
          <w:lang w:eastAsia="en-US"/>
        </w:rPr>
        <w:t xml:space="preserve"> at the Wakool regulator,</w:t>
      </w:r>
      <w:r w:rsidR="006E6536" w:rsidRPr="00C33D1B">
        <w:rPr>
          <w:rFonts w:eastAsia="Calibri"/>
          <w:sz w:val="22"/>
          <w:lang w:eastAsia="en-US"/>
        </w:rPr>
        <w:t xml:space="preserve"> and ii) </w:t>
      </w:r>
      <w:r w:rsidR="004F2656" w:rsidRPr="00C33D1B">
        <w:rPr>
          <w:rFonts w:eastAsia="Calibri"/>
          <w:sz w:val="22"/>
          <w:lang w:eastAsia="en-US"/>
        </w:rPr>
        <w:t xml:space="preserve">A watering action </w:t>
      </w:r>
      <w:r w:rsidR="00175C68" w:rsidRPr="00C33D1B">
        <w:rPr>
          <w:rFonts w:eastAsia="Calibri"/>
          <w:sz w:val="22"/>
          <w:lang w:eastAsia="en-US"/>
        </w:rPr>
        <w:t xml:space="preserve">in </w:t>
      </w:r>
      <w:r w:rsidR="004F2656" w:rsidRPr="00C33D1B">
        <w:rPr>
          <w:rFonts w:eastAsia="Calibri"/>
          <w:sz w:val="22"/>
          <w:lang w:eastAsia="en-US"/>
        </w:rPr>
        <w:t>Yallakool Creek with an</w:t>
      </w:r>
      <w:r w:rsidR="003E7141" w:rsidRPr="00C33D1B">
        <w:rPr>
          <w:rFonts w:eastAsia="Calibri"/>
          <w:sz w:val="22"/>
          <w:lang w:eastAsia="en-US"/>
        </w:rPr>
        <w:t xml:space="preserve"> operating range</w:t>
      </w:r>
      <w:r w:rsidR="004F2656" w:rsidRPr="00C33D1B">
        <w:rPr>
          <w:rFonts w:eastAsia="Calibri"/>
          <w:sz w:val="22"/>
          <w:lang w:eastAsia="en-US"/>
        </w:rPr>
        <w:t xml:space="preserve"> of between 450-500 </w:t>
      </w:r>
      <w:r w:rsidR="005C23DF" w:rsidRPr="00C33D1B">
        <w:rPr>
          <w:rFonts w:eastAsia="Calibri"/>
          <w:sz w:val="22"/>
          <w:lang w:eastAsia="en-US"/>
        </w:rPr>
        <w:t xml:space="preserve">ML </w:t>
      </w:r>
      <w:r w:rsidR="007478C0" w:rsidRPr="00C33D1B">
        <w:rPr>
          <w:rFonts w:eastAsia="Calibri"/>
          <w:sz w:val="22"/>
          <w:lang w:eastAsia="en-US"/>
        </w:rPr>
        <w:t>d</w:t>
      </w:r>
      <w:r w:rsidR="007478C0" w:rsidRPr="00487D89">
        <w:rPr>
          <w:rFonts w:eastAsia="Calibri"/>
          <w:sz w:val="22"/>
          <w:vertAlign w:val="superscript"/>
          <w:lang w:eastAsia="en-US"/>
        </w:rPr>
        <w:t>-1</w:t>
      </w:r>
      <w:r w:rsidR="00113C82" w:rsidRPr="00C33D1B">
        <w:rPr>
          <w:rFonts w:eastAsia="Calibri"/>
          <w:sz w:val="22"/>
          <w:lang w:eastAsia="en-US"/>
        </w:rPr>
        <w:t xml:space="preserve"> at the Yallakool regulator. This action influenced the hydrology of Yallakool Cr</w:t>
      </w:r>
      <w:r w:rsidR="00B34DB9" w:rsidRPr="00C33D1B">
        <w:rPr>
          <w:rFonts w:eastAsia="Calibri"/>
          <w:sz w:val="22"/>
          <w:lang w:eastAsia="en-US"/>
        </w:rPr>
        <w:t>eek (</w:t>
      </w:r>
      <w:r>
        <w:rPr>
          <w:rFonts w:eastAsia="Calibri"/>
          <w:sz w:val="22"/>
          <w:lang w:eastAsia="en-US"/>
        </w:rPr>
        <w:t>zone 1)</w:t>
      </w:r>
      <w:r w:rsidR="00113C82" w:rsidRPr="00C33D1B">
        <w:rPr>
          <w:rFonts w:eastAsia="Calibri"/>
          <w:sz w:val="22"/>
          <w:lang w:eastAsia="en-US"/>
        </w:rPr>
        <w:t xml:space="preserve"> and the mid Wakool River (zone</w:t>
      </w:r>
      <w:r w:rsidR="00BC315D" w:rsidRPr="00C33D1B">
        <w:rPr>
          <w:rFonts w:eastAsia="Calibri"/>
          <w:sz w:val="22"/>
          <w:lang w:eastAsia="en-US"/>
        </w:rPr>
        <w:t>s</w:t>
      </w:r>
      <w:r w:rsidR="00113C82" w:rsidRPr="00C33D1B">
        <w:rPr>
          <w:rFonts w:eastAsia="Calibri"/>
          <w:sz w:val="22"/>
          <w:lang w:eastAsia="en-US"/>
        </w:rPr>
        <w:t xml:space="preserve"> 3 and 4).</w:t>
      </w:r>
    </w:p>
    <w:p w14:paraId="3B4F84F3" w14:textId="4A74F496" w:rsidR="00C51F4F" w:rsidRDefault="00C51F4F" w:rsidP="00774B60">
      <w:pPr>
        <w:tabs>
          <w:tab w:val="left" w:pos="9071"/>
        </w:tabs>
        <w:spacing w:after="240" w:line="280" w:lineRule="exact"/>
        <w:jc w:val="left"/>
      </w:pPr>
      <w:r>
        <w:t>Indic</w:t>
      </w:r>
      <w:r w:rsidR="003F1B22">
        <w:t xml:space="preserve">ators monitored </w:t>
      </w:r>
      <w:r w:rsidR="005B2913">
        <w:t xml:space="preserve">in 2015-16 </w:t>
      </w:r>
      <w:r w:rsidR="005C23DF">
        <w:t xml:space="preserve">for the Edward-Wakool selected Area evaluation </w:t>
      </w:r>
      <w:r>
        <w:t xml:space="preserve">were: river hydrology, </w:t>
      </w:r>
      <w:r w:rsidR="0029746C">
        <w:t xml:space="preserve">water </w:t>
      </w:r>
      <w:r w:rsidR="005B2913">
        <w:t>quality and carbon</w:t>
      </w:r>
      <w:r w:rsidR="0029746C">
        <w:t xml:space="preserve">, </w:t>
      </w:r>
      <w:r>
        <w:t xml:space="preserve">stream metabolism, riverbank and aquatic vegetation, </w:t>
      </w:r>
      <w:r w:rsidR="002E1B15">
        <w:t>fish movement</w:t>
      </w:r>
      <w:r w:rsidR="003F1B22">
        <w:t xml:space="preserve">, </w:t>
      </w:r>
      <w:r>
        <w:t>fish reproduction,</w:t>
      </w:r>
      <w:r w:rsidR="005B2913">
        <w:t xml:space="preserve"> </w:t>
      </w:r>
      <w:r w:rsidR="005C23DF">
        <w:t xml:space="preserve">and </w:t>
      </w:r>
      <w:r w:rsidR="005B2913">
        <w:t>fish</w:t>
      </w:r>
      <w:r>
        <w:t xml:space="preserve"> recruitment</w:t>
      </w:r>
      <w:r w:rsidR="005B2913">
        <w:t xml:space="preserve"> (Murray cod, golden perch and silver perch)</w:t>
      </w:r>
      <w:r w:rsidR="005C23DF">
        <w:t>.</w:t>
      </w:r>
      <w:r w:rsidR="003F1B22">
        <w:t xml:space="preserve"> </w:t>
      </w:r>
      <w:r w:rsidR="005C23DF">
        <w:t>The f</w:t>
      </w:r>
      <w:r>
        <w:t xml:space="preserve">ish </w:t>
      </w:r>
      <w:r w:rsidR="005B2913">
        <w:t xml:space="preserve">community </w:t>
      </w:r>
      <w:r w:rsidR="00113C82">
        <w:t>was monitored in</w:t>
      </w:r>
      <w:r w:rsidR="005C23DF">
        <w:t xml:space="preserve"> zone</w:t>
      </w:r>
      <w:r w:rsidR="00113C82">
        <w:t xml:space="preserve"> three</w:t>
      </w:r>
      <w:r w:rsidR="005C23DF">
        <w:t xml:space="preserve"> </w:t>
      </w:r>
      <w:r w:rsidR="005B2913">
        <w:t>for the basin-scale evaluation</w:t>
      </w:r>
      <w:r w:rsidR="005C23DF">
        <w:t xml:space="preserve">. </w:t>
      </w:r>
      <w:r w:rsidR="0029746C" w:rsidRPr="0029746C">
        <w:t xml:space="preserve">No selected area evaluation for the fish community was undertaken in 2015-16 as this </w:t>
      </w:r>
      <w:r w:rsidR="00175C68">
        <w:t xml:space="preserve">is </w:t>
      </w:r>
      <w:r w:rsidR="00B15B04">
        <w:t>scheduled to be</w:t>
      </w:r>
      <w:r w:rsidR="0029746C" w:rsidRPr="0029746C">
        <w:t xml:space="preserve"> monitored in </w:t>
      </w:r>
      <w:r w:rsidR="005B2913">
        <w:t xml:space="preserve">only </w:t>
      </w:r>
      <w:r w:rsidR="0029746C" w:rsidRPr="0029746C">
        <w:t xml:space="preserve">years 1 and 5 </w:t>
      </w:r>
      <w:r w:rsidR="00B15B04">
        <w:t>of the project</w:t>
      </w:r>
      <w:r w:rsidR="0029746C" w:rsidRPr="0029746C">
        <w:t>.</w:t>
      </w:r>
    </w:p>
    <w:p w14:paraId="2C942CFD" w14:textId="77777777" w:rsidR="00C36AE2" w:rsidRDefault="00677648" w:rsidP="00C36AE2">
      <w:pPr>
        <w:spacing w:after="240" w:line="280" w:lineRule="exact"/>
        <w:jc w:val="left"/>
      </w:pPr>
      <w:r w:rsidRPr="001D7084">
        <w:t>The responses to Commonwealth environ</w:t>
      </w:r>
      <w:r>
        <w:t>mental watering observed in 2015-16</w:t>
      </w:r>
      <w:r w:rsidRPr="001D7084">
        <w:t xml:space="preserve"> were consistent with those observed </w:t>
      </w:r>
      <w:r>
        <w:t>previously in this system</w:t>
      </w:r>
      <w:r w:rsidRPr="001D7084">
        <w:t>.</w:t>
      </w:r>
      <w:r>
        <w:t xml:space="preserve"> </w:t>
      </w:r>
    </w:p>
    <w:p w14:paraId="3B4F84F4" w14:textId="4B8EA96C" w:rsidR="00995192" w:rsidRDefault="00677648" w:rsidP="00487D89">
      <w:pPr>
        <w:spacing w:after="120" w:line="280" w:lineRule="exact"/>
        <w:jc w:val="left"/>
      </w:pPr>
      <w:r>
        <w:t>T</w:t>
      </w:r>
      <w:r w:rsidRPr="00F45EF8">
        <w:t xml:space="preserve">here were a number of indicators </w:t>
      </w:r>
      <w:r>
        <w:t>that showed</w:t>
      </w:r>
      <w:r w:rsidRPr="00F45EF8">
        <w:t xml:space="preserve"> no detectable res</w:t>
      </w:r>
      <w:r>
        <w:t xml:space="preserve">ponse to watering (Table i). </w:t>
      </w:r>
      <w:r w:rsidR="00995192" w:rsidRPr="001D7084">
        <w:t xml:space="preserve">Commonwealth environmental water delivered to </w:t>
      </w:r>
      <w:r w:rsidR="005B2913">
        <w:t>Yallakool Creek in 2015-16</w:t>
      </w:r>
      <w:r w:rsidR="00995192" w:rsidRPr="001D7084">
        <w:t xml:space="preserve"> </w:t>
      </w:r>
      <w:r w:rsidR="00995192">
        <w:t>had the following outcomes (Table i):</w:t>
      </w:r>
    </w:p>
    <w:p w14:paraId="3B4F84F5" w14:textId="7DFB1DC8" w:rsidR="00995192" w:rsidRDefault="00AB52BD" w:rsidP="00C36AE2">
      <w:pPr>
        <w:pStyle w:val="ListParagraph"/>
        <w:numPr>
          <w:ilvl w:val="0"/>
          <w:numId w:val="29"/>
        </w:numPr>
        <w:spacing w:after="120" w:line="320" w:lineRule="exact"/>
        <w:ind w:left="714" w:hanging="357"/>
      </w:pPr>
      <w:r>
        <w:lastRenderedPageBreak/>
        <w:t>Increase</w:t>
      </w:r>
      <w:r w:rsidR="00995192" w:rsidRPr="001D7084">
        <w:t xml:space="preserve"> </w:t>
      </w:r>
      <w:r w:rsidR="00995192">
        <w:t xml:space="preserve">in-channel longitudinal connectivity </w:t>
      </w:r>
      <w:r w:rsidR="004F5535">
        <w:t>in zones 1, 3 and 4</w:t>
      </w:r>
    </w:p>
    <w:p w14:paraId="3B4F84F6" w14:textId="4381D371" w:rsidR="00995192" w:rsidRDefault="004D4CC0" w:rsidP="00C36AE2">
      <w:pPr>
        <w:pStyle w:val="ListParagraph"/>
        <w:numPr>
          <w:ilvl w:val="0"/>
          <w:numId w:val="29"/>
        </w:numPr>
        <w:spacing w:after="120" w:line="320" w:lineRule="exact"/>
        <w:ind w:left="714" w:right="-143" w:hanging="357"/>
        <w:jc w:val="left"/>
      </w:pPr>
      <w:r>
        <w:t>Small increases in</w:t>
      </w:r>
      <w:r w:rsidR="00995192">
        <w:t xml:space="preserve"> lateral connectivity through an </w:t>
      </w:r>
      <w:r w:rsidR="00995192" w:rsidRPr="001D7084">
        <w:t>increase</w:t>
      </w:r>
      <w:r w:rsidR="00995192">
        <w:t xml:space="preserve"> in </w:t>
      </w:r>
      <w:r w:rsidR="00995192" w:rsidRPr="001D7084">
        <w:t xml:space="preserve">wetted benthic area </w:t>
      </w:r>
      <w:r w:rsidR="00995192">
        <w:t xml:space="preserve">in </w:t>
      </w:r>
      <w:r w:rsidR="00BC315D">
        <w:t xml:space="preserve">the </w:t>
      </w:r>
      <w:r w:rsidR="00995192">
        <w:t xml:space="preserve">Wakool River zones </w:t>
      </w:r>
      <w:r w:rsidR="00C33D1B">
        <w:t>1, 3 and 4</w:t>
      </w:r>
    </w:p>
    <w:p w14:paraId="6509CA8E" w14:textId="32D649FD" w:rsidR="00C33D1B" w:rsidRDefault="00E572B8" w:rsidP="00C36AE2">
      <w:pPr>
        <w:pStyle w:val="ListParagraph"/>
        <w:numPr>
          <w:ilvl w:val="0"/>
          <w:numId w:val="29"/>
        </w:numPr>
        <w:spacing w:after="120" w:line="320" w:lineRule="exact"/>
        <w:ind w:left="714" w:hanging="357"/>
        <w:jc w:val="left"/>
      </w:pPr>
      <w:r>
        <w:t>M</w:t>
      </w:r>
      <w:r w:rsidR="00C33D1B">
        <w:t xml:space="preserve">ixed </w:t>
      </w:r>
      <w:r w:rsidR="00677648">
        <w:t>response in hydraulic diversity</w:t>
      </w:r>
      <w:r w:rsidR="00C33D1B">
        <w:t xml:space="preserve"> </w:t>
      </w:r>
      <w:r w:rsidR="00677648">
        <w:t xml:space="preserve">compared to base flow periods. There was </w:t>
      </w:r>
      <w:r w:rsidR="00C33D1B">
        <w:t xml:space="preserve">increased hydraulic diversity in zones 3 and 4 but reduced hydraulic diversity in zone 1 due to a reduction in </w:t>
      </w:r>
      <w:r>
        <w:t xml:space="preserve">the area of </w:t>
      </w:r>
      <w:r w:rsidR="00C33D1B">
        <w:t>slackwater</w:t>
      </w:r>
      <w:r w:rsidR="00C36AE2">
        <w:t xml:space="preserve">, which </w:t>
      </w:r>
      <w:r>
        <w:t xml:space="preserve">is likely to have an adverse impact on taxa that </w:t>
      </w:r>
      <w:r w:rsidR="00C36AE2">
        <w:t>require</w:t>
      </w:r>
      <w:r>
        <w:t xml:space="preserve"> slackwater habitat </w:t>
      </w:r>
      <w:r w:rsidR="00C36AE2" w:rsidRPr="00DA48E9">
        <w:rPr>
          <w:szCs w:val="22"/>
        </w:rPr>
        <w:t>for recruitment and survival</w:t>
      </w:r>
      <w:r w:rsidR="00C36AE2">
        <w:t xml:space="preserve"> </w:t>
      </w:r>
      <w:r>
        <w:t xml:space="preserve">while benefiting </w:t>
      </w:r>
      <w:r w:rsidR="00677648">
        <w:t>taxa</w:t>
      </w:r>
      <w:r>
        <w:t xml:space="preserve"> that </w:t>
      </w:r>
      <w:r w:rsidR="00C36AE2">
        <w:t>require</w:t>
      </w:r>
      <w:r>
        <w:t xml:space="preserve"> faster flowing water </w:t>
      </w:r>
    </w:p>
    <w:p w14:paraId="3B4F84F7" w14:textId="2329C38B" w:rsidR="00995192" w:rsidRDefault="00995192" w:rsidP="00C36AE2">
      <w:pPr>
        <w:pStyle w:val="ListParagraph"/>
        <w:numPr>
          <w:ilvl w:val="0"/>
          <w:numId w:val="29"/>
        </w:numPr>
        <w:spacing w:after="120" w:line="320" w:lineRule="exact"/>
        <w:ind w:left="714" w:hanging="357"/>
      </w:pPr>
      <w:r>
        <w:t xml:space="preserve">Maintained dissolved oxygen levels and </w:t>
      </w:r>
      <w:r w:rsidR="004F5535">
        <w:t>ecosystem respiration</w:t>
      </w:r>
    </w:p>
    <w:p w14:paraId="50F6B27A" w14:textId="48562CE3" w:rsidR="004F5535" w:rsidRDefault="004F5535" w:rsidP="00C36AE2">
      <w:pPr>
        <w:pStyle w:val="ListParagraph"/>
        <w:numPr>
          <w:ilvl w:val="0"/>
          <w:numId w:val="29"/>
        </w:numPr>
        <w:spacing w:after="120" w:line="320" w:lineRule="exact"/>
        <w:ind w:left="714" w:hanging="357"/>
      </w:pPr>
      <w:r>
        <w:t>Inc</w:t>
      </w:r>
      <w:r w:rsidR="00857EBB">
        <w:t>r</w:t>
      </w:r>
      <w:r w:rsidR="00487D89">
        <w:t xml:space="preserve">eased dissolved organic carbon, only </w:t>
      </w:r>
      <w:r>
        <w:t xml:space="preserve">during the </w:t>
      </w:r>
      <w:r w:rsidR="00C33D1B">
        <w:t xml:space="preserve">Murray River </w:t>
      </w:r>
      <w:r>
        <w:t>multi-site watering action</w:t>
      </w:r>
    </w:p>
    <w:p w14:paraId="19F7DDFA" w14:textId="18C255AB" w:rsidR="00E572B8" w:rsidRDefault="00995192" w:rsidP="00C36AE2">
      <w:pPr>
        <w:pStyle w:val="ListParagraph"/>
        <w:numPr>
          <w:ilvl w:val="0"/>
          <w:numId w:val="29"/>
        </w:numPr>
        <w:spacing w:after="120" w:line="320" w:lineRule="exact"/>
        <w:ind w:left="714" w:hanging="357"/>
        <w:jc w:val="left"/>
      </w:pPr>
      <w:r>
        <w:t>Increased</w:t>
      </w:r>
      <w:r w:rsidRPr="001D7084">
        <w:t xml:space="preserve"> </w:t>
      </w:r>
      <w:r w:rsidR="00C36AE2">
        <w:t>taxonomic richness</w:t>
      </w:r>
      <w:r>
        <w:t xml:space="preserve"> and cover of </w:t>
      </w:r>
      <w:r w:rsidRPr="001D7084">
        <w:t>instream aquatic vegetation</w:t>
      </w:r>
      <w:r>
        <w:t>, particularly in Wakool River zones 3 and 4, but not consistently in Y</w:t>
      </w:r>
      <w:r w:rsidR="005B2913">
        <w:t>allakool Creek zone 1</w:t>
      </w:r>
      <w:r>
        <w:t>.</w:t>
      </w:r>
    </w:p>
    <w:p w14:paraId="41C32FE4" w14:textId="77777777" w:rsidR="00C36AE2" w:rsidRDefault="004F6401" w:rsidP="00C36AE2">
      <w:pPr>
        <w:pStyle w:val="ListParagraph"/>
        <w:numPr>
          <w:ilvl w:val="0"/>
          <w:numId w:val="29"/>
        </w:numPr>
        <w:spacing w:after="120" w:line="320" w:lineRule="exact"/>
        <w:ind w:left="714" w:hanging="357"/>
        <w:jc w:val="left"/>
      </w:pPr>
      <w:r>
        <w:t>Facilitated</w:t>
      </w:r>
      <w:r w:rsidR="00E572B8">
        <w:t xml:space="preserve"> fish movement</w:t>
      </w:r>
      <w:r>
        <w:t xml:space="preserve"> </w:t>
      </w:r>
      <w:r w:rsidR="009878E0">
        <w:t xml:space="preserve">from zone 3 </w:t>
      </w:r>
      <w:r>
        <w:t>over small distances</w:t>
      </w:r>
    </w:p>
    <w:p w14:paraId="2F123770" w14:textId="5E03E5BB" w:rsidR="00C36AE2" w:rsidRPr="00C36AE2" w:rsidRDefault="00C36AE2" w:rsidP="00C36AE2">
      <w:pPr>
        <w:pStyle w:val="ListParagraph"/>
        <w:numPr>
          <w:ilvl w:val="0"/>
          <w:numId w:val="29"/>
        </w:numPr>
        <w:spacing w:after="120" w:line="320" w:lineRule="exact"/>
        <w:ind w:left="714" w:hanging="357"/>
        <w:jc w:val="left"/>
      </w:pPr>
      <w:r w:rsidRPr="00C36AE2">
        <w:rPr>
          <w:rFonts w:cs="Arial"/>
        </w:rPr>
        <w:t xml:space="preserve">Mixed response in fish spawning, with no detectable difference in Murray cod among zones, but significantly fewer larval carp gudgeon in zone 1 Yallakool Creek than in zones 2, 3 or 4, and significantly fewer flathead gudgeon in zone 1 than in zone 4. The reduced number of these larvae in zone 1 may be due to the </w:t>
      </w:r>
      <w:r w:rsidR="00AB52BD">
        <w:rPr>
          <w:rFonts w:cs="Arial"/>
        </w:rPr>
        <w:t>smaller</w:t>
      </w:r>
      <w:r w:rsidRPr="00C36AE2">
        <w:rPr>
          <w:rFonts w:cs="Arial"/>
        </w:rPr>
        <w:t xml:space="preserve"> area of slackwater and slow water in Yallakool Creek during the environmental watering action compared to the other zones.</w:t>
      </w:r>
    </w:p>
    <w:p w14:paraId="68E580E7" w14:textId="185F7508" w:rsidR="00C36AE2" w:rsidRDefault="00C36AE2" w:rsidP="00C36AE2">
      <w:pPr>
        <w:pStyle w:val="ListParagraph"/>
        <w:numPr>
          <w:ilvl w:val="0"/>
          <w:numId w:val="29"/>
        </w:numPr>
        <w:spacing w:after="240" w:line="320" w:lineRule="exact"/>
        <w:ind w:left="714" w:hanging="357"/>
        <w:jc w:val="left"/>
      </w:pPr>
      <w:r>
        <w:rPr>
          <w:rFonts w:cs="Arial"/>
        </w:rPr>
        <w:t>Increased number of silver perch recruits in zone 3 and zone 4 of the Wakool River which received Commonwealth environment</w:t>
      </w:r>
      <w:r w:rsidR="00AB52BD">
        <w:rPr>
          <w:rFonts w:cs="Arial"/>
        </w:rPr>
        <w:t>al water from the Yallakool Cre</w:t>
      </w:r>
      <w:r>
        <w:rPr>
          <w:rFonts w:cs="Arial"/>
        </w:rPr>
        <w:t>ek environmental watering action. This may be in response to the additional slackwater and slow water habitat and vegetation response in these zones.</w:t>
      </w:r>
    </w:p>
    <w:p w14:paraId="1BF9A541" w14:textId="2D8685EE" w:rsidR="00E572B8" w:rsidRDefault="00E572B8" w:rsidP="00E572B8">
      <w:pPr>
        <w:spacing w:after="240" w:line="320" w:lineRule="exact"/>
        <w:jc w:val="left"/>
      </w:pPr>
      <w:r w:rsidRPr="001D7084">
        <w:t xml:space="preserve">Commonwealth environmental water delivered to </w:t>
      </w:r>
      <w:r>
        <w:t>the upper Wakool River Creek through the Wakool regulator in 2015-16</w:t>
      </w:r>
      <w:r w:rsidRPr="001D7084">
        <w:t xml:space="preserve"> </w:t>
      </w:r>
      <w:r>
        <w:t xml:space="preserve">resulted in almost no detectable responses. The only positive outcome was a slight increase in dissolved organic matter observed during the period when the watering action </w:t>
      </w:r>
      <w:r w:rsidRPr="00C33D1B">
        <w:t xml:space="preserve">used flows returning from the Barmah-Millewa Forest </w:t>
      </w:r>
      <w:r>
        <w:t xml:space="preserve">from the Murray River multi-site </w:t>
      </w:r>
      <w:r w:rsidRPr="00C33D1B">
        <w:t>watering action</w:t>
      </w:r>
      <w:r>
        <w:t xml:space="preserve"> (Table i).</w:t>
      </w:r>
      <w:r w:rsidR="00487D89">
        <w:t xml:space="preserve"> </w:t>
      </w:r>
    </w:p>
    <w:p w14:paraId="1A6B9D84" w14:textId="664993BE" w:rsidR="00487D89" w:rsidRDefault="00487D89" w:rsidP="00E572B8">
      <w:pPr>
        <w:spacing w:after="240" w:line="320" w:lineRule="exact"/>
        <w:jc w:val="left"/>
      </w:pPr>
      <w:r w:rsidRPr="00EC14D1">
        <w:rPr>
          <w:rFonts w:cs="Calibri"/>
          <w:szCs w:val="22"/>
        </w:rPr>
        <w:t xml:space="preserve">The delivery of environmental water is </w:t>
      </w:r>
      <w:r>
        <w:rPr>
          <w:rFonts w:cs="Calibri"/>
          <w:szCs w:val="22"/>
        </w:rPr>
        <w:t xml:space="preserve">currently </w:t>
      </w:r>
      <w:r w:rsidRPr="00EC14D1">
        <w:rPr>
          <w:rFonts w:cs="Calibri"/>
          <w:szCs w:val="22"/>
        </w:rPr>
        <w:t xml:space="preserve">constrained by a limited capacity to deliver </w:t>
      </w:r>
      <w:r>
        <w:rPr>
          <w:rFonts w:cs="Calibri"/>
          <w:szCs w:val="22"/>
        </w:rPr>
        <w:t>larger in-channel flow pulses</w:t>
      </w:r>
      <w:r w:rsidRPr="00EC14D1">
        <w:rPr>
          <w:rFonts w:cs="Calibri"/>
          <w:szCs w:val="22"/>
        </w:rPr>
        <w:t xml:space="preserve"> </w:t>
      </w:r>
      <w:r>
        <w:rPr>
          <w:rFonts w:cs="Calibri"/>
          <w:szCs w:val="22"/>
        </w:rPr>
        <w:t>because of potential</w:t>
      </w:r>
      <w:r w:rsidRPr="00EC14D1">
        <w:rPr>
          <w:rFonts w:cs="Calibri"/>
          <w:szCs w:val="22"/>
        </w:rPr>
        <w:t xml:space="preserve"> impacts on third parties. </w:t>
      </w:r>
      <w:r>
        <w:rPr>
          <w:rFonts w:cs="Calibri"/>
          <w:szCs w:val="22"/>
        </w:rPr>
        <w:t>Although th</w:t>
      </w:r>
      <w:r w:rsidRPr="00EC14D1">
        <w:rPr>
          <w:rFonts w:cs="Calibri"/>
          <w:szCs w:val="22"/>
        </w:rPr>
        <w:t xml:space="preserve">e </w:t>
      </w:r>
      <w:r>
        <w:rPr>
          <w:rFonts w:cs="Calibri"/>
          <w:szCs w:val="22"/>
        </w:rPr>
        <w:t>Commonwealth Environmental Water Office</w:t>
      </w:r>
      <w:r w:rsidRPr="00EC14D1">
        <w:rPr>
          <w:rFonts w:cs="Calibri"/>
          <w:szCs w:val="22"/>
        </w:rPr>
        <w:t xml:space="preserve"> has sought to maximize the flows to a level that is acceptable to third parties in the catchment area</w:t>
      </w:r>
      <w:r>
        <w:rPr>
          <w:rFonts w:cs="Calibri"/>
          <w:szCs w:val="22"/>
        </w:rPr>
        <w:t>, current and previous monitoring in this system suggest that larger in-channel flow events will be required to increase the primary productivity in this system. Although small increases in wetted benthic area can be provided under the current operational flow constraints, the use of re</w:t>
      </w:r>
      <w:r>
        <w:rPr>
          <w:rFonts w:cs="Calibri"/>
          <w:szCs w:val="22"/>
        </w:rPr>
        <w:lastRenderedPageBreak/>
        <w:t>turn flows from Barmah-Millewa Forest from Murray River multi-site environmental watering actions may result in greater productivity gains than small freshes delivered under current operational flow constraints.</w:t>
      </w:r>
    </w:p>
    <w:p w14:paraId="041D7F09" w14:textId="77777777" w:rsidR="00E572B8" w:rsidRPr="00184499" w:rsidRDefault="00E572B8" w:rsidP="00C36AE2">
      <w:pPr>
        <w:spacing w:after="240" w:line="320" w:lineRule="exact"/>
      </w:pPr>
      <w:r>
        <w:t>The findings underpin recommendations on</w:t>
      </w:r>
      <w:r>
        <w:rPr>
          <w:szCs w:val="22"/>
        </w:rPr>
        <w:t xml:space="preserve"> the timing, duration and magnitude of flow to help inform the adaptive management of future environmental flows in this system</w:t>
      </w:r>
      <w:r>
        <w:t xml:space="preserve">. </w:t>
      </w:r>
      <w:r w:rsidRPr="00184499">
        <w:t xml:space="preserve">In summary, the </w:t>
      </w:r>
      <w:r>
        <w:t>eight</w:t>
      </w:r>
      <w:r w:rsidRPr="00184499">
        <w:t xml:space="preserve"> recommendations </w:t>
      </w:r>
      <w:r>
        <w:t>were</w:t>
      </w:r>
      <w:r w:rsidRPr="00184499">
        <w:t xml:space="preserve"> to:</w:t>
      </w:r>
    </w:p>
    <w:p w14:paraId="7A9F2B79" w14:textId="77777777" w:rsidR="00E572B8" w:rsidRPr="00184499" w:rsidRDefault="00E572B8" w:rsidP="00C36AE2">
      <w:pPr>
        <w:pStyle w:val="ListParagraph"/>
        <w:numPr>
          <w:ilvl w:val="0"/>
          <w:numId w:val="35"/>
        </w:numPr>
        <w:spacing w:after="240" w:line="320" w:lineRule="exact"/>
        <w:ind w:left="425" w:hanging="425"/>
        <w:jc w:val="left"/>
      </w:pPr>
      <w:r w:rsidRPr="00184499">
        <w:t xml:space="preserve">Undertake </w:t>
      </w:r>
      <w:r>
        <w:t xml:space="preserve">a </w:t>
      </w:r>
      <w:r w:rsidRPr="00184499">
        <w:t xml:space="preserve">comprehensive flows assessment for the </w:t>
      </w:r>
      <w:r>
        <w:t xml:space="preserve">tributaries </w:t>
      </w:r>
      <w:r w:rsidRPr="00184499">
        <w:t>of the Edward-Wakool system</w:t>
      </w:r>
      <w:r>
        <w:t xml:space="preserve"> </w:t>
      </w:r>
      <w:r w:rsidRPr="007D16D0">
        <w:t xml:space="preserve">to </w:t>
      </w:r>
      <w:r>
        <w:t>better inform</w:t>
      </w:r>
      <w:r w:rsidRPr="007D16D0">
        <w:t xml:space="preserve"> </w:t>
      </w:r>
      <w:r>
        <w:t xml:space="preserve">future </w:t>
      </w:r>
      <w:r w:rsidRPr="007D16D0">
        <w:t>decisions on environmental watering in this system</w:t>
      </w:r>
      <w:r w:rsidRPr="00184499">
        <w:t>.</w:t>
      </w:r>
    </w:p>
    <w:p w14:paraId="4753AB6E" w14:textId="7224AF30" w:rsidR="00E572B8" w:rsidRPr="00184499" w:rsidRDefault="00E572B8" w:rsidP="00C36AE2">
      <w:pPr>
        <w:pStyle w:val="ListParagraph"/>
        <w:numPr>
          <w:ilvl w:val="0"/>
          <w:numId w:val="35"/>
        </w:numPr>
        <w:spacing w:after="240" w:line="320" w:lineRule="exact"/>
        <w:ind w:left="425" w:hanging="425"/>
        <w:jc w:val="left"/>
      </w:pPr>
      <w:r w:rsidRPr="00184499">
        <w:t xml:space="preserve">Trial the delivery of continuous base environmental flows during winter </w:t>
      </w:r>
      <w:r w:rsidR="00F705D0">
        <w:t xml:space="preserve">(no cease to flow) </w:t>
      </w:r>
      <w:r w:rsidRPr="00184499">
        <w:t>in the tributaries of the Edward-Wakool system to promote the temporal availability and continuity of instream habitat</w:t>
      </w:r>
      <w:r>
        <w:t xml:space="preserve"> </w:t>
      </w:r>
      <w:r w:rsidRPr="00274441">
        <w:t>to benefit fish and other aquatic animals and assist the recovery of submerged aquatic plants in the system.</w:t>
      </w:r>
    </w:p>
    <w:p w14:paraId="6FE47925" w14:textId="77777777" w:rsidR="00E572B8" w:rsidRDefault="00E572B8" w:rsidP="00C36AE2">
      <w:pPr>
        <w:pStyle w:val="ListParagraph"/>
        <w:numPr>
          <w:ilvl w:val="0"/>
          <w:numId w:val="35"/>
        </w:numPr>
        <w:spacing w:after="240" w:line="320" w:lineRule="exact"/>
        <w:ind w:left="425" w:hanging="425"/>
        <w:jc w:val="left"/>
      </w:pPr>
      <w:r>
        <w:t>Tr</w:t>
      </w:r>
      <w:r w:rsidRPr="00184499">
        <w:t xml:space="preserve">ial </w:t>
      </w:r>
      <w:r>
        <w:t xml:space="preserve">the delivery </w:t>
      </w:r>
      <w:r w:rsidRPr="00184499">
        <w:t>of a short duration environmental</w:t>
      </w:r>
      <w:r>
        <w:t xml:space="preserve"> watering action in late winter or </w:t>
      </w:r>
      <w:r w:rsidRPr="00184499">
        <w:t xml:space="preserve">spring 2017 at a higher discharge than the current operational constraint of 600 </w:t>
      </w:r>
      <w:r>
        <w:t>ML.d</w:t>
      </w:r>
      <w:r w:rsidRPr="007478C0">
        <w:rPr>
          <w:vertAlign w:val="superscript"/>
        </w:rPr>
        <w:t>-1</w:t>
      </w:r>
      <w:r w:rsidRPr="004F2656">
        <w:t xml:space="preserve"> </w:t>
      </w:r>
      <w:r w:rsidRPr="00184499">
        <w:t xml:space="preserve">(possibly up to 1000 to 1200 </w:t>
      </w:r>
      <w:r>
        <w:t>ML d</w:t>
      </w:r>
      <w:r w:rsidRPr="007478C0">
        <w:rPr>
          <w:vertAlign w:val="superscript"/>
        </w:rPr>
        <w:t>-1</w:t>
      </w:r>
      <w:r w:rsidRPr="00184499">
        <w:t>). This would facilitate a test of the hypo</w:t>
      </w:r>
      <w:r>
        <w:t xml:space="preserve">thesis that </w:t>
      </w:r>
      <w:r w:rsidRPr="00184499">
        <w:t>larger in-channel environmental watering action</w:t>
      </w:r>
      <w:r>
        <w:t>s</w:t>
      </w:r>
      <w:r w:rsidRPr="00184499">
        <w:t xml:space="preserve"> will </w:t>
      </w:r>
      <w:r>
        <w:t>increase</w:t>
      </w:r>
      <w:r w:rsidRPr="00184499">
        <w:t xml:space="preserve"> river productivity</w:t>
      </w:r>
      <w:r>
        <w:t>.</w:t>
      </w:r>
    </w:p>
    <w:p w14:paraId="2B0866A5" w14:textId="0461C312" w:rsidR="00E572B8" w:rsidRPr="00184499" w:rsidRDefault="00E572B8" w:rsidP="00C36AE2">
      <w:pPr>
        <w:pStyle w:val="ListParagraph"/>
        <w:numPr>
          <w:ilvl w:val="0"/>
          <w:numId w:val="35"/>
        </w:numPr>
        <w:spacing w:after="240" w:line="320" w:lineRule="exact"/>
        <w:ind w:left="425" w:hanging="425"/>
        <w:jc w:val="left"/>
      </w:pPr>
      <w:r>
        <w:t>T</w:t>
      </w:r>
      <w:r w:rsidRPr="00184499">
        <w:t xml:space="preserve">rial </w:t>
      </w:r>
      <w:r>
        <w:t xml:space="preserve">the delivery of an </w:t>
      </w:r>
      <w:r w:rsidRPr="00184499">
        <w:t xml:space="preserve">environmental watering action in the Edward River </w:t>
      </w:r>
      <w:r w:rsidR="00F705D0">
        <w:t xml:space="preserve">downstream of Stevens weir </w:t>
      </w:r>
      <w:r w:rsidRPr="00184499">
        <w:t>to target golden perch and silver perch spawning</w:t>
      </w:r>
      <w:r>
        <w:t>.</w:t>
      </w:r>
    </w:p>
    <w:p w14:paraId="7C56987C" w14:textId="77777777" w:rsidR="00E572B8" w:rsidRPr="00184499" w:rsidRDefault="00E572B8" w:rsidP="00C36AE2">
      <w:pPr>
        <w:pStyle w:val="ListParagraph"/>
        <w:numPr>
          <w:ilvl w:val="0"/>
          <w:numId w:val="35"/>
        </w:numPr>
        <w:spacing w:after="240" w:line="320" w:lineRule="exact"/>
        <w:ind w:left="425" w:hanging="425"/>
        <w:jc w:val="left"/>
      </w:pPr>
      <w:r w:rsidRPr="00184499">
        <w:rPr>
          <w:rFonts w:cstheme="minorHAnsi"/>
          <w:szCs w:val="22"/>
        </w:rPr>
        <w:t xml:space="preserve">Avoid long periods of constant flows by </w:t>
      </w:r>
      <w:r w:rsidRPr="00184499">
        <w:t>introducing flow variability into environmental watering actions.</w:t>
      </w:r>
    </w:p>
    <w:p w14:paraId="2124D75E" w14:textId="77777777" w:rsidR="00E572B8" w:rsidRPr="00274441" w:rsidRDefault="00E572B8" w:rsidP="00C36AE2">
      <w:pPr>
        <w:pStyle w:val="ListParagraph"/>
        <w:numPr>
          <w:ilvl w:val="0"/>
          <w:numId w:val="35"/>
        </w:numPr>
        <w:spacing w:after="240" w:line="320" w:lineRule="exact"/>
        <w:ind w:left="425" w:hanging="425"/>
        <w:jc w:val="left"/>
      </w:pPr>
      <w:r w:rsidRPr="00274441">
        <w:t>Continue to explore opportunities to increase the magnitude of environmental water delivered to the upper Wakool River to achieve ecosystem outcomes and at the same time facilitate learning about the system.</w:t>
      </w:r>
    </w:p>
    <w:p w14:paraId="1D66F09D" w14:textId="77777777" w:rsidR="00E572B8" w:rsidRDefault="00E572B8" w:rsidP="00C36AE2">
      <w:pPr>
        <w:pStyle w:val="ListParagraph"/>
        <w:numPr>
          <w:ilvl w:val="0"/>
          <w:numId w:val="35"/>
        </w:numPr>
        <w:spacing w:after="240" w:line="320" w:lineRule="exact"/>
        <w:ind w:left="425" w:hanging="425"/>
        <w:jc w:val="left"/>
      </w:pPr>
      <w:r w:rsidRPr="00184499">
        <w:t>Continue to include a water use option in planning that enables Commonwealth environmental water to be used to mitigate adverse water quality events in the Edward-Wakool system.</w:t>
      </w:r>
    </w:p>
    <w:p w14:paraId="11298B1C" w14:textId="528E8388" w:rsidR="00E572B8" w:rsidRDefault="00E572B8" w:rsidP="00C36AE2">
      <w:pPr>
        <w:pStyle w:val="ListParagraph"/>
        <w:numPr>
          <w:ilvl w:val="0"/>
          <w:numId w:val="35"/>
        </w:numPr>
        <w:spacing w:after="240" w:line="320" w:lineRule="exact"/>
        <w:ind w:left="425" w:right="-142" w:hanging="425"/>
        <w:jc w:val="left"/>
      </w:pPr>
      <w:r>
        <w:t xml:space="preserve">Continue to include a water use option that </w:t>
      </w:r>
      <w:r w:rsidRPr="00184499">
        <w:t xml:space="preserve">enables Commonwealth environmental water to be used to mitigate </w:t>
      </w:r>
      <w:r>
        <w:t xml:space="preserve">rapid recessions due </w:t>
      </w:r>
      <w:r w:rsidR="00487D89">
        <w:t>river operations</w:t>
      </w:r>
      <w:r w:rsidRPr="00184499">
        <w:t xml:space="preserve"> in the Edward-Wakool system.</w:t>
      </w:r>
    </w:p>
    <w:p w14:paraId="5F8DEEC8" w14:textId="77777777" w:rsidR="00487D89" w:rsidRDefault="00487D89" w:rsidP="00487D89">
      <w:pPr>
        <w:spacing w:after="240" w:line="320" w:lineRule="exact"/>
        <w:ind w:right="-142"/>
        <w:jc w:val="left"/>
      </w:pPr>
    </w:p>
    <w:p w14:paraId="09B980F0" w14:textId="77777777" w:rsidR="00C36AE2" w:rsidRDefault="00C36AE2">
      <w:pPr>
        <w:spacing w:after="0" w:line="240" w:lineRule="auto"/>
        <w:jc w:val="left"/>
        <w:rPr>
          <w:b/>
          <w:sz w:val="20"/>
        </w:rPr>
      </w:pPr>
      <w:r>
        <w:rPr>
          <w:b/>
          <w:sz w:val="20"/>
        </w:rPr>
        <w:br w:type="page"/>
      </w:r>
    </w:p>
    <w:p w14:paraId="3B4F84FA" w14:textId="568364A9" w:rsidR="00995192" w:rsidRPr="004E3F82" w:rsidRDefault="00995192" w:rsidP="00995192">
      <w:pPr>
        <w:spacing w:after="0" w:line="240" w:lineRule="auto"/>
        <w:jc w:val="left"/>
        <w:rPr>
          <w:sz w:val="20"/>
        </w:rPr>
      </w:pPr>
      <w:r>
        <w:rPr>
          <w:b/>
          <w:sz w:val="20"/>
        </w:rPr>
        <w:lastRenderedPageBreak/>
        <w:t>Table i</w:t>
      </w:r>
      <w:r w:rsidRPr="00D75644">
        <w:rPr>
          <w:sz w:val="20"/>
        </w:rPr>
        <w:t>.</w:t>
      </w:r>
      <w:r w:rsidRPr="00E367BE">
        <w:t xml:space="preserve"> </w:t>
      </w:r>
      <w:r w:rsidRPr="004E3F82">
        <w:rPr>
          <w:sz w:val="20"/>
        </w:rPr>
        <w:t xml:space="preserve">Summary of ecosystem responses to Commonwealth environmental watering in </w:t>
      </w:r>
      <w:r>
        <w:rPr>
          <w:sz w:val="20"/>
        </w:rPr>
        <w:t>the Edward-Wakool system in 2015-16</w:t>
      </w:r>
      <w:r w:rsidRPr="004E3F82">
        <w:rPr>
          <w:sz w:val="20"/>
        </w:rPr>
        <w:t xml:space="preserve">. </w:t>
      </w:r>
    </w:p>
    <w:p w14:paraId="3B4F84FB" w14:textId="5706133E" w:rsidR="00995192" w:rsidRPr="00E64C68" w:rsidRDefault="00205FE8" w:rsidP="00995192">
      <w:pPr>
        <w:spacing w:after="0" w:line="240" w:lineRule="auto"/>
        <w:ind w:left="360" w:firstLine="360"/>
        <w:rPr>
          <w:sz w:val="20"/>
        </w:rPr>
      </w:pPr>
      <w:r>
        <w:rPr>
          <w:noProof/>
          <w:lang w:eastAsia="en-AU"/>
        </w:rPr>
        <mc:AlternateContent>
          <mc:Choice Requires="wps">
            <w:drawing>
              <wp:anchor distT="0" distB="0" distL="114300" distR="114300" simplePos="0" relativeHeight="251655680" behindDoc="0" locked="0" layoutInCell="1" allowOverlap="1" wp14:anchorId="3B4F95C3" wp14:editId="4DD09C39">
                <wp:simplePos x="0" y="0"/>
                <wp:positionH relativeFrom="margin">
                  <wp:posOffset>-635</wp:posOffset>
                </wp:positionH>
                <wp:positionV relativeFrom="paragraph">
                  <wp:posOffset>6350</wp:posOffset>
                </wp:positionV>
                <wp:extent cx="215265" cy="107950"/>
                <wp:effectExtent l="0" t="0" r="13335" b="2540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chemeClr val="accent3">
                            <a:lumMod val="60000"/>
                            <a:lumOff val="40000"/>
                          </a:schemeClr>
                        </a:solidFill>
                        <a:ln w="9525">
                          <a:solidFill>
                            <a:schemeClr val="accent3">
                              <a:lumMod val="7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FD561" id="Rounded Rectangle 59" o:spid="_x0000_s1026" style="position:absolute;margin-left:-.05pt;margin-top:.5pt;width:16.95pt;height: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" fillcolor="#c2d69b [1942]" strokecolor="#76923c [2406]">
                <w10:wrap anchorx="margin"/>
              </v:roundrect>
            </w:pict>
          </mc:Fallback>
        </mc:AlternateContent>
      </w:r>
      <w:r w:rsidR="00995192" w:rsidRPr="00E64C68">
        <w:rPr>
          <w:sz w:val="20"/>
        </w:rPr>
        <w:t>Positive response to environmental watering (green)</w:t>
      </w:r>
    </w:p>
    <w:p w14:paraId="3B4F84FC" w14:textId="7C198E4F" w:rsidR="00995192" w:rsidRDefault="00205FE8" w:rsidP="00995192">
      <w:pPr>
        <w:spacing w:after="0" w:line="240" w:lineRule="auto"/>
        <w:ind w:left="360" w:firstLine="360"/>
        <w:rPr>
          <w:sz w:val="20"/>
        </w:rPr>
      </w:pPr>
      <w:r w:rsidRPr="00711C72">
        <w:rPr>
          <w:noProof/>
          <w:color w:val="FFC000"/>
          <w:lang w:eastAsia="en-AU"/>
        </w:rPr>
        <mc:AlternateContent>
          <mc:Choice Requires="wps">
            <w:drawing>
              <wp:anchor distT="0" distB="0" distL="114300" distR="114300" simplePos="0" relativeHeight="251659776" behindDoc="0" locked="0" layoutInCell="1" allowOverlap="1" wp14:anchorId="3B4F95C4" wp14:editId="15EAEAC5">
                <wp:simplePos x="0" y="0"/>
                <wp:positionH relativeFrom="margin">
                  <wp:posOffset>-635</wp:posOffset>
                </wp:positionH>
                <wp:positionV relativeFrom="paragraph">
                  <wp:posOffset>3175</wp:posOffset>
                </wp:positionV>
                <wp:extent cx="215265" cy="107950"/>
                <wp:effectExtent l="0" t="0" r="13335" b="2540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rgbClr val="F98607"/>
                        </a:solidFill>
                        <a:ln w="9525">
                          <a:solidFill>
                            <a:srgbClr val="F9860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8D580" id="Rounded Rectangle 60" o:spid="_x0000_s1026" style="position:absolute;margin-left:-.05pt;margin-top:.25pt;width:16.95pt;height: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" fillcolor="#f98607" strokecolor="#f98607">
                <w10:wrap anchorx="margin"/>
              </v:roundrect>
            </w:pict>
          </mc:Fallback>
        </mc:AlternateContent>
      </w:r>
      <w:r w:rsidR="004F5535">
        <w:rPr>
          <w:sz w:val="20"/>
        </w:rPr>
        <w:t xml:space="preserve">Mixed response; some </w:t>
      </w:r>
      <w:r w:rsidR="00D763BD">
        <w:rPr>
          <w:sz w:val="20"/>
        </w:rPr>
        <w:t>adverse</w:t>
      </w:r>
      <w:r w:rsidR="006333EB">
        <w:rPr>
          <w:sz w:val="20"/>
        </w:rPr>
        <w:t xml:space="preserve"> </w:t>
      </w:r>
      <w:r w:rsidR="003874F9">
        <w:rPr>
          <w:sz w:val="20"/>
        </w:rPr>
        <w:t xml:space="preserve">and some positive </w:t>
      </w:r>
      <w:r w:rsidR="00D763BD">
        <w:rPr>
          <w:sz w:val="20"/>
        </w:rPr>
        <w:t>responses to environmental watering</w:t>
      </w:r>
      <w:r w:rsidR="00B01872">
        <w:rPr>
          <w:sz w:val="20"/>
        </w:rPr>
        <w:t xml:space="preserve"> </w:t>
      </w:r>
      <w:r w:rsidR="00995192" w:rsidRPr="00E64C68">
        <w:rPr>
          <w:sz w:val="20"/>
        </w:rPr>
        <w:t>(</w:t>
      </w:r>
      <w:r w:rsidR="00BC315D">
        <w:rPr>
          <w:sz w:val="20"/>
        </w:rPr>
        <w:t>amber</w:t>
      </w:r>
      <w:r w:rsidR="00995192" w:rsidRPr="00E64C68">
        <w:rPr>
          <w:sz w:val="20"/>
        </w:rPr>
        <w:t>)</w:t>
      </w:r>
    </w:p>
    <w:p w14:paraId="2031921D" w14:textId="15683FEE" w:rsidR="00B01872" w:rsidRPr="00E64C68" w:rsidRDefault="00B01872" w:rsidP="00995192">
      <w:pPr>
        <w:spacing w:after="0" w:line="240" w:lineRule="auto"/>
        <w:ind w:left="360" w:firstLine="360"/>
        <w:rPr>
          <w:sz w:val="20"/>
        </w:rPr>
      </w:pPr>
      <w:r>
        <w:rPr>
          <w:noProof/>
          <w:lang w:eastAsia="en-AU"/>
        </w:rPr>
        <mc:AlternateContent>
          <mc:Choice Requires="wps">
            <w:drawing>
              <wp:anchor distT="0" distB="0" distL="114300" distR="114300" simplePos="0" relativeHeight="251731967" behindDoc="0" locked="0" layoutInCell="1" allowOverlap="1" wp14:anchorId="0CF97347" wp14:editId="1323AD60">
                <wp:simplePos x="0" y="0"/>
                <wp:positionH relativeFrom="margin">
                  <wp:posOffset>0</wp:posOffset>
                </wp:positionH>
                <wp:positionV relativeFrom="paragraph">
                  <wp:posOffset>-635</wp:posOffset>
                </wp:positionV>
                <wp:extent cx="215265" cy="107950"/>
                <wp:effectExtent l="0" t="0" r="13335" b="2540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rgbClr val="FF0000"/>
                        </a:solidFill>
                        <a:ln w="9525">
                          <a:solidFill>
                            <a:schemeClr val="accent2">
                              <a:lumMod val="7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43AF2" id="Rounded Rectangle 14" o:spid="_x0000_s1026" style="position:absolute;margin-left:0;margin-top:-.05pt;width:16.95pt;height:8.5pt;z-index:251731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" fillcolor="red" strokecolor="#943634 [2405]">
                <w10:wrap anchorx="margin"/>
              </v:roundrect>
            </w:pict>
          </mc:Fallback>
        </mc:AlternateContent>
      </w:r>
      <w:r>
        <w:rPr>
          <w:sz w:val="20"/>
        </w:rPr>
        <w:t>Negative response to environmental watering (red)</w:t>
      </w:r>
    </w:p>
    <w:p w14:paraId="3B4F84FD" w14:textId="01A10D04" w:rsidR="00995192" w:rsidRPr="00E64C68" w:rsidRDefault="00205FE8" w:rsidP="00995192">
      <w:pPr>
        <w:spacing w:after="0" w:line="240" w:lineRule="auto"/>
        <w:ind w:left="360" w:right="-285" w:firstLine="360"/>
        <w:rPr>
          <w:sz w:val="20"/>
        </w:rPr>
      </w:pPr>
      <w:r>
        <w:rPr>
          <w:noProof/>
          <w:lang w:eastAsia="en-AU"/>
        </w:rPr>
        <mc:AlternateContent>
          <mc:Choice Requires="wps">
            <w:drawing>
              <wp:anchor distT="0" distB="0" distL="114300" distR="114300" simplePos="0" relativeHeight="251663872" behindDoc="0" locked="0" layoutInCell="1" allowOverlap="1" wp14:anchorId="3B4F95C5" wp14:editId="6EA66C99">
                <wp:simplePos x="0" y="0"/>
                <wp:positionH relativeFrom="margin">
                  <wp:posOffset>-635</wp:posOffset>
                </wp:positionH>
                <wp:positionV relativeFrom="paragraph">
                  <wp:posOffset>15240</wp:posOffset>
                </wp:positionV>
                <wp:extent cx="215265" cy="107950"/>
                <wp:effectExtent l="0" t="0" r="13335" b="25400"/>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chemeClr val="bg1">
                            <a:lumMod val="65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FE0D9" id="Rounded Rectangle 61" o:spid="_x0000_s1026" style="position:absolute;margin-left:-.05pt;margin-top:1.2pt;width:16.95pt;height: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" fillcolor="#a5a5a5 [2092]" strokecolor="#a5a5a5 [2092]">
                <w10:wrap anchorx="margin"/>
              </v:roundrect>
            </w:pict>
          </mc:Fallback>
        </mc:AlternateContent>
      </w:r>
      <w:r w:rsidR="00995192" w:rsidRPr="00E64C68">
        <w:rPr>
          <w:sz w:val="20"/>
        </w:rPr>
        <w:t>No detectable response to environmental watering (neither positive nor negative response) (grey)</w:t>
      </w:r>
    </w:p>
    <w:p w14:paraId="3B4F84FE" w14:textId="61FE0628" w:rsidR="00995192" w:rsidRPr="00E64C68" w:rsidRDefault="00205FE8" w:rsidP="00995192">
      <w:pPr>
        <w:spacing w:after="0" w:line="240" w:lineRule="auto"/>
        <w:ind w:left="360" w:firstLine="360"/>
        <w:rPr>
          <w:sz w:val="20"/>
        </w:rPr>
      </w:pPr>
      <w:r>
        <w:rPr>
          <w:noProof/>
          <w:lang w:eastAsia="en-AU"/>
        </w:rPr>
        <mc:AlternateContent>
          <mc:Choice Requires="wps">
            <w:drawing>
              <wp:anchor distT="0" distB="0" distL="114300" distR="114300" simplePos="0" relativeHeight="251667968" behindDoc="0" locked="0" layoutInCell="1" allowOverlap="1" wp14:anchorId="3B4F95C6" wp14:editId="4F6EA007">
                <wp:simplePos x="0" y="0"/>
                <wp:positionH relativeFrom="margin">
                  <wp:posOffset>-635</wp:posOffset>
                </wp:positionH>
                <wp:positionV relativeFrom="paragraph">
                  <wp:posOffset>7620</wp:posOffset>
                </wp:positionV>
                <wp:extent cx="215265" cy="107950"/>
                <wp:effectExtent l="0" t="0" r="13335" b="2540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7EF7F" id="Rounded Rectangle 62" o:spid="_x0000_s1026" style="position:absolute;margin-left:-.05pt;margin-top:.6pt;width:16.95pt;height:8.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" fillcolor="white [3212]" strokecolor="black [3213]">
                <w10:wrap anchorx="margin"/>
              </v:roundrect>
            </w:pict>
          </mc:Fallback>
        </mc:AlternateContent>
      </w:r>
      <w:r w:rsidR="00995192" w:rsidRPr="00E64C68">
        <w:rPr>
          <w:sz w:val="20"/>
        </w:rPr>
        <w:t>N/A No evaluation undertaken by this project (white)</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51"/>
        <w:gridCol w:w="2394"/>
        <w:gridCol w:w="756"/>
        <w:gridCol w:w="686"/>
        <w:gridCol w:w="783"/>
        <w:gridCol w:w="840"/>
        <w:gridCol w:w="574"/>
        <w:gridCol w:w="742"/>
        <w:gridCol w:w="672"/>
        <w:gridCol w:w="672"/>
      </w:tblGrid>
      <w:tr w:rsidR="00DE6E0C" w:rsidRPr="008D4AE6" w14:paraId="3B4F8504" w14:textId="3EE57784" w:rsidTr="0028328F">
        <w:trPr>
          <w:trHeight w:val="812"/>
        </w:trPr>
        <w:tc>
          <w:tcPr>
            <w:tcW w:w="1451" w:type="dxa"/>
            <w:shd w:val="clear" w:color="auto" w:fill="auto"/>
          </w:tcPr>
          <w:p w14:paraId="3B4F84FF" w14:textId="77777777" w:rsidR="00DE6E0C" w:rsidRPr="008D4AE6" w:rsidRDefault="00DE6E0C" w:rsidP="003D1861">
            <w:pPr>
              <w:rPr>
                <w:b/>
                <w:sz w:val="20"/>
              </w:rPr>
            </w:pPr>
            <w:r w:rsidRPr="008D4AE6">
              <w:rPr>
                <w:b/>
                <w:sz w:val="20"/>
              </w:rPr>
              <w:t>Indicators</w:t>
            </w:r>
          </w:p>
        </w:tc>
        <w:tc>
          <w:tcPr>
            <w:tcW w:w="2394" w:type="dxa"/>
          </w:tcPr>
          <w:p w14:paraId="3B4F8500" w14:textId="77777777" w:rsidR="00DE6E0C" w:rsidRPr="007518FC" w:rsidRDefault="00DE6E0C" w:rsidP="003D1861">
            <w:pPr>
              <w:spacing w:after="0" w:line="240" w:lineRule="auto"/>
              <w:rPr>
                <w:b/>
                <w:sz w:val="20"/>
              </w:rPr>
            </w:pPr>
            <w:r>
              <w:rPr>
                <w:b/>
                <w:sz w:val="20"/>
              </w:rPr>
              <w:t>Dependant variable</w:t>
            </w:r>
          </w:p>
        </w:tc>
        <w:tc>
          <w:tcPr>
            <w:tcW w:w="3065" w:type="dxa"/>
            <w:gridSpan w:val="4"/>
            <w:shd w:val="clear" w:color="auto" w:fill="auto"/>
            <w:tcMar>
              <w:left w:w="57" w:type="dxa"/>
              <w:right w:w="57" w:type="dxa"/>
            </w:tcMar>
          </w:tcPr>
          <w:p w14:paraId="76930A87" w14:textId="784B7ED3" w:rsidR="00DE6E0C" w:rsidRDefault="00DE6E0C" w:rsidP="00417F7C">
            <w:pPr>
              <w:spacing w:after="0" w:line="240" w:lineRule="auto"/>
              <w:jc w:val="left"/>
              <w:rPr>
                <w:b/>
                <w:sz w:val="20"/>
              </w:rPr>
            </w:pPr>
            <w:r>
              <w:rPr>
                <w:b/>
                <w:sz w:val="20"/>
              </w:rPr>
              <w:t>Response</w:t>
            </w:r>
            <w:r w:rsidRPr="007518FC">
              <w:rPr>
                <w:b/>
                <w:sz w:val="20"/>
              </w:rPr>
              <w:t xml:space="preserve"> to </w:t>
            </w:r>
            <w:r w:rsidR="00417F7C">
              <w:rPr>
                <w:b/>
                <w:sz w:val="20"/>
              </w:rPr>
              <w:t xml:space="preserve">Yallakool Creek environmental </w:t>
            </w:r>
            <w:r>
              <w:rPr>
                <w:b/>
                <w:sz w:val="20"/>
              </w:rPr>
              <w:t>watering (Aug 2015-Jan 2016)</w:t>
            </w:r>
          </w:p>
        </w:tc>
        <w:tc>
          <w:tcPr>
            <w:tcW w:w="2660" w:type="dxa"/>
            <w:gridSpan w:val="4"/>
          </w:tcPr>
          <w:p w14:paraId="0426CE43" w14:textId="78087A5F" w:rsidR="00DE6E0C" w:rsidRDefault="00DE6E0C" w:rsidP="003D1861">
            <w:pPr>
              <w:spacing w:after="0" w:line="240" w:lineRule="auto"/>
              <w:jc w:val="left"/>
              <w:rPr>
                <w:b/>
                <w:sz w:val="20"/>
              </w:rPr>
            </w:pPr>
            <w:r>
              <w:rPr>
                <w:b/>
                <w:sz w:val="20"/>
              </w:rPr>
              <w:t>Short-term r esponse</w:t>
            </w:r>
            <w:r w:rsidRPr="007518FC">
              <w:rPr>
                <w:b/>
                <w:sz w:val="20"/>
              </w:rPr>
              <w:t xml:space="preserve"> to </w:t>
            </w:r>
            <w:r w:rsidR="00417F7C">
              <w:rPr>
                <w:b/>
                <w:sz w:val="20"/>
              </w:rPr>
              <w:t xml:space="preserve">Wakool River environmental </w:t>
            </w:r>
            <w:r>
              <w:rPr>
                <w:b/>
                <w:sz w:val="20"/>
              </w:rPr>
              <w:t>watering (Aug 2015-Jan 2016)</w:t>
            </w:r>
          </w:p>
        </w:tc>
      </w:tr>
      <w:tr w:rsidR="00DE6E0C" w:rsidRPr="00287858" w14:paraId="56A8969B" w14:textId="5FC38281" w:rsidTr="0028328F">
        <w:trPr>
          <w:trHeight w:val="273"/>
        </w:trPr>
        <w:tc>
          <w:tcPr>
            <w:tcW w:w="1451" w:type="dxa"/>
            <w:tcMar>
              <w:left w:w="57" w:type="dxa"/>
              <w:right w:w="57" w:type="dxa"/>
            </w:tcMar>
          </w:tcPr>
          <w:p w14:paraId="7F2BA024" w14:textId="77777777" w:rsidR="00DE6E0C" w:rsidRDefault="00DE6E0C" w:rsidP="00DE6E0C">
            <w:pPr>
              <w:spacing w:after="0" w:line="240" w:lineRule="auto"/>
              <w:rPr>
                <w:b/>
                <w:sz w:val="18"/>
                <w:szCs w:val="18"/>
              </w:rPr>
            </w:pPr>
          </w:p>
        </w:tc>
        <w:tc>
          <w:tcPr>
            <w:tcW w:w="2394" w:type="dxa"/>
            <w:tcBorders>
              <w:bottom w:val="single" w:sz="4" w:space="0" w:color="000000"/>
            </w:tcBorders>
            <w:shd w:val="clear" w:color="auto" w:fill="auto"/>
          </w:tcPr>
          <w:p w14:paraId="47AB8DAC" w14:textId="77777777" w:rsidR="00DE6E0C" w:rsidRDefault="00DE6E0C" w:rsidP="00DE6E0C">
            <w:pPr>
              <w:spacing w:after="0" w:line="240" w:lineRule="auto"/>
              <w:jc w:val="left"/>
              <w:rPr>
                <w:sz w:val="18"/>
                <w:szCs w:val="18"/>
              </w:rPr>
            </w:pPr>
          </w:p>
        </w:tc>
        <w:tc>
          <w:tcPr>
            <w:tcW w:w="756" w:type="dxa"/>
            <w:tcBorders>
              <w:bottom w:val="single" w:sz="4" w:space="0" w:color="000000"/>
            </w:tcBorders>
            <w:shd w:val="clear" w:color="auto" w:fill="FFFFFF" w:themeFill="background1"/>
            <w:tcMar>
              <w:left w:w="57" w:type="dxa"/>
              <w:right w:w="57" w:type="dxa"/>
            </w:tcMar>
          </w:tcPr>
          <w:p w14:paraId="1B66DE6C" w14:textId="08894B8D" w:rsidR="00DE6E0C" w:rsidRPr="003920D2" w:rsidRDefault="00DE6E0C" w:rsidP="00DE6E0C">
            <w:pPr>
              <w:spacing w:after="0" w:line="240" w:lineRule="auto"/>
              <w:jc w:val="center"/>
              <w:rPr>
                <w:b/>
                <w:sz w:val="16"/>
                <w:szCs w:val="16"/>
              </w:rPr>
            </w:pPr>
            <w:r w:rsidRPr="003920D2">
              <w:rPr>
                <w:b/>
                <w:sz w:val="16"/>
                <w:szCs w:val="16"/>
              </w:rPr>
              <w:t>Zone 1</w:t>
            </w:r>
          </w:p>
        </w:tc>
        <w:tc>
          <w:tcPr>
            <w:tcW w:w="686" w:type="dxa"/>
            <w:tcBorders>
              <w:bottom w:val="single" w:sz="4" w:space="0" w:color="000000"/>
            </w:tcBorders>
            <w:shd w:val="clear" w:color="auto" w:fill="FFFFFF" w:themeFill="background1"/>
          </w:tcPr>
          <w:p w14:paraId="464B0FE6" w14:textId="2BE4A785" w:rsidR="00DE6E0C" w:rsidRPr="003920D2" w:rsidRDefault="00DE6E0C" w:rsidP="00DE6E0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2</w:t>
            </w:r>
          </w:p>
        </w:tc>
        <w:tc>
          <w:tcPr>
            <w:tcW w:w="783" w:type="dxa"/>
            <w:tcBorders>
              <w:bottom w:val="single" w:sz="4" w:space="0" w:color="000000"/>
            </w:tcBorders>
            <w:shd w:val="clear" w:color="auto" w:fill="FFFFFF" w:themeFill="background1"/>
          </w:tcPr>
          <w:p w14:paraId="58BEC02D" w14:textId="192E297C" w:rsidR="00DE6E0C" w:rsidRPr="003920D2" w:rsidRDefault="00DE6E0C" w:rsidP="00DE6E0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3</w:t>
            </w:r>
          </w:p>
        </w:tc>
        <w:tc>
          <w:tcPr>
            <w:tcW w:w="840" w:type="dxa"/>
            <w:tcBorders>
              <w:bottom w:val="single" w:sz="4" w:space="0" w:color="000000"/>
            </w:tcBorders>
            <w:shd w:val="clear" w:color="auto" w:fill="FFFFFF" w:themeFill="background1"/>
          </w:tcPr>
          <w:p w14:paraId="0274CF00" w14:textId="7C32981A" w:rsidR="00DE6E0C" w:rsidRPr="003920D2" w:rsidRDefault="00DE6E0C" w:rsidP="00DE6E0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 xml:space="preserve">Zone 4   </w:t>
            </w:r>
          </w:p>
        </w:tc>
        <w:tc>
          <w:tcPr>
            <w:tcW w:w="574" w:type="dxa"/>
            <w:tcBorders>
              <w:bottom w:val="single" w:sz="4" w:space="0" w:color="000000"/>
            </w:tcBorders>
            <w:shd w:val="clear" w:color="auto" w:fill="FFFFFF" w:themeFill="background1"/>
          </w:tcPr>
          <w:p w14:paraId="546F8E07" w14:textId="7EDC0545" w:rsidR="00DE6E0C" w:rsidRPr="003920D2" w:rsidRDefault="00DE6E0C" w:rsidP="00DE6E0C">
            <w:pPr>
              <w:spacing w:after="0" w:line="240" w:lineRule="auto"/>
              <w:jc w:val="center"/>
              <w:rPr>
                <w:rFonts w:asciiTheme="minorHAnsi" w:hAnsiTheme="minorHAnsi" w:cstheme="minorHAnsi"/>
                <w:b/>
                <w:sz w:val="16"/>
                <w:szCs w:val="16"/>
              </w:rPr>
            </w:pPr>
            <w:r w:rsidRPr="003920D2">
              <w:rPr>
                <w:b/>
                <w:sz w:val="16"/>
                <w:szCs w:val="16"/>
              </w:rPr>
              <w:t>Zone 1</w:t>
            </w:r>
          </w:p>
        </w:tc>
        <w:tc>
          <w:tcPr>
            <w:tcW w:w="742" w:type="dxa"/>
            <w:tcBorders>
              <w:bottom w:val="single" w:sz="4" w:space="0" w:color="000000"/>
            </w:tcBorders>
            <w:shd w:val="clear" w:color="auto" w:fill="FFFFFF" w:themeFill="background1"/>
          </w:tcPr>
          <w:p w14:paraId="4D95327B" w14:textId="59C32D36" w:rsidR="00DE6E0C" w:rsidRPr="003920D2" w:rsidRDefault="00DE6E0C" w:rsidP="00DE6E0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2</w:t>
            </w:r>
          </w:p>
        </w:tc>
        <w:tc>
          <w:tcPr>
            <w:tcW w:w="672" w:type="dxa"/>
            <w:tcBorders>
              <w:bottom w:val="single" w:sz="4" w:space="0" w:color="000000"/>
            </w:tcBorders>
            <w:shd w:val="clear" w:color="auto" w:fill="FFFFFF" w:themeFill="background1"/>
          </w:tcPr>
          <w:p w14:paraId="3892509D" w14:textId="2FAA6847" w:rsidR="00DE6E0C" w:rsidRPr="003920D2" w:rsidRDefault="00DE6E0C" w:rsidP="00DE6E0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3</w:t>
            </w:r>
          </w:p>
        </w:tc>
        <w:tc>
          <w:tcPr>
            <w:tcW w:w="672" w:type="dxa"/>
            <w:tcBorders>
              <w:bottom w:val="single" w:sz="4" w:space="0" w:color="000000"/>
            </w:tcBorders>
            <w:shd w:val="clear" w:color="auto" w:fill="FFFFFF" w:themeFill="background1"/>
          </w:tcPr>
          <w:p w14:paraId="6A728878" w14:textId="376F48B4" w:rsidR="00DE6E0C" w:rsidRPr="003920D2" w:rsidRDefault="00DE6E0C" w:rsidP="00DE6E0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 xml:space="preserve">Zone 4   </w:t>
            </w:r>
          </w:p>
        </w:tc>
      </w:tr>
      <w:tr w:rsidR="003920D2" w:rsidRPr="00287858" w14:paraId="3B4F8509" w14:textId="46EA5C3A" w:rsidTr="0028328F">
        <w:trPr>
          <w:trHeight w:val="273"/>
        </w:trPr>
        <w:tc>
          <w:tcPr>
            <w:tcW w:w="1451" w:type="dxa"/>
            <w:vMerge w:val="restart"/>
            <w:tcMar>
              <w:left w:w="57" w:type="dxa"/>
              <w:right w:w="57" w:type="dxa"/>
            </w:tcMar>
          </w:tcPr>
          <w:p w14:paraId="3B4F8505" w14:textId="77777777" w:rsidR="003920D2" w:rsidRPr="00DE3187" w:rsidRDefault="003920D2" w:rsidP="003920D2">
            <w:pPr>
              <w:spacing w:after="0" w:line="240" w:lineRule="auto"/>
              <w:rPr>
                <w:b/>
                <w:sz w:val="18"/>
                <w:szCs w:val="18"/>
              </w:rPr>
            </w:pPr>
            <w:r>
              <w:rPr>
                <w:b/>
                <w:sz w:val="18"/>
                <w:szCs w:val="18"/>
              </w:rPr>
              <w:t>Hydrology</w:t>
            </w:r>
          </w:p>
        </w:tc>
        <w:tc>
          <w:tcPr>
            <w:tcW w:w="2394" w:type="dxa"/>
            <w:tcBorders>
              <w:bottom w:val="single" w:sz="4" w:space="0" w:color="000000"/>
            </w:tcBorders>
            <w:shd w:val="clear" w:color="auto" w:fill="auto"/>
          </w:tcPr>
          <w:p w14:paraId="3B4F8506" w14:textId="77777777" w:rsidR="003920D2" w:rsidRPr="00A11AF6" w:rsidRDefault="003920D2" w:rsidP="003920D2">
            <w:pPr>
              <w:spacing w:after="0" w:line="240" w:lineRule="auto"/>
              <w:jc w:val="left"/>
              <w:rPr>
                <w:sz w:val="16"/>
                <w:szCs w:val="16"/>
              </w:rPr>
            </w:pPr>
            <w:r>
              <w:rPr>
                <w:sz w:val="18"/>
                <w:szCs w:val="18"/>
              </w:rPr>
              <w:t>Hydrological connectivity</w:t>
            </w:r>
          </w:p>
        </w:tc>
        <w:tc>
          <w:tcPr>
            <w:tcW w:w="756" w:type="dxa"/>
            <w:tcBorders>
              <w:bottom w:val="single" w:sz="4" w:space="0" w:color="000000"/>
            </w:tcBorders>
            <w:shd w:val="clear" w:color="auto" w:fill="C2D69B" w:themeFill="accent3" w:themeFillTint="99"/>
            <w:tcMar>
              <w:left w:w="57" w:type="dxa"/>
              <w:right w:w="57" w:type="dxa"/>
            </w:tcMar>
          </w:tcPr>
          <w:p w14:paraId="3B4F8507"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4D992542" w14:textId="58EAE727"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1F1B2F03"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6CA12172" w14:textId="28DF71BD" w:rsidR="003920D2" w:rsidRPr="00A11AF6"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08" w14:textId="04FCD06E"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76C0E16B"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7EE3840B"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7E107D8" w14:textId="602B7990" w:rsidR="003920D2" w:rsidRPr="00A11AF6" w:rsidRDefault="003920D2" w:rsidP="003920D2">
            <w:pPr>
              <w:spacing w:after="0" w:line="240" w:lineRule="auto"/>
              <w:jc w:val="center"/>
              <w:rPr>
                <w:rFonts w:asciiTheme="minorHAnsi" w:hAnsiTheme="minorHAnsi" w:cstheme="minorHAnsi"/>
                <w:sz w:val="16"/>
                <w:szCs w:val="16"/>
              </w:rPr>
            </w:pPr>
          </w:p>
        </w:tc>
      </w:tr>
      <w:tr w:rsidR="003920D2" w:rsidRPr="00287858" w14:paraId="3B4F850E" w14:textId="7EF6BD16" w:rsidTr="0028328F">
        <w:trPr>
          <w:trHeight w:val="263"/>
        </w:trPr>
        <w:tc>
          <w:tcPr>
            <w:tcW w:w="1451" w:type="dxa"/>
            <w:vMerge/>
            <w:tcBorders>
              <w:bottom w:val="single" w:sz="4" w:space="0" w:color="000000"/>
            </w:tcBorders>
            <w:tcMar>
              <w:left w:w="57" w:type="dxa"/>
              <w:right w:w="57" w:type="dxa"/>
            </w:tcMar>
          </w:tcPr>
          <w:p w14:paraId="3B4F850A" w14:textId="77777777" w:rsidR="003920D2" w:rsidRDefault="003920D2" w:rsidP="003920D2">
            <w:pPr>
              <w:spacing w:after="0" w:line="240" w:lineRule="auto"/>
              <w:rPr>
                <w:b/>
                <w:sz w:val="18"/>
                <w:szCs w:val="18"/>
              </w:rPr>
            </w:pPr>
          </w:p>
        </w:tc>
        <w:tc>
          <w:tcPr>
            <w:tcW w:w="2394" w:type="dxa"/>
            <w:tcBorders>
              <w:bottom w:val="single" w:sz="4" w:space="0" w:color="000000"/>
            </w:tcBorders>
            <w:shd w:val="clear" w:color="auto" w:fill="auto"/>
          </w:tcPr>
          <w:p w14:paraId="3B4F850B" w14:textId="77777777" w:rsidR="003920D2" w:rsidRPr="00A11AF6" w:rsidRDefault="003920D2" w:rsidP="003920D2">
            <w:pPr>
              <w:spacing w:after="0" w:line="240" w:lineRule="auto"/>
              <w:jc w:val="left"/>
              <w:rPr>
                <w:sz w:val="18"/>
                <w:szCs w:val="18"/>
              </w:rPr>
            </w:pPr>
            <w:r>
              <w:rPr>
                <w:sz w:val="18"/>
                <w:szCs w:val="18"/>
              </w:rPr>
              <w:t>Coefficient of variation of discharge</w:t>
            </w:r>
          </w:p>
        </w:tc>
        <w:tc>
          <w:tcPr>
            <w:tcW w:w="756" w:type="dxa"/>
            <w:tcBorders>
              <w:bottom w:val="single" w:sz="4" w:space="0" w:color="000000"/>
            </w:tcBorders>
            <w:shd w:val="clear" w:color="auto" w:fill="D9D9D9" w:themeFill="background1" w:themeFillShade="D9"/>
            <w:tcMar>
              <w:left w:w="57" w:type="dxa"/>
              <w:right w:w="57" w:type="dxa"/>
            </w:tcMar>
          </w:tcPr>
          <w:p w14:paraId="3B4F850C"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6D677E70" w14:textId="46B2A5A0"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73A649AE" w14:textId="77777777" w:rsidR="003920D2"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48BA240B" w14:textId="70E74746" w:rsidR="003920D2"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0D" w14:textId="71D4C820"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477C8D45"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E69C793"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5AC0EA1B" w14:textId="794D8810"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13" w14:textId="35E1E40D" w:rsidTr="0028328F">
        <w:trPr>
          <w:trHeight w:val="390"/>
        </w:trPr>
        <w:tc>
          <w:tcPr>
            <w:tcW w:w="1451" w:type="dxa"/>
            <w:vMerge w:val="restart"/>
            <w:tcMar>
              <w:left w:w="57" w:type="dxa"/>
              <w:right w:w="57" w:type="dxa"/>
            </w:tcMar>
          </w:tcPr>
          <w:p w14:paraId="3B4F850F" w14:textId="77777777" w:rsidR="003920D2" w:rsidRPr="00DE3187" w:rsidRDefault="003920D2" w:rsidP="003920D2">
            <w:pPr>
              <w:spacing w:after="0" w:line="240" w:lineRule="auto"/>
              <w:rPr>
                <w:b/>
                <w:sz w:val="18"/>
                <w:szCs w:val="18"/>
              </w:rPr>
            </w:pPr>
            <w:r>
              <w:rPr>
                <w:b/>
                <w:sz w:val="18"/>
                <w:szCs w:val="18"/>
              </w:rPr>
              <w:t>Hydraulic modelling</w:t>
            </w:r>
          </w:p>
        </w:tc>
        <w:tc>
          <w:tcPr>
            <w:tcW w:w="2394" w:type="dxa"/>
            <w:tcBorders>
              <w:bottom w:val="single" w:sz="4" w:space="0" w:color="000000"/>
            </w:tcBorders>
            <w:shd w:val="clear" w:color="auto" w:fill="auto"/>
          </w:tcPr>
          <w:p w14:paraId="3B4F8510" w14:textId="77777777" w:rsidR="003920D2" w:rsidRPr="00A11AF6" w:rsidRDefault="003920D2" w:rsidP="003920D2">
            <w:pPr>
              <w:spacing w:after="0" w:line="240" w:lineRule="auto"/>
              <w:jc w:val="left"/>
              <w:rPr>
                <w:sz w:val="18"/>
                <w:szCs w:val="18"/>
              </w:rPr>
            </w:pPr>
            <w:r>
              <w:rPr>
                <w:sz w:val="18"/>
                <w:szCs w:val="18"/>
              </w:rPr>
              <w:t>In-channel w</w:t>
            </w:r>
            <w:r w:rsidRPr="00A11AF6">
              <w:rPr>
                <w:sz w:val="18"/>
                <w:szCs w:val="18"/>
              </w:rPr>
              <w:t>etted benthic ar</w:t>
            </w:r>
            <w:r>
              <w:rPr>
                <w:sz w:val="18"/>
                <w:szCs w:val="18"/>
              </w:rPr>
              <w:t>ea</w:t>
            </w:r>
          </w:p>
        </w:tc>
        <w:tc>
          <w:tcPr>
            <w:tcW w:w="756" w:type="dxa"/>
            <w:tcBorders>
              <w:bottom w:val="single" w:sz="4" w:space="0" w:color="000000"/>
            </w:tcBorders>
            <w:shd w:val="clear" w:color="auto" w:fill="C2D69B" w:themeFill="accent3" w:themeFillTint="99"/>
            <w:tcMar>
              <w:left w:w="57" w:type="dxa"/>
              <w:right w:w="57" w:type="dxa"/>
            </w:tcMar>
          </w:tcPr>
          <w:p w14:paraId="3B4F8511"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2DB13857" w14:textId="7720979B"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49BDD87C" w14:textId="77777777" w:rsidR="003920D2"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7BFC2845" w14:textId="4D657ECA" w:rsidR="003920D2"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12" w14:textId="0B0E6E5C"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29FEEDB5"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1578F4A"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35F6A32F" w14:textId="2B1A0C53"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18" w14:textId="51DF2175" w:rsidTr="0028328F">
        <w:trPr>
          <w:trHeight w:val="390"/>
        </w:trPr>
        <w:tc>
          <w:tcPr>
            <w:tcW w:w="1451" w:type="dxa"/>
            <w:vMerge/>
            <w:tcMar>
              <w:left w:w="57" w:type="dxa"/>
              <w:right w:w="57" w:type="dxa"/>
            </w:tcMar>
          </w:tcPr>
          <w:p w14:paraId="3B4F8514" w14:textId="77777777" w:rsidR="003920D2" w:rsidRDefault="003920D2" w:rsidP="003920D2">
            <w:pPr>
              <w:spacing w:after="0" w:line="240" w:lineRule="auto"/>
              <w:rPr>
                <w:b/>
                <w:sz w:val="18"/>
                <w:szCs w:val="18"/>
              </w:rPr>
            </w:pPr>
          </w:p>
        </w:tc>
        <w:tc>
          <w:tcPr>
            <w:tcW w:w="2394" w:type="dxa"/>
            <w:tcBorders>
              <w:bottom w:val="single" w:sz="4" w:space="0" w:color="000000"/>
            </w:tcBorders>
            <w:shd w:val="clear" w:color="auto" w:fill="auto"/>
          </w:tcPr>
          <w:p w14:paraId="3B4F8515" w14:textId="29DEA619" w:rsidR="003920D2" w:rsidRPr="00A11AF6" w:rsidRDefault="003920D2" w:rsidP="003874F9">
            <w:pPr>
              <w:spacing w:after="0" w:line="240" w:lineRule="auto"/>
              <w:jc w:val="left"/>
              <w:rPr>
                <w:sz w:val="18"/>
                <w:szCs w:val="18"/>
              </w:rPr>
            </w:pPr>
            <w:r>
              <w:rPr>
                <w:sz w:val="18"/>
                <w:szCs w:val="18"/>
              </w:rPr>
              <w:t xml:space="preserve">Hydraulic diversity – </w:t>
            </w:r>
            <w:r w:rsidR="003874F9">
              <w:rPr>
                <w:sz w:val="18"/>
                <w:szCs w:val="18"/>
              </w:rPr>
              <w:t xml:space="preserve">zone </w:t>
            </w:r>
            <w:r>
              <w:rPr>
                <w:sz w:val="18"/>
                <w:szCs w:val="18"/>
              </w:rPr>
              <w:t>scale</w:t>
            </w:r>
          </w:p>
        </w:tc>
        <w:tc>
          <w:tcPr>
            <w:tcW w:w="756" w:type="dxa"/>
            <w:tcBorders>
              <w:bottom w:val="single" w:sz="4" w:space="0" w:color="000000"/>
            </w:tcBorders>
            <w:shd w:val="clear" w:color="auto" w:fill="FFC000"/>
            <w:tcMar>
              <w:left w:w="57" w:type="dxa"/>
              <w:right w:w="57" w:type="dxa"/>
            </w:tcMar>
          </w:tcPr>
          <w:p w14:paraId="3B4F8516" w14:textId="26603866"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470B14BC" w14:textId="38650793"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55ED4A37" w14:textId="77777777" w:rsidR="003920D2"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41DD0463" w14:textId="1326E35E" w:rsidR="003920D2"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17" w14:textId="43AC8747"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663F1FBA"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025D1270"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7813681B" w14:textId="3720DA22"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27" w14:textId="08765FEB" w:rsidTr="0028328F">
        <w:trPr>
          <w:trHeight w:val="390"/>
        </w:trPr>
        <w:tc>
          <w:tcPr>
            <w:tcW w:w="1451" w:type="dxa"/>
            <w:vMerge w:val="restart"/>
            <w:tcMar>
              <w:left w:w="57" w:type="dxa"/>
              <w:right w:w="57" w:type="dxa"/>
            </w:tcMar>
          </w:tcPr>
          <w:p w14:paraId="3B4F8523" w14:textId="77777777" w:rsidR="003920D2" w:rsidRDefault="003920D2" w:rsidP="003920D2">
            <w:pPr>
              <w:spacing w:after="0" w:line="240" w:lineRule="auto"/>
              <w:jc w:val="left"/>
              <w:rPr>
                <w:b/>
                <w:sz w:val="18"/>
                <w:szCs w:val="18"/>
              </w:rPr>
            </w:pPr>
            <w:r w:rsidRPr="00DE3187">
              <w:rPr>
                <w:b/>
                <w:sz w:val="18"/>
                <w:szCs w:val="18"/>
              </w:rPr>
              <w:t>Stream metabolism</w:t>
            </w:r>
            <w:r>
              <w:rPr>
                <w:b/>
                <w:sz w:val="18"/>
                <w:szCs w:val="18"/>
              </w:rPr>
              <w:t>, water quality, and o</w:t>
            </w:r>
            <w:r w:rsidRPr="00DE3187">
              <w:rPr>
                <w:b/>
                <w:sz w:val="18"/>
                <w:szCs w:val="18"/>
              </w:rPr>
              <w:t xml:space="preserve">rganic matter </w:t>
            </w:r>
            <w:r w:rsidRPr="00207410">
              <w:rPr>
                <w:b/>
                <w:sz w:val="16"/>
                <w:szCs w:val="16"/>
              </w:rPr>
              <w:t>c</w:t>
            </w:r>
            <w:r w:rsidRPr="00646EF7">
              <w:rPr>
                <w:b/>
                <w:sz w:val="18"/>
                <w:szCs w:val="18"/>
              </w:rPr>
              <w:t>haracterisation</w:t>
            </w:r>
          </w:p>
        </w:tc>
        <w:tc>
          <w:tcPr>
            <w:tcW w:w="2394" w:type="dxa"/>
            <w:tcBorders>
              <w:bottom w:val="single" w:sz="4" w:space="0" w:color="000000"/>
            </w:tcBorders>
            <w:shd w:val="clear" w:color="auto" w:fill="auto"/>
          </w:tcPr>
          <w:p w14:paraId="3B4F8524" w14:textId="77777777" w:rsidR="003920D2" w:rsidRPr="00A11AF6" w:rsidRDefault="003920D2" w:rsidP="003920D2">
            <w:pPr>
              <w:spacing w:after="0" w:line="240" w:lineRule="auto"/>
              <w:jc w:val="left"/>
              <w:rPr>
                <w:sz w:val="18"/>
                <w:szCs w:val="18"/>
              </w:rPr>
            </w:pPr>
            <w:r w:rsidRPr="00BF402A">
              <w:rPr>
                <w:sz w:val="18"/>
                <w:szCs w:val="18"/>
              </w:rPr>
              <w:t xml:space="preserve">Rates of gross primary productivity </w:t>
            </w:r>
          </w:p>
        </w:tc>
        <w:tc>
          <w:tcPr>
            <w:tcW w:w="756" w:type="dxa"/>
            <w:tcBorders>
              <w:bottom w:val="single" w:sz="4" w:space="0" w:color="000000"/>
            </w:tcBorders>
            <w:shd w:val="clear" w:color="auto" w:fill="D9D9D9" w:themeFill="background1" w:themeFillShade="D9"/>
            <w:tcMar>
              <w:left w:w="57" w:type="dxa"/>
              <w:right w:w="57" w:type="dxa"/>
            </w:tcMar>
          </w:tcPr>
          <w:p w14:paraId="3B4F8525"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2A99D528" w14:textId="3B8E3837"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72006BCA" w14:textId="77777777" w:rsidR="003920D2"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3B9D05C3" w14:textId="6557BD27" w:rsidR="003920D2"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26" w14:textId="2B7913B9"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645A8396"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1F19A78D"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404A659B" w14:textId="39020F81"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2C" w14:textId="0128BDBC" w:rsidTr="0028328F">
        <w:trPr>
          <w:trHeight w:val="390"/>
        </w:trPr>
        <w:tc>
          <w:tcPr>
            <w:tcW w:w="1451" w:type="dxa"/>
            <w:vMerge/>
            <w:tcMar>
              <w:left w:w="57" w:type="dxa"/>
              <w:right w:w="57" w:type="dxa"/>
            </w:tcMar>
          </w:tcPr>
          <w:p w14:paraId="3B4F8528" w14:textId="77777777" w:rsidR="003920D2" w:rsidRPr="00DE3187" w:rsidRDefault="003920D2" w:rsidP="003920D2">
            <w:pPr>
              <w:spacing w:after="0" w:line="240" w:lineRule="auto"/>
              <w:jc w:val="left"/>
              <w:rPr>
                <w:b/>
                <w:sz w:val="18"/>
                <w:szCs w:val="18"/>
              </w:rPr>
            </w:pPr>
          </w:p>
        </w:tc>
        <w:tc>
          <w:tcPr>
            <w:tcW w:w="2394" w:type="dxa"/>
            <w:tcBorders>
              <w:bottom w:val="single" w:sz="4" w:space="0" w:color="000000"/>
            </w:tcBorders>
            <w:shd w:val="clear" w:color="auto" w:fill="auto"/>
          </w:tcPr>
          <w:p w14:paraId="3B4F8529" w14:textId="77777777" w:rsidR="003920D2" w:rsidRPr="00BF402A" w:rsidRDefault="003920D2" w:rsidP="003920D2">
            <w:pPr>
              <w:spacing w:after="0" w:line="240" w:lineRule="auto"/>
              <w:jc w:val="left"/>
              <w:rPr>
                <w:sz w:val="18"/>
                <w:szCs w:val="18"/>
              </w:rPr>
            </w:pPr>
            <w:r>
              <w:rPr>
                <w:sz w:val="18"/>
                <w:szCs w:val="18"/>
              </w:rPr>
              <w:t>Rates of ecosystem respiration</w:t>
            </w:r>
          </w:p>
        </w:tc>
        <w:tc>
          <w:tcPr>
            <w:tcW w:w="756" w:type="dxa"/>
            <w:tcBorders>
              <w:bottom w:val="single" w:sz="4" w:space="0" w:color="000000"/>
            </w:tcBorders>
            <w:shd w:val="clear" w:color="auto" w:fill="D9D9D9" w:themeFill="background1" w:themeFillShade="D9"/>
            <w:tcMar>
              <w:left w:w="57" w:type="dxa"/>
              <w:right w:w="57" w:type="dxa"/>
            </w:tcMar>
          </w:tcPr>
          <w:p w14:paraId="3B4F852A"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2A130575" w14:textId="2AA53C48"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0967231B" w14:textId="77777777" w:rsidR="003920D2"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2E79F75C" w14:textId="1534106F" w:rsidR="003920D2"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2B" w14:textId="5EF6613E"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11E0FA07"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7016AAAC"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13038148" w14:textId="363D7DFA"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31" w14:textId="0883728A" w:rsidTr="0028328F">
        <w:trPr>
          <w:trHeight w:val="390"/>
        </w:trPr>
        <w:tc>
          <w:tcPr>
            <w:tcW w:w="1451" w:type="dxa"/>
            <w:vMerge/>
            <w:tcMar>
              <w:left w:w="57" w:type="dxa"/>
              <w:right w:w="57" w:type="dxa"/>
            </w:tcMar>
          </w:tcPr>
          <w:p w14:paraId="3B4F852D" w14:textId="77777777" w:rsidR="003920D2" w:rsidRPr="00DE3187" w:rsidRDefault="003920D2" w:rsidP="003920D2">
            <w:pPr>
              <w:spacing w:after="0" w:line="240" w:lineRule="auto"/>
              <w:rPr>
                <w:b/>
                <w:sz w:val="18"/>
                <w:szCs w:val="18"/>
              </w:rPr>
            </w:pPr>
          </w:p>
        </w:tc>
        <w:tc>
          <w:tcPr>
            <w:tcW w:w="2394" w:type="dxa"/>
            <w:tcBorders>
              <w:bottom w:val="single" w:sz="4" w:space="0" w:color="000000"/>
            </w:tcBorders>
            <w:shd w:val="clear" w:color="auto" w:fill="auto"/>
          </w:tcPr>
          <w:p w14:paraId="3B4F852E" w14:textId="77777777" w:rsidR="003920D2" w:rsidRPr="00D721FD" w:rsidRDefault="003920D2" w:rsidP="003920D2">
            <w:pPr>
              <w:spacing w:after="0" w:line="240" w:lineRule="auto"/>
              <w:jc w:val="left"/>
              <w:rPr>
                <w:sz w:val="18"/>
                <w:szCs w:val="18"/>
              </w:rPr>
            </w:pPr>
            <w:r w:rsidRPr="00D721FD">
              <w:rPr>
                <w:sz w:val="18"/>
                <w:szCs w:val="18"/>
              </w:rPr>
              <w:t>D</w:t>
            </w:r>
            <w:r>
              <w:rPr>
                <w:sz w:val="18"/>
                <w:szCs w:val="18"/>
              </w:rPr>
              <w:t>issolved organic matter</w:t>
            </w:r>
          </w:p>
        </w:tc>
        <w:tc>
          <w:tcPr>
            <w:tcW w:w="756" w:type="dxa"/>
            <w:tcBorders>
              <w:bottom w:val="single" w:sz="4" w:space="0" w:color="000000"/>
            </w:tcBorders>
            <w:shd w:val="clear" w:color="auto" w:fill="C2D69B" w:themeFill="accent3" w:themeFillTint="99"/>
            <w:tcMar>
              <w:left w:w="57" w:type="dxa"/>
              <w:right w:w="57" w:type="dxa"/>
            </w:tcMar>
          </w:tcPr>
          <w:p w14:paraId="3B4F852F" w14:textId="5037E5F7" w:rsidR="003920D2" w:rsidRPr="00A11AF6" w:rsidRDefault="003920D2" w:rsidP="003920D2">
            <w:pPr>
              <w:tabs>
                <w:tab w:val="left" w:pos="675"/>
              </w:tabs>
              <w:spacing w:after="0" w:line="240" w:lineRule="auto"/>
              <w:rPr>
                <w:sz w:val="16"/>
                <w:szCs w:val="16"/>
              </w:rPr>
            </w:pPr>
            <w:r>
              <w:rPr>
                <w:sz w:val="16"/>
                <w:szCs w:val="16"/>
              </w:rPr>
              <w:t>during multisite watering</w:t>
            </w:r>
          </w:p>
        </w:tc>
        <w:tc>
          <w:tcPr>
            <w:tcW w:w="686" w:type="dxa"/>
            <w:tcBorders>
              <w:bottom w:val="single" w:sz="4" w:space="0" w:color="000000"/>
            </w:tcBorders>
            <w:shd w:val="clear" w:color="auto" w:fill="FFFFFF" w:themeFill="background1"/>
          </w:tcPr>
          <w:p w14:paraId="432D8CB9" w14:textId="20066072"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11C5AFC5" w14:textId="19BEE3E2" w:rsidR="003920D2" w:rsidRDefault="003920D2" w:rsidP="00B34DB9">
            <w:pPr>
              <w:spacing w:after="0" w:line="240" w:lineRule="auto"/>
              <w:rPr>
                <w:rFonts w:asciiTheme="minorHAnsi" w:hAnsiTheme="minorHAnsi" w:cstheme="minorHAnsi"/>
                <w:sz w:val="16"/>
                <w:szCs w:val="16"/>
              </w:rPr>
            </w:pPr>
            <w:r>
              <w:rPr>
                <w:sz w:val="16"/>
                <w:szCs w:val="16"/>
              </w:rPr>
              <w:t>during multisite watering</w:t>
            </w:r>
          </w:p>
        </w:tc>
        <w:tc>
          <w:tcPr>
            <w:tcW w:w="840" w:type="dxa"/>
            <w:tcBorders>
              <w:bottom w:val="single" w:sz="4" w:space="0" w:color="000000"/>
            </w:tcBorders>
            <w:shd w:val="clear" w:color="auto" w:fill="C2D69B" w:themeFill="accent3" w:themeFillTint="99"/>
          </w:tcPr>
          <w:p w14:paraId="35A49519" w14:textId="4B390235" w:rsidR="003920D2" w:rsidRDefault="003920D2" w:rsidP="00B34DB9">
            <w:pPr>
              <w:spacing w:after="0" w:line="240" w:lineRule="auto"/>
              <w:rPr>
                <w:rFonts w:asciiTheme="minorHAnsi" w:hAnsiTheme="minorHAnsi" w:cstheme="minorHAnsi"/>
                <w:sz w:val="16"/>
                <w:szCs w:val="16"/>
              </w:rPr>
            </w:pPr>
            <w:r>
              <w:rPr>
                <w:sz w:val="16"/>
                <w:szCs w:val="16"/>
              </w:rPr>
              <w:t>during multisite watering</w:t>
            </w:r>
          </w:p>
        </w:tc>
        <w:tc>
          <w:tcPr>
            <w:tcW w:w="574" w:type="dxa"/>
            <w:tcBorders>
              <w:bottom w:val="single" w:sz="4" w:space="0" w:color="000000"/>
            </w:tcBorders>
            <w:shd w:val="clear" w:color="auto" w:fill="FFFFFF" w:themeFill="background1"/>
          </w:tcPr>
          <w:p w14:paraId="3B4F8530" w14:textId="2CFD7AD7"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C2D69B" w:themeFill="accent3" w:themeFillTint="99"/>
          </w:tcPr>
          <w:p w14:paraId="206F6AC0" w14:textId="43F6A9E5" w:rsidR="003920D2" w:rsidRDefault="003920D2" w:rsidP="00B34DB9">
            <w:pPr>
              <w:spacing w:after="0" w:line="240" w:lineRule="auto"/>
              <w:rPr>
                <w:rFonts w:asciiTheme="minorHAnsi" w:hAnsiTheme="minorHAnsi" w:cstheme="minorHAnsi"/>
                <w:sz w:val="16"/>
                <w:szCs w:val="16"/>
              </w:rPr>
            </w:pPr>
            <w:r>
              <w:rPr>
                <w:sz w:val="16"/>
                <w:szCs w:val="16"/>
              </w:rPr>
              <w:t>during multisite watering</w:t>
            </w:r>
          </w:p>
        </w:tc>
        <w:tc>
          <w:tcPr>
            <w:tcW w:w="672" w:type="dxa"/>
            <w:tcBorders>
              <w:bottom w:val="single" w:sz="4" w:space="0" w:color="000000"/>
            </w:tcBorders>
            <w:shd w:val="clear" w:color="auto" w:fill="D9D9D9" w:themeFill="background1" w:themeFillShade="D9"/>
          </w:tcPr>
          <w:p w14:paraId="49D25D95"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35CDCCC5" w14:textId="309E73EF"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36" w14:textId="33357F57" w:rsidTr="0028328F">
        <w:trPr>
          <w:trHeight w:val="247"/>
        </w:trPr>
        <w:tc>
          <w:tcPr>
            <w:tcW w:w="1451" w:type="dxa"/>
            <w:vMerge/>
            <w:tcMar>
              <w:left w:w="57" w:type="dxa"/>
              <w:right w:w="57" w:type="dxa"/>
            </w:tcMar>
          </w:tcPr>
          <w:p w14:paraId="3B4F8532" w14:textId="77777777" w:rsidR="003920D2" w:rsidRPr="00DE3187" w:rsidRDefault="003920D2" w:rsidP="003920D2">
            <w:pPr>
              <w:spacing w:after="0" w:line="240" w:lineRule="auto"/>
              <w:rPr>
                <w:b/>
                <w:sz w:val="18"/>
                <w:szCs w:val="18"/>
              </w:rPr>
            </w:pPr>
          </w:p>
        </w:tc>
        <w:tc>
          <w:tcPr>
            <w:tcW w:w="2394" w:type="dxa"/>
            <w:tcBorders>
              <w:bottom w:val="single" w:sz="4" w:space="0" w:color="000000"/>
            </w:tcBorders>
            <w:shd w:val="clear" w:color="auto" w:fill="auto"/>
          </w:tcPr>
          <w:p w14:paraId="3B4F8533" w14:textId="77777777" w:rsidR="003920D2" w:rsidRPr="00D721FD" w:rsidRDefault="003920D2" w:rsidP="003920D2">
            <w:pPr>
              <w:spacing w:after="0" w:line="240" w:lineRule="auto"/>
              <w:jc w:val="left"/>
              <w:rPr>
                <w:sz w:val="18"/>
                <w:szCs w:val="18"/>
              </w:rPr>
            </w:pPr>
            <w:r>
              <w:rPr>
                <w:sz w:val="18"/>
                <w:szCs w:val="18"/>
              </w:rPr>
              <w:t>Dissolved oxygen</w:t>
            </w:r>
          </w:p>
        </w:tc>
        <w:tc>
          <w:tcPr>
            <w:tcW w:w="756" w:type="dxa"/>
            <w:tcBorders>
              <w:bottom w:val="single" w:sz="4" w:space="0" w:color="000000"/>
            </w:tcBorders>
            <w:shd w:val="clear" w:color="auto" w:fill="C2D69B" w:themeFill="accent3" w:themeFillTint="99"/>
            <w:tcMar>
              <w:left w:w="57" w:type="dxa"/>
              <w:right w:w="57" w:type="dxa"/>
            </w:tcMar>
          </w:tcPr>
          <w:p w14:paraId="3B4F8534" w14:textId="4DF2B0E4"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518093BF" w14:textId="073C905E"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37415CC7"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2EABAAD1" w14:textId="67F4D94D" w:rsidR="003920D2" w:rsidRPr="00A11AF6"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35" w14:textId="135E527D"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73AA05C5"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581972A7"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662FFA1" w14:textId="265CFB17" w:rsidR="003920D2" w:rsidRPr="00A11AF6" w:rsidRDefault="003920D2" w:rsidP="003920D2">
            <w:pPr>
              <w:spacing w:after="0" w:line="240" w:lineRule="auto"/>
              <w:jc w:val="center"/>
              <w:rPr>
                <w:rFonts w:asciiTheme="minorHAnsi" w:hAnsiTheme="minorHAnsi" w:cstheme="minorHAnsi"/>
                <w:sz w:val="16"/>
                <w:szCs w:val="16"/>
              </w:rPr>
            </w:pPr>
          </w:p>
        </w:tc>
      </w:tr>
      <w:tr w:rsidR="003920D2" w:rsidRPr="00287858" w14:paraId="3B4F853B" w14:textId="3EF580DB" w:rsidTr="0028328F">
        <w:trPr>
          <w:trHeight w:val="247"/>
        </w:trPr>
        <w:tc>
          <w:tcPr>
            <w:tcW w:w="1451" w:type="dxa"/>
            <w:vMerge/>
            <w:tcMar>
              <w:left w:w="57" w:type="dxa"/>
              <w:right w:w="57" w:type="dxa"/>
            </w:tcMar>
          </w:tcPr>
          <w:p w14:paraId="3B4F8537" w14:textId="77777777" w:rsidR="003920D2" w:rsidRPr="00DE3187" w:rsidRDefault="003920D2" w:rsidP="003920D2">
            <w:pPr>
              <w:spacing w:after="0" w:line="240" w:lineRule="auto"/>
              <w:rPr>
                <w:b/>
                <w:sz w:val="18"/>
                <w:szCs w:val="18"/>
              </w:rPr>
            </w:pPr>
          </w:p>
        </w:tc>
        <w:tc>
          <w:tcPr>
            <w:tcW w:w="2394" w:type="dxa"/>
            <w:tcBorders>
              <w:bottom w:val="single" w:sz="4" w:space="0" w:color="000000"/>
            </w:tcBorders>
            <w:shd w:val="clear" w:color="auto" w:fill="auto"/>
          </w:tcPr>
          <w:p w14:paraId="3B4F8538" w14:textId="77777777" w:rsidR="003920D2" w:rsidRPr="00D721FD" w:rsidRDefault="003920D2" w:rsidP="003920D2">
            <w:pPr>
              <w:spacing w:after="0" w:line="240" w:lineRule="auto"/>
              <w:jc w:val="left"/>
              <w:rPr>
                <w:sz w:val="18"/>
                <w:szCs w:val="18"/>
              </w:rPr>
            </w:pPr>
            <w:r w:rsidRPr="00D721FD">
              <w:rPr>
                <w:sz w:val="18"/>
                <w:szCs w:val="18"/>
              </w:rPr>
              <w:t>Temperature</w:t>
            </w:r>
          </w:p>
        </w:tc>
        <w:tc>
          <w:tcPr>
            <w:tcW w:w="756" w:type="dxa"/>
            <w:tcBorders>
              <w:bottom w:val="single" w:sz="4" w:space="0" w:color="000000"/>
            </w:tcBorders>
            <w:shd w:val="clear" w:color="auto" w:fill="D9D9D9" w:themeFill="background1" w:themeFillShade="D9"/>
            <w:tcMar>
              <w:left w:w="57" w:type="dxa"/>
              <w:right w:w="57" w:type="dxa"/>
            </w:tcMar>
          </w:tcPr>
          <w:p w14:paraId="3B4F8539"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39FE3294" w14:textId="397B2490"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163243B5"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3F4430FD" w14:textId="61911728" w:rsidR="003920D2" w:rsidRPr="00A11AF6"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3A" w14:textId="248F4AB9"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577BB87D"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1ABD0999"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6B5D2254" w14:textId="63504D94" w:rsidR="003920D2" w:rsidRPr="00A11AF6" w:rsidRDefault="003920D2" w:rsidP="003920D2">
            <w:pPr>
              <w:spacing w:after="0" w:line="240" w:lineRule="auto"/>
              <w:jc w:val="center"/>
              <w:rPr>
                <w:rFonts w:asciiTheme="minorHAnsi" w:hAnsiTheme="minorHAnsi" w:cstheme="minorHAnsi"/>
                <w:sz w:val="16"/>
                <w:szCs w:val="16"/>
              </w:rPr>
            </w:pPr>
          </w:p>
        </w:tc>
      </w:tr>
      <w:tr w:rsidR="003920D2" w:rsidRPr="00287858" w14:paraId="3B4F8540" w14:textId="6EFAE95F" w:rsidTr="0028328F">
        <w:trPr>
          <w:trHeight w:val="265"/>
        </w:trPr>
        <w:tc>
          <w:tcPr>
            <w:tcW w:w="1451" w:type="dxa"/>
            <w:vMerge/>
            <w:tcMar>
              <w:left w:w="57" w:type="dxa"/>
              <w:right w:w="57" w:type="dxa"/>
            </w:tcMar>
          </w:tcPr>
          <w:p w14:paraId="3B4F853C" w14:textId="77777777" w:rsidR="003920D2" w:rsidRPr="00DE3187" w:rsidRDefault="003920D2" w:rsidP="003920D2">
            <w:pPr>
              <w:spacing w:after="0" w:line="240" w:lineRule="auto"/>
              <w:rPr>
                <w:b/>
                <w:sz w:val="18"/>
                <w:szCs w:val="18"/>
              </w:rPr>
            </w:pPr>
          </w:p>
        </w:tc>
        <w:tc>
          <w:tcPr>
            <w:tcW w:w="2394" w:type="dxa"/>
            <w:tcBorders>
              <w:bottom w:val="single" w:sz="4" w:space="0" w:color="000000"/>
            </w:tcBorders>
            <w:shd w:val="clear" w:color="auto" w:fill="auto"/>
          </w:tcPr>
          <w:p w14:paraId="3B4F853D" w14:textId="77777777" w:rsidR="003920D2" w:rsidRPr="00D721FD" w:rsidRDefault="003920D2" w:rsidP="003920D2">
            <w:pPr>
              <w:spacing w:after="0" w:line="240" w:lineRule="auto"/>
              <w:jc w:val="left"/>
              <w:rPr>
                <w:sz w:val="18"/>
                <w:szCs w:val="18"/>
              </w:rPr>
            </w:pPr>
            <w:r w:rsidRPr="00D721FD">
              <w:rPr>
                <w:sz w:val="18"/>
                <w:szCs w:val="18"/>
              </w:rPr>
              <w:t>Nutrient concentration</w:t>
            </w:r>
          </w:p>
        </w:tc>
        <w:tc>
          <w:tcPr>
            <w:tcW w:w="756" w:type="dxa"/>
            <w:tcBorders>
              <w:bottom w:val="single" w:sz="4" w:space="0" w:color="000000"/>
            </w:tcBorders>
            <w:shd w:val="clear" w:color="auto" w:fill="D9D9D9" w:themeFill="background1" w:themeFillShade="D9"/>
            <w:tcMar>
              <w:left w:w="57" w:type="dxa"/>
              <w:right w:w="57" w:type="dxa"/>
            </w:tcMar>
          </w:tcPr>
          <w:p w14:paraId="3B4F853E" w14:textId="77777777" w:rsidR="003920D2" w:rsidRPr="00A11AF6" w:rsidRDefault="003920D2" w:rsidP="003920D2">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28E01615" w14:textId="503C1636"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6A0331A0"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58EDC546" w14:textId="215C38FE" w:rsidR="003920D2" w:rsidRPr="00A11AF6" w:rsidRDefault="003920D2" w:rsidP="003920D2">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3B4F853F" w14:textId="28324F5C"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76E5082F"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09531875" w14:textId="77777777" w:rsidR="003920D2" w:rsidRPr="00A11AF6" w:rsidRDefault="003920D2" w:rsidP="003920D2">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AD7E144" w14:textId="6125FC76" w:rsidR="003920D2" w:rsidRPr="00A11AF6" w:rsidRDefault="003920D2" w:rsidP="003920D2">
            <w:pPr>
              <w:spacing w:after="0" w:line="240" w:lineRule="auto"/>
              <w:jc w:val="center"/>
              <w:rPr>
                <w:rFonts w:asciiTheme="minorHAnsi" w:hAnsiTheme="minorHAnsi" w:cstheme="minorHAnsi"/>
                <w:sz w:val="16"/>
                <w:szCs w:val="16"/>
              </w:rPr>
            </w:pPr>
          </w:p>
        </w:tc>
      </w:tr>
      <w:tr w:rsidR="003920D2" w:rsidRPr="00287858" w14:paraId="3B4F8545" w14:textId="36E9BC01" w:rsidTr="0028328F">
        <w:trPr>
          <w:trHeight w:val="283"/>
        </w:trPr>
        <w:tc>
          <w:tcPr>
            <w:tcW w:w="1451" w:type="dxa"/>
            <w:vMerge/>
            <w:tcBorders>
              <w:bottom w:val="nil"/>
            </w:tcBorders>
            <w:tcMar>
              <w:left w:w="57" w:type="dxa"/>
              <w:right w:w="57" w:type="dxa"/>
            </w:tcMar>
          </w:tcPr>
          <w:p w14:paraId="3B4F8541" w14:textId="77777777" w:rsidR="003920D2" w:rsidRPr="00DE3187" w:rsidRDefault="003920D2" w:rsidP="003920D2">
            <w:pPr>
              <w:spacing w:after="0" w:line="240" w:lineRule="auto"/>
              <w:rPr>
                <w:b/>
                <w:sz w:val="18"/>
                <w:szCs w:val="18"/>
              </w:rPr>
            </w:pPr>
          </w:p>
        </w:tc>
        <w:tc>
          <w:tcPr>
            <w:tcW w:w="2394" w:type="dxa"/>
            <w:tcBorders>
              <w:bottom w:val="nil"/>
            </w:tcBorders>
            <w:shd w:val="clear" w:color="auto" w:fill="auto"/>
          </w:tcPr>
          <w:p w14:paraId="3B4F8542" w14:textId="77777777" w:rsidR="003920D2" w:rsidRPr="00D721FD" w:rsidRDefault="003920D2" w:rsidP="003920D2">
            <w:pPr>
              <w:spacing w:after="0" w:line="240" w:lineRule="auto"/>
              <w:jc w:val="left"/>
              <w:rPr>
                <w:sz w:val="18"/>
                <w:szCs w:val="18"/>
              </w:rPr>
            </w:pPr>
            <w:r>
              <w:rPr>
                <w:sz w:val="18"/>
                <w:szCs w:val="18"/>
              </w:rPr>
              <w:t>Modification of type and amount of DOM</w:t>
            </w:r>
          </w:p>
        </w:tc>
        <w:tc>
          <w:tcPr>
            <w:tcW w:w="756" w:type="dxa"/>
            <w:tcBorders>
              <w:bottom w:val="nil"/>
            </w:tcBorders>
            <w:shd w:val="clear" w:color="auto" w:fill="C2D69B" w:themeFill="accent3" w:themeFillTint="99"/>
            <w:tcMar>
              <w:left w:w="57" w:type="dxa"/>
              <w:right w:w="57" w:type="dxa"/>
            </w:tcMar>
          </w:tcPr>
          <w:p w14:paraId="3B4F8543" w14:textId="2F2C5361" w:rsidR="003920D2" w:rsidRPr="00A11AF6" w:rsidRDefault="003920D2" w:rsidP="00B34DB9">
            <w:pPr>
              <w:spacing w:after="0" w:line="240" w:lineRule="auto"/>
              <w:rPr>
                <w:sz w:val="16"/>
                <w:szCs w:val="16"/>
              </w:rPr>
            </w:pPr>
            <w:r>
              <w:rPr>
                <w:sz w:val="16"/>
                <w:szCs w:val="16"/>
              </w:rPr>
              <w:t>during multisite watering</w:t>
            </w:r>
          </w:p>
        </w:tc>
        <w:tc>
          <w:tcPr>
            <w:tcW w:w="686" w:type="dxa"/>
            <w:tcBorders>
              <w:bottom w:val="nil"/>
            </w:tcBorders>
            <w:shd w:val="clear" w:color="auto" w:fill="FFFFFF" w:themeFill="background1"/>
          </w:tcPr>
          <w:p w14:paraId="3D20CE01" w14:textId="2C2CF334" w:rsidR="003920D2"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83" w:type="dxa"/>
            <w:tcBorders>
              <w:bottom w:val="nil"/>
            </w:tcBorders>
            <w:shd w:val="clear" w:color="auto" w:fill="C2D69B" w:themeFill="accent3" w:themeFillTint="99"/>
          </w:tcPr>
          <w:p w14:paraId="1A52DEB3" w14:textId="5287703A" w:rsidR="003920D2" w:rsidRDefault="003920D2" w:rsidP="00B34DB9">
            <w:pPr>
              <w:spacing w:after="0" w:line="240" w:lineRule="auto"/>
              <w:rPr>
                <w:rFonts w:asciiTheme="minorHAnsi" w:hAnsiTheme="minorHAnsi" w:cstheme="minorHAnsi"/>
                <w:sz w:val="16"/>
                <w:szCs w:val="16"/>
              </w:rPr>
            </w:pPr>
            <w:r>
              <w:rPr>
                <w:sz w:val="16"/>
                <w:szCs w:val="16"/>
              </w:rPr>
              <w:t>during multisite watering</w:t>
            </w:r>
          </w:p>
        </w:tc>
        <w:tc>
          <w:tcPr>
            <w:tcW w:w="840" w:type="dxa"/>
            <w:tcBorders>
              <w:bottom w:val="nil"/>
            </w:tcBorders>
            <w:shd w:val="clear" w:color="auto" w:fill="C2D69B" w:themeFill="accent3" w:themeFillTint="99"/>
          </w:tcPr>
          <w:p w14:paraId="4587A39A" w14:textId="30E93F8E" w:rsidR="003920D2" w:rsidRDefault="003920D2" w:rsidP="00B34DB9">
            <w:pPr>
              <w:spacing w:after="0" w:line="240" w:lineRule="auto"/>
              <w:rPr>
                <w:rFonts w:asciiTheme="minorHAnsi" w:hAnsiTheme="minorHAnsi" w:cstheme="minorHAnsi"/>
                <w:sz w:val="16"/>
                <w:szCs w:val="16"/>
              </w:rPr>
            </w:pPr>
            <w:r>
              <w:rPr>
                <w:sz w:val="16"/>
                <w:szCs w:val="16"/>
              </w:rPr>
              <w:t>during multisite watering</w:t>
            </w:r>
          </w:p>
        </w:tc>
        <w:tc>
          <w:tcPr>
            <w:tcW w:w="574" w:type="dxa"/>
            <w:tcBorders>
              <w:bottom w:val="nil"/>
            </w:tcBorders>
            <w:shd w:val="clear" w:color="auto" w:fill="FFFFFF" w:themeFill="background1"/>
          </w:tcPr>
          <w:p w14:paraId="3B4F8544" w14:textId="2D1B4015" w:rsidR="003920D2" w:rsidRPr="00A11AF6" w:rsidRDefault="003920D2" w:rsidP="003920D2">
            <w:pPr>
              <w:spacing w:after="0" w:line="240" w:lineRule="auto"/>
              <w:jc w:val="center"/>
              <w:rPr>
                <w:rFonts w:asciiTheme="minorHAnsi" w:hAnsiTheme="minorHAnsi" w:cstheme="minorHAnsi"/>
                <w:sz w:val="16"/>
                <w:szCs w:val="16"/>
              </w:rPr>
            </w:pPr>
            <w:r>
              <w:rPr>
                <w:sz w:val="16"/>
                <w:szCs w:val="16"/>
              </w:rPr>
              <w:t>N/A</w:t>
            </w:r>
          </w:p>
        </w:tc>
        <w:tc>
          <w:tcPr>
            <w:tcW w:w="742" w:type="dxa"/>
            <w:tcBorders>
              <w:bottom w:val="nil"/>
            </w:tcBorders>
            <w:shd w:val="clear" w:color="auto" w:fill="C2D69B" w:themeFill="accent3" w:themeFillTint="99"/>
          </w:tcPr>
          <w:p w14:paraId="5180B633" w14:textId="78F1B3AD" w:rsidR="003920D2" w:rsidRDefault="003920D2" w:rsidP="00B34DB9">
            <w:pPr>
              <w:spacing w:after="0" w:line="240" w:lineRule="auto"/>
              <w:rPr>
                <w:rFonts w:asciiTheme="minorHAnsi" w:hAnsiTheme="minorHAnsi" w:cstheme="minorHAnsi"/>
                <w:sz w:val="16"/>
                <w:szCs w:val="16"/>
              </w:rPr>
            </w:pPr>
            <w:r>
              <w:rPr>
                <w:sz w:val="16"/>
                <w:szCs w:val="16"/>
              </w:rPr>
              <w:t>during multisite watering</w:t>
            </w:r>
          </w:p>
        </w:tc>
        <w:tc>
          <w:tcPr>
            <w:tcW w:w="672" w:type="dxa"/>
            <w:tcBorders>
              <w:bottom w:val="nil"/>
            </w:tcBorders>
            <w:shd w:val="clear" w:color="auto" w:fill="D9D9D9" w:themeFill="background1" w:themeFillShade="D9"/>
          </w:tcPr>
          <w:p w14:paraId="04251E86" w14:textId="77777777" w:rsidR="003920D2" w:rsidRDefault="003920D2" w:rsidP="003920D2">
            <w:pPr>
              <w:spacing w:after="0" w:line="240" w:lineRule="auto"/>
              <w:jc w:val="center"/>
              <w:rPr>
                <w:rFonts w:asciiTheme="minorHAnsi" w:hAnsiTheme="minorHAnsi" w:cstheme="minorHAnsi"/>
                <w:sz w:val="16"/>
                <w:szCs w:val="16"/>
              </w:rPr>
            </w:pPr>
          </w:p>
        </w:tc>
        <w:tc>
          <w:tcPr>
            <w:tcW w:w="672" w:type="dxa"/>
            <w:tcBorders>
              <w:bottom w:val="nil"/>
            </w:tcBorders>
            <w:shd w:val="clear" w:color="auto" w:fill="D9D9D9" w:themeFill="background1" w:themeFillShade="D9"/>
          </w:tcPr>
          <w:p w14:paraId="3FDE4516" w14:textId="53DDEEF5" w:rsidR="003920D2" w:rsidRDefault="003920D2" w:rsidP="003920D2">
            <w:pPr>
              <w:spacing w:after="0" w:line="240" w:lineRule="auto"/>
              <w:jc w:val="center"/>
              <w:rPr>
                <w:rFonts w:asciiTheme="minorHAnsi" w:hAnsiTheme="minorHAnsi" w:cstheme="minorHAnsi"/>
                <w:sz w:val="16"/>
                <w:szCs w:val="16"/>
              </w:rPr>
            </w:pPr>
          </w:p>
        </w:tc>
      </w:tr>
      <w:tr w:rsidR="003920D2" w:rsidRPr="00287858" w14:paraId="3B4F854A" w14:textId="4D0D24D9" w:rsidTr="0028328F">
        <w:trPr>
          <w:trHeight w:val="390"/>
        </w:trPr>
        <w:tc>
          <w:tcPr>
            <w:tcW w:w="1451" w:type="dxa"/>
            <w:vMerge w:val="restart"/>
            <w:tcMar>
              <w:left w:w="57" w:type="dxa"/>
              <w:right w:w="57" w:type="dxa"/>
            </w:tcMar>
          </w:tcPr>
          <w:p w14:paraId="3B4F8546" w14:textId="77777777" w:rsidR="003920D2" w:rsidRPr="00DE3187" w:rsidRDefault="003920D2" w:rsidP="003920D2">
            <w:pPr>
              <w:spacing w:after="0" w:line="240" w:lineRule="auto"/>
              <w:jc w:val="left"/>
              <w:rPr>
                <w:b/>
                <w:sz w:val="18"/>
                <w:szCs w:val="18"/>
              </w:rPr>
            </w:pPr>
            <w:r w:rsidRPr="00DE3187">
              <w:rPr>
                <w:b/>
                <w:sz w:val="18"/>
                <w:szCs w:val="18"/>
              </w:rPr>
              <w:t xml:space="preserve">Riverbank and </w:t>
            </w:r>
            <w:r>
              <w:rPr>
                <w:b/>
                <w:sz w:val="18"/>
                <w:szCs w:val="18"/>
              </w:rPr>
              <w:t>aquatic</w:t>
            </w:r>
            <w:r w:rsidRPr="00DE3187">
              <w:rPr>
                <w:b/>
                <w:sz w:val="18"/>
                <w:szCs w:val="18"/>
              </w:rPr>
              <w:t xml:space="preserve"> veg</w:t>
            </w:r>
            <w:r>
              <w:rPr>
                <w:b/>
                <w:sz w:val="18"/>
                <w:szCs w:val="18"/>
              </w:rPr>
              <w:t>etation</w:t>
            </w:r>
          </w:p>
        </w:tc>
        <w:tc>
          <w:tcPr>
            <w:tcW w:w="2394" w:type="dxa"/>
            <w:shd w:val="clear" w:color="auto" w:fill="auto"/>
          </w:tcPr>
          <w:p w14:paraId="3B4F8547" w14:textId="77777777" w:rsidR="003920D2" w:rsidRPr="00A11AF6" w:rsidRDefault="003920D2" w:rsidP="003920D2">
            <w:pPr>
              <w:spacing w:after="0" w:line="240" w:lineRule="auto"/>
              <w:jc w:val="left"/>
              <w:rPr>
                <w:sz w:val="18"/>
                <w:szCs w:val="18"/>
              </w:rPr>
            </w:pPr>
            <w:r>
              <w:rPr>
                <w:sz w:val="18"/>
                <w:szCs w:val="18"/>
              </w:rPr>
              <w:t>Percent c</w:t>
            </w:r>
            <w:r w:rsidRPr="00A11AF6">
              <w:rPr>
                <w:sz w:val="18"/>
                <w:szCs w:val="18"/>
              </w:rPr>
              <w:t>over</w:t>
            </w:r>
            <w:r>
              <w:rPr>
                <w:sz w:val="18"/>
                <w:szCs w:val="18"/>
              </w:rPr>
              <w:t xml:space="preserve"> of riverbank and aquatic vegetation</w:t>
            </w:r>
          </w:p>
        </w:tc>
        <w:tc>
          <w:tcPr>
            <w:tcW w:w="756" w:type="dxa"/>
            <w:shd w:val="clear" w:color="auto" w:fill="C2D69B" w:themeFill="accent3" w:themeFillTint="99"/>
            <w:tcMar>
              <w:left w:w="57" w:type="dxa"/>
              <w:right w:w="57" w:type="dxa"/>
            </w:tcMar>
          </w:tcPr>
          <w:p w14:paraId="3B4F8548" w14:textId="77777777" w:rsidR="003920D2" w:rsidRPr="00A11AF6" w:rsidRDefault="003920D2" w:rsidP="003920D2">
            <w:pPr>
              <w:spacing w:after="0" w:line="240" w:lineRule="auto"/>
              <w:jc w:val="center"/>
              <w:rPr>
                <w:sz w:val="16"/>
                <w:szCs w:val="16"/>
              </w:rPr>
            </w:pPr>
          </w:p>
        </w:tc>
        <w:tc>
          <w:tcPr>
            <w:tcW w:w="686" w:type="dxa"/>
            <w:shd w:val="clear" w:color="auto" w:fill="FFFFFF" w:themeFill="background1"/>
          </w:tcPr>
          <w:p w14:paraId="474BE78D" w14:textId="5D4EA1A4" w:rsidR="003920D2" w:rsidRPr="00A11AF6" w:rsidRDefault="003920D2" w:rsidP="003920D2">
            <w:pPr>
              <w:spacing w:after="0" w:line="240" w:lineRule="auto"/>
              <w:jc w:val="center"/>
              <w:rPr>
                <w:sz w:val="16"/>
                <w:szCs w:val="16"/>
              </w:rPr>
            </w:pPr>
            <w:r>
              <w:rPr>
                <w:sz w:val="16"/>
                <w:szCs w:val="16"/>
              </w:rPr>
              <w:t>N/A</w:t>
            </w:r>
          </w:p>
        </w:tc>
        <w:tc>
          <w:tcPr>
            <w:tcW w:w="783" w:type="dxa"/>
            <w:shd w:val="clear" w:color="auto" w:fill="C2D69B" w:themeFill="accent3" w:themeFillTint="99"/>
          </w:tcPr>
          <w:p w14:paraId="547DDE32" w14:textId="7F38064B" w:rsidR="003920D2" w:rsidRPr="00A11AF6" w:rsidRDefault="003920D2" w:rsidP="003920D2">
            <w:pPr>
              <w:spacing w:after="0" w:line="240" w:lineRule="auto"/>
              <w:jc w:val="center"/>
              <w:rPr>
                <w:sz w:val="16"/>
                <w:szCs w:val="16"/>
              </w:rPr>
            </w:pPr>
            <w:r>
              <w:rPr>
                <w:sz w:val="16"/>
                <w:szCs w:val="16"/>
              </w:rPr>
              <w:t xml:space="preserve"> </w:t>
            </w:r>
          </w:p>
        </w:tc>
        <w:tc>
          <w:tcPr>
            <w:tcW w:w="840" w:type="dxa"/>
            <w:shd w:val="clear" w:color="auto" w:fill="C2D69B" w:themeFill="accent3" w:themeFillTint="99"/>
          </w:tcPr>
          <w:p w14:paraId="271903B7" w14:textId="7836418E" w:rsidR="003920D2" w:rsidRPr="00A11AF6" w:rsidRDefault="003920D2" w:rsidP="003920D2">
            <w:pPr>
              <w:spacing w:after="0" w:line="240" w:lineRule="auto"/>
              <w:jc w:val="center"/>
              <w:rPr>
                <w:sz w:val="16"/>
                <w:szCs w:val="16"/>
              </w:rPr>
            </w:pPr>
          </w:p>
        </w:tc>
        <w:tc>
          <w:tcPr>
            <w:tcW w:w="574" w:type="dxa"/>
            <w:shd w:val="clear" w:color="auto" w:fill="FFFFFF" w:themeFill="background1"/>
          </w:tcPr>
          <w:p w14:paraId="3B4F8549" w14:textId="0976404C" w:rsidR="003920D2" w:rsidRPr="00A11AF6" w:rsidRDefault="003920D2" w:rsidP="003920D2">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4CC71BA3"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5F0719EA"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0C4B7A18" w14:textId="1F10B547" w:rsidR="003920D2" w:rsidRPr="00A11AF6" w:rsidRDefault="003920D2" w:rsidP="003920D2">
            <w:pPr>
              <w:spacing w:after="0" w:line="240" w:lineRule="auto"/>
              <w:jc w:val="center"/>
              <w:rPr>
                <w:sz w:val="16"/>
                <w:szCs w:val="16"/>
              </w:rPr>
            </w:pPr>
          </w:p>
        </w:tc>
      </w:tr>
      <w:tr w:rsidR="003920D2" w:rsidRPr="00287858" w14:paraId="3B4F854F" w14:textId="4697955A" w:rsidTr="0028328F">
        <w:trPr>
          <w:trHeight w:val="265"/>
        </w:trPr>
        <w:tc>
          <w:tcPr>
            <w:tcW w:w="1451" w:type="dxa"/>
            <w:vMerge/>
            <w:tcMar>
              <w:left w:w="57" w:type="dxa"/>
              <w:right w:w="57" w:type="dxa"/>
            </w:tcMar>
          </w:tcPr>
          <w:p w14:paraId="3B4F854B" w14:textId="77777777" w:rsidR="003920D2" w:rsidRPr="00DE3187" w:rsidRDefault="003920D2" w:rsidP="003920D2">
            <w:pPr>
              <w:spacing w:after="0" w:line="240" w:lineRule="auto"/>
              <w:rPr>
                <w:b/>
                <w:sz w:val="18"/>
                <w:szCs w:val="18"/>
              </w:rPr>
            </w:pPr>
          </w:p>
        </w:tc>
        <w:tc>
          <w:tcPr>
            <w:tcW w:w="2394" w:type="dxa"/>
            <w:shd w:val="clear" w:color="auto" w:fill="auto"/>
          </w:tcPr>
          <w:p w14:paraId="3B4F854C" w14:textId="1E46FAFD" w:rsidR="003920D2" w:rsidRPr="00A11AF6" w:rsidRDefault="009878E0" w:rsidP="003920D2">
            <w:pPr>
              <w:spacing w:after="0" w:line="240" w:lineRule="auto"/>
              <w:jc w:val="left"/>
              <w:rPr>
                <w:sz w:val="18"/>
                <w:szCs w:val="18"/>
              </w:rPr>
            </w:pPr>
            <w:r>
              <w:rPr>
                <w:sz w:val="18"/>
                <w:szCs w:val="18"/>
              </w:rPr>
              <w:t>Taxonomic richne</w:t>
            </w:r>
            <w:r w:rsidR="00BB7675">
              <w:rPr>
                <w:sz w:val="18"/>
                <w:szCs w:val="18"/>
              </w:rPr>
              <w:t>ss</w:t>
            </w:r>
            <w:r w:rsidR="003920D2">
              <w:rPr>
                <w:sz w:val="18"/>
                <w:szCs w:val="18"/>
              </w:rPr>
              <w:t xml:space="preserve"> of riverbank and aquatic vegetation</w:t>
            </w:r>
          </w:p>
        </w:tc>
        <w:tc>
          <w:tcPr>
            <w:tcW w:w="756" w:type="dxa"/>
            <w:shd w:val="clear" w:color="auto" w:fill="C2D69B" w:themeFill="accent3" w:themeFillTint="99"/>
            <w:tcMar>
              <w:left w:w="57" w:type="dxa"/>
              <w:right w:w="57" w:type="dxa"/>
            </w:tcMar>
          </w:tcPr>
          <w:p w14:paraId="3B4F854D" w14:textId="77777777" w:rsidR="003920D2" w:rsidRPr="00A11AF6" w:rsidRDefault="003920D2" w:rsidP="003920D2">
            <w:pPr>
              <w:spacing w:after="0" w:line="240" w:lineRule="auto"/>
              <w:jc w:val="center"/>
              <w:rPr>
                <w:sz w:val="16"/>
                <w:szCs w:val="16"/>
              </w:rPr>
            </w:pPr>
          </w:p>
        </w:tc>
        <w:tc>
          <w:tcPr>
            <w:tcW w:w="686" w:type="dxa"/>
            <w:shd w:val="clear" w:color="auto" w:fill="FFFFFF" w:themeFill="background1"/>
          </w:tcPr>
          <w:p w14:paraId="5FEF186C" w14:textId="2C9C0265" w:rsidR="003920D2" w:rsidRPr="00A11AF6" w:rsidRDefault="003920D2" w:rsidP="003920D2">
            <w:pPr>
              <w:spacing w:after="0" w:line="240" w:lineRule="auto"/>
              <w:jc w:val="center"/>
              <w:rPr>
                <w:sz w:val="18"/>
                <w:szCs w:val="18"/>
              </w:rPr>
            </w:pPr>
            <w:r>
              <w:rPr>
                <w:sz w:val="16"/>
                <w:szCs w:val="16"/>
              </w:rPr>
              <w:t>N/A</w:t>
            </w:r>
          </w:p>
        </w:tc>
        <w:tc>
          <w:tcPr>
            <w:tcW w:w="783" w:type="dxa"/>
            <w:shd w:val="clear" w:color="auto" w:fill="C2D69B" w:themeFill="accent3" w:themeFillTint="99"/>
          </w:tcPr>
          <w:p w14:paraId="5B1ACAF7" w14:textId="77777777" w:rsidR="003920D2" w:rsidRPr="00A11AF6" w:rsidRDefault="003920D2" w:rsidP="003920D2">
            <w:pPr>
              <w:spacing w:after="0" w:line="240" w:lineRule="auto"/>
              <w:jc w:val="center"/>
              <w:rPr>
                <w:sz w:val="18"/>
                <w:szCs w:val="18"/>
              </w:rPr>
            </w:pPr>
          </w:p>
        </w:tc>
        <w:tc>
          <w:tcPr>
            <w:tcW w:w="840" w:type="dxa"/>
            <w:shd w:val="clear" w:color="auto" w:fill="C2D69B" w:themeFill="accent3" w:themeFillTint="99"/>
          </w:tcPr>
          <w:p w14:paraId="57A8BF1A" w14:textId="7BC1F682" w:rsidR="003920D2" w:rsidRPr="00A11AF6" w:rsidRDefault="003920D2" w:rsidP="003920D2">
            <w:pPr>
              <w:spacing w:after="0" w:line="240" w:lineRule="auto"/>
              <w:jc w:val="center"/>
              <w:rPr>
                <w:sz w:val="18"/>
                <w:szCs w:val="18"/>
              </w:rPr>
            </w:pPr>
          </w:p>
        </w:tc>
        <w:tc>
          <w:tcPr>
            <w:tcW w:w="574" w:type="dxa"/>
            <w:shd w:val="clear" w:color="auto" w:fill="FFFFFF" w:themeFill="background1"/>
          </w:tcPr>
          <w:p w14:paraId="3B4F854E" w14:textId="188D4ED9" w:rsidR="003920D2" w:rsidRPr="00A11AF6" w:rsidRDefault="003920D2" w:rsidP="003920D2">
            <w:pPr>
              <w:spacing w:after="0" w:line="240" w:lineRule="auto"/>
              <w:jc w:val="center"/>
              <w:rPr>
                <w:sz w:val="18"/>
                <w:szCs w:val="18"/>
              </w:rPr>
            </w:pPr>
            <w:r>
              <w:rPr>
                <w:sz w:val="16"/>
                <w:szCs w:val="16"/>
              </w:rPr>
              <w:t>N/A</w:t>
            </w:r>
          </w:p>
        </w:tc>
        <w:tc>
          <w:tcPr>
            <w:tcW w:w="742" w:type="dxa"/>
            <w:shd w:val="clear" w:color="auto" w:fill="D9D9D9" w:themeFill="background1" w:themeFillShade="D9"/>
          </w:tcPr>
          <w:p w14:paraId="6BD44F5A" w14:textId="77777777" w:rsidR="003920D2" w:rsidRPr="00A11AF6" w:rsidRDefault="003920D2" w:rsidP="003920D2">
            <w:pPr>
              <w:spacing w:after="0" w:line="240" w:lineRule="auto"/>
              <w:jc w:val="center"/>
              <w:rPr>
                <w:sz w:val="18"/>
                <w:szCs w:val="18"/>
              </w:rPr>
            </w:pPr>
          </w:p>
        </w:tc>
        <w:tc>
          <w:tcPr>
            <w:tcW w:w="672" w:type="dxa"/>
            <w:shd w:val="clear" w:color="auto" w:fill="D9D9D9" w:themeFill="background1" w:themeFillShade="D9"/>
          </w:tcPr>
          <w:p w14:paraId="1DD9A5A6" w14:textId="77777777" w:rsidR="003920D2" w:rsidRPr="00A11AF6" w:rsidRDefault="003920D2" w:rsidP="003920D2">
            <w:pPr>
              <w:spacing w:after="0" w:line="240" w:lineRule="auto"/>
              <w:jc w:val="center"/>
              <w:rPr>
                <w:sz w:val="18"/>
                <w:szCs w:val="18"/>
              </w:rPr>
            </w:pPr>
          </w:p>
        </w:tc>
        <w:tc>
          <w:tcPr>
            <w:tcW w:w="672" w:type="dxa"/>
            <w:shd w:val="clear" w:color="auto" w:fill="D9D9D9" w:themeFill="background1" w:themeFillShade="D9"/>
          </w:tcPr>
          <w:p w14:paraId="40498519" w14:textId="2E7A1DE5" w:rsidR="003920D2" w:rsidRPr="00A11AF6" w:rsidRDefault="003920D2" w:rsidP="003920D2">
            <w:pPr>
              <w:spacing w:after="0" w:line="240" w:lineRule="auto"/>
              <w:jc w:val="center"/>
              <w:rPr>
                <w:sz w:val="18"/>
                <w:szCs w:val="18"/>
              </w:rPr>
            </w:pPr>
          </w:p>
        </w:tc>
      </w:tr>
      <w:tr w:rsidR="003920D2" w:rsidRPr="00287858" w14:paraId="3B4F8554" w14:textId="5F83DD08" w:rsidTr="009878E0">
        <w:trPr>
          <w:trHeight w:val="215"/>
        </w:trPr>
        <w:tc>
          <w:tcPr>
            <w:tcW w:w="1451" w:type="dxa"/>
            <w:tcMar>
              <w:left w:w="57" w:type="dxa"/>
              <w:right w:w="57" w:type="dxa"/>
            </w:tcMar>
          </w:tcPr>
          <w:p w14:paraId="3B4F8550" w14:textId="77777777" w:rsidR="003920D2" w:rsidRPr="00DE3187" w:rsidRDefault="003920D2" w:rsidP="003920D2">
            <w:pPr>
              <w:spacing w:after="0" w:line="240" w:lineRule="auto"/>
              <w:rPr>
                <w:b/>
                <w:sz w:val="18"/>
                <w:szCs w:val="18"/>
              </w:rPr>
            </w:pPr>
            <w:r w:rsidRPr="00DE3187">
              <w:rPr>
                <w:b/>
                <w:sz w:val="18"/>
                <w:szCs w:val="18"/>
              </w:rPr>
              <w:t>Fish movement</w:t>
            </w:r>
          </w:p>
        </w:tc>
        <w:tc>
          <w:tcPr>
            <w:tcW w:w="2394" w:type="dxa"/>
            <w:shd w:val="clear" w:color="auto" w:fill="auto"/>
          </w:tcPr>
          <w:p w14:paraId="3B4F8551" w14:textId="507D8735" w:rsidR="003920D2" w:rsidRPr="00117F2C" w:rsidRDefault="003920D2" w:rsidP="00C3012B">
            <w:pPr>
              <w:spacing w:after="0" w:line="240" w:lineRule="auto"/>
              <w:jc w:val="left"/>
              <w:rPr>
                <w:sz w:val="18"/>
                <w:szCs w:val="18"/>
              </w:rPr>
            </w:pPr>
            <w:r w:rsidRPr="00117F2C">
              <w:rPr>
                <w:sz w:val="18"/>
                <w:szCs w:val="18"/>
              </w:rPr>
              <w:t>Native fish movement</w:t>
            </w:r>
          </w:p>
        </w:tc>
        <w:tc>
          <w:tcPr>
            <w:tcW w:w="756" w:type="dxa"/>
            <w:shd w:val="clear" w:color="auto" w:fill="D9D9D9" w:themeFill="background1" w:themeFillShade="D9"/>
            <w:tcMar>
              <w:left w:w="57" w:type="dxa"/>
              <w:right w:w="57" w:type="dxa"/>
            </w:tcMar>
          </w:tcPr>
          <w:p w14:paraId="3B4F8552" w14:textId="77777777" w:rsidR="003920D2" w:rsidRPr="00A11AF6" w:rsidRDefault="003920D2" w:rsidP="003920D2">
            <w:pPr>
              <w:spacing w:after="120" w:line="240" w:lineRule="auto"/>
              <w:jc w:val="center"/>
              <w:rPr>
                <w:sz w:val="16"/>
                <w:szCs w:val="16"/>
              </w:rPr>
            </w:pPr>
          </w:p>
        </w:tc>
        <w:tc>
          <w:tcPr>
            <w:tcW w:w="686" w:type="dxa"/>
            <w:shd w:val="clear" w:color="auto" w:fill="FFFFFF" w:themeFill="background1"/>
          </w:tcPr>
          <w:p w14:paraId="042FDE65" w14:textId="04160E36" w:rsidR="003920D2" w:rsidRDefault="003920D2" w:rsidP="003920D2">
            <w:pPr>
              <w:spacing w:after="0" w:line="240" w:lineRule="auto"/>
              <w:jc w:val="center"/>
              <w:rPr>
                <w:sz w:val="16"/>
                <w:szCs w:val="16"/>
              </w:rPr>
            </w:pPr>
            <w:r>
              <w:rPr>
                <w:sz w:val="16"/>
                <w:szCs w:val="16"/>
              </w:rPr>
              <w:t>N/A</w:t>
            </w:r>
          </w:p>
        </w:tc>
        <w:tc>
          <w:tcPr>
            <w:tcW w:w="783" w:type="dxa"/>
            <w:shd w:val="clear" w:color="auto" w:fill="C2D69B" w:themeFill="accent3" w:themeFillTint="99"/>
          </w:tcPr>
          <w:p w14:paraId="6C716515" w14:textId="77777777" w:rsidR="003920D2" w:rsidRDefault="003920D2" w:rsidP="003920D2">
            <w:pPr>
              <w:spacing w:after="0" w:line="240" w:lineRule="auto"/>
              <w:jc w:val="center"/>
              <w:rPr>
                <w:sz w:val="16"/>
                <w:szCs w:val="16"/>
              </w:rPr>
            </w:pPr>
          </w:p>
        </w:tc>
        <w:tc>
          <w:tcPr>
            <w:tcW w:w="840" w:type="dxa"/>
            <w:shd w:val="clear" w:color="auto" w:fill="D9D9D9" w:themeFill="background1" w:themeFillShade="D9"/>
          </w:tcPr>
          <w:p w14:paraId="56B4946E" w14:textId="2DE95BBE" w:rsidR="003920D2" w:rsidRDefault="003920D2" w:rsidP="003920D2">
            <w:pPr>
              <w:spacing w:after="0" w:line="240" w:lineRule="auto"/>
              <w:jc w:val="center"/>
              <w:rPr>
                <w:sz w:val="16"/>
                <w:szCs w:val="16"/>
              </w:rPr>
            </w:pPr>
          </w:p>
        </w:tc>
        <w:tc>
          <w:tcPr>
            <w:tcW w:w="574" w:type="dxa"/>
            <w:shd w:val="clear" w:color="auto" w:fill="FFFFFF" w:themeFill="background1"/>
          </w:tcPr>
          <w:p w14:paraId="3B4F8553" w14:textId="001686E5" w:rsidR="003920D2" w:rsidRDefault="003920D2" w:rsidP="003920D2">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382A9FAF" w14:textId="77777777" w:rsidR="003920D2" w:rsidRDefault="003920D2" w:rsidP="003920D2">
            <w:pPr>
              <w:spacing w:after="0" w:line="240" w:lineRule="auto"/>
              <w:jc w:val="center"/>
              <w:rPr>
                <w:sz w:val="16"/>
                <w:szCs w:val="16"/>
              </w:rPr>
            </w:pPr>
          </w:p>
        </w:tc>
        <w:tc>
          <w:tcPr>
            <w:tcW w:w="672" w:type="dxa"/>
            <w:shd w:val="clear" w:color="auto" w:fill="D9D9D9" w:themeFill="background1" w:themeFillShade="D9"/>
          </w:tcPr>
          <w:p w14:paraId="44D56426" w14:textId="77777777" w:rsidR="003920D2" w:rsidRDefault="003920D2" w:rsidP="003920D2">
            <w:pPr>
              <w:spacing w:after="0" w:line="240" w:lineRule="auto"/>
              <w:jc w:val="center"/>
              <w:rPr>
                <w:sz w:val="16"/>
                <w:szCs w:val="16"/>
              </w:rPr>
            </w:pPr>
          </w:p>
        </w:tc>
        <w:tc>
          <w:tcPr>
            <w:tcW w:w="672" w:type="dxa"/>
            <w:shd w:val="clear" w:color="auto" w:fill="D9D9D9" w:themeFill="background1" w:themeFillShade="D9"/>
          </w:tcPr>
          <w:p w14:paraId="60C36AA6" w14:textId="41B48169" w:rsidR="003920D2" w:rsidRDefault="003920D2" w:rsidP="003920D2">
            <w:pPr>
              <w:spacing w:after="0" w:line="240" w:lineRule="auto"/>
              <w:jc w:val="center"/>
              <w:rPr>
                <w:sz w:val="16"/>
                <w:szCs w:val="16"/>
              </w:rPr>
            </w:pPr>
          </w:p>
        </w:tc>
      </w:tr>
      <w:tr w:rsidR="003920D2" w:rsidRPr="00287858" w14:paraId="3B4F8559" w14:textId="43DF4DFA" w:rsidTr="0028328F">
        <w:trPr>
          <w:trHeight w:val="390"/>
        </w:trPr>
        <w:tc>
          <w:tcPr>
            <w:tcW w:w="1451" w:type="dxa"/>
            <w:vMerge w:val="restart"/>
            <w:tcMar>
              <w:left w:w="57" w:type="dxa"/>
              <w:right w:w="57" w:type="dxa"/>
            </w:tcMar>
          </w:tcPr>
          <w:p w14:paraId="3B4F8555" w14:textId="77777777" w:rsidR="003920D2" w:rsidRPr="00DE3187" w:rsidRDefault="003920D2" w:rsidP="003920D2">
            <w:pPr>
              <w:spacing w:after="0" w:line="240" w:lineRule="auto"/>
              <w:rPr>
                <w:b/>
                <w:sz w:val="18"/>
                <w:szCs w:val="18"/>
              </w:rPr>
            </w:pPr>
            <w:r w:rsidRPr="00DE3187">
              <w:rPr>
                <w:b/>
                <w:sz w:val="18"/>
                <w:szCs w:val="18"/>
              </w:rPr>
              <w:t>Fish spawning and reproduction</w:t>
            </w:r>
          </w:p>
        </w:tc>
        <w:tc>
          <w:tcPr>
            <w:tcW w:w="2394" w:type="dxa"/>
            <w:shd w:val="clear" w:color="auto" w:fill="auto"/>
          </w:tcPr>
          <w:p w14:paraId="3B4F8556" w14:textId="77777777" w:rsidR="003920D2" w:rsidRPr="005B2913" w:rsidRDefault="003920D2" w:rsidP="003920D2">
            <w:pPr>
              <w:spacing w:after="0" w:line="240" w:lineRule="auto"/>
              <w:jc w:val="left"/>
              <w:rPr>
                <w:sz w:val="18"/>
                <w:szCs w:val="18"/>
              </w:rPr>
            </w:pPr>
            <w:r w:rsidRPr="005B2913">
              <w:rPr>
                <w:sz w:val="18"/>
                <w:szCs w:val="18"/>
              </w:rPr>
              <w:t>Larval abundance of 'Opportunistic' (e.g. small bodied fish) species</w:t>
            </w:r>
          </w:p>
        </w:tc>
        <w:tc>
          <w:tcPr>
            <w:tcW w:w="756" w:type="dxa"/>
            <w:shd w:val="clear" w:color="auto" w:fill="FFC000"/>
            <w:tcMar>
              <w:left w:w="57" w:type="dxa"/>
              <w:right w:w="57" w:type="dxa"/>
            </w:tcMar>
          </w:tcPr>
          <w:p w14:paraId="3B4F8557" w14:textId="77777777" w:rsidR="003920D2" w:rsidRPr="00A11AF6" w:rsidRDefault="003920D2" w:rsidP="003920D2">
            <w:pPr>
              <w:spacing w:after="0" w:line="240" w:lineRule="auto"/>
              <w:jc w:val="center"/>
              <w:rPr>
                <w:sz w:val="16"/>
                <w:szCs w:val="16"/>
              </w:rPr>
            </w:pPr>
          </w:p>
        </w:tc>
        <w:tc>
          <w:tcPr>
            <w:tcW w:w="686" w:type="dxa"/>
            <w:shd w:val="clear" w:color="auto" w:fill="FFFFFF" w:themeFill="background1"/>
          </w:tcPr>
          <w:p w14:paraId="5A85F73D" w14:textId="5D2BCFB5" w:rsidR="003920D2" w:rsidRPr="00A11AF6" w:rsidRDefault="003920D2" w:rsidP="003920D2">
            <w:pPr>
              <w:spacing w:after="0" w:line="240" w:lineRule="auto"/>
              <w:jc w:val="center"/>
              <w:rPr>
                <w:sz w:val="16"/>
                <w:szCs w:val="16"/>
              </w:rPr>
            </w:pPr>
            <w:r>
              <w:rPr>
                <w:sz w:val="16"/>
                <w:szCs w:val="16"/>
              </w:rPr>
              <w:t>N/A</w:t>
            </w:r>
          </w:p>
        </w:tc>
        <w:tc>
          <w:tcPr>
            <w:tcW w:w="783" w:type="dxa"/>
            <w:shd w:val="clear" w:color="auto" w:fill="D9D9D9" w:themeFill="background1" w:themeFillShade="D9"/>
          </w:tcPr>
          <w:p w14:paraId="0AD155C5" w14:textId="77777777" w:rsidR="003920D2" w:rsidRPr="00A11AF6" w:rsidRDefault="003920D2" w:rsidP="003920D2">
            <w:pPr>
              <w:spacing w:after="0" w:line="240" w:lineRule="auto"/>
              <w:jc w:val="center"/>
              <w:rPr>
                <w:sz w:val="16"/>
                <w:szCs w:val="16"/>
              </w:rPr>
            </w:pPr>
          </w:p>
        </w:tc>
        <w:tc>
          <w:tcPr>
            <w:tcW w:w="840" w:type="dxa"/>
            <w:shd w:val="clear" w:color="auto" w:fill="D9D9D9" w:themeFill="background1" w:themeFillShade="D9"/>
          </w:tcPr>
          <w:p w14:paraId="23A27AEF" w14:textId="553FC765" w:rsidR="003920D2" w:rsidRPr="00A11AF6" w:rsidRDefault="003920D2" w:rsidP="003920D2">
            <w:pPr>
              <w:spacing w:after="0" w:line="240" w:lineRule="auto"/>
              <w:jc w:val="center"/>
              <w:rPr>
                <w:sz w:val="16"/>
                <w:szCs w:val="16"/>
              </w:rPr>
            </w:pPr>
          </w:p>
        </w:tc>
        <w:tc>
          <w:tcPr>
            <w:tcW w:w="574" w:type="dxa"/>
            <w:shd w:val="clear" w:color="auto" w:fill="FFFFFF" w:themeFill="background1"/>
          </w:tcPr>
          <w:p w14:paraId="3B4F8558" w14:textId="7B41AB2C" w:rsidR="003920D2" w:rsidRPr="00A11AF6" w:rsidRDefault="003920D2" w:rsidP="003920D2">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75202784"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62DDFA61"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68BF4A55" w14:textId="496FD8D3" w:rsidR="003920D2" w:rsidRPr="00A11AF6" w:rsidRDefault="003920D2" w:rsidP="003920D2">
            <w:pPr>
              <w:spacing w:after="0" w:line="240" w:lineRule="auto"/>
              <w:jc w:val="center"/>
              <w:rPr>
                <w:sz w:val="16"/>
                <w:szCs w:val="16"/>
              </w:rPr>
            </w:pPr>
          </w:p>
        </w:tc>
      </w:tr>
      <w:tr w:rsidR="003920D2" w:rsidRPr="00287858" w14:paraId="3B4F855E" w14:textId="0D9388E8" w:rsidTr="0028328F">
        <w:trPr>
          <w:trHeight w:val="389"/>
        </w:trPr>
        <w:tc>
          <w:tcPr>
            <w:tcW w:w="1451" w:type="dxa"/>
            <w:vMerge/>
            <w:tcMar>
              <w:left w:w="57" w:type="dxa"/>
              <w:right w:w="57" w:type="dxa"/>
            </w:tcMar>
          </w:tcPr>
          <w:p w14:paraId="3B4F855A" w14:textId="77777777" w:rsidR="003920D2" w:rsidRPr="00DE3187" w:rsidRDefault="003920D2" w:rsidP="003920D2">
            <w:pPr>
              <w:spacing w:after="0" w:line="240" w:lineRule="auto"/>
              <w:rPr>
                <w:b/>
                <w:sz w:val="18"/>
                <w:szCs w:val="18"/>
              </w:rPr>
            </w:pPr>
          </w:p>
        </w:tc>
        <w:tc>
          <w:tcPr>
            <w:tcW w:w="2394" w:type="dxa"/>
            <w:shd w:val="clear" w:color="auto" w:fill="auto"/>
          </w:tcPr>
          <w:p w14:paraId="3B4F855B" w14:textId="77777777" w:rsidR="003920D2" w:rsidRPr="005B2913" w:rsidRDefault="003920D2" w:rsidP="003920D2">
            <w:pPr>
              <w:spacing w:after="0" w:line="240" w:lineRule="auto"/>
              <w:jc w:val="left"/>
              <w:rPr>
                <w:sz w:val="18"/>
                <w:szCs w:val="18"/>
              </w:rPr>
            </w:pPr>
            <w:r w:rsidRPr="005B2913">
              <w:rPr>
                <w:sz w:val="18"/>
                <w:szCs w:val="18"/>
              </w:rPr>
              <w:t>Larval abundance of ‘flow-dependent’ spawning species (e.g. golden and silver perch)</w:t>
            </w:r>
          </w:p>
        </w:tc>
        <w:tc>
          <w:tcPr>
            <w:tcW w:w="756" w:type="dxa"/>
            <w:shd w:val="clear" w:color="auto" w:fill="D9D9D9" w:themeFill="background1" w:themeFillShade="D9"/>
            <w:tcMar>
              <w:left w:w="57" w:type="dxa"/>
              <w:right w:w="57" w:type="dxa"/>
            </w:tcMar>
          </w:tcPr>
          <w:p w14:paraId="3B4F855C" w14:textId="77777777" w:rsidR="003920D2" w:rsidRPr="00A11AF6" w:rsidRDefault="003920D2" w:rsidP="003920D2">
            <w:pPr>
              <w:spacing w:after="0" w:line="240" w:lineRule="auto"/>
              <w:jc w:val="center"/>
              <w:rPr>
                <w:sz w:val="16"/>
                <w:szCs w:val="16"/>
              </w:rPr>
            </w:pPr>
          </w:p>
        </w:tc>
        <w:tc>
          <w:tcPr>
            <w:tcW w:w="686" w:type="dxa"/>
            <w:shd w:val="clear" w:color="auto" w:fill="FFFFFF" w:themeFill="background1"/>
          </w:tcPr>
          <w:p w14:paraId="79538627" w14:textId="4032BFD2" w:rsidR="003920D2" w:rsidRPr="00A11AF6" w:rsidRDefault="003920D2" w:rsidP="003920D2">
            <w:pPr>
              <w:spacing w:after="0" w:line="240" w:lineRule="auto"/>
              <w:jc w:val="center"/>
              <w:rPr>
                <w:sz w:val="16"/>
                <w:szCs w:val="16"/>
              </w:rPr>
            </w:pPr>
            <w:r>
              <w:rPr>
                <w:sz w:val="16"/>
                <w:szCs w:val="16"/>
              </w:rPr>
              <w:t>N/A</w:t>
            </w:r>
          </w:p>
        </w:tc>
        <w:tc>
          <w:tcPr>
            <w:tcW w:w="783" w:type="dxa"/>
            <w:shd w:val="clear" w:color="auto" w:fill="D9D9D9" w:themeFill="background1" w:themeFillShade="D9"/>
          </w:tcPr>
          <w:p w14:paraId="34AFB5E2" w14:textId="77777777" w:rsidR="003920D2" w:rsidRPr="00A11AF6" w:rsidRDefault="003920D2" w:rsidP="003920D2">
            <w:pPr>
              <w:spacing w:after="0" w:line="240" w:lineRule="auto"/>
              <w:jc w:val="center"/>
              <w:rPr>
                <w:sz w:val="16"/>
                <w:szCs w:val="16"/>
              </w:rPr>
            </w:pPr>
          </w:p>
        </w:tc>
        <w:tc>
          <w:tcPr>
            <w:tcW w:w="840" w:type="dxa"/>
            <w:shd w:val="clear" w:color="auto" w:fill="D9D9D9" w:themeFill="background1" w:themeFillShade="D9"/>
          </w:tcPr>
          <w:p w14:paraId="292F9D61" w14:textId="1BD42582" w:rsidR="003920D2" w:rsidRPr="00A11AF6" w:rsidRDefault="003920D2" w:rsidP="003920D2">
            <w:pPr>
              <w:spacing w:after="0" w:line="240" w:lineRule="auto"/>
              <w:jc w:val="center"/>
              <w:rPr>
                <w:sz w:val="16"/>
                <w:szCs w:val="16"/>
              </w:rPr>
            </w:pPr>
          </w:p>
        </w:tc>
        <w:tc>
          <w:tcPr>
            <w:tcW w:w="574" w:type="dxa"/>
            <w:shd w:val="clear" w:color="auto" w:fill="FFFFFF" w:themeFill="background1"/>
          </w:tcPr>
          <w:p w14:paraId="3B4F855D" w14:textId="2150A8BB" w:rsidR="003920D2" w:rsidRPr="00A11AF6" w:rsidRDefault="003920D2" w:rsidP="003920D2">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1E0E8A37"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10F3FF60"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6FF7E094" w14:textId="78DB525F" w:rsidR="003920D2" w:rsidRPr="00A11AF6" w:rsidRDefault="003920D2" w:rsidP="003920D2">
            <w:pPr>
              <w:spacing w:after="0" w:line="240" w:lineRule="auto"/>
              <w:jc w:val="center"/>
              <w:rPr>
                <w:sz w:val="16"/>
                <w:szCs w:val="16"/>
              </w:rPr>
            </w:pPr>
          </w:p>
        </w:tc>
      </w:tr>
      <w:tr w:rsidR="003920D2" w:rsidRPr="00287858" w14:paraId="3B4F8563" w14:textId="136F85BB" w:rsidTr="0028328F">
        <w:trPr>
          <w:trHeight w:val="389"/>
        </w:trPr>
        <w:tc>
          <w:tcPr>
            <w:tcW w:w="1451" w:type="dxa"/>
            <w:vMerge/>
            <w:tcMar>
              <w:left w:w="57" w:type="dxa"/>
              <w:right w:w="57" w:type="dxa"/>
            </w:tcMar>
          </w:tcPr>
          <w:p w14:paraId="3B4F855F" w14:textId="77777777" w:rsidR="003920D2" w:rsidRPr="00DE3187" w:rsidRDefault="003920D2" w:rsidP="003920D2">
            <w:pPr>
              <w:spacing w:after="0" w:line="240" w:lineRule="auto"/>
              <w:rPr>
                <w:b/>
                <w:sz w:val="18"/>
                <w:szCs w:val="18"/>
              </w:rPr>
            </w:pPr>
          </w:p>
        </w:tc>
        <w:tc>
          <w:tcPr>
            <w:tcW w:w="2394" w:type="dxa"/>
            <w:shd w:val="clear" w:color="auto" w:fill="auto"/>
          </w:tcPr>
          <w:p w14:paraId="3B4F8560" w14:textId="77777777" w:rsidR="003920D2" w:rsidRPr="005B2913" w:rsidRDefault="003920D2" w:rsidP="003920D2">
            <w:pPr>
              <w:spacing w:after="0" w:line="240" w:lineRule="auto"/>
              <w:jc w:val="left"/>
              <w:rPr>
                <w:sz w:val="18"/>
                <w:szCs w:val="18"/>
              </w:rPr>
            </w:pPr>
            <w:r w:rsidRPr="005B2913">
              <w:rPr>
                <w:sz w:val="18"/>
                <w:szCs w:val="18"/>
              </w:rPr>
              <w:t>Larval abundance of Murray cod</w:t>
            </w:r>
          </w:p>
        </w:tc>
        <w:tc>
          <w:tcPr>
            <w:tcW w:w="756" w:type="dxa"/>
            <w:shd w:val="clear" w:color="auto" w:fill="D9D9D9" w:themeFill="background1" w:themeFillShade="D9"/>
            <w:tcMar>
              <w:left w:w="57" w:type="dxa"/>
              <w:right w:w="57" w:type="dxa"/>
            </w:tcMar>
          </w:tcPr>
          <w:p w14:paraId="3B4F8561" w14:textId="77777777" w:rsidR="003920D2" w:rsidRPr="00A11AF6" w:rsidRDefault="003920D2" w:rsidP="003920D2">
            <w:pPr>
              <w:spacing w:after="0" w:line="240" w:lineRule="auto"/>
              <w:jc w:val="center"/>
              <w:rPr>
                <w:sz w:val="16"/>
                <w:szCs w:val="16"/>
              </w:rPr>
            </w:pPr>
          </w:p>
        </w:tc>
        <w:tc>
          <w:tcPr>
            <w:tcW w:w="686" w:type="dxa"/>
            <w:shd w:val="clear" w:color="auto" w:fill="FFFFFF" w:themeFill="background1"/>
          </w:tcPr>
          <w:p w14:paraId="20FC197D" w14:textId="75F5AFF4" w:rsidR="003920D2" w:rsidRPr="00A11AF6" w:rsidRDefault="003920D2" w:rsidP="003920D2">
            <w:pPr>
              <w:spacing w:after="0" w:line="240" w:lineRule="auto"/>
              <w:jc w:val="center"/>
              <w:rPr>
                <w:sz w:val="16"/>
                <w:szCs w:val="16"/>
              </w:rPr>
            </w:pPr>
            <w:r>
              <w:rPr>
                <w:sz w:val="16"/>
                <w:szCs w:val="16"/>
              </w:rPr>
              <w:t>N/A</w:t>
            </w:r>
          </w:p>
        </w:tc>
        <w:tc>
          <w:tcPr>
            <w:tcW w:w="783" w:type="dxa"/>
            <w:shd w:val="clear" w:color="auto" w:fill="D9D9D9" w:themeFill="background1" w:themeFillShade="D9"/>
          </w:tcPr>
          <w:p w14:paraId="095744D8" w14:textId="77777777" w:rsidR="003920D2" w:rsidRPr="00A11AF6" w:rsidRDefault="003920D2" w:rsidP="003920D2">
            <w:pPr>
              <w:spacing w:after="0" w:line="240" w:lineRule="auto"/>
              <w:jc w:val="center"/>
              <w:rPr>
                <w:sz w:val="16"/>
                <w:szCs w:val="16"/>
              </w:rPr>
            </w:pPr>
          </w:p>
        </w:tc>
        <w:tc>
          <w:tcPr>
            <w:tcW w:w="840" w:type="dxa"/>
            <w:shd w:val="clear" w:color="auto" w:fill="D9D9D9" w:themeFill="background1" w:themeFillShade="D9"/>
          </w:tcPr>
          <w:p w14:paraId="24989198" w14:textId="53E167C8" w:rsidR="003920D2" w:rsidRPr="00A11AF6" w:rsidRDefault="003920D2" w:rsidP="003920D2">
            <w:pPr>
              <w:spacing w:after="0" w:line="240" w:lineRule="auto"/>
              <w:jc w:val="center"/>
              <w:rPr>
                <w:sz w:val="16"/>
                <w:szCs w:val="16"/>
              </w:rPr>
            </w:pPr>
          </w:p>
        </w:tc>
        <w:tc>
          <w:tcPr>
            <w:tcW w:w="574" w:type="dxa"/>
            <w:shd w:val="clear" w:color="auto" w:fill="FFFFFF" w:themeFill="background1"/>
          </w:tcPr>
          <w:p w14:paraId="3B4F8562" w14:textId="2E65C4DC" w:rsidR="003920D2" w:rsidRPr="00A11AF6" w:rsidRDefault="003920D2" w:rsidP="003920D2">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5D4A0D72"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2CFA4425" w14:textId="77777777" w:rsidR="003920D2" w:rsidRPr="00A11AF6" w:rsidRDefault="003920D2" w:rsidP="003920D2">
            <w:pPr>
              <w:spacing w:after="0" w:line="240" w:lineRule="auto"/>
              <w:jc w:val="center"/>
              <w:rPr>
                <w:sz w:val="16"/>
                <w:szCs w:val="16"/>
              </w:rPr>
            </w:pPr>
          </w:p>
        </w:tc>
        <w:tc>
          <w:tcPr>
            <w:tcW w:w="672" w:type="dxa"/>
            <w:shd w:val="clear" w:color="auto" w:fill="D9D9D9" w:themeFill="background1" w:themeFillShade="D9"/>
          </w:tcPr>
          <w:p w14:paraId="386A0311" w14:textId="7B98B8E6" w:rsidR="003920D2" w:rsidRPr="00A11AF6" w:rsidRDefault="003920D2" w:rsidP="003920D2">
            <w:pPr>
              <w:spacing w:after="0" w:line="240" w:lineRule="auto"/>
              <w:jc w:val="center"/>
              <w:rPr>
                <w:sz w:val="16"/>
                <w:szCs w:val="16"/>
              </w:rPr>
            </w:pPr>
          </w:p>
        </w:tc>
      </w:tr>
      <w:tr w:rsidR="003920D2" w:rsidRPr="00287858" w14:paraId="3B4F8568" w14:textId="56047C7D" w:rsidTr="0028328F">
        <w:trPr>
          <w:trHeight w:val="353"/>
        </w:trPr>
        <w:tc>
          <w:tcPr>
            <w:tcW w:w="1451" w:type="dxa"/>
            <w:vMerge w:val="restart"/>
            <w:tcMar>
              <w:left w:w="57" w:type="dxa"/>
              <w:right w:w="57" w:type="dxa"/>
            </w:tcMar>
          </w:tcPr>
          <w:p w14:paraId="3B4F8564" w14:textId="77777777" w:rsidR="003920D2" w:rsidRPr="00DE3187" w:rsidRDefault="003920D2" w:rsidP="003920D2">
            <w:pPr>
              <w:spacing w:after="0" w:line="240" w:lineRule="auto"/>
              <w:rPr>
                <w:b/>
                <w:sz w:val="18"/>
                <w:szCs w:val="18"/>
              </w:rPr>
            </w:pPr>
            <w:r w:rsidRPr="00DE3187">
              <w:rPr>
                <w:b/>
                <w:sz w:val="18"/>
                <w:szCs w:val="18"/>
              </w:rPr>
              <w:t>Fish recruitment</w:t>
            </w:r>
          </w:p>
        </w:tc>
        <w:tc>
          <w:tcPr>
            <w:tcW w:w="2394" w:type="dxa"/>
            <w:shd w:val="clear" w:color="auto" w:fill="auto"/>
          </w:tcPr>
          <w:p w14:paraId="3B4F8565" w14:textId="1A003781" w:rsidR="003920D2" w:rsidRPr="005B2913" w:rsidRDefault="003920D2" w:rsidP="003920D2">
            <w:pPr>
              <w:spacing w:after="0" w:line="240" w:lineRule="auto"/>
              <w:jc w:val="left"/>
              <w:rPr>
                <w:sz w:val="18"/>
                <w:szCs w:val="18"/>
              </w:rPr>
            </w:pPr>
            <w:r w:rsidRPr="005B2913">
              <w:rPr>
                <w:sz w:val="18"/>
                <w:szCs w:val="18"/>
              </w:rPr>
              <w:t>Growth rate of young-of-year (YOY) and age-class 1 (1+) Murray cod</w:t>
            </w:r>
            <w:r w:rsidR="00F56294">
              <w:rPr>
                <w:sz w:val="18"/>
                <w:szCs w:val="18"/>
              </w:rPr>
              <w:t>, golden perch and silver perch</w:t>
            </w:r>
          </w:p>
        </w:tc>
        <w:tc>
          <w:tcPr>
            <w:tcW w:w="756" w:type="dxa"/>
            <w:shd w:val="clear" w:color="auto" w:fill="D9D9D9" w:themeFill="background1" w:themeFillShade="D9"/>
            <w:tcMar>
              <w:left w:w="57" w:type="dxa"/>
              <w:right w:w="57" w:type="dxa"/>
            </w:tcMar>
          </w:tcPr>
          <w:p w14:paraId="3B4F8566" w14:textId="77777777" w:rsidR="003920D2" w:rsidRPr="00D07598" w:rsidRDefault="003920D2" w:rsidP="003920D2">
            <w:pPr>
              <w:spacing w:after="0" w:line="240" w:lineRule="auto"/>
              <w:jc w:val="center"/>
              <w:rPr>
                <w:b/>
                <w:sz w:val="16"/>
                <w:szCs w:val="16"/>
              </w:rPr>
            </w:pPr>
          </w:p>
        </w:tc>
        <w:tc>
          <w:tcPr>
            <w:tcW w:w="686" w:type="dxa"/>
            <w:shd w:val="clear" w:color="auto" w:fill="FFFFFF" w:themeFill="background1"/>
          </w:tcPr>
          <w:p w14:paraId="4DE4AF85" w14:textId="6E49921A" w:rsidR="003920D2" w:rsidRPr="00D07598" w:rsidRDefault="003920D2" w:rsidP="003920D2">
            <w:pPr>
              <w:spacing w:after="0" w:line="240" w:lineRule="auto"/>
              <w:jc w:val="center"/>
              <w:rPr>
                <w:b/>
                <w:sz w:val="16"/>
                <w:szCs w:val="16"/>
              </w:rPr>
            </w:pPr>
            <w:r>
              <w:rPr>
                <w:sz w:val="16"/>
                <w:szCs w:val="16"/>
              </w:rPr>
              <w:t>N/A</w:t>
            </w:r>
          </w:p>
        </w:tc>
        <w:tc>
          <w:tcPr>
            <w:tcW w:w="783" w:type="dxa"/>
            <w:shd w:val="clear" w:color="auto" w:fill="D9D9D9" w:themeFill="background1" w:themeFillShade="D9"/>
          </w:tcPr>
          <w:p w14:paraId="277021E0" w14:textId="77777777" w:rsidR="003920D2" w:rsidRPr="00D07598" w:rsidRDefault="003920D2" w:rsidP="003920D2">
            <w:pPr>
              <w:spacing w:after="0" w:line="240" w:lineRule="auto"/>
              <w:jc w:val="center"/>
              <w:rPr>
                <w:b/>
                <w:sz w:val="16"/>
                <w:szCs w:val="16"/>
              </w:rPr>
            </w:pPr>
          </w:p>
        </w:tc>
        <w:tc>
          <w:tcPr>
            <w:tcW w:w="840" w:type="dxa"/>
            <w:shd w:val="clear" w:color="auto" w:fill="D9D9D9" w:themeFill="background1" w:themeFillShade="D9"/>
          </w:tcPr>
          <w:p w14:paraId="4DE8B0B1" w14:textId="73F8B622" w:rsidR="003920D2" w:rsidRPr="00D07598" w:rsidRDefault="003920D2" w:rsidP="003920D2">
            <w:pPr>
              <w:spacing w:after="0" w:line="240" w:lineRule="auto"/>
              <w:jc w:val="center"/>
              <w:rPr>
                <w:b/>
                <w:sz w:val="16"/>
                <w:szCs w:val="16"/>
              </w:rPr>
            </w:pPr>
          </w:p>
        </w:tc>
        <w:tc>
          <w:tcPr>
            <w:tcW w:w="574" w:type="dxa"/>
            <w:shd w:val="clear" w:color="auto" w:fill="FFFFFF" w:themeFill="background1"/>
          </w:tcPr>
          <w:p w14:paraId="3B4F8567" w14:textId="113DE4DF" w:rsidR="003920D2" w:rsidRPr="00D07598" w:rsidRDefault="003920D2" w:rsidP="003920D2">
            <w:pPr>
              <w:spacing w:after="0" w:line="240" w:lineRule="auto"/>
              <w:jc w:val="center"/>
              <w:rPr>
                <w:b/>
                <w:sz w:val="16"/>
                <w:szCs w:val="16"/>
              </w:rPr>
            </w:pPr>
            <w:r>
              <w:rPr>
                <w:sz w:val="16"/>
                <w:szCs w:val="16"/>
              </w:rPr>
              <w:t>N/A</w:t>
            </w:r>
          </w:p>
        </w:tc>
        <w:tc>
          <w:tcPr>
            <w:tcW w:w="742" w:type="dxa"/>
            <w:shd w:val="clear" w:color="auto" w:fill="D9D9D9" w:themeFill="background1" w:themeFillShade="D9"/>
          </w:tcPr>
          <w:p w14:paraId="044A55FF" w14:textId="77777777" w:rsidR="003920D2" w:rsidRPr="00D07598" w:rsidRDefault="003920D2" w:rsidP="003920D2">
            <w:pPr>
              <w:spacing w:after="0" w:line="240" w:lineRule="auto"/>
              <w:jc w:val="center"/>
              <w:rPr>
                <w:b/>
                <w:sz w:val="16"/>
                <w:szCs w:val="16"/>
              </w:rPr>
            </w:pPr>
          </w:p>
        </w:tc>
        <w:tc>
          <w:tcPr>
            <w:tcW w:w="672" w:type="dxa"/>
            <w:shd w:val="clear" w:color="auto" w:fill="D9D9D9" w:themeFill="background1" w:themeFillShade="D9"/>
          </w:tcPr>
          <w:p w14:paraId="7A5B4923" w14:textId="77777777" w:rsidR="003920D2" w:rsidRPr="00D07598" w:rsidRDefault="003920D2" w:rsidP="003920D2">
            <w:pPr>
              <w:spacing w:after="0" w:line="240" w:lineRule="auto"/>
              <w:jc w:val="center"/>
              <w:rPr>
                <w:b/>
                <w:sz w:val="16"/>
                <w:szCs w:val="16"/>
              </w:rPr>
            </w:pPr>
          </w:p>
        </w:tc>
        <w:tc>
          <w:tcPr>
            <w:tcW w:w="672" w:type="dxa"/>
            <w:shd w:val="clear" w:color="auto" w:fill="D9D9D9" w:themeFill="background1" w:themeFillShade="D9"/>
          </w:tcPr>
          <w:p w14:paraId="0528B509" w14:textId="18150B32" w:rsidR="003920D2" w:rsidRPr="00D07598" w:rsidRDefault="003920D2" w:rsidP="003920D2">
            <w:pPr>
              <w:spacing w:after="0" w:line="240" w:lineRule="auto"/>
              <w:jc w:val="center"/>
              <w:rPr>
                <w:b/>
                <w:sz w:val="16"/>
                <w:szCs w:val="16"/>
              </w:rPr>
            </w:pPr>
          </w:p>
        </w:tc>
      </w:tr>
      <w:tr w:rsidR="003920D2" w:rsidRPr="00287858" w14:paraId="3B4F856D" w14:textId="05B5C3C9" w:rsidTr="0028328F">
        <w:trPr>
          <w:trHeight w:val="390"/>
        </w:trPr>
        <w:tc>
          <w:tcPr>
            <w:tcW w:w="1451" w:type="dxa"/>
            <w:vMerge/>
            <w:tcMar>
              <w:left w:w="57" w:type="dxa"/>
              <w:right w:w="57" w:type="dxa"/>
            </w:tcMar>
          </w:tcPr>
          <w:p w14:paraId="3B4F8569" w14:textId="77777777" w:rsidR="003920D2" w:rsidRDefault="003920D2" w:rsidP="003920D2">
            <w:pPr>
              <w:spacing w:after="0" w:line="240" w:lineRule="auto"/>
              <w:jc w:val="left"/>
              <w:rPr>
                <w:b/>
                <w:sz w:val="18"/>
                <w:szCs w:val="18"/>
              </w:rPr>
            </w:pPr>
          </w:p>
        </w:tc>
        <w:tc>
          <w:tcPr>
            <w:tcW w:w="2394" w:type="dxa"/>
            <w:shd w:val="clear" w:color="auto" w:fill="auto"/>
          </w:tcPr>
          <w:p w14:paraId="3B4F856A" w14:textId="169ABC44" w:rsidR="003920D2" w:rsidRPr="00660948" w:rsidRDefault="003920D2" w:rsidP="003920D2">
            <w:pPr>
              <w:spacing w:after="0" w:line="240" w:lineRule="auto"/>
              <w:jc w:val="left"/>
              <w:rPr>
                <w:sz w:val="18"/>
                <w:szCs w:val="18"/>
              </w:rPr>
            </w:pPr>
            <w:r>
              <w:rPr>
                <w:sz w:val="18"/>
                <w:szCs w:val="18"/>
              </w:rPr>
              <w:t>R</w:t>
            </w:r>
            <w:r w:rsidRPr="00660948">
              <w:rPr>
                <w:sz w:val="18"/>
                <w:szCs w:val="18"/>
              </w:rPr>
              <w:t>ecruitment</w:t>
            </w:r>
            <w:r>
              <w:rPr>
                <w:sz w:val="18"/>
                <w:szCs w:val="18"/>
              </w:rPr>
              <w:t xml:space="preserve"> of </w:t>
            </w:r>
            <w:r w:rsidRPr="00660948">
              <w:rPr>
                <w:sz w:val="18"/>
                <w:szCs w:val="18"/>
              </w:rPr>
              <w:t>young-of-year (YOY) and age-class 1 (1+) Murray cod</w:t>
            </w:r>
            <w:r w:rsidR="00F56294">
              <w:rPr>
                <w:sz w:val="18"/>
                <w:szCs w:val="18"/>
              </w:rPr>
              <w:t xml:space="preserve"> golden perch and silver perch</w:t>
            </w:r>
          </w:p>
        </w:tc>
        <w:tc>
          <w:tcPr>
            <w:tcW w:w="756" w:type="dxa"/>
            <w:shd w:val="clear" w:color="auto" w:fill="D9D9D9" w:themeFill="background1" w:themeFillShade="D9"/>
            <w:tcMar>
              <w:left w:w="57" w:type="dxa"/>
              <w:right w:w="57" w:type="dxa"/>
            </w:tcMar>
          </w:tcPr>
          <w:p w14:paraId="3B4F856B" w14:textId="77777777" w:rsidR="003920D2" w:rsidRPr="00D07598" w:rsidRDefault="003920D2" w:rsidP="003920D2">
            <w:pPr>
              <w:spacing w:after="120" w:line="240" w:lineRule="auto"/>
              <w:jc w:val="center"/>
              <w:rPr>
                <w:b/>
                <w:sz w:val="16"/>
                <w:szCs w:val="16"/>
              </w:rPr>
            </w:pPr>
          </w:p>
        </w:tc>
        <w:tc>
          <w:tcPr>
            <w:tcW w:w="686" w:type="dxa"/>
            <w:shd w:val="clear" w:color="auto" w:fill="FFFFFF" w:themeFill="background1"/>
          </w:tcPr>
          <w:p w14:paraId="64A7FC78" w14:textId="1776E563" w:rsidR="003920D2" w:rsidRPr="00D07598" w:rsidRDefault="003920D2" w:rsidP="003920D2">
            <w:pPr>
              <w:spacing w:after="0" w:line="240" w:lineRule="auto"/>
              <w:jc w:val="center"/>
              <w:rPr>
                <w:b/>
                <w:sz w:val="16"/>
                <w:szCs w:val="16"/>
              </w:rPr>
            </w:pPr>
            <w:r>
              <w:rPr>
                <w:sz w:val="16"/>
                <w:szCs w:val="16"/>
              </w:rPr>
              <w:t>N/A</w:t>
            </w:r>
          </w:p>
        </w:tc>
        <w:tc>
          <w:tcPr>
            <w:tcW w:w="783" w:type="dxa"/>
            <w:shd w:val="clear" w:color="auto" w:fill="C2D69B" w:themeFill="accent3" w:themeFillTint="99"/>
            <w:tcMar>
              <w:left w:w="28" w:type="dxa"/>
              <w:right w:w="28" w:type="dxa"/>
            </w:tcMar>
          </w:tcPr>
          <w:p w14:paraId="3B40EE6A" w14:textId="79FBF6B7" w:rsidR="003920D2" w:rsidRPr="0028328F" w:rsidRDefault="0028328F" w:rsidP="0028328F">
            <w:pPr>
              <w:spacing w:after="0" w:line="240" w:lineRule="auto"/>
              <w:jc w:val="center"/>
              <w:rPr>
                <w:sz w:val="16"/>
                <w:szCs w:val="16"/>
              </w:rPr>
            </w:pPr>
            <w:r w:rsidRPr="0028328F">
              <w:rPr>
                <w:sz w:val="16"/>
                <w:szCs w:val="16"/>
              </w:rPr>
              <w:t xml:space="preserve">Higher </w:t>
            </w:r>
            <w:r>
              <w:rPr>
                <w:sz w:val="16"/>
                <w:szCs w:val="16"/>
              </w:rPr>
              <w:t>silver perch recritment than zone 1 or 2</w:t>
            </w:r>
            <w:r w:rsidRPr="0028328F">
              <w:rPr>
                <w:sz w:val="16"/>
                <w:szCs w:val="16"/>
              </w:rPr>
              <w:t xml:space="preserve"> </w:t>
            </w:r>
          </w:p>
        </w:tc>
        <w:tc>
          <w:tcPr>
            <w:tcW w:w="840" w:type="dxa"/>
            <w:shd w:val="clear" w:color="auto" w:fill="C2D69B" w:themeFill="accent3" w:themeFillTint="99"/>
          </w:tcPr>
          <w:p w14:paraId="15E64AE4" w14:textId="1BFF08F6" w:rsidR="003920D2" w:rsidRPr="00D07598" w:rsidRDefault="0028328F" w:rsidP="003920D2">
            <w:pPr>
              <w:spacing w:after="0" w:line="240" w:lineRule="auto"/>
              <w:jc w:val="center"/>
              <w:rPr>
                <w:b/>
                <w:sz w:val="16"/>
                <w:szCs w:val="16"/>
              </w:rPr>
            </w:pPr>
            <w:r w:rsidRPr="0028328F">
              <w:rPr>
                <w:sz w:val="16"/>
                <w:szCs w:val="16"/>
              </w:rPr>
              <w:t xml:space="preserve">Higher </w:t>
            </w:r>
            <w:r>
              <w:rPr>
                <w:sz w:val="16"/>
                <w:szCs w:val="16"/>
              </w:rPr>
              <w:t>silver perch recritment than zone 1 or 2</w:t>
            </w:r>
          </w:p>
        </w:tc>
        <w:tc>
          <w:tcPr>
            <w:tcW w:w="574" w:type="dxa"/>
            <w:shd w:val="clear" w:color="auto" w:fill="FFFFFF" w:themeFill="background1"/>
          </w:tcPr>
          <w:p w14:paraId="3B4F856C" w14:textId="0E81F44A" w:rsidR="003920D2" w:rsidRPr="00D07598" w:rsidRDefault="003920D2" w:rsidP="003920D2">
            <w:pPr>
              <w:spacing w:after="0" w:line="240" w:lineRule="auto"/>
              <w:jc w:val="center"/>
              <w:rPr>
                <w:b/>
                <w:sz w:val="16"/>
                <w:szCs w:val="16"/>
              </w:rPr>
            </w:pPr>
            <w:r>
              <w:rPr>
                <w:sz w:val="16"/>
                <w:szCs w:val="16"/>
              </w:rPr>
              <w:t>N/A</w:t>
            </w:r>
          </w:p>
        </w:tc>
        <w:tc>
          <w:tcPr>
            <w:tcW w:w="742" w:type="dxa"/>
            <w:shd w:val="clear" w:color="auto" w:fill="D9D9D9" w:themeFill="background1" w:themeFillShade="D9"/>
          </w:tcPr>
          <w:p w14:paraId="34EB6EE6" w14:textId="77777777" w:rsidR="003920D2" w:rsidRPr="00D07598" w:rsidRDefault="003920D2" w:rsidP="003920D2">
            <w:pPr>
              <w:spacing w:after="0" w:line="240" w:lineRule="auto"/>
              <w:jc w:val="center"/>
              <w:rPr>
                <w:b/>
                <w:sz w:val="16"/>
                <w:szCs w:val="16"/>
              </w:rPr>
            </w:pPr>
          </w:p>
        </w:tc>
        <w:tc>
          <w:tcPr>
            <w:tcW w:w="672" w:type="dxa"/>
            <w:shd w:val="clear" w:color="auto" w:fill="D9D9D9" w:themeFill="background1" w:themeFillShade="D9"/>
          </w:tcPr>
          <w:p w14:paraId="14A413F7" w14:textId="77777777" w:rsidR="003920D2" w:rsidRPr="00D07598" w:rsidRDefault="003920D2" w:rsidP="003920D2">
            <w:pPr>
              <w:spacing w:after="0" w:line="240" w:lineRule="auto"/>
              <w:jc w:val="center"/>
              <w:rPr>
                <w:b/>
                <w:sz w:val="16"/>
                <w:szCs w:val="16"/>
              </w:rPr>
            </w:pPr>
          </w:p>
        </w:tc>
        <w:tc>
          <w:tcPr>
            <w:tcW w:w="672" w:type="dxa"/>
            <w:shd w:val="clear" w:color="auto" w:fill="D9D9D9" w:themeFill="background1" w:themeFillShade="D9"/>
          </w:tcPr>
          <w:p w14:paraId="29249B43" w14:textId="1B11CAF7" w:rsidR="003920D2" w:rsidRPr="00D07598" w:rsidRDefault="003920D2" w:rsidP="003920D2">
            <w:pPr>
              <w:spacing w:after="0" w:line="240" w:lineRule="auto"/>
              <w:jc w:val="center"/>
              <w:rPr>
                <w:b/>
                <w:sz w:val="16"/>
                <w:szCs w:val="16"/>
              </w:rPr>
            </w:pPr>
          </w:p>
        </w:tc>
      </w:tr>
      <w:tr w:rsidR="00D763BD" w:rsidRPr="00287858" w14:paraId="3B4F8572" w14:textId="7C651761" w:rsidTr="0028328F">
        <w:trPr>
          <w:trHeight w:val="284"/>
        </w:trPr>
        <w:tc>
          <w:tcPr>
            <w:tcW w:w="1451" w:type="dxa"/>
            <w:vMerge w:val="restart"/>
            <w:tcMar>
              <w:left w:w="57" w:type="dxa"/>
              <w:right w:w="57" w:type="dxa"/>
            </w:tcMar>
          </w:tcPr>
          <w:p w14:paraId="3B4F856E" w14:textId="77777777" w:rsidR="00D763BD" w:rsidRPr="00DE3187" w:rsidRDefault="00D763BD" w:rsidP="00D763BD">
            <w:pPr>
              <w:spacing w:after="0" w:line="240" w:lineRule="auto"/>
              <w:jc w:val="left"/>
              <w:rPr>
                <w:b/>
                <w:sz w:val="18"/>
                <w:szCs w:val="18"/>
              </w:rPr>
            </w:pPr>
            <w:r>
              <w:rPr>
                <w:b/>
                <w:sz w:val="18"/>
                <w:szCs w:val="18"/>
              </w:rPr>
              <w:t>Fish community</w:t>
            </w:r>
          </w:p>
        </w:tc>
        <w:tc>
          <w:tcPr>
            <w:tcW w:w="2394" w:type="dxa"/>
            <w:shd w:val="clear" w:color="auto" w:fill="auto"/>
          </w:tcPr>
          <w:p w14:paraId="3B4F856F" w14:textId="77777777" w:rsidR="00D763BD" w:rsidRPr="00660948" w:rsidRDefault="00D763BD" w:rsidP="00D763BD">
            <w:pPr>
              <w:spacing w:after="0" w:line="240" w:lineRule="auto"/>
              <w:jc w:val="left"/>
              <w:rPr>
                <w:sz w:val="18"/>
                <w:szCs w:val="18"/>
              </w:rPr>
            </w:pPr>
            <w:r w:rsidRPr="0060345B">
              <w:rPr>
                <w:sz w:val="18"/>
                <w:szCs w:val="18"/>
              </w:rPr>
              <w:t>Fish condition</w:t>
            </w:r>
          </w:p>
        </w:tc>
        <w:tc>
          <w:tcPr>
            <w:tcW w:w="756" w:type="dxa"/>
            <w:shd w:val="clear" w:color="auto" w:fill="auto"/>
            <w:tcMar>
              <w:left w:w="57" w:type="dxa"/>
              <w:right w:w="57" w:type="dxa"/>
            </w:tcMar>
          </w:tcPr>
          <w:p w14:paraId="3B4F8570" w14:textId="77777777" w:rsidR="00D763BD" w:rsidRPr="00A11AF6" w:rsidRDefault="00D763BD" w:rsidP="00D763BD">
            <w:pPr>
              <w:spacing w:after="0" w:line="240" w:lineRule="auto"/>
              <w:jc w:val="center"/>
              <w:rPr>
                <w:sz w:val="16"/>
                <w:szCs w:val="16"/>
              </w:rPr>
            </w:pPr>
            <w:r>
              <w:rPr>
                <w:sz w:val="16"/>
                <w:szCs w:val="16"/>
              </w:rPr>
              <w:t>N/A</w:t>
            </w:r>
          </w:p>
        </w:tc>
        <w:tc>
          <w:tcPr>
            <w:tcW w:w="686" w:type="dxa"/>
          </w:tcPr>
          <w:p w14:paraId="1C07982B" w14:textId="43C97D04" w:rsidR="00D763BD" w:rsidRDefault="00D763BD" w:rsidP="00D763BD">
            <w:pPr>
              <w:spacing w:after="0" w:line="240" w:lineRule="auto"/>
              <w:jc w:val="center"/>
              <w:rPr>
                <w:sz w:val="16"/>
                <w:szCs w:val="16"/>
              </w:rPr>
            </w:pPr>
            <w:r>
              <w:rPr>
                <w:sz w:val="16"/>
                <w:szCs w:val="16"/>
              </w:rPr>
              <w:t>N/A</w:t>
            </w:r>
          </w:p>
        </w:tc>
        <w:tc>
          <w:tcPr>
            <w:tcW w:w="783" w:type="dxa"/>
          </w:tcPr>
          <w:p w14:paraId="3F8818FD" w14:textId="2D0749B8" w:rsidR="00D763BD" w:rsidRDefault="00D763BD" w:rsidP="00D763BD">
            <w:pPr>
              <w:spacing w:after="0" w:line="240" w:lineRule="auto"/>
              <w:jc w:val="center"/>
              <w:rPr>
                <w:sz w:val="16"/>
                <w:szCs w:val="16"/>
              </w:rPr>
            </w:pPr>
            <w:r>
              <w:rPr>
                <w:sz w:val="16"/>
                <w:szCs w:val="16"/>
              </w:rPr>
              <w:t>N/A</w:t>
            </w:r>
          </w:p>
        </w:tc>
        <w:tc>
          <w:tcPr>
            <w:tcW w:w="840" w:type="dxa"/>
          </w:tcPr>
          <w:p w14:paraId="5EFDA58E" w14:textId="29C3CC09" w:rsidR="00D763BD" w:rsidRDefault="00D763BD" w:rsidP="00D763BD">
            <w:pPr>
              <w:spacing w:after="0" w:line="240" w:lineRule="auto"/>
              <w:jc w:val="center"/>
              <w:rPr>
                <w:sz w:val="16"/>
                <w:szCs w:val="16"/>
              </w:rPr>
            </w:pPr>
            <w:r>
              <w:rPr>
                <w:sz w:val="16"/>
                <w:szCs w:val="16"/>
              </w:rPr>
              <w:t>N/A</w:t>
            </w:r>
          </w:p>
        </w:tc>
        <w:tc>
          <w:tcPr>
            <w:tcW w:w="574" w:type="dxa"/>
            <w:shd w:val="clear" w:color="auto" w:fill="FFFFFF" w:themeFill="background1"/>
          </w:tcPr>
          <w:p w14:paraId="3B4F8571" w14:textId="5CBF2765" w:rsidR="00D763BD" w:rsidRDefault="00D763BD" w:rsidP="00D763BD">
            <w:pPr>
              <w:spacing w:after="0" w:line="240" w:lineRule="auto"/>
              <w:jc w:val="center"/>
              <w:rPr>
                <w:sz w:val="16"/>
                <w:szCs w:val="16"/>
              </w:rPr>
            </w:pPr>
            <w:r>
              <w:rPr>
                <w:sz w:val="16"/>
                <w:szCs w:val="16"/>
              </w:rPr>
              <w:t>N/A</w:t>
            </w:r>
          </w:p>
        </w:tc>
        <w:tc>
          <w:tcPr>
            <w:tcW w:w="742" w:type="dxa"/>
          </w:tcPr>
          <w:p w14:paraId="6EBE123E" w14:textId="547292F2" w:rsidR="00D763BD" w:rsidRDefault="00D763BD" w:rsidP="00D763BD">
            <w:pPr>
              <w:spacing w:after="0" w:line="240" w:lineRule="auto"/>
              <w:jc w:val="center"/>
              <w:rPr>
                <w:sz w:val="16"/>
                <w:szCs w:val="16"/>
              </w:rPr>
            </w:pPr>
            <w:r>
              <w:rPr>
                <w:sz w:val="16"/>
                <w:szCs w:val="16"/>
              </w:rPr>
              <w:t>N/A</w:t>
            </w:r>
          </w:p>
        </w:tc>
        <w:tc>
          <w:tcPr>
            <w:tcW w:w="672" w:type="dxa"/>
          </w:tcPr>
          <w:p w14:paraId="61928424" w14:textId="4A7C3B89" w:rsidR="00D763BD" w:rsidRDefault="00D763BD" w:rsidP="00D763BD">
            <w:pPr>
              <w:spacing w:after="0" w:line="240" w:lineRule="auto"/>
              <w:jc w:val="center"/>
              <w:rPr>
                <w:sz w:val="16"/>
                <w:szCs w:val="16"/>
              </w:rPr>
            </w:pPr>
            <w:r>
              <w:rPr>
                <w:sz w:val="16"/>
                <w:szCs w:val="16"/>
              </w:rPr>
              <w:t>N/A</w:t>
            </w:r>
          </w:p>
        </w:tc>
        <w:tc>
          <w:tcPr>
            <w:tcW w:w="672" w:type="dxa"/>
          </w:tcPr>
          <w:p w14:paraId="4D3ECD5D" w14:textId="1B04C6A5" w:rsidR="00D763BD" w:rsidRDefault="00D763BD" w:rsidP="00D763BD">
            <w:pPr>
              <w:spacing w:after="0" w:line="240" w:lineRule="auto"/>
              <w:jc w:val="center"/>
              <w:rPr>
                <w:sz w:val="16"/>
                <w:szCs w:val="16"/>
              </w:rPr>
            </w:pPr>
            <w:r>
              <w:rPr>
                <w:sz w:val="16"/>
                <w:szCs w:val="16"/>
              </w:rPr>
              <w:t>N/A</w:t>
            </w:r>
          </w:p>
        </w:tc>
      </w:tr>
      <w:tr w:rsidR="00D763BD" w:rsidRPr="00287858" w14:paraId="3B4F8577" w14:textId="7D593CA0" w:rsidTr="0028328F">
        <w:trPr>
          <w:trHeight w:val="284"/>
        </w:trPr>
        <w:tc>
          <w:tcPr>
            <w:tcW w:w="1451" w:type="dxa"/>
            <w:vMerge/>
            <w:tcMar>
              <w:left w:w="57" w:type="dxa"/>
              <w:right w:w="57" w:type="dxa"/>
            </w:tcMar>
          </w:tcPr>
          <w:p w14:paraId="3B4F8573" w14:textId="77777777" w:rsidR="00D763BD" w:rsidRDefault="00D763BD" w:rsidP="00D763BD">
            <w:pPr>
              <w:spacing w:after="0" w:line="240" w:lineRule="auto"/>
              <w:jc w:val="left"/>
              <w:rPr>
                <w:b/>
                <w:sz w:val="18"/>
                <w:szCs w:val="18"/>
              </w:rPr>
            </w:pPr>
          </w:p>
        </w:tc>
        <w:tc>
          <w:tcPr>
            <w:tcW w:w="2394" w:type="dxa"/>
            <w:shd w:val="clear" w:color="auto" w:fill="auto"/>
          </w:tcPr>
          <w:p w14:paraId="3B4F8574" w14:textId="77777777" w:rsidR="00D763BD" w:rsidRPr="0060345B" w:rsidRDefault="00D763BD" w:rsidP="00D763BD">
            <w:pPr>
              <w:spacing w:after="0" w:line="240" w:lineRule="auto"/>
              <w:jc w:val="left"/>
              <w:rPr>
                <w:sz w:val="18"/>
                <w:szCs w:val="18"/>
              </w:rPr>
            </w:pPr>
            <w:r>
              <w:rPr>
                <w:sz w:val="18"/>
                <w:szCs w:val="18"/>
              </w:rPr>
              <w:t>Fish recovery</w:t>
            </w:r>
          </w:p>
        </w:tc>
        <w:tc>
          <w:tcPr>
            <w:tcW w:w="756" w:type="dxa"/>
            <w:shd w:val="clear" w:color="auto" w:fill="auto"/>
            <w:tcMar>
              <w:left w:w="57" w:type="dxa"/>
              <w:right w:w="57" w:type="dxa"/>
            </w:tcMar>
          </w:tcPr>
          <w:p w14:paraId="3B4F8575" w14:textId="77777777" w:rsidR="00D763BD" w:rsidRDefault="00D763BD" w:rsidP="00D763BD">
            <w:pPr>
              <w:spacing w:after="0" w:line="240" w:lineRule="auto"/>
              <w:jc w:val="center"/>
              <w:rPr>
                <w:sz w:val="16"/>
                <w:szCs w:val="16"/>
              </w:rPr>
            </w:pPr>
            <w:r>
              <w:rPr>
                <w:sz w:val="16"/>
                <w:szCs w:val="16"/>
              </w:rPr>
              <w:t>N/A</w:t>
            </w:r>
          </w:p>
        </w:tc>
        <w:tc>
          <w:tcPr>
            <w:tcW w:w="686" w:type="dxa"/>
          </w:tcPr>
          <w:p w14:paraId="4FC801B3" w14:textId="23CDE642" w:rsidR="00D763BD" w:rsidRDefault="00D763BD" w:rsidP="00D763BD">
            <w:pPr>
              <w:spacing w:after="0" w:line="240" w:lineRule="auto"/>
              <w:jc w:val="center"/>
              <w:rPr>
                <w:sz w:val="16"/>
                <w:szCs w:val="16"/>
              </w:rPr>
            </w:pPr>
            <w:r>
              <w:rPr>
                <w:sz w:val="16"/>
                <w:szCs w:val="16"/>
              </w:rPr>
              <w:t>N/A</w:t>
            </w:r>
          </w:p>
        </w:tc>
        <w:tc>
          <w:tcPr>
            <w:tcW w:w="783" w:type="dxa"/>
          </w:tcPr>
          <w:p w14:paraId="47E8D464" w14:textId="0BA3E639" w:rsidR="00D763BD" w:rsidRDefault="00D763BD" w:rsidP="00D763BD">
            <w:pPr>
              <w:spacing w:after="0" w:line="240" w:lineRule="auto"/>
              <w:jc w:val="center"/>
              <w:rPr>
                <w:sz w:val="16"/>
                <w:szCs w:val="16"/>
              </w:rPr>
            </w:pPr>
            <w:r>
              <w:rPr>
                <w:sz w:val="16"/>
                <w:szCs w:val="16"/>
              </w:rPr>
              <w:t>N/A</w:t>
            </w:r>
          </w:p>
        </w:tc>
        <w:tc>
          <w:tcPr>
            <w:tcW w:w="840" w:type="dxa"/>
          </w:tcPr>
          <w:p w14:paraId="7C6BD9BB" w14:textId="57773901" w:rsidR="00D763BD" w:rsidRDefault="00D763BD" w:rsidP="00D763BD">
            <w:pPr>
              <w:spacing w:after="0" w:line="240" w:lineRule="auto"/>
              <w:jc w:val="center"/>
              <w:rPr>
                <w:sz w:val="16"/>
                <w:szCs w:val="16"/>
              </w:rPr>
            </w:pPr>
            <w:r>
              <w:rPr>
                <w:sz w:val="16"/>
                <w:szCs w:val="16"/>
              </w:rPr>
              <w:t>N/A</w:t>
            </w:r>
          </w:p>
        </w:tc>
        <w:tc>
          <w:tcPr>
            <w:tcW w:w="574" w:type="dxa"/>
            <w:shd w:val="clear" w:color="auto" w:fill="FFFFFF" w:themeFill="background1"/>
          </w:tcPr>
          <w:p w14:paraId="3B4F8576" w14:textId="262FC29B" w:rsidR="00D763BD" w:rsidRDefault="00D763BD" w:rsidP="00D763BD">
            <w:pPr>
              <w:spacing w:after="0" w:line="240" w:lineRule="auto"/>
              <w:jc w:val="center"/>
              <w:rPr>
                <w:sz w:val="16"/>
                <w:szCs w:val="16"/>
              </w:rPr>
            </w:pPr>
            <w:r>
              <w:rPr>
                <w:sz w:val="16"/>
                <w:szCs w:val="16"/>
              </w:rPr>
              <w:t>N/A</w:t>
            </w:r>
          </w:p>
        </w:tc>
        <w:tc>
          <w:tcPr>
            <w:tcW w:w="742" w:type="dxa"/>
          </w:tcPr>
          <w:p w14:paraId="73E0CB0A" w14:textId="2145738C" w:rsidR="00D763BD" w:rsidRDefault="00D763BD" w:rsidP="00D763BD">
            <w:pPr>
              <w:spacing w:after="0" w:line="240" w:lineRule="auto"/>
              <w:jc w:val="center"/>
              <w:rPr>
                <w:sz w:val="16"/>
                <w:szCs w:val="16"/>
              </w:rPr>
            </w:pPr>
            <w:r>
              <w:rPr>
                <w:sz w:val="16"/>
                <w:szCs w:val="16"/>
              </w:rPr>
              <w:t>N/A</w:t>
            </w:r>
          </w:p>
        </w:tc>
        <w:tc>
          <w:tcPr>
            <w:tcW w:w="672" w:type="dxa"/>
          </w:tcPr>
          <w:p w14:paraId="69993202" w14:textId="006E7FE7" w:rsidR="00D763BD" w:rsidRDefault="00D763BD" w:rsidP="00D763BD">
            <w:pPr>
              <w:spacing w:after="0" w:line="240" w:lineRule="auto"/>
              <w:jc w:val="center"/>
              <w:rPr>
                <w:sz w:val="16"/>
                <w:szCs w:val="16"/>
              </w:rPr>
            </w:pPr>
            <w:r>
              <w:rPr>
                <w:sz w:val="16"/>
                <w:szCs w:val="16"/>
              </w:rPr>
              <w:t>N/A</w:t>
            </w:r>
          </w:p>
        </w:tc>
        <w:tc>
          <w:tcPr>
            <w:tcW w:w="672" w:type="dxa"/>
          </w:tcPr>
          <w:p w14:paraId="6377D024" w14:textId="2A2D83AE" w:rsidR="00D763BD" w:rsidRDefault="00D763BD" w:rsidP="00D763BD">
            <w:pPr>
              <w:spacing w:after="0" w:line="240" w:lineRule="auto"/>
              <w:jc w:val="center"/>
              <w:rPr>
                <w:sz w:val="16"/>
                <w:szCs w:val="16"/>
              </w:rPr>
            </w:pPr>
            <w:r>
              <w:rPr>
                <w:sz w:val="16"/>
                <w:szCs w:val="16"/>
              </w:rPr>
              <w:t>N/A</w:t>
            </w:r>
          </w:p>
        </w:tc>
      </w:tr>
    </w:tbl>
    <w:p w14:paraId="3B4F8583" w14:textId="77777777" w:rsidR="00995192" w:rsidRDefault="00995192" w:rsidP="00995192">
      <w:pPr>
        <w:rPr>
          <w:b/>
          <w:color w:val="4F6228" w:themeColor="accent3" w:themeShade="80"/>
        </w:rPr>
      </w:pPr>
      <w:r>
        <w:rPr>
          <w:b/>
          <w:color w:val="4F6228" w:themeColor="accent3" w:themeShade="80"/>
        </w:rPr>
        <w:br w:type="page"/>
      </w:r>
    </w:p>
    <w:p w14:paraId="3B4F8584" w14:textId="77777777" w:rsidR="00995192" w:rsidRPr="00995192" w:rsidRDefault="00995192" w:rsidP="00995192">
      <w:pPr>
        <w:rPr>
          <w:lang w:val="en-US" w:eastAsia="en-AU"/>
        </w:rPr>
        <w:sectPr w:rsidR="00995192" w:rsidRPr="00995192" w:rsidSect="00301C2F">
          <w:pgSz w:w="11906" w:h="16838"/>
          <w:pgMar w:top="1440" w:right="1700" w:bottom="1440" w:left="1701" w:header="709" w:footer="709" w:gutter="0"/>
          <w:cols w:space="708"/>
          <w:docGrid w:linePitch="360"/>
        </w:sectPr>
      </w:pPr>
    </w:p>
    <w:p w14:paraId="3B4F8585" w14:textId="7CEB8416" w:rsidR="00887F53" w:rsidRPr="00887F53" w:rsidRDefault="004D403B" w:rsidP="00417F7C">
      <w:pPr>
        <w:pStyle w:val="Heading1"/>
      </w:pPr>
      <w:bookmarkStart w:id="3" w:name="_Toc484078403"/>
      <w:r>
        <w:lastRenderedPageBreak/>
        <w:t>I</w:t>
      </w:r>
      <w:r w:rsidR="00887F53">
        <w:t>ntroduction</w:t>
      </w:r>
      <w:bookmarkEnd w:id="3"/>
    </w:p>
    <w:p w14:paraId="3B4F8586" w14:textId="77777777" w:rsidR="00A93118" w:rsidRPr="001E3C65" w:rsidRDefault="00A93118" w:rsidP="00735FC8">
      <w:pPr>
        <w:pStyle w:val="Para0"/>
        <w:spacing w:before="0" w:after="240" w:line="320" w:lineRule="exact"/>
        <w:rPr>
          <w:rFonts w:ascii="Calibri" w:eastAsia="Calibri" w:hAnsi="Calibri" w:cs="Times New Roman"/>
          <w:b/>
          <w:color w:val="4F6228" w:themeColor="accent3" w:themeShade="80"/>
          <w:sz w:val="24"/>
          <w:lang w:val="en-AU"/>
        </w:rPr>
      </w:pPr>
      <w:r w:rsidRPr="001E3C65">
        <w:rPr>
          <w:rFonts w:ascii="Calibri" w:eastAsia="Calibri" w:hAnsi="Calibri" w:cs="Times New Roman"/>
          <w:b/>
          <w:color w:val="4F6228" w:themeColor="accent3" w:themeShade="80"/>
          <w:sz w:val="24"/>
          <w:lang w:val="en-AU"/>
        </w:rPr>
        <w:t>1.1 Purpose of this report</w:t>
      </w:r>
    </w:p>
    <w:p w14:paraId="3B4F8587" w14:textId="59F7A2E5" w:rsidR="00A93118" w:rsidRPr="001E3C65" w:rsidRDefault="00A93118" w:rsidP="00735FC8">
      <w:pPr>
        <w:pStyle w:val="Para0"/>
        <w:spacing w:before="0" w:after="240" w:line="320" w:lineRule="exact"/>
        <w:rPr>
          <w:rFonts w:asciiTheme="minorHAnsi" w:hAnsiTheme="minorHAnsi"/>
          <w:sz w:val="22"/>
          <w:szCs w:val="22"/>
        </w:rPr>
      </w:pPr>
      <w:r w:rsidRPr="001E3C65">
        <w:rPr>
          <w:rFonts w:asciiTheme="minorHAnsi" w:hAnsiTheme="minorHAnsi"/>
          <w:sz w:val="22"/>
          <w:szCs w:val="22"/>
        </w:rPr>
        <w:t>The Commonwealth Envi</w:t>
      </w:r>
      <w:r w:rsidR="00666AD9">
        <w:rPr>
          <w:rFonts w:asciiTheme="minorHAnsi" w:hAnsiTheme="minorHAnsi"/>
          <w:sz w:val="22"/>
          <w:szCs w:val="22"/>
        </w:rPr>
        <w:t>ronmental Water Office (CEWO) has funded</w:t>
      </w:r>
      <w:r w:rsidRPr="001E3C65">
        <w:rPr>
          <w:rFonts w:asciiTheme="minorHAnsi" w:hAnsiTheme="minorHAnsi"/>
          <w:sz w:val="22"/>
          <w:szCs w:val="22"/>
        </w:rPr>
        <w:t xml:space="preserve"> a Long-Term Intervention Monitoring (LTIM) Project in seven Selected Areas to evaluate the ecological outcome of Commonwealth environmental water use throughout the Mur</w:t>
      </w:r>
      <w:r w:rsidR="00FF278C">
        <w:rPr>
          <w:rFonts w:asciiTheme="minorHAnsi" w:hAnsiTheme="minorHAnsi"/>
          <w:sz w:val="22"/>
          <w:szCs w:val="22"/>
        </w:rPr>
        <w:t xml:space="preserve">ray-Darling Basin. </w:t>
      </w:r>
      <w:r w:rsidRPr="001E3C65">
        <w:rPr>
          <w:rFonts w:asciiTheme="minorHAnsi" w:hAnsiTheme="minorHAnsi"/>
          <w:sz w:val="22"/>
          <w:szCs w:val="22"/>
        </w:rPr>
        <w:t>The LTIM Project will be implemented over five years from 2014-15 to 2018-19 to deliver five high level outcomes:</w:t>
      </w:r>
    </w:p>
    <w:p w14:paraId="3B4F8588" w14:textId="77777777" w:rsidR="00A93118" w:rsidRPr="001E3C65" w:rsidRDefault="00A93118" w:rsidP="00956AE4">
      <w:pPr>
        <w:pStyle w:val="Para0"/>
        <w:numPr>
          <w:ilvl w:val="0"/>
          <w:numId w:val="20"/>
        </w:numPr>
        <w:spacing w:before="0" w:after="240" w:line="320" w:lineRule="exact"/>
        <w:rPr>
          <w:rFonts w:asciiTheme="minorHAnsi" w:hAnsiTheme="minorHAnsi"/>
          <w:sz w:val="22"/>
          <w:szCs w:val="22"/>
        </w:rPr>
      </w:pPr>
      <w:r w:rsidRPr="001E3C65">
        <w:rPr>
          <w:rFonts w:asciiTheme="minorHAnsi" w:hAnsiTheme="minorHAnsi"/>
          <w:sz w:val="22"/>
          <w:szCs w:val="22"/>
        </w:rPr>
        <w:t>Evaluate the contribution of Commonwealth environmental watering to the objectives of the Murray-Darling Basin Authorities (MDBA) Environmental Watering Plan;</w:t>
      </w:r>
    </w:p>
    <w:p w14:paraId="3B4F8589" w14:textId="77777777" w:rsidR="00A93118" w:rsidRPr="001E3C65" w:rsidRDefault="00A93118" w:rsidP="00956AE4">
      <w:pPr>
        <w:pStyle w:val="Para0"/>
        <w:numPr>
          <w:ilvl w:val="0"/>
          <w:numId w:val="20"/>
        </w:numPr>
        <w:spacing w:before="0" w:after="240" w:line="320" w:lineRule="exact"/>
        <w:rPr>
          <w:rFonts w:asciiTheme="minorHAnsi" w:hAnsiTheme="minorHAnsi"/>
          <w:sz w:val="22"/>
          <w:szCs w:val="22"/>
        </w:rPr>
      </w:pPr>
      <w:r w:rsidRPr="001E3C65">
        <w:rPr>
          <w:rFonts w:asciiTheme="minorHAnsi" w:hAnsiTheme="minorHAnsi"/>
          <w:sz w:val="22"/>
          <w:szCs w:val="22"/>
        </w:rPr>
        <w:t>Evaluate the ecological outcomes of Commonwealth environmental watering in each of the seven Selected Areas;</w:t>
      </w:r>
    </w:p>
    <w:p w14:paraId="3B4F858A" w14:textId="77777777" w:rsidR="00A93118" w:rsidRPr="001E3C65" w:rsidRDefault="00A93118" w:rsidP="00956AE4">
      <w:pPr>
        <w:pStyle w:val="Para0"/>
        <w:numPr>
          <w:ilvl w:val="0"/>
          <w:numId w:val="20"/>
        </w:numPr>
        <w:spacing w:before="0" w:after="240" w:line="320" w:lineRule="exact"/>
        <w:rPr>
          <w:rFonts w:asciiTheme="minorHAnsi" w:hAnsiTheme="minorHAnsi"/>
          <w:sz w:val="22"/>
          <w:szCs w:val="22"/>
        </w:rPr>
      </w:pPr>
      <w:r w:rsidRPr="001E3C65">
        <w:rPr>
          <w:rFonts w:asciiTheme="minorHAnsi" w:hAnsiTheme="minorHAnsi"/>
          <w:sz w:val="22"/>
          <w:szCs w:val="22"/>
        </w:rPr>
        <w:t>Infer ecological outcomes of Commonwealth environmental watering in areas of the Murray-Darling Basin not monitored;</w:t>
      </w:r>
    </w:p>
    <w:p w14:paraId="3B4F858B" w14:textId="77777777" w:rsidR="00A93118" w:rsidRPr="001E3C65" w:rsidRDefault="00A93118" w:rsidP="00956AE4">
      <w:pPr>
        <w:pStyle w:val="Para0"/>
        <w:numPr>
          <w:ilvl w:val="0"/>
          <w:numId w:val="20"/>
        </w:numPr>
        <w:spacing w:before="0" w:after="240" w:line="320" w:lineRule="exact"/>
        <w:rPr>
          <w:rFonts w:asciiTheme="minorHAnsi" w:hAnsiTheme="minorHAnsi"/>
          <w:sz w:val="22"/>
          <w:szCs w:val="22"/>
        </w:rPr>
      </w:pPr>
      <w:r w:rsidRPr="001E3C65">
        <w:rPr>
          <w:rFonts w:asciiTheme="minorHAnsi" w:hAnsiTheme="minorHAnsi"/>
          <w:sz w:val="22"/>
          <w:szCs w:val="22"/>
        </w:rPr>
        <w:t xml:space="preserve">Support the adaptive management of Commonwealth environmental water; and </w:t>
      </w:r>
    </w:p>
    <w:p w14:paraId="3B4F858C" w14:textId="77777777" w:rsidR="00A93118" w:rsidRPr="001E3C65" w:rsidRDefault="00A93118" w:rsidP="00764D83">
      <w:pPr>
        <w:pStyle w:val="Para0"/>
        <w:numPr>
          <w:ilvl w:val="0"/>
          <w:numId w:val="20"/>
        </w:numPr>
        <w:spacing w:before="0" w:after="240" w:line="320" w:lineRule="exact"/>
        <w:ind w:left="714" w:hanging="357"/>
        <w:rPr>
          <w:rFonts w:asciiTheme="minorHAnsi" w:hAnsiTheme="minorHAnsi"/>
          <w:sz w:val="22"/>
          <w:szCs w:val="22"/>
        </w:rPr>
      </w:pPr>
      <w:r w:rsidRPr="001E3C65">
        <w:rPr>
          <w:rFonts w:asciiTheme="minorHAnsi" w:hAnsiTheme="minorHAnsi"/>
          <w:sz w:val="22"/>
          <w:szCs w:val="22"/>
        </w:rPr>
        <w:t>Monitor the ecological response to Commonwealth environmental watering at each of the seven Selected Areas.</w:t>
      </w:r>
    </w:p>
    <w:p w14:paraId="3B4F858D" w14:textId="3887E9B6" w:rsidR="001E3C65" w:rsidRDefault="001E3C65" w:rsidP="00735FC8">
      <w:pPr>
        <w:spacing w:after="240" w:line="320" w:lineRule="exact"/>
        <w:jc w:val="left"/>
      </w:pPr>
      <w:r w:rsidRPr="00D40BC7">
        <w:t xml:space="preserve">This report documents the monitoring and evaluation of ecosystem responses to Commonwealth environmental watering in </w:t>
      </w:r>
      <w:r>
        <w:t>the Edward-Wakool system in 2015-16</w:t>
      </w:r>
      <w:r w:rsidRPr="00D40BC7">
        <w:t xml:space="preserve">. It is the </w:t>
      </w:r>
      <w:r>
        <w:t>second</w:t>
      </w:r>
      <w:r w:rsidRPr="00D40BC7">
        <w:t xml:space="preserve"> annual report of </w:t>
      </w:r>
      <w:r>
        <w:t xml:space="preserve">the </w:t>
      </w:r>
      <w:r w:rsidRPr="00737E17">
        <w:t>Long Term Intervention Monitoring (LTIM) Project</w:t>
      </w:r>
      <w:r w:rsidRPr="00D40BC7">
        <w:t xml:space="preserve"> </w:t>
      </w:r>
      <w:r>
        <w:t>funded by</w:t>
      </w:r>
      <w:r w:rsidRPr="00D40BC7">
        <w:t xml:space="preserve"> the Commonwealth Environmental Watering Office</w:t>
      </w:r>
      <w:r>
        <w:t xml:space="preserve">. </w:t>
      </w:r>
      <w:r w:rsidRPr="009E7419">
        <w:t xml:space="preserve">This project was undertaken as a collaboration among Charles Sturt University, NSW DPI (Fisheries), Monash University, NSW Office of Environment and Heritage, Griffith University and Murray Local Land Services. </w:t>
      </w:r>
      <w:r>
        <w:t xml:space="preserve">Field sampling for this project was undertaken by staff from Charles Sturt University, </w:t>
      </w:r>
      <w:r w:rsidRPr="009E7419">
        <w:t xml:space="preserve">NSW DPI (Fisheries), </w:t>
      </w:r>
      <w:r>
        <w:t xml:space="preserve">and </w:t>
      </w:r>
      <w:r w:rsidRPr="009E7419">
        <w:t>NSW Office of Environment and Heritage</w:t>
      </w:r>
      <w:r>
        <w:t xml:space="preserve">. </w:t>
      </w:r>
    </w:p>
    <w:p w14:paraId="3B4F858E" w14:textId="77777777" w:rsidR="001E3C65" w:rsidRPr="00621DEE" w:rsidRDefault="009B5133" w:rsidP="00735FC8">
      <w:pPr>
        <w:spacing w:after="240" w:line="320" w:lineRule="exact"/>
        <w:rPr>
          <w:b/>
          <w:color w:val="4F6228" w:themeColor="accent3" w:themeShade="80"/>
          <w:sz w:val="24"/>
          <w:szCs w:val="24"/>
        </w:rPr>
      </w:pPr>
      <w:r>
        <w:rPr>
          <w:b/>
          <w:color w:val="4F6228" w:themeColor="accent3" w:themeShade="80"/>
          <w:sz w:val="24"/>
          <w:szCs w:val="24"/>
        </w:rPr>
        <w:t xml:space="preserve">1.2 </w:t>
      </w:r>
      <w:r w:rsidR="001E3C65">
        <w:rPr>
          <w:b/>
          <w:color w:val="4F6228" w:themeColor="accent3" w:themeShade="80"/>
          <w:sz w:val="24"/>
          <w:szCs w:val="24"/>
        </w:rPr>
        <w:t>Structure of this report</w:t>
      </w:r>
    </w:p>
    <w:p w14:paraId="3B4F858F" w14:textId="4FF14928" w:rsidR="001E3C65" w:rsidRDefault="001E3C65" w:rsidP="00735FC8">
      <w:pPr>
        <w:spacing w:after="240" w:line="320" w:lineRule="exact"/>
        <w:jc w:val="left"/>
        <w:rPr>
          <w:szCs w:val="22"/>
        </w:rPr>
      </w:pPr>
      <w:r w:rsidRPr="00D40BC7">
        <w:t xml:space="preserve">This report provides </w:t>
      </w:r>
      <w:r w:rsidR="00407EDC">
        <w:t>information on Commonwealth environmental</w:t>
      </w:r>
      <w:r w:rsidRPr="00D40BC7">
        <w:t xml:space="preserve"> watering actions, </w:t>
      </w:r>
      <w:r w:rsidR="00407EDC">
        <w:t xml:space="preserve">LTIM study sites and </w:t>
      </w:r>
      <w:r w:rsidRPr="00D40BC7">
        <w:t xml:space="preserve">indicators, and an </w:t>
      </w:r>
      <w:r w:rsidR="00407EDC">
        <w:t>evaluation</w:t>
      </w:r>
      <w:r w:rsidRPr="00D40BC7">
        <w:t xml:space="preserve"> of ecosystem responses to environmental watering </w:t>
      </w:r>
      <w:r>
        <w:t xml:space="preserve">in 2015-16 </w:t>
      </w:r>
      <w:r w:rsidRPr="00D40BC7">
        <w:t>with respect to the objectives set by the Commonwealth Environmental Water Offic</w:t>
      </w:r>
      <w:r>
        <w:t>e</w:t>
      </w:r>
      <w:r w:rsidR="00C73735">
        <w:t xml:space="preserve"> in </w:t>
      </w:r>
      <w:r w:rsidR="00C73735" w:rsidRPr="004E3F82">
        <w:rPr>
          <w:rFonts w:asciiTheme="minorHAnsi" w:hAnsiTheme="minorHAnsi"/>
        </w:rPr>
        <w:t xml:space="preserve">Water Use Minute </w:t>
      </w:r>
      <w:r w:rsidR="00C73735" w:rsidRPr="00DA0A46">
        <w:rPr>
          <w:rFonts w:asciiTheme="minorHAnsi" w:hAnsiTheme="minorHAnsi"/>
        </w:rPr>
        <w:t>10038</w:t>
      </w:r>
      <w:r w:rsidR="00C73735">
        <w:rPr>
          <w:rFonts w:asciiTheme="minorHAnsi" w:hAnsiTheme="minorHAnsi"/>
        </w:rPr>
        <w:t xml:space="preserve"> (CEWO, 2015</w:t>
      </w:r>
      <w:r w:rsidR="00C73735" w:rsidRPr="004E3F82">
        <w:rPr>
          <w:rFonts w:asciiTheme="minorHAnsi" w:hAnsiTheme="minorHAnsi"/>
        </w:rPr>
        <w:t>)</w:t>
      </w:r>
      <w:r>
        <w:t xml:space="preserve">. </w:t>
      </w:r>
      <w:r w:rsidR="00956AE4">
        <w:t>This introduction</w:t>
      </w:r>
      <w:r>
        <w:rPr>
          <w:szCs w:val="22"/>
        </w:rPr>
        <w:t xml:space="preserve"> </w:t>
      </w:r>
      <w:r w:rsidR="00956AE4">
        <w:rPr>
          <w:szCs w:val="22"/>
        </w:rPr>
        <w:t>(s</w:t>
      </w:r>
      <w:r>
        <w:rPr>
          <w:szCs w:val="22"/>
        </w:rPr>
        <w:t xml:space="preserve">ection 1) </w:t>
      </w:r>
      <w:r w:rsidR="00407EDC">
        <w:rPr>
          <w:szCs w:val="22"/>
        </w:rPr>
        <w:t xml:space="preserve">is </w:t>
      </w:r>
      <w:r>
        <w:rPr>
          <w:szCs w:val="22"/>
        </w:rPr>
        <w:t xml:space="preserve">followed by a description of the Commonwealth environmental water use objectives and watering actions for this system for </w:t>
      </w:r>
      <w:r w:rsidR="00C73735">
        <w:rPr>
          <w:szCs w:val="22"/>
        </w:rPr>
        <w:t>2015-16</w:t>
      </w:r>
      <w:r>
        <w:rPr>
          <w:szCs w:val="22"/>
        </w:rPr>
        <w:t xml:space="preserve"> </w:t>
      </w:r>
      <w:r w:rsidR="00956AE4">
        <w:rPr>
          <w:szCs w:val="22"/>
        </w:rPr>
        <w:t>(section 2) and a</w:t>
      </w:r>
      <w:r>
        <w:rPr>
          <w:szCs w:val="22"/>
        </w:rPr>
        <w:t xml:space="preserve">n overview of the monitoring and evaluation undertaken in this system for the LTIM project </w:t>
      </w:r>
      <w:r w:rsidR="00956AE4">
        <w:rPr>
          <w:szCs w:val="22"/>
        </w:rPr>
        <w:t>(s</w:t>
      </w:r>
      <w:r w:rsidR="00C73735">
        <w:rPr>
          <w:szCs w:val="22"/>
        </w:rPr>
        <w:t>ection 3</w:t>
      </w:r>
      <w:r w:rsidR="00956AE4">
        <w:rPr>
          <w:szCs w:val="22"/>
        </w:rPr>
        <w:t>)</w:t>
      </w:r>
      <w:r>
        <w:rPr>
          <w:szCs w:val="22"/>
        </w:rPr>
        <w:t xml:space="preserve">. </w:t>
      </w:r>
      <w:r w:rsidR="00175C68">
        <w:rPr>
          <w:szCs w:val="22"/>
        </w:rPr>
        <w:t>Summaries of the e</w:t>
      </w:r>
      <w:r w:rsidR="00407EDC">
        <w:rPr>
          <w:szCs w:val="22"/>
        </w:rPr>
        <w:t>valuation of</w:t>
      </w:r>
      <w:r>
        <w:rPr>
          <w:szCs w:val="22"/>
        </w:rPr>
        <w:t xml:space="preserve"> responses of each indicator to Commonwealt</w:t>
      </w:r>
      <w:r w:rsidR="00407EDC">
        <w:rPr>
          <w:szCs w:val="22"/>
        </w:rPr>
        <w:t>h environmental watering in 2015-16</w:t>
      </w:r>
      <w:r>
        <w:rPr>
          <w:szCs w:val="22"/>
        </w:rPr>
        <w:t xml:space="preserve"> are presented in in sections four to </w:t>
      </w:r>
      <w:r w:rsidR="006C0327">
        <w:rPr>
          <w:szCs w:val="22"/>
        </w:rPr>
        <w:t>eleven</w:t>
      </w:r>
      <w:r w:rsidR="00C73735">
        <w:rPr>
          <w:szCs w:val="22"/>
        </w:rPr>
        <w:t xml:space="preserve">; </w:t>
      </w:r>
      <w:r w:rsidR="006C0327">
        <w:rPr>
          <w:szCs w:val="22"/>
        </w:rPr>
        <w:t xml:space="preserve">Hydrology </w:t>
      </w:r>
      <w:r w:rsidR="006C0327">
        <w:rPr>
          <w:szCs w:val="22"/>
        </w:rPr>
        <w:lastRenderedPageBreak/>
        <w:t xml:space="preserve">(section 4), </w:t>
      </w:r>
      <w:r>
        <w:rPr>
          <w:szCs w:val="22"/>
        </w:rPr>
        <w:t>wat</w:t>
      </w:r>
      <w:r w:rsidR="006C0327">
        <w:rPr>
          <w:szCs w:val="22"/>
        </w:rPr>
        <w:t xml:space="preserve">er quality and carbon (section 5), </w:t>
      </w:r>
      <w:r w:rsidR="00C73735">
        <w:rPr>
          <w:szCs w:val="22"/>
        </w:rPr>
        <w:t xml:space="preserve">stream metabolism </w:t>
      </w:r>
      <w:r w:rsidR="006C0327">
        <w:rPr>
          <w:szCs w:val="22"/>
        </w:rPr>
        <w:t>(section 6</w:t>
      </w:r>
      <w:r w:rsidR="00C73735">
        <w:rPr>
          <w:szCs w:val="22"/>
        </w:rPr>
        <w:t xml:space="preserve">), </w:t>
      </w:r>
      <w:r>
        <w:rPr>
          <w:szCs w:val="22"/>
        </w:rPr>
        <w:t>riverbank and</w:t>
      </w:r>
      <w:r w:rsidR="006C0327">
        <w:rPr>
          <w:szCs w:val="22"/>
        </w:rPr>
        <w:t xml:space="preserve"> aquatic vegetation (section 7</w:t>
      </w:r>
      <w:r>
        <w:rPr>
          <w:szCs w:val="22"/>
        </w:rPr>
        <w:t xml:space="preserve">), fish </w:t>
      </w:r>
      <w:r w:rsidR="006C0327">
        <w:rPr>
          <w:szCs w:val="22"/>
        </w:rPr>
        <w:t>movement (section 8), fish spawning (section 9</w:t>
      </w:r>
      <w:r w:rsidR="00C73735">
        <w:rPr>
          <w:szCs w:val="22"/>
        </w:rPr>
        <w:t>), Murray cod, golden perch and sil</w:t>
      </w:r>
      <w:r w:rsidR="006C0327">
        <w:rPr>
          <w:szCs w:val="22"/>
        </w:rPr>
        <w:t>ver perch recruitment (section 10) and fish community (section 11</w:t>
      </w:r>
      <w:r>
        <w:rPr>
          <w:szCs w:val="22"/>
        </w:rPr>
        <w:t>). A synt</w:t>
      </w:r>
      <w:r w:rsidR="006C0327">
        <w:rPr>
          <w:szCs w:val="22"/>
        </w:rPr>
        <w:t>hesis of the results (section 12</w:t>
      </w:r>
      <w:r>
        <w:rPr>
          <w:szCs w:val="22"/>
        </w:rPr>
        <w:t xml:space="preserve">) underpins recommendations </w:t>
      </w:r>
      <w:r w:rsidR="00C73735">
        <w:rPr>
          <w:szCs w:val="22"/>
        </w:rPr>
        <w:t>to help inform</w:t>
      </w:r>
      <w:r>
        <w:rPr>
          <w:szCs w:val="22"/>
        </w:rPr>
        <w:t xml:space="preserve"> adaptive management </w:t>
      </w:r>
      <w:r w:rsidR="00C73735">
        <w:rPr>
          <w:szCs w:val="22"/>
        </w:rPr>
        <w:t>of environmental water in this system</w:t>
      </w:r>
      <w:r>
        <w:rPr>
          <w:szCs w:val="22"/>
        </w:rPr>
        <w:t xml:space="preserve"> </w:t>
      </w:r>
      <w:r w:rsidR="006C0327">
        <w:rPr>
          <w:szCs w:val="22"/>
        </w:rPr>
        <w:t>in the future (section 13</w:t>
      </w:r>
      <w:r>
        <w:rPr>
          <w:szCs w:val="22"/>
        </w:rPr>
        <w:t>).</w:t>
      </w:r>
      <w:r w:rsidR="00175C68">
        <w:rPr>
          <w:szCs w:val="22"/>
        </w:rPr>
        <w:t xml:space="preserve"> </w:t>
      </w:r>
      <w:r w:rsidR="00175C68">
        <w:t>Detailed descriptions of results and analyses are provided in technical appendices: Wate</w:t>
      </w:r>
      <w:r w:rsidR="003960AD">
        <w:t>r quality and carbon (Appendix A), Stream metabolism (Appendix B</w:t>
      </w:r>
      <w:r w:rsidR="00175C68">
        <w:t>), Riverbank an</w:t>
      </w:r>
      <w:r w:rsidR="003960AD">
        <w:t>d aquatic vegetation (Appendix C</w:t>
      </w:r>
      <w:r w:rsidR="00175C68">
        <w:t xml:space="preserve">), </w:t>
      </w:r>
      <w:r w:rsidR="006C703E">
        <w:t xml:space="preserve">and </w:t>
      </w:r>
      <w:r w:rsidR="00175C68">
        <w:t xml:space="preserve">Fish </w:t>
      </w:r>
      <w:r w:rsidR="003960AD">
        <w:t>(Appendix D</w:t>
      </w:r>
      <w:r w:rsidR="00175C68">
        <w:t>).</w:t>
      </w:r>
    </w:p>
    <w:p w14:paraId="3B4F8590" w14:textId="77777777" w:rsidR="001E3C65" w:rsidRDefault="00666AD9" w:rsidP="0088257B">
      <w:pPr>
        <w:tabs>
          <w:tab w:val="left" w:pos="9071"/>
        </w:tabs>
        <w:spacing w:after="240" w:line="320" w:lineRule="exact"/>
        <w:jc w:val="left"/>
      </w:pPr>
      <w:r>
        <w:t xml:space="preserve">Results from monitoring undertaken in 2014-15 will be used to provide context and comparison. </w:t>
      </w:r>
      <w:r w:rsidR="00C73735">
        <w:t xml:space="preserve">Predictive modelling </w:t>
      </w:r>
      <w:r w:rsidR="001E3C65">
        <w:t xml:space="preserve">will be undertaken in subsequent </w:t>
      </w:r>
      <w:r w:rsidR="00C73735">
        <w:t xml:space="preserve">annual </w:t>
      </w:r>
      <w:r w:rsidR="001E3C65">
        <w:t>reports</w:t>
      </w:r>
      <w:r w:rsidR="00C73735">
        <w:t xml:space="preserve"> when there are several years of data to include in the models</w:t>
      </w:r>
      <w:r w:rsidR="00175C68">
        <w:t>.</w:t>
      </w:r>
    </w:p>
    <w:p w14:paraId="3B4F8591" w14:textId="77777777" w:rsidR="00A93118" w:rsidRPr="001E3C65" w:rsidRDefault="00A93118" w:rsidP="00764D83">
      <w:pPr>
        <w:pStyle w:val="ListParagraph"/>
        <w:numPr>
          <w:ilvl w:val="1"/>
          <w:numId w:val="19"/>
        </w:numPr>
        <w:tabs>
          <w:tab w:val="left" w:pos="9071"/>
        </w:tabs>
        <w:spacing w:after="240" w:line="320" w:lineRule="exact"/>
        <w:ind w:left="426" w:right="-1" w:hanging="426"/>
        <w:jc w:val="left"/>
        <w:rPr>
          <w:b/>
          <w:color w:val="4F6228" w:themeColor="accent3" w:themeShade="80"/>
          <w:sz w:val="24"/>
          <w:szCs w:val="24"/>
        </w:rPr>
      </w:pPr>
      <w:r w:rsidRPr="001E3C65">
        <w:rPr>
          <w:b/>
          <w:color w:val="4F6228" w:themeColor="accent3" w:themeShade="80"/>
          <w:sz w:val="24"/>
          <w:szCs w:val="24"/>
        </w:rPr>
        <w:t>Edward-Wakool Selected Area</w:t>
      </w:r>
    </w:p>
    <w:p w14:paraId="3B4F8592" w14:textId="77777777" w:rsidR="001E3C65" w:rsidRPr="00735FC8" w:rsidRDefault="001E3C65" w:rsidP="0088257B">
      <w:pPr>
        <w:tabs>
          <w:tab w:val="left" w:pos="9071"/>
        </w:tabs>
        <w:spacing w:after="240" w:line="320" w:lineRule="exact"/>
        <w:ind w:right="-1"/>
        <w:jc w:val="left"/>
      </w:pPr>
      <w:r w:rsidRPr="00735FC8">
        <w:t xml:space="preserve">The Edward-Wakool system is a large anabranch system of the Murray </w:t>
      </w:r>
      <w:r w:rsidR="003960AD" w:rsidRPr="00735FC8">
        <w:t xml:space="preserve">River </w:t>
      </w:r>
      <w:r w:rsidRPr="00735FC8">
        <w:t xml:space="preserve">main channel in the southern Murray-Darling Basin, Australia. The system begins </w:t>
      </w:r>
      <w:r w:rsidR="00735FC8" w:rsidRPr="00735FC8">
        <w:t>in the</w:t>
      </w:r>
      <w:r w:rsidRPr="00735FC8">
        <w:t xml:space="preserve"> Barmah</w:t>
      </w:r>
      <w:r w:rsidR="00666AD9">
        <w:t>-Millewa F</w:t>
      </w:r>
      <w:r w:rsidR="00735FC8" w:rsidRPr="00735FC8">
        <w:t>orest</w:t>
      </w:r>
      <w:r w:rsidRPr="00735FC8">
        <w:t xml:space="preserve">, and travels </w:t>
      </w:r>
      <w:r w:rsidR="004B7F17">
        <w:t xml:space="preserve">north and then </w:t>
      </w:r>
      <w:r w:rsidRPr="00735FC8">
        <w:t xml:space="preserve">northwest before discharging back into the Murray </w:t>
      </w:r>
      <w:r w:rsidR="00175C68" w:rsidRPr="00735FC8">
        <w:t xml:space="preserve">River </w:t>
      </w:r>
      <w:r w:rsidRPr="00735FC8">
        <w:t xml:space="preserve">(Figure 1.1). It is a complex network of interconnected streams, ephemeral creeks, flood-runners and wetlands including the Edward River, Wakool River, Yallakool Creek, Colligen-Niemur Creek and Merran Creek. </w:t>
      </w:r>
    </w:p>
    <w:p w14:paraId="3B4F8593" w14:textId="77777777" w:rsidR="001E3C65" w:rsidRPr="00735FC8" w:rsidRDefault="001E3C65" w:rsidP="00735FC8">
      <w:pPr>
        <w:tabs>
          <w:tab w:val="left" w:pos="9071"/>
        </w:tabs>
        <w:spacing w:after="240" w:line="320" w:lineRule="exact"/>
        <w:jc w:val="left"/>
        <w:rPr>
          <w:szCs w:val="22"/>
        </w:rPr>
      </w:pPr>
      <w:r w:rsidRPr="00735FC8">
        <w:rPr>
          <w:rFonts w:cs="Arial"/>
          <w:szCs w:val="22"/>
        </w:rPr>
        <w:t>The Edward-Wakool system is listed as an endangered ecosystem, as part of the ‘aquatic ecological community in the natural drainage system of the lower Murray River catchment’ in New South Wales (</w:t>
      </w:r>
      <w:r w:rsidRPr="00735FC8">
        <w:rPr>
          <w:rFonts w:cs="Arial"/>
          <w:i/>
          <w:szCs w:val="22"/>
        </w:rPr>
        <w:t>NSW Fisheries Management Act 1994</w:t>
      </w:r>
      <w:r w:rsidRPr="00735FC8">
        <w:rPr>
          <w:rFonts w:cs="Arial"/>
          <w:szCs w:val="22"/>
        </w:rPr>
        <w:t xml:space="preserve">). </w:t>
      </w:r>
      <w:r w:rsidRPr="00735FC8">
        <w:rPr>
          <w:szCs w:val="22"/>
        </w:rPr>
        <w:t>This system has abundant areas of fish habitat and historically had diverse fish communities which supported both commercial and recreational fisheries (Rowland 2004).</w:t>
      </w:r>
    </w:p>
    <w:p w14:paraId="3B4F8594" w14:textId="77777777" w:rsidR="001E3C65" w:rsidRPr="00DB354E" w:rsidRDefault="001E3C65" w:rsidP="001E3C65">
      <w:pPr>
        <w:tabs>
          <w:tab w:val="left" w:pos="9071"/>
        </w:tabs>
        <w:spacing w:after="120" w:line="240" w:lineRule="auto"/>
        <w:ind w:right="-1"/>
        <w:rPr>
          <w:noProof/>
          <w:lang w:eastAsia="en-AU"/>
        </w:rPr>
      </w:pPr>
      <w:r>
        <w:rPr>
          <w:noProof/>
          <w:lang w:eastAsia="en-AU"/>
        </w:rPr>
        <w:drawing>
          <wp:inline distT="0" distB="0" distL="0" distR="0" wp14:anchorId="3B4F95C7" wp14:editId="27B188DE">
            <wp:extent cx="5520239" cy="2952000"/>
            <wp:effectExtent l="0" t="0" r="4445" b="1270"/>
            <wp:docPr id="188" name="Picture 5" descr="edwardWakoolRiver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wardWakoolRiverMaps.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20239" cy="2952000"/>
                    </a:xfrm>
                    <a:prstGeom prst="rect">
                      <a:avLst/>
                    </a:prstGeom>
                    <a:noFill/>
                    <a:ln w="9525">
                      <a:noFill/>
                      <a:miter lim="800000"/>
                      <a:headEnd/>
                      <a:tailEnd/>
                    </a:ln>
                  </pic:spPr>
                </pic:pic>
              </a:graphicData>
            </a:graphic>
          </wp:inline>
        </w:drawing>
      </w:r>
    </w:p>
    <w:p w14:paraId="3B4F8595" w14:textId="77777777" w:rsidR="009B5133" w:rsidRDefault="001E3C65" w:rsidP="006C0327">
      <w:pPr>
        <w:tabs>
          <w:tab w:val="left" w:pos="9071"/>
        </w:tabs>
        <w:spacing w:after="240" w:line="240" w:lineRule="auto"/>
        <w:jc w:val="left"/>
        <w:rPr>
          <w:b/>
          <w:color w:val="4F6228" w:themeColor="accent3" w:themeShade="80"/>
          <w:sz w:val="24"/>
          <w:szCs w:val="24"/>
        </w:rPr>
      </w:pPr>
      <w:bookmarkStart w:id="4" w:name="_Toc450162978"/>
      <w:bookmarkStart w:id="5" w:name="_Toc450164281"/>
      <w:bookmarkStart w:id="6" w:name="_Toc450165275"/>
      <w:bookmarkStart w:id="7" w:name="_Toc450165506"/>
      <w:bookmarkStart w:id="8" w:name="_Toc450165926"/>
      <w:r w:rsidRPr="00735FC8">
        <w:rPr>
          <w:b/>
          <w:sz w:val="20"/>
        </w:rPr>
        <w:t xml:space="preserve">Figure </w:t>
      </w:r>
      <w:r w:rsidR="000B5FD7" w:rsidRPr="00735FC8">
        <w:rPr>
          <w:b/>
          <w:sz w:val="20"/>
        </w:rPr>
        <w:fldChar w:fldCharType="begin"/>
      </w:r>
      <w:r w:rsidR="005944CC" w:rsidRPr="00735FC8">
        <w:rPr>
          <w:b/>
          <w:sz w:val="20"/>
        </w:rPr>
        <w:instrText xml:space="preserve"> SEQ Figure \* ARABIC </w:instrText>
      </w:r>
      <w:r w:rsidR="000B5FD7" w:rsidRPr="00735FC8">
        <w:rPr>
          <w:b/>
          <w:sz w:val="20"/>
        </w:rPr>
        <w:fldChar w:fldCharType="separate"/>
      </w:r>
      <w:r w:rsidR="0060539F">
        <w:rPr>
          <w:b/>
          <w:noProof/>
          <w:sz w:val="20"/>
        </w:rPr>
        <w:t>1</w:t>
      </w:r>
      <w:r w:rsidR="000B5FD7" w:rsidRPr="00735FC8">
        <w:rPr>
          <w:b/>
          <w:noProof/>
          <w:sz w:val="20"/>
        </w:rPr>
        <w:fldChar w:fldCharType="end"/>
      </w:r>
      <w:r w:rsidRPr="00735FC8">
        <w:rPr>
          <w:b/>
          <w:sz w:val="20"/>
        </w:rPr>
        <w:t>.1</w:t>
      </w:r>
      <w:r w:rsidRPr="00735FC8">
        <w:rPr>
          <w:sz w:val="20"/>
        </w:rPr>
        <w:t>. Map showing the main rivers in the Edward-Wakool system. (Source: Watts et al. 2013)</w:t>
      </w:r>
      <w:bookmarkEnd w:id="4"/>
      <w:bookmarkEnd w:id="5"/>
      <w:bookmarkEnd w:id="6"/>
      <w:bookmarkEnd w:id="7"/>
      <w:bookmarkEnd w:id="8"/>
    </w:p>
    <w:p w14:paraId="3B4F8596" w14:textId="3772FA00" w:rsidR="001547FE" w:rsidRDefault="00D46888" w:rsidP="006C4962">
      <w:pPr>
        <w:tabs>
          <w:tab w:val="left" w:pos="9071"/>
        </w:tabs>
        <w:spacing w:after="240" w:line="320" w:lineRule="exact"/>
        <w:jc w:val="left"/>
        <w:rPr>
          <w:szCs w:val="22"/>
        </w:rPr>
      </w:pPr>
      <w:r w:rsidRPr="00CE463D">
        <w:rPr>
          <w:szCs w:val="22"/>
        </w:rPr>
        <w:lastRenderedPageBreak/>
        <w:t xml:space="preserve">Like many </w:t>
      </w:r>
      <w:r>
        <w:rPr>
          <w:szCs w:val="22"/>
        </w:rPr>
        <w:t>rivers</w:t>
      </w:r>
      <w:r w:rsidRPr="00CE463D">
        <w:rPr>
          <w:szCs w:val="22"/>
        </w:rPr>
        <w:t xml:space="preserve"> of the Murray-Darling Basin, the </w:t>
      </w:r>
      <w:r>
        <w:rPr>
          <w:szCs w:val="22"/>
        </w:rPr>
        <w:t>flow</w:t>
      </w:r>
      <w:r w:rsidRPr="00CE463D">
        <w:rPr>
          <w:szCs w:val="22"/>
        </w:rPr>
        <w:t xml:space="preserve"> regime</w:t>
      </w:r>
      <w:r>
        <w:rPr>
          <w:szCs w:val="22"/>
        </w:rPr>
        <w:t>s</w:t>
      </w:r>
      <w:r w:rsidRPr="00CE463D">
        <w:rPr>
          <w:szCs w:val="22"/>
        </w:rPr>
        <w:t xml:space="preserve"> </w:t>
      </w:r>
      <w:r>
        <w:rPr>
          <w:szCs w:val="22"/>
        </w:rPr>
        <w:t xml:space="preserve">of rivers in </w:t>
      </w:r>
      <w:r w:rsidRPr="00CE463D">
        <w:rPr>
          <w:szCs w:val="22"/>
        </w:rPr>
        <w:t xml:space="preserve">the Edward-Wakool system </w:t>
      </w:r>
      <w:r>
        <w:rPr>
          <w:szCs w:val="22"/>
        </w:rPr>
        <w:t>have</w:t>
      </w:r>
      <w:r w:rsidRPr="00CE463D">
        <w:rPr>
          <w:szCs w:val="22"/>
        </w:rPr>
        <w:t xml:space="preserve"> been significantly altered by river</w:t>
      </w:r>
      <w:r>
        <w:rPr>
          <w:szCs w:val="22"/>
        </w:rPr>
        <w:t xml:space="preserve"> regulation (Green 2001</w:t>
      </w:r>
      <w:r w:rsidRPr="00CE463D">
        <w:rPr>
          <w:szCs w:val="22"/>
        </w:rPr>
        <w:t>; Hale and SKM 2011)</w:t>
      </w:r>
      <w:r>
        <w:rPr>
          <w:szCs w:val="22"/>
        </w:rPr>
        <w:t xml:space="preserve">. </w:t>
      </w:r>
      <w:r w:rsidR="0087050E">
        <w:rPr>
          <w:szCs w:val="22"/>
        </w:rPr>
        <w:t xml:space="preserve">Natural </w:t>
      </w:r>
      <w:r w:rsidR="0087050E">
        <w:t xml:space="preserve">flows in this system are strongly seasonal, with high flows </w:t>
      </w:r>
      <w:r w:rsidR="00F36647">
        <w:t xml:space="preserve">typically </w:t>
      </w:r>
      <w:r w:rsidR="00175C68">
        <w:t xml:space="preserve">occurring </w:t>
      </w:r>
      <w:r w:rsidR="00F36647">
        <w:t xml:space="preserve">from July to November. </w:t>
      </w:r>
      <w:r w:rsidR="001547FE">
        <w:rPr>
          <w:szCs w:val="22"/>
        </w:rPr>
        <w:t xml:space="preserve">Analysis of </w:t>
      </w:r>
      <w:r w:rsidR="001547FE">
        <w:t xml:space="preserve">long-term modelled flow data </w:t>
      </w:r>
      <w:r w:rsidR="00666AD9">
        <w:t>at D</w:t>
      </w:r>
      <w:r w:rsidR="008C5088">
        <w:t>eniliquin on the Edward River</w:t>
      </w:r>
      <w:r w:rsidR="001547FE">
        <w:t xml:space="preserve">, showed that flow regulation </w:t>
      </w:r>
      <w:r w:rsidR="002A1B5F">
        <w:t xml:space="preserve">(post development) </w:t>
      </w:r>
      <w:r w:rsidR="001547FE">
        <w:t>has been associated with a marked reduction in winter high flows, including both extreme high flow events, but also average daily flows during the winter period (</w:t>
      </w:r>
      <w:r w:rsidR="00F36647">
        <w:t>Figure 1.2) (W</w:t>
      </w:r>
      <w:r w:rsidR="001547FE">
        <w:t>atts et al</w:t>
      </w:r>
      <w:r w:rsidR="004762DE">
        <w:t>.</w:t>
      </w:r>
      <w:r w:rsidR="001547FE">
        <w:t>2015</w:t>
      </w:r>
      <w:r w:rsidR="00BB1AD5">
        <w:t>b</w:t>
      </w:r>
      <w:r w:rsidR="001547FE">
        <w:t xml:space="preserve">). </w:t>
      </w:r>
      <w:r w:rsidR="00F36647">
        <w:rPr>
          <w:rFonts w:asciiTheme="minorHAnsi" w:hAnsiTheme="minorHAnsi"/>
        </w:rPr>
        <w:t>There is also</w:t>
      </w:r>
      <w:r w:rsidR="00F36647">
        <w:t xml:space="preserve"> an elevated frequency of low to median flows and reduced frequency of moderate high flows (Figure 1.3). </w:t>
      </w:r>
      <w:r w:rsidR="00F36647" w:rsidRPr="00E540DE">
        <w:rPr>
          <w:rFonts w:asciiTheme="minorHAnsi" w:hAnsiTheme="minorHAnsi"/>
        </w:rPr>
        <w:t xml:space="preserve">These flow changes reflect the typical effects of flow-regime reversal observed in systems used to deliver dry-season irrigation flows </w:t>
      </w:r>
      <w:r w:rsidR="000B5FD7" w:rsidRPr="00E540DE">
        <w:rPr>
          <w:rFonts w:asciiTheme="minorHAnsi" w:hAnsiTheme="minorHAnsi"/>
        </w:rPr>
        <w:fldChar w:fldCharType="begin"/>
      </w:r>
      <w:r w:rsidR="00F36647" w:rsidRPr="00E540DE">
        <w:rPr>
          <w:rFonts w:asciiTheme="minorHAnsi" w:hAnsiTheme="minorHAnsi"/>
        </w:rPr>
        <w:instrText xml:space="preserve"> ADDIN PAPERS2_CITATIONS &lt;citation&gt;&lt;uuid&gt;DC1DAE68-16FB-4128-83B3-D6153C9FE878&lt;/uuid&gt;&lt;priority&gt;0&lt;/priority&gt;&lt;publications&gt;&lt;publication&gt;&lt;type&gt;400&lt;/type&gt;&lt;publication_date&gt;99200300001200000000200000&lt;/publication_date&gt;&lt;title&gt;Droughts and anti-droughts: the low flow hydrology of Australian rivers&lt;/title&gt;&lt;url&gt;http://www.southwestnrm.org.au/sites/default/files/uploads/ihub/mcmahon-ta-finlayson-bl-2003droughts-and-anti-droughts-t.pdf&lt;/url&gt;&lt;subtype&gt;400&lt;/subtype&gt;&lt;uuid&gt;FF37229A-B3A7-41DD-A39A-1189FEA2AD9C&lt;/uuid&gt;&lt;bundle&gt;&lt;publication&gt;&lt;publisher&gt;Wiley Online Library&lt;/publisher&gt;&lt;url&gt;http://onlinelibrary.wiley.com&lt;/url&gt;&lt;title&gt;Freshwater Biology&lt;/title&gt;&lt;type&gt;-100&lt;/type&gt;&lt;subtype&gt;-100&lt;/subtype&gt;&lt;uuid&gt;0067BDEE-665B-4F92-A434-0AFD87812E86&lt;/uuid&gt;&lt;/publication&gt;&lt;/bundle&gt;&lt;authors&gt;&lt;author&gt;&lt;firstName&gt;T&lt;/firstName&gt;&lt;middleNames&gt;A&lt;/middleNames&gt;&lt;lastName&gt;McMahon&lt;/lastName&gt;&lt;/author&gt;&lt;/authors&gt;&lt;/publication&gt;&lt;publication&gt;&lt;volume&gt;10&lt;/volume&gt;&lt;publication_date&gt;99199504001200000000220000&lt;/publication_date&gt;&lt;number&gt;1&lt;/number&gt;&lt;doi&gt;10.1002/rrr.3450100103&lt;/doi&gt;&lt;startpage&gt;15&lt;/startpage&gt;&lt;title&gt;Effects of regulation on the flow regime of the river Murray, Australia&lt;/title&gt;&lt;uuid&gt;C21E0355-0889-49DA-BB76-83A950CA99C4&lt;/uuid&gt;&lt;subtype&gt;400&lt;/subtype&gt;&lt;endpage&gt;38&lt;/endpage&gt;&lt;type&gt;400&lt;/type&gt;&lt;url&gt;http://doi.wiley.com/10.1002/rrr.3450100103&lt;/url&gt;&lt;bundle&gt;&lt;publication&gt;&lt;url&gt;http://onlinelibrary.wiley.com&lt;/url&gt;&lt;title&gt;Regulated Rivers Research and Management&lt;/title&gt;&lt;type&gt;-100&lt;/type&gt;&lt;subtype&gt;-100&lt;/subtype&gt;&lt;uuid&gt;B4C7CC9F-D880-4BBD-9D24-FF2437683DD6&lt;/uuid&gt;&lt;/publication&gt;&lt;/bundle&gt;&lt;authors&gt;&lt;author&gt;&lt;firstName&gt;B&lt;/firstName&gt;&lt;middleNames&gt;L&lt;/middleNames&gt;&lt;lastName&gt;Maheshwari&lt;/lastName&gt;&lt;/author&gt;&lt;author&gt;&lt;firstName&gt;Keith&lt;/firstName&gt;&lt;middleNames&gt;F&lt;/middleNames&gt;&lt;lastName&gt;Walker&lt;/lastName&gt;&lt;/author&gt;&lt;author&gt;&lt;firstName&gt;T&lt;/firstName&gt;&lt;middleNames&gt;A&lt;/middleNames&gt;&lt;lastName&gt;McMahon&lt;/lastName&gt;&lt;/author&gt;&lt;/authors&gt;&lt;/publication&gt;&lt;/publications&gt;&lt;cites&gt;&lt;/cites&gt;&lt;/citation&gt;</w:instrText>
      </w:r>
      <w:r w:rsidR="000B5FD7" w:rsidRPr="00E540DE">
        <w:rPr>
          <w:rFonts w:asciiTheme="minorHAnsi" w:hAnsiTheme="minorHAnsi"/>
        </w:rPr>
        <w:fldChar w:fldCharType="separate"/>
      </w:r>
      <w:r w:rsidR="008C5088">
        <w:rPr>
          <w:rFonts w:asciiTheme="minorHAnsi" w:hAnsiTheme="minorHAnsi" w:cs="Cambria"/>
          <w:lang w:val="en-US"/>
        </w:rPr>
        <w:t>(Maheshwari et al. 1995</w:t>
      </w:r>
      <w:r w:rsidR="00F36647" w:rsidRPr="00E540DE">
        <w:rPr>
          <w:rFonts w:asciiTheme="minorHAnsi" w:hAnsiTheme="minorHAnsi" w:cs="Cambria"/>
          <w:lang w:val="en-US"/>
        </w:rPr>
        <w:t>)</w:t>
      </w:r>
      <w:r w:rsidR="000B5FD7" w:rsidRPr="00E540DE">
        <w:rPr>
          <w:rFonts w:asciiTheme="minorHAnsi" w:hAnsiTheme="minorHAnsi"/>
        </w:rPr>
        <w:fldChar w:fldCharType="end"/>
      </w:r>
      <w:r w:rsidR="00F36647">
        <w:rPr>
          <w:rFonts w:asciiTheme="minorHAnsi" w:hAnsiTheme="minorHAnsi"/>
        </w:rPr>
        <w:t>.</w:t>
      </w:r>
    </w:p>
    <w:p w14:paraId="3B4F8597" w14:textId="77777777" w:rsidR="001547FE" w:rsidRDefault="008C5088" w:rsidP="0087050E">
      <w:pPr>
        <w:tabs>
          <w:tab w:val="left" w:pos="9071"/>
        </w:tabs>
        <w:spacing w:after="240" w:line="240" w:lineRule="auto"/>
        <w:jc w:val="left"/>
        <w:rPr>
          <w:szCs w:val="22"/>
        </w:rPr>
      </w:pPr>
      <w:r>
        <w:rPr>
          <w:noProof/>
          <w:szCs w:val="22"/>
          <w:lang w:eastAsia="en-AU"/>
        </w:rPr>
        <w:drawing>
          <wp:inline distT="0" distB="0" distL="0" distR="0" wp14:anchorId="3B4F95C9" wp14:editId="2194303C">
            <wp:extent cx="6200691" cy="194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200691"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3B4F8598" w14:textId="77777777" w:rsidR="0087050E" w:rsidRPr="0087050E" w:rsidRDefault="0087050E" w:rsidP="00F36647">
      <w:pPr>
        <w:pStyle w:val="TableofFigures"/>
        <w:spacing w:line="240" w:lineRule="auto"/>
        <w:jc w:val="left"/>
        <w:rPr>
          <w:sz w:val="20"/>
        </w:rPr>
      </w:pPr>
      <w:bookmarkStart w:id="9" w:name="_Ref303451297"/>
      <w:bookmarkStart w:id="10" w:name="_Toc450164286"/>
      <w:r w:rsidRPr="0087050E">
        <w:rPr>
          <w:b/>
          <w:sz w:val="20"/>
        </w:rPr>
        <w:t xml:space="preserve">Figure </w:t>
      </w:r>
      <w:bookmarkEnd w:id="9"/>
      <w:r w:rsidRPr="0087050E">
        <w:rPr>
          <w:b/>
          <w:sz w:val="20"/>
        </w:rPr>
        <w:t>1.2.</w:t>
      </w:r>
      <w:r w:rsidRPr="0087050E">
        <w:rPr>
          <w:sz w:val="20"/>
        </w:rPr>
        <w:t xml:space="preserve"> Boxplots of mean daily flows by month for the Edward River at </w:t>
      </w:r>
      <w:r w:rsidR="008C5088">
        <w:rPr>
          <w:sz w:val="20"/>
        </w:rPr>
        <w:t>Deniliquin</w:t>
      </w:r>
      <w:r w:rsidRPr="0087050E">
        <w:rPr>
          <w:sz w:val="20"/>
        </w:rPr>
        <w:t>.</w:t>
      </w:r>
      <w:bookmarkEnd w:id="10"/>
      <w:r w:rsidRPr="0087050E">
        <w:rPr>
          <w:sz w:val="20"/>
        </w:rPr>
        <w:t xml:space="preserve"> </w:t>
      </w:r>
      <w:r w:rsidR="00F36647" w:rsidRPr="00F36647">
        <w:rPr>
          <w:sz w:val="20"/>
        </w:rPr>
        <w:t>Post-development modelled time-series assumes that all current licensed extractions have been in place for the entire record, and that all licenses are active</w:t>
      </w:r>
      <w:r w:rsidR="00F36647">
        <w:t xml:space="preserve">. </w:t>
      </w:r>
      <w:r w:rsidRPr="0087050E">
        <w:rPr>
          <w:sz w:val="20"/>
        </w:rPr>
        <w:t>(Source</w:t>
      </w:r>
      <w:r w:rsidR="009B5133">
        <w:rPr>
          <w:sz w:val="20"/>
        </w:rPr>
        <w:t>:</w:t>
      </w:r>
      <w:r w:rsidRPr="0087050E">
        <w:rPr>
          <w:sz w:val="20"/>
        </w:rPr>
        <w:t xml:space="preserve"> Watts et al. 2015</w:t>
      </w:r>
      <w:r w:rsidR="00BB1AD5">
        <w:rPr>
          <w:sz w:val="20"/>
        </w:rPr>
        <w:t>b</w:t>
      </w:r>
      <w:r w:rsidRPr="0087050E">
        <w:rPr>
          <w:sz w:val="20"/>
        </w:rPr>
        <w:t>).</w:t>
      </w:r>
    </w:p>
    <w:p w14:paraId="3B4F8599" w14:textId="77777777" w:rsidR="0087050E" w:rsidRDefault="0087050E" w:rsidP="00470187">
      <w:pPr>
        <w:tabs>
          <w:tab w:val="left" w:pos="9071"/>
        </w:tabs>
        <w:spacing w:after="240"/>
        <w:ind w:right="-1"/>
        <w:jc w:val="left"/>
        <w:rPr>
          <w:szCs w:val="22"/>
        </w:rPr>
      </w:pPr>
    </w:p>
    <w:p w14:paraId="3B4F859A" w14:textId="77777777" w:rsidR="00F36647" w:rsidRDefault="00F36647" w:rsidP="00F36647">
      <w:pPr>
        <w:tabs>
          <w:tab w:val="left" w:pos="9071"/>
        </w:tabs>
        <w:spacing w:after="120" w:line="240" w:lineRule="auto"/>
        <w:jc w:val="left"/>
        <w:rPr>
          <w:szCs w:val="22"/>
        </w:rPr>
      </w:pPr>
      <w:r>
        <w:rPr>
          <w:noProof/>
          <w:szCs w:val="22"/>
          <w:lang w:eastAsia="en-AU"/>
        </w:rPr>
        <w:drawing>
          <wp:inline distT="0" distB="0" distL="0" distR="0" wp14:anchorId="3B4F95CB" wp14:editId="55E80C60">
            <wp:extent cx="6227580" cy="194400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705" t="2208" r="2128" b="2834"/>
                    <a:stretch/>
                  </pic:blipFill>
                  <pic:spPr bwMode="auto">
                    <a:xfrm>
                      <a:off x="0" y="0"/>
                      <a:ext cx="6227580"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3B4F859B" w14:textId="77777777" w:rsidR="00F36647" w:rsidRPr="00EA207A" w:rsidRDefault="00F36647" w:rsidP="00F36647">
      <w:pPr>
        <w:pStyle w:val="FigureCaption0"/>
        <w:rPr>
          <w:b w:val="0"/>
        </w:rPr>
      </w:pPr>
      <w:bookmarkStart w:id="11" w:name="_Ref303451831"/>
      <w:bookmarkStart w:id="12" w:name="_Toc450164287"/>
      <w:r w:rsidRPr="00E540DE">
        <w:t xml:space="preserve">Figure </w:t>
      </w:r>
      <w:bookmarkEnd w:id="11"/>
      <w:r>
        <w:t>1.3</w:t>
      </w:r>
      <w:r w:rsidRPr="00E540DE">
        <w:t xml:space="preserve">. </w:t>
      </w:r>
      <w:r w:rsidRPr="00EA207A">
        <w:rPr>
          <w:b w:val="0"/>
        </w:rPr>
        <w:t xml:space="preserve">Annual flow duration curve for the </w:t>
      </w:r>
      <w:r w:rsidRPr="00F36647">
        <w:rPr>
          <w:b w:val="0"/>
        </w:rPr>
        <w:t>Edward River at Deniliquin.</w:t>
      </w:r>
      <w:bookmarkEnd w:id="12"/>
      <w:r w:rsidRPr="00F36647">
        <w:rPr>
          <w:b w:val="0"/>
        </w:rPr>
        <w:t xml:space="preserve"> Post-development modelled time-series assumes that all current licensed extractions have been in place for the entire record, and that all licenses are active.  (Source: Watts et al. 2015</w:t>
      </w:r>
      <w:r w:rsidR="00BB1AD5">
        <w:rPr>
          <w:b w:val="0"/>
        </w:rPr>
        <w:t>b</w:t>
      </w:r>
      <w:r w:rsidRPr="00F36647">
        <w:rPr>
          <w:b w:val="0"/>
        </w:rPr>
        <w:t>).</w:t>
      </w:r>
    </w:p>
    <w:p w14:paraId="3B4F859C" w14:textId="77777777" w:rsidR="00F36647" w:rsidRDefault="00F36647">
      <w:pPr>
        <w:spacing w:after="0" w:line="240" w:lineRule="auto"/>
        <w:jc w:val="left"/>
        <w:rPr>
          <w:rFonts w:asciiTheme="minorHAnsi" w:hAnsiTheme="minorHAnsi"/>
          <w:szCs w:val="22"/>
        </w:rPr>
      </w:pPr>
      <w:r>
        <w:rPr>
          <w:rFonts w:asciiTheme="minorHAnsi" w:hAnsiTheme="minorHAnsi"/>
          <w:szCs w:val="22"/>
        </w:rPr>
        <w:br w:type="page"/>
      </w:r>
    </w:p>
    <w:p w14:paraId="3B4F859D" w14:textId="014CBA2B" w:rsidR="00470187" w:rsidRDefault="00470187" w:rsidP="00FD21C0">
      <w:pPr>
        <w:tabs>
          <w:tab w:val="left" w:pos="9071"/>
        </w:tabs>
        <w:spacing w:after="240" w:line="320" w:lineRule="exact"/>
        <w:jc w:val="left"/>
        <w:rPr>
          <w:rFonts w:asciiTheme="minorHAnsi" w:hAnsiTheme="minorHAnsi"/>
          <w:szCs w:val="22"/>
        </w:rPr>
      </w:pPr>
      <w:r w:rsidRPr="00470187">
        <w:rPr>
          <w:rFonts w:asciiTheme="minorHAnsi" w:hAnsiTheme="minorHAnsi"/>
          <w:szCs w:val="22"/>
        </w:rPr>
        <w:lastRenderedPageBreak/>
        <w:t xml:space="preserve">The Edward-Wakool river ecosystem is recovering from the impact of the </w:t>
      </w:r>
      <w:r w:rsidR="00DE675A" w:rsidRPr="00470187">
        <w:rPr>
          <w:rFonts w:asciiTheme="minorHAnsi" w:hAnsiTheme="minorHAnsi"/>
          <w:szCs w:val="22"/>
        </w:rPr>
        <w:t>Millennium</w:t>
      </w:r>
      <w:r w:rsidRPr="00470187">
        <w:rPr>
          <w:rFonts w:asciiTheme="minorHAnsi" w:hAnsiTheme="minorHAnsi"/>
          <w:szCs w:val="22"/>
        </w:rPr>
        <w:t xml:space="preserve"> drought in south-eastern Australia, a period from 1998 to 2010 when south-eastern Australia experienced a prolonged </w:t>
      </w:r>
      <w:r w:rsidR="0087050E">
        <w:rPr>
          <w:rFonts w:asciiTheme="minorHAnsi" w:hAnsiTheme="minorHAnsi"/>
          <w:szCs w:val="22"/>
        </w:rPr>
        <w:t>d</w:t>
      </w:r>
      <w:r w:rsidRPr="00470187">
        <w:rPr>
          <w:rFonts w:asciiTheme="minorHAnsi" w:hAnsiTheme="minorHAnsi"/>
          <w:szCs w:val="22"/>
        </w:rPr>
        <w:t>rought and flows in the Murray-Darling Basin were at record low levels (van Dijk 2013; Chiew et al. 2014).</w:t>
      </w:r>
      <w:r w:rsidR="002A1B5F">
        <w:rPr>
          <w:rFonts w:asciiTheme="minorHAnsi" w:hAnsiTheme="minorHAnsi"/>
        </w:rPr>
        <w:t xml:space="preserve"> During the drought there were</w:t>
      </w:r>
      <w:r w:rsidRPr="00470187">
        <w:rPr>
          <w:rFonts w:asciiTheme="minorHAnsi" w:hAnsiTheme="minorHAnsi"/>
        </w:rPr>
        <w:t xml:space="preserve"> period</w:t>
      </w:r>
      <w:r w:rsidR="002A1B5F">
        <w:rPr>
          <w:rFonts w:asciiTheme="minorHAnsi" w:hAnsiTheme="minorHAnsi"/>
        </w:rPr>
        <w:t>s when</w:t>
      </w:r>
      <w:r w:rsidRPr="00470187">
        <w:rPr>
          <w:rFonts w:asciiTheme="minorHAnsi" w:hAnsiTheme="minorHAnsi"/>
        </w:rPr>
        <w:t xml:space="preserve"> t</w:t>
      </w:r>
      <w:r w:rsidRPr="00470187">
        <w:rPr>
          <w:rFonts w:asciiTheme="minorHAnsi" w:hAnsiTheme="minorHAnsi"/>
          <w:szCs w:val="22"/>
        </w:rPr>
        <w:t>he regulators controlling flows from the Edward River into tributary rivers such as Yallakool Creek and</w:t>
      </w:r>
      <w:r w:rsidR="002A1B5F">
        <w:rPr>
          <w:rFonts w:asciiTheme="minorHAnsi" w:hAnsiTheme="minorHAnsi"/>
          <w:szCs w:val="22"/>
        </w:rPr>
        <w:t xml:space="preserve"> the Wakool River were closed. For example, b</w:t>
      </w:r>
      <w:r w:rsidRPr="00470187">
        <w:rPr>
          <w:rFonts w:asciiTheme="minorHAnsi" w:hAnsiTheme="minorHAnsi"/>
          <w:szCs w:val="22"/>
        </w:rPr>
        <w:t xml:space="preserve">etween February 2006 and September 2010 there were periods of minimal or no flow </w:t>
      </w:r>
      <w:r w:rsidR="001D0E92">
        <w:rPr>
          <w:rFonts w:asciiTheme="minorHAnsi" w:hAnsiTheme="minorHAnsi"/>
          <w:szCs w:val="22"/>
        </w:rPr>
        <w:t>(Figure 1.4</w:t>
      </w:r>
      <w:r w:rsidRPr="00470187">
        <w:rPr>
          <w:rFonts w:asciiTheme="minorHAnsi" w:hAnsiTheme="minorHAnsi"/>
          <w:szCs w:val="22"/>
        </w:rPr>
        <w:t xml:space="preserve">). </w:t>
      </w:r>
      <w:r w:rsidRPr="00470187">
        <w:rPr>
          <w:rFonts w:asciiTheme="minorHAnsi" w:hAnsiTheme="minorHAnsi"/>
        </w:rPr>
        <w:t>At the break of the drought after many years without overbank flows, a</w:t>
      </w:r>
      <w:r w:rsidRPr="00470187">
        <w:rPr>
          <w:rFonts w:asciiTheme="minorHAnsi" w:hAnsiTheme="minorHAnsi"/>
          <w:lang w:eastAsia="en-AU"/>
        </w:rPr>
        <w:t xml:space="preserve"> sequence of unregulated flow events </w:t>
      </w:r>
      <w:r w:rsidRPr="00470187">
        <w:rPr>
          <w:rFonts w:asciiTheme="minorHAnsi" w:hAnsiTheme="minorHAnsi"/>
          <w:szCs w:val="22"/>
        </w:rPr>
        <w:t xml:space="preserve">between September 2010 and April 2011 </w:t>
      </w:r>
      <w:r w:rsidR="001D0E92">
        <w:rPr>
          <w:rFonts w:asciiTheme="minorHAnsi" w:hAnsiTheme="minorHAnsi"/>
          <w:szCs w:val="22"/>
        </w:rPr>
        <w:t>(Figure 1.4</w:t>
      </w:r>
      <w:r w:rsidR="0087050E">
        <w:rPr>
          <w:rFonts w:asciiTheme="minorHAnsi" w:hAnsiTheme="minorHAnsi"/>
          <w:szCs w:val="22"/>
        </w:rPr>
        <w:t xml:space="preserve">) </w:t>
      </w:r>
      <w:r w:rsidRPr="00470187">
        <w:rPr>
          <w:rFonts w:asciiTheme="minorHAnsi" w:hAnsiTheme="minorHAnsi"/>
          <w:lang w:eastAsia="en-AU"/>
        </w:rPr>
        <w:t xml:space="preserve">triggered a hypoxic blackwater event downstream of </w:t>
      </w:r>
      <w:r w:rsidRPr="00470187">
        <w:rPr>
          <w:rFonts w:asciiTheme="minorHAnsi" w:hAnsiTheme="minorHAnsi"/>
        </w:rPr>
        <w:t xml:space="preserve">large river red gum </w:t>
      </w:r>
      <w:r w:rsidRPr="00470187">
        <w:rPr>
          <w:rFonts w:asciiTheme="minorHAnsi" w:hAnsiTheme="minorHAnsi"/>
          <w:color w:val="000000"/>
          <w:lang w:eastAsia="en-AU"/>
        </w:rPr>
        <w:t>(</w:t>
      </w:r>
      <w:r w:rsidRPr="00470187">
        <w:rPr>
          <w:rFonts w:asciiTheme="minorHAnsi" w:hAnsiTheme="minorHAnsi"/>
          <w:i/>
          <w:color w:val="000000"/>
          <w:lang w:eastAsia="en-AU"/>
        </w:rPr>
        <w:t>Eucalyptus camaldulensis</w:t>
      </w:r>
      <w:r w:rsidRPr="00470187">
        <w:rPr>
          <w:rFonts w:asciiTheme="minorHAnsi" w:hAnsiTheme="minorHAnsi"/>
          <w:color w:val="000000"/>
          <w:lang w:eastAsia="en-AU"/>
        </w:rPr>
        <w:t xml:space="preserve"> Dehnh.) floodplain </w:t>
      </w:r>
      <w:r w:rsidRPr="00470187">
        <w:rPr>
          <w:rFonts w:asciiTheme="minorHAnsi" w:hAnsiTheme="minorHAnsi"/>
        </w:rPr>
        <w:t xml:space="preserve">forests </w:t>
      </w:r>
      <w:r w:rsidR="00EB6116">
        <w:rPr>
          <w:rFonts w:asciiTheme="minorHAnsi" w:hAnsiTheme="minorHAnsi"/>
        </w:rPr>
        <w:t>(</w:t>
      </w:r>
      <w:r w:rsidRPr="00470187">
        <w:rPr>
          <w:rFonts w:asciiTheme="minorHAnsi" w:hAnsiTheme="minorHAnsi"/>
        </w:rPr>
        <w:t>MDBA 2011; Whitworth et al. 2012)</w:t>
      </w:r>
      <w:r w:rsidR="00EB6116" w:rsidRPr="00EB6116">
        <w:rPr>
          <w:rFonts w:asciiTheme="minorHAnsi" w:hAnsiTheme="minorHAnsi"/>
        </w:rPr>
        <w:t xml:space="preserve"> </w:t>
      </w:r>
      <w:r w:rsidR="00EB6116">
        <w:rPr>
          <w:rFonts w:asciiTheme="minorHAnsi" w:hAnsiTheme="minorHAnsi"/>
        </w:rPr>
        <w:t>(Figure 1.5).</w:t>
      </w:r>
      <w:r w:rsidR="0087050E">
        <w:rPr>
          <w:rFonts w:asciiTheme="minorHAnsi" w:hAnsiTheme="minorHAnsi"/>
        </w:rPr>
        <w:t xml:space="preserve"> </w:t>
      </w:r>
      <w:r w:rsidR="0087050E">
        <w:rPr>
          <w:rFonts w:asciiTheme="minorHAnsi" w:hAnsiTheme="minorHAnsi"/>
          <w:szCs w:val="22"/>
        </w:rPr>
        <w:t xml:space="preserve">These hypoxic blackwater events </w:t>
      </w:r>
      <w:r w:rsidR="0087050E" w:rsidRPr="00470187">
        <w:rPr>
          <w:rFonts w:asciiTheme="minorHAnsi" w:hAnsiTheme="minorHAnsi"/>
          <w:szCs w:val="22"/>
        </w:rPr>
        <w:t>resulted in the loss of many thousands of native fish, including large individuals of Murray cod</w:t>
      </w:r>
      <w:r w:rsidR="00956AE4">
        <w:rPr>
          <w:rFonts w:asciiTheme="minorHAnsi" w:hAnsiTheme="minorHAnsi"/>
          <w:szCs w:val="22"/>
        </w:rPr>
        <w:t xml:space="preserve"> (King et al. 2012; Whitworth et al. 2012)</w:t>
      </w:r>
      <w:r w:rsidR="0087050E" w:rsidRPr="00470187">
        <w:rPr>
          <w:rFonts w:asciiTheme="minorHAnsi" w:hAnsiTheme="minorHAnsi"/>
          <w:szCs w:val="22"/>
        </w:rPr>
        <w:t>.</w:t>
      </w:r>
    </w:p>
    <w:p w14:paraId="3B4F859E" w14:textId="778EAB68" w:rsidR="003F1849" w:rsidRDefault="003F1849" w:rsidP="003F1849">
      <w:pPr>
        <w:autoSpaceDE w:val="0"/>
        <w:autoSpaceDN w:val="0"/>
        <w:adjustRightInd w:val="0"/>
        <w:spacing w:after="240" w:line="320" w:lineRule="exact"/>
        <w:jc w:val="left"/>
      </w:pPr>
      <w:r>
        <w:t xml:space="preserve">Commonwealth </w:t>
      </w:r>
      <w:r w:rsidRPr="00290DB6">
        <w:t xml:space="preserve">environmental watering actions </w:t>
      </w:r>
      <w:r>
        <w:t xml:space="preserve">have occurred </w:t>
      </w:r>
      <w:r w:rsidRPr="00290DB6">
        <w:t>in the Edward-Wakool system since 2010</w:t>
      </w:r>
      <w:r>
        <w:t xml:space="preserve"> (Figure 1.4)</w:t>
      </w:r>
      <w:r w:rsidRPr="00290DB6">
        <w:t>.</w:t>
      </w:r>
      <w:r>
        <w:t xml:space="preserve"> In addition to watering action</w:t>
      </w:r>
      <w:r w:rsidR="00D4353B">
        <w:t>s</w:t>
      </w:r>
      <w:r>
        <w:t xml:space="preserve"> specifically targeted for the Edward-Wakool system,</w:t>
      </w:r>
      <w:r w:rsidRPr="00290DB6">
        <w:t xml:space="preserve"> water from upstream </w:t>
      </w:r>
      <w:r>
        <w:t xml:space="preserve">Commonwealth environmental </w:t>
      </w:r>
      <w:r w:rsidRPr="00290DB6">
        <w:t>watering actions that is targeted for downstream watering actions transits through the Edward-Wakool system</w:t>
      </w:r>
      <w:r>
        <w:t xml:space="preserve"> in some years</w:t>
      </w:r>
      <w:r w:rsidRPr="00290DB6">
        <w:t>.</w:t>
      </w:r>
    </w:p>
    <w:p w14:paraId="3B4F859F" w14:textId="77777777" w:rsidR="003F1849" w:rsidRDefault="003F1849" w:rsidP="003F1849">
      <w:pPr>
        <w:autoSpaceDE w:val="0"/>
        <w:autoSpaceDN w:val="0"/>
        <w:adjustRightInd w:val="0"/>
        <w:spacing w:after="240" w:line="320" w:lineRule="exact"/>
        <w:jc w:val="left"/>
      </w:pPr>
    </w:p>
    <w:p w14:paraId="3B4F85A0" w14:textId="77777777" w:rsidR="00F22029" w:rsidRDefault="00BA52C4" w:rsidP="00464BD4">
      <w:pPr>
        <w:pStyle w:val="TableofFigures"/>
        <w:spacing w:line="240" w:lineRule="auto"/>
        <w:rPr>
          <w:rFonts w:ascii="Times New Roman" w:hAnsi="Times New Roman"/>
          <w:szCs w:val="22"/>
        </w:rPr>
      </w:pPr>
      <w:bookmarkStart w:id="13" w:name="_Ref324953812"/>
      <w:bookmarkStart w:id="14" w:name="_Toc324953403"/>
      <w:bookmarkStart w:id="15" w:name="_Ref324953806"/>
      <w:bookmarkStart w:id="16" w:name="_Toc398112756"/>
      <w:bookmarkStart w:id="17" w:name="_Toc450164282"/>
      <w:r>
        <w:rPr>
          <w:rFonts w:ascii="Times New Roman" w:hAnsi="Times New Roman"/>
          <w:noProof/>
          <w:szCs w:val="22"/>
          <w:lang w:eastAsia="en-AU"/>
        </w:rPr>
        <w:drawing>
          <wp:inline distT="0" distB="0" distL="0" distR="0" wp14:anchorId="3B4F95CD" wp14:editId="3B4F95CE">
            <wp:extent cx="5476014" cy="313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35" t="1390" r="1681" b="2705"/>
                    <a:stretch/>
                  </pic:blipFill>
                  <pic:spPr bwMode="auto">
                    <a:xfrm>
                      <a:off x="0" y="0"/>
                      <a:ext cx="5476014" cy="3132000"/>
                    </a:xfrm>
                    <a:prstGeom prst="rect">
                      <a:avLst/>
                    </a:prstGeom>
                    <a:noFill/>
                    <a:ln>
                      <a:noFill/>
                    </a:ln>
                    <a:extLst>
                      <a:ext uri="{53640926-AAD7-44D8-BBD7-CCE9431645EC}">
                        <a14:shadowObscured xmlns:a14="http://schemas.microsoft.com/office/drawing/2010/main"/>
                      </a:ext>
                    </a:extLst>
                  </pic:spPr>
                </pic:pic>
              </a:graphicData>
            </a:graphic>
          </wp:inline>
        </w:drawing>
      </w:r>
    </w:p>
    <w:p w14:paraId="3B4F85A1" w14:textId="6452236E" w:rsidR="00EB6116" w:rsidRPr="00DE675A" w:rsidRDefault="00464BD4" w:rsidP="00DE675A">
      <w:pPr>
        <w:pStyle w:val="TableofFigures"/>
        <w:spacing w:after="240" w:line="240" w:lineRule="auto"/>
        <w:jc w:val="left"/>
        <w:rPr>
          <w:rFonts w:asciiTheme="minorHAnsi" w:hAnsiTheme="minorHAnsi"/>
          <w:sz w:val="20"/>
        </w:rPr>
      </w:pPr>
      <w:r w:rsidRPr="00464BD4">
        <w:rPr>
          <w:rFonts w:asciiTheme="minorHAnsi" w:hAnsiTheme="minorHAnsi"/>
          <w:b/>
          <w:sz w:val="20"/>
        </w:rPr>
        <w:t>Fig</w:t>
      </w:r>
      <w:r w:rsidR="001D0E92">
        <w:rPr>
          <w:rFonts w:asciiTheme="minorHAnsi" w:hAnsiTheme="minorHAnsi"/>
          <w:b/>
          <w:sz w:val="20"/>
        </w:rPr>
        <w:t>ure</w:t>
      </w:r>
      <w:r w:rsidR="00D4353B">
        <w:rPr>
          <w:rFonts w:asciiTheme="minorHAnsi" w:hAnsiTheme="minorHAnsi"/>
          <w:b/>
          <w:sz w:val="20"/>
        </w:rPr>
        <w:t xml:space="preserve"> </w:t>
      </w:r>
      <w:r w:rsidR="001D0E92">
        <w:rPr>
          <w:rFonts w:asciiTheme="minorHAnsi" w:hAnsiTheme="minorHAnsi"/>
          <w:b/>
          <w:sz w:val="20"/>
        </w:rPr>
        <w:t>1.4</w:t>
      </w:r>
      <w:r>
        <w:rPr>
          <w:rFonts w:asciiTheme="minorHAnsi" w:hAnsiTheme="minorHAnsi"/>
          <w:b/>
          <w:sz w:val="20"/>
        </w:rPr>
        <w:t>.</w:t>
      </w:r>
      <w:bookmarkEnd w:id="13"/>
      <w:r>
        <w:rPr>
          <w:rFonts w:asciiTheme="minorHAnsi" w:hAnsiTheme="minorHAnsi"/>
          <w:b/>
          <w:sz w:val="20"/>
        </w:rPr>
        <w:t xml:space="preserve"> </w:t>
      </w:r>
      <w:r w:rsidRPr="00464BD4">
        <w:rPr>
          <w:rFonts w:asciiTheme="minorHAnsi" w:hAnsiTheme="minorHAnsi"/>
          <w:sz w:val="20"/>
        </w:rPr>
        <w:t>Daily discharge (ML</w:t>
      </w:r>
      <w:r w:rsidR="003960AD">
        <w:rPr>
          <w:rFonts w:asciiTheme="minorHAnsi" w:hAnsiTheme="minorHAnsi"/>
          <w:sz w:val="20"/>
        </w:rPr>
        <w:t>.</w:t>
      </w:r>
      <w:r w:rsidRPr="00464BD4">
        <w:rPr>
          <w:rFonts w:asciiTheme="minorHAnsi" w:hAnsiTheme="minorHAnsi"/>
          <w:sz w:val="20"/>
        </w:rPr>
        <w:t>d</w:t>
      </w:r>
      <w:r w:rsidRPr="00464BD4">
        <w:rPr>
          <w:rFonts w:asciiTheme="minorHAnsi" w:hAnsiTheme="minorHAnsi"/>
          <w:sz w:val="20"/>
          <w:vertAlign w:val="superscript"/>
        </w:rPr>
        <w:t>-1</w:t>
      </w:r>
      <w:r w:rsidRPr="00464BD4">
        <w:rPr>
          <w:rFonts w:asciiTheme="minorHAnsi" w:hAnsiTheme="minorHAnsi"/>
          <w:sz w:val="20"/>
        </w:rPr>
        <w:t xml:space="preserve">) in </w:t>
      </w:r>
      <w:r w:rsidR="00D453A7">
        <w:rPr>
          <w:rFonts w:asciiTheme="minorHAnsi" w:hAnsiTheme="minorHAnsi"/>
          <w:sz w:val="20"/>
        </w:rPr>
        <w:t>Yallakool Creek</w:t>
      </w:r>
      <w:r w:rsidRPr="00464BD4">
        <w:rPr>
          <w:rFonts w:asciiTheme="minorHAnsi" w:hAnsiTheme="minorHAnsi"/>
          <w:sz w:val="20"/>
        </w:rPr>
        <w:t xml:space="preserve"> (</w:t>
      </w:r>
      <w:r w:rsidR="00D453A7" w:rsidRPr="00D453A7">
        <w:rPr>
          <w:rFonts w:asciiTheme="minorHAnsi" w:hAnsiTheme="minorHAnsi"/>
          <w:sz w:val="20"/>
        </w:rPr>
        <w:t>gauge 409020 Yallakool Creek @ Offtake</w:t>
      </w:r>
      <w:r w:rsidRPr="00464BD4">
        <w:rPr>
          <w:rFonts w:asciiTheme="minorHAnsi" w:hAnsiTheme="minorHAnsi"/>
          <w:sz w:val="20"/>
        </w:rPr>
        <w:t xml:space="preserve">) from </w:t>
      </w:r>
      <w:r w:rsidR="00534C00">
        <w:rPr>
          <w:rFonts w:asciiTheme="minorHAnsi" w:hAnsiTheme="minorHAnsi"/>
          <w:sz w:val="20"/>
        </w:rPr>
        <w:t>1 January 2005 to 30 June 2016</w:t>
      </w:r>
      <w:r w:rsidRPr="00464BD4">
        <w:rPr>
          <w:rFonts w:asciiTheme="minorHAnsi" w:hAnsiTheme="minorHAnsi"/>
          <w:sz w:val="20"/>
        </w:rPr>
        <w:t xml:space="preserve">, showing period of </w:t>
      </w:r>
      <w:r w:rsidR="00DE675A">
        <w:rPr>
          <w:rFonts w:asciiTheme="minorHAnsi" w:hAnsiTheme="minorHAnsi"/>
          <w:sz w:val="20"/>
        </w:rPr>
        <w:t xml:space="preserve">no flows during the Millennium </w:t>
      </w:r>
      <w:r w:rsidRPr="00464BD4">
        <w:rPr>
          <w:rFonts w:asciiTheme="minorHAnsi" w:hAnsiTheme="minorHAnsi"/>
          <w:sz w:val="20"/>
        </w:rPr>
        <w:t xml:space="preserve">drought </w:t>
      </w:r>
      <w:r w:rsidR="0007392D">
        <w:rPr>
          <w:rFonts w:asciiTheme="minorHAnsi" w:hAnsiTheme="minorHAnsi"/>
          <w:sz w:val="20"/>
        </w:rPr>
        <w:t xml:space="preserve">prior to </w:t>
      </w:r>
      <w:r w:rsidR="00534C00">
        <w:rPr>
          <w:rFonts w:asciiTheme="minorHAnsi" w:hAnsiTheme="minorHAnsi"/>
          <w:sz w:val="20"/>
        </w:rPr>
        <w:t xml:space="preserve">several </w:t>
      </w:r>
      <w:r w:rsidR="0007392D">
        <w:rPr>
          <w:rFonts w:asciiTheme="minorHAnsi" w:hAnsiTheme="minorHAnsi"/>
          <w:sz w:val="20"/>
        </w:rPr>
        <w:t xml:space="preserve">unregulated flows </w:t>
      </w:r>
      <w:r w:rsidR="00DE675A">
        <w:rPr>
          <w:rFonts w:asciiTheme="minorHAnsi" w:hAnsiTheme="minorHAnsi"/>
          <w:sz w:val="20"/>
        </w:rPr>
        <w:t>between</w:t>
      </w:r>
      <w:r w:rsidRPr="00464BD4">
        <w:rPr>
          <w:rFonts w:asciiTheme="minorHAnsi" w:hAnsiTheme="minorHAnsi"/>
          <w:sz w:val="20"/>
        </w:rPr>
        <w:t xml:space="preserve"> 2010</w:t>
      </w:r>
      <w:r w:rsidR="00534C00">
        <w:rPr>
          <w:rFonts w:asciiTheme="minorHAnsi" w:hAnsiTheme="minorHAnsi"/>
          <w:sz w:val="20"/>
        </w:rPr>
        <w:t xml:space="preserve"> </w:t>
      </w:r>
      <w:r w:rsidR="00DE675A">
        <w:rPr>
          <w:rFonts w:asciiTheme="minorHAnsi" w:hAnsiTheme="minorHAnsi"/>
          <w:sz w:val="20"/>
        </w:rPr>
        <w:t>and</w:t>
      </w:r>
      <w:r w:rsidR="00534C00">
        <w:rPr>
          <w:rFonts w:asciiTheme="minorHAnsi" w:hAnsiTheme="minorHAnsi"/>
          <w:sz w:val="20"/>
        </w:rPr>
        <w:t xml:space="preserve"> 2013 and periods of Commonwealth environmental watering between</w:t>
      </w:r>
      <w:r w:rsidR="009A60EF">
        <w:rPr>
          <w:rFonts w:asciiTheme="minorHAnsi" w:hAnsiTheme="minorHAnsi"/>
          <w:sz w:val="20"/>
        </w:rPr>
        <w:t xml:space="preserve"> </w:t>
      </w:r>
      <w:r w:rsidR="00534C00">
        <w:rPr>
          <w:rFonts w:asciiTheme="minorHAnsi" w:hAnsiTheme="minorHAnsi"/>
          <w:sz w:val="20"/>
        </w:rPr>
        <w:t>2010 and 2016</w:t>
      </w:r>
      <w:r w:rsidR="00FF278C">
        <w:rPr>
          <w:rFonts w:asciiTheme="minorHAnsi" w:hAnsiTheme="minorHAnsi"/>
          <w:sz w:val="20"/>
        </w:rPr>
        <w:t xml:space="preserve"> (green shading)</w:t>
      </w:r>
      <w:r w:rsidRPr="00464BD4">
        <w:rPr>
          <w:rFonts w:asciiTheme="minorHAnsi" w:hAnsiTheme="minorHAnsi"/>
          <w:sz w:val="20"/>
        </w:rPr>
        <w:t xml:space="preserve">. </w:t>
      </w:r>
      <w:bookmarkEnd w:id="14"/>
      <w:bookmarkEnd w:id="15"/>
      <w:r w:rsidR="009A60EF">
        <w:rPr>
          <w:rFonts w:asciiTheme="minorHAnsi" w:hAnsiTheme="minorHAnsi"/>
          <w:sz w:val="20"/>
        </w:rPr>
        <w:t>There is an operational constraint of 600 ML d</w:t>
      </w:r>
      <w:r w:rsidR="009A60EF" w:rsidRPr="00B63EEC">
        <w:rPr>
          <w:rFonts w:asciiTheme="minorHAnsi" w:hAnsiTheme="minorHAnsi"/>
          <w:sz w:val="20"/>
          <w:vertAlign w:val="superscript"/>
        </w:rPr>
        <w:t xml:space="preserve">-1 </w:t>
      </w:r>
      <w:r w:rsidR="00B63EEC">
        <w:rPr>
          <w:rFonts w:asciiTheme="minorHAnsi" w:hAnsiTheme="minorHAnsi"/>
          <w:sz w:val="20"/>
        </w:rPr>
        <w:t xml:space="preserve">downstream of the confluence of Yallakool Creek and the upper Wakool River. </w:t>
      </w:r>
      <w:r w:rsidRPr="00464BD4">
        <w:rPr>
          <w:rFonts w:asciiTheme="minorHAnsi" w:hAnsiTheme="minorHAnsi"/>
          <w:sz w:val="20"/>
        </w:rPr>
        <w:t>Daily discharge data was obtained from N</w:t>
      </w:r>
      <w:bookmarkEnd w:id="16"/>
      <w:r w:rsidR="00DE675A">
        <w:rPr>
          <w:rFonts w:asciiTheme="minorHAnsi" w:hAnsiTheme="minorHAnsi"/>
          <w:sz w:val="20"/>
        </w:rPr>
        <w:t>SW Office of Water website</w:t>
      </w:r>
      <w:r w:rsidRPr="00464BD4">
        <w:rPr>
          <w:rFonts w:asciiTheme="minorHAnsi" w:hAnsiTheme="minorHAnsi"/>
          <w:sz w:val="20"/>
        </w:rPr>
        <w:t>.</w:t>
      </w:r>
      <w:bookmarkEnd w:id="17"/>
    </w:p>
    <w:p w14:paraId="3B4F85A2" w14:textId="77777777" w:rsidR="00464BD4" w:rsidRDefault="00EB6116" w:rsidP="003F1849">
      <w:pPr>
        <w:tabs>
          <w:tab w:val="left" w:pos="9071"/>
        </w:tabs>
        <w:spacing w:after="120" w:line="240" w:lineRule="auto"/>
        <w:jc w:val="left"/>
      </w:pPr>
      <w:r>
        <w:rPr>
          <w:noProof/>
          <w:lang w:eastAsia="en-AU"/>
        </w:rPr>
        <w:lastRenderedPageBreak/>
        <w:drawing>
          <wp:inline distT="0" distB="0" distL="0" distR="0" wp14:anchorId="3B4F95CF" wp14:editId="3C51EAB2">
            <wp:extent cx="5382450" cy="34920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F0003.JPG"/>
                    <pic:cNvPicPr/>
                  </pic:nvPicPr>
                  <pic:blipFill rotWithShape="1">
                    <a:blip r:embed="rId26" cstate="email">
                      <a:extLst>
                        <a:ext uri="{28A0092B-C50C-407E-A947-70E740481C1C}">
                          <a14:useLocalDpi xmlns:a14="http://schemas.microsoft.com/office/drawing/2010/main"/>
                        </a:ext>
                      </a:extLst>
                    </a:blip>
                    <a:srcRect t="3861" b="9639"/>
                    <a:stretch/>
                  </pic:blipFill>
                  <pic:spPr bwMode="auto">
                    <a:xfrm>
                      <a:off x="0" y="0"/>
                      <a:ext cx="5382450" cy="3492000"/>
                    </a:xfrm>
                    <a:prstGeom prst="rect">
                      <a:avLst/>
                    </a:prstGeom>
                    <a:ln>
                      <a:noFill/>
                    </a:ln>
                    <a:extLst>
                      <a:ext uri="{53640926-AAD7-44D8-BBD7-CCE9431645EC}">
                        <a14:shadowObscured xmlns:a14="http://schemas.microsoft.com/office/drawing/2010/main"/>
                      </a:ext>
                    </a:extLst>
                  </pic:spPr>
                </pic:pic>
              </a:graphicData>
            </a:graphic>
          </wp:inline>
        </w:drawing>
      </w:r>
    </w:p>
    <w:p w14:paraId="3B4F85A3" w14:textId="77777777" w:rsidR="00A3726A" w:rsidRPr="00EB6116" w:rsidRDefault="00EB6116" w:rsidP="00EB6116">
      <w:pPr>
        <w:tabs>
          <w:tab w:val="left" w:pos="9071"/>
        </w:tabs>
        <w:spacing w:after="240"/>
        <w:ind w:right="-1"/>
        <w:jc w:val="left"/>
        <w:rPr>
          <w:rFonts w:eastAsia="Times New Roman"/>
          <w:b/>
          <w:smallCaps/>
          <w:noProof/>
          <w:color w:val="4F6228"/>
          <w:spacing w:val="5"/>
          <w:sz w:val="20"/>
          <w:lang w:val="en-US" w:eastAsia="en-AU"/>
        </w:rPr>
      </w:pPr>
      <w:bookmarkStart w:id="18" w:name="_Toc450199547"/>
      <w:r w:rsidRPr="00EB6116">
        <w:rPr>
          <w:b/>
          <w:sz w:val="20"/>
        </w:rPr>
        <w:t>Figure 1.5</w:t>
      </w:r>
      <w:r w:rsidRPr="00EB6116">
        <w:rPr>
          <w:sz w:val="20"/>
        </w:rPr>
        <w:t xml:space="preserve">. </w:t>
      </w:r>
      <w:r>
        <w:rPr>
          <w:sz w:val="20"/>
        </w:rPr>
        <w:t>Blackwater in the Edward River at Four Posts Reserve in November 2010 (Photo R. Watts)</w:t>
      </w:r>
      <w:r w:rsidRPr="00EB6116">
        <w:rPr>
          <w:sz w:val="20"/>
        </w:rPr>
        <w:t xml:space="preserve">. </w:t>
      </w:r>
      <w:r w:rsidR="00A3726A" w:rsidRPr="00EB6116">
        <w:rPr>
          <w:sz w:val="20"/>
        </w:rPr>
        <w:br w:type="page"/>
      </w:r>
    </w:p>
    <w:p w14:paraId="3B4F85A4" w14:textId="28BFD196" w:rsidR="001E3C65" w:rsidRPr="00981345" w:rsidRDefault="001E3C65" w:rsidP="00417F7C">
      <w:pPr>
        <w:pStyle w:val="Heading1"/>
      </w:pPr>
      <w:bookmarkStart w:id="19" w:name="_Toc484078404"/>
      <w:r w:rsidRPr="00981345">
        <w:lastRenderedPageBreak/>
        <w:t xml:space="preserve">Commonwealth environmental </w:t>
      </w:r>
      <w:r>
        <w:t xml:space="preserve">water use </w:t>
      </w:r>
      <w:r w:rsidRPr="00981345">
        <w:t xml:space="preserve">objectives </w:t>
      </w:r>
      <w:r w:rsidR="00417F7C">
        <w:t>and watering actions in the Edward-W</w:t>
      </w:r>
      <w:r>
        <w:t>akool system</w:t>
      </w:r>
      <w:bookmarkEnd w:id="18"/>
      <w:r>
        <w:t xml:space="preserve"> </w:t>
      </w:r>
      <w:r w:rsidR="003D03C9" w:rsidRPr="003D03C9">
        <w:t>2015-16</w:t>
      </w:r>
      <w:bookmarkEnd w:id="19"/>
    </w:p>
    <w:p w14:paraId="3B4F85A5" w14:textId="77777777" w:rsidR="00EB7DB2" w:rsidRPr="00086959" w:rsidRDefault="00EB7DB2">
      <w:pPr>
        <w:spacing w:after="0" w:line="240" w:lineRule="auto"/>
        <w:jc w:val="left"/>
        <w:rPr>
          <w:color w:val="4F6228" w:themeColor="accent3" w:themeShade="80"/>
          <w:szCs w:val="22"/>
        </w:rPr>
      </w:pPr>
    </w:p>
    <w:p w14:paraId="3B4F85A6" w14:textId="77777777" w:rsidR="003D7EFB" w:rsidRDefault="006A578E" w:rsidP="00900EF2">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2.1</w:t>
      </w:r>
      <w:r w:rsidR="00E75801">
        <w:rPr>
          <w:b/>
          <w:color w:val="4F6228" w:themeColor="accent3" w:themeShade="80"/>
          <w:sz w:val="24"/>
          <w:szCs w:val="24"/>
        </w:rPr>
        <w:t xml:space="preserve"> </w:t>
      </w:r>
      <w:r w:rsidR="003D7EFB">
        <w:rPr>
          <w:b/>
          <w:color w:val="4F6228" w:themeColor="accent3" w:themeShade="80"/>
          <w:sz w:val="24"/>
          <w:szCs w:val="24"/>
        </w:rPr>
        <w:t xml:space="preserve">Proposed </w:t>
      </w:r>
      <w:r w:rsidR="009B0C79">
        <w:rPr>
          <w:b/>
          <w:color w:val="4F6228" w:themeColor="accent3" w:themeShade="80"/>
          <w:sz w:val="24"/>
          <w:szCs w:val="24"/>
        </w:rPr>
        <w:t xml:space="preserve">delivery of Commonwealth </w:t>
      </w:r>
      <w:r w:rsidR="003D7EFB">
        <w:rPr>
          <w:b/>
          <w:color w:val="4F6228" w:themeColor="accent3" w:themeShade="80"/>
          <w:sz w:val="24"/>
          <w:szCs w:val="24"/>
        </w:rPr>
        <w:t>environmental wat</w:t>
      </w:r>
      <w:r w:rsidR="009B0C79">
        <w:rPr>
          <w:b/>
          <w:color w:val="4F6228" w:themeColor="accent3" w:themeShade="80"/>
          <w:sz w:val="24"/>
          <w:szCs w:val="24"/>
        </w:rPr>
        <w:t>er</w:t>
      </w:r>
      <w:r w:rsidR="00E75801">
        <w:rPr>
          <w:b/>
          <w:color w:val="4F6228" w:themeColor="accent3" w:themeShade="80"/>
          <w:sz w:val="24"/>
          <w:szCs w:val="24"/>
        </w:rPr>
        <w:t xml:space="preserve"> </w:t>
      </w:r>
      <w:r w:rsidR="00FE4C98">
        <w:rPr>
          <w:b/>
          <w:color w:val="4F6228" w:themeColor="accent3" w:themeShade="80"/>
          <w:sz w:val="24"/>
          <w:szCs w:val="24"/>
        </w:rPr>
        <w:t xml:space="preserve">and </w:t>
      </w:r>
      <w:r w:rsidR="009B0C79">
        <w:rPr>
          <w:b/>
          <w:color w:val="4F6228" w:themeColor="accent3" w:themeShade="80"/>
          <w:sz w:val="24"/>
          <w:szCs w:val="24"/>
        </w:rPr>
        <w:t xml:space="preserve">flow </w:t>
      </w:r>
      <w:r w:rsidR="00FE4C98">
        <w:rPr>
          <w:b/>
          <w:color w:val="4F6228" w:themeColor="accent3" w:themeShade="80"/>
          <w:sz w:val="24"/>
          <w:szCs w:val="24"/>
        </w:rPr>
        <w:t xml:space="preserve">objectives </w:t>
      </w:r>
      <w:r w:rsidR="003D7EFB">
        <w:rPr>
          <w:b/>
          <w:color w:val="4F6228" w:themeColor="accent3" w:themeShade="80"/>
          <w:sz w:val="24"/>
          <w:szCs w:val="24"/>
        </w:rPr>
        <w:t>in 2015-16</w:t>
      </w:r>
    </w:p>
    <w:p w14:paraId="3B4F85A7" w14:textId="77777777" w:rsidR="00FF17E0" w:rsidRDefault="00FF17E0" w:rsidP="00047422">
      <w:pPr>
        <w:autoSpaceDE w:val="0"/>
        <w:autoSpaceDN w:val="0"/>
        <w:adjustRightInd w:val="0"/>
        <w:spacing w:after="120" w:line="240" w:lineRule="auto"/>
        <w:jc w:val="left"/>
      </w:pPr>
      <w:r>
        <w:t>Planning and decision making for Commonweal</w:t>
      </w:r>
      <w:r w:rsidR="00D930F3">
        <w:t>th environmental water and determining a course of action is influenced by considerations outlined by CEWO (2015) including:</w:t>
      </w:r>
    </w:p>
    <w:p w14:paraId="3B4F85A8" w14:textId="77777777" w:rsidR="00D930F3" w:rsidRDefault="00D930F3" w:rsidP="00935D64">
      <w:pPr>
        <w:pStyle w:val="ListParagraph"/>
        <w:numPr>
          <w:ilvl w:val="0"/>
          <w:numId w:val="34"/>
        </w:numPr>
        <w:autoSpaceDE w:val="0"/>
        <w:autoSpaceDN w:val="0"/>
        <w:adjustRightInd w:val="0"/>
        <w:spacing w:after="120" w:line="240" w:lineRule="auto"/>
        <w:jc w:val="left"/>
      </w:pPr>
      <w:r>
        <w:t>Environmental water demands and opportunities at specific sites;</w:t>
      </w:r>
    </w:p>
    <w:p w14:paraId="3B4F85A9" w14:textId="77777777" w:rsidR="00D930F3" w:rsidRDefault="00D930F3" w:rsidP="00935D64">
      <w:pPr>
        <w:pStyle w:val="ListParagraph"/>
        <w:numPr>
          <w:ilvl w:val="0"/>
          <w:numId w:val="34"/>
        </w:numPr>
        <w:autoSpaceDE w:val="0"/>
        <w:autoSpaceDN w:val="0"/>
        <w:adjustRightInd w:val="0"/>
        <w:spacing w:after="120" w:line="240" w:lineRule="auto"/>
        <w:jc w:val="left"/>
      </w:pPr>
      <w:r>
        <w:t>Anticipated environmental demands;</w:t>
      </w:r>
    </w:p>
    <w:p w14:paraId="3B4F85AA" w14:textId="77777777" w:rsidR="00D930F3" w:rsidRDefault="00D930F3" w:rsidP="00935D64">
      <w:pPr>
        <w:pStyle w:val="ListParagraph"/>
        <w:numPr>
          <w:ilvl w:val="0"/>
          <w:numId w:val="34"/>
        </w:numPr>
        <w:autoSpaceDE w:val="0"/>
        <w:autoSpaceDN w:val="0"/>
        <w:adjustRightInd w:val="0"/>
        <w:spacing w:after="120" w:line="240" w:lineRule="auto"/>
        <w:jc w:val="left"/>
      </w:pPr>
      <w:r>
        <w:t>Climatic conditions across a range of scenarios and current dam storage levels;</w:t>
      </w:r>
    </w:p>
    <w:p w14:paraId="3B4F85AB" w14:textId="77777777" w:rsidR="00D930F3" w:rsidRDefault="00047422" w:rsidP="00935D64">
      <w:pPr>
        <w:pStyle w:val="ListParagraph"/>
        <w:numPr>
          <w:ilvl w:val="0"/>
          <w:numId w:val="34"/>
        </w:numPr>
        <w:autoSpaceDE w:val="0"/>
        <w:autoSpaceDN w:val="0"/>
        <w:adjustRightInd w:val="0"/>
        <w:spacing w:after="120" w:line="240" w:lineRule="auto"/>
        <w:jc w:val="left"/>
      </w:pPr>
      <w:r>
        <w:t>Physical and operational constraints to water delivery;</w:t>
      </w:r>
    </w:p>
    <w:p w14:paraId="3B4F85AC" w14:textId="77777777" w:rsidR="00047422" w:rsidRDefault="00047422" w:rsidP="00935D64">
      <w:pPr>
        <w:pStyle w:val="ListParagraph"/>
        <w:numPr>
          <w:ilvl w:val="0"/>
          <w:numId w:val="34"/>
        </w:numPr>
        <w:autoSpaceDE w:val="0"/>
        <w:autoSpaceDN w:val="0"/>
        <w:adjustRightInd w:val="0"/>
        <w:spacing w:after="120" w:line="240" w:lineRule="auto"/>
        <w:jc w:val="left"/>
      </w:pPr>
      <w:r>
        <w:t>Environmental and operational risks;</w:t>
      </w:r>
    </w:p>
    <w:p w14:paraId="3B4F85AD" w14:textId="77777777" w:rsidR="00047422" w:rsidRDefault="00047422" w:rsidP="00935D64">
      <w:pPr>
        <w:pStyle w:val="ListParagraph"/>
        <w:numPr>
          <w:ilvl w:val="0"/>
          <w:numId w:val="34"/>
        </w:numPr>
        <w:autoSpaceDE w:val="0"/>
        <w:autoSpaceDN w:val="0"/>
        <w:adjustRightInd w:val="0"/>
        <w:spacing w:after="120" w:line="240" w:lineRule="auto"/>
        <w:jc w:val="left"/>
      </w:pPr>
      <w:r>
        <w:t>Cost versus benefit assessment of each option, within and across catchments; and</w:t>
      </w:r>
    </w:p>
    <w:p w14:paraId="3B4F85AE" w14:textId="77777777" w:rsidR="00047422" w:rsidRDefault="00047422" w:rsidP="00935D64">
      <w:pPr>
        <w:pStyle w:val="ListParagraph"/>
        <w:numPr>
          <w:ilvl w:val="0"/>
          <w:numId w:val="34"/>
        </w:numPr>
        <w:autoSpaceDE w:val="0"/>
        <w:autoSpaceDN w:val="0"/>
        <w:adjustRightInd w:val="0"/>
        <w:spacing w:after="240" w:line="320" w:lineRule="exact"/>
        <w:jc w:val="left"/>
      </w:pPr>
      <w:r>
        <w:t>Water account rules and carryover limits.</w:t>
      </w:r>
    </w:p>
    <w:p w14:paraId="3B4F85AF" w14:textId="0D351159" w:rsidR="00EA0242" w:rsidRPr="003F1849" w:rsidRDefault="00EA0242" w:rsidP="003F1849">
      <w:pPr>
        <w:autoSpaceDE w:val="0"/>
        <w:autoSpaceDN w:val="0"/>
        <w:adjustRightInd w:val="0"/>
        <w:spacing w:after="240" w:line="320" w:lineRule="exact"/>
        <w:jc w:val="left"/>
        <w:rPr>
          <w:rFonts w:asciiTheme="minorHAnsi" w:hAnsiTheme="minorHAnsi"/>
          <w:szCs w:val="22"/>
        </w:rPr>
      </w:pPr>
      <w:r>
        <w:t xml:space="preserve">In 2015-16 the Commonwealth Environmental Water Office considered that </w:t>
      </w:r>
      <w:r w:rsidR="00D4353B">
        <w:t>t</w:t>
      </w:r>
      <w:r>
        <w:t>here was</w:t>
      </w:r>
      <w:r w:rsidRPr="00EA0242">
        <w:t xml:space="preserve"> a moderate to high demand for environmental water in the Edward-Wakool system, particularly to maintain and consolidate the benefits of previous environment watering actions (CEWO 2015). The </w:t>
      </w:r>
      <w:r w:rsidR="00D4353B">
        <w:t>w</w:t>
      </w:r>
      <w:r w:rsidRPr="00EA0242">
        <w:t>ater resource availability (supply) in the context of meeting environmental demands is contributed by allocations against entitlements held for the environment by the Commonwealth Environmental Water Holder, New South Wales Office of Environment and Heritage, Victorian Environmental Water Holder and The Living Murray, as well as natural and unregulated flows, and planned environmental water</w:t>
      </w:r>
      <w:r>
        <w:t xml:space="preserve"> p</w:t>
      </w:r>
      <w:r w:rsidRPr="00EA0242">
        <w:t>rovisions (CEWO 2015). Considering carryover of Commonwealth environmental allocations from 2014–15 to 2015–16, the range of potenti</w:t>
      </w:r>
      <w:r>
        <w:t xml:space="preserve">al opening allocations for 2015-16, operational considerations and </w:t>
      </w:r>
      <w:r w:rsidRPr="00EA0242">
        <w:t xml:space="preserve">potential streamflows, it was considered that </w:t>
      </w:r>
      <w:r w:rsidR="00342EFF">
        <w:t xml:space="preserve">a </w:t>
      </w:r>
      <w:r w:rsidRPr="00EA0242">
        <w:t xml:space="preserve">moderate resource availability scenario was </w:t>
      </w:r>
      <w:r w:rsidR="00342EFF">
        <w:t>likely</w:t>
      </w:r>
      <w:r w:rsidRPr="00EA0242">
        <w:t xml:space="preserve"> for 2015–16</w:t>
      </w:r>
      <w:r>
        <w:t xml:space="preserve"> (CEWO 2015)</w:t>
      </w:r>
      <w:r w:rsidRPr="00EA0242">
        <w:t xml:space="preserve">, even </w:t>
      </w:r>
      <w:r w:rsidRPr="003F1849">
        <w:rPr>
          <w:rFonts w:asciiTheme="minorHAnsi" w:hAnsiTheme="minorHAnsi"/>
          <w:szCs w:val="22"/>
        </w:rPr>
        <w:t>though the condition of the Murray–Darling Basin was likely to be dry for the 2015–16 water year (MDBA 2015).</w:t>
      </w:r>
    </w:p>
    <w:p w14:paraId="3B4F85B0" w14:textId="77777777" w:rsidR="003F1849" w:rsidRPr="001139F1" w:rsidRDefault="003F1849" w:rsidP="001139F1">
      <w:pPr>
        <w:autoSpaceDE w:val="0"/>
        <w:autoSpaceDN w:val="0"/>
        <w:adjustRightInd w:val="0"/>
        <w:spacing w:after="240" w:line="320" w:lineRule="exact"/>
        <w:jc w:val="left"/>
        <w:rPr>
          <w:rFonts w:asciiTheme="minorHAnsi" w:hAnsiTheme="minorHAnsi" w:cs="Century Gothic"/>
          <w:szCs w:val="22"/>
          <w:lang w:eastAsia="en-AU"/>
        </w:rPr>
      </w:pPr>
      <w:r w:rsidRPr="003F1849">
        <w:rPr>
          <w:rFonts w:asciiTheme="minorHAnsi" w:hAnsiTheme="minorHAnsi" w:cs="Century Gothic"/>
          <w:szCs w:val="22"/>
          <w:lang w:eastAsia="en-AU"/>
        </w:rPr>
        <w:t xml:space="preserve">The overall ‘purpose’ for managing the Commonwealth’s water portfolio </w:t>
      </w:r>
      <w:r>
        <w:rPr>
          <w:rFonts w:asciiTheme="minorHAnsi" w:hAnsiTheme="minorHAnsi" w:cs="Century Gothic"/>
          <w:szCs w:val="22"/>
          <w:lang w:eastAsia="en-AU"/>
        </w:rPr>
        <w:t>in the Mid Murray for 2015–16 was</w:t>
      </w:r>
      <w:r w:rsidRPr="003F1849">
        <w:rPr>
          <w:rFonts w:asciiTheme="minorHAnsi" w:hAnsiTheme="minorHAnsi" w:cs="Century Gothic"/>
          <w:szCs w:val="22"/>
          <w:lang w:eastAsia="en-AU"/>
        </w:rPr>
        <w:t xml:space="preserve"> to </w:t>
      </w:r>
      <w:r w:rsidRPr="003F1849">
        <w:rPr>
          <w:rFonts w:asciiTheme="minorHAnsi" w:hAnsiTheme="minorHAnsi" w:cs="Century Gothic,Bold"/>
          <w:b/>
          <w:bCs/>
          <w:szCs w:val="22"/>
          <w:lang w:eastAsia="en-AU"/>
        </w:rPr>
        <w:t xml:space="preserve">protect </w:t>
      </w:r>
      <w:r w:rsidRPr="003F1849">
        <w:rPr>
          <w:rFonts w:asciiTheme="minorHAnsi" w:hAnsiTheme="minorHAnsi" w:cs="Century Gothic"/>
          <w:szCs w:val="22"/>
          <w:lang w:eastAsia="en-AU"/>
        </w:rPr>
        <w:t xml:space="preserve">the floodplain forest areas where demands are high, while </w:t>
      </w:r>
      <w:r w:rsidRPr="003F1849">
        <w:rPr>
          <w:rFonts w:asciiTheme="minorHAnsi" w:hAnsiTheme="minorHAnsi" w:cs="Century Gothic,Bold"/>
          <w:b/>
          <w:bCs/>
          <w:szCs w:val="22"/>
          <w:lang w:eastAsia="en-AU"/>
        </w:rPr>
        <w:t xml:space="preserve">maintaining </w:t>
      </w:r>
      <w:r w:rsidRPr="003F1849">
        <w:rPr>
          <w:rFonts w:asciiTheme="minorHAnsi" w:hAnsiTheme="minorHAnsi" w:cs="Century Gothic"/>
          <w:szCs w:val="22"/>
          <w:lang w:eastAsia="en-AU"/>
        </w:rPr>
        <w:t>ecological health and resilience of other key sites in the system</w:t>
      </w:r>
      <w:r>
        <w:rPr>
          <w:rFonts w:asciiTheme="minorHAnsi" w:hAnsiTheme="minorHAnsi" w:cs="Century Gothic"/>
          <w:szCs w:val="22"/>
          <w:lang w:eastAsia="en-AU"/>
        </w:rPr>
        <w:t xml:space="preserve"> (CEWO 2015)</w:t>
      </w:r>
      <w:r w:rsidRPr="003F1849">
        <w:rPr>
          <w:rFonts w:asciiTheme="minorHAnsi" w:hAnsiTheme="minorHAnsi" w:cs="Century Gothic"/>
          <w:szCs w:val="22"/>
          <w:lang w:eastAsia="en-AU"/>
        </w:rPr>
        <w:t xml:space="preserve">. </w:t>
      </w:r>
      <w:r>
        <w:rPr>
          <w:rFonts w:asciiTheme="minorHAnsi" w:hAnsiTheme="minorHAnsi" w:cs="Century Gothic"/>
          <w:szCs w:val="22"/>
          <w:lang w:eastAsia="en-AU"/>
        </w:rPr>
        <w:t xml:space="preserve">Consistent with the demands and purpose </w:t>
      </w:r>
      <w:r w:rsidR="001139F1">
        <w:rPr>
          <w:rFonts w:asciiTheme="minorHAnsi" w:hAnsiTheme="minorHAnsi" w:cs="Century Gothic"/>
          <w:szCs w:val="22"/>
          <w:lang w:eastAsia="en-AU"/>
        </w:rPr>
        <w:t>described above, the O</w:t>
      </w:r>
      <w:r>
        <w:rPr>
          <w:rFonts w:asciiTheme="minorHAnsi" w:hAnsiTheme="minorHAnsi" w:cs="Century Gothic"/>
          <w:szCs w:val="22"/>
          <w:lang w:eastAsia="en-AU"/>
        </w:rPr>
        <w:t xml:space="preserve">ffice considered supplying environmental water </w:t>
      </w:r>
      <w:r w:rsidR="001139F1">
        <w:rPr>
          <w:rFonts w:asciiTheme="minorHAnsi" w:hAnsiTheme="minorHAnsi" w:cs="Century Gothic"/>
          <w:szCs w:val="22"/>
          <w:lang w:eastAsia="en-AU"/>
        </w:rPr>
        <w:t>for</w:t>
      </w:r>
      <w:r>
        <w:rPr>
          <w:rFonts w:asciiTheme="minorHAnsi" w:hAnsiTheme="minorHAnsi" w:cs="Century Gothic"/>
          <w:szCs w:val="22"/>
          <w:lang w:eastAsia="en-AU"/>
        </w:rPr>
        <w:t xml:space="preserve"> the following watering actions for Edward-Wakool system and Koondrook-Perricoota in </w:t>
      </w:r>
      <w:r w:rsidRPr="001139F1">
        <w:rPr>
          <w:rFonts w:asciiTheme="minorHAnsi" w:hAnsiTheme="minorHAnsi" w:cs="Century Gothic"/>
          <w:szCs w:val="22"/>
          <w:lang w:eastAsia="en-AU"/>
        </w:rPr>
        <w:t>2015-16</w:t>
      </w:r>
      <w:r w:rsidR="001139F1" w:rsidRPr="001139F1">
        <w:rPr>
          <w:rFonts w:asciiTheme="minorHAnsi" w:hAnsiTheme="minorHAnsi" w:cs="Century Gothic"/>
          <w:szCs w:val="22"/>
          <w:lang w:eastAsia="en-AU"/>
        </w:rPr>
        <w:t xml:space="preserve"> as described by CEWO (2015)</w:t>
      </w:r>
      <w:r w:rsidRPr="001139F1">
        <w:rPr>
          <w:rFonts w:asciiTheme="minorHAnsi" w:hAnsiTheme="minorHAnsi" w:cs="Century Gothic"/>
          <w:szCs w:val="22"/>
          <w:lang w:eastAsia="en-AU"/>
        </w:rPr>
        <w:t>:</w:t>
      </w:r>
    </w:p>
    <w:p w14:paraId="3B4F85B1" w14:textId="77777777" w:rsidR="001139F1" w:rsidRPr="001139F1" w:rsidRDefault="001139F1" w:rsidP="001139F1">
      <w:pPr>
        <w:autoSpaceDE w:val="0"/>
        <w:autoSpaceDN w:val="0"/>
        <w:adjustRightInd w:val="0"/>
        <w:spacing w:after="240" w:line="320" w:lineRule="exact"/>
        <w:ind w:left="720"/>
        <w:jc w:val="left"/>
        <w:rPr>
          <w:rFonts w:asciiTheme="minorHAnsi" w:hAnsiTheme="minorHAnsi" w:cs="Century Gothic,Italic"/>
          <w:i/>
          <w:iCs/>
          <w:szCs w:val="22"/>
          <w:lang w:eastAsia="en-AU"/>
        </w:rPr>
      </w:pPr>
      <w:r w:rsidRPr="001139F1">
        <w:rPr>
          <w:rFonts w:asciiTheme="minorHAnsi" w:hAnsiTheme="minorHAnsi" w:cs="Century Gothic,Italic"/>
          <w:i/>
          <w:iCs/>
          <w:szCs w:val="22"/>
          <w:lang w:eastAsia="en-AU"/>
        </w:rPr>
        <w:lastRenderedPageBreak/>
        <w:t>Permanent Waterways</w:t>
      </w:r>
      <w:r>
        <w:rPr>
          <w:rFonts w:asciiTheme="minorHAnsi" w:hAnsiTheme="minorHAnsi" w:cs="Century Gothic,Italic"/>
          <w:i/>
          <w:iCs/>
          <w:szCs w:val="22"/>
          <w:lang w:eastAsia="en-AU"/>
        </w:rPr>
        <w:t xml:space="preserve">: </w:t>
      </w:r>
      <w:r w:rsidRPr="001139F1">
        <w:rPr>
          <w:rFonts w:asciiTheme="minorHAnsi" w:hAnsiTheme="minorHAnsi" w:cs="Century Gothic"/>
          <w:szCs w:val="22"/>
          <w:lang w:eastAsia="en-AU"/>
        </w:rPr>
        <w:t>The purpose would be to maintain in-stream habitat, particularly aquatic vegetation and areas supporting the various life stages of native fish. Environmental water use is most likely to contribute to in-channel base flows and freshes. It may also be used to provide a more gradual recession to periods of high flow (e.g. rain rejection flows) and improve water quality. Environmental water may also be used to assist in the management of natural hypoxic-blackwater events if they occur.</w:t>
      </w:r>
      <w:r>
        <w:rPr>
          <w:rFonts w:asciiTheme="minorHAnsi" w:hAnsiTheme="minorHAnsi" w:cs="Century Gothic"/>
          <w:szCs w:val="22"/>
          <w:lang w:eastAsia="en-AU"/>
        </w:rPr>
        <w:t xml:space="preserve"> </w:t>
      </w:r>
      <w:r w:rsidRPr="001139F1">
        <w:rPr>
          <w:rFonts w:asciiTheme="minorHAnsi" w:hAnsiTheme="minorHAnsi" w:cs="Century Gothic"/>
          <w:szCs w:val="22"/>
          <w:lang w:eastAsia="en-AU"/>
        </w:rPr>
        <w:t>Timing: July 2015 to June 2016 (biased late winter to early summer)</w:t>
      </w:r>
    </w:p>
    <w:p w14:paraId="3B4F85B2" w14:textId="77777777" w:rsidR="001139F1" w:rsidRPr="001139F1" w:rsidRDefault="001139F1" w:rsidP="001139F1">
      <w:pPr>
        <w:autoSpaceDE w:val="0"/>
        <w:autoSpaceDN w:val="0"/>
        <w:adjustRightInd w:val="0"/>
        <w:spacing w:after="240" w:line="320" w:lineRule="exact"/>
        <w:ind w:left="720"/>
        <w:jc w:val="left"/>
        <w:rPr>
          <w:rFonts w:asciiTheme="minorHAnsi" w:hAnsiTheme="minorHAnsi" w:cs="Century Gothic"/>
          <w:szCs w:val="22"/>
          <w:lang w:eastAsia="en-AU"/>
        </w:rPr>
      </w:pPr>
      <w:r w:rsidRPr="001139F1">
        <w:rPr>
          <w:rFonts w:asciiTheme="minorHAnsi" w:hAnsiTheme="minorHAnsi" w:cs="Century Gothic,Italic"/>
          <w:i/>
          <w:iCs/>
          <w:szCs w:val="22"/>
          <w:lang w:eastAsia="en-AU"/>
        </w:rPr>
        <w:t>Ephemeral waterways and wetlands</w:t>
      </w:r>
      <w:r>
        <w:rPr>
          <w:rFonts w:asciiTheme="minorHAnsi" w:hAnsiTheme="minorHAnsi" w:cs="Century Gothic,Italic"/>
          <w:i/>
          <w:iCs/>
          <w:szCs w:val="22"/>
          <w:lang w:eastAsia="en-AU"/>
        </w:rPr>
        <w:t xml:space="preserve">: </w:t>
      </w:r>
      <w:r w:rsidRPr="001139F1">
        <w:rPr>
          <w:rFonts w:asciiTheme="minorHAnsi" w:hAnsiTheme="minorHAnsi" w:cs="Century Gothic"/>
          <w:szCs w:val="22"/>
          <w:lang w:eastAsia="en-AU"/>
        </w:rPr>
        <w:t>The purpose would be to maintain ephemeral in-stream and wetland habitat, particularly water quality, aquatic vegetation and areas supporting the various life stages of native frogs, birds and aquatic invertebrates.</w:t>
      </w:r>
      <w:r>
        <w:rPr>
          <w:rFonts w:asciiTheme="minorHAnsi" w:hAnsiTheme="minorHAnsi" w:cs="Century Gothic"/>
          <w:szCs w:val="22"/>
          <w:lang w:eastAsia="en-AU"/>
        </w:rPr>
        <w:t xml:space="preserve"> </w:t>
      </w:r>
      <w:r w:rsidRPr="001139F1">
        <w:rPr>
          <w:rFonts w:asciiTheme="minorHAnsi" w:hAnsiTheme="minorHAnsi" w:cs="Century Gothic"/>
          <w:szCs w:val="22"/>
          <w:lang w:eastAsia="en-AU"/>
        </w:rPr>
        <w:t>Timing: Spring–summer 2015 and/or autumn 2016</w:t>
      </w:r>
    </w:p>
    <w:p w14:paraId="3B4F85B3" w14:textId="77777777" w:rsidR="001139F1" w:rsidRPr="001139F1" w:rsidRDefault="001139F1" w:rsidP="001139F1">
      <w:pPr>
        <w:autoSpaceDE w:val="0"/>
        <w:autoSpaceDN w:val="0"/>
        <w:adjustRightInd w:val="0"/>
        <w:spacing w:after="240" w:line="320" w:lineRule="exact"/>
        <w:ind w:left="720"/>
        <w:jc w:val="left"/>
        <w:rPr>
          <w:rFonts w:asciiTheme="minorHAnsi" w:hAnsiTheme="minorHAnsi" w:cs="Century Gothic"/>
          <w:szCs w:val="22"/>
          <w:lang w:eastAsia="en-AU"/>
        </w:rPr>
      </w:pPr>
      <w:r w:rsidRPr="001139F1">
        <w:rPr>
          <w:rFonts w:asciiTheme="minorHAnsi" w:hAnsiTheme="minorHAnsi" w:cs="Century Gothic,Italic"/>
          <w:i/>
          <w:iCs/>
          <w:szCs w:val="22"/>
          <w:lang w:eastAsia="en-AU"/>
        </w:rPr>
        <w:t>Edward-Wakool forests</w:t>
      </w:r>
      <w:r>
        <w:rPr>
          <w:rFonts w:asciiTheme="minorHAnsi" w:hAnsiTheme="minorHAnsi" w:cs="Century Gothic,Italic"/>
          <w:i/>
          <w:iCs/>
          <w:szCs w:val="22"/>
          <w:lang w:eastAsia="en-AU"/>
        </w:rPr>
        <w:t xml:space="preserve">: </w:t>
      </w:r>
      <w:r w:rsidRPr="001139F1">
        <w:rPr>
          <w:rFonts w:asciiTheme="minorHAnsi" w:hAnsiTheme="minorHAnsi" w:cs="Century Gothic"/>
          <w:szCs w:val="22"/>
          <w:lang w:eastAsia="en-AU"/>
        </w:rPr>
        <w:t>The purpose would be to maintain vegetation health and to contribute to hydrological connectivity and nutrient/carbon cycling processes. Commonwealth environmental water may be provided to complement the use other flows in Koondrook-Perricoota and Werai forests.</w:t>
      </w:r>
      <w:r>
        <w:rPr>
          <w:rFonts w:asciiTheme="minorHAnsi" w:hAnsiTheme="minorHAnsi" w:cs="Century Gothic"/>
          <w:szCs w:val="22"/>
          <w:lang w:eastAsia="en-AU"/>
        </w:rPr>
        <w:t xml:space="preserve"> </w:t>
      </w:r>
      <w:r w:rsidRPr="001139F1">
        <w:rPr>
          <w:rFonts w:asciiTheme="minorHAnsi" w:hAnsiTheme="minorHAnsi" w:cs="Century Gothic"/>
          <w:szCs w:val="22"/>
          <w:lang w:eastAsia="en-AU"/>
        </w:rPr>
        <w:t>Timing: Winter/spring</w:t>
      </w:r>
    </w:p>
    <w:p w14:paraId="3B4F85B4" w14:textId="77777777" w:rsidR="00047422" w:rsidRDefault="00047422" w:rsidP="00047422">
      <w:pPr>
        <w:spacing w:after="240" w:line="320" w:lineRule="exact"/>
        <w:jc w:val="left"/>
      </w:pPr>
      <w:r>
        <w:t>There were e</w:t>
      </w:r>
      <w:r w:rsidR="00DE60A4">
        <w:t xml:space="preserve">ight proposed environmental watering actions in the Edward-Wakool system </w:t>
      </w:r>
      <w:r w:rsidR="00DE60A4" w:rsidRPr="00DE60A4">
        <w:rPr>
          <w:color w:val="000000" w:themeColor="text1"/>
          <w:szCs w:val="22"/>
        </w:rPr>
        <w:t xml:space="preserve">in 2015-16 </w:t>
      </w:r>
      <w:r w:rsidR="00086959">
        <w:rPr>
          <w:color w:val="000000" w:themeColor="text1"/>
          <w:szCs w:val="22"/>
        </w:rPr>
        <w:t>(</w:t>
      </w:r>
      <w:r w:rsidR="00DE60A4" w:rsidRPr="00DE60A4">
        <w:rPr>
          <w:color w:val="000000" w:themeColor="text1"/>
          <w:szCs w:val="22"/>
        </w:rPr>
        <w:t>Table 2.1</w:t>
      </w:r>
      <w:r w:rsidR="00086959">
        <w:rPr>
          <w:color w:val="000000" w:themeColor="text1"/>
          <w:szCs w:val="22"/>
        </w:rPr>
        <w:t>)</w:t>
      </w:r>
      <w:r w:rsidRPr="00A637A3">
        <w:rPr>
          <w:color w:val="000000" w:themeColor="text1"/>
          <w:szCs w:val="22"/>
        </w:rPr>
        <w:t>.</w:t>
      </w:r>
      <w:r>
        <w:rPr>
          <w:color w:val="000000" w:themeColor="text1"/>
          <w:szCs w:val="22"/>
        </w:rPr>
        <w:t xml:space="preserve"> </w:t>
      </w:r>
      <w:r>
        <w:t xml:space="preserve">As outlined in </w:t>
      </w:r>
      <w:r w:rsidRPr="00296651">
        <w:t>Water Use Minute</w:t>
      </w:r>
      <w:r>
        <w:t xml:space="preserve"> 10038, t</w:t>
      </w:r>
      <w:r w:rsidRPr="003F1849">
        <w:rPr>
          <w:rFonts w:asciiTheme="minorHAnsi" w:hAnsiTheme="minorHAnsi"/>
          <w:szCs w:val="22"/>
        </w:rPr>
        <w:t>he 2015-16 Commonwealth env</w:t>
      </w:r>
      <w:r>
        <w:t>ironmental water use in the Edward-Wakool system expected to achieve the following outcomes:</w:t>
      </w:r>
    </w:p>
    <w:p w14:paraId="3B4F85B5" w14:textId="77777777" w:rsidR="00047422" w:rsidRDefault="00047422" w:rsidP="00935D64">
      <w:pPr>
        <w:numPr>
          <w:ilvl w:val="0"/>
          <w:numId w:val="28"/>
        </w:numPr>
        <w:tabs>
          <w:tab w:val="num" w:pos="851"/>
        </w:tabs>
        <w:spacing w:after="0" w:line="320" w:lineRule="exact"/>
        <w:ind w:left="851" w:hanging="425"/>
        <w:jc w:val="left"/>
      </w:pPr>
      <w:r>
        <w:t>maintain the diversity and condition of native fish and other native species including frogs and invertebrates through maintaining suitable habitat and providing/supporting opportunities to move, breed and recruit</w:t>
      </w:r>
    </w:p>
    <w:p w14:paraId="3B4F85B6" w14:textId="77777777" w:rsidR="00047422" w:rsidRDefault="00047422" w:rsidP="00935D64">
      <w:pPr>
        <w:numPr>
          <w:ilvl w:val="0"/>
          <w:numId w:val="28"/>
        </w:numPr>
        <w:tabs>
          <w:tab w:val="num" w:pos="851"/>
        </w:tabs>
        <w:spacing w:after="0" w:line="320" w:lineRule="exact"/>
        <w:ind w:left="851" w:hanging="425"/>
        <w:jc w:val="left"/>
      </w:pPr>
      <w:r>
        <w:t>maintain habitat quality in ephemeral watercourses</w:t>
      </w:r>
    </w:p>
    <w:p w14:paraId="3B4F85B7" w14:textId="77777777" w:rsidR="00047422" w:rsidRDefault="00047422" w:rsidP="00935D64">
      <w:pPr>
        <w:numPr>
          <w:ilvl w:val="0"/>
          <w:numId w:val="28"/>
        </w:numPr>
        <w:tabs>
          <w:tab w:val="num" w:pos="851"/>
        </w:tabs>
        <w:spacing w:after="0" w:line="320" w:lineRule="exact"/>
        <w:ind w:left="851" w:hanging="425"/>
        <w:jc w:val="left"/>
      </w:pPr>
      <w:r>
        <w:t>support mobilisation, transport and dispersal of biotic and abiotic material (e.g. sediment, nutrients and organic matter) through longitudinal and lateral hydrological connectivity</w:t>
      </w:r>
    </w:p>
    <w:p w14:paraId="3B4F85B8" w14:textId="77777777" w:rsidR="00047422" w:rsidRDefault="00047422" w:rsidP="00935D64">
      <w:pPr>
        <w:numPr>
          <w:ilvl w:val="0"/>
          <w:numId w:val="28"/>
        </w:numPr>
        <w:tabs>
          <w:tab w:val="num" w:pos="851"/>
        </w:tabs>
        <w:spacing w:after="0" w:line="320" w:lineRule="exact"/>
        <w:ind w:left="851" w:hanging="425"/>
        <w:jc w:val="left"/>
      </w:pPr>
      <w:r>
        <w:t>support inundation of low-lying wetlands/floodplains habitats within the system</w:t>
      </w:r>
    </w:p>
    <w:p w14:paraId="3B4F85B9" w14:textId="77777777" w:rsidR="00047422" w:rsidRDefault="00047422" w:rsidP="00935D64">
      <w:pPr>
        <w:numPr>
          <w:ilvl w:val="0"/>
          <w:numId w:val="28"/>
        </w:numPr>
        <w:tabs>
          <w:tab w:val="num" w:pos="851"/>
        </w:tabs>
        <w:spacing w:after="0" w:line="320" w:lineRule="exact"/>
        <w:ind w:left="851" w:hanging="425"/>
        <w:jc w:val="left"/>
      </w:pPr>
      <w:r>
        <w:t>maintain health of riparian and in-channel aquatic native vegetation communities</w:t>
      </w:r>
    </w:p>
    <w:p w14:paraId="3B4F85BA" w14:textId="77777777" w:rsidR="00047422" w:rsidRDefault="00047422" w:rsidP="00935D64">
      <w:pPr>
        <w:numPr>
          <w:ilvl w:val="0"/>
          <w:numId w:val="28"/>
        </w:numPr>
        <w:tabs>
          <w:tab w:val="num" w:pos="851"/>
        </w:tabs>
        <w:spacing w:after="0" w:line="320" w:lineRule="exact"/>
        <w:ind w:left="851" w:hanging="425"/>
        <w:jc w:val="left"/>
      </w:pPr>
      <w:r>
        <w:t>maintain/improve water quality within the system, particularly dissolved oxygen, salinity and pH</w:t>
      </w:r>
    </w:p>
    <w:p w14:paraId="3B4F85BB" w14:textId="77777777" w:rsidR="00047422" w:rsidRDefault="00047422" w:rsidP="00935D64">
      <w:pPr>
        <w:numPr>
          <w:ilvl w:val="0"/>
          <w:numId w:val="28"/>
        </w:numPr>
        <w:tabs>
          <w:tab w:val="num" w:pos="851"/>
        </w:tabs>
        <w:spacing w:after="240" w:line="320" w:lineRule="exact"/>
        <w:ind w:left="851" w:hanging="425"/>
        <w:jc w:val="left"/>
      </w:pPr>
      <w:r>
        <w:t>maintain ecosystem and population resilience through supporting ecological recovery and maintaining aquatic habitat.</w:t>
      </w:r>
    </w:p>
    <w:p w14:paraId="3B4F85BC" w14:textId="77777777" w:rsidR="00086959" w:rsidRDefault="00086959" w:rsidP="00086959">
      <w:pPr>
        <w:spacing w:after="240" w:line="320" w:lineRule="exact"/>
        <w:jc w:val="left"/>
        <w:rPr>
          <w:bCs/>
          <w:szCs w:val="22"/>
        </w:rPr>
      </w:pPr>
      <w:r>
        <w:rPr>
          <w:color w:val="000000" w:themeColor="text1"/>
          <w:szCs w:val="22"/>
        </w:rPr>
        <w:t>Only watering action</w:t>
      </w:r>
      <w:r w:rsidRPr="00A637A3">
        <w:rPr>
          <w:color w:val="000000" w:themeColor="text1"/>
          <w:szCs w:val="22"/>
        </w:rPr>
        <w:t xml:space="preserve"> 4 </w:t>
      </w:r>
      <w:r>
        <w:rPr>
          <w:color w:val="000000" w:themeColor="text1"/>
          <w:szCs w:val="22"/>
        </w:rPr>
        <w:t xml:space="preserve">in the Wakool River </w:t>
      </w:r>
      <w:r w:rsidRPr="00A637A3">
        <w:rPr>
          <w:color w:val="000000" w:themeColor="text1"/>
          <w:szCs w:val="22"/>
        </w:rPr>
        <w:t xml:space="preserve">and </w:t>
      </w:r>
      <w:r>
        <w:rPr>
          <w:color w:val="000000" w:themeColor="text1"/>
          <w:szCs w:val="22"/>
        </w:rPr>
        <w:t xml:space="preserve">watering action </w:t>
      </w:r>
      <w:r w:rsidRPr="00A637A3">
        <w:rPr>
          <w:color w:val="000000" w:themeColor="text1"/>
          <w:szCs w:val="22"/>
        </w:rPr>
        <w:t xml:space="preserve">5 </w:t>
      </w:r>
      <w:r>
        <w:rPr>
          <w:color w:val="000000" w:themeColor="text1"/>
          <w:szCs w:val="22"/>
        </w:rPr>
        <w:t xml:space="preserve">in Yallakool Creek </w:t>
      </w:r>
      <w:r w:rsidRPr="00A637A3">
        <w:rPr>
          <w:color w:val="000000" w:themeColor="text1"/>
          <w:szCs w:val="22"/>
        </w:rPr>
        <w:t xml:space="preserve">(highlighted) were </w:t>
      </w:r>
      <w:r>
        <w:rPr>
          <w:color w:val="000000" w:themeColor="text1"/>
          <w:szCs w:val="22"/>
        </w:rPr>
        <w:t xml:space="preserve">monitored and </w:t>
      </w:r>
      <w:r w:rsidRPr="00A637A3">
        <w:rPr>
          <w:color w:val="000000" w:themeColor="text1"/>
          <w:szCs w:val="22"/>
        </w:rPr>
        <w:t>evaluated in this 2015-16 Edward-Wakool LTIM report</w:t>
      </w:r>
      <w:r>
        <w:rPr>
          <w:color w:val="000000" w:themeColor="text1"/>
          <w:szCs w:val="22"/>
        </w:rPr>
        <w:t xml:space="preserve">. </w:t>
      </w:r>
      <w:r>
        <w:rPr>
          <w:bCs/>
          <w:szCs w:val="22"/>
        </w:rPr>
        <w:t xml:space="preserve">The </w:t>
      </w:r>
      <w:r>
        <w:rPr>
          <w:bCs/>
          <w:szCs w:val="22"/>
        </w:rPr>
        <w:lastRenderedPageBreak/>
        <w:t xml:space="preserve">expected outcome of </w:t>
      </w:r>
      <w:r w:rsidRPr="00086959">
        <w:rPr>
          <w:bCs/>
          <w:szCs w:val="22"/>
        </w:rPr>
        <w:t>watering actions 4 and 5</w:t>
      </w:r>
      <w:r>
        <w:rPr>
          <w:bCs/>
          <w:szCs w:val="22"/>
        </w:rPr>
        <w:t xml:space="preserve"> as described in the </w:t>
      </w:r>
      <w:r w:rsidRPr="009C43EE">
        <w:rPr>
          <w:color w:val="000000" w:themeColor="text1"/>
          <w:szCs w:val="22"/>
        </w:rPr>
        <w:t xml:space="preserve">Watering Acquittal report for the Edward-Wakool system </w:t>
      </w:r>
      <w:r>
        <w:rPr>
          <w:bCs/>
          <w:szCs w:val="22"/>
        </w:rPr>
        <w:t>was ‘</w:t>
      </w:r>
      <w:r w:rsidRPr="0007392D">
        <w:rPr>
          <w:bCs/>
          <w:i/>
          <w:szCs w:val="22"/>
        </w:rPr>
        <w:t>To compare the spawning response of cod by applying e-flows into the upper Wakool and Yallakool at the same time and to support the ongoing recovery/reestablishment of in stream aquatic vegetation’</w:t>
      </w:r>
      <w:r>
        <w:rPr>
          <w:bCs/>
          <w:szCs w:val="22"/>
        </w:rPr>
        <w:t>(CEWO 2016).</w:t>
      </w:r>
    </w:p>
    <w:p w14:paraId="3B4F85BD" w14:textId="77777777" w:rsidR="00086959" w:rsidRDefault="00086959" w:rsidP="00086959">
      <w:pPr>
        <w:spacing w:after="240" w:line="320" w:lineRule="exact"/>
        <w:jc w:val="left"/>
      </w:pPr>
    </w:p>
    <w:p w14:paraId="3B4F85BE" w14:textId="77777777" w:rsidR="00047422" w:rsidRDefault="00047422">
      <w:pPr>
        <w:spacing w:after="0" w:line="240" w:lineRule="auto"/>
        <w:jc w:val="left"/>
        <w:rPr>
          <w:b/>
          <w:color w:val="000000" w:themeColor="text1"/>
          <w:sz w:val="20"/>
        </w:rPr>
      </w:pPr>
      <w:r>
        <w:rPr>
          <w:b/>
          <w:color w:val="000000" w:themeColor="text1"/>
          <w:sz w:val="20"/>
        </w:rPr>
        <w:br w:type="page"/>
      </w:r>
    </w:p>
    <w:p w14:paraId="3B4F85BF" w14:textId="77777777" w:rsidR="003D7EFB" w:rsidRPr="009C43EE" w:rsidRDefault="003D7EFB" w:rsidP="003D7EFB">
      <w:pPr>
        <w:tabs>
          <w:tab w:val="left" w:pos="9071"/>
        </w:tabs>
        <w:spacing w:after="0" w:line="240" w:lineRule="auto"/>
        <w:jc w:val="left"/>
        <w:rPr>
          <w:color w:val="000000" w:themeColor="text1"/>
          <w:sz w:val="20"/>
        </w:rPr>
      </w:pPr>
      <w:r w:rsidRPr="009C43EE">
        <w:rPr>
          <w:b/>
          <w:color w:val="000000" w:themeColor="text1"/>
          <w:sz w:val="20"/>
        </w:rPr>
        <w:lastRenderedPageBreak/>
        <w:t>Table 2.1.</w:t>
      </w:r>
      <w:r w:rsidRPr="009C43EE">
        <w:rPr>
          <w:color w:val="000000" w:themeColor="text1"/>
          <w:sz w:val="20"/>
        </w:rPr>
        <w:t xml:space="preserve"> Summary of </w:t>
      </w:r>
      <w:r w:rsidR="00FE4C98">
        <w:rPr>
          <w:color w:val="000000" w:themeColor="text1"/>
          <w:sz w:val="20"/>
        </w:rPr>
        <w:t xml:space="preserve">proposed </w:t>
      </w:r>
      <w:r w:rsidRPr="009C43EE">
        <w:rPr>
          <w:color w:val="000000" w:themeColor="text1"/>
          <w:sz w:val="20"/>
        </w:rPr>
        <w:t>environmental watering actions in the Edward-Wakool system as descri</w:t>
      </w:r>
      <w:r>
        <w:rPr>
          <w:color w:val="000000" w:themeColor="text1"/>
          <w:sz w:val="20"/>
        </w:rPr>
        <w:t>b</w:t>
      </w:r>
      <w:r w:rsidR="00FE4C98">
        <w:rPr>
          <w:color w:val="000000" w:themeColor="text1"/>
          <w:sz w:val="20"/>
        </w:rPr>
        <w:t xml:space="preserve">ed in </w:t>
      </w:r>
      <w:r w:rsidRPr="009C43EE">
        <w:rPr>
          <w:color w:val="000000" w:themeColor="text1"/>
          <w:sz w:val="20"/>
        </w:rPr>
        <w:t>Watering Actions Acquittal report (CEWO 2016)</w:t>
      </w:r>
      <w:r>
        <w:rPr>
          <w:color w:val="000000" w:themeColor="text1"/>
          <w:sz w:val="20"/>
        </w:rPr>
        <w:t>. Only watering actions 4 and 5 (highlighted) were evaluated in this 2015-16 Edward-Wakool LTIM evaluation report.</w:t>
      </w:r>
      <w:r w:rsidR="00B97E01">
        <w:rPr>
          <w:color w:val="000000" w:themeColor="text1"/>
          <w:sz w:val="20"/>
        </w:rPr>
        <w:t xml:space="preserve"> (</w:t>
      </w:r>
      <w:r w:rsidR="0069733D">
        <w:rPr>
          <w:color w:val="000000" w:themeColor="text1"/>
          <w:sz w:val="20"/>
        </w:rPr>
        <w:t>Information</w:t>
      </w:r>
      <w:r w:rsidR="00B97E01">
        <w:rPr>
          <w:color w:val="000000" w:themeColor="text1"/>
          <w:sz w:val="20"/>
        </w:rPr>
        <w:t xml:space="preserve"> from CEWO 2016)</w:t>
      </w:r>
    </w:p>
    <w:tbl>
      <w:tblPr>
        <w:tblW w:w="492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
        <w:gridCol w:w="1510"/>
        <w:gridCol w:w="5412"/>
        <w:gridCol w:w="1132"/>
      </w:tblGrid>
      <w:tr w:rsidR="00806C13" w:rsidRPr="005E52B5" w14:paraId="3B4F85C4" w14:textId="77777777" w:rsidTr="00806C13">
        <w:trPr>
          <w:tblHeader/>
        </w:trPr>
        <w:tc>
          <w:tcPr>
            <w:tcW w:w="184" w:type="pct"/>
            <w:shd w:val="clear" w:color="auto" w:fill="EAF1DD" w:themeFill="accent3" w:themeFillTint="33"/>
          </w:tcPr>
          <w:p w14:paraId="3B4F85C0" w14:textId="77777777" w:rsidR="00806C13" w:rsidRPr="0033778F" w:rsidRDefault="00806C13" w:rsidP="00666AD9">
            <w:pPr>
              <w:spacing w:after="0" w:line="240" w:lineRule="auto"/>
              <w:rPr>
                <w:b/>
                <w:bCs/>
                <w:sz w:val="20"/>
              </w:rPr>
            </w:pPr>
          </w:p>
        </w:tc>
        <w:tc>
          <w:tcPr>
            <w:tcW w:w="903" w:type="pct"/>
            <w:shd w:val="clear" w:color="auto" w:fill="EAF1DD" w:themeFill="accent3" w:themeFillTint="33"/>
          </w:tcPr>
          <w:p w14:paraId="3B4F85C1" w14:textId="77777777" w:rsidR="00806C13" w:rsidRPr="0033778F" w:rsidRDefault="00806C13" w:rsidP="00666AD9">
            <w:pPr>
              <w:spacing w:after="0" w:line="240" w:lineRule="auto"/>
              <w:rPr>
                <w:b/>
                <w:bCs/>
                <w:sz w:val="20"/>
              </w:rPr>
            </w:pPr>
            <w:r w:rsidRPr="0033778F">
              <w:rPr>
                <w:b/>
                <w:bCs/>
                <w:sz w:val="20"/>
              </w:rPr>
              <w:t xml:space="preserve">Target asset </w:t>
            </w:r>
          </w:p>
        </w:tc>
        <w:tc>
          <w:tcPr>
            <w:tcW w:w="3236" w:type="pct"/>
            <w:shd w:val="clear" w:color="auto" w:fill="EAF1DD" w:themeFill="accent3" w:themeFillTint="33"/>
          </w:tcPr>
          <w:p w14:paraId="3B4F85C2" w14:textId="77777777" w:rsidR="00806C13" w:rsidRPr="00C06F5B" w:rsidRDefault="00806C13" w:rsidP="00666AD9">
            <w:pPr>
              <w:spacing w:after="0" w:line="240" w:lineRule="auto"/>
              <w:jc w:val="center"/>
              <w:rPr>
                <w:b/>
                <w:bCs/>
                <w:sz w:val="20"/>
              </w:rPr>
            </w:pPr>
            <w:r>
              <w:rPr>
                <w:b/>
                <w:bCs/>
                <w:sz w:val="20"/>
              </w:rPr>
              <w:t>Flow component</w:t>
            </w:r>
          </w:p>
        </w:tc>
        <w:tc>
          <w:tcPr>
            <w:tcW w:w="677" w:type="pct"/>
            <w:shd w:val="clear" w:color="auto" w:fill="EAF1DD" w:themeFill="accent3" w:themeFillTint="33"/>
          </w:tcPr>
          <w:p w14:paraId="3B4F85C3" w14:textId="77777777" w:rsidR="00806C13" w:rsidRDefault="00806C13" w:rsidP="00666AD9">
            <w:pPr>
              <w:spacing w:after="0" w:line="240" w:lineRule="auto"/>
              <w:jc w:val="center"/>
              <w:rPr>
                <w:b/>
                <w:bCs/>
                <w:sz w:val="20"/>
              </w:rPr>
            </w:pPr>
            <w:r>
              <w:rPr>
                <w:b/>
                <w:bCs/>
                <w:sz w:val="20"/>
              </w:rPr>
              <w:t>Timing</w:t>
            </w:r>
          </w:p>
        </w:tc>
      </w:tr>
      <w:tr w:rsidR="00806C13" w:rsidRPr="005E52B5" w14:paraId="3B4F85C9" w14:textId="77777777" w:rsidTr="00806C13">
        <w:trPr>
          <w:tblHeader/>
        </w:trPr>
        <w:tc>
          <w:tcPr>
            <w:tcW w:w="184" w:type="pct"/>
          </w:tcPr>
          <w:p w14:paraId="3B4F85C5" w14:textId="77777777" w:rsidR="00806C13" w:rsidRDefault="00806C13" w:rsidP="00806C13">
            <w:pPr>
              <w:spacing w:after="0" w:line="240" w:lineRule="auto"/>
              <w:jc w:val="left"/>
              <w:rPr>
                <w:bCs/>
                <w:sz w:val="20"/>
              </w:rPr>
            </w:pPr>
            <w:r>
              <w:rPr>
                <w:bCs/>
                <w:sz w:val="20"/>
              </w:rPr>
              <w:t>1</w:t>
            </w:r>
          </w:p>
        </w:tc>
        <w:tc>
          <w:tcPr>
            <w:tcW w:w="903" w:type="pct"/>
          </w:tcPr>
          <w:p w14:paraId="3B4F85C6" w14:textId="77777777" w:rsidR="00806C13" w:rsidRDefault="00806C13" w:rsidP="00806C13">
            <w:pPr>
              <w:spacing w:after="0" w:line="240" w:lineRule="auto"/>
              <w:jc w:val="left"/>
              <w:rPr>
                <w:bCs/>
                <w:sz w:val="20"/>
              </w:rPr>
            </w:pPr>
            <w:r>
              <w:rPr>
                <w:bCs/>
                <w:sz w:val="20"/>
              </w:rPr>
              <w:t>Edward Rive</w:t>
            </w:r>
            <w:r w:rsidR="006B1DA2">
              <w:rPr>
                <w:bCs/>
                <w:sz w:val="20"/>
              </w:rPr>
              <w:t>r</w:t>
            </w:r>
          </w:p>
        </w:tc>
        <w:tc>
          <w:tcPr>
            <w:tcW w:w="3236" w:type="pct"/>
          </w:tcPr>
          <w:p w14:paraId="3B4F85C7" w14:textId="77777777" w:rsidR="00806C13" w:rsidRDefault="00806C13" w:rsidP="00806C13">
            <w:pPr>
              <w:spacing w:after="0" w:line="240" w:lineRule="auto"/>
              <w:jc w:val="left"/>
              <w:rPr>
                <w:bCs/>
                <w:sz w:val="20"/>
              </w:rPr>
            </w:pPr>
            <w:r>
              <w:rPr>
                <w:bCs/>
                <w:sz w:val="20"/>
              </w:rPr>
              <w:t>Fresh</w:t>
            </w:r>
          </w:p>
        </w:tc>
        <w:tc>
          <w:tcPr>
            <w:tcW w:w="677" w:type="pct"/>
          </w:tcPr>
          <w:p w14:paraId="3B4F85C8" w14:textId="77777777" w:rsidR="00806C13" w:rsidRDefault="00806C13" w:rsidP="00806C13">
            <w:pPr>
              <w:spacing w:after="0" w:line="240" w:lineRule="auto"/>
              <w:jc w:val="left"/>
              <w:rPr>
                <w:bCs/>
                <w:sz w:val="20"/>
              </w:rPr>
            </w:pPr>
            <w:r>
              <w:rPr>
                <w:bCs/>
                <w:sz w:val="20"/>
              </w:rPr>
              <w:t>June-July</w:t>
            </w:r>
          </w:p>
        </w:tc>
      </w:tr>
      <w:tr w:rsidR="00806C13" w:rsidRPr="005E52B5" w14:paraId="3B4F85CE" w14:textId="77777777" w:rsidTr="00806C13">
        <w:trPr>
          <w:tblHeader/>
        </w:trPr>
        <w:tc>
          <w:tcPr>
            <w:tcW w:w="184" w:type="pct"/>
          </w:tcPr>
          <w:p w14:paraId="3B4F85CA" w14:textId="77777777" w:rsidR="00806C13" w:rsidRPr="00B477CA" w:rsidRDefault="00806C13" w:rsidP="00806C13">
            <w:pPr>
              <w:spacing w:after="0" w:line="240" w:lineRule="auto"/>
              <w:jc w:val="left"/>
              <w:rPr>
                <w:bCs/>
                <w:sz w:val="20"/>
              </w:rPr>
            </w:pPr>
            <w:r>
              <w:rPr>
                <w:bCs/>
                <w:sz w:val="20"/>
              </w:rPr>
              <w:t>2</w:t>
            </w:r>
          </w:p>
        </w:tc>
        <w:tc>
          <w:tcPr>
            <w:tcW w:w="903" w:type="pct"/>
          </w:tcPr>
          <w:p w14:paraId="3B4F85CB" w14:textId="77777777" w:rsidR="00806C13" w:rsidRDefault="00806C13" w:rsidP="00806C13">
            <w:pPr>
              <w:spacing w:after="0" w:line="240" w:lineRule="auto"/>
              <w:jc w:val="left"/>
              <w:rPr>
                <w:bCs/>
                <w:sz w:val="20"/>
              </w:rPr>
            </w:pPr>
            <w:r>
              <w:rPr>
                <w:bCs/>
                <w:sz w:val="20"/>
              </w:rPr>
              <w:t>Edward River – Stevens Weir</w:t>
            </w:r>
          </w:p>
        </w:tc>
        <w:tc>
          <w:tcPr>
            <w:tcW w:w="3236" w:type="pct"/>
          </w:tcPr>
          <w:p w14:paraId="3B4F85CC" w14:textId="77777777" w:rsidR="00806C13" w:rsidRPr="002632F5" w:rsidRDefault="00806C13" w:rsidP="00806C13">
            <w:pPr>
              <w:pStyle w:val="ListBullet"/>
              <w:snapToGrid w:val="0"/>
              <w:spacing w:after="120"/>
              <w:contextualSpacing w:val="0"/>
              <w:jc w:val="left"/>
              <w:rPr>
                <w:bCs/>
              </w:rPr>
            </w:pPr>
            <w:r>
              <w:rPr>
                <w:bCs/>
              </w:rPr>
              <w:t>NSW Water to lower and fully open Stevens Weir from 22 June until late July 2015 to facilitate bank drying. Commonwealth environmental water to be used to provide managed flows into the Edward River and refill the weir</w:t>
            </w:r>
          </w:p>
        </w:tc>
        <w:tc>
          <w:tcPr>
            <w:tcW w:w="677" w:type="pct"/>
          </w:tcPr>
          <w:p w14:paraId="3B4F85CD" w14:textId="77777777" w:rsidR="00806C13" w:rsidRDefault="00806C13" w:rsidP="00806C13">
            <w:pPr>
              <w:pStyle w:val="ListBullet"/>
              <w:snapToGrid w:val="0"/>
              <w:spacing w:after="0"/>
              <w:contextualSpacing w:val="0"/>
              <w:jc w:val="left"/>
              <w:rPr>
                <w:bCs/>
              </w:rPr>
            </w:pPr>
            <w:r>
              <w:rPr>
                <w:bCs/>
              </w:rPr>
              <w:t>June/July</w:t>
            </w:r>
          </w:p>
        </w:tc>
      </w:tr>
      <w:tr w:rsidR="00806C13" w:rsidRPr="005E52B5" w14:paraId="3B4F85D3" w14:textId="77777777" w:rsidTr="00806C13">
        <w:trPr>
          <w:tblHeader/>
        </w:trPr>
        <w:tc>
          <w:tcPr>
            <w:tcW w:w="184" w:type="pct"/>
          </w:tcPr>
          <w:p w14:paraId="3B4F85CF" w14:textId="77777777" w:rsidR="00806C13" w:rsidRPr="00A861A4" w:rsidRDefault="00806C13" w:rsidP="00806C13">
            <w:pPr>
              <w:spacing w:after="0" w:line="240" w:lineRule="auto"/>
              <w:jc w:val="left"/>
              <w:rPr>
                <w:bCs/>
                <w:sz w:val="20"/>
              </w:rPr>
            </w:pPr>
            <w:r>
              <w:rPr>
                <w:bCs/>
                <w:sz w:val="20"/>
              </w:rPr>
              <w:t>3</w:t>
            </w:r>
          </w:p>
        </w:tc>
        <w:tc>
          <w:tcPr>
            <w:tcW w:w="903" w:type="pct"/>
          </w:tcPr>
          <w:p w14:paraId="3B4F85D0" w14:textId="77777777" w:rsidR="00806C13" w:rsidRPr="00A861A4" w:rsidRDefault="00806C13" w:rsidP="00806C13">
            <w:pPr>
              <w:spacing w:after="0" w:line="240" w:lineRule="auto"/>
              <w:jc w:val="left"/>
              <w:rPr>
                <w:bCs/>
                <w:sz w:val="20"/>
              </w:rPr>
            </w:pPr>
            <w:r>
              <w:rPr>
                <w:bCs/>
                <w:sz w:val="20"/>
              </w:rPr>
              <w:t>Colligen-N</w:t>
            </w:r>
            <w:r w:rsidRPr="00A861A4">
              <w:rPr>
                <w:bCs/>
                <w:sz w:val="20"/>
              </w:rPr>
              <w:t>i</w:t>
            </w:r>
            <w:r>
              <w:rPr>
                <w:bCs/>
                <w:sz w:val="20"/>
              </w:rPr>
              <w:t>e</w:t>
            </w:r>
            <w:r w:rsidRPr="00A861A4">
              <w:rPr>
                <w:bCs/>
                <w:sz w:val="20"/>
              </w:rPr>
              <w:t>mur</w:t>
            </w:r>
            <w:r>
              <w:rPr>
                <w:bCs/>
                <w:sz w:val="20"/>
              </w:rPr>
              <w:t xml:space="preserve"> </w:t>
            </w:r>
          </w:p>
        </w:tc>
        <w:tc>
          <w:tcPr>
            <w:tcW w:w="3236" w:type="pct"/>
          </w:tcPr>
          <w:p w14:paraId="3B4F85D1" w14:textId="77777777" w:rsidR="00806C13" w:rsidRPr="002632F5" w:rsidRDefault="00806C13" w:rsidP="00806C13">
            <w:pPr>
              <w:spacing w:after="120" w:line="240" w:lineRule="auto"/>
              <w:jc w:val="left"/>
              <w:rPr>
                <w:bCs/>
                <w:sz w:val="20"/>
              </w:rPr>
            </w:pPr>
            <w:r>
              <w:rPr>
                <w:bCs/>
                <w:sz w:val="20"/>
              </w:rPr>
              <w:t>Freshes and recession flows. Flow for early fresh to increase from base flow level to peak of 600 ML/day receding to 400</w:t>
            </w:r>
            <w:r w:rsidR="007478C0">
              <w:rPr>
                <w:bCs/>
                <w:sz w:val="20"/>
              </w:rPr>
              <w:t xml:space="preserve"> </w:t>
            </w:r>
            <w:r>
              <w:rPr>
                <w:bCs/>
                <w:sz w:val="20"/>
              </w:rPr>
              <w:t>ML/day. Flow for spring-summer fresh to have a flow range of between a minimum of 400 ML/day and up to 450 ML/day to enable river operators to provide a level of variability into flows. Flow recession to reduce from 450 ML/day in 25 ML/day increments every 1-2 weeks.</w:t>
            </w:r>
          </w:p>
        </w:tc>
        <w:tc>
          <w:tcPr>
            <w:tcW w:w="677" w:type="pct"/>
          </w:tcPr>
          <w:p w14:paraId="3B4F85D2" w14:textId="77777777" w:rsidR="00806C13" w:rsidRDefault="00806C13" w:rsidP="00806C13">
            <w:pPr>
              <w:spacing w:after="0" w:line="240" w:lineRule="auto"/>
              <w:jc w:val="left"/>
              <w:rPr>
                <w:bCs/>
                <w:sz w:val="20"/>
              </w:rPr>
            </w:pPr>
            <w:r>
              <w:rPr>
                <w:bCs/>
                <w:sz w:val="20"/>
              </w:rPr>
              <w:t>Spring-summer</w:t>
            </w:r>
          </w:p>
        </w:tc>
      </w:tr>
      <w:tr w:rsidR="00806C13" w:rsidRPr="005E52B5" w14:paraId="3B4F85D8" w14:textId="77777777" w:rsidTr="00806C13">
        <w:trPr>
          <w:tblHeader/>
        </w:trPr>
        <w:tc>
          <w:tcPr>
            <w:tcW w:w="184" w:type="pct"/>
            <w:shd w:val="clear" w:color="auto" w:fill="F2F2F2" w:themeFill="background1" w:themeFillShade="F2"/>
          </w:tcPr>
          <w:p w14:paraId="3B4F85D4" w14:textId="77777777" w:rsidR="00806C13" w:rsidRPr="00DC2961" w:rsidRDefault="00806C13" w:rsidP="00806C13">
            <w:pPr>
              <w:spacing w:after="0" w:line="240" w:lineRule="auto"/>
              <w:jc w:val="left"/>
              <w:rPr>
                <w:b/>
                <w:bCs/>
                <w:sz w:val="20"/>
              </w:rPr>
            </w:pPr>
            <w:r w:rsidRPr="00DC2961">
              <w:rPr>
                <w:b/>
                <w:bCs/>
                <w:sz w:val="20"/>
              </w:rPr>
              <w:t>4</w:t>
            </w:r>
          </w:p>
        </w:tc>
        <w:tc>
          <w:tcPr>
            <w:tcW w:w="903" w:type="pct"/>
            <w:shd w:val="clear" w:color="auto" w:fill="F2F2F2" w:themeFill="background1" w:themeFillShade="F2"/>
          </w:tcPr>
          <w:p w14:paraId="3B4F85D5" w14:textId="77777777" w:rsidR="00806C13" w:rsidRPr="00DC2961" w:rsidRDefault="00806C13" w:rsidP="00806C13">
            <w:pPr>
              <w:spacing w:after="0" w:line="240" w:lineRule="auto"/>
              <w:jc w:val="left"/>
              <w:rPr>
                <w:b/>
                <w:bCs/>
                <w:sz w:val="20"/>
              </w:rPr>
            </w:pPr>
            <w:r w:rsidRPr="00DC2961">
              <w:rPr>
                <w:b/>
                <w:bCs/>
                <w:sz w:val="20"/>
              </w:rPr>
              <w:t>Wakool River</w:t>
            </w:r>
          </w:p>
        </w:tc>
        <w:tc>
          <w:tcPr>
            <w:tcW w:w="3236" w:type="pct"/>
            <w:shd w:val="clear" w:color="auto" w:fill="F2F2F2" w:themeFill="background1" w:themeFillShade="F2"/>
          </w:tcPr>
          <w:p w14:paraId="3B4F85D6" w14:textId="54DCE51C" w:rsidR="00806C13" w:rsidRPr="00DC2961" w:rsidRDefault="00806C13" w:rsidP="00806C13">
            <w:pPr>
              <w:spacing w:after="120" w:line="240" w:lineRule="auto"/>
              <w:jc w:val="left"/>
              <w:rPr>
                <w:b/>
                <w:bCs/>
                <w:sz w:val="20"/>
              </w:rPr>
            </w:pPr>
            <w:r>
              <w:rPr>
                <w:bCs/>
                <w:sz w:val="20"/>
              </w:rPr>
              <w:t>Base flow and Fresh. F</w:t>
            </w:r>
            <w:r w:rsidR="00FF278C">
              <w:rPr>
                <w:bCs/>
                <w:sz w:val="20"/>
              </w:rPr>
              <w:t>low for spring-summer fresh in u</w:t>
            </w:r>
            <w:r>
              <w:rPr>
                <w:bCs/>
                <w:sz w:val="20"/>
              </w:rPr>
              <w:t>pper Wakool (above confluence with Yallakool Creek) to have a flow range of between 50 ML/day and 100</w:t>
            </w:r>
            <w:r w:rsidR="007478C0">
              <w:rPr>
                <w:bCs/>
                <w:sz w:val="20"/>
              </w:rPr>
              <w:t xml:space="preserve"> </w:t>
            </w:r>
            <w:r>
              <w:rPr>
                <w:bCs/>
                <w:sz w:val="20"/>
              </w:rPr>
              <w:t>ML/day to enable river operators to provide a level of variability into flows. A flow recession back to base flows of 25 ML/day every 14 days was targeted.</w:t>
            </w:r>
          </w:p>
        </w:tc>
        <w:tc>
          <w:tcPr>
            <w:tcW w:w="677" w:type="pct"/>
            <w:shd w:val="clear" w:color="auto" w:fill="F2F2F2" w:themeFill="background1" w:themeFillShade="F2"/>
          </w:tcPr>
          <w:p w14:paraId="3B4F85D7" w14:textId="77777777" w:rsidR="00806C13" w:rsidRDefault="00806C13" w:rsidP="00806C13">
            <w:pPr>
              <w:spacing w:before="60"/>
              <w:jc w:val="left"/>
              <w:rPr>
                <w:bCs/>
                <w:sz w:val="20"/>
              </w:rPr>
            </w:pPr>
            <w:r>
              <w:rPr>
                <w:bCs/>
                <w:sz w:val="20"/>
              </w:rPr>
              <w:t>Spring-summer</w:t>
            </w:r>
          </w:p>
        </w:tc>
      </w:tr>
      <w:tr w:rsidR="00806C13" w:rsidRPr="005E52B5" w14:paraId="3B4F85DD" w14:textId="77777777" w:rsidTr="00806C13">
        <w:trPr>
          <w:tblHeader/>
        </w:trPr>
        <w:tc>
          <w:tcPr>
            <w:tcW w:w="184" w:type="pct"/>
            <w:shd w:val="clear" w:color="auto" w:fill="F2F2F2" w:themeFill="background1" w:themeFillShade="F2"/>
          </w:tcPr>
          <w:p w14:paraId="3B4F85D9" w14:textId="77777777" w:rsidR="00806C13" w:rsidRPr="00DC2961" w:rsidRDefault="00806C13" w:rsidP="00806C13">
            <w:pPr>
              <w:spacing w:after="0" w:line="240" w:lineRule="auto"/>
              <w:jc w:val="left"/>
              <w:rPr>
                <w:b/>
                <w:bCs/>
                <w:sz w:val="20"/>
              </w:rPr>
            </w:pPr>
            <w:r w:rsidRPr="00DC2961">
              <w:rPr>
                <w:b/>
                <w:bCs/>
                <w:sz w:val="20"/>
              </w:rPr>
              <w:t>5</w:t>
            </w:r>
          </w:p>
        </w:tc>
        <w:tc>
          <w:tcPr>
            <w:tcW w:w="903" w:type="pct"/>
            <w:shd w:val="clear" w:color="auto" w:fill="F2F2F2" w:themeFill="background1" w:themeFillShade="F2"/>
          </w:tcPr>
          <w:p w14:paraId="3B4F85DA" w14:textId="77777777" w:rsidR="00806C13" w:rsidRPr="00DC2961" w:rsidRDefault="00806C13" w:rsidP="00806C13">
            <w:pPr>
              <w:spacing w:after="0" w:line="240" w:lineRule="auto"/>
              <w:jc w:val="left"/>
              <w:rPr>
                <w:b/>
                <w:bCs/>
                <w:sz w:val="20"/>
              </w:rPr>
            </w:pPr>
            <w:r w:rsidRPr="00DC2961">
              <w:rPr>
                <w:b/>
                <w:bCs/>
                <w:sz w:val="20"/>
              </w:rPr>
              <w:t>Yallakool Creek</w:t>
            </w:r>
          </w:p>
        </w:tc>
        <w:tc>
          <w:tcPr>
            <w:tcW w:w="3236" w:type="pct"/>
            <w:shd w:val="clear" w:color="auto" w:fill="F2F2F2" w:themeFill="background1" w:themeFillShade="F2"/>
          </w:tcPr>
          <w:p w14:paraId="3B4F85DB" w14:textId="77777777" w:rsidR="00806C13" w:rsidRPr="00DC2961" w:rsidRDefault="00806C13" w:rsidP="00806C13">
            <w:pPr>
              <w:spacing w:after="120" w:line="240" w:lineRule="auto"/>
              <w:jc w:val="left"/>
              <w:rPr>
                <w:b/>
                <w:bCs/>
                <w:sz w:val="20"/>
              </w:rPr>
            </w:pPr>
            <w:r>
              <w:rPr>
                <w:bCs/>
                <w:sz w:val="20"/>
              </w:rPr>
              <w:t>Base flow and Fresh. Flow for early fresh to increase from base flow level to peak of 550</w:t>
            </w:r>
            <w:r w:rsidR="007478C0">
              <w:rPr>
                <w:bCs/>
                <w:sz w:val="20"/>
              </w:rPr>
              <w:t xml:space="preserve"> </w:t>
            </w:r>
            <w:r>
              <w:rPr>
                <w:bCs/>
                <w:sz w:val="20"/>
              </w:rPr>
              <w:t>ML/day, receding to 450 ML/day. Flow for spring-summer fresh to have a flow range of between 450 ML/day and 500 ML/day to enable river operators to provide a level of variability into flows. Flow recession to reduce from 500 ML/day in 25 ML/day increments.</w:t>
            </w:r>
          </w:p>
        </w:tc>
        <w:tc>
          <w:tcPr>
            <w:tcW w:w="677" w:type="pct"/>
            <w:shd w:val="clear" w:color="auto" w:fill="F2F2F2" w:themeFill="background1" w:themeFillShade="F2"/>
          </w:tcPr>
          <w:p w14:paraId="3B4F85DC" w14:textId="77777777" w:rsidR="00806C13" w:rsidRDefault="00806C13" w:rsidP="00806C13">
            <w:pPr>
              <w:spacing w:before="60"/>
              <w:jc w:val="left"/>
              <w:rPr>
                <w:bCs/>
                <w:sz w:val="20"/>
              </w:rPr>
            </w:pPr>
            <w:r>
              <w:rPr>
                <w:bCs/>
                <w:sz w:val="20"/>
              </w:rPr>
              <w:t>Spring-summer</w:t>
            </w:r>
          </w:p>
        </w:tc>
      </w:tr>
      <w:tr w:rsidR="00806C13" w:rsidRPr="005E52B5" w14:paraId="3B4F85E2" w14:textId="77777777" w:rsidTr="00806C13">
        <w:trPr>
          <w:tblHeader/>
        </w:trPr>
        <w:tc>
          <w:tcPr>
            <w:tcW w:w="184" w:type="pct"/>
          </w:tcPr>
          <w:p w14:paraId="3B4F85DE" w14:textId="77777777" w:rsidR="00806C13" w:rsidRDefault="00806C13" w:rsidP="00806C13">
            <w:pPr>
              <w:spacing w:after="0" w:line="240" w:lineRule="auto"/>
              <w:jc w:val="left"/>
              <w:rPr>
                <w:bCs/>
                <w:sz w:val="20"/>
              </w:rPr>
            </w:pPr>
            <w:r>
              <w:rPr>
                <w:bCs/>
                <w:sz w:val="20"/>
              </w:rPr>
              <w:t>6</w:t>
            </w:r>
          </w:p>
        </w:tc>
        <w:tc>
          <w:tcPr>
            <w:tcW w:w="903" w:type="pct"/>
          </w:tcPr>
          <w:p w14:paraId="3B4F85DF" w14:textId="77777777" w:rsidR="00806C13" w:rsidRPr="00A861A4" w:rsidRDefault="00806C13" w:rsidP="00806C13">
            <w:pPr>
              <w:spacing w:after="0" w:line="240" w:lineRule="auto"/>
              <w:jc w:val="left"/>
              <w:rPr>
                <w:bCs/>
                <w:sz w:val="20"/>
              </w:rPr>
            </w:pPr>
            <w:r>
              <w:rPr>
                <w:bCs/>
                <w:sz w:val="20"/>
              </w:rPr>
              <w:t>Tuppal Creek</w:t>
            </w:r>
          </w:p>
        </w:tc>
        <w:tc>
          <w:tcPr>
            <w:tcW w:w="3236" w:type="pct"/>
          </w:tcPr>
          <w:p w14:paraId="3B4F85E0" w14:textId="77777777" w:rsidR="00806C13" w:rsidRPr="002632F5" w:rsidRDefault="00806C13" w:rsidP="00806C13">
            <w:pPr>
              <w:spacing w:after="120" w:line="240" w:lineRule="auto"/>
              <w:jc w:val="left"/>
              <w:rPr>
                <w:bCs/>
                <w:sz w:val="20"/>
              </w:rPr>
            </w:pPr>
            <w:r>
              <w:rPr>
                <w:bCs/>
                <w:sz w:val="20"/>
              </w:rPr>
              <w:t>Base flow and Fresh. Targeting a release rate of 40-60 ML/day. Flows to remain in channel to minimise third part impacts.</w:t>
            </w:r>
          </w:p>
        </w:tc>
        <w:tc>
          <w:tcPr>
            <w:tcW w:w="677" w:type="pct"/>
          </w:tcPr>
          <w:p w14:paraId="3B4F85E1" w14:textId="77777777" w:rsidR="00806C13" w:rsidRDefault="00806C13" w:rsidP="00806C13">
            <w:pPr>
              <w:spacing w:before="60"/>
              <w:jc w:val="left"/>
              <w:rPr>
                <w:bCs/>
                <w:sz w:val="20"/>
              </w:rPr>
            </w:pPr>
            <w:r>
              <w:rPr>
                <w:bCs/>
                <w:sz w:val="20"/>
              </w:rPr>
              <w:t>Sept - Nov</w:t>
            </w:r>
          </w:p>
        </w:tc>
      </w:tr>
      <w:tr w:rsidR="00806C13" w:rsidRPr="005E52B5" w14:paraId="3B4F85E7" w14:textId="77777777" w:rsidTr="00806C13">
        <w:trPr>
          <w:tblHeader/>
        </w:trPr>
        <w:tc>
          <w:tcPr>
            <w:tcW w:w="184" w:type="pct"/>
          </w:tcPr>
          <w:p w14:paraId="3B4F85E3" w14:textId="77777777" w:rsidR="00806C13" w:rsidRDefault="00806C13" w:rsidP="00806C13">
            <w:pPr>
              <w:spacing w:after="0" w:line="240" w:lineRule="auto"/>
              <w:jc w:val="left"/>
              <w:rPr>
                <w:bCs/>
                <w:sz w:val="20"/>
              </w:rPr>
            </w:pPr>
            <w:r>
              <w:rPr>
                <w:bCs/>
                <w:sz w:val="20"/>
              </w:rPr>
              <w:t>7</w:t>
            </w:r>
          </w:p>
        </w:tc>
        <w:tc>
          <w:tcPr>
            <w:tcW w:w="903" w:type="pct"/>
          </w:tcPr>
          <w:p w14:paraId="3B4F85E4" w14:textId="77777777" w:rsidR="00806C13" w:rsidRDefault="00806C13" w:rsidP="00806C13">
            <w:pPr>
              <w:spacing w:after="0" w:line="240" w:lineRule="auto"/>
              <w:jc w:val="left"/>
              <w:rPr>
                <w:bCs/>
                <w:sz w:val="20"/>
              </w:rPr>
            </w:pPr>
            <w:r>
              <w:rPr>
                <w:bCs/>
                <w:sz w:val="20"/>
              </w:rPr>
              <w:t>Tuppal Creek</w:t>
            </w:r>
          </w:p>
        </w:tc>
        <w:tc>
          <w:tcPr>
            <w:tcW w:w="3236" w:type="pct"/>
          </w:tcPr>
          <w:p w14:paraId="3B4F85E5" w14:textId="77777777" w:rsidR="00806C13" w:rsidRPr="002632F5" w:rsidRDefault="00806C13" w:rsidP="00806C13">
            <w:pPr>
              <w:spacing w:after="120" w:line="240" w:lineRule="auto"/>
              <w:jc w:val="left"/>
              <w:rPr>
                <w:bCs/>
                <w:sz w:val="20"/>
              </w:rPr>
            </w:pPr>
            <w:r>
              <w:rPr>
                <w:bCs/>
                <w:sz w:val="20"/>
              </w:rPr>
              <w:t>Base flow and Fresh. Targeting a release rate of 40-60 ML/day. Flows to remain in channel to minimise third part impacts.</w:t>
            </w:r>
          </w:p>
        </w:tc>
        <w:tc>
          <w:tcPr>
            <w:tcW w:w="677" w:type="pct"/>
          </w:tcPr>
          <w:p w14:paraId="3B4F85E6" w14:textId="77777777" w:rsidR="00806C13" w:rsidRPr="002632F5" w:rsidRDefault="00806C13" w:rsidP="00806C13">
            <w:pPr>
              <w:spacing w:after="0" w:line="240" w:lineRule="auto"/>
              <w:jc w:val="left"/>
              <w:rPr>
                <w:bCs/>
                <w:sz w:val="20"/>
              </w:rPr>
            </w:pPr>
            <w:r>
              <w:rPr>
                <w:bCs/>
                <w:sz w:val="20"/>
              </w:rPr>
              <w:t>Autumn</w:t>
            </w:r>
          </w:p>
        </w:tc>
      </w:tr>
      <w:tr w:rsidR="00806C13" w:rsidRPr="005E52B5" w14:paraId="3B4F85EC" w14:textId="77777777" w:rsidTr="00806C13">
        <w:trPr>
          <w:tblHeader/>
        </w:trPr>
        <w:tc>
          <w:tcPr>
            <w:tcW w:w="184" w:type="pct"/>
          </w:tcPr>
          <w:p w14:paraId="3B4F85E8" w14:textId="77777777" w:rsidR="00806C13" w:rsidRDefault="00806C13" w:rsidP="00806C13">
            <w:pPr>
              <w:spacing w:after="0" w:line="240" w:lineRule="auto"/>
              <w:jc w:val="left"/>
              <w:rPr>
                <w:bCs/>
                <w:sz w:val="20"/>
              </w:rPr>
            </w:pPr>
            <w:r>
              <w:rPr>
                <w:bCs/>
                <w:sz w:val="20"/>
              </w:rPr>
              <w:t>8</w:t>
            </w:r>
          </w:p>
        </w:tc>
        <w:tc>
          <w:tcPr>
            <w:tcW w:w="903" w:type="pct"/>
          </w:tcPr>
          <w:p w14:paraId="3B4F85E9" w14:textId="77777777" w:rsidR="00806C13" w:rsidRPr="00A861A4" w:rsidRDefault="00806C13" w:rsidP="00806C13">
            <w:pPr>
              <w:spacing w:after="0" w:line="240" w:lineRule="auto"/>
              <w:jc w:val="left"/>
              <w:rPr>
                <w:bCs/>
                <w:sz w:val="20"/>
              </w:rPr>
            </w:pPr>
            <w:r>
              <w:rPr>
                <w:bCs/>
                <w:sz w:val="20"/>
              </w:rPr>
              <w:t>Edward-Wakool River System</w:t>
            </w:r>
          </w:p>
        </w:tc>
        <w:tc>
          <w:tcPr>
            <w:tcW w:w="3236" w:type="pct"/>
          </w:tcPr>
          <w:p w14:paraId="3B4F85EA" w14:textId="77777777" w:rsidR="00806C13" w:rsidRDefault="00806C13" w:rsidP="00806C13">
            <w:pPr>
              <w:spacing w:after="120" w:line="240" w:lineRule="auto"/>
              <w:jc w:val="left"/>
              <w:rPr>
                <w:bCs/>
                <w:sz w:val="20"/>
              </w:rPr>
            </w:pPr>
            <w:r>
              <w:rPr>
                <w:bCs/>
                <w:sz w:val="20"/>
              </w:rPr>
              <w:t>Contingency flows to provide refuge habitat and/or slow recessions to high flow peaks</w:t>
            </w:r>
          </w:p>
        </w:tc>
        <w:tc>
          <w:tcPr>
            <w:tcW w:w="677" w:type="pct"/>
          </w:tcPr>
          <w:p w14:paraId="3B4F85EB" w14:textId="77777777" w:rsidR="00806C13" w:rsidRDefault="00806C13" w:rsidP="00806C13">
            <w:pPr>
              <w:spacing w:after="0" w:line="240" w:lineRule="auto"/>
              <w:jc w:val="left"/>
              <w:rPr>
                <w:bCs/>
                <w:sz w:val="20"/>
              </w:rPr>
            </w:pPr>
            <w:r>
              <w:rPr>
                <w:bCs/>
                <w:sz w:val="20"/>
              </w:rPr>
              <w:t>Anytime</w:t>
            </w:r>
          </w:p>
        </w:tc>
      </w:tr>
    </w:tbl>
    <w:p w14:paraId="3B4F85ED" w14:textId="77777777" w:rsidR="003D7EFB" w:rsidRDefault="003D7EFB" w:rsidP="003D7EFB">
      <w:pPr>
        <w:spacing w:after="120" w:line="320" w:lineRule="exact"/>
      </w:pPr>
    </w:p>
    <w:p w14:paraId="3B4F85EE" w14:textId="77777777" w:rsidR="006A578E" w:rsidRDefault="006A578E" w:rsidP="006A578E">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 xml:space="preserve">2.1 </w:t>
      </w:r>
      <w:r w:rsidRPr="0029746C">
        <w:rPr>
          <w:b/>
          <w:color w:val="4F6228" w:themeColor="accent3" w:themeShade="80"/>
          <w:sz w:val="24"/>
          <w:szCs w:val="24"/>
        </w:rPr>
        <w:t>Practicalities of environmental watering</w:t>
      </w:r>
      <w:r>
        <w:rPr>
          <w:b/>
          <w:color w:val="4F6228" w:themeColor="accent3" w:themeShade="80"/>
          <w:sz w:val="24"/>
          <w:szCs w:val="24"/>
        </w:rPr>
        <w:t xml:space="preserve"> in the Edward-Wakool system</w:t>
      </w:r>
    </w:p>
    <w:p w14:paraId="3B4F85EF" w14:textId="79004852" w:rsidR="006A578E" w:rsidRPr="001F4D6A" w:rsidRDefault="006A578E" w:rsidP="006A578E">
      <w:pPr>
        <w:autoSpaceDE w:val="0"/>
        <w:autoSpaceDN w:val="0"/>
        <w:adjustRightInd w:val="0"/>
        <w:spacing w:after="240" w:line="320" w:lineRule="exact"/>
        <w:jc w:val="left"/>
        <w:rPr>
          <w:rFonts w:cstheme="minorHAnsi"/>
          <w:szCs w:val="22"/>
        </w:rPr>
      </w:pPr>
      <w:r w:rsidRPr="001F4D6A">
        <w:rPr>
          <w:rFonts w:cstheme="minorHAnsi"/>
          <w:szCs w:val="22"/>
        </w:rPr>
        <w:t>The main source of Commonwealth environmental water for the Edward-Wakool system is from the River Murray through the Edward River and Gulpa Creek. Water diverted into the Mulwala Canal can also be delivered into</w:t>
      </w:r>
      <w:r>
        <w:rPr>
          <w:rFonts w:cstheme="minorHAnsi"/>
          <w:szCs w:val="22"/>
        </w:rPr>
        <w:t xml:space="preserve"> the Edward-Wakool system </w:t>
      </w:r>
      <w:r w:rsidRPr="001F4D6A">
        <w:rPr>
          <w:rFonts w:cstheme="minorHAnsi"/>
          <w:szCs w:val="22"/>
        </w:rPr>
        <w:t>through “escapes” or outfalls, of which the major escapes discharge to the Edward River, Wakool River and Yallakool Creek (Hale and SKM 2011).</w:t>
      </w:r>
      <w:r>
        <w:rPr>
          <w:rFonts w:cstheme="minorHAnsi"/>
          <w:szCs w:val="22"/>
        </w:rPr>
        <w:t xml:space="preserve"> </w:t>
      </w:r>
      <w:r w:rsidRPr="001F4D6A">
        <w:rPr>
          <w:rFonts w:cstheme="minorHAnsi"/>
          <w:szCs w:val="22"/>
        </w:rPr>
        <w:t>The main flow regulating structure within the Edward-Wakool system is Stevens Weir, located on the Edward River downstream of Colligen Creek</w:t>
      </w:r>
      <w:r>
        <w:rPr>
          <w:rFonts w:cstheme="minorHAnsi"/>
          <w:szCs w:val="22"/>
        </w:rPr>
        <w:t xml:space="preserve"> (Figure 1.1)</w:t>
      </w:r>
      <w:r w:rsidRPr="001F4D6A">
        <w:rPr>
          <w:rFonts w:cstheme="minorHAnsi"/>
          <w:szCs w:val="22"/>
        </w:rPr>
        <w:t xml:space="preserve">. This structure creates a weir pool that allows Commonwealth environmental water to be delivered to Colligen and Yallakool Creeks, the Wakool River, the Edward River and Werai Forest. </w:t>
      </w:r>
    </w:p>
    <w:p w14:paraId="3B4F85F0" w14:textId="77777777" w:rsidR="006A578E" w:rsidRPr="00290DB6" w:rsidRDefault="006A578E" w:rsidP="006A578E">
      <w:pPr>
        <w:pStyle w:val="Default"/>
        <w:spacing w:line="320" w:lineRule="exact"/>
        <w:rPr>
          <w:rFonts w:asciiTheme="minorHAnsi" w:eastAsia="Calibri" w:hAnsiTheme="minorHAnsi" w:cstheme="minorHAnsi"/>
          <w:color w:val="auto"/>
          <w:sz w:val="22"/>
          <w:szCs w:val="22"/>
        </w:rPr>
      </w:pPr>
      <w:r w:rsidRPr="00290DB6">
        <w:rPr>
          <w:rFonts w:asciiTheme="minorHAnsi" w:eastAsia="Calibri" w:hAnsiTheme="minorHAnsi" w:cstheme="minorHAnsi"/>
          <w:color w:val="auto"/>
          <w:sz w:val="22"/>
          <w:szCs w:val="22"/>
        </w:rPr>
        <w:lastRenderedPageBreak/>
        <w:t xml:space="preserve">The ability to deliver environmental water to the Edward-Wakool system will depend on </w:t>
      </w:r>
      <w:r>
        <w:rPr>
          <w:rFonts w:asciiTheme="minorHAnsi" w:eastAsia="Calibri" w:hAnsiTheme="minorHAnsi" w:cstheme="minorHAnsi"/>
          <w:color w:val="auto"/>
          <w:sz w:val="22"/>
          <w:szCs w:val="22"/>
        </w:rPr>
        <w:t xml:space="preserve">water availability and </w:t>
      </w:r>
      <w:r w:rsidRPr="00290DB6">
        <w:rPr>
          <w:rFonts w:asciiTheme="minorHAnsi" w:eastAsia="Calibri" w:hAnsiTheme="minorHAnsi" w:cstheme="minorHAnsi"/>
          <w:color w:val="auto"/>
          <w:sz w:val="22"/>
          <w:szCs w:val="22"/>
        </w:rPr>
        <w:t xml:space="preserve">circumstances in the river at any given time. Commonwealth environmental water delivery in </w:t>
      </w:r>
      <w:r>
        <w:rPr>
          <w:rFonts w:asciiTheme="minorHAnsi" w:eastAsia="Calibri" w:hAnsiTheme="minorHAnsi" w:cstheme="minorHAnsi"/>
          <w:color w:val="auto"/>
          <w:sz w:val="22"/>
          <w:szCs w:val="22"/>
        </w:rPr>
        <w:t>this system i</w:t>
      </w:r>
      <w:r w:rsidRPr="00290DB6">
        <w:rPr>
          <w:rFonts w:asciiTheme="minorHAnsi" w:eastAsia="Calibri" w:hAnsiTheme="minorHAnsi" w:cstheme="minorHAnsi"/>
          <w:color w:val="auto"/>
          <w:sz w:val="22"/>
          <w:szCs w:val="22"/>
        </w:rPr>
        <w:t>nvolves various considerations as outlined by Gawne et al</w:t>
      </w:r>
      <w:r w:rsidR="004762DE">
        <w:rPr>
          <w:rFonts w:asciiTheme="minorHAnsi" w:eastAsia="Calibri" w:hAnsiTheme="minorHAnsi" w:cstheme="minorHAnsi"/>
          <w:color w:val="auto"/>
          <w:sz w:val="22"/>
          <w:szCs w:val="22"/>
        </w:rPr>
        <w:t>.</w:t>
      </w:r>
      <w:r w:rsidRPr="00290DB6">
        <w:rPr>
          <w:rFonts w:asciiTheme="minorHAnsi" w:eastAsia="Calibri" w:hAnsiTheme="minorHAnsi" w:cstheme="minorHAnsi"/>
          <w:color w:val="auto"/>
          <w:sz w:val="22"/>
          <w:szCs w:val="22"/>
        </w:rPr>
        <w:t xml:space="preserve"> (2013), including: </w:t>
      </w:r>
    </w:p>
    <w:p w14:paraId="3B4F85F1" w14:textId="77777777" w:rsidR="006A578E" w:rsidRPr="00290DB6" w:rsidRDefault="006A578E" w:rsidP="006A578E">
      <w:pPr>
        <w:pStyle w:val="Default"/>
        <w:numPr>
          <w:ilvl w:val="0"/>
          <w:numId w:val="22"/>
        </w:numPr>
        <w:spacing w:line="320" w:lineRule="exact"/>
        <w:ind w:left="714" w:hanging="357"/>
        <w:rPr>
          <w:rFonts w:asciiTheme="minorHAnsi" w:eastAsia="Calibri" w:hAnsiTheme="minorHAnsi" w:cstheme="minorHAnsi"/>
          <w:color w:val="auto"/>
          <w:sz w:val="22"/>
          <w:szCs w:val="22"/>
        </w:rPr>
      </w:pPr>
      <w:r w:rsidRPr="00290DB6">
        <w:rPr>
          <w:rFonts w:asciiTheme="minorHAnsi" w:eastAsia="Calibri" w:hAnsiTheme="minorHAnsi" w:cstheme="minorHAnsi"/>
          <w:color w:val="auto"/>
          <w:sz w:val="22"/>
          <w:szCs w:val="22"/>
        </w:rPr>
        <w:t>the capacity of the off takes / regulators and irrigation escapes</w:t>
      </w:r>
    </w:p>
    <w:p w14:paraId="3B4F85F2" w14:textId="77777777" w:rsidR="006A578E" w:rsidRPr="00290DB6" w:rsidRDefault="006A578E" w:rsidP="006A578E">
      <w:pPr>
        <w:pStyle w:val="Default"/>
        <w:numPr>
          <w:ilvl w:val="0"/>
          <w:numId w:val="22"/>
        </w:numPr>
        <w:spacing w:line="320" w:lineRule="exact"/>
        <w:ind w:left="714" w:hanging="357"/>
        <w:rPr>
          <w:rFonts w:asciiTheme="minorHAnsi" w:eastAsia="Calibri" w:hAnsiTheme="minorHAnsi" w:cstheme="minorHAnsi"/>
          <w:color w:val="auto"/>
          <w:sz w:val="22"/>
          <w:szCs w:val="22"/>
        </w:rPr>
      </w:pPr>
      <w:r w:rsidRPr="00290DB6">
        <w:rPr>
          <w:rFonts w:asciiTheme="minorHAnsi" w:eastAsia="Calibri" w:hAnsiTheme="minorHAnsi" w:cstheme="minorHAnsi"/>
          <w:color w:val="auto"/>
          <w:sz w:val="22"/>
          <w:szCs w:val="22"/>
        </w:rPr>
        <w:t xml:space="preserve">channel constraints (e.g. to avoid third party impacts) </w:t>
      </w:r>
    </w:p>
    <w:p w14:paraId="3B4F85F3" w14:textId="77777777" w:rsidR="006A578E" w:rsidRPr="00290DB6" w:rsidRDefault="006A578E" w:rsidP="006A578E">
      <w:pPr>
        <w:pStyle w:val="Default"/>
        <w:numPr>
          <w:ilvl w:val="0"/>
          <w:numId w:val="22"/>
        </w:numPr>
        <w:spacing w:line="320" w:lineRule="exact"/>
        <w:ind w:left="714" w:hanging="357"/>
        <w:rPr>
          <w:rFonts w:asciiTheme="minorHAnsi" w:eastAsia="Calibri" w:hAnsiTheme="minorHAnsi" w:cstheme="minorHAnsi"/>
          <w:color w:val="auto"/>
          <w:sz w:val="22"/>
          <w:szCs w:val="22"/>
        </w:rPr>
      </w:pPr>
      <w:r w:rsidRPr="00290DB6">
        <w:rPr>
          <w:rFonts w:asciiTheme="minorHAnsi" w:eastAsia="Calibri" w:hAnsiTheme="minorHAnsi" w:cstheme="minorHAnsi"/>
          <w:color w:val="auto"/>
          <w:sz w:val="22"/>
          <w:szCs w:val="22"/>
        </w:rPr>
        <w:t xml:space="preserve">the availability of third party infrastructure to assist in delivering water into the system </w:t>
      </w:r>
    </w:p>
    <w:p w14:paraId="3B4F85F4" w14:textId="77777777" w:rsidR="006A578E" w:rsidRPr="00290DB6" w:rsidRDefault="006A578E" w:rsidP="006A578E">
      <w:pPr>
        <w:pStyle w:val="Default"/>
        <w:numPr>
          <w:ilvl w:val="0"/>
          <w:numId w:val="22"/>
        </w:numPr>
        <w:spacing w:after="240" w:line="320" w:lineRule="exact"/>
        <w:ind w:left="714" w:hanging="357"/>
        <w:jc w:val="both"/>
        <w:rPr>
          <w:rFonts w:asciiTheme="minorHAnsi" w:eastAsia="Calibri" w:hAnsiTheme="minorHAnsi" w:cstheme="minorHAnsi"/>
          <w:color w:val="auto"/>
          <w:sz w:val="22"/>
          <w:szCs w:val="22"/>
        </w:rPr>
      </w:pPr>
      <w:r w:rsidRPr="00290DB6">
        <w:rPr>
          <w:rFonts w:asciiTheme="minorHAnsi" w:eastAsia="Calibri" w:hAnsiTheme="minorHAnsi" w:cstheme="minorHAnsi"/>
          <w:color w:val="auto"/>
          <w:sz w:val="22"/>
          <w:szCs w:val="22"/>
        </w:rPr>
        <w:t xml:space="preserve">existing flows and other demands on the system. </w:t>
      </w:r>
    </w:p>
    <w:p w14:paraId="3B4F85F5" w14:textId="0A45253B" w:rsidR="006A578E" w:rsidRDefault="006A578E" w:rsidP="006A578E">
      <w:pPr>
        <w:pStyle w:val="Default"/>
        <w:spacing w:after="240" w:line="320" w:lineRule="exact"/>
        <w:rPr>
          <w:rFonts w:asciiTheme="minorHAnsi" w:hAnsiTheme="minorHAnsi" w:cstheme="minorHAnsi"/>
          <w:sz w:val="22"/>
          <w:szCs w:val="22"/>
        </w:rPr>
      </w:pPr>
      <w:r w:rsidRPr="00290DB6">
        <w:rPr>
          <w:rFonts w:asciiTheme="minorHAnsi" w:eastAsia="Calibri" w:hAnsiTheme="minorHAnsi" w:cstheme="minorHAnsi"/>
          <w:color w:val="auto"/>
          <w:sz w:val="22"/>
          <w:szCs w:val="22"/>
        </w:rPr>
        <w:t xml:space="preserve">Delivery of instream flows to the Edward River, Wakool River, Yallakool Creek, Colligen Creek, Niemur River and Merran River system will </w:t>
      </w:r>
      <w:r>
        <w:rPr>
          <w:rFonts w:asciiTheme="minorHAnsi" w:eastAsia="Calibri" w:hAnsiTheme="minorHAnsi" w:cstheme="minorHAnsi"/>
          <w:color w:val="auto"/>
          <w:sz w:val="22"/>
          <w:szCs w:val="22"/>
        </w:rPr>
        <w:t xml:space="preserve">usually </w:t>
      </w:r>
      <w:r w:rsidRPr="00290DB6">
        <w:rPr>
          <w:rFonts w:asciiTheme="minorHAnsi" w:eastAsia="Calibri" w:hAnsiTheme="minorHAnsi" w:cstheme="minorHAnsi"/>
          <w:color w:val="auto"/>
          <w:sz w:val="22"/>
          <w:szCs w:val="22"/>
        </w:rPr>
        <w:t>be managed within regular operating ranges</w:t>
      </w:r>
      <w:r>
        <w:rPr>
          <w:rFonts w:asciiTheme="minorHAnsi" w:eastAsia="Calibri" w:hAnsiTheme="minorHAnsi" w:cstheme="minorHAnsi"/>
          <w:color w:val="auto"/>
          <w:sz w:val="22"/>
          <w:szCs w:val="22"/>
        </w:rPr>
        <w:t xml:space="preserve"> as advised by river operators </w:t>
      </w:r>
      <w:r w:rsidRPr="00290DB6">
        <w:rPr>
          <w:rFonts w:asciiTheme="minorHAnsi" w:eastAsia="Calibri" w:hAnsiTheme="minorHAnsi" w:cstheme="minorHAnsi"/>
          <w:color w:val="auto"/>
          <w:sz w:val="22"/>
          <w:szCs w:val="22"/>
        </w:rPr>
        <w:t xml:space="preserve">to avoid third party impacts. </w:t>
      </w:r>
      <w:r>
        <w:rPr>
          <w:rFonts w:asciiTheme="minorHAnsi" w:eastAsia="Calibri" w:hAnsiTheme="minorHAnsi" w:cstheme="minorHAnsi"/>
          <w:color w:val="auto"/>
          <w:sz w:val="22"/>
          <w:szCs w:val="22"/>
        </w:rPr>
        <w:t>For example, in the Wakool-Yallkool Creek system the o</w:t>
      </w:r>
      <w:r w:rsidR="00FF278C">
        <w:rPr>
          <w:rFonts w:asciiTheme="minorHAnsi" w:eastAsia="Calibri" w:hAnsiTheme="minorHAnsi" w:cstheme="minorHAnsi"/>
          <w:color w:val="auto"/>
          <w:sz w:val="22"/>
          <w:szCs w:val="22"/>
        </w:rPr>
        <w:t xml:space="preserve">perational constraint is 600 ML </w:t>
      </w:r>
      <w:r>
        <w:rPr>
          <w:rFonts w:asciiTheme="minorHAnsi" w:eastAsia="Calibri" w:hAnsiTheme="minorHAnsi" w:cstheme="minorHAnsi"/>
          <w:color w:val="auto"/>
          <w:sz w:val="22"/>
          <w:szCs w:val="22"/>
        </w:rPr>
        <w:t>d</w:t>
      </w:r>
      <w:r w:rsidRPr="00AB56E7">
        <w:rPr>
          <w:rFonts w:asciiTheme="minorHAnsi" w:eastAsia="Calibri" w:hAnsiTheme="minorHAnsi" w:cstheme="minorHAnsi"/>
          <w:color w:val="auto"/>
          <w:sz w:val="22"/>
          <w:szCs w:val="22"/>
          <w:vertAlign w:val="superscript"/>
        </w:rPr>
        <w:t>-1</w:t>
      </w:r>
      <w:r>
        <w:rPr>
          <w:rFonts w:asciiTheme="minorHAnsi" w:eastAsia="Calibri" w:hAnsiTheme="minorHAnsi" w:cstheme="minorHAnsi"/>
          <w:color w:val="auto"/>
          <w:sz w:val="22"/>
          <w:szCs w:val="22"/>
        </w:rPr>
        <w:t xml:space="preserve"> (Figure 1.4). </w:t>
      </w:r>
      <w:r w:rsidRPr="00290DB6">
        <w:rPr>
          <w:rFonts w:asciiTheme="minorHAnsi" w:eastAsia="Calibri" w:hAnsiTheme="minorHAnsi" w:cstheme="minorHAnsi"/>
          <w:color w:val="auto"/>
          <w:sz w:val="22"/>
          <w:szCs w:val="22"/>
        </w:rPr>
        <w:t xml:space="preserve">Thus, the types of flow components that can be achieved with environmental releases under current operating ranges are </w:t>
      </w:r>
      <w:r w:rsidR="00545789">
        <w:rPr>
          <w:rFonts w:asciiTheme="minorHAnsi" w:eastAsia="Calibri" w:hAnsiTheme="minorHAnsi" w:cstheme="minorHAnsi"/>
          <w:color w:val="auto"/>
          <w:sz w:val="22"/>
          <w:szCs w:val="22"/>
        </w:rPr>
        <w:t xml:space="preserve">in-channel </w:t>
      </w:r>
      <w:r w:rsidRPr="00290DB6">
        <w:rPr>
          <w:rFonts w:asciiTheme="minorHAnsi" w:eastAsia="Calibri" w:hAnsiTheme="minorHAnsi" w:cstheme="minorHAnsi"/>
          <w:color w:val="auto"/>
          <w:sz w:val="22"/>
          <w:szCs w:val="22"/>
        </w:rPr>
        <w:t>baseflows and freshes (Gawne et al</w:t>
      </w:r>
      <w:r w:rsidR="004762DE">
        <w:rPr>
          <w:rFonts w:asciiTheme="minorHAnsi" w:eastAsia="Calibri" w:hAnsiTheme="minorHAnsi" w:cstheme="minorHAnsi"/>
          <w:color w:val="auto"/>
          <w:sz w:val="22"/>
          <w:szCs w:val="22"/>
        </w:rPr>
        <w:t>.</w:t>
      </w:r>
      <w:r w:rsidRPr="00290DB6">
        <w:rPr>
          <w:rFonts w:asciiTheme="minorHAnsi" w:eastAsia="Calibri" w:hAnsiTheme="minorHAnsi" w:cstheme="minorHAnsi"/>
          <w:color w:val="auto"/>
          <w:sz w:val="22"/>
          <w:szCs w:val="22"/>
        </w:rPr>
        <w:t xml:space="preserve"> 2013). Environmental watering may also be </w:t>
      </w:r>
      <w:r>
        <w:rPr>
          <w:rFonts w:asciiTheme="minorHAnsi" w:eastAsia="Calibri" w:hAnsiTheme="minorHAnsi" w:cstheme="minorHAnsi"/>
          <w:color w:val="auto"/>
          <w:sz w:val="22"/>
          <w:szCs w:val="22"/>
        </w:rPr>
        <w:t>constrained</w:t>
      </w:r>
      <w:r w:rsidRPr="00290DB6">
        <w:rPr>
          <w:rFonts w:asciiTheme="minorHAnsi" w:eastAsia="Calibri" w:hAnsiTheme="minorHAnsi" w:cstheme="minorHAnsi"/>
          <w:color w:val="auto"/>
          <w:sz w:val="22"/>
          <w:szCs w:val="22"/>
        </w:rPr>
        <w:t xml:space="preserve"> due to the limitations on how much water can be delivered into the Edward-Wakool system </w:t>
      </w:r>
      <w:r w:rsidRPr="0007392D">
        <w:rPr>
          <w:rFonts w:asciiTheme="minorHAnsi" w:eastAsia="Calibri" w:hAnsiTheme="minorHAnsi" w:cstheme="minorHAnsi"/>
          <w:color w:val="auto"/>
          <w:sz w:val="22"/>
          <w:szCs w:val="22"/>
        </w:rPr>
        <w:t>under regulated conditions. At times of high irrigation demand channel capacity will be shared with other water users. If the system is receiving higher unregulated flows, there may not be enough capacity to deliver environmental water (Gawne et al</w:t>
      </w:r>
      <w:r w:rsidR="004762DE">
        <w:rPr>
          <w:rFonts w:asciiTheme="minorHAnsi" w:eastAsia="Calibri" w:hAnsiTheme="minorHAnsi" w:cstheme="minorHAnsi"/>
          <w:color w:val="auto"/>
          <w:sz w:val="22"/>
          <w:szCs w:val="22"/>
        </w:rPr>
        <w:t>.</w:t>
      </w:r>
      <w:r w:rsidRPr="0007392D">
        <w:rPr>
          <w:rFonts w:asciiTheme="minorHAnsi" w:eastAsia="Calibri" w:hAnsiTheme="minorHAnsi" w:cstheme="minorHAnsi"/>
          <w:color w:val="auto"/>
          <w:sz w:val="22"/>
          <w:szCs w:val="22"/>
        </w:rPr>
        <w:t xml:space="preserve"> 2013). </w:t>
      </w:r>
      <w:r w:rsidRPr="0007392D">
        <w:rPr>
          <w:rFonts w:asciiTheme="minorHAnsi" w:hAnsiTheme="minorHAnsi" w:cstheme="minorHAnsi"/>
          <w:sz w:val="22"/>
          <w:szCs w:val="22"/>
        </w:rPr>
        <w:t xml:space="preserve">Environmental flows may be delivered to contribute to the </w:t>
      </w:r>
      <w:r>
        <w:rPr>
          <w:rFonts w:asciiTheme="minorHAnsi" w:hAnsiTheme="minorHAnsi" w:cstheme="minorHAnsi"/>
          <w:sz w:val="22"/>
          <w:szCs w:val="22"/>
        </w:rPr>
        <w:t xml:space="preserve">slower </w:t>
      </w:r>
      <w:r w:rsidRPr="0007392D">
        <w:rPr>
          <w:rFonts w:asciiTheme="minorHAnsi" w:hAnsiTheme="minorHAnsi" w:cstheme="minorHAnsi"/>
          <w:sz w:val="22"/>
          <w:szCs w:val="22"/>
        </w:rPr>
        <w:t xml:space="preserve">recession of </w:t>
      </w:r>
      <w:r>
        <w:rPr>
          <w:rFonts w:asciiTheme="minorHAnsi" w:hAnsiTheme="minorHAnsi" w:cstheme="minorHAnsi"/>
          <w:sz w:val="22"/>
          <w:szCs w:val="22"/>
        </w:rPr>
        <w:t>freshes</w:t>
      </w:r>
      <w:r w:rsidRPr="0007392D">
        <w:rPr>
          <w:rFonts w:asciiTheme="minorHAnsi" w:hAnsiTheme="minorHAnsi" w:cstheme="minorHAnsi"/>
          <w:sz w:val="22"/>
          <w:szCs w:val="22"/>
        </w:rPr>
        <w:t>, delivered during low flow period to provide refuge habitat, or delivered to manage water quality issues, such as algal blooms or hypoxic blackwater events (Gawne et al</w:t>
      </w:r>
      <w:r w:rsidR="004762DE">
        <w:rPr>
          <w:rFonts w:asciiTheme="minorHAnsi" w:hAnsiTheme="minorHAnsi" w:cstheme="minorHAnsi"/>
          <w:sz w:val="22"/>
          <w:szCs w:val="22"/>
        </w:rPr>
        <w:t>.</w:t>
      </w:r>
      <w:r w:rsidRPr="0007392D">
        <w:rPr>
          <w:rFonts w:asciiTheme="minorHAnsi" w:hAnsiTheme="minorHAnsi" w:cstheme="minorHAnsi"/>
          <w:sz w:val="22"/>
          <w:szCs w:val="22"/>
        </w:rPr>
        <w:t xml:space="preserve"> 2013).</w:t>
      </w:r>
    </w:p>
    <w:p w14:paraId="3B4F85F6" w14:textId="77777777" w:rsidR="00BC4324" w:rsidRPr="00BC4324" w:rsidRDefault="00BC4324" w:rsidP="00BC4324">
      <w:pPr>
        <w:pStyle w:val="Default"/>
        <w:spacing w:after="240" w:line="320" w:lineRule="exact"/>
        <w:rPr>
          <w:rFonts w:asciiTheme="minorHAnsi" w:hAnsiTheme="minorHAnsi"/>
          <w:color w:val="000000" w:themeColor="text1"/>
          <w:szCs w:val="22"/>
        </w:rPr>
      </w:pPr>
    </w:p>
    <w:p w14:paraId="3B4F85F7" w14:textId="77777777" w:rsidR="00FE4C98" w:rsidRDefault="00FE4C98" w:rsidP="00FE4C98">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 xml:space="preserve">2.3 </w:t>
      </w:r>
      <w:r w:rsidR="009B0C79">
        <w:rPr>
          <w:b/>
          <w:color w:val="4F6228" w:themeColor="accent3" w:themeShade="80"/>
          <w:sz w:val="24"/>
          <w:szCs w:val="24"/>
        </w:rPr>
        <w:t>Actual d</w:t>
      </w:r>
      <w:r>
        <w:rPr>
          <w:b/>
          <w:color w:val="4F6228" w:themeColor="accent3" w:themeShade="80"/>
          <w:sz w:val="24"/>
          <w:szCs w:val="24"/>
        </w:rPr>
        <w:t xml:space="preserve">elivery of </w:t>
      </w:r>
      <w:r w:rsidR="00BB47D7">
        <w:rPr>
          <w:b/>
          <w:color w:val="4F6228" w:themeColor="accent3" w:themeShade="80"/>
          <w:sz w:val="24"/>
          <w:szCs w:val="24"/>
        </w:rPr>
        <w:t xml:space="preserve">Commonwealth </w:t>
      </w:r>
      <w:r>
        <w:rPr>
          <w:b/>
          <w:color w:val="4F6228" w:themeColor="accent3" w:themeShade="80"/>
          <w:sz w:val="24"/>
          <w:szCs w:val="24"/>
        </w:rPr>
        <w:t>environmental wat</w:t>
      </w:r>
      <w:r w:rsidR="00BB47D7">
        <w:rPr>
          <w:b/>
          <w:color w:val="4F6228" w:themeColor="accent3" w:themeShade="80"/>
          <w:sz w:val="24"/>
          <w:szCs w:val="24"/>
        </w:rPr>
        <w:t xml:space="preserve">er </w:t>
      </w:r>
      <w:r w:rsidR="00BC4324">
        <w:rPr>
          <w:b/>
          <w:color w:val="4F6228" w:themeColor="accent3" w:themeShade="80"/>
          <w:sz w:val="24"/>
          <w:szCs w:val="24"/>
        </w:rPr>
        <w:t xml:space="preserve">to the Edward-Wakool system </w:t>
      </w:r>
      <w:r>
        <w:rPr>
          <w:b/>
          <w:color w:val="4F6228" w:themeColor="accent3" w:themeShade="80"/>
          <w:sz w:val="24"/>
          <w:szCs w:val="24"/>
        </w:rPr>
        <w:t>in 2015-16</w:t>
      </w:r>
    </w:p>
    <w:p w14:paraId="3B4F85F8" w14:textId="7831C0D7" w:rsidR="00FA0995" w:rsidRDefault="00FA0995" w:rsidP="00FA0995">
      <w:pPr>
        <w:tabs>
          <w:tab w:val="left" w:pos="9071"/>
        </w:tabs>
        <w:spacing w:after="240" w:line="320" w:lineRule="atLeast"/>
        <w:jc w:val="left"/>
        <w:rPr>
          <w:color w:val="000000" w:themeColor="text1"/>
          <w:szCs w:val="22"/>
        </w:rPr>
      </w:pPr>
      <w:r w:rsidRPr="00BB47D7">
        <w:rPr>
          <w:color w:val="000000" w:themeColor="text1"/>
          <w:szCs w:val="22"/>
        </w:rPr>
        <w:t xml:space="preserve">The delivery of environmental water to the Edward-Wakool system was influenced by natural flows in the Murray River and </w:t>
      </w:r>
      <w:r w:rsidR="00263222">
        <w:rPr>
          <w:color w:val="000000" w:themeColor="text1"/>
          <w:szCs w:val="22"/>
        </w:rPr>
        <w:t>a multi-site</w:t>
      </w:r>
      <w:r w:rsidRPr="00BB47D7">
        <w:rPr>
          <w:color w:val="000000" w:themeColor="text1"/>
          <w:szCs w:val="22"/>
        </w:rPr>
        <w:t xml:space="preserve"> Commonwealth environmental water</w:t>
      </w:r>
      <w:r w:rsidR="00263222">
        <w:rPr>
          <w:color w:val="000000" w:themeColor="text1"/>
          <w:szCs w:val="22"/>
        </w:rPr>
        <w:t>ing action</w:t>
      </w:r>
      <w:r w:rsidRPr="00BB47D7">
        <w:rPr>
          <w:color w:val="000000" w:themeColor="text1"/>
          <w:szCs w:val="22"/>
        </w:rPr>
        <w:t xml:space="preserve"> in the Murray River</w:t>
      </w:r>
      <w:r>
        <w:rPr>
          <w:color w:val="000000" w:themeColor="text1"/>
          <w:szCs w:val="22"/>
        </w:rPr>
        <w:t xml:space="preserve"> (Figure 2.1)</w:t>
      </w:r>
      <w:r w:rsidR="00263222">
        <w:rPr>
          <w:color w:val="000000" w:themeColor="text1"/>
          <w:szCs w:val="22"/>
        </w:rPr>
        <w:t>.</w:t>
      </w:r>
    </w:p>
    <w:p w14:paraId="3B4F85F9" w14:textId="77777777" w:rsidR="00672372" w:rsidRDefault="00FA0995" w:rsidP="00FA0995">
      <w:pPr>
        <w:tabs>
          <w:tab w:val="left" w:pos="9071"/>
        </w:tabs>
        <w:spacing w:after="240" w:line="320" w:lineRule="atLeast"/>
        <w:jc w:val="left"/>
        <w:rPr>
          <w:color w:val="000000" w:themeColor="text1"/>
          <w:szCs w:val="22"/>
        </w:rPr>
      </w:pPr>
      <w:r w:rsidRPr="00BB47D7">
        <w:rPr>
          <w:color w:val="000000" w:themeColor="text1"/>
          <w:szCs w:val="22"/>
        </w:rPr>
        <w:t xml:space="preserve">A hydrograph of the flows </w:t>
      </w:r>
      <w:r w:rsidR="00CC1792">
        <w:rPr>
          <w:color w:val="000000" w:themeColor="text1"/>
          <w:szCs w:val="22"/>
        </w:rPr>
        <w:t xml:space="preserve">in the Murray River downstream of Yarrawonga weir </w:t>
      </w:r>
      <w:r w:rsidRPr="00BB47D7">
        <w:rPr>
          <w:color w:val="000000" w:themeColor="text1"/>
          <w:szCs w:val="22"/>
        </w:rPr>
        <w:t xml:space="preserve">compares the actual release with environmental water to </w:t>
      </w:r>
      <w:r w:rsidR="00672372">
        <w:rPr>
          <w:color w:val="000000" w:themeColor="text1"/>
          <w:szCs w:val="22"/>
        </w:rPr>
        <w:t>the approximate Yarrawonga modelled natural flow and the actual release without</w:t>
      </w:r>
      <w:r>
        <w:rPr>
          <w:color w:val="000000" w:themeColor="text1"/>
          <w:szCs w:val="22"/>
        </w:rPr>
        <w:t xml:space="preserve"> environmental water (Figure 2.1</w:t>
      </w:r>
      <w:r w:rsidRPr="00BB47D7">
        <w:rPr>
          <w:color w:val="000000" w:themeColor="text1"/>
          <w:szCs w:val="22"/>
        </w:rPr>
        <w:t>).</w:t>
      </w:r>
      <w:r w:rsidR="00086959">
        <w:rPr>
          <w:color w:val="000000" w:themeColor="text1"/>
          <w:szCs w:val="22"/>
        </w:rPr>
        <w:t xml:space="preserve"> The overbank flows follow the pattern of modelled natural flows in response to rainfall. </w:t>
      </w:r>
      <w:r w:rsidR="00672372">
        <w:rPr>
          <w:color w:val="000000" w:themeColor="text1"/>
          <w:szCs w:val="22"/>
        </w:rPr>
        <w:t>Commonwealth environmental watering in the Murray River contributed to a period of discharge above channel capacity from late July through to 5</w:t>
      </w:r>
      <w:r w:rsidR="00672372" w:rsidRPr="00672372">
        <w:rPr>
          <w:color w:val="000000" w:themeColor="text1"/>
          <w:szCs w:val="22"/>
          <w:vertAlign w:val="superscript"/>
        </w:rPr>
        <w:t>th</w:t>
      </w:r>
      <w:r w:rsidR="00672372">
        <w:rPr>
          <w:color w:val="000000" w:themeColor="text1"/>
          <w:szCs w:val="22"/>
        </w:rPr>
        <w:t xml:space="preserve"> November. There was a brief period of unregulated flows late July early August.</w:t>
      </w:r>
    </w:p>
    <w:p w14:paraId="3B4F85FA" w14:textId="77777777" w:rsidR="00FA0995" w:rsidRDefault="00FA0995" w:rsidP="00FA0995">
      <w:pPr>
        <w:tabs>
          <w:tab w:val="left" w:pos="9071"/>
        </w:tabs>
        <w:spacing w:after="240" w:line="320" w:lineRule="atLeast"/>
        <w:jc w:val="left"/>
        <w:rPr>
          <w:szCs w:val="22"/>
        </w:rPr>
        <w:sectPr w:rsidR="00FA0995" w:rsidSect="00301C2F">
          <w:pgSz w:w="11906" w:h="16838"/>
          <w:pgMar w:top="1440" w:right="1700" w:bottom="1440" w:left="1701" w:header="709" w:footer="709" w:gutter="0"/>
          <w:cols w:space="708"/>
          <w:docGrid w:linePitch="360"/>
        </w:sectPr>
      </w:pPr>
    </w:p>
    <w:p w14:paraId="3B4F85FB" w14:textId="77777777" w:rsidR="00FA0995" w:rsidRPr="00BB47D7" w:rsidRDefault="00FA0995" w:rsidP="004D26D8">
      <w:pPr>
        <w:tabs>
          <w:tab w:val="left" w:pos="9071"/>
        </w:tabs>
        <w:spacing w:after="0" w:line="240" w:lineRule="auto"/>
        <w:jc w:val="left"/>
        <w:rPr>
          <w:b/>
          <w:color w:val="000000" w:themeColor="text1"/>
          <w:szCs w:val="22"/>
        </w:rPr>
      </w:pPr>
      <w:r>
        <w:rPr>
          <w:noProof/>
          <w:lang w:eastAsia="en-AU"/>
        </w:rPr>
        <w:lastRenderedPageBreak/>
        <w:drawing>
          <wp:inline distT="0" distB="0" distL="0" distR="0" wp14:anchorId="3B4F95D1" wp14:editId="02D2A11F">
            <wp:extent cx="8091559" cy="52197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116991" cy="5236106"/>
                    </a:xfrm>
                    <a:prstGeom prst="rect">
                      <a:avLst/>
                    </a:prstGeom>
                    <a:noFill/>
                    <a:ln>
                      <a:noFill/>
                    </a:ln>
                    <a:extLst>
                      <a:ext uri="{53640926-AAD7-44D8-BBD7-CCE9431645EC}">
                        <a14:shadowObscured xmlns:a14="http://schemas.microsoft.com/office/drawing/2010/main"/>
                      </a:ext>
                    </a:extLst>
                  </pic:spPr>
                </pic:pic>
              </a:graphicData>
            </a:graphic>
          </wp:inline>
        </w:drawing>
      </w:r>
    </w:p>
    <w:p w14:paraId="3B4F85FC" w14:textId="6C8389E8" w:rsidR="00FA0995" w:rsidRDefault="00BC4324" w:rsidP="00FA0995">
      <w:pPr>
        <w:spacing w:after="0" w:line="240" w:lineRule="auto"/>
        <w:jc w:val="left"/>
        <w:rPr>
          <w:sz w:val="20"/>
        </w:rPr>
      </w:pPr>
      <w:r>
        <w:rPr>
          <w:b/>
          <w:color w:val="000000" w:themeColor="text1"/>
          <w:sz w:val="20"/>
        </w:rPr>
        <w:t>Figure 2</w:t>
      </w:r>
      <w:r w:rsidR="00FA0995">
        <w:rPr>
          <w:b/>
          <w:color w:val="000000" w:themeColor="text1"/>
          <w:sz w:val="20"/>
        </w:rPr>
        <w:t>.1</w:t>
      </w:r>
      <w:r w:rsidR="00FA0995" w:rsidRPr="00BB47D7">
        <w:rPr>
          <w:b/>
          <w:color w:val="000000" w:themeColor="text1"/>
          <w:sz w:val="20"/>
        </w:rPr>
        <w:t xml:space="preserve">. </w:t>
      </w:r>
      <w:r w:rsidR="00086959" w:rsidRPr="00086959">
        <w:rPr>
          <w:color w:val="000000" w:themeColor="text1"/>
          <w:sz w:val="20"/>
        </w:rPr>
        <w:t>Actual flow in the Murray River downstream of Yarrawonga compared to the probable flow in the absence of environmental water</w:t>
      </w:r>
      <w:r w:rsidR="00086959">
        <w:rPr>
          <w:b/>
          <w:color w:val="000000" w:themeColor="text1"/>
          <w:sz w:val="20"/>
        </w:rPr>
        <w:t>.</w:t>
      </w:r>
      <w:r w:rsidR="00FA0995" w:rsidRPr="00BB47D7">
        <w:rPr>
          <w:sz w:val="20"/>
        </w:rPr>
        <w:t xml:space="preserve"> (Source CEWO 2016).</w:t>
      </w:r>
    </w:p>
    <w:p w14:paraId="3B4F85FD" w14:textId="77777777" w:rsidR="00FA0995" w:rsidRDefault="00FA0995" w:rsidP="00FA0995">
      <w:pPr>
        <w:tabs>
          <w:tab w:val="left" w:pos="9071"/>
        </w:tabs>
        <w:spacing w:after="240" w:line="320" w:lineRule="atLeast"/>
        <w:jc w:val="left"/>
        <w:rPr>
          <w:szCs w:val="22"/>
        </w:rPr>
        <w:sectPr w:rsidR="00FA0995" w:rsidSect="00FA0995">
          <w:pgSz w:w="16838" w:h="11906" w:orient="landscape"/>
          <w:pgMar w:top="1701" w:right="1440" w:bottom="1700" w:left="1440" w:header="709" w:footer="709" w:gutter="0"/>
          <w:cols w:space="708"/>
          <w:docGrid w:linePitch="360"/>
        </w:sectPr>
      </w:pPr>
    </w:p>
    <w:p w14:paraId="041556DE" w14:textId="0ED3B2DB" w:rsidR="001A19DC" w:rsidRDefault="00BC4324" w:rsidP="00BC4324">
      <w:pPr>
        <w:tabs>
          <w:tab w:val="left" w:pos="9071"/>
        </w:tabs>
        <w:spacing w:after="240" w:line="320" w:lineRule="atLeast"/>
        <w:jc w:val="left"/>
        <w:rPr>
          <w:color w:val="000000" w:themeColor="text1"/>
          <w:szCs w:val="22"/>
        </w:rPr>
      </w:pPr>
      <w:r>
        <w:rPr>
          <w:color w:val="000000" w:themeColor="text1"/>
          <w:szCs w:val="22"/>
        </w:rPr>
        <w:lastRenderedPageBreak/>
        <w:t xml:space="preserve">The </w:t>
      </w:r>
      <w:r w:rsidR="00263222">
        <w:rPr>
          <w:color w:val="000000" w:themeColor="text1"/>
          <w:szCs w:val="22"/>
        </w:rPr>
        <w:t xml:space="preserve">multi-site environmental watering action </w:t>
      </w:r>
      <w:r>
        <w:rPr>
          <w:color w:val="000000" w:themeColor="text1"/>
          <w:szCs w:val="22"/>
        </w:rPr>
        <w:t>in the Murray River</w:t>
      </w:r>
      <w:r w:rsidR="00644043">
        <w:rPr>
          <w:color w:val="000000" w:themeColor="text1"/>
          <w:szCs w:val="22"/>
        </w:rPr>
        <w:t xml:space="preserve"> (Figure 2.1)</w:t>
      </w:r>
      <w:r>
        <w:rPr>
          <w:color w:val="000000" w:themeColor="text1"/>
          <w:szCs w:val="22"/>
        </w:rPr>
        <w:t xml:space="preserve"> influenced the use of water in the Edward-Wakool system. </w:t>
      </w:r>
      <w:r w:rsidR="001A19DC">
        <w:rPr>
          <w:color w:val="000000" w:themeColor="text1"/>
          <w:szCs w:val="22"/>
        </w:rPr>
        <w:t xml:space="preserve">There were also a number of key water accounting factors and dates that </w:t>
      </w:r>
      <w:r w:rsidR="004D26D8">
        <w:rPr>
          <w:color w:val="000000" w:themeColor="text1"/>
          <w:szCs w:val="22"/>
        </w:rPr>
        <w:t>influenced</w:t>
      </w:r>
      <w:r w:rsidR="001A19DC">
        <w:rPr>
          <w:color w:val="000000" w:themeColor="text1"/>
          <w:szCs w:val="22"/>
        </w:rPr>
        <w:t xml:space="preserve"> </w:t>
      </w:r>
      <w:r w:rsidR="00B849EC">
        <w:rPr>
          <w:color w:val="000000" w:themeColor="text1"/>
          <w:szCs w:val="22"/>
        </w:rPr>
        <w:t>watering</w:t>
      </w:r>
      <w:r w:rsidR="001A19DC">
        <w:rPr>
          <w:color w:val="000000" w:themeColor="text1"/>
          <w:szCs w:val="22"/>
        </w:rPr>
        <w:t xml:space="preserve"> actions</w:t>
      </w:r>
      <w:r w:rsidR="00B849EC">
        <w:rPr>
          <w:color w:val="000000" w:themeColor="text1"/>
          <w:szCs w:val="22"/>
        </w:rPr>
        <w:t xml:space="preserve"> in </w:t>
      </w:r>
      <w:r w:rsidR="004D26D8">
        <w:rPr>
          <w:color w:val="000000" w:themeColor="text1"/>
          <w:szCs w:val="22"/>
        </w:rPr>
        <w:t>the Edward-Wakool system</w:t>
      </w:r>
      <w:r w:rsidR="001A19DC">
        <w:rPr>
          <w:color w:val="000000" w:themeColor="text1"/>
          <w:szCs w:val="22"/>
        </w:rPr>
        <w:t>, including:</w:t>
      </w:r>
    </w:p>
    <w:p w14:paraId="26CE7A3D" w14:textId="5EF410CC" w:rsidR="001A19DC" w:rsidRPr="006A5FC5" w:rsidRDefault="001A19DC" w:rsidP="006A5FC5">
      <w:pPr>
        <w:pStyle w:val="ListBullet"/>
        <w:numPr>
          <w:ilvl w:val="0"/>
          <w:numId w:val="38"/>
        </w:numPr>
        <w:spacing w:line="276" w:lineRule="auto"/>
        <w:jc w:val="left"/>
        <w:rPr>
          <w:color w:val="000000" w:themeColor="text1"/>
          <w:sz w:val="22"/>
          <w:szCs w:val="22"/>
        </w:rPr>
      </w:pPr>
      <w:r w:rsidRPr="006A5FC5">
        <w:rPr>
          <w:sz w:val="22"/>
          <w:szCs w:val="22"/>
        </w:rPr>
        <w:t>Water accounting arrang</w:t>
      </w:r>
      <w:r>
        <w:rPr>
          <w:sz w:val="22"/>
          <w:szCs w:val="22"/>
        </w:rPr>
        <w:t>e</w:t>
      </w:r>
      <w:r w:rsidRPr="006A5FC5">
        <w:rPr>
          <w:sz w:val="22"/>
          <w:szCs w:val="22"/>
        </w:rPr>
        <w:t>ments were in place so that when flows for the Barmah-Millewa Forest watering action were above 10,000 ML</w:t>
      </w:r>
      <w:r w:rsidR="004D26D8">
        <w:rPr>
          <w:sz w:val="22"/>
          <w:szCs w:val="22"/>
        </w:rPr>
        <w:t xml:space="preserve"> </w:t>
      </w:r>
      <w:r w:rsidRPr="006A5FC5">
        <w:rPr>
          <w:sz w:val="22"/>
          <w:szCs w:val="22"/>
        </w:rPr>
        <w:t>d</w:t>
      </w:r>
      <w:r w:rsidR="004D26D8" w:rsidRPr="004D26D8">
        <w:rPr>
          <w:sz w:val="22"/>
          <w:szCs w:val="22"/>
          <w:vertAlign w:val="superscript"/>
        </w:rPr>
        <w:t>-1</w:t>
      </w:r>
      <w:r>
        <w:rPr>
          <w:sz w:val="22"/>
          <w:szCs w:val="22"/>
        </w:rPr>
        <w:t xml:space="preserve"> at Yarrawonga</w:t>
      </w:r>
      <w:r w:rsidRPr="006A5FC5">
        <w:rPr>
          <w:sz w:val="22"/>
          <w:szCs w:val="22"/>
        </w:rPr>
        <w:t xml:space="preserve">, flows returning </w:t>
      </w:r>
      <w:r>
        <w:rPr>
          <w:sz w:val="22"/>
          <w:szCs w:val="22"/>
        </w:rPr>
        <w:t xml:space="preserve">from the forest </w:t>
      </w:r>
      <w:r w:rsidRPr="006A5FC5">
        <w:rPr>
          <w:sz w:val="22"/>
          <w:szCs w:val="22"/>
        </w:rPr>
        <w:t>to the Edward River system could be reused for watering actions in the Edward-Wakool River system. This ‘return flow period</w:t>
      </w:r>
      <w:r>
        <w:rPr>
          <w:sz w:val="22"/>
          <w:szCs w:val="22"/>
        </w:rPr>
        <w:t>’</w:t>
      </w:r>
      <w:r w:rsidRPr="006A5FC5">
        <w:rPr>
          <w:sz w:val="22"/>
          <w:szCs w:val="22"/>
        </w:rPr>
        <w:t xml:space="preserve"> </w:t>
      </w:r>
      <w:r>
        <w:rPr>
          <w:sz w:val="22"/>
          <w:szCs w:val="22"/>
        </w:rPr>
        <w:t>existed</w:t>
      </w:r>
      <w:r w:rsidRPr="006A5FC5">
        <w:rPr>
          <w:sz w:val="22"/>
          <w:szCs w:val="22"/>
        </w:rPr>
        <w:t xml:space="preserve"> from late July until 1</w:t>
      </w:r>
      <w:r w:rsidR="00B849EC">
        <w:rPr>
          <w:sz w:val="22"/>
          <w:szCs w:val="22"/>
        </w:rPr>
        <w:t>0</w:t>
      </w:r>
      <w:r w:rsidRPr="006A5FC5">
        <w:rPr>
          <w:sz w:val="22"/>
          <w:szCs w:val="22"/>
        </w:rPr>
        <w:t xml:space="preserve"> November.</w:t>
      </w:r>
    </w:p>
    <w:p w14:paraId="102C1850" w14:textId="0317D981" w:rsidR="001A19DC" w:rsidRDefault="007E15F2" w:rsidP="006A5FC5">
      <w:pPr>
        <w:pStyle w:val="ListBullet"/>
        <w:numPr>
          <w:ilvl w:val="0"/>
          <w:numId w:val="38"/>
        </w:numPr>
        <w:spacing w:line="276" w:lineRule="auto"/>
        <w:jc w:val="left"/>
        <w:rPr>
          <w:sz w:val="22"/>
          <w:szCs w:val="22"/>
        </w:rPr>
      </w:pPr>
      <w:r>
        <w:rPr>
          <w:sz w:val="22"/>
          <w:szCs w:val="22"/>
        </w:rPr>
        <w:t>From late July until</w:t>
      </w:r>
      <w:r w:rsidR="001A19DC" w:rsidRPr="006A5FC5">
        <w:rPr>
          <w:sz w:val="22"/>
          <w:szCs w:val="22"/>
        </w:rPr>
        <w:t xml:space="preserve"> 4 September, flows returning to the Edward River system from the Barmah-Millewa Forest watering action were managed by Water NSW as the River Operator and were not </w:t>
      </w:r>
      <w:r w:rsidR="00B849EC">
        <w:rPr>
          <w:sz w:val="22"/>
          <w:szCs w:val="22"/>
        </w:rPr>
        <w:t>use</w:t>
      </w:r>
      <w:r w:rsidR="00FF278C">
        <w:rPr>
          <w:sz w:val="22"/>
          <w:szCs w:val="22"/>
        </w:rPr>
        <w:t>d for</w:t>
      </w:r>
      <w:r w:rsidR="00B849EC">
        <w:rPr>
          <w:sz w:val="22"/>
          <w:szCs w:val="22"/>
        </w:rPr>
        <w:t xml:space="preserve"> Edward-Wakool specific watering actions by the CEWO</w:t>
      </w:r>
      <w:r w:rsidR="001A19DC" w:rsidRPr="006A5FC5">
        <w:rPr>
          <w:sz w:val="22"/>
          <w:szCs w:val="22"/>
        </w:rPr>
        <w:t>.</w:t>
      </w:r>
    </w:p>
    <w:p w14:paraId="309923A4" w14:textId="7ED4F47A" w:rsidR="001A19DC" w:rsidRDefault="006A5FC5" w:rsidP="006A5FC5">
      <w:pPr>
        <w:pStyle w:val="ListBullet"/>
        <w:numPr>
          <w:ilvl w:val="0"/>
          <w:numId w:val="38"/>
        </w:numPr>
        <w:spacing w:line="276" w:lineRule="auto"/>
        <w:jc w:val="left"/>
        <w:rPr>
          <w:sz w:val="22"/>
          <w:szCs w:val="22"/>
        </w:rPr>
      </w:pPr>
      <w:r>
        <w:rPr>
          <w:sz w:val="22"/>
          <w:szCs w:val="22"/>
        </w:rPr>
        <w:t>T</w:t>
      </w:r>
      <w:r w:rsidRPr="00EA21CD">
        <w:rPr>
          <w:sz w:val="22"/>
          <w:szCs w:val="22"/>
        </w:rPr>
        <w:t>he environmental watering acti</w:t>
      </w:r>
      <w:r w:rsidR="004D26D8">
        <w:rPr>
          <w:sz w:val="22"/>
          <w:szCs w:val="22"/>
        </w:rPr>
        <w:t>ons in the Edward-Wakool system</w:t>
      </w:r>
      <w:r w:rsidR="001A19DC" w:rsidRPr="006A5FC5">
        <w:rPr>
          <w:sz w:val="22"/>
          <w:szCs w:val="22"/>
        </w:rPr>
        <w:t xml:space="preserve"> for 2015-16 (described in Table 2.2), </w:t>
      </w:r>
      <w:r w:rsidR="001A19DC">
        <w:rPr>
          <w:sz w:val="22"/>
          <w:szCs w:val="22"/>
        </w:rPr>
        <w:t>commenced on</w:t>
      </w:r>
      <w:r w:rsidR="001A19DC" w:rsidRPr="006A5FC5">
        <w:rPr>
          <w:sz w:val="22"/>
          <w:szCs w:val="22"/>
        </w:rPr>
        <w:t xml:space="preserve"> 4th September </w:t>
      </w:r>
      <w:r w:rsidR="007E15F2">
        <w:rPr>
          <w:sz w:val="22"/>
          <w:szCs w:val="22"/>
        </w:rPr>
        <w:t xml:space="preserve">and used </w:t>
      </w:r>
      <w:r w:rsidR="00C54642">
        <w:rPr>
          <w:sz w:val="22"/>
          <w:szCs w:val="22"/>
        </w:rPr>
        <w:t>flows</w:t>
      </w:r>
      <w:r w:rsidR="001A19DC" w:rsidRPr="006A5FC5">
        <w:rPr>
          <w:sz w:val="22"/>
          <w:szCs w:val="22"/>
        </w:rPr>
        <w:t xml:space="preserve"> returning from</w:t>
      </w:r>
      <w:r w:rsidR="007E15F2">
        <w:rPr>
          <w:sz w:val="22"/>
          <w:szCs w:val="22"/>
        </w:rPr>
        <w:t xml:space="preserve"> the</w:t>
      </w:r>
      <w:r w:rsidR="001A19DC" w:rsidRPr="006A5FC5">
        <w:rPr>
          <w:sz w:val="22"/>
          <w:szCs w:val="22"/>
        </w:rPr>
        <w:t xml:space="preserve"> Barmah-Millewa Forest</w:t>
      </w:r>
      <w:r w:rsidR="007E15F2">
        <w:rPr>
          <w:sz w:val="22"/>
          <w:szCs w:val="22"/>
        </w:rPr>
        <w:t xml:space="preserve"> watering action until </w:t>
      </w:r>
      <w:r w:rsidR="007E15F2" w:rsidRPr="00113C8B">
        <w:rPr>
          <w:sz w:val="22"/>
          <w:szCs w:val="22"/>
        </w:rPr>
        <w:t>10th November</w:t>
      </w:r>
      <w:r w:rsidR="007E15F2">
        <w:rPr>
          <w:sz w:val="22"/>
          <w:szCs w:val="22"/>
        </w:rPr>
        <w:t>.</w:t>
      </w:r>
    </w:p>
    <w:p w14:paraId="39D8A633" w14:textId="2334A31A" w:rsidR="00C54642" w:rsidRPr="006A5FC5" w:rsidRDefault="00C54642" w:rsidP="006A5FC5">
      <w:pPr>
        <w:pStyle w:val="ListBullet"/>
        <w:numPr>
          <w:ilvl w:val="0"/>
          <w:numId w:val="38"/>
        </w:numPr>
        <w:spacing w:line="276" w:lineRule="auto"/>
        <w:jc w:val="left"/>
        <w:rPr>
          <w:sz w:val="22"/>
          <w:szCs w:val="22"/>
        </w:rPr>
      </w:pPr>
      <w:r>
        <w:rPr>
          <w:sz w:val="22"/>
          <w:szCs w:val="22"/>
        </w:rPr>
        <w:t>On 11 November the use of return flows ceased and t</w:t>
      </w:r>
      <w:r w:rsidRPr="00EA21CD">
        <w:rPr>
          <w:sz w:val="22"/>
          <w:szCs w:val="22"/>
        </w:rPr>
        <w:t>he environmental watering actions in the Edward-Wakool system for 2015-16</w:t>
      </w:r>
      <w:r>
        <w:rPr>
          <w:sz w:val="22"/>
          <w:szCs w:val="22"/>
        </w:rPr>
        <w:t xml:space="preserve"> returned to normal water accounting arrangments for the remaining period of these actions.</w:t>
      </w:r>
    </w:p>
    <w:p w14:paraId="3B4F85FF" w14:textId="77777777" w:rsidR="00F9588F" w:rsidRDefault="00F9588F" w:rsidP="00BC4324">
      <w:pPr>
        <w:spacing w:after="240" w:line="320" w:lineRule="exact"/>
        <w:jc w:val="left"/>
        <w:rPr>
          <w:szCs w:val="22"/>
        </w:rPr>
      </w:pPr>
      <w:r>
        <w:rPr>
          <w:szCs w:val="22"/>
        </w:rPr>
        <w:t>Of the eight proposed environmental watering a</w:t>
      </w:r>
      <w:r>
        <w:rPr>
          <w:color w:val="000000" w:themeColor="text1"/>
          <w:szCs w:val="22"/>
        </w:rPr>
        <w:t>ctions in the Edward-Wa</w:t>
      </w:r>
      <w:r w:rsidR="00BC4324">
        <w:rPr>
          <w:color w:val="000000" w:themeColor="text1"/>
          <w:szCs w:val="22"/>
        </w:rPr>
        <w:t xml:space="preserve">kool system for 2015-16 (described in Table 2.1) </w:t>
      </w:r>
      <w:r>
        <w:rPr>
          <w:color w:val="000000" w:themeColor="text1"/>
          <w:szCs w:val="22"/>
        </w:rPr>
        <w:t>only actions 3, 4, 5 and 6 proceeded</w:t>
      </w:r>
      <w:r w:rsidR="00BC4324">
        <w:rPr>
          <w:color w:val="000000" w:themeColor="text1"/>
          <w:szCs w:val="22"/>
        </w:rPr>
        <w:t xml:space="preserve"> (Table 2.2)</w:t>
      </w:r>
      <w:r>
        <w:rPr>
          <w:color w:val="000000" w:themeColor="text1"/>
          <w:szCs w:val="22"/>
        </w:rPr>
        <w:t>.</w:t>
      </w:r>
      <w:r w:rsidRPr="00BB47D7">
        <w:rPr>
          <w:szCs w:val="22"/>
        </w:rPr>
        <w:t xml:space="preserve"> </w:t>
      </w:r>
      <w:r w:rsidRPr="009C43EE">
        <w:rPr>
          <w:color w:val="000000" w:themeColor="text1"/>
          <w:szCs w:val="22"/>
        </w:rPr>
        <w:t xml:space="preserve">Only </w:t>
      </w:r>
      <w:r>
        <w:rPr>
          <w:color w:val="000000" w:themeColor="text1"/>
          <w:szCs w:val="22"/>
        </w:rPr>
        <w:t xml:space="preserve">environmental watering </w:t>
      </w:r>
      <w:r w:rsidRPr="009C43EE">
        <w:rPr>
          <w:color w:val="000000" w:themeColor="text1"/>
          <w:szCs w:val="22"/>
        </w:rPr>
        <w:t xml:space="preserve">actions </w:t>
      </w:r>
      <w:r>
        <w:rPr>
          <w:color w:val="000000" w:themeColor="text1"/>
          <w:szCs w:val="22"/>
        </w:rPr>
        <w:t xml:space="preserve">numbers </w:t>
      </w:r>
      <w:r w:rsidRPr="009C43EE">
        <w:rPr>
          <w:color w:val="000000" w:themeColor="text1"/>
          <w:szCs w:val="22"/>
        </w:rPr>
        <w:t xml:space="preserve">4 and 5 were monitored by the LTIM </w:t>
      </w:r>
      <w:r>
        <w:rPr>
          <w:color w:val="000000" w:themeColor="text1"/>
          <w:szCs w:val="22"/>
        </w:rPr>
        <w:t>Monitoring and Evaluation</w:t>
      </w:r>
      <w:r w:rsidRPr="009C43EE">
        <w:rPr>
          <w:color w:val="000000" w:themeColor="text1"/>
          <w:szCs w:val="22"/>
        </w:rPr>
        <w:t xml:space="preserve"> Project and will</w:t>
      </w:r>
      <w:r>
        <w:rPr>
          <w:color w:val="000000" w:themeColor="text1"/>
          <w:szCs w:val="22"/>
        </w:rPr>
        <w:t xml:space="preserve"> be reported on in this report. </w:t>
      </w:r>
      <w:r w:rsidRPr="00BB47D7">
        <w:rPr>
          <w:szCs w:val="22"/>
        </w:rPr>
        <w:t xml:space="preserve">Targeted environmental watering in </w:t>
      </w:r>
      <w:r>
        <w:rPr>
          <w:szCs w:val="22"/>
        </w:rPr>
        <w:t>the upper Wakool R</w:t>
      </w:r>
      <w:r w:rsidR="00BC4324">
        <w:rPr>
          <w:szCs w:val="22"/>
        </w:rPr>
        <w:t>iver (proposed action 4, Table 2</w:t>
      </w:r>
      <w:r>
        <w:rPr>
          <w:szCs w:val="22"/>
        </w:rPr>
        <w:t>.1</w:t>
      </w:r>
      <w:r w:rsidR="00BC4324">
        <w:rPr>
          <w:szCs w:val="22"/>
        </w:rPr>
        <w:t>, Figure 2.2</w:t>
      </w:r>
      <w:r>
        <w:rPr>
          <w:szCs w:val="22"/>
        </w:rPr>
        <w:t xml:space="preserve">) and </w:t>
      </w:r>
      <w:r w:rsidRPr="00BB47D7">
        <w:rPr>
          <w:szCs w:val="22"/>
        </w:rPr>
        <w:t xml:space="preserve">Yallakool Creek </w:t>
      </w:r>
      <w:r w:rsidR="00BC4324">
        <w:rPr>
          <w:szCs w:val="22"/>
        </w:rPr>
        <w:t>(proposed action 5</w:t>
      </w:r>
      <w:r>
        <w:rPr>
          <w:szCs w:val="22"/>
        </w:rPr>
        <w:t>, Tab</w:t>
      </w:r>
      <w:r w:rsidR="00BC4324">
        <w:rPr>
          <w:szCs w:val="22"/>
        </w:rPr>
        <w:t>le 2</w:t>
      </w:r>
      <w:r w:rsidRPr="00BC4324">
        <w:rPr>
          <w:szCs w:val="22"/>
        </w:rPr>
        <w:t>.1</w:t>
      </w:r>
      <w:r w:rsidR="00BC4324" w:rsidRPr="00BC4324">
        <w:rPr>
          <w:szCs w:val="22"/>
        </w:rPr>
        <w:t>,</w:t>
      </w:r>
      <w:r w:rsidR="00BC4324">
        <w:rPr>
          <w:szCs w:val="22"/>
        </w:rPr>
        <w:t xml:space="preserve"> Figure 2.2</w:t>
      </w:r>
      <w:r>
        <w:rPr>
          <w:szCs w:val="22"/>
        </w:rPr>
        <w:t xml:space="preserve">) </w:t>
      </w:r>
      <w:r w:rsidRPr="00BB47D7">
        <w:rPr>
          <w:szCs w:val="22"/>
        </w:rPr>
        <w:t>occurred from 11</w:t>
      </w:r>
      <w:r w:rsidRPr="00BB47D7">
        <w:rPr>
          <w:szCs w:val="22"/>
          <w:vertAlign w:val="superscript"/>
        </w:rPr>
        <w:t>th</w:t>
      </w:r>
      <w:r w:rsidRPr="00BB47D7">
        <w:rPr>
          <w:szCs w:val="22"/>
        </w:rPr>
        <w:t xml:space="preserve"> November to 30</w:t>
      </w:r>
      <w:r w:rsidRPr="00BB47D7">
        <w:rPr>
          <w:szCs w:val="22"/>
          <w:vertAlign w:val="superscript"/>
        </w:rPr>
        <w:t>th</w:t>
      </w:r>
      <w:r>
        <w:rPr>
          <w:szCs w:val="22"/>
        </w:rPr>
        <w:t xml:space="preserve"> January.</w:t>
      </w:r>
    </w:p>
    <w:p w14:paraId="3B4F8601" w14:textId="77777777" w:rsidR="00F9588F" w:rsidRPr="009C43EE" w:rsidRDefault="00BC4324" w:rsidP="00F9588F">
      <w:pPr>
        <w:tabs>
          <w:tab w:val="left" w:pos="9071"/>
        </w:tabs>
        <w:spacing w:after="0" w:line="240" w:lineRule="auto"/>
        <w:jc w:val="left"/>
        <w:rPr>
          <w:color w:val="000000" w:themeColor="text1"/>
          <w:sz w:val="20"/>
        </w:rPr>
      </w:pPr>
      <w:r>
        <w:rPr>
          <w:b/>
          <w:color w:val="000000" w:themeColor="text1"/>
          <w:sz w:val="20"/>
        </w:rPr>
        <w:t>Table 2.2</w:t>
      </w:r>
      <w:r w:rsidR="00F9588F" w:rsidRPr="009C43EE">
        <w:rPr>
          <w:b/>
          <w:color w:val="000000" w:themeColor="text1"/>
          <w:sz w:val="20"/>
        </w:rPr>
        <w:t>.</w:t>
      </w:r>
      <w:r w:rsidR="00F9588F" w:rsidRPr="009C43EE">
        <w:rPr>
          <w:color w:val="000000" w:themeColor="text1"/>
          <w:sz w:val="20"/>
        </w:rPr>
        <w:t xml:space="preserve"> Summary of environmental watering actions in the Edward-Wakool system as descri</w:t>
      </w:r>
      <w:r w:rsidR="00F9588F">
        <w:rPr>
          <w:color w:val="000000" w:themeColor="text1"/>
          <w:sz w:val="20"/>
        </w:rPr>
        <w:t xml:space="preserve">bed in </w:t>
      </w:r>
      <w:r w:rsidR="00F9588F" w:rsidRPr="009C43EE">
        <w:rPr>
          <w:color w:val="000000" w:themeColor="text1"/>
          <w:sz w:val="20"/>
        </w:rPr>
        <w:t>Watering Actions Acquittal report (CEWO 2016)</w:t>
      </w:r>
      <w:r w:rsidR="00F9588F">
        <w:rPr>
          <w:color w:val="000000" w:themeColor="text1"/>
          <w:sz w:val="20"/>
        </w:rPr>
        <w:t>. Only watering actions 4 and 5 (highlighted) were evaluated in this 2015-16 Edward-Wakool LTIM evaluation report. (Information from CEWO 2016)</w:t>
      </w:r>
    </w:p>
    <w:tbl>
      <w:tblPr>
        <w:tblW w:w="4922"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
        <w:gridCol w:w="1677"/>
        <w:gridCol w:w="5245"/>
        <w:gridCol w:w="1132"/>
      </w:tblGrid>
      <w:tr w:rsidR="00F9588F" w:rsidRPr="005E52B5" w14:paraId="3B4F8606" w14:textId="77777777" w:rsidTr="00BC4324">
        <w:trPr>
          <w:tblHeader/>
        </w:trPr>
        <w:tc>
          <w:tcPr>
            <w:tcW w:w="184" w:type="pct"/>
            <w:shd w:val="clear" w:color="auto" w:fill="EAF1DD" w:themeFill="accent3" w:themeFillTint="33"/>
          </w:tcPr>
          <w:p w14:paraId="3B4F8602" w14:textId="77777777" w:rsidR="00F9588F" w:rsidRPr="00BC4324" w:rsidRDefault="00F9588F" w:rsidP="00F9588F">
            <w:pPr>
              <w:spacing w:after="0" w:line="240" w:lineRule="auto"/>
              <w:rPr>
                <w:b/>
                <w:bCs/>
                <w:szCs w:val="22"/>
              </w:rPr>
            </w:pPr>
          </w:p>
        </w:tc>
        <w:tc>
          <w:tcPr>
            <w:tcW w:w="1003" w:type="pct"/>
            <w:shd w:val="clear" w:color="auto" w:fill="EAF1DD" w:themeFill="accent3" w:themeFillTint="33"/>
          </w:tcPr>
          <w:p w14:paraId="3B4F8603" w14:textId="77777777" w:rsidR="00F9588F" w:rsidRPr="00BC4324" w:rsidRDefault="00F9588F" w:rsidP="00F9588F">
            <w:pPr>
              <w:spacing w:after="0" w:line="240" w:lineRule="auto"/>
              <w:rPr>
                <w:b/>
                <w:bCs/>
                <w:szCs w:val="22"/>
              </w:rPr>
            </w:pPr>
            <w:r w:rsidRPr="00BC4324">
              <w:rPr>
                <w:b/>
                <w:bCs/>
                <w:szCs w:val="22"/>
              </w:rPr>
              <w:t xml:space="preserve">Target asset </w:t>
            </w:r>
          </w:p>
        </w:tc>
        <w:tc>
          <w:tcPr>
            <w:tcW w:w="3136" w:type="pct"/>
            <w:shd w:val="clear" w:color="auto" w:fill="EAF1DD" w:themeFill="accent3" w:themeFillTint="33"/>
          </w:tcPr>
          <w:p w14:paraId="3B4F8604" w14:textId="77777777" w:rsidR="00F9588F" w:rsidRPr="00BC4324" w:rsidRDefault="00F9588F" w:rsidP="00F9588F">
            <w:pPr>
              <w:tabs>
                <w:tab w:val="left" w:pos="1890"/>
                <w:tab w:val="center" w:pos="2598"/>
              </w:tabs>
              <w:spacing w:after="0" w:line="240" w:lineRule="auto"/>
              <w:jc w:val="left"/>
              <w:rPr>
                <w:b/>
                <w:bCs/>
                <w:szCs w:val="22"/>
              </w:rPr>
            </w:pPr>
            <w:r w:rsidRPr="00BC4324">
              <w:rPr>
                <w:b/>
                <w:bCs/>
                <w:szCs w:val="22"/>
              </w:rPr>
              <w:tab/>
              <w:t>CEW volume used (ML)</w:t>
            </w:r>
          </w:p>
        </w:tc>
        <w:tc>
          <w:tcPr>
            <w:tcW w:w="677" w:type="pct"/>
            <w:shd w:val="clear" w:color="auto" w:fill="EAF1DD" w:themeFill="accent3" w:themeFillTint="33"/>
          </w:tcPr>
          <w:p w14:paraId="3B4F8605" w14:textId="77777777" w:rsidR="00F9588F" w:rsidRPr="00BC4324" w:rsidRDefault="00F9588F" w:rsidP="00F9588F">
            <w:pPr>
              <w:spacing w:after="0" w:line="240" w:lineRule="auto"/>
              <w:jc w:val="center"/>
              <w:rPr>
                <w:b/>
                <w:bCs/>
                <w:szCs w:val="22"/>
              </w:rPr>
            </w:pPr>
            <w:r w:rsidRPr="00BC4324">
              <w:rPr>
                <w:b/>
                <w:bCs/>
                <w:szCs w:val="22"/>
              </w:rPr>
              <w:t>Timing</w:t>
            </w:r>
          </w:p>
        </w:tc>
      </w:tr>
      <w:tr w:rsidR="00F9588F" w:rsidRPr="005E52B5" w14:paraId="3B4F860B" w14:textId="77777777" w:rsidTr="00BC4324">
        <w:trPr>
          <w:tblHeader/>
        </w:trPr>
        <w:tc>
          <w:tcPr>
            <w:tcW w:w="184" w:type="pct"/>
          </w:tcPr>
          <w:p w14:paraId="3B4F8607" w14:textId="77777777" w:rsidR="00F9588F" w:rsidRPr="00BC4324" w:rsidRDefault="00F9588F" w:rsidP="00F9588F">
            <w:pPr>
              <w:spacing w:after="0" w:line="240" w:lineRule="auto"/>
              <w:jc w:val="left"/>
              <w:rPr>
                <w:bCs/>
                <w:szCs w:val="22"/>
              </w:rPr>
            </w:pPr>
            <w:r w:rsidRPr="00BC4324">
              <w:rPr>
                <w:bCs/>
                <w:szCs w:val="22"/>
              </w:rPr>
              <w:t>1</w:t>
            </w:r>
          </w:p>
        </w:tc>
        <w:tc>
          <w:tcPr>
            <w:tcW w:w="1003" w:type="pct"/>
          </w:tcPr>
          <w:p w14:paraId="3B4F8608" w14:textId="77777777" w:rsidR="00F9588F" w:rsidRPr="00BC4324" w:rsidRDefault="00F9588F" w:rsidP="00F9588F">
            <w:pPr>
              <w:spacing w:after="0" w:line="240" w:lineRule="auto"/>
              <w:jc w:val="left"/>
              <w:rPr>
                <w:bCs/>
                <w:szCs w:val="22"/>
              </w:rPr>
            </w:pPr>
            <w:r w:rsidRPr="00BC4324">
              <w:rPr>
                <w:bCs/>
                <w:szCs w:val="22"/>
              </w:rPr>
              <w:t>Edward Rive</w:t>
            </w:r>
            <w:r w:rsidR="008D6BE1">
              <w:rPr>
                <w:bCs/>
                <w:szCs w:val="22"/>
              </w:rPr>
              <w:t>r</w:t>
            </w:r>
          </w:p>
        </w:tc>
        <w:tc>
          <w:tcPr>
            <w:tcW w:w="3136" w:type="pct"/>
          </w:tcPr>
          <w:p w14:paraId="3B4F8609" w14:textId="77777777" w:rsidR="00F9588F" w:rsidRPr="00BC4324" w:rsidRDefault="00F9588F" w:rsidP="00F9588F">
            <w:pPr>
              <w:spacing w:after="0" w:line="240" w:lineRule="auto"/>
              <w:jc w:val="left"/>
              <w:rPr>
                <w:bCs/>
                <w:szCs w:val="22"/>
              </w:rPr>
            </w:pPr>
            <w:r w:rsidRPr="00BC4324">
              <w:rPr>
                <w:bCs/>
                <w:szCs w:val="22"/>
              </w:rPr>
              <w:t>0 (action did not proceed)</w:t>
            </w:r>
          </w:p>
        </w:tc>
        <w:tc>
          <w:tcPr>
            <w:tcW w:w="677" w:type="pct"/>
          </w:tcPr>
          <w:p w14:paraId="3B4F860A" w14:textId="77777777" w:rsidR="00F9588F" w:rsidRPr="00BC4324" w:rsidRDefault="00F9588F" w:rsidP="00F9588F">
            <w:pPr>
              <w:spacing w:after="0" w:line="240" w:lineRule="auto"/>
              <w:jc w:val="left"/>
              <w:rPr>
                <w:bCs/>
                <w:szCs w:val="22"/>
              </w:rPr>
            </w:pPr>
            <w:r w:rsidRPr="00BC4324">
              <w:rPr>
                <w:bCs/>
                <w:szCs w:val="22"/>
              </w:rPr>
              <w:t>N/A</w:t>
            </w:r>
          </w:p>
        </w:tc>
      </w:tr>
      <w:tr w:rsidR="00F9588F" w:rsidRPr="005E52B5" w14:paraId="3B4F8610" w14:textId="77777777" w:rsidTr="00BC4324">
        <w:trPr>
          <w:tblHeader/>
        </w:trPr>
        <w:tc>
          <w:tcPr>
            <w:tcW w:w="184" w:type="pct"/>
          </w:tcPr>
          <w:p w14:paraId="3B4F860C" w14:textId="77777777" w:rsidR="00F9588F" w:rsidRPr="00BC4324" w:rsidRDefault="00F9588F" w:rsidP="00F9588F">
            <w:pPr>
              <w:spacing w:after="0" w:line="240" w:lineRule="auto"/>
              <w:jc w:val="left"/>
              <w:rPr>
                <w:bCs/>
                <w:szCs w:val="22"/>
              </w:rPr>
            </w:pPr>
            <w:r w:rsidRPr="00BC4324">
              <w:rPr>
                <w:bCs/>
                <w:szCs w:val="22"/>
              </w:rPr>
              <w:t>2</w:t>
            </w:r>
          </w:p>
        </w:tc>
        <w:tc>
          <w:tcPr>
            <w:tcW w:w="1003" w:type="pct"/>
          </w:tcPr>
          <w:p w14:paraId="3B4F860D" w14:textId="77777777" w:rsidR="00F9588F" w:rsidRPr="00BC4324" w:rsidRDefault="00F9588F" w:rsidP="00F9588F">
            <w:pPr>
              <w:spacing w:after="0" w:line="240" w:lineRule="auto"/>
              <w:jc w:val="left"/>
              <w:rPr>
                <w:bCs/>
                <w:szCs w:val="22"/>
              </w:rPr>
            </w:pPr>
            <w:r w:rsidRPr="00BC4324">
              <w:rPr>
                <w:bCs/>
                <w:szCs w:val="22"/>
              </w:rPr>
              <w:t>Edward River – Stevens Weir</w:t>
            </w:r>
          </w:p>
        </w:tc>
        <w:tc>
          <w:tcPr>
            <w:tcW w:w="3136" w:type="pct"/>
          </w:tcPr>
          <w:p w14:paraId="3B4F860E" w14:textId="77777777" w:rsidR="00F9588F" w:rsidRPr="00BC4324" w:rsidRDefault="00F9588F" w:rsidP="00F9588F">
            <w:pPr>
              <w:pStyle w:val="ListBullet"/>
              <w:snapToGrid w:val="0"/>
              <w:spacing w:after="120"/>
              <w:contextualSpacing w:val="0"/>
              <w:jc w:val="left"/>
              <w:rPr>
                <w:bCs/>
                <w:sz w:val="22"/>
                <w:szCs w:val="22"/>
              </w:rPr>
            </w:pPr>
            <w:r w:rsidRPr="00BC4324">
              <w:rPr>
                <w:bCs/>
                <w:sz w:val="22"/>
                <w:szCs w:val="22"/>
              </w:rPr>
              <w:t>0 (action did not proceed)</w:t>
            </w:r>
          </w:p>
        </w:tc>
        <w:tc>
          <w:tcPr>
            <w:tcW w:w="677" w:type="pct"/>
          </w:tcPr>
          <w:p w14:paraId="3B4F860F" w14:textId="77777777" w:rsidR="00F9588F" w:rsidRPr="00BC4324" w:rsidRDefault="00F9588F" w:rsidP="00F9588F">
            <w:pPr>
              <w:pStyle w:val="ListBullet"/>
              <w:snapToGrid w:val="0"/>
              <w:spacing w:after="0"/>
              <w:contextualSpacing w:val="0"/>
              <w:jc w:val="left"/>
              <w:rPr>
                <w:bCs/>
                <w:sz w:val="22"/>
                <w:szCs w:val="22"/>
              </w:rPr>
            </w:pPr>
            <w:r w:rsidRPr="00BC4324">
              <w:rPr>
                <w:bCs/>
                <w:sz w:val="22"/>
                <w:szCs w:val="22"/>
              </w:rPr>
              <w:t>N/A</w:t>
            </w:r>
          </w:p>
        </w:tc>
      </w:tr>
      <w:tr w:rsidR="00F9588F" w:rsidRPr="005E52B5" w14:paraId="3B4F8615" w14:textId="77777777" w:rsidTr="00BC4324">
        <w:trPr>
          <w:tblHeader/>
        </w:trPr>
        <w:tc>
          <w:tcPr>
            <w:tcW w:w="184" w:type="pct"/>
          </w:tcPr>
          <w:p w14:paraId="3B4F8611" w14:textId="77777777" w:rsidR="00F9588F" w:rsidRPr="00BC4324" w:rsidRDefault="00F9588F" w:rsidP="00F9588F">
            <w:pPr>
              <w:spacing w:after="0" w:line="240" w:lineRule="auto"/>
              <w:jc w:val="left"/>
              <w:rPr>
                <w:bCs/>
                <w:szCs w:val="22"/>
              </w:rPr>
            </w:pPr>
            <w:r w:rsidRPr="00BC4324">
              <w:rPr>
                <w:bCs/>
                <w:szCs w:val="22"/>
              </w:rPr>
              <w:t>3</w:t>
            </w:r>
          </w:p>
        </w:tc>
        <w:tc>
          <w:tcPr>
            <w:tcW w:w="1003" w:type="pct"/>
          </w:tcPr>
          <w:p w14:paraId="3B4F8612" w14:textId="77777777" w:rsidR="00F9588F" w:rsidRPr="00BC4324" w:rsidRDefault="00F9588F" w:rsidP="00F9588F">
            <w:pPr>
              <w:spacing w:after="0" w:line="240" w:lineRule="auto"/>
              <w:jc w:val="left"/>
              <w:rPr>
                <w:bCs/>
                <w:szCs w:val="22"/>
              </w:rPr>
            </w:pPr>
            <w:r w:rsidRPr="00BC4324">
              <w:rPr>
                <w:bCs/>
                <w:szCs w:val="22"/>
              </w:rPr>
              <w:t xml:space="preserve">Colligen-Niemur </w:t>
            </w:r>
          </w:p>
        </w:tc>
        <w:tc>
          <w:tcPr>
            <w:tcW w:w="3136" w:type="pct"/>
          </w:tcPr>
          <w:p w14:paraId="3B4F8613" w14:textId="77777777" w:rsidR="00F9588F" w:rsidRPr="00BC4324" w:rsidRDefault="00F9588F" w:rsidP="00F9588F">
            <w:pPr>
              <w:spacing w:after="120" w:line="240" w:lineRule="auto"/>
              <w:jc w:val="left"/>
              <w:rPr>
                <w:bCs/>
                <w:szCs w:val="22"/>
              </w:rPr>
            </w:pPr>
            <w:r w:rsidRPr="00BC4324">
              <w:rPr>
                <w:bCs/>
                <w:szCs w:val="22"/>
              </w:rPr>
              <w:t>15,740 (does not include volume of return flows that were used from start of action until 10 November)</w:t>
            </w:r>
          </w:p>
        </w:tc>
        <w:tc>
          <w:tcPr>
            <w:tcW w:w="677" w:type="pct"/>
          </w:tcPr>
          <w:p w14:paraId="3B4F8614" w14:textId="77777777" w:rsidR="00F9588F" w:rsidRPr="00BC4324" w:rsidRDefault="00F9588F" w:rsidP="00F9588F">
            <w:pPr>
              <w:spacing w:after="0" w:line="240" w:lineRule="auto"/>
              <w:jc w:val="left"/>
              <w:rPr>
                <w:bCs/>
                <w:szCs w:val="22"/>
              </w:rPr>
            </w:pPr>
            <w:r w:rsidRPr="00BC4324">
              <w:rPr>
                <w:bCs/>
                <w:szCs w:val="22"/>
              </w:rPr>
              <w:t>4 Sept to 30 Jan</w:t>
            </w:r>
          </w:p>
        </w:tc>
      </w:tr>
      <w:tr w:rsidR="00F9588F" w:rsidRPr="005E52B5" w14:paraId="3B4F861A" w14:textId="77777777" w:rsidTr="00BC4324">
        <w:trPr>
          <w:tblHeader/>
        </w:trPr>
        <w:tc>
          <w:tcPr>
            <w:tcW w:w="184" w:type="pct"/>
            <w:shd w:val="clear" w:color="auto" w:fill="F2F2F2" w:themeFill="background1" w:themeFillShade="F2"/>
          </w:tcPr>
          <w:p w14:paraId="3B4F8616" w14:textId="77777777" w:rsidR="00F9588F" w:rsidRPr="00BC4324" w:rsidRDefault="00F9588F" w:rsidP="00F9588F">
            <w:pPr>
              <w:spacing w:after="0" w:line="240" w:lineRule="auto"/>
              <w:jc w:val="left"/>
              <w:rPr>
                <w:b/>
                <w:bCs/>
                <w:szCs w:val="22"/>
              </w:rPr>
            </w:pPr>
            <w:r w:rsidRPr="00BC4324">
              <w:rPr>
                <w:b/>
                <w:bCs/>
                <w:szCs w:val="22"/>
              </w:rPr>
              <w:t>4</w:t>
            </w:r>
          </w:p>
        </w:tc>
        <w:tc>
          <w:tcPr>
            <w:tcW w:w="1003" w:type="pct"/>
            <w:shd w:val="clear" w:color="auto" w:fill="F2F2F2" w:themeFill="background1" w:themeFillShade="F2"/>
          </w:tcPr>
          <w:p w14:paraId="3B4F8617" w14:textId="77777777" w:rsidR="00F9588F" w:rsidRPr="00BC4324" w:rsidRDefault="00F9588F" w:rsidP="00F9588F">
            <w:pPr>
              <w:spacing w:after="0" w:line="240" w:lineRule="auto"/>
              <w:jc w:val="left"/>
              <w:rPr>
                <w:b/>
                <w:bCs/>
                <w:szCs w:val="22"/>
              </w:rPr>
            </w:pPr>
            <w:r w:rsidRPr="00BC4324">
              <w:rPr>
                <w:b/>
                <w:bCs/>
                <w:szCs w:val="22"/>
              </w:rPr>
              <w:t>Wakool River</w:t>
            </w:r>
          </w:p>
        </w:tc>
        <w:tc>
          <w:tcPr>
            <w:tcW w:w="3136" w:type="pct"/>
            <w:shd w:val="clear" w:color="auto" w:fill="F2F2F2" w:themeFill="background1" w:themeFillShade="F2"/>
          </w:tcPr>
          <w:p w14:paraId="3B4F8618" w14:textId="77777777" w:rsidR="00F9588F" w:rsidRPr="00BC4324" w:rsidRDefault="00F9588F" w:rsidP="00F9588F">
            <w:pPr>
              <w:spacing w:after="120" w:line="240" w:lineRule="auto"/>
              <w:jc w:val="left"/>
              <w:rPr>
                <w:b/>
                <w:bCs/>
                <w:szCs w:val="22"/>
              </w:rPr>
            </w:pPr>
            <w:r w:rsidRPr="00BC4324">
              <w:rPr>
                <w:b/>
                <w:bCs/>
                <w:szCs w:val="22"/>
              </w:rPr>
              <w:t>1,444.9 (does not include volume of return flows that were used from start of action until 10 November)</w:t>
            </w:r>
          </w:p>
        </w:tc>
        <w:tc>
          <w:tcPr>
            <w:tcW w:w="677" w:type="pct"/>
            <w:shd w:val="clear" w:color="auto" w:fill="F2F2F2" w:themeFill="background1" w:themeFillShade="F2"/>
          </w:tcPr>
          <w:p w14:paraId="3B4F8619" w14:textId="77777777" w:rsidR="00F9588F" w:rsidRPr="00BC4324" w:rsidRDefault="00F9588F" w:rsidP="00F9588F">
            <w:pPr>
              <w:spacing w:after="0" w:line="240" w:lineRule="auto"/>
              <w:jc w:val="left"/>
              <w:rPr>
                <w:b/>
                <w:bCs/>
                <w:szCs w:val="22"/>
              </w:rPr>
            </w:pPr>
            <w:r w:rsidRPr="00BC4324">
              <w:rPr>
                <w:b/>
                <w:bCs/>
                <w:szCs w:val="22"/>
              </w:rPr>
              <w:t>4 Sept to 30 Jan</w:t>
            </w:r>
          </w:p>
        </w:tc>
      </w:tr>
      <w:tr w:rsidR="00F9588F" w:rsidRPr="005E52B5" w14:paraId="3B4F861F" w14:textId="77777777" w:rsidTr="00BC4324">
        <w:trPr>
          <w:tblHeader/>
        </w:trPr>
        <w:tc>
          <w:tcPr>
            <w:tcW w:w="184" w:type="pct"/>
            <w:shd w:val="clear" w:color="auto" w:fill="F2F2F2" w:themeFill="background1" w:themeFillShade="F2"/>
          </w:tcPr>
          <w:p w14:paraId="3B4F861B" w14:textId="77777777" w:rsidR="00F9588F" w:rsidRPr="00BC4324" w:rsidRDefault="00F9588F" w:rsidP="00F9588F">
            <w:pPr>
              <w:spacing w:after="0" w:line="240" w:lineRule="auto"/>
              <w:jc w:val="left"/>
              <w:rPr>
                <w:b/>
                <w:bCs/>
                <w:szCs w:val="22"/>
              </w:rPr>
            </w:pPr>
            <w:r w:rsidRPr="00BC4324">
              <w:rPr>
                <w:b/>
                <w:bCs/>
                <w:szCs w:val="22"/>
              </w:rPr>
              <w:t>5</w:t>
            </w:r>
          </w:p>
        </w:tc>
        <w:tc>
          <w:tcPr>
            <w:tcW w:w="1003" w:type="pct"/>
            <w:shd w:val="clear" w:color="auto" w:fill="F2F2F2" w:themeFill="background1" w:themeFillShade="F2"/>
          </w:tcPr>
          <w:p w14:paraId="3B4F861C" w14:textId="77777777" w:rsidR="00F9588F" w:rsidRPr="00BC4324" w:rsidRDefault="00F9588F" w:rsidP="00F9588F">
            <w:pPr>
              <w:spacing w:after="0" w:line="240" w:lineRule="auto"/>
              <w:jc w:val="left"/>
              <w:rPr>
                <w:b/>
                <w:bCs/>
                <w:szCs w:val="22"/>
              </w:rPr>
            </w:pPr>
            <w:r w:rsidRPr="00BC4324">
              <w:rPr>
                <w:b/>
                <w:bCs/>
                <w:szCs w:val="22"/>
              </w:rPr>
              <w:t>Yallakool Creek</w:t>
            </w:r>
          </w:p>
        </w:tc>
        <w:tc>
          <w:tcPr>
            <w:tcW w:w="3136" w:type="pct"/>
            <w:shd w:val="clear" w:color="auto" w:fill="F2F2F2" w:themeFill="background1" w:themeFillShade="F2"/>
          </w:tcPr>
          <w:p w14:paraId="3B4F861D" w14:textId="77777777" w:rsidR="00F9588F" w:rsidRPr="00BC4324" w:rsidRDefault="00F9588F" w:rsidP="00F9588F">
            <w:pPr>
              <w:spacing w:after="120" w:line="240" w:lineRule="auto"/>
              <w:jc w:val="left"/>
              <w:rPr>
                <w:b/>
                <w:bCs/>
                <w:szCs w:val="22"/>
              </w:rPr>
            </w:pPr>
            <w:r w:rsidRPr="00BC4324">
              <w:rPr>
                <w:b/>
                <w:bCs/>
                <w:szCs w:val="22"/>
              </w:rPr>
              <w:t>13,004.1 (does not include volume of return flows that were used from start of action until 10 November)</w:t>
            </w:r>
          </w:p>
        </w:tc>
        <w:tc>
          <w:tcPr>
            <w:tcW w:w="677" w:type="pct"/>
            <w:shd w:val="clear" w:color="auto" w:fill="F2F2F2" w:themeFill="background1" w:themeFillShade="F2"/>
          </w:tcPr>
          <w:p w14:paraId="3B4F861E" w14:textId="77777777" w:rsidR="00F9588F" w:rsidRPr="00BC4324" w:rsidRDefault="00F9588F" w:rsidP="00F9588F">
            <w:pPr>
              <w:spacing w:after="0" w:line="240" w:lineRule="auto"/>
              <w:jc w:val="left"/>
              <w:rPr>
                <w:b/>
                <w:bCs/>
                <w:szCs w:val="22"/>
              </w:rPr>
            </w:pPr>
            <w:r w:rsidRPr="00BC4324">
              <w:rPr>
                <w:b/>
                <w:bCs/>
                <w:szCs w:val="22"/>
              </w:rPr>
              <w:t>4 Sept to 30 Jan</w:t>
            </w:r>
          </w:p>
        </w:tc>
      </w:tr>
      <w:tr w:rsidR="00F9588F" w:rsidRPr="005E52B5" w14:paraId="3B4F8624" w14:textId="77777777" w:rsidTr="00BC4324">
        <w:trPr>
          <w:tblHeader/>
        </w:trPr>
        <w:tc>
          <w:tcPr>
            <w:tcW w:w="184" w:type="pct"/>
          </w:tcPr>
          <w:p w14:paraId="3B4F8620" w14:textId="77777777" w:rsidR="00F9588F" w:rsidRPr="00BC4324" w:rsidRDefault="00F9588F" w:rsidP="00F9588F">
            <w:pPr>
              <w:spacing w:after="0" w:line="240" w:lineRule="auto"/>
              <w:jc w:val="left"/>
              <w:rPr>
                <w:bCs/>
                <w:szCs w:val="22"/>
              </w:rPr>
            </w:pPr>
            <w:r w:rsidRPr="00BC4324">
              <w:rPr>
                <w:bCs/>
                <w:szCs w:val="22"/>
              </w:rPr>
              <w:t>6</w:t>
            </w:r>
          </w:p>
        </w:tc>
        <w:tc>
          <w:tcPr>
            <w:tcW w:w="1003" w:type="pct"/>
          </w:tcPr>
          <w:p w14:paraId="3B4F8621" w14:textId="77777777" w:rsidR="00F9588F" w:rsidRPr="00BC4324" w:rsidRDefault="00F9588F" w:rsidP="00F9588F">
            <w:pPr>
              <w:spacing w:after="0" w:line="240" w:lineRule="auto"/>
              <w:jc w:val="left"/>
              <w:rPr>
                <w:bCs/>
                <w:szCs w:val="22"/>
              </w:rPr>
            </w:pPr>
            <w:r w:rsidRPr="00BC4324">
              <w:rPr>
                <w:bCs/>
                <w:szCs w:val="22"/>
              </w:rPr>
              <w:t>Tuppal Creek</w:t>
            </w:r>
          </w:p>
        </w:tc>
        <w:tc>
          <w:tcPr>
            <w:tcW w:w="3136" w:type="pct"/>
          </w:tcPr>
          <w:p w14:paraId="3B4F8622" w14:textId="77777777" w:rsidR="00F9588F" w:rsidRPr="00BC4324" w:rsidRDefault="00F9588F" w:rsidP="00F9588F">
            <w:pPr>
              <w:spacing w:after="120" w:line="240" w:lineRule="auto"/>
              <w:jc w:val="left"/>
              <w:rPr>
                <w:bCs/>
                <w:szCs w:val="22"/>
              </w:rPr>
            </w:pPr>
            <w:r w:rsidRPr="00BC4324">
              <w:rPr>
                <w:bCs/>
                <w:szCs w:val="22"/>
              </w:rPr>
              <w:t>2000</w:t>
            </w:r>
          </w:p>
        </w:tc>
        <w:tc>
          <w:tcPr>
            <w:tcW w:w="677" w:type="pct"/>
          </w:tcPr>
          <w:p w14:paraId="3B4F8623" w14:textId="77777777" w:rsidR="00F9588F" w:rsidRPr="00BC4324" w:rsidRDefault="00F9588F" w:rsidP="00F9588F">
            <w:pPr>
              <w:spacing w:after="0" w:line="240" w:lineRule="auto"/>
              <w:jc w:val="left"/>
              <w:rPr>
                <w:bCs/>
                <w:szCs w:val="22"/>
              </w:rPr>
            </w:pPr>
            <w:r w:rsidRPr="00BC4324">
              <w:rPr>
                <w:bCs/>
                <w:szCs w:val="22"/>
              </w:rPr>
              <w:t>17 Sept to 22 Nov</w:t>
            </w:r>
          </w:p>
        </w:tc>
      </w:tr>
      <w:tr w:rsidR="00F9588F" w:rsidRPr="005E52B5" w14:paraId="3B4F8629" w14:textId="77777777" w:rsidTr="00BC4324">
        <w:trPr>
          <w:tblHeader/>
        </w:trPr>
        <w:tc>
          <w:tcPr>
            <w:tcW w:w="184" w:type="pct"/>
          </w:tcPr>
          <w:p w14:paraId="3B4F8625" w14:textId="77777777" w:rsidR="00F9588F" w:rsidRPr="00BC4324" w:rsidRDefault="00F9588F" w:rsidP="00F9588F">
            <w:pPr>
              <w:spacing w:after="0" w:line="240" w:lineRule="auto"/>
              <w:jc w:val="left"/>
              <w:rPr>
                <w:bCs/>
                <w:szCs w:val="22"/>
              </w:rPr>
            </w:pPr>
            <w:r w:rsidRPr="00BC4324">
              <w:rPr>
                <w:bCs/>
                <w:szCs w:val="22"/>
              </w:rPr>
              <w:t>7</w:t>
            </w:r>
          </w:p>
        </w:tc>
        <w:tc>
          <w:tcPr>
            <w:tcW w:w="1003" w:type="pct"/>
          </w:tcPr>
          <w:p w14:paraId="3B4F8626" w14:textId="77777777" w:rsidR="00F9588F" w:rsidRPr="00BC4324" w:rsidRDefault="00F9588F" w:rsidP="00F9588F">
            <w:pPr>
              <w:spacing w:after="0" w:line="240" w:lineRule="auto"/>
              <w:jc w:val="left"/>
              <w:rPr>
                <w:bCs/>
                <w:szCs w:val="22"/>
              </w:rPr>
            </w:pPr>
            <w:r w:rsidRPr="00BC4324">
              <w:rPr>
                <w:bCs/>
                <w:szCs w:val="22"/>
              </w:rPr>
              <w:t>Tuppal Creek</w:t>
            </w:r>
          </w:p>
        </w:tc>
        <w:tc>
          <w:tcPr>
            <w:tcW w:w="3136" w:type="pct"/>
          </w:tcPr>
          <w:p w14:paraId="3B4F8627" w14:textId="77777777" w:rsidR="00F9588F" w:rsidRPr="00BC4324" w:rsidRDefault="00BC4324" w:rsidP="00F9588F">
            <w:pPr>
              <w:spacing w:after="120" w:line="240" w:lineRule="auto"/>
              <w:jc w:val="left"/>
              <w:rPr>
                <w:bCs/>
                <w:szCs w:val="22"/>
              </w:rPr>
            </w:pPr>
            <w:r w:rsidRPr="00BC4324">
              <w:rPr>
                <w:bCs/>
                <w:szCs w:val="22"/>
              </w:rPr>
              <w:t>0 (action did not proceed)</w:t>
            </w:r>
          </w:p>
        </w:tc>
        <w:tc>
          <w:tcPr>
            <w:tcW w:w="677" w:type="pct"/>
          </w:tcPr>
          <w:p w14:paraId="3B4F8628" w14:textId="77777777" w:rsidR="00F9588F" w:rsidRPr="00BC4324" w:rsidRDefault="00BC4324" w:rsidP="00F9588F">
            <w:pPr>
              <w:spacing w:after="0" w:line="240" w:lineRule="auto"/>
              <w:jc w:val="left"/>
              <w:rPr>
                <w:bCs/>
                <w:szCs w:val="22"/>
              </w:rPr>
            </w:pPr>
            <w:r w:rsidRPr="00BC4324">
              <w:rPr>
                <w:bCs/>
                <w:szCs w:val="22"/>
              </w:rPr>
              <w:t>N/A</w:t>
            </w:r>
          </w:p>
        </w:tc>
      </w:tr>
      <w:tr w:rsidR="00F9588F" w:rsidRPr="005E52B5" w14:paraId="3B4F862E" w14:textId="77777777" w:rsidTr="00BC4324">
        <w:trPr>
          <w:tblHeader/>
        </w:trPr>
        <w:tc>
          <w:tcPr>
            <w:tcW w:w="184" w:type="pct"/>
          </w:tcPr>
          <w:p w14:paraId="3B4F862A" w14:textId="77777777" w:rsidR="00F9588F" w:rsidRPr="00BC4324" w:rsidRDefault="00F9588F" w:rsidP="00F9588F">
            <w:pPr>
              <w:spacing w:after="0" w:line="240" w:lineRule="auto"/>
              <w:jc w:val="left"/>
              <w:rPr>
                <w:bCs/>
                <w:szCs w:val="22"/>
              </w:rPr>
            </w:pPr>
            <w:r w:rsidRPr="00BC4324">
              <w:rPr>
                <w:bCs/>
                <w:szCs w:val="22"/>
              </w:rPr>
              <w:t>8</w:t>
            </w:r>
          </w:p>
        </w:tc>
        <w:tc>
          <w:tcPr>
            <w:tcW w:w="1003" w:type="pct"/>
          </w:tcPr>
          <w:p w14:paraId="3B4F862B" w14:textId="77777777" w:rsidR="00F9588F" w:rsidRPr="00BC4324" w:rsidRDefault="00F9588F" w:rsidP="00F9588F">
            <w:pPr>
              <w:spacing w:after="0" w:line="240" w:lineRule="auto"/>
              <w:jc w:val="left"/>
              <w:rPr>
                <w:bCs/>
                <w:szCs w:val="22"/>
              </w:rPr>
            </w:pPr>
            <w:r w:rsidRPr="00BC4324">
              <w:rPr>
                <w:bCs/>
                <w:szCs w:val="22"/>
              </w:rPr>
              <w:t>Edward-Wakool River System</w:t>
            </w:r>
          </w:p>
        </w:tc>
        <w:tc>
          <w:tcPr>
            <w:tcW w:w="3136" w:type="pct"/>
          </w:tcPr>
          <w:p w14:paraId="3B4F862C" w14:textId="77777777" w:rsidR="00F9588F" w:rsidRPr="00BC4324" w:rsidRDefault="00BC4324" w:rsidP="00BC4324">
            <w:pPr>
              <w:spacing w:after="120" w:line="240" w:lineRule="auto"/>
              <w:jc w:val="left"/>
              <w:rPr>
                <w:bCs/>
                <w:szCs w:val="22"/>
              </w:rPr>
            </w:pPr>
            <w:r w:rsidRPr="00BC4324">
              <w:rPr>
                <w:bCs/>
                <w:szCs w:val="22"/>
              </w:rPr>
              <w:t>0 (Contingency flows not required)</w:t>
            </w:r>
          </w:p>
        </w:tc>
        <w:tc>
          <w:tcPr>
            <w:tcW w:w="677" w:type="pct"/>
          </w:tcPr>
          <w:p w14:paraId="3B4F862D" w14:textId="77777777" w:rsidR="00F9588F" w:rsidRPr="00BC4324" w:rsidRDefault="00BC4324" w:rsidP="00F9588F">
            <w:pPr>
              <w:spacing w:after="0" w:line="240" w:lineRule="auto"/>
              <w:jc w:val="left"/>
              <w:rPr>
                <w:bCs/>
                <w:szCs w:val="22"/>
              </w:rPr>
            </w:pPr>
            <w:r w:rsidRPr="00BC4324">
              <w:rPr>
                <w:bCs/>
                <w:szCs w:val="22"/>
              </w:rPr>
              <w:t>N/A</w:t>
            </w:r>
          </w:p>
        </w:tc>
      </w:tr>
    </w:tbl>
    <w:p w14:paraId="3B4F8630" w14:textId="77777777" w:rsidR="00443D79" w:rsidRDefault="00945A47" w:rsidP="00BC4324">
      <w:pPr>
        <w:spacing w:after="240" w:line="320" w:lineRule="exact"/>
        <w:jc w:val="left"/>
        <w:rPr>
          <w:szCs w:val="22"/>
        </w:rPr>
      </w:pPr>
      <w:r>
        <w:rPr>
          <w:szCs w:val="22"/>
        </w:rPr>
        <w:t>Figure 2</w:t>
      </w:r>
      <w:r w:rsidR="00FA0995">
        <w:rPr>
          <w:szCs w:val="22"/>
        </w:rPr>
        <w:t>.2</w:t>
      </w:r>
      <w:r w:rsidR="00FE4C98" w:rsidRPr="008107FF">
        <w:rPr>
          <w:szCs w:val="22"/>
        </w:rPr>
        <w:t xml:space="preserve"> shows the proposed </w:t>
      </w:r>
      <w:r w:rsidR="00672372">
        <w:rPr>
          <w:szCs w:val="22"/>
        </w:rPr>
        <w:t>versus</w:t>
      </w:r>
      <w:r w:rsidR="00FE4C98" w:rsidRPr="008107FF">
        <w:rPr>
          <w:szCs w:val="22"/>
        </w:rPr>
        <w:t xml:space="preserve"> actual hydrograph </w:t>
      </w:r>
      <w:r w:rsidR="00FE4C98">
        <w:rPr>
          <w:szCs w:val="22"/>
        </w:rPr>
        <w:t>for watering action 4 in the upper Wakool River and watering action 5 in Yallakool Creek (CEWO 2016).</w:t>
      </w:r>
    </w:p>
    <w:p w14:paraId="3B4F8631" w14:textId="77777777" w:rsidR="00FE4C98" w:rsidRPr="009C43EE" w:rsidRDefault="00FE4C98" w:rsidP="00FE4C98">
      <w:pPr>
        <w:spacing w:after="240" w:line="320" w:lineRule="exact"/>
        <w:jc w:val="left"/>
        <w:rPr>
          <w:color w:val="000000" w:themeColor="text1"/>
          <w:szCs w:val="22"/>
        </w:rPr>
      </w:pPr>
      <w:r>
        <w:rPr>
          <w:color w:val="000000" w:themeColor="text1"/>
          <w:szCs w:val="22"/>
          <w:u w:val="single"/>
        </w:rPr>
        <w:t>Watering A</w:t>
      </w:r>
      <w:r w:rsidRPr="00C06F5B">
        <w:rPr>
          <w:color w:val="000000" w:themeColor="text1"/>
          <w:szCs w:val="22"/>
          <w:u w:val="single"/>
        </w:rPr>
        <w:t>ction 4</w:t>
      </w:r>
      <w:r>
        <w:rPr>
          <w:color w:val="000000" w:themeColor="text1"/>
          <w:szCs w:val="22"/>
          <w:u w:val="single"/>
        </w:rPr>
        <w:t xml:space="preserve"> </w:t>
      </w:r>
      <w:r w:rsidR="00BC4324">
        <w:rPr>
          <w:color w:val="000000" w:themeColor="text1"/>
          <w:szCs w:val="22"/>
          <w:u w:val="single"/>
        </w:rPr>
        <w:t xml:space="preserve">in the upper </w:t>
      </w:r>
      <w:r>
        <w:rPr>
          <w:color w:val="000000" w:themeColor="text1"/>
          <w:szCs w:val="22"/>
          <w:u w:val="single"/>
        </w:rPr>
        <w:t>Wakool River</w:t>
      </w:r>
      <w:r w:rsidRPr="00C06F5B">
        <w:rPr>
          <w:color w:val="000000" w:themeColor="text1"/>
          <w:szCs w:val="22"/>
          <w:u w:val="single"/>
        </w:rPr>
        <w:t>:</w:t>
      </w:r>
      <w:r w:rsidRPr="009C43EE">
        <w:rPr>
          <w:color w:val="000000" w:themeColor="text1"/>
          <w:szCs w:val="22"/>
        </w:rPr>
        <w:t xml:space="preserve"> As described in the Watering Acquittal report (CEWO 2016) </w:t>
      </w:r>
      <w:r w:rsidRPr="00443D79">
        <w:rPr>
          <w:i/>
          <w:color w:val="000000" w:themeColor="text1"/>
          <w:szCs w:val="22"/>
        </w:rPr>
        <w:t>‘</w:t>
      </w:r>
      <w:r w:rsidRPr="00443D79">
        <w:rPr>
          <w:bCs/>
          <w:i/>
          <w:szCs w:val="22"/>
        </w:rPr>
        <w:t>Water NSW was given an operating range of between 50-100 ML/day in which to provide variability in the Wakool system for the periods after the September fresh until the recession flows commenced. This was used well by Water NSW early in the watering action (levels reached 100 ML/day over the key spring period) but less so (in terms of providing more variability) towards the end of the watering action. The CEWO originally intended to start this action in early August but delayed the start until 5 September following advice from the Operations Advisory Group, the need to get some baseline vegetation monitoring finished first, and the need for NSW OEH to undertake landholder notifications.’</w:t>
      </w:r>
      <w:r>
        <w:rPr>
          <w:bCs/>
          <w:szCs w:val="22"/>
        </w:rPr>
        <w:t xml:space="preserve"> </w:t>
      </w:r>
    </w:p>
    <w:p w14:paraId="3B4F8632" w14:textId="77777777" w:rsidR="00FE4C98" w:rsidRDefault="00FE4C98" w:rsidP="00FE4C98">
      <w:pPr>
        <w:spacing w:after="240" w:line="320" w:lineRule="exact"/>
        <w:jc w:val="left"/>
        <w:rPr>
          <w:bCs/>
          <w:szCs w:val="22"/>
        </w:rPr>
      </w:pPr>
      <w:r>
        <w:rPr>
          <w:color w:val="000000" w:themeColor="text1"/>
          <w:szCs w:val="22"/>
          <w:u w:val="single"/>
        </w:rPr>
        <w:t>Watering A</w:t>
      </w:r>
      <w:r w:rsidRPr="00C06F5B">
        <w:rPr>
          <w:color w:val="000000" w:themeColor="text1"/>
          <w:szCs w:val="22"/>
          <w:u w:val="single"/>
        </w:rPr>
        <w:t>ction 5</w:t>
      </w:r>
      <w:r>
        <w:rPr>
          <w:color w:val="000000" w:themeColor="text1"/>
          <w:szCs w:val="22"/>
          <w:u w:val="single"/>
        </w:rPr>
        <w:t xml:space="preserve"> </w:t>
      </w:r>
      <w:r w:rsidR="00BC4324">
        <w:rPr>
          <w:color w:val="000000" w:themeColor="text1"/>
          <w:szCs w:val="22"/>
          <w:u w:val="single"/>
        </w:rPr>
        <w:t xml:space="preserve">in </w:t>
      </w:r>
      <w:r>
        <w:rPr>
          <w:color w:val="000000" w:themeColor="text1"/>
          <w:szCs w:val="22"/>
          <w:u w:val="single"/>
        </w:rPr>
        <w:t>Yallakool Creek</w:t>
      </w:r>
      <w:r w:rsidRPr="00C06F5B">
        <w:rPr>
          <w:color w:val="000000" w:themeColor="text1"/>
          <w:szCs w:val="22"/>
          <w:u w:val="single"/>
        </w:rPr>
        <w:t>:</w:t>
      </w:r>
      <w:r w:rsidRPr="009C43EE">
        <w:rPr>
          <w:color w:val="000000" w:themeColor="text1"/>
          <w:szCs w:val="22"/>
        </w:rPr>
        <w:t xml:space="preserve"> As described in the Watering Acquittal report (CEWO 2016) ‘</w:t>
      </w:r>
      <w:r w:rsidRPr="00443D79">
        <w:rPr>
          <w:bCs/>
          <w:i/>
          <w:szCs w:val="22"/>
        </w:rPr>
        <w:t>Water NSW was given an operating range of between 450-500 ML/day in which to provide variability in the Yallakool system for the periods after the September fresh until the recession flows commenced. It appears that Water NSW opted to deliver most of the planned hydrograph at the lower end of this ‘operating range’. This may have been done to ensure that the combined flows of the Wakool and Yallakool did not risk exceeding the 600 ML/day constraint downstream of the confluence of the Wakool and Yallakool. The CEWO originally intended to start this action in early August but delayed the start until 5 September following advice from the Operations Advisory Group, the need to get some baseline vegetation monitoring finished first, and the need for NSW OEH to undertake landholder notifications.’</w:t>
      </w:r>
    </w:p>
    <w:p w14:paraId="3B4F8633" w14:textId="77777777" w:rsidR="00FE4C98" w:rsidRDefault="00FE4C98" w:rsidP="003D7EFB">
      <w:pPr>
        <w:spacing w:after="120" w:line="320" w:lineRule="exact"/>
      </w:pPr>
    </w:p>
    <w:p w14:paraId="3B4F8634" w14:textId="77777777" w:rsidR="003D7EFB" w:rsidRDefault="003D7EFB" w:rsidP="003D7EFB">
      <w:r>
        <w:rPr>
          <w:noProof/>
          <w:lang w:eastAsia="en-AU"/>
        </w:rPr>
        <w:lastRenderedPageBreak/>
        <w:drawing>
          <wp:inline distT="0" distB="0" distL="0" distR="0" wp14:anchorId="3B4F95D3" wp14:editId="3B4F95D4">
            <wp:extent cx="5628531" cy="2124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628531" cy="2124000"/>
                    </a:xfrm>
                    <a:prstGeom prst="rect">
                      <a:avLst/>
                    </a:prstGeom>
                    <a:noFill/>
                    <a:ln>
                      <a:noFill/>
                    </a:ln>
                    <a:extLst>
                      <a:ext uri="{53640926-AAD7-44D8-BBD7-CCE9431645EC}">
                        <a14:shadowObscured xmlns:a14="http://schemas.microsoft.com/office/drawing/2010/main"/>
                      </a:ext>
                    </a:extLst>
                  </pic:spPr>
                </pic:pic>
              </a:graphicData>
            </a:graphic>
          </wp:inline>
        </w:drawing>
      </w:r>
    </w:p>
    <w:p w14:paraId="3B4F8635" w14:textId="77777777" w:rsidR="00E75801" w:rsidRDefault="00BC4324" w:rsidP="00BB47D7">
      <w:pPr>
        <w:tabs>
          <w:tab w:val="left" w:pos="9071"/>
        </w:tabs>
        <w:spacing w:after="120" w:line="240" w:lineRule="auto"/>
        <w:jc w:val="left"/>
        <w:rPr>
          <w:color w:val="000000" w:themeColor="text1"/>
          <w:szCs w:val="22"/>
          <w:u w:val="single"/>
        </w:rPr>
      </w:pPr>
      <w:r>
        <w:rPr>
          <w:b/>
          <w:color w:val="000000" w:themeColor="text1"/>
          <w:sz w:val="20"/>
        </w:rPr>
        <w:t>Figure 2</w:t>
      </w:r>
      <w:r w:rsidR="00FA0995">
        <w:rPr>
          <w:b/>
          <w:color w:val="000000" w:themeColor="text1"/>
          <w:sz w:val="20"/>
        </w:rPr>
        <w:t>.2</w:t>
      </w:r>
      <w:r w:rsidR="003D7EFB" w:rsidRPr="001F4D6A">
        <w:rPr>
          <w:b/>
          <w:color w:val="000000" w:themeColor="text1"/>
          <w:sz w:val="20"/>
        </w:rPr>
        <w:t xml:space="preserve">. </w:t>
      </w:r>
      <w:r w:rsidR="003D7EFB" w:rsidRPr="001F4D6A">
        <w:rPr>
          <w:sz w:val="20"/>
        </w:rPr>
        <w:t xml:space="preserve">Use of </w:t>
      </w:r>
      <w:r w:rsidR="003D7EFB">
        <w:rPr>
          <w:sz w:val="20"/>
        </w:rPr>
        <w:t>Commonwealth environmental water</w:t>
      </w:r>
      <w:r w:rsidR="003D7EFB" w:rsidRPr="001F4D6A">
        <w:rPr>
          <w:sz w:val="20"/>
        </w:rPr>
        <w:t xml:space="preserve"> in Yallakool Creek and </w:t>
      </w:r>
      <w:r w:rsidR="00672372">
        <w:rPr>
          <w:sz w:val="20"/>
        </w:rPr>
        <w:t>the u</w:t>
      </w:r>
      <w:r w:rsidR="003D7EFB" w:rsidRPr="001F4D6A">
        <w:rPr>
          <w:sz w:val="20"/>
        </w:rPr>
        <w:t>pper Wakool River over the primary period using CEW (top hydrograph showing proposed v’s actual hydrograph) and the full 2015-16 watering year.</w:t>
      </w:r>
      <w:r w:rsidR="003D7EFB">
        <w:rPr>
          <w:sz w:val="20"/>
        </w:rPr>
        <w:t xml:space="preserve"> (Source CEWO 2016)</w:t>
      </w:r>
      <w:r w:rsidR="00E75801">
        <w:rPr>
          <w:color w:val="000000" w:themeColor="text1"/>
          <w:szCs w:val="22"/>
          <w:u w:val="single"/>
        </w:rPr>
        <w:br w:type="page"/>
      </w:r>
    </w:p>
    <w:p w14:paraId="3B4F8636" w14:textId="5099AEE0" w:rsidR="00887F53" w:rsidRDefault="004D403B" w:rsidP="00417F7C">
      <w:pPr>
        <w:pStyle w:val="Heading1"/>
      </w:pPr>
      <w:bookmarkStart w:id="20" w:name="_Toc484078405"/>
      <w:r>
        <w:lastRenderedPageBreak/>
        <w:t>M</w:t>
      </w:r>
      <w:r w:rsidR="00887F53">
        <w:t>onitoring and evaluation</w:t>
      </w:r>
      <w:bookmarkEnd w:id="20"/>
    </w:p>
    <w:p w14:paraId="3B4F8637" w14:textId="77777777" w:rsidR="006D72D5" w:rsidRPr="00887F53" w:rsidRDefault="006D72D5" w:rsidP="00145301">
      <w:pPr>
        <w:pStyle w:val="BodyText"/>
        <w:spacing w:line="300" w:lineRule="exact"/>
        <w:rPr>
          <w:rFonts w:asciiTheme="minorHAnsi" w:hAnsiTheme="minorHAnsi"/>
          <w:sz w:val="22"/>
          <w:szCs w:val="22"/>
        </w:rPr>
      </w:pPr>
    </w:p>
    <w:p w14:paraId="3B4F8638" w14:textId="77777777" w:rsidR="00234302" w:rsidRPr="00234302" w:rsidRDefault="00234302" w:rsidP="007F30A0">
      <w:pPr>
        <w:tabs>
          <w:tab w:val="left" w:pos="9071"/>
        </w:tabs>
        <w:spacing w:after="240" w:line="320" w:lineRule="exact"/>
        <w:ind w:right="-1"/>
        <w:jc w:val="left"/>
        <w:rPr>
          <w:b/>
          <w:color w:val="4F6228" w:themeColor="accent3" w:themeShade="80"/>
          <w:sz w:val="24"/>
          <w:szCs w:val="24"/>
        </w:rPr>
      </w:pPr>
      <w:r w:rsidRPr="00234302">
        <w:rPr>
          <w:b/>
          <w:color w:val="4F6228" w:themeColor="accent3" w:themeShade="80"/>
          <w:sz w:val="24"/>
          <w:szCs w:val="24"/>
        </w:rPr>
        <w:t>3</w:t>
      </w:r>
      <w:r>
        <w:rPr>
          <w:b/>
          <w:color w:val="4F6228" w:themeColor="accent3" w:themeShade="80"/>
          <w:sz w:val="24"/>
          <w:szCs w:val="24"/>
        </w:rPr>
        <w:t xml:space="preserve">.1 </w:t>
      </w:r>
      <w:r w:rsidR="007F30A0">
        <w:rPr>
          <w:b/>
          <w:color w:val="4F6228" w:themeColor="accent3" w:themeShade="80"/>
          <w:sz w:val="24"/>
          <w:szCs w:val="24"/>
        </w:rPr>
        <w:t>Monitoring zones and sites</w:t>
      </w:r>
    </w:p>
    <w:p w14:paraId="3B4F8639" w14:textId="77777777" w:rsidR="006D72D5" w:rsidRDefault="006D72D5" w:rsidP="007F30A0">
      <w:pPr>
        <w:spacing w:after="240" w:line="320" w:lineRule="exact"/>
        <w:ind w:right="-1"/>
        <w:jc w:val="left"/>
      </w:pPr>
      <w:r w:rsidRPr="008B1F96">
        <w:t xml:space="preserve">The monitoring of ecosystem responses to </w:t>
      </w:r>
      <w:r w:rsidR="00C64062">
        <w:t xml:space="preserve">Commonwealth </w:t>
      </w:r>
      <w:r w:rsidRPr="008B1F96">
        <w:t xml:space="preserve">environmental watering in </w:t>
      </w:r>
      <w:r w:rsidR="00234302" w:rsidRPr="008B1F96">
        <w:t>the Edward-Wakool system in 2015-16</w:t>
      </w:r>
      <w:r w:rsidRPr="008B1F96">
        <w:t xml:space="preserve"> was undertaken as outl</w:t>
      </w:r>
      <w:r w:rsidR="00234302" w:rsidRPr="008B1F96">
        <w:t>ined in the Edward-Wakool Long-T</w:t>
      </w:r>
      <w:r w:rsidRPr="008B1F96">
        <w:t xml:space="preserve">erm Intervention Monitoring and Evaluation Plan (Watts et al. 2014). The majority of the monitoring </w:t>
      </w:r>
      <w:r w:rsidR="00626702">
        <w:t>in</w:t>
      </w:r>
      <w:r w:rsidRPr="008B1F96">
        <w:t xml:space="preserve"> the Edward-Wakool LTIM Selected Area is focussed on four hydrological zones: Yallakool Creek (zone 1), the upper Wakool River (zone 2) and mid reaches of the Wakool River</w:t>
      </w:r>
      <w:r w:rsidR="00626702">
        <w:t xml:space="preserve"> (zones 3 and 4)</w:t>
      </w:r>
      <w:r w:rsidR="003960AD">
        <w:t xml:space="preserve"> </w:t>
      </w:r>
      <w:r w:rsidR="00626702">
        <w:t>(Figure</w:t>
      </w:r>
      <w:r w:rsidRPr="008B1F96">
        <w:t xml:space="preserve"> 3.1</w:t>
      </w:r>
      <w:r w:rsidR="00C64062">
        <w:t xml:space="preserve">, Table </w:t>
      </w:r>
      <w:r w:rsidR="003960AD">
        <w:t>3.</w:t>
      </w:r>
      <w:r w:rsidR="00C64062">
        <w:t>1</w:t>
      </w:r>
      <w:r w:rsidRPr="008B1F96">
        <w:t xml:space="preserve">). </w:t>
      </w:r>
      <w:r w:rsidR="00626702" w:rsidRPr="008B1F96">
        <w:t xml:space="preserve">Zones one to four are referred </w:t>
      </w:r>
      <w:r w:rsidR="003960AD">
        <w:t xml:space="preserve">to </w:t>
      </w:r>
      <w:r w:rsidR="00626702" w:rsidRPr="008B1F96">
        <w:t xml:space="preserve">as the focal zone. </w:t>
      </w:r>
      <w:r w:rsidRPr="008B1F96">
        <w:rPr>
          <w:rFonts w:asciiTheme="minorHAnsi" w:hAnsiTheme="minorHAnsi" w:cs="Calibri"/>
        </w:rPr>
        <w:t>The reaches in zones 1 and 2 are generally more constrained, have steeper riverbanks and fewer in-channel geomorphic features (e.g. benches) than many of the reaches in zones 3 and 4</w:t>
      </w:r>
      <w:r w:rsidR="00626702">
        <w:rPr>
          <w:rFonts w:asciiTheme="minorHAnsi" w:hAnsiTheme="minorHAnsi" w:cs="Calibri"/>
        </w:rPr>
        <w:t xml:space="preserve"> (Figure 3.2)</w:t>
      </w:r>
      <w:r w:rsidRPr="008B1F96">
        <w:rPr>
          <w:rFonts w:asciiTheme="minorHAnsi" w:hAnsiTheme="minorHAnsi" w:cs="Calibri"/>
        </w:rPr>
        <w:t xml:space="preserve">. </w:t>
      </w:r>
      <w:r w:rsidRPr="008B1F96">
        <w:t xml:space="preserve">In addition to the </w:t>
      </w:r>
      <w:r w:rsidR="00234302" w:rsidRPr="008B1F96">
        <w:t>monitoring</w:t>
      </w:r>
      <w:r w:rsidRPr="008B1F96">
        <w:t xml:space="preserve"> un</w:t>
      </w:r>
      <w:r w:rsidR="00234302" w:rsidRPr="008B1F96">
        <w:t xml:space="preserve">dertaken in these four zones, additional sites </w:t>
      </w:r>
      <w:r w:rsidRPr="008B1F96">
        <w:t xml:space="preserve">throughout the Edward-Wakool system will be </w:t>
      </w:r>
      <w:r w:rsidR="00234302" w:rsidRPr="008B1F96">
        <w:t>monitored</w:t>
      </w:r>
      <w:r w:rsidRPr="008B1F96">
        <w:t xml:space="preserve"> for fish</w:t>
      </w:r>
      <w:r w:rsidR="00234302" w:rsidRPr="008B1F96">
        <w:t xml:space="preserve"> populations (</w:t>
      </w:r>
      <w:r w:rsidRPr="008B1F96">
        <w:t>years 1 and 5</w:t>
      </w:r>
      <w:r w:rsidR="00234302" w:rsidRPr="008B1F96">
        <w:t>), fish movement (years</w:t>
      </w:r>
      <w:r w:rsidR="00626702">
        <w:t xml:space="preserve"> 2 to 5</w:t>
      </w:r>
      <w:r w:rsidR="00234302" w:rsidRPr="008B1F96">
        <w:t>)</w:t>
      </w:r>
      <w:r w:rsidR="00626702">
        <w:t xml:space="preserve"> and for </w:t>
      </w:r>
      <w:r w:rsidR="003960AD">
        <w:t>monitoring</w:t>
      </w:r>
      <w:r w:rsidR="00626702" w:rsidRPr="008B1F96">
        <w:t xml:space="preserve"> poor water quality events</w:t>
      </w:r>
      <w:r w:rsidR="003960AD">
        <w:t xml:space="preserve"> including the algal bloom monitoring in 2015-16</w:t>
      </w:r>
      <w:r w:rsidR="00626702">
        <w:t>.</w:t>
      </w:r>
    </w:p>
    <w:p w14:paraId="3B4F863A" w14:textId="77777777" w:rsidR="007F30A0" w:rsidRPr="00234302" w:rsidRDefault="007F30A0" w:rsidP="007F30A0">
      <w:pPr>
        <w:tabs>
          <w:tab w:val="left" w:pos="9071"/>
        </w:tabs>
        <w:spacing w:after="240" w:line="320" w:lineRule="exact"/>
        <w:ind w:right="-1"/>
        <w:jc w:val="left"/>
        <w:rPr>
          <w:b/>
          <w:color w:val="4F6228" w:themeColor="accent3" w:themeShade="80"/>
          <w:sz w:val="24"/>
          <w:szCs w:val="24"/>
        </w:rPr>
      </w:pPr>
      <w:r w:rsidRPr="00234302">
        <w:rPr>
          <w:b/>
          <w:color w:val="4F6228" w:themeColor="accent3" w:themeShade="80"/>
          <w:sz w:val="24"/>
          <w:szCs w:val="24"/>
        </w:rPr>
        <w:t>3</w:t>
      </w:r>
      <w:r>
        <w:rPr>
          <w:b/>
          <w:color w:val="4F6228" w:themeColor="accent3" w:themeShade="80"/>
          <w:sz w:val="24"/>
          <w:szCs w:val="24"/>
        </w:rPr>
        <w:t>.2 Indicators</w:t>
      </w:r>
    </w:p>
    <w:p w14:paraId="3B4F863B" w14:textId="6A117523" w:rsidR="004B25EB" w:rsidRDefault="006D72D5" w:rsidP="007F30A0">
      <w:pPr>
        <w:tabs>
          <w:tab w:val="left" w:pos="9071"/>
        </w:tabs>
        <w:spacing w:after="240" w:line="320" w:lineRule="exact"/>
        <w:jc w:val="left"/>
      </w:pPr>
      <w:r w:rsidRPr="008B1F96">
        <w:t>The rationale regarding the selection of indicators is out</w:t>
      </w:r>
      <w:r w:rsidR="007C2727">
        <w:t>lined in the Edward-Wakool Long T</w:t>
      </w:r>
      <w:r w:rsidRPr="008B1F96">
        <w:t xml:space="preserve">erm Intervention Monitoring and Evaluation Plan (Watts et al. 2014). Indicators were monitored to contribute to the Edward-Wakool Selected Area Evaluation and/or the Whole of Basin scale evaluation </w:t>
      </w:r>
      <w:r w:rsidR="00C64062">
        <w:t xml:space="preserve">that is </w:t>
      </w:r>
      <w:r w:rsidRPr="008B1F96">
        <w:t>undertaken by the Murray-Darling Freshwater Research Centre (Hale et al</w:t>
      </w:r>
      <w:r w:rsidR="004762DE">
        <w:t>.</w:t>
      </w:r>
      <w:r w:rsidRPr="008B1F96">
        <w:t xml:space="preserve"> 2014). </w:t>
      </w:r>
      <w:r w:rsidR="00145301">
        <w:t>Some</w:t>
      </w:r>
      <w:r w:rsidR="00145301" w:rsidRPr="008B1F96">
        <w:t xml:space="preserve"> indicators are expected to respond to environmental watering in short time frames (&lt; 1 year), but others (e.g. fish community) are expected to respond over </w:t>
      </w:r>
      <w:r w:rsidR="00145301">
        <w:t xml:space="preserve">a </w:t>
      </w:r>
      <w:r w:rsidR="00145301" w:rsidRPr="008B1F96">
        <w:t xml:space="preserve">2 </w:t>
      </w:r>
      <w:r w:rsidR="00145301">
        <w:t>to 5 year time frame</w:t>
      </w:r>
      <w:r w:rsidR="00145301" w:rsidRPr="008B1F96">
        <w:t>.</w:t>
      </w:r>
      <w:r w:rsidR="00145301">
        <w:t xml:space="preserve"> A summary of monitoring undertaken in 2015-16 is presented in Table 3.3.</w:t>
      </w:r>
    </w:p>
    <w:p w14:paraId="3B4F863C" w14:textId="77777777" w:rsidR="004B25EB" w:rsidRPr="00244AED" w:rsidRDefault="004B25EB" w:rsidP="004B25EB">
      <w:pPr>
        <w:spacing w:after="0" w:line="320" w:lineRule="exact"/>
      </w:pPr>
      <w:r w:rsidRPr="00244AED">
        <w:t>T</w:t>
      </w:r>
      <w:r>
        <w:t>here are three categories of monitoring indicators in the LTIM Project:</w:t>
      </w:r>
    </w:p>
    <w:p w14:paraId="719FA5A8" w14:textId="3A0397C1" w:rsidR="00145301" w:rsidRDefault="004B25EB" w:rsidP="00145301">
      <w:pPr>
        <w:pStyle w:val="ListParagraph"/>
        <w:numPr>
          <w:ilvl w:val="0"/>
          <w:numId w:val="23"/>
        </w:numPr>
        <w:tabs>
          <w:tab w:val="left" w:pos="9071"/>
        </w:tabs>
        <w:spacing w:after="120" w:line="320" w:lineRule="exact"/>
        <w:ind w:left="714" w:hanging="357"/>
        <w:jc w:val="left"/>
      </w:pPr>
      <w:r w:rsidRPr="00145301">
        <w:rPr>
          <w:b/>
        </w:rPr>
        <w:t>Category I</w:t>
      </w:r>
      <w:r w:rsidRPr="00C34C03">
        <w:t xml:space="preserve"> –</w:t>
      </w:r>
      <w:r w:rsidRPr="00145301">
        <w:rPr>
          <w:rFonts w:cs="Calibri"/>
        </w:rPr>
        <w:t xml:space="preserve">Mandatory indicators and </w:t>
      </w:r>
      <w:r w:rsidRPr="00C34C03">
        <w:t xml:space="preserve">standard </w:t>
      </w:r>
      <w:r>
        <w:t xml:space="preserve">operating </w:t>
      </w:r>
      <w:r w:rsidRPr="00C34C03">
        <w:t>protocols</w:t>
      </w:r>
      <w:r w:rsidRPr="00145301">
        <w:rPr>
          <w:rFonts w:cs="Calibri"/>
        </w:rPr>
        <w:t xml:space="preserve"> that are required to inform Basin-scale evaluation and may be used to answer Selected Area questions</w:t>
      </w:r>
      <w:r w:rsidR="00145301" w:rsidRPr="00145301">
        <w:rPr>
          <w:rFonts w:cs="Calibri"/>
        </w:rPr>
        <w:t xml:space="preserve">. </w:t>
      </w:r>
      <w:r w:rsidR="00145301">
        <w:t>Category 1 i</w:t>
      </w:r>
      <w:r w:rsidR="00145301" w:rsidRPr="008B1F96">
        <w:t xml:space="preserve">ndicators monitored in the Edward-Wakool </w:t>
      </w:r>
      <w:r w:rsidR="00145301">
        <w:t xml:space="preserve">system </w:t>
      </w:r>
      <w:r w:rsidR="00145301" w:rsidRPr="008B1F96">
        <w:t xml:space="preserve">(Table 3.2) are: </w:t>
      </w:r>
      <w:r w:rsidR="00145301">
        <w:t xml:space="preserve">river hydrology, stream etabolism, nutrients and carbon, fish reproduction (larvae) and fish (river). </w:t>
      </w:r>
    </w:p>
    <w:p w14:paraId="3B4F863E" w14:textId="54F1ADAF" w:rsidR="004B25EB" w:rsidRPr="00C34C03" w:rsidRDefault="004B25EB" w:rsidP="00145301">
      <w:pPr>
        <w:pStyle w:val="ListParagraph"/>
        <w:numPr>
          <w:ilvl w:val="0"/>
          <w:numId w:val="23"/>
        </w:numPr>
        <w:spacing w:after="0" w:line="320" w:lineRule="exact"/>
        <w:ind w:left="714" w:hanging="357"/>
        <w:contextualSpacing/>
        <w:jc w:val="left"/>
      </w:pPr>
      <w:r w:rsidRPr="00A96737">
        <w:rPr>
          <w:b/>
        </w:rPr>
        <w:t xml:space="preserve">Category </w:t>
      </w:r>
      <w:r w:rsidR="00446E95">
        <w:rPr>
          <w:b/>
        </w:rPr>
        <w:t>2</w:t>
      </w:r>
      <w:r w:rsidRPr="00C34C03">
        <w:t xml:space="preserve"> –</w:t>
      </w:r>
      <w:r>
        <w:rPr>
          <w:rFonts w:cs="Calibri"/>
        </w:rPr>
        <w:t xml:space="preserve">Optional indicators with mandatory </w:t>
      </w:r>
      <w:r w:rsidRPr="00C34C03">
        <w:t xml:space="preserve">standard protocols </w:t>
      </w:r>
      <w:r>
        <w:rPr>
          <w:rFonts w:cs="Calibri"/>
        </w:rPr>
        <w:t>that may be used to inform Basin-scale evaluation and may be used to answer Selected Area questions</w:t>
      </w:r>
      <w:r w:rsidR="00145301">
        <w:rPr>
          <w:rFonts w:cs="Calibri"/>
        </w:rPr>
        <w:t xml:space="preserve">. Fish movement </w:t>
      </w:r>
      <w:r w:rsidR="00145301" w:rsidRPr="008B1F96">
        <w:t>(</w:t>
      </w:r>
      <w:r w:rsidR="00145301">
        <w:t>years 2 to 4</w:t>
      </w:r>
      <w:r w:rsidR="00145301" w:rsidRPr="008B1F96">
        <w:t>)</w:t>
      </w:r>
      <w:r w:rsidR="00145301">
        <w:t xml:space="preserve"> </w:t>
      </w:r>
      <w:r w:rsidR="00145301">
        <w:rPr>
          <w:rFonts w:cs="Calibri"/>
        </w:rPr>
        <w:t>is the only category 2 indicator monitored in the Edward-Wakool system.</w:t>
      </w:r>
    </w:p>
    <w:p w14:paraId="3B4F8640" w14:textId="2F195F22" w:rsidR="007F30A0" w:rsidRDefault="004B25EB" w:rsidP="008D5BA3">
      <w:pPr>
        <w:pStyle w:val="ListParagraph"/>
        <w:numPr>
          <w:ilvl w:val="0"/>
          <w:numId w:val="23"/>
        </w:numPr>
        <w:tabs>
          <w:tab w:val="left" w:pos="9071"/>
        </w:tabs>
        <w:spacing w:after="240" w:line="320" w:lineRule="exact"/>
        <w:ind w:left="714" w:hanging="357"/>
        <w:contextualSpacing/>
        <w:jc w:val="left"/>
      </w:pPr>
      <w:r w:rsidRPr="00145301">
        <w:rPr>
          <w:b/>
        </w:rPr>
        <w:t xml:space="preserve">Category </w:t>
      </w:r>
      <w:r w:rsidR="00446E95" w:rsidRPr="00145301">
        <w:rPr>
          <w:b/>
        </w:rPr>
        <w:t>3</w:t>
      </w:r>
      <w:r w:rsidRPr="00C34C03">
        <w:t xml:space="preserve"> –</w:t>
      </w:r>
      <w:r>
        <w:t xml:space="preserve"> </w:t>
      </w:r>
      <w:r w:rsidRPr="00145301">
        <w:rPr>
          <w:rFonts w:cs="Calibri"/>
        </w:rPr>
        <w:t>Selected Area specific monitoring protocols to answer Selected Area questions</w:t>
      </w:r>
      <w:r w:rsidR="00145301" w:rsidRPr="00145301">
        <w:rPr>
          <w:rFonts w:cs="Calibri"/>
        </w:rPr>
        <w:t xml:space="preserve">. </w:t>
      </w:r>
      <w:r w:rsidR="00145301">
        <w:t>Category 3 i</w:t>
      </w:r>
      <w:r w:rsidR="00145301" w:rsidRPr="008B1F96">
        <w:t xml:space="preserve">ndicators monitored in the Edward-Wakool </w:t>
      </w:r>
      <w:r w:rsidR="00145301">
        <w:t>system</w:t>
      </w:r>
      <w:r w:rsidR="00145301" w:rsidRPr="008B1F96">
        <w:t xml:space="preserve"> (Table 3.2) are: </w:t>
      </w:r>
      <w:r w:rsidR="006D72D5" w:rsidRPr="008B1F96">
        <w:t>riverbank inundation by 2D-hydraulic modelling</w:t>
      </w:r>
      <w:r w:rsidR="003F1B22">
        <w:t xml:space="preserve"> (</w:t>
      </w:r>
      <w:r>
        <w:t>undertaken in y</w:t>
      </w:r>
      <w:r w:rsidR="003F1B22">
        <w:t>ear 1)</w:t>
      </w:r>
      <w:r w:rsidR="006D72D5" w:rsidRPr="008B1F96">
        <w:t xml:space="preserve">, </w:t>
      </w:r>
      <w:r w:rsidR="00145301">
        <w:lastRenderedPageBreak/>
        <w:t>additional water quality and carbon</w:t>
      </w:r>
      <w:r w:rsidR="00145301" w:rsidRPr="00145301">
        <w:t xml:space="preserve"> </w:t>
      </w:r>
      <w:r w:rsidR="00145301">
        <w:t xml:space="preserve">characterisation, </w:t>
      </w:r>
      <w:r w:rsidR="00626702" w:rsidRPr="008B1F96">
        <w:t xml:space="preserve">riverbank </w:t>
      </w:r>
      <w:r w:rsidR="006D72D5" w:rsidRPr="008B1F96">
        <w:t xml:space="preserve">and aquatic vegetation, </w:t>
      </w:r>
      <w:r w:rsidR="00626702" w:rsidRPr="008B1F96">
        <w:t>fish reproduction</w:t>
      </w:r>
      <w:r w:rsidR="00145301">
        <w:t xml:space="preserve"> (larvae)</w:t>
      </w:r>
      <w:r w:rsidR="00626702" w:rsidRPr="008B1F96">
        <w:t xml:space="preserve">, fish recruitment, </w:t>
      </w:r>
      <w:r w:rsidR="00626702">
        <w:t xml:space="preserve">and fish community </w:t>
      </w:r>
      <w:r w:rsidR="00145301">
        <w:t xml:space="preserve">survey </w:t>
      </w:r>
      <w:r w:rsidR="00626702">
        <w:t>(years 1 and 5)</w:t>
      </w:r>
      <w:r w:rsidR="006D72D5" w:rsidRPr="008B1F96">
        <w:t xml:space="preserve">. </w:t>
      </w:r>
    </w:p>
    <w:p w14:paraId="3B4F8641" w14:textId="77777777" w:rsidR="006D72D5" w:rsidRDefault="006D72D5" w:rsidP="006D72D5">
      <w:pPr>
        <w:shd w:val="clear" w:color="auto" w:fill="FFFF00"/>
        <w:spacing w:before="120" w:after="120"/>
        <w:sectPr w:rsidR="006D72D5" w:rsidSect="00301C2F">
          <w:pgSz w:w="11906" w:h="16838"/>
          <w:pgMar w:top="1440" w:right="1700" w:bottom="1440" w:left="1701" w:header="709" w:footer="709" w:gutter="0"/>
          <w:cols w:space="708"/>
          <w:docGrid w:linePitch="360"/>
        </w:sectPr>
      </w:pPr>
    </w:p>
    <w:p w14:paraId="3B4F8642" w14:textId="77777777" w:rsidR="006D72D5" w:rsidRDefault="006D72D5" w:rsidP="00BA6C55">
      <w:pPr>
        <w:spacing w:before="120" w:after="0" w:line="240" w:lineRule="auto"/>
      </w:pPr>
      <w:r>
        <w:rPr>
          <w:noProof/>
          <w:lang w:eastAsia="en-AU"/>
        </w:rPr>
        <w:lastRenderedPageBreak/>
        <w:drawing>
          <wp:inline distT="0" distB="0" distL="0" distR="0" wp14:anchorId="3B4F95D5" wp14:editId="67AF7D0A">
            <wp:extent cx="6989961" cy="4932000"/>
            <wp:effectExtent l="0" t="0" r="1905" b="254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edwk_sites_final.png"/>
                    <pic:cNvPicPr/>
                  </pic:nvPicPr>
                  <pic:blipFill rotWithShape="1">
                    <a:blip r:embed="rId29" cstate="email">
                      <a:extLst>
                        <a:ext uri="{28A0092B-C50C-407E-A947-70E740481C1C}">
                          <a14:useLocalDpi xmlns:a14="http://schemas.microsoft.com/office/drawing/2010/main"/>
                        </a:ext>
                      </a:extLst>
                    </a:blip>
                    <a:srcRect l="1998" t="4008" r="2718" b="852"/>
                    <a:stretch/>
                  </pic:blipFill>
                  <pic:spPr bwMode="auto">
                    <a:xfrm>
                      <a:off x="0" y="0"/>
                      <a:ext cx="6989961" cy="4932000"/>
                    </a:xfrm>
                    <a:prstGeom prst="rect">
                      <a:avLst/>
                    </a:prstGeom>
                    <a:ln>
                      <a:noFill/>
                    </a:ln>
                    <a:extLst>
                      <a:ext uri="{53640926-AAD7-44D8-BBD7-CCE9431645EC}">
                        <a14:shadowObscured xmlns:a14="http://schemas.microsoft.com/office/drawing/2010/main"/>
                      </a:ext>
                    </a:extLst>
                  </pic:spPr>
                </pic:pic>
              </a:graphicData>
            </a:graphic>
          </wp:inline>
        </w:drawing>
      </w:r>
    </w:p>
    <w:p w14:paraId="3B4F8643" w14:textId="77777777" w:rsidR="006D72D5" w:rsidRDefault="006D72D5" w:rsidP="00BA6C55">
      <w:pPr>
        <w:pStyle w:val="FigureCaption0"/>
        <w:rPr>
          <w:rFonts w:cs="Calibri"/>
        </w:rPr>
        <w:sectPr w:rsidR="006D72D5" w:rsidSect="00CF2F4F">
          <w:pgSz w:w="16838" w:h="11906" w:orient="landscape"/>
          <w:pgMar w:top="1440" w:right="1440" w:bottom="1440" w:left="1440" w:header="708" w:footer="708" w:gutter="0"/>
          <w:cols w:space="708"/>
          <w:docGrid w:linePitch="360"/>
        </w:sectPr>
      </w:pPr>
      <w:bookmarkStart w:id="21" w:name="_Toc450164289"/>
      <w:r w:rsidRPr="00866FD3">
        <w:t xml:space="preserve">Figure 3.1. </w:t>
      </w:r>
      <w:r w:rsidRPr="00AC61FE">
        <w:rPr>
          <w:b w:val="0"/>
        </w:rPr>
        <w:t>Location of monitoring sites for the Edward-Wakool Selected Area for the Long-Term Intervention Monitoring (LTIM) Project</w:t>
      </w:r>
      <w:r w:rsidRPr="00AC61FE">
        <w:rPr>
          <w:rFonts w:cs="Calibri"/>
          <w:b w:val="0"/>
        </w:rPr>
        <w:t>. Zones one to four are referred to as the focal zone for the Edward-Wakool project. Hydrological gauges are located in Yallakool Creek just upstream of site 01_01 (gauge 409020, Yallakool Creek at offtake), Wakool River zone 2 just upstream of site 02_01 (gauge 409019, Wakool River offtake), and in the Wakool River zone 4 at site 04_01 (gauge 409045, Wakool River at Wakool-Barham Road). The Wakool escape is located close to site 21_01. Site names are listed in Table 3.1</w:t>
      </w:r>
      <w:r>
        <w:rPr>
          <w:rFonts w:cs="Calibri"/>
        </w:rPr>
        <w:t>.</w:t>
      </w:r>
      <w:bookmarkEnd w:id="21"/>
      <w:r>
        <w:rPr>
          <w:rFonts w:cs="Calibri"/>
        </w:rPr>
        <w:t xml:space="preserve"> </w:t>
      </w:r>
    </w:p>
    <w:p w14:paraId="3B4F8644" w14:textId="77777777" w:rsidR="006D72D5" w:rsidRDefault="006D72D5" w:rsidP="00BA6C55">
      <w:pPr>
        <w:pStyle w:val="TableCaption"/>
      </w:pPr>
      <w:r w:rsidRPr="0040290A">
        <w:lastRenderedPageBreak/>
        <w:t>Table 3.1.</w:t>
      </w:r>
      <w:r>
        <w:t xml:space="preserve"> </w:t>
      </w:r>
      <w:r w:rsidRPr="00DC76D6">
        <w:rPr>
          <w:b w:val="0"/>
        </w:rPr>
        <w:t>List of site codes and site names for sites monitored for the Long term Intervention Monitoring Project in the Edward-Wakool Selected Area.</w:t>
      </w:r>
      <w:r>
        <w:t xml:space="preserve"> </w:t>
      </w:r>
    </w:p>
    <w:tbl>
      <w:tblPr>
        <w:tblW w:w="9102" w:type="dxa"/>
        <w:tblInd w:w="-30" w:type="dxa"/>
        <w:tblLayout w:type="fixed"/>
        <w:tblLook w:val="0000" w:firstRow="0" w:lastRow="0" w:firstColumn="0" w:lastColumn="0" w:noHBand="0" w:noVBand="0"/>
      </w:tblPr>
      <w:tblGrid>
        <w:gridCol w:w="4425"/>
        <w:gridCol w:w="708"/>
        <w:gridCol w:w="1418"/>
        <w:gridCol w:w="2551"/>
      </w:tblGrid>
      <w:tr w:rsidR="006D72D5" w:rsidRPr="00CD0B41" w14:paraId="3B4F8649" w14:textId="77777777" w:rsidTr="00BA6C55">
        <w:trPr>
          <w:trHeight w:val="290"/>
        </w:trPr>
        <w:tc>
          <w:tcPr>
            <w:tcW w:w="4425" w:type="dxa"/>
            <w:tcBorders>
              <w:top w:val="single" w:sz="4" w:space="0" w:color="auto"/>
              <w:left w:val="nil"/>
              <w:bottom w:val="single" w:sz="4" w:space="0" w:color="auto"/>
              <w:right w:val="nil"/>
            </w:tcBorders>
            <w:shd w:val="clear" w:color="auto" w:fill="D6E3BC" w:themeFill="accent3" w:themeFillTint="66"/>
          </w:tcPr>
          <w:p w14:paraId="3B4F8645" w14:textId="77777777" w:rsidR="006D72D5" w:rsidRPr="00CD0B41" w:rsidRDefault="006D72D5" w:rsidP="00BA6C55">
            <w:pPr>
              <w:autoSpaceDE w:val="0"/>
              <w:autoSpaceDN w:val="0"/>
              <w:adjustRightInd w:val="0"/>
              <w:spacing w:after="0" w:line="240" w:lineRule="auto"/>
              <w:jc w:val="left"/>
              <w:rPr>
                <w:rFonts w:asciiTheme="minorHAnsi" w:hAnsiTheme="minorHAnsi" w:cs="Calibri"/>
                <w:b/>
                <w:bCs/>
                <w:color w:val="000000"/>
                <w:sz w:val="20"/>
                <w:lang w:eastAsia="en-AU"/>
              </w:rPr>
            </w:pPr>
            <w:r w:rsidRPr="00CD0B41">
              <w:rPr>
                <w:rFonts w:asciiTheme="minorHAnsi" w:hAnsiTheme="minorHAnsi" w:cs="Calibri"/>
                <w:b/>
                <w:bCs/>
                <w:color w:val="000000"/>
                <w:sz w:val="20"/>
                <w:lang w:eastAsia="en-AU"/>
              </w:rPr>
              <w:t>Zone</w:t>
            </w:r>
            <w:r>
              <w:rPr>
                <w:rFonts w:asciiTheme="minorHAnsi" w:hAnsiTheme="minorHAnsi" w:cs="Calibri"/>
                <w:b/>
                <w:bCs/>
                <w:color w:val="000000"/>
                <w:sz w:val="20"/>
                <w:lang w:eastAsia="en-AU"/>
              </w:rPr>
              <w:t xml:space="preserve"> </w:t>
            </w:r>
            <w:r w:rsidRPr="00CD0B41">
              <w:rPr>
                <w:rFonts w:asciiTheme="minorHAnsi" w:hAnsiTheme="minorHAnsi" w:cs="Calibri"/>
                <w:b/>
                <w:bCs/>
                <w:color w:val="000000"/>
                <w:sz w:val="20"/>
                <w:lang w:eastAsia="en-AU"/>
              </w:rPr>
              <w:t>Name</w:t>
            </w:r>
          </w:p>
        </w:tc>
        <w:tc>
          <w:tcPr>
            <w:tcW w:w="708" w:type="dxa"/>
            <w:tcBorders>
              <w:top w:val="single" w:sz="4" w:space="0" w:color="auto"/>
              <w:left w:val="nil"/>
              <w:bottom w:val="single" w:sz="4" w:space="0" w:color="auto"/>
              <w:right w:val="nil"/>
            </w:tcBorders>
            <w:shd w:val="clear" w:color="auto" w:fill="D6E3BC" w:themeFill="accent3" w:themeFillTint="66"/>
          </w:tcPr>
          <w:p w14:paraId="3B4F8646" w14:textId="77777777" w:rsidR="006D72D5" w:rsidRPr="00CD0B41" w:rsidRDefault="006D72D5" w:rsidP="00BA6C55">
            <w:pPr>
              <w:autoSpaceDE w:val="0"/>
              <w:autoSpaceDN w:val="0"/>
              <w:adjustRightInd w:val="0"/>
              <w:spacing w:after="0" w:line="240" w:lineRule="auto"/>
              <w:jc w:val="left"/>
              <w:rPr>
                <w:rFonts w:asciiTheme="minorHAnsi" w:hAnsiTheme="minorHAnsi" w:cs="Calibri"/>
                <w:b/>
                <w:bCs/>
                <w:color w:val="000000"/>
                <w:sz w:val="20"/>
                <w:lang w:eastAsia="en-AU"/>
              </w:rPr>
            </w:pPr>
            <w:r w:rsidRPr="00CD0B41">
              <w:rPr>
                <w:rFonts w:asciiTheme="minorHAnsi" w:hAnsiTheme="minorHAnsi" w:cs="Calibri"/>
                <w:b/>
                <w:bCs/>
                <w:color w:val="000000"/>
                <w:sz w:val="20"/>
                <w:lang w:eastAsia="en-AU"/>
              </w:rPr>
              <w:t>Zone</w:t>
            </w:r>
          </w:p>
        </w:tc>
        <w:tc>
          <w:tcPr>
            <w:tcW w:w="1418" w:type="dxa"/>
            <w:tcBorders>
              <w:top w:val="single" w:sz="4" w:space="0" w:color="auto"/>
              <w:left w:val="nil"/>
              <w:bottom w:val="single" w:sz="4" w:space="0" w:color="auto"/>
              <w:right w:val="nil"/>
            </w:tcBorders>
            <w:shd w:val="clear" w:color="auto" w:fill="D6E3BC" w:themeFill="accent3" w:themeFillTint="66"/>
          </w:tcPr>
          <w:p w14:paraId="3B4F8647" w14:textId="77777777" w:rsidR="006D72D5" w:rsidRPr="00CD0B41" w:rsidRDefault="006D72D5" w:rsidP="00BA6C55">
            <w:pPr>
              <w:autoSpaceDE w:val="0"/>
              <w:autoSpaceDN w:val="0"/>
              <w:adjustRightInd w:val="0"/>
              <w:spacing w:after="0" w:line="240" w:lineRule="auto"/>
              <w:jc w:val="left"/>
              <w:rPr>
                <w:rFonts w:asciiTheme="minorHAnsi" w:hAnsiTheme="minorHAnsi" w:cs="Calibri"/>
                <w:b/>
                <w:bCs/>
                <w:color w:val="000000"/>
                <w:sz w:val="20"/>
                <w:lang w:eastAsia="en-AU"/>
              </w:rPr>
            </w:pPr>
            <w:r w:rsidRPr="00CD0B41">
              <w:rPr>
                <w:rFonts w:asciiTheme="minorHAnsi" w:hAnsiTheme="minorHAnsi" w:cs="Calibri"/>
                <w:b/>
                <w:bCs/>
                <w:color w:val="000000"/>
                <w:sz w:val="20"/>
                <w:lang w:eastAsia="en-AU"/>
              </w:rPr>
              <w:t>Site</w:t>
            </w:r>
            <w:r>
              <w:rPr>
                <w:rFonts w:asciiTheme="minorHAnsi" w:hAnsiTheme="minorHAnsi" w:cs="Calibri"/>
                <w:b/>
                <w:bCs/>
                <w:color w:val="000000"/>
                <w:sz w:val="20"/>
                <w:lang w:eastAsia="en-AU"/>
              </w:rPr>
              <w:t xml:space="preserve"> </w:t>
            </w:r>
            <w:r w:rsidRPr="00CD0B41">
              <w:rPr>
                <w:rFonts w:asciiTheme="minorHAnsi" w:hAnsiTheme="minorHAnsi" w:cs="Calibri"/>
                <w:b/>
                <w:bCs/>
                <w:color w:val="000000"/>
                <w:sz w:val="20"/>
                <w:lang w:eastAsia="en-AU"/>
              </w:rPr>
              <w:t>Code</w:t>
            </w:r>
          </w:p>
        </w:tc>
        <w:tc>
          <w:tcPr>
            <w:tcW w:w="2551" w:type="dxa"/>
            <w:tcBorders>
              <w:top w:val="single" w:sz="4" w:space="0" w:color="auto"/>
              <w:left w:val="nil"/>
              <w:bottom w:val="single" w:sz="4" w:space="0" w:color="auto"/>
              <w:right w:val="nil"/>
            </w:tcBorders>
            <w:shd w:val="clear" w:color="auto" w:fill="D6E3BC" w:themeFill="accent3" w:themeFillTint="66"/>
          </w:tcPr>
          <w:p w14:paraId="3B4F8648" w14:textId="77777777" w:rsidR="006D72D5" w:rsidRPr="00CD0B41" w:rsidRDefault="006D72D5" w:rsidP="00BA6C55">
            <w:pPr>
              <w:autoSpaceDE w:val="0"/>
              <w:autoSpaceDN w:val="0"/>
              <w:adjustRightInd w:val="0"/>
              <w:spacing w:after="0" w:line="240" w:lineRule="auto"/>
              <w:ind w:right="87"/>
              <w:jc w:val="left"/>
              <w:rPr>
                <w:rFonts w:asciiTheme="minorHAnsi" w:hAnsiTheme="minorHAnsi" w:cs="Calibri"/>
                <w:b/>
                <w:bCs/>
                <w:color w:val="000000"/>
                <w:sz w:val="20"/>
                <w:lang w:eastAsia="en-AU"/>
              </w:rPr>
            </w:pPr>
            <w:r>
              <w:rPr>
                <w:rFonts w:asciiTheme="minorHAnsi" w:hAnsiTheme="minorHAnsi" w:cs="Calibri"/>
                <w:b/>
                <w:bCs/>
                <w:color w:val="000000"/>
                <w:sz w:val="20"/>
                <w:lang w:eastAsia="en-AU"/>
              </w:rPr>
              <w:t xml:space="preserve">Site </w:t>
            </w:r>
            <w:r w:rsidRPr="00CD0B41">
              <w:rPr>
                <w:rFonts w:asciiTheme="minorHAnsi" w:hAnsiTheme="minorHAnsi" w:cs="Calibri"/>
                <w:b/>
                <w:bCs/>
                <w:color w:val="000000"/>
                <w:sz w:val="20"/>
                <w:lang w:eastAsia="en-AU"/>
              </w:rPr>
              <w:t>Name</w:t>
            </w:r>
          </w:p>
        </w:tc>
      </w:tr>
      <w:tr w:rsidR="006D72D5" w:rsidRPr="00CD0B41" w14:paraId="3B4F864E" w14:textId="77777777" w:rsidTr="00BA6C55">
        <w:trPr>
          <w:trHeight w:val="227"/>
        </w:trPr>
        <w:tc>
          <w:tcPr>
            <w:tcW w:w="4425" w:type="dxa"/>
            <w:tcBorders>
              <w:top w:val="single" w:sz="4" w:space="0" w:color="auto"/>
              <w:left w:val="nil"/>
              <w:bottom w:val="nil"/>
              <w:right w:val="nil"/>
            </w:tcBorders>
            <w:shd w:val="solid" w:color="FFFFFF" w:fill="auto"/>
          </w:tcPr>
          <w:p w14:paraId="3B4F864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single" w:sz="4" w:space="0" w:color="auto"/>
              <w:left w:val="nil"/>
              <w:bottom w:val="nil"/>
              <w:right w:val="nil"/>
            </w:tcBorders>
          </w:tcPr>
          <w:p w14:paraId="3B4F864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single" w:sz="4" w:space="0" w:color="auto"/>
              <w:left w:val="nil"/>
              <w:bottom w:val="nil"/>
              <w:right w:val="nil"/>
            </w:tcBorders>
          </w:tcPr>
          <w:p w14:paraId="3B4F864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EDWK01_01</w:t>
            </w:r>
          </w:p>
        </w:tc>
        <w:tc>
          <w:tcPr>
            <w:tcW w:w="2551" w:type="dxa"/>
            <w:tcBorders>
              <w:top w:val="single" w:sz="4" w:space="0" w:color="auto"/>
              <w:left w:val="nil"/>
              <w:bottom w:val="nil"/>
              <w:right w:val="nil"/>
            </w:tcBorders>
            <w:shd w:val="solid" w:color="FFFFFF" w:fill="auto"/>
          </w:tcPr>
          <w:p w14:paraId="3B4F864D"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Yallakool/Back Ck Junction</w:t>
            </w:r>
          </w:p>
        </w:tc>
      </w:tr>
      <w:tr w:rsidR="006D72D5" w:rsidRPr="00CD0B41" w14:paraId="3B4F8653" w14:textId="77777777" w:rsidTr="00BA6C55">
        <w:trPr>
          <w:trHeight w:val="227"/>
        </w:trPr>
        <w:tc>
          <w:tcPr>
            <w:tcW w:w="4425" w:type="dxa"/>
            <w:tcBorders>
              <w:top w:val="nil"/>
              <w:left w:val="nil"/>
              <w:bottom w:val="nil"/>
              <w:right w:val="nil"/>
            </w:tcBorders>
            <w:shd w:val="solid" w:color="FFFFFF" w:fill="auto"/>
          </w:tcPr>
          <w:p w14:paraId="3B4F864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nil"/>
              <w:left w:val="nil"/>
              <w:bottom w:val="nil"/>
              <w:right w:val="nil"/>
            </w:tcBorders>
          </w:tcPr>
          <w:p w14:paraId="3B4F865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nil"/>
              <w:left w:val="nil"/>
              <w:bottom w:val="nil"/>
              <w:right w:val="nil"/>
            </w:tcBorders>
          </w:tcPr>
          <w:p w14:paraId="3B4F865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EDWK01_02</w:t>
            </w:r>
          </w:p>
        </w:tc>
        <w:tc>
          <w:tcPr>
            <w:tcW w:w="2551" w:type="dxa"/>
            <w:tcBorders>
              <w:top w:val="nil"/>
              <w:left w:val="nil"/>
              <w:bottom w:val="nil"/>
              <w:right w:val="nil"/>
            </w:tcBorders>
            <w:shd w:val="solid" w:color="FFFFFF" w:fill="auto"/>
          </w:tcPr>
          <w:p w14:paraId="3B4F8652"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Hopwood</w:t>
            </w:r>
          </w:p>
        </w:tc>
      </w:tr>
      <w:tr w:rsidR="006D72D5" w:rsidRPr="00CD0B41" w14:paraId="3B4F8658" w14:textId="77777777" w:rsidTr="00BA6C55">
        <w:trPr>
          <w:trHeight w:val="227"/>
        </w:trPr>
        <w:tc>
          <w:tcPr>
            <w:tcW w:w="4425" w:type="dxa"/>
            <w:tcBorders>
              <w:top w:val="nil"/>
              <w:left w:val="nil"/>
              <w:bottom w:val="nil"/>
              <w:right w:val="nil"/>
            </w:tcBorders>
            <w:shd w:val="solid" w:color="FFFFFF" w:fill="auto"/>
          </w:tcPr>
          <w:p w14:paraId="3B4F865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nil"/>
              <w:left w:val="nil"/>
              <w:bottom w:val="nil"/>
              <w:right w:val="nil"/>
            </w:tcBorders>
          </w:tcPr>
          <w:p w14:paraId="3B4F865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nil"/>
              <w:left w:val="nil"/>
              <w:bottom w:val="nil"/>
              <w:right w:val="nil"/>
            </w:tcBorders>
          </w:tcPr>
          <w:p w14:paraId="3B4F865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EDWK01_03</w:t>
            </w:r>
          </w:p>
        </w:tc>
        <w:tc>
          <w:tcPr>
            <w:tcW w:w="2551" w:type="dxa"/>
            <w:tcBorders>
              <w:top w:val="nil"/>
              <w:left w:val="nil"/>
              <w:bottom w:val="nil"/>
              <w:right w:val="nil"/>
            </w:tcBorders>
            <w:shd w:val="solid" w:color="FFFFFF" w:fill="auto"/>
          </w:tcPr>
          <w:p w14:paraId="3B4F8657"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Cumnock</w:t>
            </w:r>
          </w:p>
        </w:tc>
      </w:tr>
      <w:tr w:rsidR="006D72D5" w:rsidRPr="00CD0B41" w14:paraId="3B4F865D" w14:textId="77777777" w:rsidTr="00BA6C55">
        <w:trPr>
          <w:trHeight w:val="227"/>
        </w:trPr>
        <w:tc>
          <w:tcPr>
            <w:tcW w:w="4425" w:type="dxa"/>
            <w:tcBorders>
              <w:top w:val="nil"/>
              <w:left w:val="nil"/>
              <w:bottom w:val="nil"/>
              <w:right w:val="nil"/>
            </w:tcBorders>
            <w:shd w:val="solid" w:color="FFFFFF" w:fill="auto"/>
          </w:tcPr>
          <w:p w14:paraId="3B4F865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nil"/>
              <w:left w:val="nil"/>
              <w:bottom w:val="nil"/>
              <w:right w:val="nil"/>
            </w:tcBorders>
          </w:tcPr>
          <w:p w14:paraId="3B4F865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nil"/>
              <w:left w:val="nil"/>
              <w:bottom w:val="nil"/>
              <w:right w:val="nil"/>
            </w:tcBorders>
          </w:tcPr>
          <w:p w14:paraId="3B4F865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EDWK01_04</w:t>
            </w:r>
          </w:p>
        </w:tc>
        <w:tc>
          <w:tcPr>
            <w:tcW w:w="2551" w:type="dxa"/>
            <w:tcBorders>
              <w:top w:val="nil"/>
              <w:left w:val="nil"/>
              <w:bottom w:val="nil"/>
              <w:right w:val="nil"/>
            </w:tcBorders>
            <w:shd w:val="solid" w:color="FFFFFF" w:fill="auto"/>
          </w:tcPr>
          <w:p w14:paraId="3B4F865C"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Cumnock Park</w:t>
            </w:r>
          </w:p>
        </w:tc>
      </w:tr>
      <w:tr w:rsidR="006D72D5" w:rsidRPr="00CD0B41" w14:paraId="3B4F8662" w14:textId="77777777" w:rsidTr="00BA6C55">
        <w:trPr>
          <w:trHeight w:val="227"/>
        </w:trPr>
        <w:tc>
          <w:tcPr>
            <w:tcW w:w="4425" w:type="dxa"/>
            <w:tcBorders>
              <w:top w:val="nil"/>
              <w:left w:val="nil"/>
              <w:bottom w:val="nil"/>
              <w:right w:val="nil"/>
            </w:tcBorders>
            <w:shd w:val="solid" w:color="FFFFFF" w:fill="auto"/>
          </w:tcPr>
          <w:p w14:paraId="3B4F865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nil"/>
              <w:left w:val="nil"/>
              <w:bottom w:val="nil"/>
              <w:right w:val="nil"/>
            </w:tcBorders>
          </w:tcPr>
          <w:p w14:paraId="3B4F865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nil"/>
              <w:left w:val="nil"/>
              <w:bottom w:val="nil"/>
              <w:right w:val="nil"/>
            </w:tcBorders>
          </w:tcPr>
          <w:p w14:paraId="3B4F866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EDWK01_05</w:t>
            </w:r>
          </w:p>
        </w:tc>
        <w:tc>
          <w:tcPr>
            <w:tcW w:w="2551" w:type="dxa"/>
            <w:tcBorders>
              <w:top w:val="nil"/>
              <w:left w:val="nil"/>
              <w:bottom w:val="nil"/>
              <w:right w:val="nil"/>
            </w:tcBorders>
            <w:shd w:val="solid" w:color="FFFFFF" w:fill="auto"/>
          </w:tcPr>
          <w:p w14:paraId="3B4F8661"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Mascott</w:t>
            </w:r>
          </w:p>
        </w:tc>
      </w:tr>
      <w:tr w:rsidR="006D72D5" w:rsidRPr="00CD0B41" w14:paraId="3B4F8667" w14:textId="77777777" w:rsidTr="00BA6C55">
        <w:trPr>
          <w:trHeight w:val="227"/>
        </w:trPr>
        <w:tc>
          <w:tcPr>
            <w:tcW w:w="4425" w:type="dxa"/>
            <w:tcBorders>
              <w:top w:val="nil"/>
              <w:left w:val="nil"/>
              <w:bottom w:val="nil"/>
              <w:right w:val="nil"/>
            </w:tcBorders>
            <w:shd w:val="solid" w:color="FFFFFF" w:fill="auto"/>
          </w:tcPr>
          <w:p w14:paraId="3B4F866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nil"/>
              <w:left w:val="nil"/>
              <w:bottom w:val="nil"/>
              <w:right w:val="nil"/>
            </w:tcBorders>
          </w:tcPr>
          <w:p w14:paraId="3B4F866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nil"/>
              <w:left w:val="nil"/>
              <w:bottom w:val="nil"/>
              <w:right w:val="nil"/>
            </w:tcBorders>
          </w:tcPr>
          <w:p w14:paraId="3B4F866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EDWK01_06</w:t>
            </w:r>
          </w:p>
        </w:tc>
        <w:tc>
          <w:tcPr>
            <w:tcW w:w="2551" w:type="dxa"/>
            <w:tcBorders>
              <w:top w:val="nil"/>
              <w:left w:val="nil"/>
              <w:bottom w:val="nil"/>
              <w:right w:val="nil"/>
            </w:tcBorders>
            <w:shd w:val="solid" w:color="FFFFFF" w:fill="auto"/>
          </w:tcPr>
          <w:p w14:paraId="3B4F8666"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Widgee, Yallakool Ck</w:t>
            </w:r>
          </w:p>
        </w:tc>
      </w:tr>
      <w:tr w:rsidR="006D72D5" w:rsidRPr="00CD0B41" w14:paraId="3B4F866C" w14:textId="77777777" w:rsidTr="00BA6C55">
        <w:trPr>
          <w:trHeight w:val="227"/>
        </w:trPr>
        <w:tc>
          <w:tcPr>
            <w:tcW w:w="4425" w:type="dxa"/>
            <w:tcBorders>
              <w:top w:val="nil"/>
              <w:left w:val="nil"/>
              <w:bottom w:val="nil"/>
              <w:right w:val="nil"/>
            </w:tcBorders>
            <w:shd w:val="solid" w:color="FFFFFF" w:fill="auto"/>
          </w:tcPr>
          <w:p w14:paraId="3B4F866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Yallakool Creek</w:t>
            </w:r>
          </w:p>
        </w:tc>
        <w:tc>
          <w:tcPr>
            <w:tcW w:w="708" w:type="dxa"/>
            <w:tcBorders>
              <w:top w:val="nil"/>
              <w:left w:val="nil"/>
              <w:bottom w:val="nil"/>
              <w:right w:val="nil"/>
            </w:tcBorders>
          </w:tcPr>
          <w:p w14:paraId="3B4F866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01</w:t>
            </w:r>
          </w:p>
        </w:tc>
        <w:tc>
          <w:tcPr>
            <w:tcW w:w="1418" w:type="dxa"/>
            <w:tcBorders>
              <w:top w:val="nil"/>
              <w:left w:val="nil"/>
              <w:bottom w:val="nil"/>
              <w:right w:val="nil"/>
            </w:tcBorders>
          </w:tcPr>
          <w:p w14:paraId="3B4F866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EDWK01_07</w:t>
            </w:r>
          </w:p>
        </w:tc>
        <w:tc>
          <w:tcPr>
            <w:tcW w:w="2551" w:type="dxa"/>
            <w:tcBorders>
              <w:top w:val="nil"/>
              <w:left w:val="nil"/>
              <w:bottom w:val="nil"/>
              <w:right w:val="nil"/>
            </w:tcBorders>
            <w:shd w:val="solid" w:color="FFFFFF" w:fill="auto"/>
          </w:tcPr>
          <w:p w14:paraId="3B4F866B"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Windra Vale</w:t>
            </w:r>
          </w:p>
        </w:tc>
      </w:tr>
      <w:tr w:rsidR="006D72D5" w:rsidRPr="00CD0B41" w14:paraId="3B4F8671" w14:textId="77777777" w:rsidTr="00BA6C55">
        <w:trPr>
          <w:trHeight w:val="227"/>
        </w:trPr>
        <w:tc>
          <w:tcPr>
            <w:tcW w:w="4425" w:type="dxa"/>
            <w:tcBorders>
              <w:top w:val="nil"/>
              <w:left w:val="nil"/>
              <w:bottom w:val="nil"/>
              <w:right w:val="nil"/>
            </w:tcBorders>
            <w:shd w:val="solid" w:color="FFFFFF" w:fill="auto"/>
          </w:tcPr>
          <w:p w14:paraId="3B4F866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6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6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EDWK02_01</w:t>
            </w:r>
          </w:p>
        </w:tc>
        <w:tc>
          <w:tcPr>
            <w:tcW w:w="2551" w:type="dxa"/>
            <w:tcBorders>
              <w:top w:val="nil"/>
              <w:left w:val="nil"/>
              <w:bottom w:val="nil"/>
              <w:right w:val="nil"/>
            </w:tcBorders>
            <w:shd w:val="solid" w:color="FFFFFF" w:fill="auto"/>
          </w:tcPr>
          <w:p w14:paraId="3B4F8670"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Fallonville</w:t>
            </w:r>
          </w:p>
        </w:tc>
      </w:tr>
      <w:tr w:rsidR="006D72D5" w:rsidRPr="00CD0B41" w14:paraId="3B4F8676" w14:textId="77777777" w:rsidTr="00BA6C55">
        <w:trPr>
          <w:trHeight w:val="227"/>
        </w:trPr>
        <w:tc>
          <w:tcPr>
            <w:tcW w:w="4425" w:type="dxa"/>
            <w:tcBorders>
              <w:top w:val="nil"/>
              <w:left w:val="nil"/>
              <w:bottom w:val="nil"/>
              <w:right w:val="nil"/>
            </w:tcBorders>
            <w:shd w:val="solid" w:color="FFFFFF" w:fill="auto"/>
          </w:tcPr>
          <w:p w14:paraId="3B4F867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7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7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EDWK02_02</w:t>
            </w:r>
          </w:p>
        </w:tc>
        <w:tc>
          <w:tcPr>
            <w:tcW w:w="2551" w:type="dxa"/>
            <w:tcBorders>
              <w:top w:val="nil"/>
              <w:left w:val="nil"/>
              <w:bottom w:val="nil"/>
              <w:right w:val="nil"/>
            </w:tcBorders>
            <w:shd w:val="solid" w:color="FFFFFF" w:fill="auto"/>
          </w:tcPr>
          <w:p w14:paraId="3B4F8675"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Yaloke</w:t>
            </w:r>
          </w:p>
        </w:tc>
      </w:tr>
      <w:tr w:rsidR="006D72D5" w:rsidRPr="00CD0B41" w14:paraId="3B4F867B" w14:textId="77777777" w:rsidTr="00BA6C55">
        <w:trPr>
          <w:trHeight w:val="227"/>
        </w:trPr>
        <w:tc>
          <w:tcPr>
            <w:tcW w:w="4425" w:type="dxa"/>
            <w:tcBorders>
              <w:top w:val="nil"/>
              <w:left w:val="nil"/>
              <w:bottom w:val="nil"/>
              <w:right w:val="nil"/>
            </w:tcBorders>
            <w:shd w:val="solid" w:color="FFFFFF" w:fill="auto"/>
          </w:tcPr>
          <w:p w14:paraId="3B4F867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7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7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EDWK02_03</w:t>
            </w:r>
          </w:p>
        </w:tc>
        <w:tc>
          <w:tcPr>
            <w:tcW w:w="2551" w:type="dxa"/>
            <w:tcBorders>
              <w:top w:val="nil"/>
              <w:left w:val="nil"/>
              <w:bottom w:val="nil"/>
              <w:right w:val="nil"/>
            </w:tcBorders>
            <w:shd w:val="solid" w:color="FFFFFF" w:fill="auto"/>
          </w:tcPr>
          <w:p w14:paraId="3B4F867A"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Carmathon Reserve</w:t>
            </w:r>
          </w:p>
        </w:tc>
      </w:tr>
      <w:tr w:rsidR="006D72D5" w:rsidRPr="00CD0B41" w14:paraId="3B4F8680" w14:textId="77777777" w:rsidTr="00BA6C55">
        <w:trPr>
          <w:trHeight w:val="227"/>
        </w:trPr>
        <w:tc>
          <w:tcPr>
            <w:tcW w:w="4425" w:type="dxa"/>
            <w:tcBorders>
              <w:top w:val="nil"/>
              <w:left w:val="nil"/>
              <w:bottom w:val="nil"/>
              <w:right w:val="nil"/>
            </w:tcBorders>
            <w:shd w:val="solid" w:color="FFFFFF" w:fill="auto"/>
          </w:tcPr>
          <w:p w14:paraId="3B4F867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7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7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EDWK02_04</w:t>
            </w:r>
          </w:p>
        </w:tc>
        <w:tc>
          <w:tcPr>
            <w:tcW w:w="2551" w:type="dxa"/>
            <w:tcBorders>
              <w:top w:val="nil"/>
              <w:left w:val="nil"/>
              <w:bottom w:val="nil"/>
              <w:right w:val="nil"/>
            </w:tcBorders>
            <w:shd w:val="solid" w:color="FFFFFF" w:fill="auto"/>
          </w:tcPr>
          <w:p w14:paraId="3B4F867F"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Emu Park</w:t>
            </w:r>
          </w:p>
        </w:tc>
      </w:tr>
      <w:tr w:rsidR="006D72D5" w:rsidRPr="00CD0B41" w14:paraId="3B4F8685" w14:textId="77777777" w:rsidTr="00BA6C55">
        <w:trPr>
          <w:trHeight w:val="227"/>
        </w:trPr>
        <w:tc>
          <w:tcPr>
            <w:tcW w:w="4425" w:type="dxa"/>
            <w:tcBorders>
              <w:top w:val="nil"/>
              <w:left w:val="nil"/>
              <w:bottom w:val="nil"/>
              <w:right w:val="nil"/>
            </w:tcBorders>
            <w:shd w:val="solid" w:color="FFFFFF" w:fill="auto"/>
          </w:tcPr>
          <w:p w14:paraId="3B4F868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8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8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EDWK02_05</w:t>
            </w:r>
          </w:p>
        </w:tc>
        <w:tc>
          <w:tcPr>
            <w:tcW w:w="2551" w:type="dxa"/>
            <w:tcBorders>
              <w:top w:val="nil"/>
              <w:left w:val="nil"/>
              <w:bottom w:val="nil"/>
              <w:right w:val="nil"/>
            </w:tcBorders>
            <w:shd w:val="solid" w:color="FFFFFF" w:fill="auto"/>
          </w:tcPr>
          <w:p w14:paraId="3B4F8684"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Homeleigh</w:t>
            </w:r>
          </w:p>
        </w:tc>
      </w:tr>
      <w:tr w:rsidR="006D72D5" w:rsidRPr="00CD0B41" w14:paraId="3B4F868A" w14:textId="77777777" w:rsidTr="00BA6C55">
        <w:trPr>
          <w:trHeight w:val="227"/>
        </w:trPr>
        <w:tc>
          <w:tcPr>
            <w:tcW w:w="4425" w:type="dxa"/>
            <w:tcBorders>
              <w:top w:val="nil"/>
              <w:left w:val="nil"/>
              <w:bottom w:val="nil"/>
              <w:right w:val="nil"/>
            </w:tcBorders>
            <w:shd w:val="solid" w:color="FFFFFF" w:fill="auto"/>
          </w:tcPr>
          <w:p w14:paraId="3B4F868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8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8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EDWK02_06</w:t>
            </w:r>
          </w:p>
        </w:tc>
        <w:tc>
          <w:tcPr>
            <w:tcW w:w="2551" w:type="dxa"/>
            <w:tcBorders>
              <w:top w:val="nil"/>
              <w:left w:val="nil"/>
              <w:bottom w:val="nil"/>
              <w:right w:val="nil"/>
            </w:tcBorders>
            <w:shd w:val="solid" w:color="FFFFFF" w:fill="auto"/>
          </w:tcPr>
          <w:p w14:paraId="3B4F8689"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Widgee, Wakool River1</w:t>
            </w:r>
          </w:p>
        </w:tc>
      </w:tr>
      <w:tr w:rsidR="006D72D5" w:rsidRPr="00CD0B41" w14:paraId="3B4F868F" w14:textId="77777777" w:rsidTr="00BA6C55">
        <w:trPr>
          <w:trHeight w:val="227"/>
        </w:trPr>
        <w:tc>
          <w:tcPr>
            <w:tcW w:w="4425" w:type="dxa"/>
            <w:tcBorders>
              <w:top w:val="nil"/>
              <w:left w:val="nil"/>
              <w:bottom w:val="nil"/>
              <w:right w:val="nil"/>
            </w:tcBorders>
            <w:shd w:val="solid" w:color="FFFFFF" w:fill="auto"/>
          </w:tcPr>
          <w:p w14:paraId="3B4F868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Wakool River</w:t>
            </w:r>
          </w:p>
        </w:tc>
        <w:tc>
          <w:tcPr>
            <w:tcW w:w="708" w:type="dxa"/>
            <w:tcBorders>
              <w:top w:val="nil"/>
              <w:left w:val="nil"/>
              <w:bottom w:val="nil"/>
              <w:right w:val="nil"/>
            </w:tcBorders>
          </w:tcPr>
          <w:p w14:paraId="3B4F868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02</w:t>
            </w:r>
          </w:p>
        </w:tc>
        <w:tc>
          <w:tcPr>
            <w:tcW w:w="1418" w:type="dxa"/>
            <w:tcBorders>
              <w:top w:val="nil"/>
              <w:left w:val="nil"/>
              <w:bottom w:val="nil"/>
              <w:right w:val="nil"/>
            </w:tcBorders>
          </w:tcPr>
          <w:p w14:paraId="3B4F868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EDWK02_07</w:t>
            </w:r>
          </w:p>
        </w:tc>
        <w:tc>
          <w:tcPr>
            <w:tcW w:w="2551" w:type="dxa"/>
            <w:tcBorders>
              <w:top w:val="nil"/>
              <w:left w:val="nil"/>
              <w:bottom w:val="nil"/>
              <w:right w:val="nil"/>
            </w:tcBorders>
            <w:shd w:val="solid" w:color="FFFFFF" w:fill="auto"/>
          </w:tcPr>
          <w:p w14:paraId="3B4F868E"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Widgee, Wakool River2</w:t>
            </w:r>
          </w:p>
        </w:tc>
      </w:tr>
      <w:tr w:rsidR="006D72D5" w:rsidRPr="00CD0B41" w14:paraId="3B4F8694" w14:textId="77777777" w:rsidTr="00BA6C55">
        <w:trPr>
          <w:trHeight w:val="227"/>
        </w:trPr>
        <w:tc>
          <w:tcPr>
            <w:tcW w:w="4425" w:type="dxa"/>
            <w:tcBorders>
              <w:top w:val="nil"/>
              <w:left w:val="nil"/>
              <w:bottom w:val="nil"/>
              <w:right w:val="nil"/>
            </w:tcBorders>
            <w:shd w:val="solid" w:color="FFFFFF" w:fill="auto"/>
          </w:tcPr>
          <w:p w14:paraId="3B4F869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9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9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EDWK03_01</w:t>
            </w:r>
          </w:p>
        </w:tc>
        <w:tc>
          <w:tcPr>
            <w:tcW w:w="2551" w:type="dxa"/>
            <w:tcBorders>
              <w:top w:val="nil"/>
              <w:left w:val="nil"/>
              <w:bottom w:val="nil"/>
              <w:right w:val="nil"/>
            </w:tcBorders>
            <w:shd w:val="solid" w:color="FFFFFF" w:fill="auto"/>
          </w:tcPr>
          <w:p w14:paraId="3B4F8693"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Talkook</w:t>
            </w:r>
          </w:p>
        </w:tc>
      </w:tr>
      <w:tr w:rsidR="006D72D5" w:rsidRPr="00CD0B41" w14:paraId="3B4F8699" w14:textId="77777777" w:rsidTr="00BA6C55">
        <w:trPr>
          <w:trHeight w:val="227"/>
        </w:trPr>
        <w:tc>
          <w:tcPr>
            <w:tcW w:w="4425" w:type="dxa"/>
            <w:tcBorders>
              <w:top w:val="nil"/>
              <w:left w:val="nil"/>
              <w:bottom w:val="nil"/>
              <w:right w:val="nil"/>
            </w:tcBorders>
            <w:shd w:val="solid" w:color="FFFFFF" w:fill="auto"/>
          </w:tcPr>
          <w:p w14:paraId="3B4F869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9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9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EDWK03_02</w:t>
            </w:r>
          </w:p>
        </w:tc>
        <w:tc>
          <w:tcPr>
            <w:tcW w:w="2551" w:type="dxa"/>
            <w:tcBorders>
              <w:top w:val="nil"/>
              <w:left w:val="nil"/>
              <w:bottom w:val="nil"/>
              <w:right w:val="nil"/>
            </w:tcBorders>
            <w:shd w:val="solid" w:color="FFFFFF" w:fill="auto"/>
          </w:tcPr>
          <w:p w14:paraId="3B4F8698"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Tralee1</w:t>
            </w:r>
          </w:p>
        </w:tc>
      </w:tr>
      <w:tr w:rsidR="006D72D5" w:rsidRPr="00CD0B41" w14:paraId="3B4F869E" w14:textId="77777777" w:rsidTr="00BA6C55">
        <w:trPr>
          <w:trHeight w:val="227"/>
        </w:trPr>
        <w:tc>
          <w:tcPr>
            <w:tcW w:w="4425" w:type="dxa"/>
            <w:tcBorders>
              <w:top w:val="nil"/>
              <w:left w:val="nil"/>
              <w:bottom w:val="nil"/>
              <w:right w:val="nil"/>
            </w:tcBorders>
            <w:shd w:val="solid" w:color="FFFFFF" w:fill="auto"/>
          </w:tcPr>
          <w:p w14:paraId="3B4F869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9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9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EDWK03_03</w:t>
            </w:r>
          </w:p>
        </w:tc>
        <w:tc>
          <w:tcPr>
            <w:tcW w:w="2551" w:type="dxa"/>
            <w:tcBorders>
              <w:top w:val="nil"/>
              <w:left w:val="nil"/>
              <w:bottom w:val="nil"/>
              <w:right w:val="nil"/>
            </w:tcBorders>
            <w:shd w:val="solid" w:color="FFFFFF" w:fill="auto"/>
          </w:tcPr>
          <w:p w14:paraId="3B4F869D"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Tralee2</w:t>
            </w:r>
          </w:p>
        </w:tc>
      </w:tr>
      <w:tr w:rsidR="006D72D5" w:rsidRPr="00CD0B41" w14:paraId="3B4F86A3" w14:textId="77777777" w:rsidTr="00BA6C55">
        <w:trPr>
          <w:trHeight w:val="227"/>
        </w:trPr>
        <w:tc>
          <w:tcPr>
            <w:tcW w:w="4425" w:type="dxa"/>
            <w:tcBorders>
              <w:top w:val="nil"/>
              <w:left w:val="nil"/>
              <w:bottom w:val="nil"/>
              <w:right w:val="nil"/>
            </w:tcBorders>
            <w:shd w:val="solid" w:color="FFFFFF" w:fill="auto"/>
          </w:tcPr>
          <w:p w14:paraId="3B4F869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A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A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EDWK03_04</w:t>
            </w:r>
          </w:p>
        </w:tc>
        <w:tc>
          <w:tcPr>
            <w:tcW w:w="2551" w:type="dxa"/>
            <w:tcBorders>
              <w:top w:val="nil"/>
              <w:left w:val="nil"/>
              <w:bottom w:val="nil"/>
              <w:right w:val="nil"/>
            </w:tcBorders>
            <w:shd w:val="solid" w:color="FFFFFF" w:fill="auto"/>
          </w:tcPr>
          <w:p w14:paraId="3B4F86A2"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Rail Bridge DS</w:t>
            </w:r>
          </w:p>
        </w:tc>
      </w:tr>
      <w:tr w:rsidR="006D72D5" w:rsidRPr="00CD0B41" w14:paraId="3B4F86A8" w14:textId="77777777" w:rsidTr="00BA6C55">
        <w:trPr>
          <w:trHeight w:val="227"/>
        </w:trPr>
        <w:tc>
          <w:tcPr>
            <w:tcW w:w="4425" w:type="dxa"/>
            <w:tcBorders>
              <w:top w:val="nil"/>
              <w:left w:val="nil"/>
              <w:bottom w:val="nil"/>
              <w:right w:val="nil"/>
            </w:tcBorders>
            <w:shd w:val="solid" w:color="FFFFFF" w:fill="auto"/>
          </w:tcPr>
          <w:p w14:paraId="3B4F86A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A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A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EDWK03_05</w:t>
            </w:r>
          </w:p>
        </w:tc>
        <w:tc>
          <w:tcPr>
            <w:tcW w:w="2551" w:type="dxa"/>
            <w:tcBorders>
              <w:top w:val="nil"/>
              <w:left w:val="nil"/>
              <w:bottom w:val="nil"/>
              <w:right w:val="nil"/>
            </w:tcBorders>
            <w:shd w:val="solid" w:color="FFFFFF" w:fill="auto"/>
          </w:tcPr>
          <w:p w14:paraId="3B4F86A7"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Cummins</w:t>
            </w:r>
          </w:p>
        </w:tc>
      </w:tr>
      <w:tr w:rsidR="006D72D5" w:rsidRPr="00CD0B41" w14:paraId="3B4F86AD" w14:textId="77777777" w:rsidTr="00BA6C55">
        <w:trPr>
          <w:trHeight w:val="227"/>
        </w:trPr>
        <w:tc>
          <w:tcPr>
            <w:tcW w:w="4425" w:type="dxa"/>
            <w:tcBorders>
              <w:top w:val="nil"/>
              <w:left w:val="nil"/>
              <w:bottom w:val="nil"/>
              <w:right w:val="nil"/>
            </w:tcBorders>
            <w:shd w:val="solid" w:color="FFFFFF" w:fill="auto"/>
          </w:tcPr>
          <w:p w14:paraId="3B4F86A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A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A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EDWK03_06</w:t>
            </w:r>
          </w:p>
        </w:tc>
        <w:tc>
          <w:tcPr>
            <w:tcW w:w="2551" w:type="dxa"/>
            <w:tcBorders>
              <w:top w:val="nil"/>
              <w:left w:val="nil"/>
              <w:bottom w:val="nil"/>
              <w:right w:val="nil"/>
            </w:tcBorders>
            <w:shd w:val="solid" w:color="FFFFFF" w:fill="auto"/>
          </w:tcPr>
          <w:p w14:paraId="3B4F86AC"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Ramley1</w:t>
            </w:r>
          </w:p>
        </w:tc>
      </w:tr>
      <w:tr w:rsidR="006D72D5" w:rsidRPr="00CD0B41" w14:paraId="3B4F86B2" w14:textId="77777777" w:rsidTr="00BA6C55">
        <w:trPr>
          <w:trHeight w:val="227"/>
        </w:trPr>
        <w:tc>
          <w:tcPr>
            <w:tcW w:w="4425" w:type="dxa"/>
            <w:tcBorders>
              <w:top w:val="nil"/>
              <w:left w:val="nil"/>
              <w:bottom w:val="nil"/>
              <w:right w:val="nil"/>
            </w:tcBorders>
            <w:shd w:val="solid" w:color="FFFFFF" w:fill="auto"/>
          </w:tcPr>
          <w:p w14:paraId="3B4F86A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A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B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EDWK03_07</w:t>
            </w:r>
          </w:p>
        </w:tc>
        <w:tc>
          <w:tcPr>
            <w:tcW w:w="2551" w:type="dxa"/>
            <w:tcBorders>
              <w:top w:val="nil"/>
              <w:left w:val="nil"/>
              <w:bottom w:val="nil"/>
              <w:right w:val="nil"/>
            </w:tcBorders>
            <w:shd w:val="solid" w:color="FFFFFF" w:fill="auto"/>
          </w:tcPr>
          <w:p w14:paraId="3B4F86B1"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Ramley2</w:t>
            </w:r>
          </w:p>
        </w:tc>
      </w:tr>
      <w:tr w:rsidR="006D72D5" w:rsidRPr="00CD0B41" w14:paraId="3B4F86B7" w14:textId="77777777" w:rsidTr="00BA6C55">
        <w:trPr>
          <w:trHeight w:val="227"/>
        </w:trPr>
        <w:tc>
          <w:tcPr>
            <w:tcW w:w="4425" w:type="dxa"/>
            <w:tcBorders>
              <w:top w:val="nil"/>
              <w:left w:val="nil"/>
              <w:bottom w:val="nil"/>
              <w:right w:val="nil"/>
            </w:tcBorders>
            <w:shd w:val="solid" w:color="FFFFFF" w:fill="auto"/>
          </w:tcPr>
          <w:p w14:paraId="3B4F86B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B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B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EDWK03_08</w:t>
            </w:r>
          </w:p>
        </w:tc>
        <w:tc>
          <w:tcPr>
            <w:tcW w:w="2551" w:type="dxa"/>
            <w:tcBorders>
              <w:top w:val="nil"/>
              <w:left w:val="nil"/>
              <w:bottom w:val="nil"/>
              <w:right w:val="nil"/>
            </w:tcBorders>
            <w:shd w:val="solid" w:color="FFFFFF" w:fill="auto"/>
          </w:tcPr>
          <w:p w14:paraId="3B4F86B6"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Yancoola</w:t>
            </w:r>
          </w:p>
        </w:tc>
      </w:tr>
      <w:tr w:rsidR="006D72D5" w:rsidRPr="00CD0B41" w14:paraId="3B4F86BC" w14:textId="77777777" w:rsidTr="00BA6C55">
        <w:trPr>
          <w:trHeight w:val="227"/>
        </w:trPr>
        <w:tc>
          <w:tcPr>
            <w:tcW w:w="4425" w:type="dxa"/>
            <w:tcBorders>
              <w:top w:val="nil"/>
              <w:left w:val="nil"/>
              <w:bottom w:val="nil"/>
              <w:right w:val="nil"/>
            </w:tcBorders>
            <w:shd w:val="solid" w:color="FFFFFF" w:fill="auto"/>
          </w:tcPr>
          <w:p w14:paraId="3B4F86B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B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B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EDWK03_09</w:t>
            </w:r>
          </w:p>
        </w:tc>
        <w:tc>
          <w:tcPr>
            <w:tcW w:w="2551" w:type="dxa"/>
            <w:tcBorders>
              <w:top w:val="nil"/>
              <w:left w:val="nil"/>
              <w:bottom w:val="nil"/>
              <w:right w:val="nil"/>
            </w:tcBorders>
            <w:shd w:val="solid" w:color="FFFFFF" w:fill="auto"/>
          </w:tcPr>
          <w:p w14:paraId="3B4F86BB"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Llanos Park1</w:t>
            </w:r>
          </w:p>
        </w:tc>
      </w:tr>
      <w:tr w:rsidR="006D72D5" w:rsidRPr="00CD0B41" w14:paraId="3B4F86C1" w14:textId="77777777" w:rsidTr="00BA6C55">
        <w:trPr>
          <w:trHeight w:val="227"/>
        </w:trPr>
        <w:tc>
          <w:tcPr>
            <w:tcW w:w="4425" w:type="dxa"/>
            <w:tcBorders>
              <w:top w:val="nil"/>
              <w:left w:val="nil"/>
              <w:bottom w:val="nil"/>
              <w:right w:val="nil"/>
            </w:tcBorders>
            <w:shd w:val="solid" w:color="FFFFFF" w:fill="auto"/>
          </w:tcPr>
          <w:p w14:paraId="3B4F86B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(upstream Thule Creek)</w:t>
            </w:r>
          </w:p>
        </w:tc>
        <w:tc>
          <w:tcPr>
            <w:tcW w:w="708" w:type="dxa"/>
            <w:tcBorders>
              <w:top w:val="nil"/>
              <w:left w:val="nil"/>
              <w:bottom w:val="nil"/>
              <w:right w:val="nil"/>
            </w:tcBorders>
          </w:tcPr>
          <w:p w14:paraId="3B4F86B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03</w:t>
            </w:r>
          </w:p>
        </w:tc>
        <w:tc>
          <w:tcPr>
            <w:tcW w:w="1418" w:type="dxa"/>
            <w:tcBorders>
              <w:top w:val="nil"/>
              <w:left w:val="nil"/>
              <w:bottom w:val="nil"/>
              <w:right w:val="nil"/>
            </w:tcBorders>
          </w:tcPr>
          <w:p w14:paraId="3B4F86B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EDWK03_10</w:t>
            </w:r>
          </w:p>
        </w:tc>
        <w:tc>
          <w:tcPr>
            <w:tcW w:w="2551" w:type="dxa"/>
            <w:tcBorders>
              <w:top w:val="nil"/>
              <w:left w:val="nil"/>
              <w:bottom w:val="nil"/>
              <w:right w:val="nil"/>
            </w:tcBorders>
            <w:shd w:val="solid" w:color="FFFFFF" w:fill="auto"/>
          </w:tcPr>
          <w:p w14:paraId="3B4F86C0"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Llanos Park2</w:t>
            </w:r>
          </w:p>
        </w:tc>
      </w:tr>
      <w:tr w:rsidR="006D72D5" w:rsidRPr="00CD0B41" w14:paraId="3B4F86C6" w14:textId="77777777" w:rsidTr="00BA6C55">
        <w:trPr>
          <w:trHeight w:val="227"/>
        </w:trPr>
        <w:tc>
          <w:tcPr>
            <w:tcW w:w="4425" w:type="dxa"/>
            <w:tcBorders>
              <w:top w:val="nil"/>
              <w:left w:val="nil"/>
              <w:bottom w:val="nil"/>
              <w:right w:val="nil"/>
            </w:tcBorders>
            <w:shd w:val="solid" w:color="FFFFFF" w:fill="auto"/>
          </w:tcPr>
          <w:p w14:paraId="3B4F86C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Thule Creek)</w:t>
            </w:r>
          </w:p>
        </w:tc>
        <w:tc>
          <w:tcPr>
            <w:tcW w:w="708" w:type="dxa"/>
            <w:tcBorders>
              <w:top w:val="nil"/>
              <w:left w:val="nil"/>
              <w:bottom w:val="nil"/>
              <w:right w:val="nil"/>
            </w:tcBorders>
          </w:tcPr>
          <w:p w14:paraId="3B4F86C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04</w:t>
            </w:r>
          </w:p>
        </w:tc>
        <w:tc>
          <w:tcPr>
            <w:tcW w:w="1418" w:type="dxa"/>
            <w:tcBorders>
              <w:top w:val="nil"/>
              <w:left w:val="nil"/>
              <w:bottom w:val="nil"/>
              <w:right w:val="nil"/>
            </w:tcBorders>
          </w:tcPr>
          <w:p w14:paraId="3B4F86C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EDWK04_01</w:t>
            </w:r>
          </w:p>
        </w:tc>
        <w:tc>
          <w:tcPr>
            <w:tcW w:w="2551" w:type="dxa"/>
            <w:tcBorders>
              <w:top w:val="nil"/>
              <w:left w:val="nil"/>
              <w:bottom w:val="nil"/>
              <w:right w:val="nil"/>
            </w:tcBorders>
            <w:shd w:val="solid" w:color="FFFFFF" w:fill="auto"/>
          </w:tcPr>
          <w:p w14:paraId="3B4F86C5"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Barham Bridge</w:t>
            </w:r>
          </w:p>
        </w:tc>
      </w:tr>
      <w:tr w:rsidR="006D72D5" w:rsidRPr="00CD0B41" w14:paraId="3B4F86CB" w14:textId="77777777" w:rsidTr="00BA6C55">
        <w:trPr>
          <w:trHeight w:val="227"/>
        </w:trPr>
        <w:tc>
          <w:tcPr>
            <w:tcW w:w="4425" w:type="dxa"/>
            <w:tcBorders>
              <w:top w:val="nil"/>
              <w:left w:val="nil"/>
              <w:bottom w:val="nil"/>
              <w:right w:val="nil"/>
            </w:tcBorders>
            <w:shd w:val="solid" w:color="FFFFFF" w:fill="auto"/>
          </w:tcPr>
          <w:p w14:paraId="3B4F86C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Thule Creek)</w:t>
            </w:r>
          </w:p>
        </w:tc>
        <w:tc>
          <w:tcPr>
            <w:tcW w:w="708" w:type="dxa"/>
            <w:tcBorders>
              <w:top w:val="nil"/>
              <w:left w:val="nil"/>
              <w:bottom w:val="nil"/>
              <w:right w:val="nil"/>
            </w:tcBorders>
          </w:tcPr>
          <w:p w14:paraId="3B4F86C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04</w:t>
            </w:r>
          </w:p>
        </w:tc>
        <w:tc>
          <w:tcPr>
            <w:tcW w:w="1418" w:type="dxa"/>
            <w:tcBorders>
              <w:top w:val="nil"/>
              <w:left w:val="nil"/>
              <w:bottom w:val="nil"/>
              <w:right w:val="nil"/>
            </w:tcBorders>
          </w:tcPr>
          <w:p w14:paraId="3B4F86C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EDWK04_02</w:t>
            </w:r>
          </w:p>
        </w:tc>
        <w:tc>
          <w:tcPr>
            <w:tcW w:w="2551" w:type="dxa"/>
            <w:tcBorders>
              <w:top w:val="nil"/>
              <w:left w:val="nil"/>
              <w:bottom w:val="nil"/>
              <w:right w:val="nil"/>
            </w:tcBorders>
            <w:shd w:val="solid" w:color="FFFFFF" w:fill="auto"/>
          </w:tcPr>
          <w:p w14:paraId="3B4F86CA"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Possum Reserve</w:t>
            </w:r>
          </w:p>
        </w:tc>
      </w:tr>
      <w:tr w:rsidR="006D72D5" w:rsidRPr="00CD0B41" w14:paraId="3B4F86D0" w14:textId="77777777" w:rsidTr="00BA6C55">
        <w:trPr>
          <w:trHeight w:val="227"/>
        </w:trPr>
        <w:tc>
          <w:tcPr>
            <w:tcW w:w="4425" w:type="dxa"/>
            <w:tcBorders>
              <w:top w:val="nil"/>
              <w:left w:val="nil"/>
              <w:bottom w:val="nil"/>
              <w:right w:val="nil"/>
            </w:tcBorders>
            <w:shd w:val="solid" w:color="FFFFFF" w:fill="auto"/>
          </w:tcPr>
          <w:p w14:paraId="3B4F86C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Thule Creek)</w:t>
            </w:r>
          </w:p>
        </w:tc>
        <w:tc>
          <w:tcPr>
            <w:tcW w:w="708" w:type="dxa"/>
            <w:tcBorders>
              <w:top w:val="nil"/>
              <w:left w:val="nil"/>
              <w:bottom w:val="nil"/>
              <w:right w:val="nil"/>
            </w:tcBorders>
          </w:tcPr>
          <w:p w14:paraId="3B4F86C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04</w:t>
            </w:r>
          </w:p>
        </w:tc>
        <w:tc>
          <w:tcPr>
            <w:tcW w:w="1418" w:type="dxa"/>
            <w:tcBorders>
              <w:top w:val="nil"/>
              <w:left w:val="nil"/>
              <w:bottom w:val="nil"/>
              <w:right w:val="nil"/>
            </w:tcBorders>
          </w:tcPr>
          <w:p w14:paraId="3B4F86C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EDWK04_03</w:t>
            </w:r>
          </w:p>
        </w:tc>
        <w:tc>
          <w:tcPr>
            <w:tcW w:w="2551" w:type="dxa"/>
            <w:tcBorders>
              <w:top w:val="nil"/>
              <w:left w:val="nil"/>
              <w:bottom w:val="nil"/>
              <w:right w:val="nil"/>
            </w:tcBorders>
            <w:shd w:val="solid" w:color="FFFFFF" w:fill="auto"/>
          </w:tcPr>
          <w:p w14:paraId="3B4F86CF"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Whymoul N</w:t>
            </w:r>
            <w:r>
              <w:rPr>
                <w:rFonts w:asciiTheme="minorHAnsi" w:hAnsiTheme="minorHAnsi" w:cs="Calibri"/>
                <w:color w:val="000000"/>
                <w:sz w:val="20"/>
                <w:lang w:eastAsia="en-AU"/>
              </w:rPr>
              <w:t>ational Park</w:t>
            </w:r>
          </w:p>
        </w:tc>
      </w:tr>
      <w:tr w:rsidR="006D72D5" w:rsidRPr="00CD0B41" w14:paraId="3B4F86D5" w14:textId="77777777" w:rsidTr="00BA6C55">
        <w:trPr>
          <w:trHeight w:val="227"/>
        </w:trPr>
        <w:tc>
          <w:tcPr>
            <w:tcW w:w="4425" w:type="dxa"/>
            <w:tcBorders>
              <w:top w:val="nil"/>
              <w:left w:val="nil"/>
              <w:bottom w:val="nil"/>
              <w:right w:val="nil"/>
            </w:tcBorders>
            <w:shd w:val="solid" w:color="FFFFFF" w:fill="auto"/>
          </w:tcPr>
          <w:p w14:paraId="3B4F86D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Thule Creek)</w:t>
            </w:r>
          </w:p>
        </w:tc>
        <w:tc>
          <w:tcPr>
            <w:tcW w:w="708" w:type="dxa"/>
            <w:tcBorders>
              <w:top w:val="nil"/>
              <w:left w:val="nil"/>
              <w:bottom w:val="nil"/>
              <w:right w:val="nil"/>
            </w:tcBorders>
          </w:tcPr>
          <w:p w14:paraId="3B4F86D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04</w:t>
            </w:r>
          </w:p>
        </w:tc>
        <w:tc>
          <w:tcPr>
            <w:tcW w:w="1418" w:type="dxa"/>
            <w:tcBorders>
              <w:top w:val="nil"/>
              <w:left w:val="nil"/>
              <w:bottom w:val="nil"/>
              <w:right w:val="nil"/>
            </w:tcBorders>
          </w:tcPr>
          <w:p w14:paraId="3B4F86D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EDWK04_04</w:t>
            </w:r>
          </w:p>
        </w:tc>
        <w:tc>
          <w:tcPr>
            <w:tcW w:w="2551" w:type="dxa"/>
            <w:tcBorders>
              <w:top w:val="nil"/>
              <w:left w:val="nil"/>
              <w:bottom w:val="nil"/>
              <w:right w:val="nil"/>
            </w:tcBorders>
            <w:shd w:val="solid" w:color="FFFFFF" w:fill="auto"/>
          </w:tcPr>
          <w:p w14:paraId="3B4F86D4"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Yarranvale</w:t>
            </w:r>
          </w:p>
        </w:tc>
      </w:tr>
      <w:tr w:rsidR="006D72D5" w:rsidRPr="00CD0B41" w14:paraId="3B4F86DA" w14:textId="77777777" w:rsidTr="00BA6C55">
        <w:trPr>
          <w:trHeight w:val="227"/>
        </w:trPr>
        <w:tc>
          <w:tcPr>
            <w:tcW w:w="4425" w:type="dxa"/>
            <w:tcBorders>
              <w:top w:val="nil"/>
              <w:left w:val="nil"/>
              <w:bottom w:val="nil"/>
              <w:right w:val="nil"/>
            </w:tcBorders>
            <w:shd w:val="solid" w:color="FFFFFF" w:fill="auto"/>
          </w:tcPr>
          <w:p w14:paraId="3B4F86D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Thule Creek)</w:t>
            </w:r>
          </w:p>
        </w:tc>
        <w:tc>
          <w:tcPr>
            <w:tcW w:w="708" w:type="dxa"/>
            <w:tcBorders>
              <w:top w:val="nil"/>
              <w:left w:val="nil"/>
              <w:bottom w:val="nil"/>
              <w:right w:val="nil"/>
            </w:tcBorders>
          </w:tcPr>
          <w:p w14:paraId="3B4F86D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04</w:t>
            </w:r>
          </w:p>
        </w:tc>
        <w:tc>
          <w:tcPr>
            <w:tcW w:w="1418" w:type="dxa"/>
            <w:tcBorders>
              <w:top w:val="nil"/>
              <w:left w:val="nil"/>
              <w:bottom w:val="nil"/>
              <w:right w:val="nil"/>
            </w:tcBorders>
          </w:tcPr>
          <w:p w14:paraId="3B4F86D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EDWK04_05</w:t>
            </w:r>
          </w:p>
        </w:tc>
        <w:tc>
          <w:tcPr>
            <w:tcW w:w="2551" w:type="dxa"/>
            <w:tcBorders>
              <w:top w:val="nil"/>
              <w:left w:val="nil"/>
              <w:bottom w:val="nil"/>
              <w:right w:val="nil"/>
            </w:tcBorders>
            <w:shd w:val="solid" w:color="FFFFFF" w:fill="auto"/>
          </w:tcPr>
          <w:p w14:paraId="3B4F86D9"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Noorong1</w:t>
            </w:r>
          </w:p>
        </w:tc>
      </w:tr>
      <w:tr w:rsidR="006D72D5" w:rsidRPr="00CD0B41" w14:paraId="3B4F86DF" w14:textId="77777777" w:rsidTr="00BA6C55">
        <w:trPr>
          <w:trHeight w:val="227"/>
        </w:trPr>
        <w:tc>
          <w:tcPr>
            <w:tcW w:w="4425" w:type="dxa"/>
            <w:tcBorders>
              <w:top w:val="nil"/>
              <w:left w:val="nil"/>
              <w:bottom w:val="nil"/>
              <w:right w:val="nil"/>
            </w:tcBorders>
            <w:shd w:val="solid" w:color="FFFFFF" w:fill="auto"/>
          </w:tcPr>
          <w:p w14:paraId="3B4F86D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Thule Creek)</w:t>
            </w:r>
          </w:p>
        </w:tc>
        <w:tc>
          <w:tcPr>
            <w:tcW w:w="708" w:type="dxa"/>
            <w:tcBorders>
              <w:top w:val="nil"/>
              <w:left w:val="nil"/>
              <w:bottom w:val="nil"/>
              <w:right w:val="nil"/>
            </w:tcBorders>
          </w:tcPr>
          <w:p w14:paraId="3B4F86D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04</w:t>
            </w:r>
          </w:p>
        </w:tc>
        <w:tc>
          <w:tcPr>
            <w:tcW w:w="1418" w:type="dxa"/>
            <w:tcBorders>
              <w:top w:val="nil"/>
              <w:left w:val="nil"/>
              <w:bottom w:val="nil"/>
              <w:right w:val="nil"/>
            </w:tcBorders>
          </w:tcPr>
          <w:p w14:paraId="3B4F86D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EDWK04_06</w:t>
            </w:r>
          </w:p>
        </w:tc>
        <w:tc>
          <w:tcPr>
            <w:tcW w:w="2551" w:type="dxa"/>
            <w:tcBorders>
              <w:top w:val="nil"/>
              <w:left w:val="nil"/>
              <w:bottom w:val="nil"/>
              <w:right w:val="nil"/>
            </w:tcBorders>
            <w:shd w:val="solid" w:color="FFFFFF" w:fill="auto"/>
          </w:tcPr>
          <w:p w14:paraId="3B4F86DE"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Noorong2</w:t>
            </w:r>
          </w:p>
        </w:tc>
      </w:tr>
      <w:tr w:rsidR="006D72D5" w:rsidRPr="00CD0B41" w14:paraId="3B4F86E4" w14:textId="77777777" w:rsidTr="00BA6C55">
        <w:trPr>
          <w:trHeight w:val="227"/>
        </w:trPr>
        <w:tc>
          <w:tcPr>
            <w:tcW w:w="4425" w:type="dxa"/>
            <w:tcBorders>
              <w:top w:val="nil"/>
              <w:left w:val="nil"/>
              <w:bottom w:val="nil"/>
              <w:right w:val="nil"/>
            </w:tcBorders>
            <w:shd w:val="solid" w:color="FFFFFF" w:fill="auto"/>
          </w:tcPr>
          <w:p w14:paraId="3B4F86E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Barbers Creek)</w:t>
            </w:r>
          </w:p>
        </w:tc>
        <w:tc>
          <w:tcPr>
            <w:tcW w:w="708" w:type="dxa"/>
            <w:tcBorders>
              <w:top w:val="nil"/>
              <w:left w:val="nil"/>
              <w:bottom w:val="nil"/>
              <w:right w:val="nil"/>
            </w:tcBorders>
          </w:tcPr>
          <w:p w14:paraId="3B4F86E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05</w:t>
            </w:r>
          </w:p>
        </w:tc>
        <w:tc>
          <w:tcPr>
            <w:tcW w:w="1418" w:type="dxa"/>
            <w:tcBorders>
              <w:top w:val="nil"/>
              <w:left w:val="nil"/>
              <w:bottom w:val="nil"/>
              <w:right w:val="nil"/>
            </w:tcBorders>
          </w:tcPr>
          <w:p w14:paraId="3B4F86E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EDWK05_01</w:t>
            </w:r>
          </w:p>
        </w:tc>
        <w:tc>
          <w:tcPr>
            <w:tcW w:w="2551" w:type="dxa"/>
            <w:tcBorders>
              <w:top w:val="nil"/>
              <w:left w:val="nil"/>
              <w:bottom w:val="nil"/>
              <w:right w:val="nil"/>
            </w:tcBorders>
            <w:shd w:val="solid" w:color="FFFFFF" w:fill="auto"/>
          </w:tcPr>
          <w:p w14:paraId="3B4F86E3"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La Rosa</w:t>
            </w:r>
          </w:p>
        </w:tc>
      </w:tr>
      <w:tr w:rsidR="006D72D5" w:rsidRPr="00CD0B41" w14:paraId="3B4F86E9" w14:textId="77777777" w:rsidTr="00BA6C55">
        <w:trPr>
          <w:trHeight w:val="227"/>
        </w:trPr>
        <w:tc>
          <w:tcPr>
            <w:tcW w:w="4425" w:type="dxa"/>
            <w:tcBorders>
              <w:top w:val="nil"/>
              <w:left w:val="nil"/>
              <w:bottom w:val="nil"/>
              <w:right w:val="nil"/>
            </w:tcBorders>
            <w:shd w:val="solid" w:color="FFFFFF" w:fill="auto"/>
          </w:tcPr>
          <w:p w14:paraId="3B4F86E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Barbers Creek)</w:t>
            </w:r>
          </w:p>
        </w:tc>
        <w:tc>
          <w:tcPr>
            <w:tcW w:w="708" w:type="dxa"/>
            <w:tcBorders>
              <w:top w:val="nil"/>
              <w:left w:val="nil"/>
              <w:bottom w:val="nil"/>
              <w:right w:val="nil"/>
            </w:tcBorders>
          </w:tcPr>
          <w:p w14:paraId="3B4F86E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05</w:t>
            </w:r>
          </w:p>
        </w:tc>
        <w:tc>
          <w:tcPr>
            <w:tcW w:w="1418" w:type="dxa"/>
            <w:tcBorders>
              <w:top w:val="nil"/>
              <w:left w:val="nil"/>
              <w:bottom w:val="nil"/>
              <w:right w:val="nil"/>
            </w:tcBorders>
          </w:tcPr>
          <w:p w14:paraId="3B4F86E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EDWK05_02</w:t>
            </w:r>
          </w:p>
        </w:tc>
        <w:tc>
          <w:tcPr>
            <w:tcW w:w="2551" w:type="dxa"/>
            <w:tcBorders>
              <w:top w:val="nil"/>
              <w:left w:val="nil"/>
              <w:bottom w:val="nil"/>
              <w:right w:val="nil"/>
            </w:tcBorders>
            <w:shd w:val="solid" w:color="FFFFFF" w:fill="auto"/>
          </w:tcPr>
          <w:p w14:paraId="3B4F86E8"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Gee Gee Bridge</w:t>
            </w:r>
          </w:p>
        </w:tc>
      </w:tr>
      <w:tr w:rsidR="006D72D5" w:rsidRPr="00CD0B41" w14:paraId="3B4F86EE" w14:textId="77777777" w:rsidTr="00BA6C55">
        <w:trPr>
          <w:trHeight w:val="227"/>
        </w:trPr>
        <w:tc>
          <w:tcPr>
            <w:tcW w:w="4425" w:type="dxa"/>
            <w:tcBorders>
              <w:top w:val="nil"/>
              <w:left w:val="nil"/>
              <w:bottom w:val="nil"/>
              <w:right w:val="nil"/>
            </w:tcBorders>
            <w:shd w:val="solid" w:color="FFFFFF" w:fill="auto"/>
          </w:tcPr>
          <w:p w14:paraId="3B4F86E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Wakool River (downstream Barbers Creek)</w:t>
            </w:r>
          </w:p>
        </w:tc>
        <w:tc>
          <w:tcPr>
            <w:tcW w:w="708" w:type="dxa"/>
            <w:tcBorders>
              <w:top w:val="nil"/>
              <w:left w:val="nil"/>
              <w:bottom w:val="nil"/>
              <w:right w:val="nil"/>
            </w:tcBorders>
          </w:tcPr>
          <w:p w14:paraId="3B4F86E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05</w:t>
            </w:r>
          </w:p>
        </w:tc>
        <w:tc>
          <w:tcPr>
            <w:tcW w:w="1418" w:type="dxa"/>
            <w:tcBorders>
              <w:top w:val="nil"/>
              <w:left w:val="nil"/>
              <w:bottom w:val="nil"/>
              <w:right w:val="nil"/>
            </w:tcBorders>
          </w:tcPr>
          <w:p w14:paraId="3B4F86E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EDWK05_03</w:t>
            </w:r>
          </w:p>
        </w:tc>
        <w:tc>
          <w:tcPr>
            <w:tcW w:w="2551" w:type="dxa"/>
            <w:tcBorders>
              <w:top w:val="nil"/>
              <w:left w:val="nil"/>
              <w:bottom w:val="nil"/>
              <w:right w:val="nil"/>
            </w:tcBorders>
            <w:shd w:val="solid" w:color="FFFFFF" w:fill="auto"/>
          </w:tcPr>
          <w:p w14:paraId="3B4F86ED"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Glenbar</w:t>
            </w:r>
          </w:p>
        </w:tc>
      </w:tr>
      <w:tr w:rsidR="006D72D5" w:rsidRPr="00CD0B41" w14:paraId="3B4F86F3" w14:textId="77777777" w:rsidTr="00BA6C55">
        <w:trPr>
          <w:trHeight w:val="227"/>
        </w:trPr>
        <w:tc>
          <w:tcPr>
            <w:tcW w:w="4425" w:type="dxa"/>
            <w:tcBorders>
              <w:top w:val="nil"/>
              <w:left w:val="nil"/>
              <w:bottom w:val="nil"/>
              <w:right w:val="nil"/>
            </w:tcBorders>
            <w:shd w:val="solid" w:color="FFFFFF" w:fill="auto"/>
          </w:tcPr>
          <w:p w14:paraId="3B4F86E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Lower Wakool River</w:t>
            </w:r>
          </w:p>
        </w:tc>
        <w:tc>
          <w:tcPr>
            <w:tcW w:w="708" w:type="dxa"/>
            <w:tcBorders>
              <w:top w:val="nil"/>
              <w:left w:val="nil"/>
              <w:bottom w:val="nil"/>
              <w:right w:val="nil"/>
            </w:tcBorders>
          </w:tcPr>
          <w:p w14:paraId="3B4F86F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06</w:t>
            </w:r>
          </w:p>
        </w:tc>
        <w:tc>
          <w:tcPr>
            <w:tcW w:w="1418" w:type="dxa"/>
            <w:tcBorders>
              <w:top w:val="nil"/>
              <w:left w:val="nil"/>
              <w:bottom w:val="nil"/>
              <w:right w:val="nil"/>
            </w:tcBorders>
          </w:tcPr>
          <w:p w14:paraId="3B4F86F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EDWK06_01</w:t>
            </w:r>
          </w:p>
        </w:tc>
        <w:tc>
          <w:tcPr>
            <w:tcW w:w="2551" w:type="dxa"/>
            <w:tcBorders>
              <w:top w:val="nil"/>
              <w:left w:val="nil"/>
              <w:bottom w:val="nil"/>
              <w:right w:val="nil"/>
            </w:tcBorders>
            <w:shd w:val="solid" w:color="FFFFFF" w:fill="auto"/>
          </w:tcPr>
          <w:p w14:paraId="3B4F86F2"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Stoney Creek Crossing</w:t>
            </w:r>
          </w:p>
        </w:tc>
      </w:tr>
      <w:tr w:rsidR="006D72D5" w:rsidRPr="00CD0B41" w14:paraId="3B4F86F8" w14:textId="77777777" w:rsidTr="00BA6C55">
        <w:trPr>
          <w:trHeight w:val="227"/>
        </w:trPr>
        <w:tc>
          <w:tcPr>
            <w:tcW w:w="4425" w:type="dxa"/>
            <w:tcBorders>
              <w:top w:val="nil"/>
              <w:left w:val="nil"/>
              <w:bottom w:val="nil"/>
              <w:right w:val="nil"/>
            </w:tcBorders>
            <w:shd w:val="solid" w:color="FFFFFF" w:fill="auto"/>
          </w:tcPr>
          <w:p w14:paraId="3B4F86F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Colligen Creek</w:t>
            </w:r>
          </w:p>
        </w:tc>
        <w:tc>
          <w:tcPr>
            <w:tcW w:w="708" w:type="dxa"/>
            <w:tcBorders>
              <w:top w:val="nil"/>
              <w:left w:val="nil"/>
              <w:bottom w:val="nil"/>
              <w:right w:val="nil"/>
            </w:tcBorders>
          </w:tcPr>
          <w:p w14:paraId="3B4F86F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08</w:t>
            </w:r>
          </w:p>
        </w:tc>
        <w:tc>
          <w:tcPr>
            <w:tcW w:w="1418" w:type="dxa"/>
            <w:tcBorders>
              <w:top w:val="nil"/>
              <w:left w:val="nil"/>
              <w:bottom w:val="nil"/>
              <w:right w:val="nil"/>
            </w:tcBorders>
          </w:tcPr>
          <w:p w14:paraId="3B4F86F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EDWK08_01</w:t>
            </w:r>
          </w:p>
        </w:tc>
        <w:tc>
          <w:tcPr>
            <w:tcW w:w="2551" w:type="dxa"/>
            <w:tcBorders>
              <w:top w:val="nil"/>
              <w:left w:val="nil"/>
              <w:bottom w:val="nil"/>
              <w:right w:val="nil"/>
            </w:tcBorders>
            <w:shd w:val="solid" w:color="FFFFFF" w:fill="auto"/>
          </w:tcPr>
          <w:p w14:paraId="3B4F86F7"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Calimo</w:t>
            </w:r>
          </w:p>
        </w:tc>
      </w:tr>
      <w:tr w:rsidR="006D72D5" w:rsidRPr="00CD0B41" w14:paraId="3B4F86FD" w14:textId="77777777" w:rsidTr="00BA6C55">
        <w:trPr>
          <w:trHeight w:val="227"/>
        </w:trPr>
        <w:tc>
          <w:tcPr>
            <w:tcW w:w="4425" w:type="dxa"/>
            <w:tcBorders>
              <w:top w:val="nil"/>
              <w:left w:val="nil"/>
              <w:bottom w:val="nil"/>
              <w:right w:val="nil"/>
            </w:tcBorders>
            <w:shd w:val="solid" w:color="FFFFFF" w:fill="auto"/>
          </w:tcPr>
          <w:p w14:paraId="3B4F86F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Colligen Creek</w:t>
            </w:r>
          </w:p>
        </w:tc>
        <w:tc>
          <w:tcPr>
            <w:tcW w:w="708" w:type="dxa"/>
            <w:tcBorders>
              <w:top w:val="nil"/>
              <w:left w:val="nil"/>
              <w:bottom w:val="nil"/>
              <w:right w:val="nil"/>
            </w:tcBorders>
          </w:tcPr>
          <w:p w14:paraId="3B4F86F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08</w:t>
            </w:r>
          </w:p>
        </w:tc>
        <w:tc>
          <w:tcPr>
            <w:tcW w:w="1418" w:type="dxa"/>
            <w:tcBorders>
              <w:top w:val="nil"/>
              <w:left w:val="nil"/>
              <w:bottom w:val="nil"/>
              <w:right w:val="nil"/>
            </w:tcBorders>
          </w:tcPr>
          <w:p w14:paraId="3B4F86F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EDWK08_02</w:t>
            </w:r>
          </w:p>
        </w:tc>
        <w:tc>
          <w:tcPr>
            <w:tcW w:w="2551" w:type="dxa"/>
            <w:tcBorders>
              <w:top w:val="nil"/>
              <w:left w:val="nil"/>
              <w:bottom w:val="nil"/>
              <w:right w:val="nil"/>
            </w:tcBorders>
            <w:shd w:val="solid" w:color="FFFFFF" w:fill="auto"/>
          </w:tcPr>
          <w:p w14:paraId="3B4F86FC"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Werrai Station</w:t>
            </w:r>
          </w:p>
        </w:tc>
      </w:tr>
      <w:tr w:rsidR="006D72D5" w:rsidRPr="00CD0B41" w14:paraId="3B4F8702" w14:textId="77777777" w:rsidTr="00BA6C55">
        <w:trPr>
          <w:trHeight w:val="227"/>
        </w:trPr>
        <w:tc>
          <w:tcPr>
            <w:tcW w:w="4425" w:type="dxa"/>
            <w:tcBorders>
              <w:top w:val="nil"/>
              <w:left w:val="nil"/>
              <w:bottom w:val="nil"/>
              <w:right w:val="nil"/>
            </w:tcBorders>
            <w:shd w:val="solid" w:color="FFFFFF" w:fill="auto"/>
          </w:tcPr>
          <w:p w14:paraId="3B4F86F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Neimur River</w:t>
            </w:r>
          </w:p>
        </w:tc>
        <w:tc>
          <w:tcPr>
            <w:tcW w:w="708" w:type="dxa"/>
            <w:tcBorders>
              <w:top w:val="nil"/>
              <w:left w:val="nil"/>
              <w:bottom w:val="nil"/>
              <w:right w:val="nil"/>
            </w:tcBorders>
          </w:tcPr>
          <w:p w14:paraId="3B4F86F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09</w:t>
            </w:r>
          </w:p>
        </w:tc>
        <w:tc>
          <w:tcPr>
            <w:tcW w:w="1418" w:type="dxa"/>
            <w:tcBorders>
              <w:top w:val="nil"/>
              <w:left w:val="nil"/>
              <w:bottom w:val="nil"/>
              <w:right w:val="nil"/>
            </w:tcBorders>
          </w:tcPr>
          <w:p w14:paraId="3B4F870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EDWK09_01</w:t>
            </w:r>
          </w:p>
        </w:tc>
        <w:tc>
          <w:tcPr>
            <w:tcW w:w="2551" w:type="dxa"/>
            <w:tcBorders>
              <w:top w:val="nil"/>
              <w:left w:val="nil"/>
              <w:bottom w:val="nil"/>
              <w:right w:val="nil"/>
            </w:tcBorders>
            <w:shd w:val="solid" w:color="FFFFFF" w:fill="auto"/>
          </w:tcPr>
          <w:p w14:paraId="3B4F8701"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Burswood Park</w:t>
            </w:r>
          </w:p>
        </w:tc>
      </w:tr>
      <w:tr w:rsidR="006D72D5" w:rsidRPr="00CD0B41" w14:paraId="3B4F8707" w14:textId="77777777" w:rsidTr="00BA6C55">
        <w:trPr>
          <w:trHeight w:val="227"/>
        </w:trPr>
        <w:tc>
          <w:tcPr>
            <w:tcW w:w="4425" w:type="dxa"/>
            <w:tcBorders>
              <w:top w:val="nil"/>
              <w:left w:val="nil"/>
              <w:bottom w:val="nil"/>
              <w:right w:val="nil"/>
            </w:tcBorders>
            <w:shd w:val="solid" w:color="FFFFFF" w:fill="auto"/>
          </w:tcPr>
          <w:p w14:paraId="3B4F870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Upper Neimur River</w:t>
            </w:r>
          </w:p>
        </w:tc>
        <w:tc>
          <w:tcPr>
            <w:tcW w:w="708" w:type="dxa"/>
            <w:tcBorders>
              <w:top w:val="nil"/>
              <w:left w:val="nil"/>
              <w:bottom w:val="nil"/>
              <w:right w:val="nil"/>
            </w:tcBorders>
          </w:tcPr>
          <w:p w14:paraId="3B4F870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09</w:t>
            </w:r>
          </w:p>
        </w:tc>
        <w:tc>
          <w:tcPr>
            <w:tcW w:w="1418" w:type="dxa"/>
            <w:tcBorders>
              <w:top w:val="nil"/>
              <w:left w:val="nil"/>
              <w:bottom w:val="nil"/>
              <w:right w:val="nil"/>
            </w:tcBorders>
          </w:tcPr>
          <w:p w14:paraId="3B4F870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EDWK09_02</w:t>
            </w:r>
          </w:p>
        </w:tc>
        <w:tc>
          <w:tcPr>
            <w:tcW w:w="2551" w:type="dxa"/>
            <w:tcBorders>
              <w:top w:val="nil"/>
              <w:left w:val="nil"/>
              <w:bottom w:val="nil"/>
              <w:right w:val="nil"/>
            </w:tcBorders>
            <w:shd w:val="solid" w:color="FFFFFF" w:fill="auto"/>
          </w:tcPr>
          <w:p w14:paraId="3B4F8706"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Ventura</w:t>
            </w:r>
          </w:p>
        </w:tc>
      </w:tr>
      <w:tr w:rsidR="006D72D5" w:rsidRPr="00CD0B41" w14:paraId="3B4F870C" w14:textId="77777777" w:rsidTr="00BA6C55">
        <w:trPr>
          <w:trHeight w:val="227"/>
        </w:trPr>
        <w:tc>
          <w:tcPr>
            <w:tcW w:w="4425" w:type="dxa"/>
            <w:tcBorders>
              <w:top w:val="nil"/>
              <w:left w:val="nil"/>
              <w:bottom w:val="nil"/>
              <w:right w:val="nil"/>
            </w:tcBorders>
            <w:shd w:val="solid" w:color="FFFFFF" w:fill="auto"/>
          </w:tcPr>
          <w:p w14:paraId="3B4F870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Lower Niemur River</w:t>
            </w:r>
          </w:p>
        </w:tc>
        <w:tc>
          <w:tcPr>
            <w:tcW w:w="708" w:type="dxa"/>
            <w:tcBorders>
              <w:top w:val="nil"/>
              <w:left w:val="nil"/>
              <w:bottom w:val="nil"/>
              <w:right w:val="nil"/>
            </w:tcBorders>
          </w:tcPr>
          <w:p w14:paraId="3B4F870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10</w:t>
            </w:r>
          </w:p>
        </w:tc>
        <w:tc>
          <w:tcPr>
            <w:tcW w:w="1418" w:type="dxa"/>
            <w:tcBorders>
              <w:top w:val="nil"/>
              <w:left w:val="nil"/>
              <w:bottom w:val="nil"/>
              <w:right w:val="nil"/>
            </w:tcBorders>
          </w:tcPr>
          <w:p w14:paraId="3B4F870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EDWK10_01</w:t>
            </w:r>
          </w:p>
        </w:tc>
        <w:tc>
          <w:tcPr>
            <w:tcW w:w="2551" w:type="dxa"/>
            <w:tcBorders>
              <w:top w:val="nil"/>
              <w:left w:val="nil"/>
              <w:bottom w:val="nil"/>
              <w:right w:val="nil"/>
            </w:tcBorders>
            <w:shd w:val="solid" w:color="FFFFFF" w:fill="auto"/>
          </w:tcPr>
          <w:p w14:paraId="3B4F870B"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Niemur Valley</w:t>
            </w:r>
          </w:p>
        </w:tc>
      </w:tr>
      <w:tr w:rsidR="006D72D5" w:rsidRPr="00CD0B41" w14:paraId="3B4F8711" w14:textId="77777777" w:rsidTr="00BA6C55">
        <w:trPr>
          <w:trHeight w:val="227"/>
        </w:trPr>
        <w:tc>
          <w:tcPr>
            <w:tcW w:w="4425" w:type="dxa"/>
            <w:tcBorders>
              <w:top w:val="nil"/>
              <w:left w:val="nil"/>
              <w:bottom w:val="nil"/>
              <w:right w:val="nil"/>
            </w:tcBorders>
            <w:shd w:val="solid" w:color="FFFFFF" w:fill="auto"/>
          </w:tcPr>
          <w:p w14:paraId="3B4F870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Edward River (downstream Stephens Weir)</w:t>
            </w:r>
          </w:p>
        </w:tc>
        <w:tc>
          <w:tcPr>
            <w:tcW w:w="708" w:type="dxa"/>
            <w:tcBorders>
              <w:top w:val="nil"/>
              <w:left w:val="nil"/>
              <w:bottom w:val="nil"/>
              <w:right w:val="nil"/>
            </w:tcBorders>
          </w:tcPr>
          <w:p w14:paraId="3B4F870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11</w:t>
            </w:r>
          </w:p>
        </w:tc>
        <w:tc>
          <w:tcPr>
            <w:tcW w:w="1418" w:type="dxa"/>
            <w:tcBorders>
              <w:top w:val="nil"/>
              <w:left w:val="nil"/>
              <w:bottom w:val="nil"/>
              <w:right w:val="nil"/>
            </w:tcBorders>
          </w:tcPr>
          <w:p w14:paraId="3B4F870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EDWK11_01</w:t>
            </w:r>
          </w:p>
        </w:tc>
        <w:tc>
          <w:tcPr>
            <w:tcW w:w="2551" w:type="dxa"/>
            <w:tcBorders>
              <w:top w:val="nil"/>
              <w:left w:val="nil"/>
              <w:bottom w:val="nil"/>
              <w:right w:val="nil"/>
            </w:tcBorders>
            <w:shd w:val="solid" w:color="FFFFFF" w:fill="auto"/>
          </w:tcPr>
          <w:p w14:paraId="3B4F8710"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Elimdale</w:t>
            </w:r>
          </w:p>
        </w:tc>
      </w:tr>
      <w:tr w:rsidR="006D72D5" w:rsidRPr="00CD0B41" w14:paraId="3B4F8716" w14:textId="77777777" w:rsidTr="00BA6C55">
        <w:trPr>
          <w:trHeight w:val="227"/>
        </w:trPr>
        <w:tc>
          <w:tcPr>
            <w:tcW w:w="4425" w:type="dxa"/>
            <w:tcBorders>
              <w:top w:val="nil"/>
              <w:left w:val="nil"/>
              <w:bottom w:val="nil"/>
              <w:right w:val="nil"/>
            </w:tcBorders>
            <w:shd w:val="solid" w:color="FFFFFF" w:fill="auto"/>
          </w:tcPr>
          <w:p w14:paraId="3B4F871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Edward River</w:t>
            </w:r>
          </w:p>
        </w:tc>
        <w:tc>
          <w:tcPr>
            <w:tcW w:w="708" w:type="dxa"/>
            <w:tcBorders>
              <w:top w:val="nil"/>
              <w:left w:val="nil"/>
              <w:bottom w:val="nil"/>
              <w:right w:val="nil"/>
            </w:tcBorders>
          </w:tcPr>
          <w:p w14:paraId="3B4F871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13</w:t>
            </w:r>
          </w:p>
        </w:tc>
        <w:tc>
          <w:tcPr>
            <w:tcW w:w="1418" w:type="dxa"/>
            <w:tcBorders>
              <w:top w:val="nil"/>
              <w:left w:val="nil"/>
              <w:bottom w:val="nil"/>
              <w:right w:val="nil"/>
            </w:tcBorders>
          </w:tcPr>
          <w:p w14:paraId="3B4F871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EDWK13_01</w:t>
            </w:r>
          </w:p>
        </w:tc>
        <w:tc>
          <w:tcPr>
            <w:tcW w:w="2551" w:type="dxa"/>
            <w:tcBorders>
              <w:top w:val="nil"/>
              <w:left w:val="nil"/>
              <w:bottom w:val="nil"/>
              <w:right w:val="nil"/>
            </w:tcBorders>
            <w:shd w:val="solid" w:color="FFFFFF" w:fill="auto"/>
          </w:tcPr>
          <w:p w14:paraId="3B4F8715"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Balpool</w:t>
            </w:r>
          </w:p>
        </w:tc>
      </w:tr>
      <w:tr w:rsidR="006D72D5" w:rsidRPr="00CD0B41" w14:paraId="3B4F871B" w14:textId="77777777" w:rsidTr="00BA6C55">
        <w:trPr>
          <w:trHeight w:val="227"/>
        </w:trPr>
        <w:tc>
          <w:tcPr>
            <w:tcW w:w="4425" w:type="dxa"/>
            <w:tcBorders>
              <w:top w:val="nil"/>
              <w:left w:val="nil"/>
              <w:bottom w:val="nil"/>
              <w:right w:val="nil"/>
            </w:tcBorders>
            <w:shd w:val="solid" w:color="FFFFFF" w:fill="auto"/>
          </w:tcPr>
          <w:p w14:paraId="3B4F871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Mid Edward River</w:t>
            </w:r>
          </w:p>
        </w:tc>
        <w:tc>
          <w:tcPr>
            <w:tcW w:w="708" w:type="dxa"/>
            <w:tcBorders>
              <w:top w:val="nil"/>
              <w:left w:val="nil"/>
              <w:bottom w:val="nil"/>
              <w:right w:val="nil"/>
            </w:tcBorders>
          </w:tcPr>
          <w:p w14:paraId="3B4F871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13</w:t>
            </w:r>
          </w:p>
        </w:tc>
        <w:tc>
          <w:tcPr>
            <w:tcW w:w="1418" w:type="dxa"/>
            <w:tcBorders>
              <w:top w:val="nil"/>
              <w:left w:val="nil"/>
              <w:bottom w:val="nil"/>
              <w:right w:val="nil"/>
            </w:tcBorders>
          </w:tcPr>
          <w:p w14:paraId="3B4F8719"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EDWK13_02</w:t>
            </w:r>
          </w:p>
        </w:tc>
        <w:tc>
          <w:tcPr>
            <w:tcW w:w="2551" w:type="dxa"/>
            <w:tcBorders>
              <w:top w:val="nil"/>
              <w:left w:val="nil"/>
              <w:bottom w:val="nil"/>
              <w:right w:val="nil"/>
            </w:tcBorders>
            <w:shd w:val="solid" w:color="FFFFFF" w:fill="auto"/>
          </w:tcPr>
          <w:p w14:paraId="3B4F871A" w14:textId="77777777" w:rsidR="006D72D5" w:rsidRPr="00CD0B41" w:rsidRDefault="00BA6C5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Pr>
                <w:rFonts w:asciiTheme="minorHAnsi" w:hAnsiTheme="minorHAnsi" w:cs="Calibri"/>
                <w:color w:val="000000"/>
                <w:sz w:val="20"/>
                <w:lang w:eastAsia="en-AU"/>
              </w:rPr>
              <w:t>Moulamien US Billabong C</w:t>
            </w:r>
            <w:r w:rsidR="006D72D5" w:rsidRPr="00CD0B41">
              <w:rPr>
                <w:rFonts w:asciiTheme="minorHAnsi" w:hAnsiTheme="minorHAnsi" w:cs="Calibri"/>
                <w:color w:val="000000"/>
                <w:sz w:val="20"/>
                <w:lang w:eastAsia="en-AU"/>
              </w:rPr>
              <w:t>k</w:t>
            </w:r>
          </w:p>
        </w:tc>
      </w:tr>
      <w:tr w:rsidR="006D72D5" w:rsidRPr="00CD0B41" w14:paraId="3B4F8720" w14:textId="77777777" w:rsidTr="00BA6C55">
        <w:trPr>
          <w:trHeight w:val="227"/>
        </w:trPr>
        <w:tc>
          <w:tcPr>
            <w:tcW w:w="4425" w:type="dxa"/>
            <w:tcBorders>
              <w:top w:val="nil"/>
              <w:left w:val="nil"/>
              <w:bottom w:val="nil"/>
              <w:right w:val="nil"/>
            </w:tcBorders>
            <w:shd w:val="solid" w:color="FFFFFF" w:fill="auto"/>
          </w:tcPr>
          <w:p w14:paraId="3B4F871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Lower Edward River</w:t>
            </w:r>
          </w:p>
        </w:tc>
        <w:tc>
          <w:tcPr>
            <w:tcW w:w="708" w:type="dxa"/>
            <w:tcBorders>
              <w:top w:val="nil"/>
              <w:left w:val="nil"/>
              <w:bottom w:val="nil"/>
              <w:right w:val="nil"/>
            </w:tcBorders>
          </w:tcPr>
          <w:p w14:paraId="3B4F871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14</w:t>
            </w:r>
          </w:p>
        </w:tc>
        <w:tc>
          <w:tcPr>
            <w:tcW w:w="1418" w:type="dxa"/>
            <w:tcBorders>
              <w:top w:val="nil"/>
              <w:left w:val="nil"/>
              <w:bottom w:val="nil"/>
              <w:right w:val="nil"/>
            </w:tcBorders>
          </w:tcPr>
          <w:p w14:paraId="3B4F871E"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EDWK14_01</w:t>
            </w:r>
          </w:p>
        </w:tc>
        <w:tc>
          <w:tcPr>
            <w:tcW w:w="2551" w:type="dxa"/>
            <w:tcBorders>
              <w:top w:val="nil"/>
              <w:left w:val="nil"/>
              <w:bottom w:val="nil"/>
              <w:right w:val="nil"/>
            </w:tcBorders>
            <w:shd w:val="solid" w:color="FFFFFF" w:fill="auto"/>
          </w:tcPr>
          <w:p w14:paraId="3B4F871F" w14:textId="77777777" w:rsidR="006D72D5" w:rsidRPr="00CD0B41" w:rsidRDefault="00BA6C5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Pr>
                <w:rFonts w:asciiTheme="minorHAnsi" w:hAnsiTheme="minorHAnsi" w:cs="Calibri"/>
                <w:color w:val="000000"/>
                <w:sz w:val="20"/>
                <w:lang w:eastAsia="en-AU"/>
              </w:rPr>
              <w:t>Moulamien DS Billabong C</w:t>
            </w:r>
            <w:r w:rsidR="006D72D5" w:rsidRPr="00CD0B41">
              <w:rPr>
                <w:rFonts w:asciiTheme="minorHAnsi" w:hAnsiTheme="minorHAnsi" w:cs="Calibri"/>
                <w:color w:val="000000"/>
                <w:sz w:val="20"/>
                <w:lang w:eastAsia="en-AU"/>
              </w:rPr>
              <w:t>k</w:t>
            </w:r>
          </w:p>
        </w:tc>
      </w:tr>
      <w:tr w:rsidR="006D72D5" w:rsidRPr="00CD0B41" w14:paraId="3B4F8725" w14:textId="77777777" w:rsidTr="00BA6C55">
        <w:trPr>
          <w:trHeight w:val="227"/>
        </w:trPr>
        <w:tc>
          <w:tcPr>
            <w:tcW w:w="4425" w:type="dxa"/>
            <w:tcBorders>
              <w:top w:val="nil"/>
              <w:left w:val="nil"/>
              <w:bottom w:val="nil"/>
              <w:right w:val="nil"/>
            </w:tcBorders>
            <w:shd w:val="solid" w:color="FFFFFF" w:fill="auto"/>
          </w:tcPr>
          <w:p w14:paraId="3B4F872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Lower Edward River</w:t>
            </w:r>
          </w:p>
        </w:tc>
        <w:tc>
          <w:tcPr>
            <w:tcW w:w="708" w:type="dxa"/>
            <w:tcBorders>
              <w:top w:val="nil"/>
              <w:left w:val="nil"/>
              <w:bottom w:val="nil"/>
              <w:right w:val="nil"/>
            </w:tcBorders>
          </w:tcPr>
          <w:p w14:paraId="3B4F872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14</w:t>
            </w:r>
          </w:p>
        </w:tc>
        <w:tc>
          <w:tcPr>
            <w:tcW w:w="1418" w:type="dxa"/>
            <w:tcBorders>
              <w:top w:val="nil"/>
              <w:left w:val="nil"/>
              <w:bottom w:val="nil"/>
              <w:right w:val="nil"/>
            </w:tcBorders>
          </w:tcPr>
          <w:p w14:paraId="3B4F8723"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EDWK14_02</w:t>
            </w:r>
          </w:p>
        </w:tc>
        <w:tc>
          <w:tcPr>
            <w:tcW w:w="2551" w:type="dxa"/>
            <w:tcBorders>
              <w:top w:val="nil"/>
              <w:left w:val="nil"/>
              <w:bottom w:val="nil"/>
              <w:right w:val="nil"/>
            </w:tcBorders>
            <w:shd w:val="solid" w:color="FFFFFF" w:fill="auto"/>
          </w:tcPr>
          <w:p w14:paraId="3B4F8724"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Kyalite State Forest</w:t>
            </w:r>
          </w:p>
        </w:tc>
      </w:tr>
      <w:tr w:rsidR="006D72D5" w:rsidRPr="00CD0B41" w14:paraId="3B4F872A" w14:textId="77777777" w:rsidTr="00BA6C55">
        <w:trPr>
          <w:trHeight w:val="227"/>
        </w:trPr>
        <w:tc>
          <w:tcPr>
            <w:tcW w:w="4425" w:type="dxa"/>
            <w:tcBorders>
              <w:top w:val="nil"/>
              <w:left w:val="nil"/>
              <w:bottom w:val="nil"/>
              <w:right w:val="nil"/>
            </w:tcBorders>
            <w:shd w:val="solid" w:color="FFFFFF" w:fill="auto"/>
          </w:tcPr>
          <w:p w14:paraId="3B4F872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Little Merran Creek</w:t>
            </w:r>
          </w:p>
        </w:tc>
        <w:tc>
          <w:tcPr>
            <w:tcW w:w="708" w:type="dxa"/>
            <w:tcBorders>
              <w:top w:val="nil"/>
              <w:left w:val="nil"/>
              <w:bottom w:val="nil"/>
              <w:right w:val="nil"/>
            </w:tcBorders>
          </w:tcPr>
          <w:p w14:paraId="3B4F872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15</w:t>
            </w:r>
          </w:p>
        </w:tc>
        <w:tc>
          <w:tcPr>
            <w:tcW w:w="1418" w:type="dxa"/>
            <w:tcBorders>
              <w:top w:val="nil"/>
              <w:left w:val="nil"/>
              <w:bottom w:val="nil"/>
              <w:right w:val="nil"/>
            </w:tcBorders>
          </w:tcPr>
          <w:p w14:paraId="3B4F8728"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EDWK15_01</w:t>
            </w:r>
          </w:p>
        </w:tc>
        <w:tc>
          <w:tcPr>
            <w:tcW w:w="2551" w:type="dxa"/>
            <w:tcBorders>
              <w:top w:val="nil"/>
              <w:left w:val="nil"/>
              <w:bottom w:val="nil"/>
              <w:right w:val="nil"/>
            </w:tcBorders>
            <w:shd w:val="solid" w:color="FFFFFF" w:fill="auto"/>
          </w:tcPr>
          <w:p w14:paraId="3B4F8729"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Merran Downs</w:t>
            </w:r>
          </w:p>
        </w:tc>
      </w:tr>
      <w:tr w:rsidR="006D72D5" w:rsidRPr="00CD0B41" w14:paraId="3B4F872F" w14:textId="77777777" w:rsidTr="00BA6C55">
        <w:trPr>
          <w:trHeight w:val="227"/>
        </w:trPr>
        <w:tc>
          <w:tcPr>
            <w:tcW w:w="4425" w:type="dxa"/>
            <w:tcBorders>
              <w:top w:val="nil"/>
              <w:left w:val="nil"/>
              <w:bottom w:val="nil"/>
              <w:right w:val="nil"/>
            </w:tcBorders>
            <w:shd w:val="solid" w:color="FFFFFF" w:fill="auto"/>
          </w:tcPr>
          <w:p w14:paraId="3B4F872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Merran Creek</w:t>
            </w:r>
          </w:p>
        </w:tc>
        <w:tc>
          <w:tcPr>
            <w:tcW w:w="708" w:type="dxa"/>
            <w:tcBorders>
              <w:top w:val="nil"/>
              <w:left w:val="nil"/>
              <w:bottom w:val="nil"/>
              <w:right w:val="nil"/>
            </w:tcBorders>
          </w:tcPr>
          <w:p w14:paraId="3B4F872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16</w:t>
            </w:r>
          </w:p>
        </w:tc>
        <w:tc>
          <w:tcPr>
            <w:tcW w:w="1418" w:type="dxa"/>
            <w:tcBorders>
              <w:top w:val="nil"/>
              <w:left w:val="nil"/>
              <w:bottom w:val="nil"/>
              <w:right w:val="nil"/>
            </w:tcBorders>
          </w:tcPr>
          <w:p w14:paraId="3B4F872D"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EDWK16_01</w:t>
            </w:r>
          </w:p>
        </w:tc>
        <w:tc>
          <w:tcPr>
            <w:tcW w:w="2551" w:type="dxa"/>
            <w:tcBorders>
              <w:top w:val="nil"/>
              <w:left w:val="nil"/>
              <w:bottom w:val="nil"/>
              <w:right w:val="nil"/>
            </w:tcBorders>
            <w:shd w:val="solid" w:color="FFFFFF" w:fill="auto"/>
          </w:tcPr>
          <w:p w14:paraId="3B4F872E"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Erinundra</w:t>
            </w:r>
          </w:p>
        </w:tc>
      </w:tr>
      <w:tr w:rsidR="006D72D5" w:rsidRPr="00CD0B41" w14:paraId="3B4F8734" w14:textId="77777777" w:rsidTr="00BA6C55">
        <w:trPr>
          <w:trHeight w:val="227"/>
        </w:trPr>
        <w:tc>
          <w:tcPr>
            <w:tcW w:w="4425" w:type="dxa"/>
            <w:tcBorders>
              <w:top w:val="nil"/>
              <w:left w:val="nil"/>
              <w:bottom w:val="nil"/>
              <w:right w:val="nil"/>
            </w:tcBorders>
            <w:shd w:val="solid" w:color="FFFFFF" w:fill="auto"/>
          </w:tcPr>
          <w:p w14:paraId="3B4F873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Merran Creek</w:t>
            </w:r>
          </w:p>
        </w:tc>
        <w:tc>
          <w:tcPr>
            <w:tcW w:w="708" w:type="dxa"/>
            <w:tcBorders>
              <w:top w:val="nil"/>
              <w:left w:val="nil"/>
              <w:bottom w:val="nil"/>
              <w:right w:val="nil"/>
            </w:tcBorders>
          </w:tcPr>
          <w:p w14:paraId="3B4F873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16</w:t>
            </w:r>
          </w:p>
        </w:tc>
        <w:tc>
          <w:tcPr>
            <w:tcW w:w="1418" w:type="dxa"/>
            <w:tcBorders>
              <w:top w:val="nil"/>
              <w:left w:val="nil"/>
              <w:bottom w:val="nil"/>
              <w:right w:val="nil"/>
            </w:tcBorders>
          </w:tcPr>
          <w:p w14:paraId="3B4F8732"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EDWK16_02</w:t>
            </w:r>
          </w:p>
        </w:tc>
        <w:tc>
          <w:tcPr>
            <w:tcW w:w="2551" w:type="dxa"/>
            <w:tcBorders>
              <w:top w:val="nil"/>
              <w:left w:val="nil"/>
              <w:bottom w:val="nil"/>
              <w:right w:val="nil"/>
            </w:tcBorders>
            <w:shd w:val="solid" w:color="FFFFFF" w:fill="auto"/>
          </w:tcPr>
          <w:p w14:paraId="3B4F8733"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Merran Creek Bridge</w:t>
            </w:r>
          </w:p>
        </w:tc>
      </w:tr>
      <w:tr w:rsidR="006D72D5" w:rsidRPr="00CD0B41" w14:paraId="3B4F8739" w14:textId="77777777" w:rsidTr="00BA6C55">
        <w:trPr>
          <w:trHeight w:val="227"/>
        </w:trPr>
        <w:tc>
          <w:tcPr>
            <w:tcW w:w="4425" w:type="dxa"/>
            <w:tcBorders>
              <w:top w:val="nil"/>
              <w:left w:val="nil"/>
              <w:bottom w:val="nil"/>
              <w:right w:val="nil"/>
            </w:tcBorders>
            <w:shd w:val="solid" w:color="FFFFFF" w:fill="auto"/>
          </w:tcPr>
          <w:p w14:paraId="3B4F873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Edward River, Stevens weir</w:t>
            </w:r>
          </w:p>
        </w:tc>
        <w:tc>
          <w:tcPr>
            <w:tcW w:w="708" w:type="dxa"/>
            <w:tcBorders>
              <w:top w:val="nil"/>
              <w:left w:val="nil"/>
              <w:bottom w:val="nil"/>
              <w:right w:val="nil"/>
            </w:tcBorders>
          </w:tcPr>
          <w:p w14:paraId="3B4F873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20</w:t>
            </w:r>
          </w:p>
        </w:tc>
        <w:tc>
          <w:tcPr>
            <w:tcW w:w="1418" w:type="dxa"/>
            <w:tcBorders>
              <w:top w:val="nil"/>
              <w:left w:val="nil"/>
              <w:bottom w:val="nil"/>
              <w:right w:val="nil"/>
            </w:tcBorders>
          </w:tcPr>
          <w:p w14:paraId="3B4F8737"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EDWK20_01</w:t>
            </w:r>
          </w:p>
        </w:tc>
        <w:tc>
          <w:tcPr>
            <w:tcW w:w="2551" w:type="dxa"/>
            <w:tcBorders>
              <w:top w:val="nil"/>
              <w:left w:val="nil"/>
              <w:bottom w:val="nil"/>
              <w:right w:val="nil"/>
            </w:tcBorders>
            <w:shd w:val="solid" w:color="FFFFFF" w:fill="auto"/>
          </w:tcPr>
          <w:p w14:paraId="3B4F8738"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Weir1</w:t>
            </w:r>
          </w:p>
        </w:tc>
      </w:tr>
      <w:tr w:rsidR="006D72D5" w:rsidRPr="00CD0B41" w14:paraId="3B4F873E" w14:textId="77777777" w:rsidTr="00BA6C55">
        <w:trPr>
          <w:trHeight w:val="227"/>
        </w:trPr>
        <w:tc>
          <w:tcPr>
            <w:tcW w:w="4425" w:type="dxa"/>
            <w:tcBorders>
              <w:top w:val="nil"/>
              <w:left w:val="nil"/>
              <w:bottom w:val="nil"/>
              <w:right w:val="nil"/>
            </w:tcBorders>
            <w:shd w:val="solid" w:color="FFFFFF" w:fill="auto"/>
          </w:tcPr>
          <w:p w14:paraId="3B4F873A"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Edward River, Stevens weir</w:t>
            </w:r>
          </w:p>
        </w:tc>
        <w:tc>
          <w:tcPr>
            <w:tcW w:w="708" w:type="dxa"/>
            <w:tcBorders>
              <w:top w:val="nil"/>
              <w:left w:val="nil"/>
              <w:bottom w:val="nil"/>
              <w:right w:val="nil"/>
            </w:tcBorders>
          </w:tcPr>
          <w:p w14:paraId="3B4F873B"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20</w:t>
            </w:r>
          </w:p>
        </w:tc>
        <w:tc>
          <w:tcPr>
            <w:tcW w:w="1418" w:type="dxa"/>
            <w:tcBorders>
              <w:top w:val="nil"/>
              <w:left w:val="nil"/>
              <w:bottom w:val="nil"/>
              <w:right w:val="nil"/>
            </w:tcBorders>
          </w:tcPr>
          <w:p w14:paraId="3B4F873C"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EDWK20_02</w:t>
            </w:r>
          </w:p>
        </w:tc>
        <w:tc>
          <w:tcPr>
            <w:tcW w:w="2551" w:type="dxa"/>
            <w:tcBorders>
              <w:top w:val="nil"/>
              <w:left w:val="nil"/>
              <w:bottom w:val="nil"/>
              <w:right w:val="nil"/>
            </w:tcBorders>
            <w:shd w:val="solid" w:color="FFFFFF" w:fill="auto"/>
          </w:tcPr>
          <w:p w14:paraId="3B4F873D"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Weir2</w:t>
            </w:r>
          </w:p>
        </w:tc>
      </w:tr>
      <w:tr w:rsidR="006D72D5" w:rsidRPr="00CD0B41" w14:paraId="3B4F8743" w14:textId="77777777" w:rsidTr="00BA6C55">
        <w:trPr>
          <w:trHeight w:val="227"/>
        </w:trPr>
        <w:tc>
          <w:tcPr>
            <w:tcW w:w="4425" w:type="dxa"/>
            <w:tcBorders>
              <w:top w:val="nil"/>
              <w:left w:val="nil"/>
              <w:right w:val="nil"/>
            </w:tcBorders>
            <w:shd w:val="solid" w:color="FFFFFF" w:fill="auto"/>
          </w:tcPr>
          <w:p w14:paraId="3B4F873F"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Mulwala canal</w:t>
            </w:r>
          </w:p>
        </w:tc>
        <w:tc>
          <w:tcPr>
            <w:tcW w:w="708" w:type="dxa"/>
            <w:tcBorders>
              <w:top w:val="nil"/>
              <w:left w:val="nil"/>
              <w:right w:val="nil"/>
            </w:tcBorders>
          </w:tcPr>
          <w:p w14:paraId="3B4F8740"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21</w:t>
            </w:r>
          </w:p>
        </w:tc>
        <w:tc>
          <w:tcPr>
            <w:tcW w:w="1418" w:type="dxa"/>
            <w:tcBorders>
              <w:top w:val="nil"/>
              <w:left w:val="nil"/>
              <w:right w:val="nil"/>
            </w:tcBorders>
          </w:tcPr>
          <w:p w14:paraId="3B4F8741"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EDWK21_01</w:t>
            </w:r>
          </w:p>
        </w:tc>
        <w:tc>
          <w:tcPr>
            <w:tcW w:w="2551" w:type="dxa"/>
            <w:tcBorders>
              <w:top w:val="nil"/>
              <w:left w:val="nil"/>
              <w:right w:val="nil"/>
            </w:tcBorders>
            <w:shd w:val="solid" w:color="FFFFFF" w:fill="auto"/>
          </w:tcPr>
          <w:p w14:paraId="3B4F8742"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Canal1</w:t>
            </w:r>
          </w:p>
        </w:tc>
      </w:tr>
      <w:tr w:rsidR="006D72D5" w:rsidRPr="00CD0B41" w14:paraId="3B4F8748" w14:textId="77777777" w:rsidTr="00BA6C55">
        <w:trPr>
          <w:trHeight w:val="227"/>
        </w:trPr>
        <w:tc>
          <w:tcPr>
            <w:tcW w:w="4425" w:type="dxa"/>
            <w:tcBorders>
              <w:top w:val="nil"/>
              <w:left w:val="nil"/>
              <w:bottom w:val="single" w:sz="4" w:space="0" w:color="auto"/>
              <w:right w:val="nil"/>
            </w:tcBorders>
            <w:shd w:val="solid" w:color="FFFFFF" w:fill="auto"/>
          </w:tcPr>
          <w:p w14:paraId="3B4F8744"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Mulwala canal</w:t>
            </w:r>
          </w:p>
        </w:tc>
        <w:tc>
          <w:tcPr>
            <w:tcW w:w="708" w:type="dxa"/>
            <w:tcBorders>
              <w:top w:val="nil"/>
              <w:left w:val="nil"/>
              <w:bottom w:val="single" w:sz="4" w:space="0" w:color="auto"/>
              <w:right w:val="nil"/>
            </w:tcBorders>
          </w:tcPr>
          <w:p w14:paraId="3B4F8745"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21</w:t>
            </w:r>
          </w:p>
        </w:tc>
        <w:tc>
          <w:tcPr>
            <w:tcW w:w="1418" w:type="dxa"/>
            <w:tcBorders>
              <w:top w:val="nil"/>
              <w:left w:val="nil"/>
              <w:bottom w:val="single" w:sz="4" w:space="0" w:color="auto"/>
              <w:right w:val="nil"/>
            </w:tcBorders>
          </w:tcPr>
          <w:p w14:paraId="3B4F8746" w14:textId="77777777" w:rsidR="006D72D5" w:rsidRPr="00CD0B41" w:rsidRDefault="006D72D5" w:rsidP="00BA6C55">
            <w:pPr>
              <w:autoSpaceDE w:val="0"/>
              <w:autoSpaceDN w:val="0"/>
              <w:adjustRightInd w:val="0"/>
              <w:spacing w:after="0" w:line="200" w:lineRule="exact"/>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EDWK21_02</w:t>
            </w:r>
          </w:p>
        </w:tc>
        <w:tc>
          <w:tcPr>
            <w:tcW w:w="2551" w:type="dxa"/>
            <w:tcBorders>
              <w:top w:val="nil"/>
              <w:left w:val="nil"/>
              <w:bottom w:val="single" w:sz="4" w:space="0" w:color="auto"/>
              <w:right w:val="nil"/>
            </w:tcBorders>
            <w:shd w:val="solid" w:color="FFFFFF" w:fill="auto"/>
          </w:tcPr>
          <w:p w14:paraId="3B4F8747" w14:textId="77777777" w:rsidR="006D72D5" w:rsidRPr="00CD0B41" w:rsidRDefault="006D72D5" w:rsidP="00BA6C55">
            <w:pPr>
              <w:autoSpaceDE w:val="0"/>
              <w:autoSpaceDN w:val="0"/>
              <w:adjustRightInd w:val="0"/>
              <w:spacing w:after="0" w:line="200" w:lineRule="exact"/>
              <w:ind w:right="87"/>
              <w:contextualSpacing/>
              <w:jc w:val="left"/>
              <w:rPr>
                <w:rFonts w:asciiTheme="minorHAnsi" w:hAnsiTheme="minorHAnsi" w:cs="Calibri"/>
                <w:color w:val="000000"/>
                <w:sz w:val="20"/>
                <w:lang w:eastAsia="en-AU"/>
              </w:rPr>
            </w:pPr>
            <w:r w:rsidRPr="00CD0B41">
              <w:rPr>
                <w:rFonts w:asciiTheme="minorHAnsi" w:hAnsiTheme="minorHAnsi" w:cs="Calibri"/>
                <w:color w:val="000000"/>
                <w:sz w:val="20"/>
                <w:lang w:eastAsia="en-AU"/>
              </w:rPr>
              <w:t>Canal2</w:t>
            </w:r>
          </w:p>
        </w:tc>
      </w:tr>
    </w:tbl>
    <w:p w14:paraId="3B4F8749" w14:textId="77777777" w:rsidR="006D72D5" w:rsidRDefault="006D72D5" w:rsidP="00BA6C55">
      <w:pPr>
        <w:spacing w:after="0" w:line="240" w:lineRule="auto"/>
        <w:rPr>
          <w:rFonts w:asciiTheme="minorHAnsi" w:hAnsiTheme="minorHAnsi" w:cstheme="minorHAnsi"/>
          <w:sz w:val="20"/>
        </w:rPr>
      </w:pPr>
    </w:p>
    <w:p w14:paraId="3B4F874A" w14:textId="77777777" w:rsidR="006D72D5" w:rsidRDefault="006D72D5" w:rsidP="00BA6C55">
      <w:pPr>
        <w:spacing w:after="0" w:line="240" w:lineRule="auto"/>
        <w:jc w:val="left"/>
        <w:rPr>
          <w:rFonts w:asciiTheme="minorHAnsi" w:hAnsiTheme="minorHAnsi" w:cstheme="minorHAnsi"/>
          <w:sz w:val="20"/>
        </w:rPr>
      </w:pPr>
      <w:r>
        <w:rPr>
          <w:rFonts w:asciiTheme="minorHAnsi" w:hAnsiTheme="minorHAnsi" w:cstheme="minorHAnsi"/>
          <w:sz w:val="20"/>
        </w:rPr>
        <w:br w:type="page"/>
      </w:r>
    </w:p>
    <w:p w14:paraId="63310FF0" w14:textId="52127648" w:rsidR="002518D0" w:rsidRPr="002518D0" w:rsidRDefault="002518D0" w:rsidP="002518D0">
      <w:pPr>
        <w:spacing w:after="0" w:line="240" w:lineRule="auto"/>
        <w:ind w:left="-567" w:right="-851"/>
        <w:jc w:val="left"/>
        <w:rPr>
          <w:rFonts w:asciiTheme="minorHAnsi" w:hAnsiTheme="minorHAnsi" w:cstheme="minorHAnsi"/>
          <w:b/>
          <w:szCs w:val="22"/>
        </w:rPr>
      </w:pPr>
      <w:r w:rsidRPr="002518D0">
        <w:rPr>
          <w:rFonts w:asciiTheme="minorHAnsi" w:hAnsiTheme="minorHAnsi" w:cstheme="minorHAnsi"/>
          <w:b/>
          <w:szCs w:val="22"/>
        </w:rPr>
        <w:lastRenderedPageBreak/>
        <w:t>Cease to flow</w:t>
      </w:r>
      <w:r>
        <w:rPr>
          <w:rFonts w:asciiTheme="minorHAnsi" w:hAnsiTheme="minorHAnsi" w:cstheme="minorHAnsi"/>
          <w:b/>
          <w:szCs w:val="22"/>
        </w:rPr>
        <w:t xml:space="preserve"> (July 2015)</w:t>
      </w:r>
      <w:r>
        <w:rPr>
          <w:rFonts w:asciiTheme="minorHAnsi" w:hAnsiTheme="minorHAnsi" w:cstheme="minorHAnsi"/>
          <w:b/>
          <w:szCs w:val="22"/>
        </w:rPr>
        <w:tab/>
        <w:t xml:space="preserve">              </w:t>
      </w:r>
      <w:r w:rsidRPr="002518D0">
        <w:rPr>
          <w:rFonts w:asciiTheme="minorHAnsi" w:hAnsiTheme="minorHAnsi" w:cstheme="minorHAnsi"/>
          <w:b/>
          <w:szCs w:val="22"/>
        </w:rPr>
        <w:t>Environmental flow</w:t>
      </w:r>
      <w:r>
        <w:rPr>
          <w:rFonts w:asciiTheme="minorHAnsi" w:hAnsiTheme="minorHAnsi" w:cstheme="minorHAnsi"/>
          <w:b/>
          <w:szCs w:val="22"/>
        </w:rPr>
        <w:t xml:space="preserve"> (Dec 2015)</w:t>
      </w:r>
      <w:r>
        <w:rPr>
          <w:rFonts w:asciiTheme="minorHAnsi" w:hAnsiTheme="minorHAnsi" w:cstheme="minorHAnsi"/>
          <w:b/>
          <w:szCs w:val="22"/>
        </w:rPr>
        <w:tab/>
        <w:t xml:space="preserve">          </w:t>
      </w:r>
      <w:r w:rsidRPr="002518D0">
        <w:rPr>
          <w:rFonts w:asciiTheme="minorHAnsi" w:hAnsiTheme="minorHAnsi" w:cstheme="minorHAnsi"/>
          <w:b/>
          <w:szCs w:val="22"/>
        </w:rPr>
        <w:t>Operational flow</w:t>
      </w:r>
      <w:r>
        <w:rPr>
          <w:rFonts w:asciiTheme="minorHAnsi" w:hAnsiTheme="minorHAnsi" w:cstheme="minorHAnsi"/>
          <w:b/>
          <w:szCs w:val="22"/>
        </w:rPr>
        <w:t xml:space="preserve"> April 2016)</w:t>
      </w:r>
    </w:p>
    <w:p w14:paraId="3B4F874B" w14:textId="67F0838D" w:rsidR="006D72D5" w:rsidRPr="000C1DEB" w:rsidRDefault="00B4753B" w:rsidP="00786EC4">
      <w:pPr>
        <w:spacing w:after="0" w:line="240" w:lineRule="auto"/>
        <w:ind w:left="-851" w:right="-851"/>
        <w:jc w:val="left"/>
      </w:pPr>
      <w:r w:rsidRPr="000C1DEB">
        <w:rPr>
          <w:noProof/>
          <w:lang w:eastAsia="en-AU"/>
        </w:rPr>
        <w:drawing>
          <wp:inline distT="0" distB="0" distL="0" distR="0" wp14:anchorId="3B4F95D7" wp14:editId="1AAB6B4A">
            <wp:extent cx="2124000" cy="18000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z1s1 july 2015.jpg"/>
                    <pic:cNvPicPr/>
                  </pic:nvPicPr>
                  <pic:blipFill rotWithShape="1">
                    <a:blip r:embed="rId30" cstate="email">
                      <a:extLst>
                        <a:ext uri="{28A0092B-C50C-407E-A947-70E740481C1C}">
                          <a14:useLocalDpi xmlns:a14="http://schemas.microsoft.com/office/drawing/2010/main"/>
                        </a:ext>
                      </a:extLst>
                    </a:blip>
                    <a:srcRect r="8697"/>
                    <a:stretch/>
                  </pic:blipFill>
                  <pic:spPr bwMode="auto">
                    <a:xfrm>
                      <a:off x="0" y="0"/>
                      <a:ext cx="2124000" cy="1800000"/>
                    </a:xfrm>
                    <a:prstGeom prst="rect">
                      <a:avLst/>
                    </a:prstGeom>
                    <a:ln>
                      <a:noFill/>
                    </a:ln>
                    <a:extLst>
                      <a:ext uri="{53640926-AAD7-44D8-BBD7-CCE9431645EC}">
                        <a14:shadowObscured xmlns:a14="http://schemas.microsoft.com/office/drawing/2010/main"/>
                      </a:ext>
                    </a:extLst>
                  </pic:spPr>
                </pic:pic>
              </a:graphicData>
            </a:graphic>
          </wp:inline>
        </w:drawing>
      </w:r>
      <w:r w:rsidRPr="000C1DEB">
        <w:t>.</w:t>
      </w:r>
      <w:r w:rsidR="000C1DEB">
        <w:rPr>
          <w:noProof/>
          <w:lang w:eastAsia="en-AU"/>
        </w:rPr>
        <w:drawing>
          <wp:inline distT="0" distB="0" distL="0" distR="0" wp14:anchorId="3B4F95D9" wp14:editId="1DA28F1C">
            <wp:extent cx="2124000" cy="1789200"/>
            <wp:effectExtent l="0" t="0" r="0" b="1905"/>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20151221_145535.jpg"/>
                    <pic:cNvPicPr/>
                  </pic:nvPicPr>
                  <pic:blipFill rotWithShape="1">
                    <a:blip r:embed="rId31" cstate="email">
                      <a:extLst>
                        <a:ext uri="{28A0092B-C50C-407E-A947-70E740481C1C}">
                          <a14:useLocalDpi xmlns:a14="http://schemas.microsoft.com/office/drawing/2010/main"/>
                        </a:ext>
                      </a:extLst>
                    </a:blip>
                    <a:srcRect l="9526" r="1"/>
                    <a:stretch/>
                  </pic:blipFill>
                  <pic:spPr bwMode="auto">
                    <a:xfrm>
                      <a:off x="0" y="0"/>
                      <a:ext cx="2124000" cy="1789200"/>
                    </a:xfrm>
                    <a:prstGeom prst="rect">
                      <a:avLst/>
                    </a:prstGeom>
                    <a:ln>
                      <a:noFill/>
                    </a:ln>
                    <a:extLst>
                      <a:ext uri="{53640926-AAD7-44D8-BBD7-CCE9431645EC}">
                        <a14:shadowObscured xmlns:a14="http://schemas.microsoft.com/office/drawing/2010/main"/>
                      </a:ext>
                    </a:extLst>
                  </pic:spPr>
                </pic:pic>
              </a:graphicData>
            </a:graphic>
          </wp:inline>
        </w:drawing>
      </w:r>
      <w:r w:rsidR="00786EC4">
        <w:t xml:space="preserve"> </w:t>
      </w:r>
      <w:r w:rsidR="00CF3937">
        <w:rPr>
          <w:noProof/>
          <w:lang w:eastAsia="en-AU"/>
        </w:rPr>
        <w:drawing>
          <wp:inline distT="0" distB="0" distL="0" distR="0" wp14:anchorId="10F3B76B" wp14:editId="0058E670">
            <wp:extent cx="2124075" cy="179959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z1s1 March 2016.jpg"/>
                    <pic:cNvPicPr/>
                  </pic:nvPicPr>
                  <pic:blipFill rotWithShape="1">
                    <a:blip r:embed="rId32" cstate="email">
                      <a:extLst>
                        <a:ext uri="{28A0092B-C50C-407E-A947-70E740481C1C}">
                          <a14:useLocalDpi xmlns:a14="http://schemas.microsoft.com/office/drawing/2010/main"/>
                        </a:ext>
                      </a:extLst>
                    </a:blip>
                    <a:srcRect r="11473"/>
                    <a:stretch/>
                  </pic:blipFill>
                  <pic:spPr bwMode="auto">
                    <a:xfrm>
                      <a:off x="0" y="0"/>
                      <a:ext cx="2124559" cy="1800000"/>
                    </a:xfrm>
                    <a:prstGeom prst="rect">
                      <a:avLst/>
                    </a:prstGeom>
                    <a:ln>
                      <a:noFill/>
                    </a:ln>
                    <a:extLst>
                      <a:ext uri="{53640926-AAD7-44D8-BBD7-CCE9431645EC}">
                        <a14:shadowObscured xmlns:a14="http://schemas.microsoft.com/office/drawing/2010/main"/>
                      </a:ext>
                    </a:extLst>
                  </pic:spPr>
                </pic:pic>
              </a:graphicData>
            </a:graphic>
          </wp:inline>
        </w:drawing>
      </w:r>
    </w:p>
    <w:p w14:paraId="3B4F874C" w14:textId="6151CE30" w:rsidR="006D72D5" w:rsidRPr="000C1DEB" w:rsidRDefault="006D72D5" w:rsidP="00786EC4">
      <w:pPr>
        <w:spacing w:after="0" w:line="240" w:lineRule="auto"/>
        <w:ind w:left="-851" w:right="-851"/>
        <w:jc w:val="left"/>
        <w:rPr>
          <w:sz w:val="20"/>
        </w:rPr>
      </w:pPr>
      <w:r w:rsidRPr="000C1DEB">
        <w:rPr>
          <w:sz w:val="20"/>
        </w:rPr>
        <w:t xml:space="preserve">Yallakool Creek </w:t>
      </w:r>
      <w:r w:rsidR="0015003B" w:rsidRPr="000C1DEB">
        <w:rPr>
          <w:sz w:val="20"/>
        </w:rPr>
        <w:t>30/7</w:t>
      </w:r>
      <w:r w:rsidRPr="000C1DEB">
        <w:rPr>
          <w:sz w:val="20"/>
        </w:rPr>
        <w:t>/</w:t>
      </w:r>
      <w:r w:rsidR="0015003B" w:rsidRPr="000C1DEB">
        <w:rPr>
          <w:sz w:val="20"/>
        </w:rPr>
        <w:t>15, cease to flow</w:t>
      </w:r>
      <w:r w:rsidR="00786EC4">
        <w:rPr>
          <w:sz w:val="20"/>
        </w:rPr>
        <w:t xml:space="preserve">       </w:t>
      </w:r>
      <w:r w:rsidRPr="000C1DEB">
        <w:rPr>
          <w:sz w:val="20"/>
        </w:rPr>
        <w:t>2</w:t>
      </w:r>
      <w:r w:rsidR="000C1DEB">
        <w:rPr>
          <w:sz w:val="20"/>
        </w:rPr>
        <w:t>1/12</w:t>
      </w:r>
      <w:r w:rsidRPr="000C1DEB">
        <w:rPr>
          <w:sz w:val="20"/>
        </w:rPr>
        <w:t>/</w:t>
      </w:r>
      <w:r w:rsidRPr="003E7141">
        <w:rPr>
          <w:sz w:val="20"/>
        </w:rPr>
        <w:t xml:space="preserve">15, </w:t>
      </w:r>
      <w:r w:rsidR="003E7141" w:rsidRPr="003E7141">
        <w:rPr>
          <w:sz w:val="20"/>
        </w:rPr>
        <w:t>426</w:t>
      </w:r>
      <w:r w:rsidRPr="003E7141">
        <w:rPr>
          <w:sz w:val="20"/>
        </w:rPr>
        <w:t xml:space="preserve"> </w:t>
      </w:r>
      <w:r w:rsidR="007478C0" w:rsidRPr="007478C0">
        <w:rPr>
          <w:sz w:val="20"/>
        </w:rPr>
        <w:t>ML.d</w:t>
      </w:r>
      <w:r w:rsidR="007478C0" w:rsidRPr="007478C0">
        <w:rPr>
          <w:sz w:val="20"/>
          <w:vertAlign w:val="superscript"/>
        </w:rPr>
        <w:t>-1</w:t>
      </w:r>
      <w:r w:rsidR="007478C0" w:rsidRPr="004F2656">
        <w:t xml:space="preserve"> </w:t>
      </w:r>
      <w:r w:rsidR="00786EC4">
        <w:rPr>
          <w:sz w:val="20"/>
        </w:rPr>
        <w:t>(e-</w:t>
      </w:r>
      <w:r w:rsidRPr="000C1DEB">
        <w:rPr>
          <w:sz w:val="20"/>
        </w:rPr>
        <w:t>flow)</w:t>
      </w:r>
      <w:r w:rsidR="00CF3937">
        <w:rPr>
          <w:sz w:val="20"/>
        </w:rPr>
        <w:t xml:space="preserve">                      </w:t>
      </w:r>
      <w:r w:rsidR="002A0D49">
        <w:rPr>
          <w:sz w:val="20"/>
        </w:rPr>
        <w:t>1/04/16</w:t>
      </w:r>
      <w:r w:rsidR="00FD7431">
        <w:rPr>
          <w:sz w:val="20"/>
        </w:rPr>
        <w:t>, 227</w:t>
      </w:r>
      <w:r w:rsidR="00CF3937">
        <w:rPr>
          <w:sz w:val="20"/>
        </w:rPr>
        <w:t xml:space="preserve"> ML d</w:t>
      </w:r>
      <w:r w:rsidR="00CF3937" w:rsidRPr="00CF3937">
        <w:rPr>
          <w:sz w:val="20"/>
          <w:vertAlign w:val="superscript"/>
        </w:rPr>
        <w:t>-1</w:t>
      </w:r>
      <w:r w:rsidR="00CF3937">
        <w:rPr>
          <w:sz w:val="20"/>
        </w:rPr>
        <w:t xml:space="preserve"> (operational flow)</w:t>
      </w:r>
    </w:p>
    <w:p w14:paraId="3B4F874D" w14:textId="379D9679" w:rsidR="006D72D5" w:rsidRPr="000C1DEB" w:rsidRDefault="000C1DEB" w:rsidP="00786EC4">
      <w:pPr>
        <w:spacing w:after="0" w:line="240" w:lineRule="auto"/>
        <w:ind w:left="-851" w:right="-851"/>
        <w:jc w:val="left"/>
      </w:pPr>
      <w:r>
        <w:rPr>
          <w:noProof/>
          <w:lang w:eastAsia="en-AU"/>
        </w:rPr>
        <w:drawing>
          <wp:inline distT="0" distB="0" distL="0" distR="0" wp14:anchorId="3B4F95DB" wp14:editId="6D8D122E">
            <wp:extent cx="2123440" cy="17989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2s1 july 2015.jpg"/>
                    <pic:cNvPicPr/>
                  </pic:nvPicPr>
                  <pic:blipFill rotWithShape="1">
                    <a:blip r:embed="rId33" cstate="email">
                      <a:extLst>
                        <a:ext uri="{28A0092B-C50C-407E-A947-70E740481C1C}">
                          <a14:useLocalDpi xmlns:a14="http://schemas.microsoft.com/office/drawing/2010/main"/>
                        </a:ext>
                      </a:extLst>
                    </a:blip>
                    <a:srcRect l="8733" r="2738"/>
                    <a:stretch/>
                  </pic:blipFill>
                  <pic:spPr bwMode="auto">
                    <a:xfrm>
                      <a:off x="0" y="0"/>
                      <a:ext cx="2124674" cy="180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AU"/>
        </w:rPr>
        <w:drawing>
          <wp:inline distT="0" distB="0" distL="0" distR="0" wp14:anchorId="3B4F95DD" wp14:editId="658D8B28">
            <wp:extent cx="2124000" cy="1800000"/>
            <wp:effectExtent l="0" t="0" r="0"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20151221_140727.jpg"/>
                    <pic:cNvPicPr/>
                  </pic:nvPicPr>
                  <pic:blipFill rotWithShape="1">
                    <a:blip r:embed="rId34" cstate="email">
                      <a:extLst>
                        <a:ext uri="{28A0092B-C50C-407E-A947-70E740481C1C}">
                          <a14:useLocalDpi xmlns:a14="http://schemas.microsoft.com/office/drawing/2010/main"/>
                        </a:ext>
                      </a:extLst>
                    </a:blip>
                    <a:srcRect l="6353" r="5214"/>
                    <a:stretch/>
                  </pic:blipFill>
                  <pic:spPr bwMode="auto">
                    <a:xfrm>
                      <a:off x="0" y="0"/>
                      <a:ext cx="2124000" cy="1800000"/>
                    </a:xfrm>
                    <a:prstGeom prst="rect">
                      <a:avLst/>
                    </a:prstGeom>
                    <a:ln>
                      <a:noFill/>
                    </a:ln>
                    <a:extLst>
                      <a:ext uri="{53640926-AAD7-44D8-BBD7-CCE9431645EC}">
                        <a14:shadowObscured xmlns:a14="http://schemas.microsoft.com/office/drawing/2010/main"/>
                      </a:ext>
                    </a:extLst>
                  </pic:spPr>
                </pic:pic>
              </a:graphicData>
            </a:graphic>
          </wp:inline>
        </w:drawing>
      </w:r>
      <w:r w:rsidR="00CF3937">
        <w:t xml:space="preserve"> </w:t>
      </w:r>
      <w:r w:rsidR="00CF3937">
        <w:rPr>
          <w:noProof/>
          <w:lang w:eastAsia="en-AU"/>
        </w:rPr>
        <w:drawing>
          <wp:inline distT="0" distB="0" distL="0" distR="0" wp14:anchorId="33A27E71" wp14:editId="02205A5F">
            <wp:extent cx="2131906" cy="1798955"/>
            <wp:effectExtent l="0" t="0" r="190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Z2S1_March_2016.JPG"/>
                    <pic:cNvPicPr/>
                  </pic:nvPicPr>
                  <pic:blipFill rotWithShape="1">
                    <a:blip r:embed="rId35" cstate="email">
                      <a:extLst>
                        <a:ext uri="{28A0092B-C50C-407E-A947-70E740481C1C}">
                          <a14:useLocalDpi xmlns:a14="http://schemas.microsoft.com/office/drawing/2010/main"/>
                        </a:ext>
                      </a:extLst>
                    </a:blip>
                    <a:srcRect l="11116"/>
                    <a:stretch/>
                  </pic:blipFill>
                  <pic:spPr bwMode="auto">
                    <a:xfrm>
                      <a:off x="0" y="0"/>
                      <a:ext cx="2133144" cy="1800000"/>
                    </a:xfrm>
                    <a:prstGeom prst="rect">
                      <a:avLst/>
                    </a:prstGeom>
                    <a:ln>
                      <a:noFill/>
                    </a:ln>
                    <a:extLst>
                      <a:ext uri="{53640926-AAD7-44D8-BBD7-CCE9431645EC}">
                        <a14:shadowObscured xmlns:a14="http://schemas.microsoft.com/office/drawing/2010/main"/>
                      </a:ext>
                    </a:extLst>
                  </pic:spPr>
                </pic:pic>
              </a:graphicData>
            </a:graphic>
          </wp:inline>
        </w:drawing>
      </w:r>
    </w:p>
    <w:p w14:paraId="3B4F874E" w14:textId="0D02DF99" w:rsidR="006D72D5" w:rsidRPr="000C1DEB" w:rsidRDefault="00786EC4" w:rsidP="00CF3937">
      <w:pPr>
        <w:spacing w:after="0" w:line="240" w:lineRule="auto"/>
        <w:ind w:left="-851" w:right="-851"/>
        <w:jc w:val="left"/>
        <w:rPr>
          <w:sz w:val="20"/>
        </w:rPr>
      </w:pPr>
      <w:r>
        <w:rPr>
          <w:sz w:val="20"/>
        </w:rPr>
        <w:t>Wakool R</w:t>
      </w:r>
      <w:r w:rsidR="006D72D5" w:rsidRPr="000C1DEB">
        <w:rPr>
          <w:sz w:val="20"/>
        </w:rPr>
        <w:t xml:space="preserve"> (zone 2) </w:t>
      </w:r>
      <w:r w:rsidR="000C1DEB" w:rsidRPr="000C1DEB">
        <w:rPr>
          <w:sz w:val="20"/>
        </w:rPr>
        <w:t>30/7/15, cease to flow</w:t>
      </w:r>
      <w:r w:rsidR="003E7141">
        <w:rPr>
          <w:sz w:val="20"/>
        </w:rPr>
        <w:t xml:space="preserve">    </w:t>
      </w:r>
      <w:r w:rsidR="006D72D5" w:rsidRPr="000C1DEB">
        <w:rPr>
          <w:sz w:val="20"/>
        </w:rPr>
        <w:t>2</w:t>
      </w:r>
      <w:r w:rsidR="000C1DEB">
        <w:rPr>
          <w:sz w:val="20"/>
        </w:rPr>
        <w:t>1/12</w:t>
      </w:r>
      <w:r w:rsidR="00252C48">
        <w:rPr>
          <w:sz w:val="20"/>
        </w:rPr>
        <w:t>/</w:t>
      </w:r>
      <w:r w:rsidR="006D72D5" w:rsidRPr="000C1DEB">
        <w:rPr>
          <w:sz w:val="20"/>
        </w:rPr>
        <w:t>15</w:t>
      </w:r>
      <w:r w:rsidR="006D72D5" w:rsidRPr="003E7141">
        <w:rPr>
          <w:sz w:val="20"/>
        </w:rPr>
        <w:t xml:space="preserve">, </w:t>
      </w:r>
      <w:r w:rsidR="003E7141" w:rsidRPr="003E7141">
        <w:rPr>
          <w:sz w:val="20"/>
        </w:rPr>
        <w:t>68</w:t>
      </w:r>
      <w:r w:rsidR="006D72D5" w:rsidRPr="003E7141">
        <w:rPr>
          <w:sz w:val="20"/>
        </w:rPr>
        <w:t xml:space="preserve"> </w:t>
      </w:r>
      <w:r w:rsidR="007478C0" w:rsidRPr="007478C0">
        <w:rPr>
          <w:sz w:val="20"/>
        </w:rPr>
        <w:t>ML.d</w:t>
      </w:r>
      <w:r w:rsidR="007478C0" w:rsidRPr="007478C0">
        <w:rPr>
          <w:sz w:val="20"/>
          <w:vertAlign w:val="superscript"/>
        </w:rPr>
        <w:t>-1</w:t>
      </w:r>
      <w:r w:rsidR="007478C0" w:rsidRPr="004F2656">
        <w:t xml:space="preserve"> </w:t>
      </w:r>
      <w:r w:rsidR="006D72D5" w:rsidRPr="003E7141">
        <w:rPr>
          <w:sz w:val="20"/>
        </w:rPr>
        <w:t>(</w:t>
      </w:r>
      <w:r>
        <w:rPr>
          <w:sz w:val="20"/>
        </w:rPr>
        <w:t>e-</w:t>
      </w:r>
      <w:r w:rsidR="006D72D5" w:rsidRPr="000C1DEB">
        <w:rPr>
          <w:sz w:val="20"/>
        </w:rPr>
        <w:t>flow)</w:t>
      </w:r>
      <w:r w:rsidR="00CF3937">
        <w:rPr>
          <w:sz w:val="20"/>
        </w:rPr>
        <w:t xml:space="preserve">                     </w:t>
      </w:r>
      <w:r w:rsidR="002A0D49">
        <w:rPr>
          <w:sz w:val="20"/>
        </w:rPr>
        <w:t>1/04/16</w:t>
      </w:r>
      <w:r w:rsidR="00F12DE9">
        <w:rPr>
          <w:sz w:val="20"/>
        </w:rPr>
        <w:t>, 48</w:t>
      </w:r>
      <w:r w:rsidR="00CF3937">
        <w:rPr>
          <w:sz w:val="20"/>
        </w:rPr>
        <w:t xml:space="preserve"> ML d</w:t>
      </w:r>
      <w:r w:rsidR="00CF3937" w:rsidRPr="00CF3937">
        <w:rPr>
          <w:sz w:val="20"/>
          <w:vertAlign w:val="superscript"/>
        </w:rPr>
        <w:t>-1</w:t>
      </w:r>
      <w:r w:rsidR="00CF3937">
        <w:rPr>
          <w:sz w:val="20"/>
        </w:rPr>
        <w:t xml:space="preserve"> (operational flow)</w:t>
      </w:r>
    </w:p>
    <w:p w14:paraId="3B4F874F" w14:textId="613AB2A0" w:rsidR="006D72D5" w:rsidRPr="000C1DEB" w:rsidRDefault="000C1DEB" w:rsidP="00786EC4">
      <w:pPr>
        <w:spacing w:after="0" w:line="240" w:lineRule="auto"/>
        <w:ind w:left="-851" w:right="-851"/>
        <w:jc w:val="left"/>
        <w:rPr>
          <w:noProof/>
          <w:lang w:eastAsia="en-AU"/>
        </w:rPr>
      </w:pPr>
      <w:r>
        <w:rPr>
          <w:noProof/>
          <w:lang w:eastAsia="en-AU"/>
        </w:rPr>
        <w:lastRenderedPageBreak/>
        <w:drawing>
          <wp:inline distT="0" distB="0" distL="0" distR="0" wp14:anchorId="3B4F95DF" wp14:editId="2E37A403">
            <wp:extent cx="2124075" cy="179959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Z3S1 July 2015.JPG"/>
                    <pic:cNvPicPr/>
                  </pic:nvPicPr>
                  <pic:blipFill rotWithShape="1">
                    <a:blip r:embed="rId36" cstate="email">
                      <a:extLst>
                        <a:ext uri="{28A0092B-C50C-407E-A947-70E740481C1C}">
                          <a14:useLocalDpi xmlns:a14="http://schemas.microsoft.com/office/drawing/2010/main"/>
                        </a:ext>
                      </a:extLst>
                    </a:blip>
                    <a:srcRect l="7147" r="4330"/>
                    <a:stretch/>
                  </pic:blipFill>
                  <pic:spPr bwMode="auto">
                    <a:xfrm>
                      <a:off x="0" y="0"/>
                      <a:ext cx="2124559" cy="180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t xml:space="preserve"> </w:t>
      </w:r>
      <w:r w:rsidR="00C24A9B">
        <w:rPr>
          <w:noProof/>
          <w:lang w:eastAsia="en-AU"/>
        </w:rPr>
        <w:drawing>
          <wp:inline distT="0" distB="0" distL="0" distR="0" wp14:anchorId="3B4F95E1" wp14:editId="6FD6FB50">
            <wp:extent cx="2124075" cy="1799590"/>
            <wp:effectExtent l="0" t="0" r="9525"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20151221_101700.jpg"/>
                    <pic:cNvPicPr/>
                  </pic:nvPicPr>
                  <pic:blipFill rotWithShape="1">
                    <a:blip r:embed="rId37" cstate="email">
                      <a:extLst>
                        <a:ext uri="{28A0092B-C50C-407E-A947-70E740481C1C}">
                          <a14:useLocalDpi xmlns:a14="http://schemas.microsoft.com/office/drawing/2010/main"/>
                        </a:ext>
                      </a:extLst>
                    </a:blip>
                    <a:srcRect l="6748" r="4684"/>
                    <a:stretch/>
                  </pic:blipFill>
                  <pic:spPr bwMode="auto">
                    <a:xfrm>
                      <a:off x="0" y="0"/>
                      <a:ext cx="2124559" cy="1800000"/>
                    </a:xfrm>
                    <a:prstGeom prst="rect">
                      <a:avLst/>
                    </a:prstGeom>
                    <a:ln>
                      <a:noFill/>
                    </a:ln>
                    <a:extLst>
                      <a:ext uri="{53640926-AAD7-44D8-BBD7-CCE9431645EC}">
                        <a14:shadowObscured xmlns:a14="http://schemas.microsoft.com/office/drawing/2010/main"/>
                      </a:ext>
                    </a:extLst>
                  </pic:spPr>
                </pic:pic>
              </a:graphicData>
            </a:graphic>
          </wp:inline>
        </w:drawing>
      </w:r>
      <w:r w:rsidR="006D72D5" w:rsidRPr="000C1DEB">
        <w:rPr>
          <w:noProof/>
          <w:lang w:eastAsia="en-AU"/>
        </w:rPr>
        <w:t xml:space="preserve"> </w:t>
      </w:r>
      <w:r w:rsidR="00CF3937">
        <w:rPr>
          <w:noProof/>
          <w:lang w:eastAsia="en-AU"/>
        </w:rPr>
        <w:drawing>
          <wp:inline distT="0" distB="0" distL="0" distR="0" wp14:anchorId="23E39CC3" wp14:editId="25740CA6">
            <wp:extent cx="2123440" cy="17995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3S1 March 2016.JPG"/>
                    <pic:cNvPicPr/>
                  </pic:nvPicPr>
                  <pic:blipFill rotWithShape="1">
                    <a:blip r:embed="rId38" cstate="email">
                      <a:extLst>
                        <a:ext uri="{28A0092B-C50C-407E-A947-70E740481C1C}">
                          <a14:useLocalDpi xmlns:a14="http://schemas.microsoft.com/office/drawing/2010/main"/>
                        </a:ext>
                      </a:extLst>
                    </a:blip>
                    <a:srcRect r="11500"/>
                    <a:stretch/>
                  </pic:blipFill>
                  <pic:spPr bwMode="auto">
                    <a:xfrm>
                      <a:off x="0" y="0"/>
                      <a:ext cx="2123924" cy="1800000"/>
                    </a:xfrm>
                    <a:prstGeom prst="rect">
                      <a:avLst/>
                    </a:prstGeom>
                    <a:ln>
                      <a:noFill/>
                    </a:ln>
                    <a:extLst>
                      <a:ext uri="{53640926-AAD7-44D8-BBD7-CCE9431645EC}">
                        <a14:shadowObscured xmlns:a14="http://schemas.microsoft.com/office/drawing/2010/main"/>
                      </a:ext>
                    </a:extLst>
                  </pic:spPr>
                </pic:pic>
              </a:graphicData>
            </a:graphic>
          </wp:inline>
        </w:drawing>
      </w:r>
    </w:p>
    <w:p w14:paraId="3B4F8750" w14:textId="76B0F1CB" w:rsidR="006D72D5" w:rsidRPr="000C1DEB" w:rsidRDefault="001B43FE" w:rsidP="00786EC4">
      <w:pPr>
        <w:spacing w:after="0" w:line="240" w:lineRule="auto"/>
        <w:ind w:left="-851" w:right="-851"/>
        <w:jc w:val="left"/>
        <w:rPr>
          <w:sz w:val="20"/>
        </w:rPr>
      </w:pPr>
      <w:r>
        <w:rPr>
          <w:sz w:val="20"/>
        </w:rPr>
        <w:t>Wakool R</w:t>
      </w:r>
      <w:r w:rsidR="006D72D5" w:rsidRPr="000C1DEB">
        <w:rPr>
          <w:sz w:val="20"/>
        </w:rPr>
        <w:t xml:space="preserve"> (zone 3) </w:t>
      </w:r>
      <w:r w:rsidR="000C1DEB">
        <w:rPr>
          <w:sz w:val="20"/>
        </w:rPr>
        <w:t>29</w:t>
      </w:r>
      <w:r w:rsidR="000C1DEB" w:rsidRPr="000C1DEB">
        <w:rPr>
          <w:sz w:val="20"/>
        </w:rPr>
        <w:t>/7/15, cease to flow</w:t>
      </w:r>
      <w:r w:rsidR="003E7141">
        <w:rPr>
          <w:sz w:val="20"/>
        </w:rPr>
        <w:t xml:space="preserve">    20</w:t>
      </w:r>
      <w:r w:rsidR="00CE088C">
        <w:rPr>
          <w:sz w:val="20"/>
        </w:rPr>
        <w:t>/12</w:t>
      </w:r>
      <w:r w:rsidR="006D72D5" w:rsidRPr="000C1DEB">
        <w:rPr>
          <w:sz w:val="20"/>
        </w:rPr>
        <w:t>/</w:t>
      </w:r>
      <w:r w:rsidR="006D72D5" w:rsidRPr="003E7141">
        <w:rPr>
          <w:sz w:val="20"/>
        </w:rPr>
        <w:t xml:space="preserve">15, </w:t>
      </w:r>
      <w:r w:rsidR="003E7141" w:rsidRPr="003E7141">
        <w:rPr>
          <w:sz w:val="20"/>
        </w:rPr>
        <w:t>399</w:t>
      </w:r>
      <w:r w:rsidR="006D72D5" w:rsidRPr="003E7141">
        <w:rPr>
          <w:sz w:val="20"/>
        </w:rPr>
        <w:t xml:space="preserve"> </w:t>
      </w:r>
      <w:r w:rsidR="007478C0" w:rsidRPr="007478C0">
        <w:rPr>
          <w:sz w:val="20"/>
        </w:rPr>
        <w:t>ML.d</w:t>
      </w:r>
      <w:r w:rsidR="007478C0" w:rsidRPr="007478C0">
        <w:rPr>
          <w:sz w:val="20"/>
          <w:vertAlign w:val="superscript"/>
        </w:rPr>
        <w:t>-1</w:t>
      </w:r>
      <w:r w:rsidR="007478C0" w:rsidRPr="004F2656">
        <w:t xml:space="preserve"> </w:t>
      </w:r>
      <w:r w:rsidR="006D72D5" w:rsidRPr="003E7141">
        <w:rPr>
          <w:sz w:val="20"/>
        </w:rPr>
        <w:t>(</w:t>
      </w:r>
      <w:r w:rsidR="00252C48">
        <w:rPr>
          <w:sz w:val="20"/>
        </w:rPr>
        <w:t>e-</w:t>
      </w:r>
      <w:r w:rsidR="006D72D5" w:rsidRPr="003E7141">
        <w:rPr>
          <w:sz w:val="20"/>
        </w:rPr>
        <w:t>flow)</w:t>
      </w:r>
      <w:r w:rsidR="002518D0">
        <w:rPr>
          <w:sz w:val="20"/>
        </w:rPr>
        <w:t xml:space="preserve">                   </w:t>
      </w:r>
      <w:r w:rsidR="002A0D49">
        <w:rPr>
          <w:sz w:val="20"/>
        </w:rPr>
        <w:t>1/04/16</w:t>
      </w:r>
      <w:r w:rsidR="00F12DE9">
        <w:rPr>
          <w:sz w:val="20"/>
        </w:rPr>
        <w:t>, 290</w:t>
      </w:r>
      <w:r w:rsidR="002518D0">
        <w:rPr>
          <w:sz w:val="20"/>
        </w:rPr>
        <w:t xml:space="preserve"> ML d</w:t>
      </w:r>
      <w:r w:rsidR="002518D0" w:rsidRPr="00CF3937">
        <w:rPr>
          <w:sz w:val="20"/>
          <w:vertAlign w:val="superscript"/>
        </w:rPr>
        <w:t>-1</w:t>
      </w:r>
      <w:r w:rsidR="002518D0">
        <w:rPr>
          <w:sz w:val="20"/>
        </w:rPr>
        <w:t xml:space="preserve"> (operational flow)</w:t>
      </w:r>
    </w:p>
    <w:p w14:paraId="3B4F8751" w14:textId="0AE9D1AF" w:rsidR="006D72D5" w:rsidRPr="000C1DEB" w:rsidRDefault="000C1DEB" w:rsidP="00786EC4">
      <w:pPr>
        <w:spacing w:after="0" w:line="240" w:lineRule="auto"/>
        <w:ind w:left="-851" w:right="-851"/>
        <w:jc w:val="left"/>
      </w:pPr>
      <w:r>
        <w:rPr>
          <w:noProof/>
          <w:lang w:eastAsia="en-AU"/>
        </w:rPr>
        <w:drawing>
          <wp:inline distT="0" distB="0" distL="0" distR="0" wp14:anchorId="3B4F95E3" wp14:editId="7015F506">
            <wp:extent cx="2123440" cy="17983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Z4S1 new july 2015.JPG"/>
                    <pic:cNvPicPr/>
                  </pic:nvPicPr>
                  <pic:blipFill rotWithShape="1">
                    <a:blip r:embed="rId39" cstate="email">
                      <a:extLst>
                        <a:ext uri="{28A0092B-C50C-407E-A947-70E740481C1C}">
                          <a14:useLocalDpi xmlns:a14="http://schemas.microsoft.com/office/drawing/2010/main"/>
                        </a:ext>
                      </a:extLst>
                    </a:blip>
                    <a:srcRect l="10718" r="721"/>
                    <a:stretch/>
                  </pic:blipFill>
                  <pic:spPr bwMode="auto">
                    <a:xfrm>
                      <a:off x="0" y="0"/>
                      <a:ext cx="2125424" cy="180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CE088C">
        <w:rPr>
          <w:noProof/>
          <w:lang w:eastAsia="en-AU"/>
        </w:rPr>
        <w:drawing>
          <wp:inline distT="0" distB="0" distL="0" distR="0" wp14:anchorId="3B4F95E5" wp14:editId="12A518B4">
            <wp:extent cx="2123440" cy="17983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z4s1.jpg"/>
                    <pic:cNvPicPr/>
                  </pic:nvPicPr>
                  <pic:blipFill rotWithShape="1">
                    <a:blip r:embed="rId40" cstate="email">
                      <a:extLst>
                        <a:ext uri="{28A0092B-C50C-407E-A947-70E740481C1C}">
                          <a14:useLocalDpi xmlns:a14="http://schemas.microsoft.com/office/drawing/2010/main"/>
                        </a:ext>
                      </a:extLst>
                    </a:blip>
                    <a:srcRect l="5954" r="5488"/>
                    <a:stretch/>
                  </pic:blipFill>
                  <pic:spPr bwMode="auto">
                    <a:xfrm>
                      <a:off x="0" y="0"/>
                      <a:ext cx="2125424" cy="1800000"/>
                    </a:xfrm>
                    <a:prstGeom prst="rect">
                      <a:avLst/>
                    </a:prstGeom>
                    <a:ln>
                      <a:noFill/>
                    </a:ln>
                    <a:extLst>
                      <a:ext uri="{53640926-AAD7-44D8-BBD7-CCE9431645EC}">
                        <a14:shadowObscured xmlns:a14="http://schemas.microsoft.com/office/drawing/2010/main"/>
                      </a:ext>
                    </a:extLst>
                  </pic:spPr>
                </pic:pic>
              </a:graphicData>
            </a:graphic>
          </wp:inline>
        </w:drawing>
      </w:r>
      <w:r w:rsidR="002518D0">
        <w:t xml:space="preserve"> </w:t>
      </w:r>
      <w:r w:rsidR="002518D0">
        <w:rPr>
          <w:noProof/>
          <w:lang w:eastAsia="en-AU"/>
        </w:rPr>
        <w:drawing>
          <wp:inline distT="0" distB="0" distL="0" distR="0" wp14:anchorId="471DE0B8" wp14:editId="62B16CF5">
            <wp:extent cx="2122896" cy="1798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4S1 March  2016.JPG"/>
                    <pic:cNvPicPr/>
                  </pic:nvPicPr>
                  <pic:blipFill rotWithShape="1">
                    <a:blip r:embed="rId41" cstate="email">
                      <a:extLst>
                        <a:ext uri="{28A0092B-C50C-407E-A947-70E740481C1C}">
                          <a14:useLocalDpi xmlns:a14="http://schemas.microsoft.com/office/drawing/2010/main"/>
                        </a:ext>
                      </a:extLst>
                    </a:blip>
                    <a:srcRect l="11459"/>
                    <a:stretch/>
                  </pic:blipFill>
                  <pic:spPr bwMode="auto">
                    <a:xfrm>
                      <a:off x="0" y="0"/>
                      <a:ext cx="2124879" cy="1800000"/>
                    </a:xfrm>
                    <a:prstGeom prst="rect">
                      <a:avLst/>
                    </a:prstGeom>
                    <a:ln>
                      <a:noFill/>
                    </a:ln>
                    <a:extLst>
                      <a:ext uri="{53640926-AAD7-44D8-BBD7-CCE9431645EC}">
                        <a14:shadowObscured xmlns:a14="http://schemas.microsoft.com/office/drawing/2010/main"/>
                      </a:ext>
                    </a:extLst>
                  </pic:spPr>
                </pic:pic>
              </a:graphicData>
            </a:graphic>
          </wp:inline>
        </w:drawing>
      </w:r>
    </w:p>
    <w:p w14:paraId="3B4F8752" w14:textId="1B6C87D3" w:rsidR="006D72D5" w:rsidRPr="000C1DEB" w:rsidRDefault="001B43FE" w:rsidP="001B43FE">
      <w:pPr>
        <w:spacing w:after="120" w:line="240" w:lineRule="auto"/>
        <w:ind w:left="-851" w:right="-567"/>
        <w:jc w:val="left"/>
        <w:rPr>
          <w:sz w:val="20"/>
        </w:rPr>
      </w:pPr>
      <w:r>
        <w:rPr>
          <w:sz w:val="20"/>
        </w:rPr>
        <w:t>Wakool R</w:t>
      </w:r>
      <w:r w:rsidR="006D72D5" w:rsidRPr="000C1DEB">
        <w:rPr>
          <w:sz w:val="20"/>
        </w:rPr>
        <w:t xml:space="preserve"> (zone 4) </w:t>
      </w:r>
      <w:r w:rsidR="000C1DEB">
        <w:rPr>
          <w:sz w:val="20"/>
        </w:rPr>
        <w:t>29</w:t>
      </w:r>
      <w:r w:rsidR="000C1DEB" w:rsidRPr="000C1DEB">
        <w:rPr>
          <w:sz w:val="20"/>
        </w:rPr>
        <w:t>/7/15, cease to flow</w:t>
      </w:r>
      <w:r>
        <w:rPr>
          <w:sz w:val="20"/>
        </w:rPr>
        <w:t xml:space="preserve">  </w:t>
      </w:r>
      <w:r w:rsidR="00252C48">
        <w:rPr>
          <w:sz w:val="20"/>
        </w:rPr>
        <w:t xml:space="preserve">  </w:t>
      </w:r>
      <w:r w:rsidR="006D72D5" w:rsidRPr="000C1DEB">
        <w:rPr>
          <w:sz w:val="20"/>
        </w:rPr>
        <w:t>2</w:t>
      </w:r>
      <w:r w:rsidR="00CE088C">
        <w:rPr>
          <w:sz w:val="20"/>
        </w:rPr>
        <w:t>0/12</w:t>
      </w:r>
      <w:r w:rsidR="00252C48">
        <w:rPr>
          <w:sz w:val="20"/>
        </w:rPr>
        <w:t>/</w:t>
      </w:r>
      <w:r w:rsidR="006D72D5" w:rsidRPr="000C1DEB">
        <w:rPr>
          <w:sz w:val="20"/>
        </w:rPr>
        <w:t xml:space="preserve">15, </w:t>
      </w:r>
      <w:r w:rsidR="003E7141" w:rsidRPr="003E7141">
        <w:rPr>
          <w:sz w:val="20"/>
        </w:rPr>
        <w:t>409</w:t>
      </w:r>
      <w:r w:rsidR="006D72D5" w:rsidRPr="003E7141">
        <w:rPr>
          <w:sz w:val="20"/>
        </w:rPr>
        <w:t xml:space="preserve"> </w:t>
      </w:r>
      <w:r w:rsidR="007478C0" w:rsidRPr="007478C0">
        <w:rPr>
          <w:sz w:val="20"/>
        </w:rPr>
        <w:t>ML.d</w:t>
      </w:r>
      <w:r w:rsidR="007478C0" w:rsidRPr="007478C0">
        <w:rPr>
          <w:sz w:val="20"/>
          <w:vertAlign w:val="superscript"/>
        </w:rPr>
        <w:t>-1</w:t>
      </w:r>
      <w:r w:rsidR="007478C0" w:rsidRPr="004F2656">
        <w:t xml:space="preserve"> </w:t>
      </w:r>
      <w:r w:rsidR="006D72D5" w:rsidRPr="003E7141">
        <w:rPr>
          <w:sz w:val="20"/>
        </w:rPr>
        <w:t>(</w:t>
      </w:r>
      <w:r w:rsidR="00252C48">
        <w:rPr>
          <w:sz w:val="20"/>
        </w:rPr>
        <w:t>e-</w:t>
      </w:r>
      <w:r w:rsidR="00696E37">
        <w:rPr>
          <w:sz w:val="20"/>
        </w:rPr>
        <w:t>f</w:t>
      </w:r>
      <w:r w:rsidR="006D72D5" w:rsidRPr="003E7141">
        <w:rPr>
          <w:sz w:val="20"/>
        </w:rPr>
        <w:t>low)</w:t>
      </w:r>
      <w:r w:rsidR="00F12DE9">
        <w:rPr>
          <w:sz w:val="20"/>
        </w:rPr>
        <w:t xml:space="preserve">                  </w:t>
      </w:r>
      <w:r w:rsidR="002A0D49">
        <w:rPr>
          <w:sz w:val="20"/>
        </w:rPr>
        <w:t>1/04/16</w:t>
      </w:r>
      <w:r w:rsidR="00F12DE9">
        <w:rPr>
          <w:sz w:val="20"/>
        </w:rPr>
        <w:t>, 270</w:t>
      </w:r>
      <w:r w:rsidR="002518D0">
        <w:rPr>
          <w:sz w:val="20"/>
        </w:rPr>
        <w:t xml:space="preserve"> ML d</w:t>
      </w:r>
      <w:r w:rsidR="002518D0" w:rsidRPr="00CF3937">
        <w:rPr>
          <w:sz w:val="20"/>
          <w:vertAlign w:val="superscript"/>
        </w:rPr>
        <w:t>-1</w:t>
      </w:r>
      <w:r w:rsidR="002518D0">
        <w:rPr>
          <w:sz w:val="20"/>
        </w:rPr>
        <w:t xml:space="preserve"> (operational flow)</w:t>
      </w:r>
    </w:p>
    <w:p w14:paraId="3B4F8753" w14:textId="72D3FEA0" w:rsidR="00DE2600" w:rsidRDefault="006D72D5" w:rsidP="002518D0">
      <w:pPr>
        <w:pStyle w:val="FigureCaption0"/>
        <w:ind w:left="-851" w:right="-567"/>
        <w:rPr>
          <w:b w:val="0"/>
        </w:rPr>
      </w:pPr>
      <w:bookmarkStart w:id="22" w:name="_Toc450164290"/>
      <w:r w:rsidRPr="000C1DEB">
        <w:t xml:space="preserve">Figure 3.2. </w:t>
      </w:r>
      <w:r w:rsidRPr="000C1DEB">
        <w:rPr>
          <w:b w:val="0"/>
        </w:rPr>
        <w:t xml:space="preserve">Photos of study sites in the four hydrological zones </w:t>
      </w:r>
      <w:r w:rsidR="00CE088C">
        <w:rPr>
          <w:b w:val="0"/>
        </w:rPr>
        <w:t>during the cease to flow</w:t>
      </w:r>
      <w:r w:rsidR="00145301">
        <w:rPr>
          <w:b w:val="0"/>
        </w:rPr>
        <w:t>(July 2015)</w:t>
      </w:r>
      <w:r w:rsidR="00CE088C">
        <w:rPr>
          <w:b w:val="0"/>
        </w:rPr>
        <w:t xml:space="preserve"> and in December </w:t>
      </w:r>
      <w:r w:rsidR="00CE088C" w:rsidRPr="003E7141">
        <w:rPr>
          <w:b w:val="0"/>
        </w:rPr>
        <w:t>2015</w:t>
      </w:r>
      <w:r w:rsidRPr="003E7141">
        <w:rPr>
          <w:b w:val="0"/>
        </w:rPr>
        <w:t xml:space="preserve"> during the </w:t>
      </w:r>
      <w:r w:rsidR="003E7141" w:rsidRPr="003E7141">
        <w:rPr>
          <w:b w:val="0"/>
        </w:rPr>
        <w:t>Yallakool Creek and Wakool River environmental watering actions</w:t>
      </w:r>
      <w:r w:rsidRPr="003E7141">
        <w:rPr>
          <w:b w:val="0"/>
        </w:rPr>
        <w:t>.</w:t>
      </w:r>
      <w:r w:rsidRPr="000C1DEB">
        <w:rPr>
          <w:b w:val="0"/>
        </w:rPr>
        <w:t xml:space="preserve"> Yallakool Creek (zone 1), Wakool River (zone 2) Wakool River upstream of Thule Creek (zone 3) and Wakool River downstream of Thule Creek (zone 4).</w:t>
      </w:r>
      <w:bookmarkEnd w:id="22"/>
      <w:r w:rsidR="00B97E01">
        <w:rPr>
          <w:b w:val="0"/>
        </w:rPr>
        <w:t xml:space="preserve"> (Photos July 2015 Sascha Healy, December 2015 Robyn Watts).</w:t>
      </w:r>
      <w:r w:rsidR="00DE2600">
        <w:br w:type="page"/>
      </w:r>
    </w:p>
    <w:p w14:paraId="3B4F8754" w14:textId="77777777" w:rsidR="006D72D5" w:rsidRPr="00DC76D6" w:rsidRDefault="006D72D5" w:rsidP="005F21EE">
      <w:pPr>
        <w:pStyle w:val="TableCaption"/>
        <w:spacing w:after="0"/>
        <w:rPr>
          <w:b w:val="0"/>
        </w:rPr>
      </w:pPr>
      <w:r w:rsidRPr="00F83FB9">
        <w:lastRenderedPageBreak/>
        <w:t xml:space="preserve">Table 3.2. </w:t>
      </w:r>
      <w:r w:rsidRPr="00DC76D6">
        <w:rPr>
          <w:b w:val="0"/>
        </w:rPr>
        <w:t xml:space="preserve">Summary of </w:t>
      </w:r>
      <w:r w:rsidR="0000180C">
        <w:rPr>
          <w:b w:val="0"/>
        </w:rPr>
        <w:t>indicators to be monitored</w:t>
      </w:r>
      <w:r w:rsidRPr="00DC76D6">
        <w:rPr>
          <w:b w:val="0"/>
        </w:rPr>
        <w:t xml:space="preserve"> in the Edward-Wakool system for the Long Term Intervention Mo</w:t>
      </w:r>
      <w:r w:rsidR="0000180C">
        <w:rPr>
          <w:b w:val="0"/>
        </w:rPr>
        <w:t>nitoring Project from 2014-2019</w:t>
      </w:r>
      <w:r w:rsidR="00C624F0">
        <w:rPr>
          <w:b w:val="0"/>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2"/>
        <w:gridCol w:w="992"/>
        <w:gridCol w:w="1134"/>
        <w:gridCol w:w="1134"/>
        <w:gridCol w:w="3402"/>
      </w:tblGrid>
      <w:tr w:rsidR="00E8082F" w14:paraId="3B4F875B" w14:textId="77777777" w:rsidTr="005443BF">
        <w:trPr>
          <w:trHeight w:val="588"/>
        </w:trPr>
        <w:tc>
          <w:tcPr>
            <w:tcW w:w="1555" w:type="dxa"/>
            <w:shd w:val="clear" w:color="auto" w:fill="D6E3BC" w:themeFill="accent3" w:themeFillTint="66"/>
          </w:tcPr>
          <w:p w14:paraId="3B4F8755" w14:textId="77777777" w:rsidR="00846DA4" w:rsidRPr="00E8082F" w:rsidRDefault="00846DA4" w:rsidP="00846DA4">
            <w:pPr>
              <w:pStyle w:val="Default"/>
              <w:rPr>
                <w:rFonts w:asciiTheme="minorHAnsi" w:hAnsiTheme="minorHAnsi"/>
                <w:sz w:val="20"/>
                <w:szCs w:val="20"/>
              </w:rPr>
            </w:pPr>
            <w:r w:rsidRPr="00E8082F">
              <w:rPr>
                <w:rFonts w:asciiTheme="minorHAnsi" w:hAnsiTheme="minorHAnsi"/>
                <w:b/>
                <w:bCs/>
                <w:sz w:val="20"/>
                <w:szCs w:val="20"/>
              </w:rPr>
              <w:t xml:space="preserve">Indicator </w:t>
            </w:r>
          </w:p>
        </w:tc>
        <w:tc>
          <w:tcPr>
            <w:tcW w:w="992" w:type="dxa"/>
            <w:shd w:val="clear" w:color="auto" w:fill="D6E3BC" w:themeFill="accent3" w:themeFillTint="66"/>
            <w:tcMar>
              <w:left w:w="57" w:type="dxa"/>
              <w:right w:w="57" w:type="dxa"/>
            </w:tcMar>
          </w:tcPr>
          <w:p w14:paraId="3B4F8756" w14:textId="77777777" w:rsidR="00846DA4" w:rsidRPr="00E8082F" w:rsidRDefault="00846DA4" w:rsidP="005443BF">
            <w:pPr>
              <w:pStyle w:val="Default"/>
              <w:rPr>
                <w:rFonts w:asciiTheme="minorHAnsi" w:hAnsiTheme="minorHAnsi"/>
                <w:sz w:val="20"/>
                <w:szCs w:val="20"/>
              </w:rPr>
            </w:pPr>
            <w:r w:rsidRPr="00E8082F">
              <w:rPr>
                <w:rFonts w:asciiTheme="minorHAnsi" w:hAnsiTheme="minorHAnsi"/>
                <w:b/>
                <w:bCs/>
                <w:sz w:val="20"/>
                <w:szCs w:val="20"/>
              </w:rPr>
              <w:t xml:space="preserve">Method </w:t>
            </w:r>
          </w:p>
        </w:tc>
        <w:tc>
          <w:tcPr>
            <w:tcW w:w="992" w:type="dxa"/>
            <w:shd w:val="clear" w:color="auto" w:fill="D6E3BC" w:themeFill="accent3" w:themeFillTint="66"/>
          </w:tcPr>
          <w:p w14:paraId="3B4F8757" w14:textId="77777777" w:rsidR="00846DA4" w:rsidRPr="00E8082F" w:rsidRDefault="00846DA4" w:rsidP="00846DA4">
            <w:pPr>
              <w:pStyle w:val="Default"/>
              <w:rPr>
                <w:rFonts w:asciiTheme="minorHAnsi" w:hAnsiTheme="minorHAnsi"/>
                <w:b/>
                <w:bCs/>
                <w:sz w:val="20"/>
                <w:szCs w:val="20"/>
              </w:rPr>
            </w:pPr>
            <w:r w:rsidRPr="00E8082F">
              <w:rPr>
                <w:rFonts w:asciiTheme="minorHAnsi" w:hAnsiTheme="minorHAnsi"/>
                <w:b/>
                <w:bCs/>
                <w:sz w:val="20"/>
                <w:szCs w:val="20"/>
              </w:rPr>
              <w:t xml:space="preserve">Zone </w:t>
            </w:r>
          </w:p>
        </w:tc>
        <w:tc>
          <w:tcPr>
            <w:tcW w:w="1134" w:type="dxa"/>
            <w:shd w:val="clear" w:color="auto" w:fill="D6E3BC" w:themeFill="accent3" w:themeFillTint="66"/>
          </w:tcPr>
          <w:p w14:paraId="3B4F8758" w14:textId="77777777" w:rsidR="00846DA4" w:rsidRPr="00F83FB9" w:rsidRDefault="00E8082F" w:rsidP="00E8082F">
            <w:pPr>
              <w:pStyle w:val="Default"/>
              <w:rPr>
                <w:rFonts w:asciiTheme="minorHAnsi" w:hAnsiTheme="minorHAnsi"/>
                <w:sz w:val="20"/>
                <w:szCs w:val="20"/>
              </w:rPr>
            </w:pPr>
            <w:r w:rsidRPr="00F83FB9">
              <w:rPr>
                <w:rFonts w:asciiTheme="minorHAnsi" w:hAnsiTheme="minorHAnsi"/>
                <w:b/>
                <w:bCs/>
                <w:sz w:val="20"/>
                <w:szCs w:val="20"/>
              </w:rPr>
              <w:t xml:space="preserve">Edward-Wakool </w:t>
            </w:r>
            <w:r>
              <w:rPr>
                <w:rFonts w:asciiTheme="minorHAnsi" w:hAnsiTheme="minorHAnsi"/>
                <w:b/>
                <w:bCs/>
                <w:sz w:val="20"/>
                <w:szCs w:val="20"/>
              </w:rPr>
              <w:t xml:space="preserve">Selected Area </w:t>
            </w:r>
            <w:r w:rsidR="00846DA4" w:rsidRPr="00F83FB9">
              <w:rPr>
                <w:rFonts w:asciiTheme="minorHAnsi" w:hAnsiTheme="minorHAnsi"/>
                <w:b/>
                <w:bCs/>
                <w:sz w:val="20"/>
                <w:szCs w:val="20"/>
              </w:rPr>
              <w:t xml:space="preserve">Evaluation </w:t>
            </w:r>
          </w:p>
        </w:tc>
        <w:tc>
          <w:tcPr>
            <w:tcW w:w="1134" w:type="dxa"/>
            <w:shd w:val="clear" w:color="auto" w:fill="D6E3BC" w:themeFill="accent3" w:themeFillTint="66"/>
          </w:tcPr>
          <w:p w14:paraId="3B4F8759" w14:textId="77777777" w:rsidR="00846DA4" w:rsidRPr="00F83FB9" w:rsidRDefault="00E8082F" w:rsidP="00E8082F">
            <w:pPr>
              <w:pStyle w:val="Default"/>
              <w:rPr>
                <w:rFonts w:asciiTheme="minorHAnsi" w:hAnsiTheme="minorHAnsi"/>
                <w:sz w:val="20"/>
                <w:szCs w:val="20"/>
              </w:rPr>
            </w:pPr>
            <w:r>
              <w:rPr>
                <w:rFonts w:asciiTheme="minorHAnsi" w:hAnsiTheme="minorHAnsi"/>
                <w:b/>
                <w:bCs/>
                <w:sz w:val="20"/>
                <w:szCs w:val="20"/>
              </w:rPr>
              <w:t>Contribute to w</w:t>
            </w:r>
            <w:r w:rsidR="00846DA4">
              <w:rPr>
                <w:rFonts w:asciiTheme="minorHAnsi" w:hAnsiTheme="minorHAnsi"/>
                <w:b/>
                <w:bCs/>
                <w:sz w:val="20"/>
                <w:szCs w:val="20"/>
              </w:rPr>
              <w:t>hole of b</w:t>
            </w:r>
            <w:r w:rsidR="00846DA4" w:rsidRPr="00F83FB9">
              <w:rPr>
                <w:rFonts w:asciiTheme="minorHAnsi" w:hAnsiTheme="minorHAnsi"/>
                <w:b/>
                <w:bCs/>
                <w:sz w:val="20"/>
                <w:szCs w:val="20"/>
              </w:rPr>
              <w:t xml:space="preserve">asin-scale </w:t>
            </w:r>
            <w:r>
              <w:rPr>
                <w:rFonts w:asciiTheme="minorHAnsi" w:hAnsiTheme="minorHAnsi"/>
                <w:b/>
                <w:bCs/>
                <w:sz w:val="20"/>
                <w:szCs w:val="20"/>
              </w:rPr>
              <w:t>evaluation</w:t>
            </w:r>
          </w:p>
        </w:tc>
        <w:tc>
          <w:tcPr>
            <w:tcW w:w="3402" w:type="dxa"/>
            <w:shd w:val="clear" w:color="auto" w:fill="D6E3BC" w:themeFill="accent3" w:themeFillTint="66"/>
          </w:tcPr>
          <w:p w14:paraId="3B4F875A" w14:textId="77777777" w:rsidR="00846DA4" w:rsidRPr="00E8082F" w:rsidRDefault="00E8082F" w:rsidP="00846DA4">
            <w:pPr>
              <w:pStyle w:val="Default"/>
              <w:rPr>
                <w:sz w:val="20"/>
                <w:szCs w:val="20"/>
              </w:rPr>
            </w:pPr>
            <w:r>
              <w:rPr>
                <w:rFonts w:asciiTheme="minorHAnsi" w:hAnsiTheme="minorHAnsi"/>
                <w:b/>
                <w:bCs/>
                <w:sz w:val="20"/>
                <w:szCs w:val="20"/>
              </w:rPr>
              <w:t>Description</w:t>
            </w:r>
            <w:r w:rsidR="00846DA4" w:rsidRPr="00E8082F">
              <w:rPr>
                <w:b/>
                <w:bCs/>
                <w:sz w:val="20"/>
                <w:szCs w:val="20"/>
              </w:rPr>
              <w:t xml:space="preserve"> </w:t>
            </w:r>
          </w:p>
        </w:tc>
      </w:tr>
      <w:tr w:rsidR="00E8082F" w14:paraId="3B4F8762" w14:textId="77777777" w:rsidTr="005443BF">
        <w:trPr>
          <w:trHeight w:val="100"/>
        </w:trPr>
        <w:tc>
          <w:tcPr>
            <w:tcW w:w="1555" w:type="dxa"/>
          </w:tcPr>
          <w:p w14:paraId="3B4F875C" w14:textId="77777777" w:rsidR="00846DA4" w:rsidRPr="00F83FB9" w:rsidRDefault="00846DA4" w:rsidP="00846DA4">
            <w:pPr>
              <w:pStyle w:val="Default"/>
              <w:rPr>
                <w:rFonts w:asciiTheme="minorHAnsi" w:hAnsiTheme="minorHAnsi"/>
                <w:sz w:val="20"/>
                <w:szCs w:val="20"/>
              </w:rPr>
            </w:pPr>
            <w:r w:rsidRPr="00F83FB9">
              <w:rPr>
                <w:rFonts w:asciiTheme="minorHAnsi" w:hAnsiTheme="minorHAnsi"/>
                <w:sz w:val="20"/>
                <w:szCs w:val="20"/>
              </w:rPr>
              <w:t xml:space="preserve">River hydrology </w:t>
            </w:r>
          </w:p>
        </w:tc>
        <w:tc>
          <w:tcPr>
            <w:tcW w:w="992" w:type="dxa"/>
            <w:tcMar>
              <w:left w:w="57" w:type="dxa"/>
              <w:right w:w="57" w:type="dxa"/>
            </w:tcMar>
          </w:tcPr>
          <w:p w14:paraId="3B4F875D" w14:textId="77777777" w:rsidR="00846DA4" w:rsidRPr="00F83FB9" w:rsidRDefault="00846DA4" w:rsidP="00846DA4">
            <w:pPr>
              <w:pStyle w:val="Default"/>
              <w:rPr>
                <w:rFonts w:asciiTheme="minorHAnsi" w:hAnsiTheme="minorHAnsi"/>
                <w:sz w:val="18"/>
                <w:szCs w:val="18"/>
              </w:rPr>
            </w:pPr>
            <w:r>
              <w:rPr>
                <w:rFonts w:asciiTheme="minorHAnsi" w:hAnsiTheme="minorHAnsi"/>
                <w:sz w:val="18"/>
                <w:szCs w:val="18"/>
              </w:rPr>
              <w:t>Cat 1</w:t>
            </w:r>
            <w:r w:rsidRPr="00F83FB9">
              <w:rPr>
                <w:rFonts w:asciiTheme="minorHAnsi" w:hAnsiTheme="minorHAnsi"/>
                <w:sz w:val="18"/>
                <w:szCs w:val="18"/>
              </w:rPr>
              <w:t xml:space="preserve"> </w:t>
            </w:r>
          </w:p>
        </w:tc>
        <w:tc>
          <w:tcPr>
            <w:tcW w:w="992" w:type="dxa"/>
            <w:tcMar>
              <w:left w:w="57" w:type="dxa"/>
              <w:right w:w="57" w:type="dxa"/>
            </w:tcMar>
          </w:tcPr>
          <w:p w14:paraId="3B4F875E" w14:textId="77777777" w:rsidR="00846DA4" w:rsidRDefault="00846DA4" w:rsidP="00846DA4">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5F" w14:textId="77777777" w:rsidR="00846DA4" w:rsidRPr="00F83FB9" w:rsidRDefault="00846DA4" w:rsidP="00846DA4">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60" w14:textId="77777777" w:rsidR="00846DA4" w:rsidRPr="00F83FB9" w:rsidRDefault="00846DA4" w:rsidP="00846DA4">
            <w:pPr>
              <w:pStyle w:val="Default"/>
              <w:jc w:val="center"/>
              <w:rPr>
                <w:rFonts w:asciiTheme="minorHAnsi" w:hAnsiTheme="minorHAnsi" w:cs="Wingdings"/>
                <w:sz w:val="20"/>
                <w:szCs w:val="20"/>
              </w:rPr>
            </w:pPr>
            <w:r>
              <w:rPr>
                <w:rFonts w:ascii="Wingdings" w:hAnsi="Wingdings" w:cs="Wingdings"/>
                <w:sz w:val="20"/>
                <w:szCs w:val="20"/>
              </w:rPr>
              <w:t></w:t>
            </w:r>
            <w:r w:rsidRPr="00F83FB9">
              <w:rPr>
                <w:rFonts w:asciiTheme="minorHAnsi" w:hAnsiTheme="minorHAnsi"/>
                <w:sz w:val="18"/>
                <w:szCs w:val="18"/>
              </w:rPr>
              <w:t xml:space="preserve"> </w:t>
            </w:r>
            <w:r>
              <w:rPr>
                <w:rFonts w:asciiTheme="minorHAnsi" w:hAnsiTheme="minorHAnsi"/>
                <w:sz w:val="18"/>
                <w:szCs w:val="18"/>
              </w:rPr>
              <w:t>(z</w:t>
            </w:r>
            <w:r w:rsidRPr="00F83FB9">
              <w:rPr>
                <w:rFonts w:asciiTheme="minorHAnsi" w:hAnsiTheme="minorHAnsi"/>
                <w:sz w:val="18"/>
                <w:szCs w:val="18"/>
              </w:rPr>
              <w:t>one 3)</w:t>
            </w:r>
          </w:p>
        </w:tc>
        <w:tc>
          <w:tcPr>
            <w:tcW w:w="3402" w:type="dxa"/>
          </w:tcPr>
          <w:p w14:paraId="3B4F8761" w14:textId="77777777" w:rsidR="00846DA4" w:rsidRPr="00F83FB9" w:rsidRDefault="00846DA4" w:rsidP="00E8082F">
            <w:pPr>
              <w:pStyle w:val="Default"/>
              <w:rPr>
                <w:rFonts w:asciiTheme="minorHAnsi" w:hAnsiTheme="minorHAnsi"/>
                <w:sz w:val="20"/>
                <w:szCs w:val="20"/>
              </w:rPr>
            </w:pPr>
            <w:r w:rsidRPr="00F83FB9">
              <w:rPr>
                <w:rFonts w:asciiTheme="minorHAnsi" w:hAnsiTheme="minorHAnsi"/>
                <w:sz w:val="20"/>
                <w:szCs w:val="20"/>
              </w:rPr>
              <w:t xml:space="preserve">Discharge data </w:t>
            </w:r>
            <w:r>
              <w:rPr>
                <w:rFonts w:asciiTheme="minorHAnsi" w:hAnsiTheme="minorHAnsi"/>
                <w:sz w:val="20"/>
                <w:szCs w:val="20"/>
              </w:rPr>
              <w:t xml:space="preserve">will be obtained from NOW website. </w:t>
            </w:r>
            <w:r w:rsidR="00E8082F">
              <w:rPr>
                <w:rFonts w:asciiTheme="minorHAnsi" w:hAnsiTheme="minorHAnsi"/>
                <w:sz w:val="20"/>
                <w:szCs w:val="20"/>
              </w:rPr>
              <w:t>W</w:t>
            </w:r>
            <w:r>
              <w:rPr>
                <w:rFonts w:asciiTheme="minorHAnsi" w:hAnsiTheme="minorHAnsi"/>
                <w:sz w:val="20"/>
                <w:szCs w:val="20"/>
              </w:rPr>
              <w:t>ater depth monitored using depth loggers and staff gauges</w:t>
            </w:r>
            <w:r w:rsidR="00E8082F">
              <w:rPr>
                <w:rFonts w:asciiTheme="minorHAnsi" w:hAnsiTheme="minorHAnsi"/>
                <w:sz w:val="20"/>
                <w:szCs w:val="20"/>
              </w:rPr>
              <w:t>.</w:t>
            </w:r>
          </w:p>
        </w:tc>
      </w:tr>
      <w:tr w:rsidR="00E8082F" w14:paraId="3B4F8769" w14:textId="77777777" w:rsidTr="005443BF">
        <w:trPr>
          <w:trHeight w:val="343"/>
        </w:trPr>
        <w:tc>
          <w:tcPr>
            <w:tcW w:w="1555" w:type="dxa"/>
          </w:tcPr>
          <w:p w14:paraId="3B4F8763" w14:textId="77777777" w:rsidR="00846DA4" w:rsidRPr="00F83FB9" w:rsidRDefault="00846DA4" w:rsidP="00846DA4">
            <w:pPr>
              <w:pStyle w:val="Default"/>
              <w:rPr>
                <w:rFonts w:asciiTheme="minorHAnsi" w:hAnsiTheme="minorHAnsi"/>
                <w:sz w:val="20"/>
                <w:szCs w:val="20"/>
              </w:rPr>
            </w:pPr>
            <w:r w:rsidRPr="00F83FB9">
              <w:rPr>
                <w:rFonts w:asciiTheme="minorHAnsi" w:hAnsiTheme="minorHAnsi"/>
                <w:sz w:val="20"/>
                <w:szCs w:val="20"/>
              </w:rPr>
              <w:t xml:space="preserve">Hydraulic modelling </w:t>
            </w:r>
          </w:p>
        </w:tc>
        <w:tc>
          <w:tcPr>
            <w:tcW w:w="992" w:type="dxa"/>
            <w:tcMar>
              <w:left w:w="57" w:type="dxa"/>
              <w:right w:w="57" w:type="dxa"/>
            </w:tcMar>
          </w:tcPr>
          <w:p w14:paraId="3B4F8764" w14:textId="77777777" w:rsidR="00846DA4" w:rsidRPr="00F83FB9" w:rsidRDefault="00846DA4" w:rsidP="00846DA4">
            <w:pPr>
              <w:pStyle w:val="Default"/>
              <w:rPr>
                <w:rFonts w:asciiTheme="minorHAnsi" w:hAnsiTheme="minorHAnsi"/>
                <w:sz w:val="18"/>
                <w:szCs w:val="18"/>
              </w:rPr>
            </w:pPr>
            <w:r>
              <w:rPr>
                <w:rFonts w:asciiTheme="minorHAnsi" w:hAnsiTheme="minorHAnsi"/>
                <w:sz w:val="18"/>
                <w:szCs w:val="18"/>
              </w:rPr>
              <w:t>Cat 3</w:t>
            </w:r>
          </w:p>
        </w:tc>
        <w:tc>
          <w:tcPr>
            <w:tcW w:w="992" w:type="dxa"/>
            <w:tcMar>
              <w:left w:w="57" w:type="dxa"/>
              <w:right w:w="57" w:type="dxa"/>
            </w:tcMar>
          </w:tcPr>
          <w:p w14:paraId="3B4F8765" w14:textId="77777777" w:rsidR="00846DA4" w:rsidRDefault="00846DA4" w:rsidP="00846DA4">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66" w14:textId="77777777" w:rsidR="00846DA4" w:rsidRPr="00F83FB9" w:rsidRDefault="00846DA4" w:rsidP="00846DA4">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67" w14:textId="77777777" w:rsidR="00846DA4" w:rsidRPr="00F83FB9" w:rsidRDefault="00846DA4" w:rsidP="00846DA4">
            <w:pPr>
              <w:pStyle w:val="Default"/>
              <w:jc w:val="center"/>
              <w:rPr>
                <w:rFonts w:asciiTheme="minorHAnsi" w:hAnsiTheme="minorHAnsi" w:cs="Wingdings"/>
                <w:sz w:val="20"/>
                <w:szCs w:val="20"/>
              </w:rPr>
            </w:pPr>
          </w:p>
        </w:tc>
        <w:tc>
          <w:tcPr>
            <w:tcW w:w="3402" w:type="dxa"/>
          </w:tcPr>
          <w:p w14:paraId="3B4F8768" w14:textId="77777777" w:rsidR="00846DA4" w:rsidRPr="00F83FB9" w:rsidRDefault="00846DA4" w:rsidP="00E8082F">
            <w:pPr>
              <w:pStyle w:val="Default"/>
              <w:rPr>
                <w:rFonts w:asciiTheme="minorHAnsi" w:hAnsiTheme="minorHAnsi"/>
                <w:sz w:val="20"/>
                <w:szCs w:val="20"/>
              </w:rPr>
            </w:pPr>
            <w:r w:rsidRPr="00F83FB9">
              <w:rPr>
                <w:rFonts w:asciiTheme="minorHAnsi" w:hAnsiTheme="minorHAnsi"/>
                <w:sz w:val="20"/>
                <w:szCs w:val="20"/>
              </w:rPr>
              <w:t>The extent of within channel inundation of geomorphic features will be modelled</w:t>
            </w:r>
            <w:r w:rsidR="00E8082F">
              <w:rPr>
                <w:rFonts w:asciiTheme="minorHAnsi" w:hAnsiTheme="minorHAnsi"/>
                <w:sz w:val="20"/>
                <w:szCs w:val="20"/>
              </w:rPr>
              <w:t xml:space="preserve"> for a range of </w:t>
            </w:r>
            <w:r w:rsidR="00E8082F" w:rsidRPr="00F83FB9">
              <w:rPr>
                <w:rFonts w:asciiTheme="minorHAnsi" w:hAnsiTheme="minorHAnsi"/>
                <w:sz w:val="20"/>
                <w:szCs w:val="20"/>
              </w:rPr>
              <w:t>different discharge</w:t>
            </w:r>
            <w:r w:rsidR="00E8082F">
              <w:rPr>
                <w:rFonts w:asciiTheme="minorHAnsi" w:hAnsiTheme="minorHAnsi"/>
                <w:sz w:val="20"/>
                <w:szCs w:val="20"/>
              </w:rPr>
              <w:t>s</w:t>
            </w:r>
            <w:r w:rsidRPr="00F83FB9">
              <w:rPr>
                <w:rFonts w:asciiTheme="minorHAnsi" w:hAnsiTheme="minorHAnsi"/>
                <w:sz w:val="20"/>
                <w:szCs w:val="20"/>
              </w:rPr>
              <w:t>.</w:t>
            </w:r>
          </w:p>
        </w:tc>
      </w:tr>
      <w:tr w:rsidR="00E8082F" w14:paraId="3B4F8770" w14:textId="77777777" w:rsidTr="005443BF">
        <w:trPr>
          <w:trHeight w:val="465"/>
        </w:trPr>
        <w:tc>
          <w:tcPr>
            <w:tcW w:w="1555" w:type="dxa"/>
          </w:tcPr>
          <w:p w14:paraId="3B4F876A" w14:textId="77777777" w:rsidR="00846DA4" w:rsidRPr="00F83FB9" w:rsidRDefault="00846DA4" w:rsidP="00846DA4">
            <w:pPr>
              <w:pStyle w:val="Default"/>
              <w:rPr>
                <w:rFonts w:asciiTheme="minorHAnsi" w:hAnsiTheme="minorHAnsi"/>
                <w:sz w:val="20"/>
                <w:szCs w:val="20"/>
              </w:rPr>
            </w:pPr>
            <w:r w:rsidRPr="00F83FB9">
              <w:rPr>
                <w:rFonts w:asciiTheme="minorHAnsi" w:hAnsiTheme="minorHAnsi"/>
                <w:sz w:val="20"/>
                <w:szCs w:val="20"/>
              </w:rPr>
              <w:t xml:space="preserve">Stream metabolism and instream primary productivity </w:t>
            </w:r>
          </w:p>
        </w:tc>
        <w:tc>
          <w:tcPr>
            <w:tcW w:w="992" w:type="dxa"/>
            <w:tcMar>
              <w:left w:w="57" w:type="dxa"/>
              <w:right w:w="57" w:type="dxa"/>
            </w:tcMar>
          </w:tcPr>
          <w:p w14:paraId="3B4F876B" w14:textId="77777777" w:rsidR="00846DA4" w:rsidRPr="00F83FB9" w:rsidRDefault="00846DA4" w:rsidP="00846DA4">
            <w:pPr>
              <w:pStyle w:val="Default"/>
              <w:rPr>
                <w:rFonts w:asciiTheme="minorHAnsi" w:hAnsiTheme="minorHAnsi"/>
                <w:sz w:val="18"/>
                <w:szCs w:val="18"/>
              </w:rPr>
            </w:pPr>
            <w:r>
              <w:rPr>
                <w:rFonts w:asciiTheme="minorHAnsi" w:hAnsiTheme="minorHAnsi"/>
                <w:sz w:val="18"/>
                <w:szCs w:val="18"/>
              </w:rPr>
              <w:t>Cat 1</w:t>
            </w:r>
          </w:p>
        </w:tc>
        <w:tc>
          <w:tcPr>
            <w:tcW w:w="992" w:type="dxa"/>
            <w:tcMar>
              <w:left w:w="57" w:type="dxa"/>
              <w:right w:w="57" w:type="dxa"/>
            </w:tcMar>
          </w:tcPr>
          <w:p w14:paraId="3B4F876C" w14:textId="77777777" w:rsidR="00846DA4" w:rsidRDefault="00846DA4" w:rsidP="00846DA4">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6D" w14:textId="77777777" w:rsidR="00846DA4" w:rsidRPr="00F83FB9" w:rsidRDefault="00846DA4" w:rsidP="00846DA4">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6E" w14:textId="77777777" w:rsidR="00846DA4" w:rsidRPr="00F83FB9" w:rsidRDefault="00846DA4" w:rsidP="00846DA4">
            <w:pPr>
              <w:pStyle w:val="Default"/>
              <w:jc w:val="center"/>
              <w:rPr>
                <w:rFonts w:asciiTheme="minorHAnsi" w:hAnsiTheme="minorHAnsi" w:cs="Wingdings"/>
                <w:sz w:val="20"/>
                <w:szCs w:val="20"/>
              </w:rPr>
            </w:pPr>
            <w:r>
              <w:rPr>
                <w:rFonts w:ascii="Wingdings" w:hAnsi="Wingdings" w:cs="Wingdings"/>
                <w:sz w:val="20"/>
                <w:szCs w:val="20"/>
              </w:rPr>
              <w:t></w:t>
            </w:r>
            <w:r w:rsidRPr="00F83FB9">
              <w:rPr>
                <w:rFonts w:asciiTheme="minorHAnsi" w:hAnsiTheme="minorHAnsi"/>
                <w:sz w:val="18"/>
                <w:szCs w:val="18"/>
              </w:rPr>
              <w:t xml:space="preserve"> </w:t>
            </w:r>
            <w:r>
              <w:rPr>
                <w:rFonts w:asciiTheme="minorHAnsi" w:hAnsiTheme="minorHAnsi"/>
                <w:sz w:val="18"/>
                <w:szCs w:val="18"/>
              </w:rPr>
              <w:t>(z</w:t>
            </w:r>
            <w:r w:rsidRPr="00F83FB9">
              <w:rPr>
                <w:rFonts w:asciiTheme="minorHAnsi" w:hAnsiTheme="minorHAnsi"/>
                <w:sz w:val="18"/>
                <w:szCs w:val="18"/>
              </w:rPr>
              <w:t>one 3)</w:t>
            </w:r>
          </w:p>
        </w:tc>
        <w:tc>
          <w:tcPr>
            <w:tcW w:w="3402" w:type="dxa"/>
          </w:tcPr>
          <w:p w14:paraId="3B4F876F" w14:textId="77777777" w:rsidR="00846DA4" w:rsidRPr="00F83FB9" w:rsidRDefault="00846DA4" w:rsidP="00813DE2">
            <w:pPr>
              <w:pStyle w:val="Default"/>
              <w:rPr>
                <w:rFonts w:asciiTheme="minorHAnsi" w:hAnsiTheme="minorHAnsi"/>
                <w:sz w:val="20"/>
                <w:szCs w:val="20"/>
              </w:rPr>
            </w:pPr>
            <w:r w:rsidRPr="00F83FB9">
              <w:rPr>
                <w:rFonts w:asciiTheme="minorHAnsi" w:hAnsiTheme="minorHAnsi"/>
                <w:sz w:val="20"/>
                <w:szCs w:val="20"/>
              </w:rPr>
              <w:t>Dissolved oxygen and light will be logged continuously in each zone between August and March</w:t>
            </w:r>
            <w:r w:rsidR="00E8082F">
              <w:rPr>
                <w:rFonts w:asciiTheme="minorHAnsi" w:hAnsiTheme="minorHAnsi"/>
                <w:sz w:val="20"/>
                <w:szCs w:val="20"/>
              </w:rPr>
              <w:t xml:space="preserve"> each year</w:t>
            </w:r>
            <w:r w:rsidRPr="00F83FB9">
              <w:rPr>
                <w:rFonts w:asciiTheme="minorHAnsi" w:hAnsiTheme="minorHAnsi"/>
                <w:sz w:val="20"/>
                <w:szCs w:val="20"/>
              </w:rPr>
              <w:t xml:space="preserve">. </w:t>
            </w:r>
          </w:p>
        </w:tc>
      </w:tr>
      <w:tr w:rsidR="00813DE2" w14:paraId="3B4F8777" w14:textId="77777777" w:rsidTr="005443BF">
        <w:trPr>
          <w:trHeight w:val="344"/>
        </w:trPr>
        <w:tc>
          <w:tcPr>
            <w:tcW w:w="1555" w:type="dxa"/>
          </w:tcPr>
          <w:p w14:paraId="3B4F8771" w14:textId="77777777" w:rsidR="00813DE2" w:rsidRPr="00F83FB9" w:rsidRDefault="00813DE2" w:rsidP="004B25EB">
            <w:pPr>
              <w:pStyle w:val="Default"/>
              <w:rPr>
                <w:rFonts w:asciiTheme="minorHAnsi" w:hAnsiTheme="minorHAnsi"/>
                <w:sz w:val="20"/>
                <w:szCs w:val="20"/>
              </w:rPr>
            </w:pPr>
            <w:r>
              <w:rPr>
                <w:rFonts w:asciiTheme="minorHAnsi" w:hAnsiTheme="minorHAnsi"/>
                <w:sz w:val="20"/>
                <w:szCs w:val="20"/>
              </w:rPr>
              <w:t>Nutrients and carbon</w:t>
            </w:r>
          </w:p>
        </w:tc>
        <w:tc>
          <w:tcPr>
            <w:tcW w:w="992" w:type="dxa"/>
            <w:tcMar>
              <w:left w:w="57" w:type="dxa"/>
              <w:right w:w="57" w:type="dxa"/>
            </w:tcMar>
          </w:tcPr>
          <w:p w14:paraId="3B4F8772" w14:textId="77777777" w:rsidR="00813DE2" w:rsidRDefault="00813DE2" w:rsidP="004B25EB">
            <w:pPr>
              <w:pStyle w:val="Default"/>
              <w:rPr>
                <w:rFonts w:asciiTheme="minorHAnsi" w:hAnsiTheme="minorHAnsi"/>
                <w:sz w:val="18"/>
                <w:szCs w:val="18"/>
              </w:rPr>
            </w:pPr>
            <w:r>
              <w:rPr>
                <w:rFonts w:asciiTheme="minorHAnsi" w:hAnsiTheme="minorHAnsi"/>
                <w:sz w:val="18"/>
                <w:szCs w:val="18"/>
              </w:rPr>
              <w:t>Cat 1</w:t>
            </w:r>
          </w:p>
        </w:tc>
        <w:tc>
          <w:tcPr>
            <w:tcW w:w="992" w:type="dxa"/>
            <w:tcMar>
              <w:left w:w="57" w:type="dxa"/>
              <w:right w:w="57" w:type="dxa"/>
            </w:tcMar>
          </w:tcPr>
          <w:p w14:paraId="3B4F8773" w14:textId="77777777" w:rsidR="00813DE2" w:rsidRPr="00F83FB9" w:rsidRDefault="00813DE2" w:rsidP="004B25EB">
            <w:pPr>
              <w:pStyle w:val="Default"/>
              <w:jc w:val="center"/>
              <w:rPr>
                <w:rFonts w:asciiTheme="minorHAnsi" w:hAnsiTheme="minorHAnsi"/>
                <w:sz w:val="18"/>
                <w:szCs w:val="18"/>
              </w:rPr>
            </w:pPr>
            <w:r>
              <w:rPr>
                <w:rFonts w:asciiTheme="minorHAnsi" w:hAnsiTheme="minorHAnsi"/>
                <w:sz w:val="18"/>
                <w:szCs w:val="18"/>
              </w:rPr>
              <w:t>1,2,3,4</w:t>
            </w:r>
          </w:p>
        </w:tc>
        <w:tc>
          <w:tcPr>
            <w:tcW w:w="1134" w:type="dxa"/>
          </w:tcPr>
          <w:p w14:paraId="3B4F8774" w14:textId="77777777" w:rsidR="00813DE2" w:rsidRDefault="00813DE2" w:rsidP="004B25EB">
            <w:pPr>
              <w:pStyle w:val="Default"/>
              <w:jc w:val="center"/>
              <w:rPr>
                <w:rFonts w:ascii="Wingdings" w:hAnsi="Wingdings" w:cs="Wingdings"/>
                <w:sz w:val="20"/>
                <w:szCs w:val="20"/>
              </w:rPr>
            </w:pPr>
            <w:r>
              <w:rPr>
                <w:rFonts w:ascii="Wingdings" w:hAnsi="Wingdings" w:cs="Wingdings"/>
                <w:sz w:val="20"/>
                <w:szCs w:val="20"/>
              </w:rPr>
              <w:t></w:t>
            </w:r>
          </w:p>
        </w:tc>
        <w:tc>
          <w:tcPr>
            <w:tcW w:w="1134" w:type="dxa"/>
          </w:tcPr>
          <w:p w14:paraId="3B4F8775" w14:textId="77777777" w:rsidR="00813DE2" w:rsidRPr="00F83FB9" w:rsidRDefault="00813DE2" w:rsidP="004B25EB">
            <w:pPr>
              <w:pStyle w:val="Default"/>
              <w:jc w:val="center"/>
              <w:rPr>
                <w:rFonts w:asciiTheme="minorHAnsi" w:hAnsiTheme="minorHAnsi" w:cs="Wingdings"/>
                <w:sz w:val="20"/>
                <w:szCs w:val="20"/>
              </w:rPr>
            </w:pPr>
            <w:r>
              <w:rPr>
                <w:rFonts w:ascii="Wingdings" w:hAnsi="Wingdings" w:cs="Wingdings"/>
                <w:sz w:val="20"/>
                <w:szCs w:val="20"/>
              </w:rPr>
              <w:t></w:t>
            </w:r>
            <w:r w:rsidRPr="00F83FB9">
              <w:rPr>
                <w:rFonts w:asciiTheme="minorHAnsi" w:hAnsiTheme="minorHAnsi"/>
                <w:sz w:val="18"/>
                <w:szCs w:val="18"/>
              </w:rPr>
              <w:t xml:space="preserve"> </w:t>
            </w:r>
            <w:r>
              <w:rPr>
                <w:rFonts w:asciiTheme="minorHAnsi" w:hAnsiTheme="minorHAnsi"/>
                <w:sz w:val="18"/>
                <w:szCs w:val="18"/>
              </w:rPr>
              <w:t>(z</w:t>
            </w:r>
            <w:r w:rsidRPr="00F83FB9">
              <w:rPr>
                <w:rFonts w:asciiTheme="minorHAnsi" w:hAnsiTheme="minorHAnsi"/>
                <w:sz w:val="18"/>
                <w:szCs w:val="18"/>
              </w:rPr>
              <w:t>one 3)</w:t>
            </w:r>
          </w:p>
        </w:tc>
        <w:tc>
          <w:tcPr>
            <w:tcW w:w="3402" w:type="dxa"/>
          </w:tcPr>
          <w:p w14:paraId="3B4F8776" w14:textId="77777777" w:rsidR="00813DE2" w:rsidRPr="00F83FB9" w:rsidRDefault="00813DE2" w:rsidP="004B25EB">
            <w:pPr>
              <w:pStyle w:val="Default"/>
              <w:rPr>
                <w:rFonts w:asciiTheme="minorHAnsi" w:hAnsiTheme="minorHAnsi"/>
                <w:sz w:val="20"/>
                <w:szCs w:val="20"/>
              </w:rPr>
            </w:pPr>
            <w:r w:rsidRPr="00F83FB9">
              <w:rPr>
                <w:rFonts w:asciiTheme="minorHAnsi" w:hAnsiTheme="minorHAnsi"/>
                <w:sz w:val="20"/>
                <w:szCs w:val="20"/>
              </w:rPr>
              <w:t>Nutrients and carbon samples will be collected monthly and spot water quality monitored fortnightly.</w:t>
            </w:r>
          </w:p>
        </w:tc>
      </w:tr>
      <w:tr w:rsidR="00E8082F" w14:paraId="3B4F877E" w14:textId="77777777" w:rsidTr="005443BF">
        <w:trPr>
          <w:trHeight w:val="344"/>
        </w:trPr>
        <w:tc>
          <w:tcPr>
            <w:tcW w:w="1555" w:type="dxa"/>
          </w:tcPr>
          <w:p w14:paraId="3B4F8778" w14:textId="77777777" w:rsidR="004B25EB" w:rsidRPr="00F83FB9" w:rsidRDefault="00813DE2" w:rsidP="004B25EB">
            <w:pPr>
              <w:pStyle w:val="Default"/>
              <w:rPr>
                <w:rFonts w:asciiTheme="minorHAnsi" w:hAnsiTheme="minorHAnsi"/>
                <w:sz w:val="20"/>
                <w:szCs w:val="20"/>
              </w:rPr>
            </w:pPr>
            <w:r>
              <w:rPr>
                <w:rFonts w:asciiTheme="minorHAnsi" w:hAnsiTheme="minorHAnsi"/>
                <w:sz w:val="20"/>
                <w:szCs w:val="20"/>
              </w:rPr>
              <w:t>C</w:t>
            </w:r>
            <w:r w:rsidR="004B25EB" w:rsidRPr="00F83FB9">
              <w:rPr>
                <w:rFonts w:asciiTheme="minorHAnsi" w:hAnsiTheme="minorHAnsi"/>
                <w:sz w:val="20"/>
                <w:szCs w:val="20"/>
              </w:rPr>
              <w:t xml:space="preserve">haracterisation of carbon </w:t>
            </w:r>
          </w:p>
        </w:tc>
        <w:tc>
          <w:tcPr>
            <w:tcW w:w="992" w:type="dxa"/>
            <w:tcMar>
              <w:left w:w="57" w:type="dxa"/>
              <w:right w:w="57" w:type="dxa"/>
            </w:tcMar>
          </w:tcPr>
          <w:p w14:paraId="3B4F8779" w14:textId="77777777" w:rsidR="004B25EB" w:rsidRPr="00F83FB9" w:rsidRDefault="004B25EB" w:rsidP="004B25EB">
            <w:pPr>
              <w:pStyle w:val="Default"/>
              <w:rPr>
                <w:rFonts w:asciiTheme="minorHAnsi" w:hAnsiTheme="minorHAnsi"/>
                <w:sz w:val="18"/>
                <w:szCs w:val="18"/>
              </w:rPr>
            </w:pPr>
            <w:r>
              <w:rPr>
                <w:rFonts w:asciiTheme="minorHAnsi" w:hAnsiTheme="minorHAnsi"/>
                <w:sz w:val="18"/>
                <w:szCs w:val="18"/>
              </w:rPr>
              <w:t>Cat 3</w:t>
            </w:r>
          </w:p>
        </w:tc>
        <w:tc>
          <w:tcPr>
            <w:tcW w:w="992" w:type="dxa"/>
            <w:tcMar>
              <w:left w:w="57" w:type="dxa"/>
              <w:right w:w="57" w:type="dxa"/>
            </w:tcMar>
          </w:tcPr>
          <w:p w14:paraId="3B4F877A" w14:textId="77777777" w:rsidR="004B25EB" w:rsidRDefault="004B25EB" w:rsidP="004B25EB">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7B"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7C" w14:textId="77777777" w:rsidR="004B25EB" w:rsidRPr="00F83FB9" w:rsidRDefault="004B25EB" w:rsidP="004B25EB">
            <w:pPr>
              <w:pStyle w:val="Default"/>
              <w:jc w:val="center"/>
              <w:rPr>
                <w:rFonts w:asciiTheme="minorHAnsi" w:hAnsiTheme="minorHAnsi" w:cs="Wingdings"/>
                <w:sz w:val="20"/>
                <w:szCs w:val="20"/>
              </w:rPr>
            </w:pPr>
          </w:p>
        </w:tc>
        <w:tc>
          <w:tcPr>
            <w:tcW w:w="3402" w:type="dxa"/>
          </w:tcPr>
          <w:p w14:paraId="3B4F877D"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The type and source of </w:t>
            </w:r>
            <w:r w:rsidR="00E34B00">
              <w:rPr>
                <w:rFonts w:asciiTheme="minorHAnsi" w:hAnsiTheme="minorHAnsi"/>
                <w:sz w:val="20"/>
                <w:szCs w:val="20"/>
              </w:rPr>
              <w:t xml:space="preserve">dissolved organic </w:t>
            </w:r>
            <w:r w:rsidRPr="00F83FB9">
              <w:rPr>
                <w:rFonts w:asciiTheme="minorHAnsi" w:hAnsiTheme="minorHAnsi"/>
                <w:sz w:val="20"/>
                <w:szCs w:val="20"/>
              </w:rPr>
              <w:t>carbon will be monitored monthly between August and March.</w:t>
            </w:r>
          </w:p>
        </w:tc>
      </w:tr>
      <w:tr w:rsidR="00E8082F" w14:paraId="3B4F8786" w14:textId="77777777" w:rsidTr="005443BF">
        <w:trPr>
          <w:trHeight w:val="344"/>
        </w:trPr>
        <w:tc>
          <w:tcPr>
            <w:tcW w:w="1555" w:type="dxa"/>
          </w:tcPr>
          <w:p w14:paraId="3B4F877F" w14:textId="77777777" w:rsidR="004B25EB" w:rsidRPr="00F83FB9" w:rsidRDefault="004B25EB" w:rsidP="00E8082F">
            <w:pPr>
              <w:pStyle w:val="Default"/>
              <w:rPr>
                <w:rFonts w:asciiTheme="minorHAnsi" w:hAnsiTheme="minorHAnsi"/>
                <w:sz w:val="20"/>
                <w:szCs w:val="20"/>
              </w:rPr>
            </w:pPr>
            <w:r>
              <w:rPr>
                <w:rFonts w:asciiTheme="minorHAnsi" w:hAnsiTheme="minorHAnsi"/>
                <w:sz w:val="20"/>
                <w:szCs w:val="20"/>
              </w:rPr>
              <w:t xml:space="preserve">Water quality and </w:t>
            </w:r>
            <w:r w:rsidRPr="00F83FB9">
              <w:rPr>
                <w:rFonts w:asciiTheme="minorHAnsi" w:hAnsiTheme="minorHAnsi"/>
                <w:sz w:val="20"/>
                <w:szCs w:val="20"/>
              </w:rPr>
              <w:t>carbon during poor water quality events</w:t>
            </w:r>
          </w:p>
        </w:tc>
        <w:tc>
          <w:tcPr>
            <w:tcW w:w="992" w:type="dxa"/>
            <w:tcMar>
              <w:left w:w="57" w:type="dxa"/>
              <w:right w:w="57" w:type="dxa"/>
            </w:tcMar>
          </w:tcPr>
          <w:p w14:paraId="3B4F8780" w14:textId="77777777" w:rsidR="004B25EB" w:rsidRDefault="004B25EB" w:rsidP="004B25EB">
            <w:pPr>
              <w:pStyle w:val="Default"/>
              <w:rPr>
                <w:rFonts w:asciiTheme="minorHAnsi" w:hAnsiTheme="minorHAnsi"/>
                <w:sz w:val="18"/>
                <w:szCs w:val="18"/>
              </w:rPr>
            </w:pPr>
            <w:r>
              <w:rPr>
                <w:rFonts w:asciiTheme="minorHAnsi" w:hAnsiTheme="minorHAnsi"/>
                <w:sz w:val="18"/>
                <w:szCs w:val="18"/>
              </w:rPr>
              <w:t>Cat 3</w:t>
            </w:r>
          </w:p>
        </w:tc>
        <w:tc>
          <w:tcPr>
            <w:tcW w:w="992" w:type="dxa"/>
            <w:tcMar>
              <w:left w:w="57" w:type="dxa"/>
              <w:right w:w="57" w:type="dxa"/>
            </w:tcMar>
          </w:tcPr>
          <w:p w14:paraId="3B4F8781" w14:textId="77777777" w:rsidR="00813DE2" w:rsidRDefault="004B25EB" w:rsidP="004B25EB">
            <w:pPr>
              <w:pStyle w:val="Default"/>
              <w:jc w:val="center"/>
              <w:rPr>
                <w:rFonts w:asciiTheme="minorHAnsi" w:hAnsiTheme="minorHAnsi"/>
                <w:sz w:val="18"/>
                <w:szCs w:val="18"/>
              </w:rPr>
            </w:pPr>
            <w:r w:rsidRPr="00F83FB9">
              <w:rPr>
                <w:rFonts w:asciiTheme="minorHAnsi" w:hAnsiTheme="minorHAnsi"/>
                <w:sz w:val="18"/>
                <w:szCs w:val="18"/>
              </w:rPr>
              <w:t xml:space="preserve">1,2,3,4 </w:t>
            </w:r>
          </w:p>
          <w:p w14:paraId="3B4F8782" w14:textId="77777777" w:rsidR="004B25EB" w:rsidRPr="00F83FB9" w:rsidRDefault="004B25EB" w:rsidP="004B25EB">
            <w:pPr>
              <w:pStyle w:val="Default"/>
              <w:jc w:val="center"/>
              <w:rPr>
                <w:rFonts w:asciiTheme="minorHAnsi" w:hAnsiTheme="minorHAnsi"/>
                <w:sz w:val="18"/>
                <w:szCs w:val="18"/>
              </w:rPr>
            </w:pPr>
            <w:r>
              <w:rPr>
                <w:rFonts w:asciiTheme="minorHAnsi" w:hAnsiTheme="minorHAnsi"/>
                <w:sz w:val="18"/>
                <w:szCs w:val="18"/>
              </w:rPr>
              <w:t>plus additional zones as required</w:t>
            </w:r>
          </w:p>
        </w:tc>
        <w:tc>
          <w:tcPr>
            <w:tcW w:w="1134" w:type="dxa"/>
          </w:tcPr>
          <w:p w14:paraId="3B4F8783" w14:textId="77777777" w:rsidR="004B25EB" w:rsidRDefault="004B25EB" w:rsidP="004B25EB">
            <w:pPr>
              <w:pStyle w:val="Default"/>
              <w:jc w:val="center"/>
              <w:rPr>
                <w:rFonts w:ascii="Wingdings" w:hAnsi="Wingdings" w:cs="Wingdings"/>
                <w:sz w:val="20"/>
                <w:szCs w:val="20"/>
              </w:rPr>
            </w:pPr>
            <w:r>
              <w:rPr>
                <w:rFonts w:ascii="Wingdings" w:hAnsi="Wingdings" w:cs="Wingdings"/>
                <w:sz w:val="20"/>
                <w:szCs w:val="20"/>
              </w:rPr>
              <w:t></w:t>
            </w:r>
          </w:p>
        </w:tc>
        <w:tc>
          <w:tcPr>
            <w:tcW w:w="1134" w:type="dxa"/>
          </w:tcPr>
          <w:p w14:paraId="3B4F8784" w14:textId="77777777" w:rsidR="004B25EB" w:rsidRPr="00F83FB9" w:rsidRDefault="004B25EB" w:rsidP="004B25EB">
            <w:pPr>
              <w:pStyle w:val="Default"/>
              <w:jc w:val="center"/>
              <w:rPr>
                <w:rFonts w:asciiTheme="minorHAnsi" w:hAnsiTheme="minorHAnsi" w:cs="Wingdings"/>
                <w:sz w:val="20"/>
                <w:szCs w:val="20"/>
              </w:rPr>
            </w:pPr>
          </w:p>
        </w:tc>
        <w:tc>
          <w:tcPr>
            <w:tcW w:w="3402" w:type="dxa"/>
          </w:tcPr>
          <w:p w14:paraId="3B4F8785" w14:textId="77777777" w:rsidR="004B25EB" w:rsidRPr="00F83FB9" w:rsidRDefault="004B25EB" w:rsidP="00E8082F">
            <w:pPr>
              <w:pStyle w:val="Default"/>
              <w:rPr>
                <w:rFonts w:asciiTheme="minorHAnsi" w:hAnsiTheme="minorHAnsi"/>
                <w:sz w:val="20"/>
                <w:szCs w:val="20"/>
              </w:rPr>
            </w:pPr>
            <w:r w:rsidRPr="00F83FB9">
              <w:rPr>
                <w:rFonts w:asciiTheme="minorHAnsi" w:hAnsiTheme="minorHAnsi"/>
                <w:sz w:val="20"/>
                <w:szCs w:val="20"/>
              </w:rPr>
              <w:t xml:space="preserve">There is an option for additional </w:t>
            </w:r>
            <w:r w:rsidR="00E8082F">
              <w:rPr>
                <w:rFonts w:asciiTheme="minorHAnsi" w:hAnsiTheme="minorHAnsi"/>
                <w:sz w:val="20"/>
                <w:szCs w:val="20"/>
              </w:rPr>
              <w:t xml:space="preserve">water quality and carbon </w:t>
            </w:r>
            <w:r w:rsidRPr="00F83FB9">
              <w:rPr>
                <w:rFonts w:asciiTheme="minorHAnsi" w:hAnsiTheme="minorHAnsi"/>
                <w:sz w:val="20"/>
                <w:szCs w:val="20"/>
              </w:rPr>
              <w:t xml:space="preserve">sampling during blackwater or </w:t>
            </w:r>
            <w:r>
              <w:rPr>
                <w:rFonts w:asciiTheme="minorHAnsi" w:hAnsiTheme="minorHAnsi"/>
                <w:sz w:val="20"/>
                <w:szCs w:val="20"/>
              </w:rPr>
              <w:t>other poor water quality events</w:t>
            </w:r>
          </w:p>
        </w:tc>
      </w:tr>
      <w:tr w:rsidR="00E8082F" w14:paraId="3B4F878D" w14:textId="77777777" w:rsidTr="005443BF">
        <w:trPr>
          <w:trHeight w:val="343"/>
        </w:trPr>
        <w:tc>
          <w:tcPr>
            <w:tcW w:w="1555" w:type="dxa"/>
          </w:tcPr>
          <w:p w14:paraId="3B4F8787"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Riverbank and aquatic vegetation </w:t>
            </w:r>
          </w:p>
        </w:tc>
        <w:tc>
          <w:tcPr>
            <w:tcW w:w="992" w:type="dxa"/>
            <w:tcMar>
              <w:left w:w="57" w:type="dxa"/>
              <w:right w:w="57" w:type="dxa"/>
            </w:tcMar>
          </w:tcPr>
          <w:p w14:paraId="3B4F8788" w14:textId="77777777" w:rsidR="004B25EB" w:rsidRPr="00F83FB9" w:rsidRDefault="004B25EB" w:rsidP="004B25EB">
            <w:pPr>
              <w:pStyle w:val="Default"/>
              <w:rPr>
                <w:rFonts w:asciiTheme="minorHAnsi" w:hAnsiTheme="minorHAnsi"/>
                <w:sz w:val="18"/>
                <w:szCs w:val="18"/>
              </w:rPr>
            </w:pPr>
            <w:r>
              <w:rPr>
                <w:rFonts w:asciiTheme="minorHAnsi" w:hAnsiTheme="minorHAnsi"/>
                <w:sz w:val="18"/>
                <w:szCs w:val="18"/>
              </w:rPr>
              <w:t>Cat 3</w:t>
            </w:r>
            <w:r w:rsidRPr="00F83FB9">
              <w:rPr>
                <w:rFonts w:asciiTheme="minorHAnsi" w:hAnsiTheme="minorHAnsi"/>
                <w:sz w:val="18"/>
                <w:szCs w:val="18"/>
              </w:rPr>
              <w:t xml:space="preserve"> </w:t>
            </w:r>
          </w:p>
        </w:tc>
        <w:tc>
          <w:tcPr>
            <w:tcW w:w="992" w:type="dxa"/>
            <w:tcMar>
              <w:left w:w="57" w:type="dxa"/>
              <w:right w:w="57" w:type="dxa"/>
            </w:tcMar>
          </w:tcPr>
          <w:p w14:paraId="3B4F8789" w14:textId="77777777" w:rsidR="004B25EB" w:rsidRDefault="004B25EB" w:rsidP="004B25EB">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8A"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8B" w14:textId="77777777" w:rsidR="004B25EB" w:rsidRPr="00F83FB9" w:rsidRDefault="004B25EB" w:rsidP="004B25EB">
            <w:pPr>
              <w:pStyle w:val="Default"/>
              <w:jc w:val="center"/>
              <w:rPr>
                <w:rFonts w:asciiTheme="minorHAnsi" w:hAnsiTheme="minorHAnsi" w:cs="Wingdings"/>
                <w:sz w:val="20"/>
                <w:szCs w:val="20"/>
              </w:rPr>
            </w:pPr>
          </w:p>
        </w:tc>
        <w:tc>
          <w:tcPr>
            <w:tcW w:w="3402" w:type="dxa"/>
          </w:tcPr>
          <w:p w14:paraId="3B4F878C"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The composition and percent cover of riverbank and aquatic vegetation will be monitored monthly. </w:t>
            </w:r>
          </w:p>
        </w:tc>
      </w:tr>
      <w:tr w:rsidR="00E8082F" w14:paraId="3B4F8795" w14:textId="77777777" w:rsidTr="005443BF">
        <w:trPr>
          <w:trHeight w:val="466"/>
        </w:trPr>
        <w:tc>
          <w:tcPr>
            <w:tcW w:w="1555" w:type="dxa"/>
          </w:tcPr>
          <w:p w14:paraId="3B4F878E"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Fish reproduction </w:t>
            </w:r>
          </w:p>
          <w:p w14:paraId="3B4F878F"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(larvae) </w:t>
            </w:r>
          </w:p>
        </w:tc>
        <w:tc>
          <w:tcPr>
            <w:tcW w:w="992" w:type="dxa"/>
            <w:tcMar>
              <w:left w:w="57" w:type="dxa"/>
              <w:right w:w="57" w:type="dxa"/>
            </w:tcMar>
          </w:tcPr>
          <w:p w14:paraId="3B4F8790" w14:textId="77777777" w:rsidR="004B25EB" w:rsidRPr="00F83FB9" w:rsidRDefault="004B25EB" w:rsidP="00813DE2">
            <w:pPr>
              <w:pStyle w:val="Default"/>
              <w:rPr>
                <w:rFonts w:asciiTheme="minorHAnsi" w:hAnsiTheme="minorHAnsi"/>
                <w:sz w:val="18"/>
                <w:szCs w:val="18"/>
              </w:rPr>
            </w:pPr>
            <w:r>
              <w:rPr>
                <w:rFonts w:asciiTheme="minorHAnsi" w:hAnsiTheme="minorHAnsi"/>
                <w:sz w:val="18"/>
                <w:szCs w:val="18"/>
              </w:rPr>
              <w:t>Cat 1 basin evaluation Cat 3 area evaluation</w:t>
            </w:r>
            <w:r w:rsidRPr="00F83FB9">
              <w:rPr>
                <w:rFonts w:asciiTheme="minorHAnsi" w:hAnsiTheme="minorHAnsi"/>
                <w:sz w:val="18"/>
                <w:szCs w:val="18"/>
              </w:rPr>
              <w:t xml:space="preserve"> </w:t>
            </w:r>
          </w:p>
        </w:tc>
        <w:tc>
          <w:tcPr>
            <w:tcW w:w="992" w:type="dxa"/>
            <w:tcMar>
              <w:left w:w="57" w:type="dxa"/>
              <w:right w:w="57" w:type="dxa"/>
            </w:tcMar>
          </w:tcPr>
          <w:p w14:paraId="3B4F8791" w14:textId="77777777" w:rsidR="004B25EB" w:rsidRDefault="004B25EB" w:rsidP="004B25EB">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92"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93"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r w:rsidRPr="00F83FB9">
              <w:rPr>
                <w:rFonts w:asciiTheme="minorHAnsi" w:hAnsiTheme="minorHAnsi"/>
                <w:sz w:val="18"/>
                <w:szCs w:val="18"/>
              </w:rPr>
              <w:t xml:space="preserve"> </w:t>
            </w:r>
            <w:r>
              <w:rPr>
                <w:rFonts w:asciiTheme="minorHAnsi" w:hAnsiTheme="minorHAnsi"/>
                <w:sz w:val="18"/>
                <w:szCs w:val="18"/>
              </w:rPr>
              <w:t>(z</w:t>
            </w:r>
            <w:r w:rsidRPr="00F83FB9">
              <w:rPr>
                <w:rFonts w:asciiTheme="minorHAnsi" w:hAnsiTheme="minorHAnsi"/>
                <w:sz w:val="18"/>
                <w:szCs w:val="18"/>
              </w:rPr>
              <w:t>one 3)</w:t>
            </w:r>
          </w:p>
        </w:tc>
        <w:tc>
          <w:tcPr>
            <w:tcW w:w="3402" w:type="dxa"/>
          </w:tcPr>
          <w:p w14:paraId="3B4F8794"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The abundance and diversity of larval fish will be monitored fortnightly between September and March using light traps and drift nets. </w:t>
            </w:r>
          </w:p>
        </w:tc>
      </w:tr>
      <w:tr w:rsidR="00E8082F" w14:paraId="3B4F879C" w14:textId="77777777" w:rsidTr="005443BF">
        <w:trPr>
          <w:trHeight w:val="343"/>
        </w:trPr>
        <w:tc>
          <w:tcPr>
            <w:tcW w:w="1555" w:type="dxa"/>
          </w:tcPr>
          <w:p w14:paraId="3B4F8796"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Fish recruitment</w:t>
            </w:r>
          </w:p>
        </w:tc>
        <w:tc>
          <w:tcPr>
            <w:tcW w:w="992" w:type="dxa"/>
            <w:tcMar>
              <w:left w:w="57" w:type="dxa"/>
              <w:right w:w="57" w:type="dxa"/>
            </w:tcMar>
          </w:tcPr>
          <w:p w14:paraId="3B4F8797" w14:textId="77777777" w:rsidR="004B25EB" w:rsidRPr="00F83FB9" w:rsidRDefault="004B25EB" w:rsidP="004B25EB">
            <w:pPr>
              <w:pStyle w:val="Default"/>
              <w:rPr>
                <w:rFonts w:asciiTheme="minorHAnsi" w:hAnsiTheme="minorHAnsi"/>
                <w:sz w:val="18"/>
                <w:szCs w:val="18"/>
              </w:rPr>
            </w:pPr>
            <w:r>
              <w:rPr>
                <w:rFonts w:asciiTheme="minorHAnsi" w:hAnsiTheme="minorHAnsi"/>
                <w:sz w:val="18"/>
                <w:szCs w:val="18"/>
              </w:rPr>
              <w:t>Cat 3</w:t>
            </w:r>
            <w:r w:rsidRPr="00F83FB9">
              <w:rPr>
                <w:rFonts w:asciiTheme="minorHAnsi" w:hAnsiTheme="minorHAnsi"/>
                <w:sz w:val="18"/>
                <w:szCs w:val="18"/>
              </w:rPr>
              <w:t xml:space="preserve"> </w:t>
            </w:r>
          </w:p>
        </w:tc>
        <w:tc>
          <w:tcPr>
            <w:tcW w:w="992" w:type="dxa"/>
            <w:tcMar>
              <w:left w:w="57" w:type="dxa"/>
              <w:right w:w="57" w:type="dxa"/>
            </w:tcMar>
          </w:tcPr>
          <w:p w14:paraId="3B4F8798" w14:textId="77777777" w:rsidR="004B25EB" w:rsidRDefault="004B25EB" w:rsidP="004B25EB">
            <w:pPr>
              <w:pStyle w:val="Default"/>
              <w:jc w:val="center"/>
              <w:rPr>
                <w:rFonts w:ascii="Wingdings" w:hAnsi="Wingdings" w:cs="Wingdings"/>
                <w:sz w:val="20"/>
                <w:szCs w:val="20"/>
              </w:rPr>
            </w:pPr>
            <w:r w:rsidRPr="00F83FB9">
              <w:rPr>
                <w:rFonts w:asciiTheme="minorHAnsi" w:hAnsiTheme="minorHAnsi"/>
                <w:sz w:val="18"/>
                <w:szCs w:val="18"/>
              </w:rPr>
              <w:t xml:space="preserve">1,2,3.4 </w:t>
            </w:r>
          </w:p>
        </w:tc>
        <w:tc>
          <w:tcPr>
            <w:tcW w:w="1134" w:type="dxa"/>
          </w:tcPr>
          <w:p w14:paraId="3B4F8799"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9A" w14:textId="77777777" w:rsidR="004B25EB" w:rsidRPr="00F83FB9" w:rsidRDefault="004B25EB" w:rsidP="004B25EB">
            <w:pPr>
              <w:pStyle w:val="Default"/>
              <w:jc w:val="center"/>
              <w:rPr>
                <w:rFonts w:asciiTheme="minorHAnsi" w:hAnsiTheme="minorHAnsi" w:cs="Wingdings"/>
                <w:sz w:val="20"/>
                <w:szCs w:val="20"/>
              </w:rPr>
            </w:pPr>
          </w:p>
        </w:tc>
        <w:tc>
          <w:tcPr>
            <w:tcW w:w="3402" w:type="dxa"/>
          </w:tcPr>
          <w:p w14:paraId="3B4F879B" w14:textId="77777777" w:rsidR="004B25EB" w:rsidRPr="00F83FB9" w:rsidRDefault="00E8082F" w:rsidP="00E8082F">
            <w:pPr>
              <w:pStyle w:val="Default"/>
              <w:rPr>
                <w:rFonts w:asciiTheme="minorHAnsi" w:hAnsiTheme="minorHAnsi"/>
                <w:sz w:val="20"/>
                <w:szCs w:val="20"/>
              </w:rPr>
            </w:pPr>
            <w:r>
              <w:rPr>
                <w:rFonts w:asciiTheme="minorHAnsi" w:hAnsiTheme="minorHAnsi"/>
                <w:sz w:val="20"/>
                <w:szCs w:val="20"/>
              </w:rPr>
              <w:t>Y</w:t>
            </w:r>
            <w:r w:rsidR="004B25EB" w:rsidRPr="00F83FB9">
              <w:rPr>
                <w:rFonts w:asciiTheme="minorHAnsi" w:hAnsiTheme="minorHAnsi"/>
                <w:sz w:val="20"/>
                <w:szCs w:val="20"/>
              </w:rPr>
              <w:t xml:space="preserve">oung-of-year fish will be </w:t>
            </w:r>
            <w:r>
              <w:rPr>
                <w:rFonts w:asciiTheme="minorHAnsi" w:hAnsiTheme="minorHAnsi"/>
                <w:sz w:val="20"/>
                <w:szCs w:val="20"/>
              </w:rPr>
              <w:t>collected</w:t>
            </w:r>
            <w:r w:rsidR="004B25EB" w:rsidRPr="00F83FB9">
              <w:rPr>
                <w:rFonts w:asciiTheme="minorHAnsi" w:hAnsiTheme="minorHAnsi"/>
                <w:sz w:val="20"/>
                <w:szCs w:val="20"/>
              </w:rPr>
              <w:t xml:space="preserve"> by back-pack </w:t>
            </w:r>
            <w:r w:rsidR="004B25EB" w:rsidRPr="0065658F">
              <w:rPr>
                <w:rFonts w:asciiTheme="minorHAnsi" w:hAnsiTheme="minorHAnsi"/>
                <w:sz w:val="20"/>
                <w:szCs w:val="20"/>
              </w:rPr>
              <w:t>electrofishing and set lines in February and March to develop growth</w:t>
            </w:r>
            <w:r w:rsidR="004B25EB" w:rsidRPr="0065658F">
              <w:rPr>
                <w:rFonts w:asciiTheme="minorHAnsi" w:hAnsiTheme="minorHAnsi"/>
              </w:rPr>
              <w:t xml:space="preserve"> </w:t>
            </w:r>
            <w:r w:rsidR="004B25EB" w:rsidRPr="0065658F">
              <w:rPr>
                <w:rFonts w:asciiTheme="minorHAnsi" w:hAnsiTheme="minorHAnsi"/>
                <w:sz w:val="20"/>
                <w:szCs w:val="20"/>
              </w:rPr>
              <w:t xml:space="preserve">and recruitment </w:t>
            </w:r>
            <w:r>
              <w:rPr>
                <w:rFonts w:asciiTheme="minorHAnsi" w:hAnsiTheme="minorHAnsi"/>
                <w:sz w:val="20"/>
                <w:szCs w:val="20"/>
              </w:rPr>
              <w:t xml:space="preserve">indices for young-of-year and age-class 1 </w:t>
            </w:r>
            <w:r w:rsidR="004B25EB" w:rsidRPr="0065658F">
              <w:rPr>
                <w:rFonts w:asciiTheme="minorHAnsi" w:hAnsiTheme="minorHAnsi"/>
                <w:sz w:val="20"/>
                <w:szCs w:val="20"/>
              </w:rPr>
              <w:t>Murray cod, silver perch and golden perch</w:t>
            </w:r>
          </w:p>
        </w:tc>
      </w:tr>
      <w:tr w:rsidR="00E8082F" w14:paraId="3B4F87A3" w14:textId="77777777" w:rsidTr="005443BF">
        <w:trPr>
          <w:trHeight w:val="344"/>
        </w:trPr>
        <w:tc>
          <w:tcPr>
            <w:tcW w:w="1555" w:type="dxa"/>
          </w:tcPr>
          <w:p w14:paraId="3B4F879D"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Fish </w:t>
            </w:r>
            <w:r>
              <w:rPr>
                <w:rFonts w:asciiTheme="minorHAnsi" w:hAnsiTheme="minorHAnsi"/>
                <w:sz w:val="20"/>
                <w:szCs w:val="20"/>
              </w:rPr>
              <w:t>community</w:t>
            </w:r>
            <w:r w:rsidRPr="00F83FB9">
              <w:rPr>
                <w:rFonts w:asciiTheme="minorHAnsi" w:hAnsiTheme="minorHAnsi"/>
                <w:sz w:val="20"/>
                <w:szCs w:val="20"/>
              </w:rPr>
              <w:t xml:space="preserve"> survey </w:t>
            </w:r>
          </w:p>
        </w:tc>
        <w:tc>
          <w:tcPr>
            <w:tcW w:w="992" w:type="dxa"/>
            <w:tcMar>
              <w:left w:w="57" w:type="dxa"/>
              <w:right w:w="57" w:type="dxa"/>
            </w:tcMar>
          </w:tcPr>
          <w:p w14:paraId="3B4F879E" w14:textId="77777777" w:rsidR="004B25EB" w:rsidRPr="00F83FB9" w:rsidRDefault="005443BF" w:rsidP="005F21EE">
            <w:pPr>
              <w:pStyle w:val="Default"/>
              <w:rPr>
                <w:rFonts w:asciiTheme="minorHAnsi" w:hAnsiTheme="minorHAnsi"/>
                <w:sz w:val="18"/>
                <w:szCs w:val="18"/>
              </w:rPr>
            </w:pPr>
            <w:r>
              <w:rPr>
                <w:rFonts w:asciiTheme="minorHAnsi" w:hAnsiTheme="minorHAnsi"/>
                <w:sz w:val="18"/>
                <w:szCs w:val="18"/>
              </w:rPr>
              <w:t xml:space="preserve">Cat 1 for basin evaluation </w:t>
            </w:r>
            <w:r w:rsidR="004B25EB">
              <w:rPr>
                <w:rFonts w:asciiTheme="minorHAnsi" w:hAnsiTheme="minorHAnsi"/>
                <w:sz w:val="18"/>
                <w:szCs w:val="18"/>
              </w:rPr>
              <w:t>Cat 3 for selected area evaluation</w:t>
            </w:r>
            <w:r w:rsidR="005F21EE">
              <w:rPr>
                <w:rFonts w:asciiTheme="minorHAnsi" w:hAnsiTheme="minorHAnsi"/>
                <w:sz w:val="18"/>
                <w:szCs w:val="18"/>
              </w:rPr>
              <w:t xml:space="preserve"> y</w:t>
            </w:r>
            <w:r w:rsidR="004B25EB">
              <w:rPr>
                <w:rFonts w:asciiTheme="minorHAnsi" w:hAnsiTheme="minorHAnsi"/>
                <w:sz w:val="18"/>
                <w:szCs w:val="18"/>
              </w:rPr>
              <w:t xml:space="preserve">ears 1 </w:t>
            </w:r>
            <w:r w:rsidR="005F21EE">
              <w:rPr>
                <w:rFonts w:asciiTheme="minorHAnsi" w:hAnsiTheme="minorHAnsi"/>
                <w:sz w:val="18"/>
                <w:szCs w:val="18"/>
              </w:rPr>
              <w:t>&amp;</w:t>
            </w:r>
            <w:r w:rsidR="004B25EB">
              <w:rPr>
                <w:rFonts w:asciiTheme="minorHAnsi" w:hAnsiTheme="minorHAnsi"/>
                <w:sz w:val="18"/>
                <w:szCs w:val="18"/>
              </w:rPr>
              <w:t xml:space="preserve"> 5</w:t>
            </w:r>
          </w:p>
        </w:tc>
        <w:tc>
          <w:tcPr>
            <w:tcW w:w="992" w:type="dxa"/>
            <w:tcMar>
              <w:left w:w="57" w:type="dxa"/>
              <w:right w:w="57" w:type="dxa"/>
            </w:tcMar>
          </w:tcPr>
          <w:p w14:paraId="3B4F879F" w14:textId="77777777" w:rsidR="004B25EB" w:rsidRDefault="004B25EB" w:rsidP="00E8082F">
            <w:pPr>
              <w:pStyle w:val="Default"/>
              <w:jc w:val="center"/>
              <w:rPr>
                <w:rFonts w:ascii="Wingdings" w:hAnsi="Wingdings" w:cs="Wingdings"/>
                <w:sz w:val="20"/>
                <w:szCs w:val="20"/>
              </w:rPr>
            </w:pPr>
            <w:r>
              <w:rPr>
                <w:rFonts w:asciiTheme="minorHAnsi" w:hAnsiTheme="minorHAnsi"/>
                <w:sz w:val="18"/>
                <w:szCs w:val="18"/>
              </w:rPr>
              <w:t>3 (plus 15</w:t>
            </w:r>
            <w:r w:rsidRPr="00F83FB9">
              <w:rPr>
                <w:rFonts w:asciiTheme="minorHAnsi" w:hAnsiTheme="minorHAnsi"/>
                <w:sz w:val="18"/>
                <w:szCs w:val="18"/>
              </w:rPr>
              <w:t xml:space="preserve"> sites in y</w:t>
            </w:r>
            <w:r>
              <w:rPr>
                <w:rFonts w:asciiTheme="minorHAnsi" w:hAnsiTheme="minorHAnsi"/>
                <w:sz w:val="18"/>
                <w:szCs w:val="18"/>
              </w:rPr>
              <w:t>ea</w:t>
            </w:r>
            <w:r w:rsidRPr="00F83FB9">
              <w:rPr>
                <w:rFonts w:asciiTheme="minorHAnsi" w:hAnsiTheme="minorHAnsi"/>
                <w:sz w:val="18"/>
                <w:szCs w:val="18"/>
              </w:rPr>
              <w:t xml:space="preserve">r 1 and 5) </w:t>
            </w:r>
          </w:p>
        </w:tc>
        <w:tc>
          <w:tcPr>
            <w:tcW w:w="1134" w:type="dxa"/>
          </w:tcPr>
          <w:p w14:paraId="3B4F87A0"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A1"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r w:rsidRPr="00F83FB9">
              <w:rPr>
                <w:rFonts w:asciiTheme="minorHAnsi" w:hAnsiTheme="minorHAnsi"/>
                <w:sz w:val="18"/>
                <w:szCs w:val="18"/>
              </w:rPr>
              <w:t xml:space="preserve"> </w:t>
            </w:r>
            <w:r>
              <w:rPr>
                <w:rFonts w:asciiTheme="minorHAnsi" w:hAnsiTheme="minorHAnsi"/>
                <w:sz w:val="18"/>
                <w:szCs w:val="18"/>
              </w:rPr>
              <w:t>(z</w:t>
            </w:r>
            <w:r w:rsidRPr="00F83FB9">
              <w:rPr>
                <w:rFonts w:asciiTheme="minorHAnsi" w:hAnsiTheme="minorHAnsi"/>
                <w:sz w:val="18"/>
                <w:szCs w:val="18"/>
              </w:rPr>
              <w:t>one 3)</w:t>
            </w:r>
          </w:p>
        </w:tc>
        <w:tc>
          <w:tcPr>
            <w:tcW w:w="3402" w:type="dxa"/>
          </w:tcPr>
          <w:p w14:paraId="3B4F87A2" w14:textId="77777777" w:rsidR="004B25EB" w:rsidRPr="00F83FB9" w:rsidRDefault="004B25EB" w:rsidP="004B25EB">
            <w:pPr>
              <w:pStyle w:val="Default"/>
              <w:rPr>
                <w:rFonts w:asciiTheme="minorHAnsi" w:hAnsiTheme="minorHAnsi"/>
                <w:sz w:val="20"/>
                <w:szCs w:val="20"/>
              </w:rPr>
            </w:pPr>
            <w:r>
              <w:rPr>
                <w:rFonts w:asciiTheme="minorHAnsi" w:hAnsiTheme="minorHAnsi"/>
                <w:sz w:val="20"/>
                <w:szCs w:val="20"/>
              </w:rPr>
              <w:t>Cat 1 f</w:t>
            </w:r>
            <w:r w:rsidRPr="00F83FB9">
              <w:rPr>
                <w:rFonts w:asciiTheme="minorHAnsi" w:hAnsiTheme="minorHAnsi"/>
                <w:sz w:val="20"/>
                <w:szCs w:val="20"/>
              </w:rPr>
              <w:t xml:space="preserve">ish </w:t>
            </w:r>
            <w:r>
              <w:rPr>
                <w:rFonts w:asciiTheme="minorHAnsi" w:hAnsiTheme="minorHAnsi"/>
                <w:sz w:val="20"/>
                <w:szCs w:val="20"/>
              </w:rPr>
              <w:t>community</w:t>
            </w:r>
            <w:r w:rsidRPr="00F83FB9">
              <w:rPr>
                <w:rFonts w:asciiTheme="minorHAnsi" w:hAnsiTheme="minorHAnsi"/>
                <w:sz w:val="20"/>
                <w:szCs w:val="20"/>
              </w:rPr>
              <w:t xml:space="preserve"> surveys will be undertaken once annually in </w:t>
            </w:r>
            <w:r>
              <w:rPr>
                <w:rFonts w:asciiTheme="minorHAnsi" w:hAnsiTheme="minorHAnsi"/>
                <w:sz w:val="20"/>
                <w:szCs w:val="20"/>
              </w:rPr>
              <w:t xml:space="preserve">zone 3 </w:t>
            </w:r>
            <w:r w:rsidRPr="00F83FB9">
              <w:rPr>
                <w:rFonts w:asciiTheme="minorHAnsi" w:hAnsiTheme="minorHAnsi"/>
                <w:sz w:val="20"/>
                <w:szCs w:val="20"/>
              </w:rPr>
              <w:t xml:space="preserve">between March and May. An additional 15 sites throughout the system will be surveyed in years 1 and 5 </w:t>
            </w:r>
            <w:r>
              <w:rPr>
                <w:rFonts w:asciiTheme="minorHAnsi" w:hAnsiTheme="minorHAnsi"/>
                <w:sz w:val="20"/>
                <w:szCs w:val="20"/>
              </w:rPr>
              <w:t xml:space="preserve">using Cat 3 methods </w:t>
            </w:r>
            <w:r w:rsidRPr="00F83FB9">
              <w:rPr>
                <w:rFonts w:asciiTheme="minorHAnsi" w:hAnsiTheme="minorHAnsi"/>
                <w:sz w:val="20"/>
                <w:szCs w:val="20"/>
              </w:rPr>
              <w:t>to report on long-term change in the fish community</w:t>
            </w:r>
            <w:r>
              <w:rPr>
                <w:rFonts w:asciiTheme="minorHAnsi" w:hAnsiTheme="minorHAnsi"/>
                <w:sz w:val="20"/>
                <w:szCs w:val="20"/>
              </w:rPr>
              <w:t xml:space="preserve">. </w:t>
            </w:r>
          </w:p>
        </w:tc>
      </w:tr>
      <w:tr w:rsidR="00E8082F" w14:paraId="3B4F87AA" w14:textId="77777777" w:rsidTr="005443BF">
        <w:trPr>
          <w:trHeight w:val="220"/>
        </w:trPr>
        <w:tc>
          <w:tcPr>
            <w:tcW w:w="1555" w:type="dxa"/>
          </w:tcPr>
          <w:p w14:paraId="3B4F87A4"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Fish movement </w:t>
            </w:r>
          </w:p>
        </w:tc>
        <w:tc>
          <w:tcPr>
            <w:tcW w:w="992" w:type="dxa"/>
            <w:tcMar>
              <w:left w:w="57" w:type="dxa"/>
              <w:right w:w="57" w:type="dxa"/>
            </w:tcMar>
          </w:tcPr>
          <w:p w14:paraId="3B4F87A5" w14:textId="77777777" w:rsidR="004B25EB" w:rsidRPr="00F83FB9" w:rsidRDefault="004B25EB" w:rsidP="004B25EB">
            <w:pPr>
              <w:pStyle w:val="Default"/>
              <w:rPr>
                <w:rFonts w:asciiTheme="minorHAnsi" w:hAnsiTheme="minorHAnsi"/>
                <w:sz w:val="18"/>
                <w:szCs w:val="18"/>
              </w:rPr>
            </w:pPr>
            <w:r w:rsidRPr="003960AD">
              <w:rPr>
                <w:rFonts w:asciiTheme="minorHAnsi" w:hAnsiTheme="minorHAnsi"/>
                <w:sz w:val="18"/>
                <w:szCs w:val="18"/>
              </w:rPr>
              <w:t>Cat 2</w:t>
            </w:r>
          </w:p>
        </w:tc>
        <w:tc>
          <w:tcPr>
            <w:tcW w:w="992" w:type="dxa"/>
            <w:tcMar>
              <w:left w:w="57" w:type="dxa"/>
              <w:right w:w="57" w:type="dxa"/>
            </w:tcMar>
          </w:tcPr>
          <w:p w14:paraId="3B4F87A6" w14:textId="77777777" w:rsidR="004B25EB" w:rsidRDefault="004B25EB" w:rsidP="005443BF">
            <w:pPr>
              <w:pStyle w:val="Default"/>
              <w:jc w:val="center"/>
              <w:rPr>
                <w:rFonts w:ascii="Wingdings" w:hAnsi="Wingdings" w:cs="Wingdings"/>
                <w:sz w:val="20"/>
                <w:szCs w:val="20"/>
              </w:rPr>
            </w:pPr>
            <w:r w:rsidRPr="00F83FB9">
              <w:rPr>
                <w:rFonts w:asciiTheme="minorHAnsi" w:hAnsiTheme="minorHAnsi"/>
                <w:sz w:val="18"/>
                <w:szCs w:val="18"/>
              </w:rPr>
              <w:t>1,2,3,4</w:t>
            </w:r>
            <w:r w:rsidR="007C2727">
              <w:rPr>
                <w:rFonts w:asciiTheme="minorHAnsi" w:hAnsiTheme="minorHAnsi"/>
                <w:sz w:val="18"/>
                <w:szCs w:val="18"/>
              </w:rPr>
              <w:t xml:space="preserve"> </w:t>
            </w:r>
            <w:r w:rsidR="007C2727" w:rsidRPr="005443BF">
              <w:rPr>
                <w:rFonts w:asciiTheme="minorHAnsi" w:hAnsiTheme="minorHAnsi"/>
                <w:sz w:val="16"/>
                <w:szCs w:val="16"/>
              </w:rPr>
              <w:t xml:space="preserve">(plus additional </w:t>
            </w:r>
            <w:r w:rsidR="005443BF">
              <w:rPr>
                <w:rFonts w:asciiTheme="minorHAnsi" w:hAnsiTheme="minorHAnsi"/>
                <w:sz w:val="16"/>
                <w:szCs w:val="16"/>
              </w:rPr>
              <w:t>sites</w:t>
            </w:r>
            <w:r w:rsidR="007C2727" w:rsidRPr="005443BF">
              <w:rPr>
                <w:rFonts w:asciiTheme="minorHAnsi" w:hAnsiTheme="minorHAnsi"/>
                <w:sz w:val="16"/>
                <w:szCs w:val="16"/>
              </w:rPr>
              <w:t xml:space="preserve"> funded</w:t>
            </w:r>
            <w:r w:rsidR="007C2727">
              <w:rPr>
                <w:rFonts w:asciiTheme="minorHAnsi" w:hAnsiTheme="minorHAnsi"/>
                <w:sz w:val="18"/>
                <w:szCs w:val="18"/>
              </w:rPr>
              <w:t xml:space="preserve"> </w:t>
            </w:r>
            <w:r w:rsidR="005443BF">
              <w:rPr>
                <w:rFonts w:asciiTheme="minorHAnsi" w:hAnsiTheme="minorHAnsi"/>
                <w:sz w:val="18"/>
                <w:szCs w:val="18"/>
              </w:rPr>
              <w:t xml:space="preserve">by </w:t>
            </w:r>
            <w:r w:rsidR="005443BF" w:rsidRPr="005443BF">
              <w:rPr>
                <w:rFonts w:asciiTheme="minorHAnsi" w:hAnsiTheme="minorHAnsi"/>
                <w:sz w:val="16"/>
                <w:szCs w:val="16"/>
              </w:rPr>
              <w:t>Murray LLS)</w:t>
            </w:r>
            <w:r w:rsidRPr="00F83FB9">
              <w:rPr>
                <w:rFonts w:asciiTheme="minorHAnsi" w:hAnsiTheme="minorHAnsi"/>
                <w:sz w:val="18"/>
                <w:szCs w:val="18"/>
              </w:rPr>
              <w:t xml:space="preserve"> </w:t>
            </w:r>
          </w:p>
        </w:tc>
        <w:tc>
          <w:tcPr>
            <w:tcW w:w="1134" w:type="dxa"/>
          </w:tcPr>
          <w:p w14:paraId="3B4F87A7" w14:textId="77777777" w:rsidR="004B25EB" w:rsidRPr="00F83FB9" w:rsidRDefault="004B25EB" w:rsidP="004B25EB">
            <w:pPr>
              <w:pStyle w:val="Default"/>
              <w:jc w:val="center"/>
              <w:rPr>
                <w:rFonts w:asciiTheme="minorHAnsi" w:hAnsiTheme="minorHAnsi" w:cs="Wingdings"/>
                <w:sz w:val="20"/>
                <w:szCs w:val="20"/>
              </w:rPr>
            </w:pPr>
            <w:r>
              <w:rPr>
                <w:rFonts w:ascii="Wingdings" w:hAnsi="Wingdings" w:cs="Wingdings"/>
                <w:sz w:val="20"/>
                <w:szCs w:val="20"/>
              </w:rPr>
              <w:t></w:t>
            </w:r>
          </w:p>
        </w:tc>
        <w:tc>
          <w:tcPr>
            <w:tcW w:w="1134" w:type="dxa"/>
          </w:tcPr>
          <w:p w14:paraId="3B4F87A8" w14:textId="77777777" w:rsidR="004B25EB" w:rsidRPr="00F83FB9" w:rsidRDefault="004B25EB" w:rsidP="004B25EB">
            <w:pPr>
              <w:pStyle w:val="Default"/>
              <w:jc w:val="center"/>
              <w:rPr>
                <w:rFonts w:asciiTheme="minorHAnsi" w:hAnsiTheme="minorHAnsi" w:cs="Wingdings"/>
                <w:sz w:val="20"/>
                <w:szCs w:val="20"/>
              </w:rPr>
            </w:pPr>
          </w:p>
        </w:tc>
        <w:tc>
          <w:tcPr>
            <w:tcW w:w="3402" w:type="dxa"/>
          </w:tcPr>
          <w:p w14:paraId="3B4F87A9" w14:textId="77777777" w:rsidR="004B25EB" w:rsidRPr="00F83FB9" w:rsidRDefault="004B25EB" w:rsidP="004B25EB">
            <w:pPr>
              <w:pStyle w:val="Default"/>
              <w:rPr>
                <w:rFonts w:asciiTheme="minorHAnsi" w:hAnsiTheme="minorHAnsi"/>
                <w:sz w:val="20"/>
                <w:szCs w:val="20"/>
              </w:rPr>
            </w:pPr>
            <w:r w:rsidRPr="00F83FB9">
              <w:rPr>
                <w:rFonts w:asciiTheme="minorHAnsi" w:hAnsiTheme="minorHAnsi"/>
                <w:sz w:val="20"/>
                <w:szCs w:val="20"/>
              </w:rPr>
              <w:t xml:space="preserve">Movement of golden perch and silver perch will be monitored commencing in </w:t>
            </w:r>
            <w:r>
              <w:rPr>
                <w:rFonts w:asciiTheme="minorHAnsi" w:hAnsiTheme="minorHAnsi"/>
                <w:sz w:val="20"/>
                <w:szCs w:val="20"/>
              </w:rPr>
              <w:t xml:space="preserve">spring </w:t>
            </w:r>
            <w:r w:rsidRPr="00F83FB9">
              <w:rPr>
                <w:rFonts w:asciiTheme="minorHAnsi" w:hAnsiTheme="minorHAnsi"/>
                <w:sz w:val="20"/>
                <w:szCs w:val="20"/>
              </w:rPr>
              <w:t>2015</w:t>
            </w:r>
          </w:p>
        </w:tc>
      </w:tr>
    </w:tbl>
    <w:p w14:paraId="3B4F87AB" w14:textId="77777777" w:rsidR="00234302" w:rsidRPr="00F13819" w:rsidRDefault="00446E95" w:rsidP="00234302">
      <w:pPr>
        <w:tabs>
          <w:tab w:val="left" w:pos="9071"/>
        </w:tabs>
        <w:spacing w:after="240"/>
        <w:ind w:right="-1"/>
        <w:jc w:val="left"/>
        <w:rPr>
          <w:b/>
          <w:color w:val="4F6228" w:themeColor="accent3" w:themeShade="80"/>
          <w:sz w:val="24"/>
          <w:szCs w:val="24"/>
        </w:rPr>
      </w:pPr>
      <w:r>
        <w:rPr>
          <w:b/>
          <w:color w:val="4F6228" w:themeColor="accent3" w:themeShade="80"/>
          <w:sz w:val="24"/>
          <w:szCs w:val="24"/>
        </w:rPr>
        <w:t>3.3</w:t>
      </w:r>
      <w:r w:rsidR="00234302">
        <w:rPr>
          <w:b/>
          <w:color w:val="4F6228" w:themeColor="accent3" w:themeShade="80"/>
          <w:sz w:val="24"/>
          <w:szCs w:val="24"/>
        </w:rPr>
        <w:t xml:space="preserve"> Overview of monitoring undertaken in 2015-16</w:t>
      </w:r>
    </w:p>
    <w:p w14:paraId="3B4F87AC" w14:textId="389A2F85" w:rsidR="0077231D" w:rsidRDefault="003960AD" w:rsidP="00FA0995">
      <w:pPr>
        <w:tabs>
          <w:tab w:val="left" w:pos="9071"/>
        </w:tabs>
        <w:spacing w:after="0" w:line="320" w:lineRule="exact"/>
        <w:jc w:val="left"/>
        <w:rPr>
          <w:color w:val="000000" w:themeColor="text1"/>
          <w:szCs w:val="22"/>
        </w:rPr>
      </w:pPr>
      <w:bookmarkStart w:id="23" w:name="_Ref418773960"/>
      <w:r w:rsidRPr="003960AD">
        <w:rPr>
          <w:color w:val="000000" w:themeColor="text1"/>
          <w:szCs w:val="22"/>
        </w:rPr>
        <w:lastRenderedPageBreak/>
        <w:t>The monitoring undertaken in 2015-16 is summarized in Table 3.3</w:t>
      </w:r>
      <w:r w:rsidR="00FA0995">
        <w:rPr>
          <w:color w:val="000000" w:themeColor="text1"/>
          <w:szCs w:val="22"/>
        </w:rPr>
        <w:t xml:space="preserve">. The monitoring of </w:t>
      </w:r>
      <w:r w:rsidR="0077231D" w:rsidRPr="0077231D">
        <w:rPr>
          <w:color w:val="000000" w:themeColor="text1"/>
          <w:szCs w:val="22"/>
        </w:rPr>
        <w:t xml:space="preserve">for river hydrology, stream metabolism, water quality, riverbank and aquatic vegetation, fish reproduction was </w:t>
      </w:r>
      <w:r w:rsidR="00FA0995">
        <w:rPr>
          <w:color w:val="000000" w:themeColor="text1"/>
          <w:szCs w:val="22"/>
        </w:rPr>
        <w:t xml:space="preserve">undertaken using </w:t>
      </w:r>
      <w:r w:rsidR="0077231D" w:rsidRPr="0077231D">
        <w:rPr>
          <w:color w:val="000000" w:themeColor="text1"/>
          <w:szCs w:val="22"/>
        </w:rPr>
        <w:t xml:space="preserve">the same </w:t>
      </w:r>
      <w:r w:rsidR="00FA0995">
        <w:rPr>
          <w:color w:val="000000" w:themeColor="text1"/>
          <w:szCs w:val="22"/>
        </w:rPr>
        <w:t xml:space="preserve">methods </w:t>
      </w:r>
      <w:r w:rsidR="0077231D" w:rsidRPr="0077231D">
        <w:rPr>
          <w:color w:val="000000" w:themeColor="text1"/>
          <w:szCs w:val="22"/>
        </w:rPr>
        <w:t>as in 2014-15 (W</w:t>
      </w:r>
      <w:r w:rsidR="00FA0995">
        <w:rPr>
          <w:color w:val="000000" w:themeColor="text1"/>
          <w:szCs w:val="22"/>
        </w:rPr>
        <w:t>atts et al</w:t>
      </w:r>
      <w:r w:rsidR="004762DE">
        <w:rPr>
          <w:color w:val="000000" w:themeColor="text1"/>
          <w:szCs w:val="22"/>
        </w:rPr>
        <w:t>.</w:t>
      </w:r>
      <w:r w:rsidR="00FA0995">
        <w:rPr>
          <w:color w:val="000000" w:themeColor="text1"/>
          <w:szCs w:val="22"/>
        </w:rPr>
        <w:t xml:space="preserve"> 2015). The following outlines the difference between 2014-15 and 2015-16 monitoring:</w:t>
      </w:r>
    </w:p>
    <w:p w14:paraId="3B4F87AD" w14:textId="77777777" w:rsidR="0077231D" w:rsidRDefault="0077231D" w:rsidP="00935D64">
      <w:pPr>
        <w:pStyle w:val="ListParagraph"/>
        <w:numPr>
          <w:ilvl w:val="0"/>
          <w:numId w:val="33"/>
        </w:numPr>
        <w:tabs>
          <w:tab w:val="left" w:pos="9071"/>
        </w:tabs>
        <w:spacing w:after="0" w:line="320" w:lineRule="exact"/>
        <w:jc w:val="left"/>
        <w:rPr>
          <w:color w:val="000000" w:themeColor="text1"/>
          <w:szCs w:val="22"/>
        </w:rPr>
      </w:pPr>
      <w:r w:rsidRPr="0077231D">
        <w:rPr>
          <w:color w:val="000000" w:themeColor="text1"/>
          <w:szCs w:val="22"/>
        </w:rPr>
        <w:t>No additional hydraulic modelling was undertaken in 2014-15 as the flows delivered were very similar to that in 2014-15</w:t>
      </w:r>
      <w:r w:rsidR="00FA0995">
        <w:rPr>
          <w:color w:val="000000" w:themeColor="text1"/>
          <w:szCs w:val="22"/>
        </w:rPr>
        <w:t>.</w:t>
      </w:r>
    </w:p>
    <w:p w14:paraId="3B4F87AE" w14:textId="02BB878D" w:rsidR="005A2FCB" w:rsidRPr="005A2FCB" w:rsidRDefault="0077231D" w:rsidP="00935D64">
      <w:pPr>
        <w:pStyle w:val="ListParagraph"/>
        <w:numPr>
          <w:ilvl w:val="0"/>
          <w:numId w:val="33"/>
        </w:numPr>
        <w:tabs>
          <w:tab w:val="left" w:pos="9071"/>
        </w:tabs>
        <w:spacing w:after="0" w:line="320" w:lineRule="exact"/>
        <w:jc w:val="left"/>
        <w:rPr>
          <w:color w:val="000000" w:themeColor="text1"/>
          <w:szCs w:val="22"/>
        </w:rPr>
      </w:pPr>
      <w:r w:rsidRPr="005A2FCB">
        <w:rPr>
          <w:color w:val="000000" w:themeColor="text1"/>
          <w:szCs w:val="22"/>
        </w:rPr>
        <w:t xml:space="preserve">Additional </w:t>
      </w:r>
      <w:r w:rsidR="005A2FCB" w:rsidRPr="005A2FCB">
        <w:rPr>
          <w:color w:val="000000" w:themeColor="text1"/>
          <w:szCs w:val="22"/>
        </w:rPr>
        <w:t xml:space="preserve">monitoring of dissolved organic carbon and nutrients </w:t>
      </w:r>
      <w:r w:rsidRPr="005A2FCB">
        <w:rPr>
          <w:color w:val="000000" w:themeColor="text1"/>
          <w:szCs w:val="22"/>
        </w:rPr>
        <w:t xml:space="preserve">was undertaken </w:t>
      </w:r>
      <w:r w:rsidR="005A2FCB" w:rsidRPr="005A2FCB">
        <w:rPr>
          <w:color w:val="000000" w:themeColor="text1"/>
          <w:szCs w:val="22"/>
        </w:rPr>
        <w:t xml:space="preserve">fortnightly over a thirteen week period from March to May </w:t>
      </w:r>
      <w:r w:rsidRPr="005A2FCB">
        <w:rPr>
          <w:color w:val="000000" w:themeColor="text1"/>
          <w:szCs w:val="22"/>
        </w:rPr>
        <w:t xml:space="preserve">in 2015-16 during an extended algal bloom in the Murray River system. </w:t>
      </w:r>
      <w:r w:rsidR="005A2FCB">
        <w:t>This included additional samples in Colligen Creek and the Niemur River</w:t>
      </w:r>
      <w:r w:rsidR="00F539E5">
        <w:t>.</w:t>
      </w:r>
    </w:p>
    <w:p w14:paraId="3B4F87AF" w14:textId="77777777" w:rsidR="005A2FCB" w:rsidRPr="005A2FCB" w:rsidRDefault="005A2FCB" w:rsidP="00935D64">
      <w:pPr>
        <w:pStyle w:val="ListParagraph"/>
        <w:numPr>
          <w:ilvl w:val="0"/>
          <w:numId w:val="33"/>
        </w:numPr>
        <w:tabs>
          <w:tab w:val="left" w:pos="9071"/>
        </w:tabs>
        <w:spacing w:after="0" w:line="320" w:lineRule="exact"/>
        <w:jc w:val="left"/>
        <w:rPr>
          <w:color w:val="000000" w:themeColor="text1"/>
          <w:szCs w:val="22"/>
        </w:rPr>
      </w:pPr>
      <w:r>
        <w:t xml:space="preserve">The fish community survey for the Edward-Wakool Selected Area was not undertaken </w:t>
      </w:r>
      <w:r w:rsidRPr="0088257B">
        <w:t>in 2015-16 as this</w:t>
      </w:r>
      <w:r>
        <w:t xml:space="preserve"> indicator is monitored </w:t>
      </w:r>
      <w:r w:rsidR="00FA0995">
        <w:t xml:space="preserve">only </w:t>
      </w:r>
      <w:r>
        <w:t>in year</w:t>
      </w:r>
      <w:r w:rsidRPr="0088257B">
        <w:t xml:space="preserve"> 1 </w:t>
      </w:r>
      <w:r>
        <w:t xml:space="preserve">(2014-15) </w:t>
      </w:r>
      <w:r w:rsidRPr="0088257B">
        <w:t xml:space="preserve">and </w:t>
      </w:r>
      <w:r>
        <w:t xml:space="preserve">year </w:t>
      </w:r>
      <w:r w:rsidRPr="0088257B">
        <w:t xml:space="preserve">5 </w:t>
      </w:r>
      <w:r>
        <w:t xml:space="preserve">(2018-19) </w:t>
      </w:r>
      <w:r w:rsidR="00FA0995">
        <w:t>of</w:t>
      </w:r>
      <w:r>
        <w:t xml:space="preserve"> the LTIM project</w:t>
      </w:r>
      <w:r w:rsidRPr="0088257B">
        <w:t>.</w:t>
      </w:r>
    </w:p>
    <w:p w14:paraId="3B4F87B0" w14:textId="77777777" w:rsidR="005A2FCB" w:rsidRPr="005A2FCB" w:rsidRDefault="005A2FCB" w:rsidP="00935D64">
      <w:pPr>
        <w:pStyle w:val="ListParagraph"/>
        <w:numPr>
          <w:ilvl w:val="0"/>
          <w:numId w:val="33"/>
        </w:numPr>
        <w:tabs>
          <w:tab w:val="left" w:pos="9071"/>
        </w:tabs>
        <w:spacing w:after="240" w:line="320" w:lineRule="exact"/>
        <w:ind w:left="714" w:hanging="357"/>
        <w:jc w:val="left"/>
        <w:rPr>
          <w:color w:val="000000" w:themeColor="text1"/>
          <w:szCs w:val="22"/>
        </w:rPr>
      </w:pPr>
      <w:r>
        <w:t xml:space="preserve">Fish movement was not monitored in year 1 (2014-15) </w:t>
      </w:r>
      <w:r w:rsidR="00FA0995">
        <w:t xml:space="preserve">of the LTIM project </w:t>
      </w:r>
      <w:r>
        <w:t>but was established in July 2015 and is evaluated in this report.</w:t>
      </w:r>
    </w:p>
    <w:p w14:paraId="3B4F87B1" w14:textId="08BCB905" w:rsidR="008B1F96" w:rsidRDefault="008B1F96" w:rsidP="003960AD">
      <w:pPr>
        <w:pStyle w:val="TableCaption"/>
        <w:spacing w:after="0"/>
      </w:pPr>
      <w:r w:rsidRPr="004659CB">
        <w:t xml:space="preserve">Table </w:t>
      </w:r>
      <w:bookmarkEnd w:id="23"/>
      <w:r w:rsidR="004659CB" w:rsidRPr="004659CB">
        <w:t>3.</w:t>
      </w:r>
      <w:r w:rsidR="007F30A0">
        <w:t>3</w:t>
      </w:r>
      <w:r w:rsidR="004659CB">
        <w:t>.</w:t>
      </w:r>
      <w:r w:rsidRPr="004659CB">
        <w:t xml:space="preserve"> </w:t>
      </w:r>
      <w:r w:rsidRPr="003960AD">
        <w:rPr>
          <w:b w:val="0"/>
        </w:rPr>
        <w:t xml:space="preserve">Schedule of monitoring activities </w:t>
      </w:r>
      <w:r w:rsidR="004659CB" w:rsidRPr="003960AD">
        <w:rPr>
          <w:b w:val="0"/>
        </w:rPr>
        <w:t xml:space="preserve">For Edward-Wakool Long-Term Intervention Monitoring project </w:t>
      </w:r>
      <w:r w:rsidRPr="003960AD">
        <w:rPr>
          <w:b w:val="0"/>
        </w:rPr>
        <w:t>for 2015-16</w:t>
      </w:r>
      <w:r w:rsidR="00703B4B">
        <w:rPr>
          <w:b w:val="0"/>
        </w:rPr>
        <w:t xml:space="preserve"> (grey shading)</w:t>
      </w:r>
      <w:r w:rsidRPr="003960AD">
        <w:rPr>
          <w:b w:val="0"/>
        </w:rPr>
        <w:t>.</w:t>
      </w:r>
      <w:r>
        <w:t xml:space="preserve"> </w:t>
      </w:r>
      <w:r w:rsidR="00446E95" w:rsidRPr="00446E95">
        <w:rPr>
          <w:b w:val="0"/>
        </w:rPr>
        <w:t>The three categories of indicator</w:t>
      </w:r>
      <w:r w:rsidR="00446E95">
        <w:rPr>
          <w:b w:val="0"/>
        </w:rPr>
        <w:t>s</w:t>
      </w:r>
      <w:r w:rsidR="00446E95" w:rsidRPr="00446E95">
        <w:rPr>
          <w:b w:val="0"/>
        </w:rPr>
        <w:t xml:space="preserve"> are described in section 3.2</w:t>
      </w:r>
      <w:r w:rsidR="00703B4B">
        <w:rPr>
          <w:b w:val="0"/>
        </w:rPr>
        <w:t>.</w:t>
      </w:r>
    </w:p>
    <w:tbl>
      <w:tblPr>
        <w:tblStyle w:val="TableGrid"/>
        <w:tblW w:w="8784" w:type="dxa"/>
        <w:tblLayout w:type="fixed"/>
        <w:tblLook w:val="04A0" w:firstRow="1" w:lastRow="0" w:firstColumn="1" w:lastColumn="0" w:noHBand="0" w:noVBand="1"/>
      </w:tblPr>
      <w:tblGrid>
        <w:gridCol w:w="2207"/>
        <w:gridCol w:w="560"/>
        <w:gridCol w:w="1056"/>
        <w:gridCol w:w="425"/>
        <w:gridCol w:w="425"/>
        <w:gridCol w:w="425"/>
        <w:gridCol w:w="41"/>
        <w:gridCol w:w="360"/>
        <w:gridCol w:w="25"/>
        <w:gridCol w:w="471"/>
        <w:gridCol w:w="413"/>
        <w:gridCol w:w="391"/>
        <w:gridCol w:w="27"/>
        <w:gridCol w:w="378"/>
        <w:gridCol w:w="21"/>
        <w:gridCol w:w="357"/>
        <w:gridCol w:w="420"/>
        <w:gridCol w:w="14"/>
        <w:gridCol w:w="343"/>
        <w:gridCol w:w="7"/>
        <w:gridCol w:w="418"/>
      </w:tblGrid>
      <w:tr w:rsidR="001D00F4" w14:paraId="3B4F87B6" w14:textId="77777777" w:rsidTr="00C27584">
        <w:tc>
          <w:tcPr>
            <w:tcW w:w="2207" w:type="dxa"/>
            <w:vMerge w:val="restart"/>
            <w:shd w:val="clear" w:color="auto" w:fill="EAF1DD" w:themeFill="accent3" w:themeFillTint="33"/>
          </w:tcPr>
          <w:p w14:paraId="3B4F87B2" w14:textId="77777777" w:rsidR="001D00F4" w:rsidRPr="00E1285D" w:rsidRDefault="001D00F4" w:rsidP="00E1285D">
            <w:pPr>
              <w:spacing w:after="0" w:line="240" w:lineRule="auto"/>
              <w:rPr>
                <w:b/>
                <w:lang w:val="en-US"/>
              </w:rPr>
            </w:pPr>
            <w:r w:rsidRPr="00E1285D">
              <w:rPr>
                <w:b/>
                <w:lang w:val="en-US"/>
              </w:rPr>
              <w:t>Indicator</w:t>
            </w:r>
          </w:p>
        </w:tc>
        <w:tc>
          <w:tcPr>
            <w:tcW w:w="560" w:type="dxa"/>
            <w:vMerge w:val="restart"/>
            <w:shd w:val="clear" w:color="auto" w:fill="EAF1DD" w:themeFill="accent3" w:themeFillTint="33"/>
          </w:tcPr>
          <w:p w14:paraId="3B4F87B3" w14:textId="77777777" w:rsidR="001D00F4" w:rsidRPr="00E1285D" w:rsidRDefault="001D00F4" w:rsidP="00E1285D">
            <w:pPr>
              <w:spacing w:after="0" w:line="240" w:lineRule="auto"/>
              <w:rPr>
                <w:b/>
                <w:lang w:val="en-US"/>
              </w:rPr>
            </w:pPr>
            <w:r>
              <w:rPr>
                <w:b/>
                <w:lang w:val="en-US"/>
              </w:rPr>
              <w:t>Cat</w:t>
            </w:r>
          </w:p>
        </w:tc>
        <w:tc>
          <w:tcPr>
            <w:tcW w:w="1056" w:type="dxa"/>
            <w:vMerge w:val="restart"/>
            <w:shd w:val="clear" w:color="auto" w:fill="EAF1DD" w:themeFill="accent3" w:themeFillTint="33"/>
          </w:tcPr>
          <w:p w14:paraId="3B4F87B4" w14:textId="77777777" w:rsidR="001D00F4" w:rsidRPr="00E1285D" w:rsidRDefault="001D00F4" w:rsidP="00E1285D">
            <w:pPr>
              <w:spacing w:after="0" w:line="240" w:lineRule="auto"/>
              <w:rPr>
                <w:b/>
                <w:lang w:val="en-US"/>
              </w:rPr>
            </w:pPr>
            <w:r w:rsidRPr="00E1285D">
              <w:rPr>
                <w:b/>
                <w:lang w:val="en-US"/>
              </w:rPr>
              <w:t>Zone</w:t>
            </w:r>
            <w:r>
              <w:rPr>
                <w:b/>
                <w:lang w:val="en-US"/>
              </w:rPr>
              <w:t>s</w:t>
            </w:r>
          </w:p>
        </w:tc>
        <w:tc>
          <w:tcPr>
            <w:tcW w:w="4961" w:type="dxa"/>
            <w:gridSpan w:val="18"/>
            <w:shd w:val="clear" w:color="auto" w:fill="EAF1DD" w:themeFill="accent3" w:themeFillTint="33"/>
          </w:tcPr>
          <w:p w14:paraId="3B4F87B5" w14:textId="77777777" w:rsidR="001D00F4" w:rsidRPr="00E1285D" w:rsidRDefault="001D00F4" w:rsidP="00E1285D">
            <w:pPr>
              <w:spacing w:after="0" w:line="240" w:lineRule="auto"/>
              <w:jc w:val="center"/>
              <w:rPr>
                <w:b/>
                <w:lang w:val="en-US"/>
              </w:rPr>
            </w:pPr>
            <w:r w:rsidRPr="00E1285D">
              <w:rPr>
                <w:b/>
                <w:lang w:val="en-US"/>
              </w:rPr>
              <w:t>Schedule of activities</w:t>
            </w:r>
          </w:p>
        </w:tc>
      </w:tr>
      <w:tr w:rsidR="001D00F4" w14:paraId="3B4F87C6" w14:textId="77777777" w:rsidTr="00C27584">
        <w:tc>
          <w:tcPr>
            <w:tcW w:w="2207" w:type="dxa"/>
            <w:vMerge/>
            <w:shd w:val="clear" w:color="auto" w:fill="EAF1DD" w:themeFill="accent3" w:themeFillTint="33"/>
          </w:tcPr>
          <w:p w14:paraId="3B4F87B7" w14:textId="77777777" w:rsidR="001D00F4" w:rsidRPr="00E1285D" w:rsidRDefault="001D00F4" w:rsidP="00E1285D">
            <w:pPr>
              <w:spacing w:after="0" w:line="240" w:lineRule="auto"/>
              <w:rPr>
                <w:b/>
                <w:lang w:val="en-US"/>
              </w:rPr>
            </w:pPr>
          </w:p>
        </w:tc>
        <w:tc>
          <w:tcPr>
            <w:tcW w:w="560" w:type="dxa"/>
            <w:vMerge/>
            <w:shd w:val="clear" w:color="auto" w:fill="EAF1DD" w:themeFill="accent3" w:themeFillTint="33"/>
          </w:tcPr>
          <w:p w14:paraId="3B4F87B8" w14:textId="77777777" w:rsidR="001D00F4" w:rsidRPr="00E1285D" w:rsidRDefault="001D00F4" w:rsidP="00E1285D">
            <w:pPr>
              <w:spacing w:after="0" w:line="240" w:lineRule="auto"/>
              <w:rPr>
                <w:b/>
                <w:lang w:val="en-US"/>
              </w:rPr>
            </w:pPr>
          </w:p>
        </w:tc>
        <w:tc>
          <w:tcPr>
            <w:tcW w:w="1056" w:type="dxa"/>
            <w:vMerge/>
            <w:shd w:val="clear" w:color="auto" w:fill="EAF1DD" w:themeFill="accent3" w:themeFillTint="33"/>
          </w:tcPr>
          <w:p w14:paraId="3B4F87B9" w14:textId="77777777" w:rsidR="001D00F4" w:rsidRPr="00E1285D" w:rsidRDefault="001D00F4" w:rsidP="00E1285D">
            <w:pPr>
              <w:spacing w:after="0" w:line="240" w:lineRule="auto"/>
              <w:rPr>
                <w:b/>
                <w:lang w:val="en-US"/>
              </w:rPr>
            </w:pPr>
          </w:p>
        </w:tc>
        <w:tc>
          <w:tcPr>
            <w:tcW w:w="425" w:type="dxa"/>
            <w:shd w:val="clear" w:color="auto" w:fill="EAF1DD" w:themeFill="accent3" w:themeFillTint="33"/>
          </w:tcPr>
          <w:p w14:paraId="3B4F87BA" w14:textId="77777777" w:rsidR="001D00F4" w:rsidRPr="00E1285D" w:rsidRDefault="001D00F4" w:rsidP="00E1285D">
            <w:pPr>
              <w:spacing w:after="0" w:line="240" w:lineRule="auto"/>
              <w:rPr>
                <w:b/>
                <w:lang w:val="en-US"/>
              </w:rPr>
            </w:pPr>
            <w:r w:rsidRPr="00E1285D">
              <w:rPr>
                <w:b/>
                <w:lang w:val="en-US"/>
              </w:rPr>
              <w:t>J</w:t>
            </w:r>
          </w:p>
        </w:tc>
        <w:tc>
          <w:tcPr>
            <w:tcW w:w="425" w:type="dxa"/>
            <w:shd w:val="clear" w:color="auto" w:fill="EAF1DD" w:themeFill="accent3" w:themeFillTint="33"/>
          </w:tcPr>
          <w:p w14:paraId="3B4F87BB" w14:textId="77777777" w:rsidR="001D00F4" w:rsidRPr="00E1285D" w:rsidRDefault="001D00F4" w:rsidP="00E1285D">
            <w:pPr>
              <w:spacing w:after="0" w:line="240" w:lineRule="auto"/>
              <w:rPr>
                <w:b/>
                <w:lang w:val="en-US"/>
              </w:rPr>
            </w:pPr>
            <w:r w:rsidRPr="00E1285D">
              <w:rPr>
                <w:b/>
                <w:lang w:val="en-US"/>
              </w:rPr>
              <w:t>A</w:t>
            </w:r>
          </w:p>
        </w:tc>
        <w:tc>
          <w:tcPr>
            <w:tcW w:w="425" w:type="dxa"/>
            <w:shd w:val="clear" w:color="auto" w:fill="EAF1DD" w:themeFill="accent3" w:themeFillTint="33"/>
          </w:tcPr>
          <w:p w14:paraId="3B4F87BC" w14:textId="77777777" w:rsidR="001D00F4" w:rsidRPr="00E1285D" w:rsidRDefault="001D00F4" w:rsidP="00E1285D">
            <w:pPr>
              <w:spacing w:after="0" w:line="240" w:lineRule="auto"/>
              <w:rPr>
                <w:b/>
                <w:lang w:val="en-US"/>
              </w:rPr>
            </w:pPr>
            <w:r w:rsidRPr="00E1285D">
              <w:rPr>
                <w:b/>
                <w:lang w:val="en-US"/>
              </w:rPr>
              <w:t>S</w:t>
            </w:r>
          </w:p>
        </w:tc>
        <w:tc>
          <w:tcPr>
            <w:tcW w:w="426" w:type="dxa"/>
            <w:gridSpan w:val="3"/>
            <w:shd w:val="clear" w:color="auto" w:fill="EAF1DD" w:themeFill="accent3" w:themeFillTint="33"/>
          </w:tcPr>
          <w:p w14:paraId="3B4F87BD" w14:textId="77777777" w:rsidR="001D00F4" w:rsidRPr="00E1285D" w:rsidRDefault="001D00F4" w:rsidP="00E1285D">
            <w:pPr>
              <w:spacing w:after="0" w:line="240" w:lineRule="auto"/>
              <w:rPr>
                <w:b/>
                <w:lang w:val="en-US"/>
              </w:rPr>
            </w:pPr>
            <w:r w:rsidRPr="00E1285D">
              <w:rPr>
                <w:b/>
                <w:lang w:val="en-US"/>
              </w:rPr>
              <w:t>O</w:t>
            </w:r>
          </w:p>
        </w:tc>
        <w:tc>
          <w:tcPr>
            <w:tcW w:w="471" w:type="dxa"/>
            <w:shd w:val="clear" w:color="auto" w:fill="EAF1DD" w:themeFill="accent3" w:themeFillTint="33"/>
          </w:tcPr>
          <w:p w14:paraId="3B4F87BE" w14:textId="77777777" w:rsidR="001D00F4" w:rsidRPr="00E1285D" w:rsidRDefault="001D00F4" w:rsidP="00E1285D">
            <w:pPr>
              <w:spacing w:after="0" w:line="240" w:lineRule="auto"/>
              <w:rPr>
                <w:b/>
                <w:lang w:val="en-US"/>
              </w:rPr>
            </w:pPr>
            <w:r w:rsidRPr="00E1285D">
              <w:rPr>
                <w:b/>
                <w:lang w:val="en-US"/>
              </w:rPr>
              <w:t>N</w:t>
            </w:r>
          </w:p>
        </w:tc>
        <w:tc>
          <w:tcPr>
            <w:tcW w:w="413" w:type="dxa"/>
            <w:shd w:val="clear" w:color="auto" w:fill="EAF1DD" w:themeFill="accent3" w:themeFillTint="33"/>
          </w:tcPr>
          <w:p w14:paraId="3B4F87BF" w14:textId="77777777" w:rsidR="001D00F4" w:rsidRPr="00E1285D" w:rsidRDefault="001D00F4" w:rsidP="00E1285D">
            <w:pPr>
              <w:spacing w:after="0" w:line="240" w:lineRule="auto"/>
              <w:rPr>
                <w:b/>
                <w:lang w:val="en-US"/>
              </w:rPr>
            </w:pPr>
            <w:r w:rsidRPr="00E1285D">
              <w:rPr>
                <w:b/>
                <w:lang w:val="en-US"/>
              </w:rPr>
              <w:t>D</w:t>
            </w:r>
          </w:p>
        </w:tc>
        <w:tc>
          <w:tcPr>
            <w:tcW w:w="391" w:type="dxa"/>
            <w:shd w:val="clear" w:color="auto" w:fill="EAF1DD" w:themeFill="accent3" w:themeFillTint="33"/>
          </w:tcPr>
          <w:p w14:paraId="3B4F87C0" w14:textId="77777777" w:rsidR="001D00F4" w:rsidRPr="00E1285D" w:rsidRDefault="001D00F4" w:rsidP="00E1285D">
            <w:pPr>
              <w:spacing w:after="0" w:line="240" w:lineRule="auto"/>
              <w:rPr>
                <w:b/>
                <w:lang w:val="en-US"/>
              </w:rPr>
            </w:pPr>
            <w:r w:rsidRPr="00E1285D">
              <w:rPr>
                <w:b/>
                <w:lang w:val="en-US"/>
              </w:rPr>
              <w:t>J</w:t>
            </w:r>
          </w:p>
        </w:tc>
        <w:tc>
          <w:tcPr>
            <w:tcW w:w="426" w:type="dxa"/>
            <w:gridSpan w:val="3"/>
            <w:shd w:val="clear" w:color="auto" w:fill="EAF1DD" w:themeFill="accent3" w:themeFillTint="33"/>
          </w:tcPr>
          <w:p w14:paraId="3B4F87C1" w14:textId="77777777" w:rsidR="001D00F4" w:rsidRPr="00E1285D" w:rsidRDefault="001D00F4" w:rsidP="00E1285D">
            <w:pPr>
              <w:spacing w:after="0" w:line="240" w:lineRule="auto"/>
              <w:rPr>
                <w:b/>
                <w:lang w:val="en-US"/>
              </w:rPr>
            </w:pPr>
            <w:r w:rsidRPr="00E1285D">
              <w:rPr>
                <w:b/>
                <w:lang w:val="en-US"/>
              </w:rPr>
              <w:t>F</w:t>
            </w:r>
          </w:p>
        </w:tc>
        <w:tc>
          <w:tcPr>
            <w:tcW w:w="357" w:type="dxa"/>
            <w:shd w:val="clear" w:color="auto" w:fill="EAF1DD" w:themeFill="accent3" w:themeFillTint="33"/>
          </w:tcPr>
          <w:p w14:paraId="3B4F87C2" w14:textId="77777777" w:rsidR="001D00F4" w:rsidRPr="00E1285D" w:rsidRDefault="001D00F4" w:rsidP="00E1285D">
            <w:pPr>
              <w:spacing w:after="0" w:line="240" w:lineRule="auto"/>
              <w:rPr>
                <w:b/>
                <w:lang w:val="en-US"/>
              </w:rPr>
            </w:pPr>
            <w:r w:rsidRPr="00E1285D">
              <w:rPr>
                <w:b/>
                <w:lang w:val="en-US"/>
              </w:rPr>
              <w:t>M</w:t>
            </w:r>
          </w:p>
        </w:tc>
        <w:tc>
          <w:tcPr>
            <w:tcW w:w="434" w:type="dxa"/>
            <w:gridSpan w:val="2"/>
            <w:shd w:val="clear" w:color="auto" w:fill="EAF1DD" w:themeFill="accent3" w:themeFillTint="33"/>
          </w:tcPr>
          <w:p w14:paraId="3B4F87C3" w14:textId="77777777" w:rsidR="001D00F4" w:rsidRPr="00E1285D" w:rsidRDefault="001D00F4" w:rsidP="00E1285D">
            <w:pPr>
              <w:spacing w:after="0" w:line="240" w:lineRule="auto"/>
              <w:rPr>
                <w:b/>
                <w:lang w:val="en-US"/>
              </w:rPr>
            </w:pPr>
            <w:r w:rsidRPr="00E1285D">
              <w:rPr>
                <w:b/>
                <w:lang w:val="en-US"/>
              </w:rPr>
              <w:t>A</w:t>
            </w:r>
          </w:p>
        </w:tc>
        <w:tc>
          <w:tcPr>
            <w:tcW w:w="343" w:type="dxa"/>
            <w:shd w:val="clear" w:color="auto" w:fill="EAF1DD" w:themeFill="accent3" w:themeFillTint="33"/>
          </w:tcPr>
          <w:p w14:paraId="3B4F87C4" w14:textId="77777777" w:rsidR="001D00F4" w:rsidRPr="00E1285D" w:rsidRDefault="001D00F4" w:rsidP="00E1285D">
            <w:pPr>
              <w:spacing w:after="0" w:line="240" w:lineRule="auto"/>
              <w:rPr>
                <w:b/>
                <w:lang w:val="en-US"/>
              </w:rPr>
            </w:pPr>
            <w:r w:rsidRPr="00E1285D">
              <w:rPr>
                <w:b/>
                <w:lang w:val="en-US"/>
              </w:rPr>
              <w:t>M</w:t>
            </w:r>
          </w:p>
        </w:tc>
        <w:tc>
          <w:tcPr>
            <w:tcW w:w="425" w:type="dxa"/>
            <w:gridSpan w:val="2"/>
            <w:shd w:val="clear" w:color="auto" w:fill="EAF1DD" w:themeFill="accent3" w:themeFillTint="33"/>
          </w:tcPr>
          <w:p w14:paraId="3B4F87C5" w14:textId="77777777" w:rsidR="001D00F4" w:rsidRPr="00E1285D" w:rsidRDefault="001D00F4" w:rsidP="00E1285D">
            <w:pPr>
              <w:spacing w:after="0" w:line="240" w:lineRule="auto"/>
              <w:rPr>
                <w:b/>
                <w:lang w:val="en-US"/>
              </w:rPr>
            </w:pPr>
            <w:r w:rsidRPr="00E1285D">
              <w:rPr>
                <w:b/>
                <w:lang w:val="en-US"/>
              </w:rPr>
              <w:t>J</w:t>
            </w:r>
          </w:p>
        </w:tc>
      </w:tr>
      <w:tr w:rsidR="001D00F4" w14:paraId="3B4F87CB" w14:textId="77777777" w:rsidTr="00C27584">
        <w:tc>
          <w:tcPr>
            <w:tcW w:w="2207" w:type="dxa"/>
          </w:tcPr>
          <w:p w14:paraId="3B4F87C7" w14:textId="77777777" w:rsidR="001D00F4" w:rsidRPr="0075648F" w:rsidRDefault="001D00F4" w:rsidP="007F5529">
            <w:pPr>
              <w:spacing w:after="0" w:line="240" w:lineRule="auto"/>
              <w:jc w:val="left"/>
              <w:rPr>
                <w:rFonts w:asciiTheme="minorHAnsi" w:hAnsiTheme="minorHAnsi"/>
                <w:sz w:val="20"/>
              </w:rPr>
            </w:pPr>
            <w:r w:rsidRPr="00F83FB9">
              <w:rPr>
                <w:rFonts w:asciiTheme="minorHAnsi" w:hAnsiTheme="minorHAnsi"/>
                <w:sz w:val="20"/>
              </w:rPr>
              <w:t xml:space="preserve">River hydrology </w:t>
            </w:r>
          </w:p>
        </w:tc>
        <w:tc>
          <w:tcPr>
            <w:tcW w:w="560" w:type="dxa"/>
          </w:tcPr>
          <w:p w14:paraId="3B4F87C8" w14:textId="77777777" w:rsidR="001D00F4" w:rsidRDefault="001D00F4" w:rsidP="00E1285D">
            <w:pPr>
              <w:spacing w:after="0" w:line="240" w:lineRule="auto"/>
              <w:rPr>
                <w:lang w:val="en-US"/>
              </w:rPr>
            </w:pPr>
            <w:r>
              <w:rPr>
                <w:lang w:val="en-US"/>
              </w:rPr>
              <w:t>1</w:t>
            </w:r>
          </w:p>
        </w:tc>
        <w:tc>
          <w:tcPr>
            <w:tcW w:w="1056" w:type="dxa"/>
            <w:tcMar>
              <w:left w:w="85" w:type="dxa"/>
              <w:right w:w="85" w:type="dxa"/>
            </w:tcMar>
          </w:tcPr>
          <w:p w14:paraId="3B4F87C9" w14:textId="77777777" w:rsidR="001D00F4" w:rsidRDefault="001D00F4" w:rsidP="00E1285D">
            <w:pPr>
              <w:spacing w:after="0" w:line="240" w:lineRule="auto"/>
              <w:rPr>
                <w:lang w:val="en-US"/>
              </w:rPr>
            </w:pPr>
            <w:r>
              <w:rPr>
                <w:lang w:val="en-US"/>
              </w:rPr>
              <w:t>1,2,3,4</w:t>
            </w:r>
          </w:p>
        </w:tc>
        <w:tc>
          <w:tcPr>
            <w:tcW w:w="4961" w:type="dxa"/>
            <w:gridSpan w:val="18"/>
            <w:shd w:val="clear" w:color="auto" w:fill="D9D9D9" w:themeFill="background1" w:themeFillShade="D9"/>
          </w:tcPr>
          <w:p w14:paraId="3B4F87CA" w14:textId="77777777" w:rsidR="001D00F4" w:rsidRPr="0075648F" w:rsidRDefault="001D00F4" w:rsidP="00E1285D">
            <w:pPr>
              <w:spacing w:after="0" w:line="240" w:lineRule="auto"/>
              <w:rPr>
                <w:sz w:val="20"/>
                <w:lang w:val="en-US"/>
              </w:rPr>
            </w:pPr>
            <w:r w:rsidRPr="00B77D92">
              <w:rPr>
                <w:sz w:val="20"/>
                <w:lang w:val="en-US"/>
              </w:rPr>
              <w:t>Continuous data from automated gauging stations</w:t>
            </w:r>
          </w:p>
        </w:tc>
      </w:tr>
      <w:tr w:rsidR="001D00F4" w14:paraId="3B4F87D0" w14:textId="77777777" w:rsidTr="00C27584">
        <w:tc>
          <w:tcPr>
            <w:tcW w:w="2207" w:type="dxa"/>
          </w:tcPr>
          <w:p w14:paraId="3B4F87CC" w14:textId="77777777" w:rsidR="001D00F4" w:rsidRDefault="001D00F4" w:rsidP="007F5529">
            <w:pPr>
              <w:spacing w:after="0" w:line="240" w:lineRule="auto"/>
              <w:jc w:val="left"/>
              <w:rPr>
                <w:lang w:val="en-US"/>
              </w:rPr>
            </w:pPr>
            <w:r w:rsidRPr="00F83FB9">
              <w:rPr>
                <w:rFonts w:asciiTheme="minorHAnsi" w:hAnsiTheme="minorHAnsi"/>
                <w:sz w:val="20"/>
              </w:rPr>
              <w:t xml:space="preserve">Hydraulic modelling </w:t>
            </w:r>
          </w:p>
        </w:tc>
        <w:tc>
          <w:tcPr>
            <w:tcW w:w="560" w:type="dxa"/>
          </w:tcPr>
          <w:p w14:paraId="3B4F87CD" w14:textId="77777777" w:rsidR="001D00F4" w:rsidRDefault="001D00F4" w:rsidP="00E1285D">
            <w:pPr>
              <w:spacing w:after="0" w:line="240" w:lineRule="auto"/>
              <w:rPr>
                <w:lang w:val="en-US"/>
              </w:rPr>
            </w:pPr>
            <w:r>
              <w:rPr>
                <w:lang w:val="en-US"/>
              </w:rPr>
              <w:t>3</w:t>
            </w:r>
          </w:p>
        </w:tc>
        <w:tc>
          <w:tcPr>
            <w:tcW w:w="1056" w:type="dxa"/>
            <w:tcMar>
              <w:left w:w="85" w:type="dxa"/>
              <w:right w:w="85" w:type="dxa"/>
            </w:tcMar>
          </w:tcPr>
          <w:p w14:paraId="3B4F87CE" w14:textId="77777777" w:rsidR="001D00F4" w:rsidRDefault="001D00F4" w:rsidP="00E1285D">
            <w:pPr>
              <w:spacing w:after="0" w:line="240" w:lineRule="auto"/>
              <w:rPr>
                <w:lang w:val="en-US"/>
              </w:rPr>
            </w:pPr>
            <w:r>
              <w:rPr>
                <w:lang w:val="en-US"/>
              </w:rPr>
              <w:t>1,2,3,4</w:t>
            </w:r>
          </w:p>
        </w:tc>
        <w:tc>
          <w:tcPr>
            <w:tcW w:w="4961" w:type="dxa"/>
            <w:gridSpan w:val="18"/>
          </w:tcPr>
          <w:p w14:paraId="3B4F87CF" w14:textId="77777777" w:rsidR="001D00F4" w:rsidRPr="0075648F" w:rsidRDefault="001D00F4" w:rsidP="00E1285D">
            <w:pPr>
              <w:spacing w:after="0" w:line="240" w:lineRule="auto"/>
              <w:rPr>
                <w:sz w:val="20"/>
                <w:lang w:val="en-US"/>
              </w:rPr>
            </w:pPr>
            <w:r w:rsidRPr="00EB67D9">
              <w:rPr>
                <w:sz w:val="20"/>
                <w:lang w:val="en-US"/>
              </w:rPr>
              <w:t>Modelling undertaken in 2014-15</w:t>
            </w:r>
          </w:p>
        </w:tc>
      </w:tr>
      <w:tr w:rsidR="001D00F4" w14:paraId="3B4F87DA" w14:textId="77777777" w:rsidTr="00C27584">
        <w:tc>
          <w:tcPr>
            <w:tcW w:w="2207" w:type="dxa"/>
          </w:tcPr>
          <w:p w14:paraId="3B4F87D1" w14:textId="77777777" w:rsidR="001D00F4" w:rsidRDefault="001D00F4" w:rsidP="007F5529">
            <w:pPr>
              <w:spacing w:after="0" w:line="240" w:lineRule="auto"/>
              <w:jc w:val="left"/>
              <w:rPr>
                <w:lang w:val="en-US"/>
              </w:rPr>
            </w:pPr>
            <w:r w:rsidRPr="00F83FB9">
              <w:rPr>
                <w:rFonts w:asciiTheme="minorHAnsi" w:hAnsiTheme="minorHAnsi"/>
                <w:sz w:val="20"/>
              </w:rPr>
              <w:t xml:space="preserve">Stream metabolism and instream primary productivity </w:t>
            </w:r>
          </w:p>
        </w:tc>
        <w:tc>
          <w:tcPr>
            <w:tcW w:w="560" w:type="dxa"/>
          </w:tcPr>
          <w:p w14:paraId="3B4F87D2" w14:textId="77777777" w:rsidR="001D00F4" w:rsidRDefault="001D00F4" w:rsidP="00E1285D">
            <w:pPr>
              <w:spacing w:after="0" w:line="240" w:lineRule="auto"/>
              <w:rPr>
                <w:lang w:val="en-US"/>
              </w:rPr>
            </w:pPr>
            <w:r>
              <w:rPr>
                <w:lang w:val="en-US"/>
              </w:rPr>
              <w:t>1</w:t>
            </w:r>
          </w:p>
        </w:tc>
        <w:tc>
          <w:tcPr>
            <w:tcW w:w="1056" w:type="dxa"/>
            <w:tcMar>
              <w:left w:w="85" w:type="dxa"/>
              <w:right w:w="85" w:type="dxa"/>
            </w:tcMar>
          </w:tcPr>
          <w:p w14:paraId="3B4F87D3" w14:textId="77777777" w:rsidR="001D00F4" w:rsidRDefault="001D00F4" w:rsidP="00E1285D">
            <w:pPr>
              <w:spacing w:after="0" w:line="240" w:lineRule="auto"/>
              <w:rPr>
                <w:lang w:val="en-US"/>
              </w:rPr>
            </w:pPr>
            <w:r>
              <w:rPr>
                <w:lang w:val="en-US"/>
              </w:rPr>
              <w:t>1,2,3,4</w:t>
            </w:r>
          </w:p>
        </w:tc>
        <w:tc>
          <w:tcPr>
            <w:tcW w:w="425" w:type="dxa"/>
          </w:tcPr>
          <w:p w14:paraId="3B4F87D4" w14:textId="77777777" w:rsidR="001D00F4" w:rsidRDefault="001D00F4" w:rsidP="00E1285D">
            <w:pPr>
              <w:spacing w:after="0" w:line="240" w:lineRule="auto"/>
              <w:rPr>
                <w:lang w:val="en-US"/>
              </w:rPr>
            </w:pPr>
          </w:p>
        </w:tc>
        <w:tc>
          <w:tcPr>
            <w:tcW w:w="3334" w:type="dxa"/>
            <w:gridSpan w:val="12"/>
            <w:shd w:val="clear" w:color="auto" w:fill="D9D9D9" w:themeFill="background1" w:themeFillShade="D9"/>
          </w:tcPr>
          <w:p w14:paraId="3B4F87D5" w14:textId="77777777" w:rsidR="001D00F4" w:rsidRPr="00B77D92" w:rsidRDefault="001D00F4" w:rsidP="00E1285D">
            <w:pPr>
              <w:spacing w:after="0" w:line="240" w:lineRule="auto"/>
              <w:rPr>
                <w:sz w:val="20"/>
                <w:lang w:val="en-US"/>
              </w:rPr>
            </w:pPr>
            <w:r w:rsidRPr="00B77D92">
              <w:rPr>
                <w:sz w:val="20"/>
                <w:lang w:val="en-US"/>
              </w:rPr>
              <w:t xml:space="preserve">Continuous </w:t>
            </w:r>
            <w:r>
              <w:rPr>
                <w:sz w:val="20"/>
                <w:lang w:val="en-US"/>
              </w:rPr>
              <w:t>data from loggers</w:t>
            </w:r>
          </w:p>
          <w:p w14:paraId="3B4F87D6" w14:textId="77777777" w:rsidR="001D00F4" w:rsidRDefault="001D00F4" w:rsidP="00E1285D">
            <w:pPr>
              <w:spacing w:after="0" w:line="240" w:lineRule="auto"/>
              <w:rPr>
                <w:lang w:val="en-US"/>
              </w:rPr>
            </w:pPr>
          </w:p>
        </w:tc>
        <w:tc>
          <w:tcPr>
            <w:tcW w:w="434" w:type="dxa"/>
            <w:gridSpan w:val="2"/>
          </w:tcPr>
          <w:p w14:paraId="3B4F87D7" w14:textId="77777777" w:rsidR="001D00F4" w:rsidRDefault="001D00F4" w:rsidP="00E1285D">
            <w:pPr>
              <w:spacing w:after="0" w:line="240" w:lineRule="auto"/>
              <w:rPr>
                <w:lang w:val="en-US"/>
              </w:rPr>
            </w:pPr>
          </w:p>
        </w:tc>
        <w:tc>
          <w:tcPr>
            <w:tcW w:w="343" w:type="dxa"/>
          </w:tcPr>
          <w:p w14:paraId="3B4F87D8" w14:textId="77777777" w:rsidR="001D00F4" w:rsidRDefault="001D00F4" w:rsidP="00E1285D">
            <w:pPr>
              <w:spacing w:after="0" w:line="240" w:lineRule="auto"/>
              <w:rPr>
                <w:lang w:val="en-US"/>
              </w:rPr>
            </w:pPr>
          </w:p>
        </w:tc>
        <w:tc>
          <w:tcPr>
            <w:tcW w:w="425" w:type="dxa"/>
            <w:gridSpan w:val="2"/>
          </w:tcPr>
          <w:p w14:paraId="3B4F87D9" w14:textId="77777777" w:rsidR="001D00F4" w:rsidRDefault="001D00F4" w:rsidP="00E1285D">
            <w:pPr>
              <w:spacing w:after="0" w:line="240" w:lineRule="auto"/>
              <w:rPr>
                <w:lang w:val="en-US"/>
              </w:rPr>
            </w:pPr>
          </w:p>
        </w:tc>
      </w:tr>
      <w:tr w:rsidR="001D00F4" w14:paraId="3B4F87E4" w14:textId="77777777" w:rsidTr="00C27584">
        <w:tc>
          <w:tcPr>
            <w:tcW w:w="2207" w:type="dxa"/>
          </w:tcPr>
          <w:p w14:paraId="3B4F87DB" w14:textId="77777777" w:rsidR="001D00F4" w:rsidRDefault="00813DE2" w:rsidP="001D00F4">
            <w:pPr>
              <w:spacing w:after="0" w:line="240" w:lineRule="auto"/>
              <w:jc w:val="left"/>
              <w:rPr>
                <w:lang w:val="en-US"/>
              </w:rPr>
            </w:pPr>
            <w:r>
              <w:rPr>
                <w:rFonts w:asciiTheme="minorHAnsi" w:hAnsiTheme="minorHAnsi"/>
                <w:sz w:val="20"/>
              </w:rPr>
              <w:t>Nutrients and carbon</w:t>
            </w:r>
          </w:p>
        </w:tc>
        <w:tc>
          <w:tcPr>
            <w:tcW w:w="560" w:type="dxa"/>
          </w:tcPr>
          <w:p w14:paraId="3B4F87DC" w14:textId="77777777" w:rsidR="001D00F4" w:rsidRDefault="001D00F4" w:rsidP="00E1285D">
            <w:pPr>
              <w:spacing w:after="0" w:line="240" w:lineRule="auto"/>
              <w:rPr>
                <w:lang w:val="en-US"/>
              </w:rPr>
            </w:pPr>
            <w:r>
              <w:rPr>
                <w:lang w:val="en-US"/>
              </w:rPr>
              <w:t>1</w:t>
            </w:r>
          </w:p>
        </w:tc>
        <w:tc>
          <w:tcPr>
            <w:tcW w:w="1056" w:type="dxa"/>
            <w:tcMar>
              <w:left w:w="85" w:type="dxa"/>
              <w:right w:w="85" w:type="dxa"/>
            </w:tcMar>
          </w:tcPr>
          <w:p w14:paraId="3B4F87DD" w14:textId="77777777" w:rsidR="001D00F4" w:rsidRDefault="00813DE2" w:rsidP="00E1285D">
            <w:pPr>
              <w:spacing w:after="0" w:line="240" w:lineRule="auto"/>
              <w:rPr>
                <w:lang w:val="en-US"/>
              </w:rPr>
            </w:pPr>
            <w:r>
              <w:rPr>
                <w:lang w:val="en-US"/>
              </w:rPr>
              <w:t>1,2,3,4</w:t>
            </w:r>
          </w:p>
        </w:tc>
        <w:tc>
          <w:tcPr>
            <w:tcW w:w="425" w:type="dxa"/>
          </w:tcPr>
          <w:p w14:paraId="3B4F87DE" w14:textId="77777777" w:rsidR="001D00F4" w:rsidRDefault="001D00F4" w:rsidP="00E1285D">
            <w:pPr>
              <w:spacing w:after="0" w:line="240" w:lineRule="auto"/>
              <w:rPr>
                <w:lang w:val="en-US"/>
              </w:rPr>
            </w:pPr>
          </w:p>
        </w:tc>
        <w:tc>
          <w:tcPr>
            <w:tcW w:w="3334" w:type="dxa"/>
            <w:gridSpan w:val="12"/>
            <w:shd w:val="clear" w:color="auto" w:fill="D9D9D9" w:themeFill="background1" w:themeFillShade="D9"/>
          </w:tcPr>
          <w:p w14:paraId="3B4F87DF" w14:textId="77777777" w:rsidR="001D00F4" w:rsidRPr="00B77D92" w:rsidRDefault="001D00F4" w:rsidP="00E1285D">
            <w:pPr>
              <w:spacing w:after="0" w:line="240" w:lineRule="auto"/>
              <w:rPr>
                <w:sz w:val="20"/>
                <w:lang w:val="en-US"/>
              </w:rPr>
            </w:pPr>
            <w:r>
              <w:rPr>
                <w:sz w:val="20"/>
                <w:lang w:val="en-US"/>
              </w:rPr>
              <w:t>Monthly sampling</w:t>
            </w:r>
          </w:p>
          <w:p w14:paraId="3B4F87E0" w14:textId="77777777" w:rsidR="001D00F4" w:rsidRDefault="001D00F4" w:rsidP="00E1285D">
            <w:pPr>
              <w:spacing w:after="0" w:line="240" w:lineRule="auto"/>
              <w:rPr>
                <w:lang w:val="en-US"/>
              </w:rPr>
            </w:pPr>
          </w:p>
        </w:tc>
        <w:tc>
          <w:tcPr>
            <w:tcW w:w="434" w:type="dxa"/>
            <w:gridSpan w:val="2"/>
          </w:tcPr>
          <w:p w14:paraId="3B4F87E1" w14:textId="77777777" w:rsidR="001D00F4" w:rsidRDefault="001D00F4" w:rsidP="00E1285D">
            <w:pPr>
              <w:spacing w:after="0" w:line="240" w:lineRule="auto"/>
              <w:rPr>
                <w:lang w:val="en-US"/>
              </w:rPr>
            </w:pPr>
          </w:p>
        </w:tc>
        <w:tc>
          <w:tcPr>
            <w:tcW w:w="343" w:type="dxa"/>
          </w:tcPr>
          <w:p w14:paraId="3B4F87E2" w14:textId="77777777" w:rsidR="001D00F4" w:rsidRDefault="001D00F4" w:rsidP="00E1285D">
            <w:pPr>
              <w:spacing w:after="0" w:line="240" w:lineRule="auto"/>
              <w:rPr>
                <w:lang w:val="en-US"/>
              </w:rPr>
            </w:pPr>
          </w:p>
        </w:tc>
        <w:tc>
          <w:tcPr>
            <w:tcW w:w="425" w:type="dxa"/>
            <w:gridSpan w:val="2"/>
          </w:tcPr>
          <w:p w14:paraId="3B4F87E3" w14:textId="77777777" w:rsidR="001D00F4" w:rsidRDefault="001D00F4" w:rsidP="00E1285D">
            <w:pPr>
              <w:spacing w:after="0" w:line="240" w:lineRule="auto"/>
              <w:rPr>
                <w:lang w:val="en-US"/>
              </w:rPr>
            </w:pPr>
          </w:p>
        </w:tc>
      </w:tr>
      <w:tr w:rsidR="001D00F4" w14:paraId="3B4F87EE" w14:textId="77777777" w:rsidTr="00C27584">
        <w:tc>
          <w:tcPr>
            <w:tcW w:w="2207" w:type="dxa"/>
          </w:tcPr>
          <w:p w14:paraId="3B4F87E5" w14:textId="77777777" w:rsidR="001D00F4" w:rsidRDefault="00813DE2" w:rsidP="006D1BD6">
            <w:pPr>
              <w:spacing w:after="0" w:line="240" w:lineRule="auto"/>
              <w:jc w:val="left"/>
              <w:rPr>
                <w:rFonts w:asciiTheme="minorHAnsi" w:hAnsiTheme="minorHAnsi"/>
                <w:sz w:val="20"/>
              </w:rPr>
            </w:pPr>
            <w:r>
              <w:rPr>
                <w:rFonts w:asciiTheme="minorHAnsi" w:hAnsiTheme="minorHAnsi"/>
                <w:sz w:val="20"/>
              </w:rPr>
              <w:t>C</w:t>
            </w:r>
            <w:r w:rsidR="001D00F4">
              <w:rPr>
                <w:rFonts w:asciiTheme="minorHAnsi" w:hAnsiTheme="minorHAnsi"/>
                <w:sz w:val="20"/>
              </w:rPr>
              <w:t xml:space="preserve">arbon </w:t>
            </w:r>
            <w:r w:rsidR="006D1BD6">
              <w:rPr>
                <w:rFonts w:asciiTheme="minorHAnsi" w:hAnsiTheme="minorHAnsi"/>
                <w:sz w:val="20"/>
              </w:rPr>
              <w:t>characterisation</w:t>
            </w:r>
          </w:p>
        </w:tc>
        <w:tc>
          <w:tcPr>
            <w:tcW w:w="560" w:type="dxa"/>
          </w:tcPr>
          <w:p w14:paraId="3B4F87E6" w14:textId="77777777" w:rsidR="001D00F4" w:rsidRDefault="001D00F4" w:rsidP="001D00F4">
            <w:pPr>
              <w:spacing w:after="0" w:line="240" w:lineRule="auto"/>
              <w:rPr>
                <w:lang w:val="en-US"/>
              </w:rPr>
            </w:pPr>
            <w:r>
              <w:rPr>
                <w:lang w:val="en-US"/>
              </w:rPr>
              <w:t>3</w:t>
            </w:r>
          </w:p>
        </w:tc>
        <w:tc>
          <w:tcPr>
            <w:tcW w:w="1056" w:type="dxa"/>
            <w:tcMar>
              <w:left w:w="85" w:type="dxa"/>
              <w:right w:w="85" w:type="dxa"/>
            </w:tcMar>
          </w:tcPr>
          <w:p w14:paraId="3B4F87E7" w14:textId="77777777" w:rsidR="001D00F4" w:rsidRDefault="001D00F4" w:rsidP="00E1285D">
            <w:pPr>
              <w:spacing w:after="0" w:line="240" w:lineRule="auto"/>
              <w:rPr>
                <w:lang w:val="en-US"/>
              </w:rPr>
            </w:pPr>
            <w:r>
              <w:rPr>
                <w:lang w:val="en-US"/>
              </w:rPr>
              <w:t>1,2,3,4</w:t>
            </w:r>
          </w:p>
        </w:tc>
        <w:tc>
          <w:tcPr>
            <w:tcW w:w="425" w:type="dxa"/>
          </w:tcPr>
          <w:p w14:paraId="3B4F87E8" w14:textId="77777777" w:rsidR="001D00F4" w:rsidRDefault="001D00F4" w:rsidP="00E1285D">
            <w:pPr>
              <w:spacing w:after="0" w:line="240" w:lineRule="auto"/>
              <w:rPr>
                <w:lang w:val="en-US"/>
              </w:rPr>
            </w:pPr>
          </w:p>
        </w:tc>
        <w:tc>
          <w:tcPr>
            <w:tcW w:w="3334" w:type="dxa"/>
            <w:gridSpan w:val="12"/>
            <w:shd w:val="clear" w:color="auto" w:fill="D9D9D9" w:themeFill="background1" w:themeFillShade="D9"/>
          </w:tcPr>
          <w:p w14:paraId="3B4F87E9" w14:textId="77777777" w:rsidR="001D00F4" w:rsidRPr="00B77D92" w:rsidRDefault="001D00F4" w:rsidP="001D00F4">
            <w:pPr>
              <w:spacing w:after="0" w:line="240" w:lineRule="auto"/>
              <w:rPr>
                <w:sz w:val="20"/>
                <w:lang w:val="en-US"/>
              </w:rPr>
            </w:pPr>
            <w:r>
              <w:rPr>
                <w:sz w:val="20"/>
                <w:lang w:val="en-US"/>
              </w:rPr>
              <w:t>Monthly sampling</w:t>
            </w:r>
          </w:p>
          <w:p w14:paraId="3B4F87EA" w14:textId="77777777" w:rsidR="001D00F4" w:rsidRDefault="001D00F4" w:rsidP="00E1285D">
            <w:pPr>
              <w:spacing w:after="0" w:line="240" w:lineRule="auto"/>
              <w:rPr>
                <w:sz w:val="20"/>
                <w:lang w:val="en-US"/>
              </w:rPr>
            </w:pPr>
          </w:p>
        </w:tc>
        <w:tc>
          <w:tcPr>
            <w:tcW w:w="434" w:type="dxa"/>
            <w:gridSpan w:val="2"/>
          </w:tcPr>
          <w:p w14:paraId="3B4F87EB" w14:textId="77777777" w:rsidR="001D00F4" w:rsidRDefault="001D00F4" w:rsidP="00E1285D">
            <w:pPr>
              <w:spacing w:after="0" w:line="240" w:lineRule="auto"/>
              <w:rPr>
                <w:lang w:val="en-US"/>
              </w:rPr>
            </w:pPr>
          </w:p>
        </w:tc>
        <w:tc>
          <w:tcPr>
            <w:tcW w:w="343" w:type="dxa"/>
          </w:tcPr>
          <w:p w14:paraId="3B4F87EC" w14:textId="77777777" w:rsidR="001D00F4" w:rsidRDefault="001D00F4" w:rsidP="00E1285D">
            <w:pPr>
              <w:spacing w:after="0" w:line="240" w:lineRule="auto"/>
              <w:rPr>
                <w:lang w:val="en-US"/>
              </w:rPr>
            </w:pPr>
          </w:p>
        </w:tc>
        <w:tc>
          <w:tcPr>
            <w:tcW w:w="425" w:type="dxa"/>
            <w:gridSpan w:val="2"/>
          </w:tcPr>
          <w:p w14:paraId="3B4F87ED" w14:textId="77777777" w:rsidR="001D00F4" w:rsidRDefault="001D00F4" w:rsidP="00E1285D">
            <w:pPr>
              <w:spacing w:after="0" w:line="240" w:lineRule="auto"/>
              <w:rPr>
                <w:lang w:val="en-US"/>
              </w:rPr>
            </w:pPr>
          </w:p>
        </w:tc>
      </w:tr>
      <w:tr w:rsidR="001D00F4" w14:paraId="3B4F87FB" w14:textId="77777777" w:rsidTr="00C27584">
        <w:tc>
          <w:tcPr>
            <w:tcW w:w="2207" w:type="dxa"/>
          </w:tcPr>
          <w:p w14:paraId="3B4F87EF" w14:textId="77777777" w:rsidR="001D00F4" w:rsidRPr="00F83FB9" w:rsidRDefault="001D00F4" w:rsidP="007F5529">
            <w:pPr>
              <w:spacing w:after="0" w:line="240" w:lineRule="auto"/>
              <w:jc w:val="left"/>
              <w:rPr>
                <w:rFonts w:asciiTheme="minorHAnsi" w:hAnsiTheme="minorHAnsi"/>
                <w:sz w:val="20"/>
              </w:rPr>
            </w:pPr>
            <w:r>
              <w:rPr>
                <w:rFonts w:asciiTheme="minorHAnsi" w:hAnsiTheme="minorHAnsi"/>
                <w:sz w:val="20"/>
              </w:rPr>
              <w:t>Additional water quality and carbon c</w:t>
            </w:r>
            <w:r w:rsidRPr="00F83FB9">
              <w:rPr>
                <w:rFonts w:asciiTheme="minorHAnsi" w:hAnsiTheme="minorHAnsi"/>
                <w:sz w:val="20"/>
              </w:rPr>
              <w:t xml:space="preserve">haracterisation during </w:t>
            </w:r>
            <w:r>
              <w:rPr>
                <w:rFonts w:asciiTheme="minorHAnsi" w:hAnsiTheme="minorHAnsi"/>
                <w:sz w:val="20"/>
              </w:rPr>
              <w:t>algal bloom</w:t>
            </w:r>
            <w:r w:rsidRPr="00F83FB9">
              <w:rPr>
                <w:rFonts w:asciiTheme="minorHAnsi" w:hAnsiTheme="minorHAnsi"/>
                <w:sz w:val="20"/>
              </w:rPr>
              <w:t xml:space="preserve"> </w:t>
            </w:r>
          </w:p>
        </w:tc>
        <w:tc>
          <w:tcPr>
            <w:tcW w:w="560" w:type="dxa"/>
          </w:tcPr>
          <w:p w14:paraId="3B4F87F0" w14:textId="77777777" w:rsidR="001D00F4" w:rsidRPr="004659CB" w:rsidRDefault="001D00F4" w:rsidP="004659CB">
            <w:pPr>
              <w:spacing w:after="0" w:line="240" w:lineRule="auto"/>
              <w:jc w:val="left"/>
              <w:rPr>
                <w:shd w:val="clear" w:color="auto" w:fill="FFFFFF" w:themeFill="background1"/>
                <w:lang w:val="en-US"/>
              </w:rPr>
            </w:pPr>
            <w:r>
              <w:rPr>
                <w:shd w:val="clear" w:color="auto" w:fill="FFFFFF" w:themeFill="background1"/>
                <w:lang w:val="en-US"/>
              </w:rPr>
              <w:t>3</w:t>
            </w:r>
          </w:p>
        </w:tc>
        <w:tc>
          <w:tcPr>
            <w:tcW w:w="1056" w:type="dxa"/>
            <w:tcMar>
              <w:left w:w="85" w:type="dxa"/>
              <w:right w:w="85" w:type="dxa"/>
            </w:tcMar>
          </w:tcPr>
          <w:p w14:paraId="3B4F87F1" w14:textId="77777777" w:rsidR="001D00F4" w:rsidRDefault="001D00F4" w:rsidP="004659CB">
            <w:pPr>
              <w:spacing w:after="0" w:line="240" w:lineRule="auto"/>
              <w:jc w:val="left"/>
              <w:rPr>
                <w:lang w:val="en-US"/>
              </w:rPr>
            </w:pPr>
            <w:r w:rsidRPr="004659CB">
              <w:rPr>
                <w:shd w:val="clear" w:color="auto" w:fill="FFFFFF" w:themeFill="background1"/>
                <w:lang w:val="en-US"/>
              </w:rPr>
              <w:t>1,2,3,4,</w:t>
            </w:r>
            <w:r>
              <w:rPr>
                <w:shd w:val="clear" w:color="auto" w:fill="FFFFFF" w:themeFill="background1"/>
                <w:lang w:val="en-US"/>
              </w:rPr>
              <w:t xml:space="preserve"> </w:t>
            </w:r>
            <w:r>
              <w:rPr>
                <w:lang w:val="en-US"/>
              </w:rPr>
              <w:t>5,8,10</w:t>
            </w:r>
          </w:p>
        </w:tc>
        <w:tc>
          <w:tcPr>
            <w:tcW w:w="425" w:type="dxa"/>
          </w:tcPr>
          <w:p w14:paraId="3B4F87F2" w14:textId="77777777" w:rsidR="001D00F4" w:rsidRDefault="001D00F4" w:rsidP="00E1285D">
            <w:pPr>
              <w:spacing w:after="0" w:line="240" w:lineRule="auto"/>
              <w:rPr>
                <w:lang w:val="en-US"/>
              </w:rPr>
            </w:pPr>
          </w:p>
        </w:tc>
        <w:tc>
          <w:tcPr>
            <w:tcW w:w="425" w:type="dxa"/>
          </w:tcPr>
          <w:p w14:paraId="3B4F87F3" w14:textId="77777777" w:rsidR="001D00F4" w:rsidRDefault="001D00F4" w:rsidP="00E1285D">
            <w:pPr>
              <w:spacing w:after="0" w:line="240" w:lineRule="auto"/>
              <w:rPr>
                <w:lang w:val="en-US"/>
              </w:rPr>
            </w:pPr>
          </w:p>
        </w:tc>
        <w:tc>
          <w:tcPr>
            <w:tcW w:w="425" w:type="dxa"/>
          </w:tcPr>
          <w:p w14:paraId="3B4F87F4" w14:textId="77777777" w:rsidR="001D00F4" w:rsidRDefault="001D00F4" w:rsidP="00E1285D">
            <w:pPr>
              <w:spacing w:after="0" w:line="240" w:lineRule="auto"/>
              <w:rPr>
                <w:lang w:val="en-US"/>
              </w:rPr>
            </w:pPr>
          </w:p>
        </w:tc>
        <w:tc>
          <w:tcPr>
            <w:tcW w:w="426" w:type="dxa"/>
            <w:gridSpan w:val="3"/>
          </w:tcPr>
          <w:p w14:paraId="3B4F87F5" w14:textId="77777777" w:rsidR="001D00F4" w:rsidRDefault="001D00F4" w:rsidP="00E1285D">
            <w:pPr>
              <w:spacing w:after="0" w:line="240" w:lineRule="auto"/>
              <w:rPr>
                <w:lang w:val="en-US"/>
              </w:rPr>
            </w:pPr>
          </w:p>
        </w:tc>
        <w:tc>
          <w:tcPr>
            <w:tcW w:w="471" w:type="dxa"/>
            <w:shd w:val="clear" w:color="auto" w:fill="FFFFFF" w:themeFill="background1"/>
          </w:tcPr>
          <w:p w14:paraId="3B4F87F6" w14:textId="77777777" w:rsidR="001D00F4" w:rsidRDefault="001D00F4" w:rsidP="00E1285D">
            <w:pPr>
              <w:spacing w:after="0" w:line="240" w:lineRule="auto"/>
              <w:rPr>
                <w:lang w:val="en-US"/>
              </w:rPr>
            </w:pPr>
          </w:p>
        </w:tc>
        <w:tc>
          <w:tcPr>
            <w:tcW w:w="413" w:type="dxa"/>
            <w:shd w:val="clear" w:color="auto" w:fill="FFFFFF" w:themeFill="background1"/>
          </w:tcPr>
          <w:p w14:paraId="3B4F87F7" w14:textId="77777777" w:rsidR="001D00F4" w:rsidRDefault="001D00F4" w:rsidP="00E1285D">
            <w:pPr>
              <w:spacing w:after="0" w:line="240" w:lineRule="auto"/>
              <w:rPr>
                <w:lang w:val="en-US"/>
              </w:rPr>
            </w:pPr>
          </w:p>
        </w:tc>
        <w:tc>
          <w:tcPr>
            <w:tcW w:w="391" w:type="dxa"/>
            <w:shd w:val="clear" w:color="auto" w:fill="FFFFFF" w:themeFill="background1"/>
          </w:tcPr>
          <w:p w14:paraId="3B4F87F8" w14:textId="77777777" w:rsidR="001D00F4" w:rsidRDefault="001D00F4" w:rsidP="00E1285D">
            <w:pPr>
              <w:spacing w:after="0" w:line="240" w:lineRule="auto"/>
              <w:rPr>
                <w:lang w:val="en-US"/>
              </w:rPr>
            </w:pPr>
          </w:p>
        </w:tc>
        <w:tc>
          <w:tcPr>
            <w:tcW w:w="1560" w:type="dxa"/>
            <w:gridSpan w:val="7"/>
            <w:shd w:val="clear" w:color="auto" w:fill="D9D9D9" w:themeFill="background1" w:themeFillShade="D9"/>
          </w:tcPr>
          <w:p w14:paraId="3B4F87F9" w14:textId="77777777" w:rsidR="001D00F4" w:rsidRPr="00B77D92" w:rsidRDefault="001D00F4" w:rsidP="004659CB">
            <w:pPr>
              <w:spacing w:after="0" w:line="240" w:lineRule="auto"/>
              <w:rPr>
                <w:sz w:val="20"/>
                <w:lang w:val="en-US"/>
              </w:rPr>
            </w:pPr>
            <w:r w:rsidRPr="00B77D92">
              <w:rPr>
                <w:sz w:val="20"/>
                <w:lang w:val="en-US"/>
              </w:rPr>
              <w:t>Fortnightly sampl</w:t>
            </w:r>
            <w:r>
              <w:rPr>
                <w:sz w:val="20"/>
                <w:lang w:val="en-US"/>
              </w:rPr>
              <w:t>ing</w:t>
            </w:r>
          </w:p>
        </w:tc>
        <w:tc>
          <w:tcPr>
            <w:tcW w:w="425" w:type="dxa"/>
            <w:gridSpan w:val="2"/>
          </w:tcPr>
          <w:p w14:paraId="3B4F87FA" w14:textId="77777777" w:rsidR="001D00F4" w:rsidRDefault="001D00F4" w:rsidP="00E1285D">
            <w:pPr>
              <w:spacing w:after="0" w:line="240" w:lineRule="auto"/>
              <w:rPr>
                <w:lang w:val="en-US"/>
              </w:rPr>
            </w:pPr>
          </w:p>
        </w:tc>
      </w:tr>
      <w:tr w:rsidR="001D00F4" w14:paraId="3B4F8802" w14:textId="77777777" w:rsidTr="00C27584">
        <w:tc>
          <w:tcPr>
            <w:tcW w:w="2207" w:type="dxa"/>
          </w:tcPr>
          <w:p w14:paraId="3B4F87FC" w14:textId="77777777" w:rsidR="001D00F4" w:rsidRDefault="001D00F4" w:rsidP="007F5529">
            <w:pPr>
              <w:spacing w:after="0" w:line="240" w:lineRule="auto"/>
              <w:jc w:val="left"/>
              <w:rPr>
                <w:lang w:val="en-US"/>
              </w:rPr>
            </w:pPr>
            <w:r w:rsidRPr="00F83FB9">
              <w:rPr>
                <w:rFonts w:asciiTheme="minorHAnsi" w:hAnsiTheme="minorHAnsi"/>
                <w:sz w:val="20"/>
              </w:rPr>
              <w:t xml:space="preserve">Riverbank and aquatic vegetation </w:t>
            </w:r>
          </w:p>
        </w:tc>
        <w:tc>
          <w:tcPr>
            <w:tcW w:w="560" w:type="dxa"/>
          </w:tcPr>
          <w:p w14:paraId="3B4F87FD" w14:textId="77777777" w:rsidR="001D00F4" w:rsidRDefault="001D00F4" w:rsidP="00E1285D">
            <w:pPr>
              <w:spacing w:after="0" w:line="240" w:lineRule="auto"/>
              <w:rPr>
                <w:lang w:val="en-US"/>
              </w:rPr>
            </w:pPr>
            <w:r>
              <w:rPr>
                <w:lang w:val="en-US"/>
              </w:rPr>
              <w:t>3</w:t>
            </w:r>
          </w:p>
        </w:tc>
        <w:tc>
          <w:tcPr>
            <w:tcW w:w="1056" w:type="dxa"/>
            <w:tcMar>
              <w:left w:w="85" w:type="dxa"/>
              <w:right w:w="85" w:type="dxa"/>
            </w:tcMar>
          </w:tcPr>
          <w:p w14:paraId="3B4F87FE" w14:textId="77777777" w:rsidR="001D00F4" w:rsidRDefault="001D00F4" w:rsidP="00E1285D">
            <w:pPr>
              <w:spacing w:after="0" w:line="240" w:lineRule="auto"/>
              <w:rPr>
                <w:lang w:val="en-US"/>
              </w:rPr>
            </w:pPr>
            <w:r>
              <w:rPr>
                <w:lang w:val="en-US"/>
              </w:rPr>
              <w:t>1,2,3,4</w:t>
            </w:r>
          </w:p>
        </w:tc>
        <w:tc>
          <w:tcPr>
            <w:tcW w:w="425" w:type="dxa"/>
          </w:tcPr>
          <w:p w14:paraId="3B4F87FF" w14:textId="77777777" w:rsidR="001D00F4" w:rsidRDefault="001D00F4" w:rsidP="00E1285D">
            <w:pPr>
              <w:spacing w:after="0" w:line="240" w:lineRule="auto"/>
              <w:rPr>
                <w:lang w:val="en-US"/>
              </w:rPr>
            </w:pPr>
          </w:p>
        </w:tc>
        <w:tc>
          <w:tcPr>
            <w:tcW w:w="4536" w:type="dxa"/>
            <w:gridSpan w:val="17"/>
            <w:shd w:val="clear" w:color="auto" w:fill="D9D9D9" w:themeFill="background1" w:themeFillShade="D9"/>
          </w:tcPr>
          <w:p w14:paraId="3B4F8800" w14:textId="77777777" w:rsidR="001D00F4" w:rsidRPr="00B77D92" w:rsidRDefault="001D00F4" w:rsidP="00E1285D">
            <w:pPr>
              <w:spacing w:after="0" w:line="240" w:lineRule="auto"/>
              <w:rPr>
                <w:sz w:val="20"/>
                <w:lang w:val="en-US"/>
              </w:rPr>
            </w:pPr>
            <w:r w:rsidRPr="00B77D92">
              <w:rPr>
                <w:sz w:val="20"/>
                <w:lang w:val="en-US"/>
              </w:rPr>
              <w:t>Monthly monitoring</w:t>
            </w:r>
          </w:p>
          <w:p w14:paraId="3B4F8801" w14:textId="77777777" w:rsidR="001D00F4" w:rsidRDefault="001D00F4" w:rsidP="00E1285D">
            <w:pPr>
              <w:spacing w:after="0" w:line="240" w:lineRule="auto"/>
              <w:rPr>
                <w:lang w:val="en-US"/>
              </w:rPr>
            </w:pPr>
          </w:p>
        </w:tc>
      </w:tr>
      <w:tr w:rsidR="00D35833" w14:paraId="3B4F8811" w14:textId="77777777" w:rsidTr="00C27584">
        <w:tc>
          <w:tcPr>
            <w:tcW w:w="2207" w:type="dxa"/>
          </w:tcPr>
          <w:p w14:paraId="3B4F8803" w14:textId="77777777" w:rsidR="00D35833" w:rsidRPr="00F83FB9" w:rsidRDefault="00D35833" w:rsidP="007F5529">
            <w:pPr>
              <w:pStyle w:val="Default"/>
              <w:rPr>
                <w:rFonts w:asciiTheme="minorHAnsi" w:hAnsiTheme="minorHAnsi"/>
                <w:sz w:val="20"/>
                <w:szCs w:val="20"/>
              </w:rPr>
            </w:pPr>
            <w:r w:rsidRPr="00F83FB9">
              <w:rPr>
                <w:rFonts w:asciiTheme="minorHAnsi" w:hAnsiTheme="minorHAnsi"/>
                <w:sz w:val="20"/>
                <w:szCs w:val="20"/>
              </w:rPr>
              <w:t xml:space="preserve">Fish reproduction </w:t>
            </w:r>
          </w:p>
          <w:p w14:paraId="3B4F8804" w14:textId="77777777" w:rsidR="00D35833" w:rsidRDefault="00D35833" w:rsidP="007F5529">
            <w:pPr>
              <w:spacing w:after="0" w:line="240" w:lineRule="auto"/>
              <w:jc w:val="left"/>
              <w:rPr>
                <w:lang w:val="en-US"/>
              </w:rPr>
            </w:pPr>
            <w:r w:rsidRPr="00F83FB9">
              <w:rPr>
                <w:rFonts w:asciiTheme="minorHAnsi" w:hAnsiTheme="minorHAnsi"/>
                <w:sz w:val="20"/>
              </w:rPr>
              <w:t xml:space="preserve">(larvae) </w:t>
            </w:r>
          </w:p>
        </w:tc>
        <w:tc>
          <w:tcPr>
            <w:tcW w:w="560" w:type="dxa"/>
          </w:tcPr>
          <w:p w14:paraId="3B4F8805" w14:textId="77777777" w:rsidR="00D35833" w:rsidRDefault="00D35833" w:rsidP="00E1285D">
            <w:pPr>
              <w:spacing w:after="0" w:line="240" w:lineRule="auto"/>
              <w:rPr>
                <w:lang w:val="en-US"/>
              </w:rPr>
            </w:pPr>
            <w:r>
              <w:rPr>
                <w:lang w:val="en-US"/>
              </w:rPr>
              <w:t>1</w:t>
            </w:r>
          </w:p>
        </w:tc>
        <w:tc>
          <w:tcPr>
            <w:tcW w:w="1056" w:type="dxa"/>
            <w:tcMar>
              <w:left w:w="85" w:type="dxa"/>
              <w:right w:w="85" w:type="dxa"/>
            </w:tcMar>
          </w:tcPr>
          <w:p w14:paraId="3B4F8806" w14:textId="77777777" w:rsidR="00D35833" w:rsidRDefault="00D35833" w:rsidP="00E1285D">
            <w:pPr>
              <w:spacing w:after="0" w:line="240" w:lineRule="auto"/>
              <w:rPr>
                <w:lang w:val="en-US"/>
              </w:rPr>
            </w:pPr>
            <w:r>
              <w:rPr>
                <w:lang w:val="en-US"/>
              </w:rPr>
              <w:t>3</w:t>
            </w:r>
          </w:p>
        </w:tc>
        <w:tc>
          <w:tcPr>
            <w:tcW w:w="425" w:type="dxa"/>
          </w:tcPr>
          <w:p w14:paraId="3B4F8807" w14:textId="77777777" w:rsidR="00D35833" w:rsidRDefault="00D35833" w:rsidP="00E1285D">
            <w:pPr>
              <w:spacing w:after="0" w:line="240" w:lineRule="auto"/>
              <w:rPr>
                <w:lang w:val="en-US"/>
              </w:rPr>
            </w:pPr>
          </w:p>
        </w:tc>
        <w:tc>
          <w:tcPr>
            <w:tcW w:w="425" w:type="dxa"/>
          </w:tcPr>
          <w:p w14:paraId="3B4F8808" w14:textId="77777777" w:rsidR="00D35833" w:rsidRDefault="00D35833" w:rsidP="00E1285D">
            <w:pPr>
              <w:spacing w:after="0" w:line="240" w:lineRule="auto"/>
              <w:rPr>
                <w:lang w:val="en-US"/>
              </w:rPr>
            </w:pPr>
          </w:p>
        </w:tc>
        <w:tc>
          <w:tcPr>
            <w:tcW w:w="466" w:type="dxa"/>
            <w:gridSpan w:val="2"/>
            <w:shd w:val="clear" w:color="auto" w:fill="FFFFFF" w:themeFill="background1"/>
          </w:tcPr>
          <w:p w14:paraId="3B4F8809" w14:textId="77777777" w:rsidR="00D35833" w:rsidRDefault="00D35833" w:rsidP="00D35833">
            <w:pPr>
              <w:spacing w:after="0" w:line="240" w:lineRule="auto"/>
              <w:rPr>
                <w:lang w:val="en-US"/>
              </w:rPr>
            </w:pPr>
          </w:p>
        </w:tc>
        <w:tc>
          <w:tcPr>
            <w:tcW w:w="360" w:type="dxa"/>
            <w:shd w:val="clear" w:color="auto" w:fill="FFFFFF" w:themeFill="background1"/>
          </w:tcPr>
          <w:p w14:paraId="3B4F880A" w14:textId="77777777" w:rsidR="00D35833" w:rsidRDefault="00D35833" w:rsidP="00D35833">
            <w:pPr>
              <w:spacing w:after="0" w:line="240" w:lineRule="auto"/>
              <w:rPr>
                <w:lang w:val="en-US"/>
              </w:rPr>
            </w:pPr>
          </w:p>
        </w:tc>
        <w:tc>
          <w:tcPr>
            <w:tcW w:w="1327" w:type="dxa"/>
            <w:gridSpan w:val="5"/>
            <w:shd w:val="clear" w:color="auto" w:fill="D9D9D9" w:themeFill="background1" w:themeFillShade="D9"/>
          </w:tcPr>
          <w:p w14:paraId="3B4F880B" w14:textId="77777777" w:rsidR="00D35833" w:rsidRPr="00D35833" w:rsidRDefault="00D35833" w:rsidP="00D35833">
            <w:pPr>
              <w:spacing w:after="0" w:line="240" w:lineRule="auto"/>
              <w:rPr>
                <w:sz w:val="20"/>
                <w:lang w:val="en-US"/>
              </w:rPr>
            </w:pPr>
            <w:r w:rsidRPr="00D35833">
              <w:rPr>
                <w:sz w:val="20"/>
                <w:lang w:val="en-US"/>
              </w:rPr>
              <w:t>Fortnightly sampling</w:t>
            </w:r>
          </w:p>
        </w:tc>
        <w:tc>
          <w:tcPr>
            <w:tcW w:w="378" w:type="dxa"/>
            <w:shd w:val="clear" w:color="auto" w:fill="FFFFFF" w:themeFill="background1"/>
          </w:tcPr>
          <w:p w14:paraId="3B4F880C" w14:textId="77777777" w:rsidR="00D35833" w:rsidRDefault="00D35833" w:rsidP="00D35833">
            <w:pPr>
              <w:spacing w:after="0" w:line="240" w:lineRule="auto"/>
              <w:rPr>
                <w:lang w:val="en-US"/>
              </w:rPr>
            </w:pPr>
          </w:p>
        </w:tc>
        <w:tc>
          <w:tcPr>
            <w:tcW w:w="378" w:type="dxa"/>
            <w:gridSpan w:val="2"/>
          </w:tcPr>
          <w:p w14:paraId="3B4F880D" w14:textId="77777777" w:rsidR="00D35833" w:rsidRDefault="00D35833" w:rsidP="00E1285D">
            <w:pPr>
              <w:spacing w:after="0" w:line="240" w:lineRule="auto"/>
              <w:rPr>
                <w:lang w:val="en-US"/>
              </w:rPr>
            </w:pPr>
          </w:p>
        </w:tc>
        <w:tc>
          <w:tcPr>
            <w:tcW w:w="420" w:type="dxa"/>
          </w:tcPr>
          <w:p w14:paraId="3B4F880E" w14:textId="77777777" w:rsidR="00D35833" w:rsidRDefault="00D35833" w:rsidP="00E1285D">
            <w:pPr>
              <w:spacing w:after="0" w:line="240" w:lineRule="auto"/>
              <w:rPr>
                <w:lang w:val="en-US"/>
              </w:rPr>
            </w:pPr>
          </w:p>
        </w:tc>
        <w:tc>
          <w:tcPr>
            <w:tcW w:w="364" w:type="dxa"/>
            <w:gridSpan w:val="3"/>
          </w:tcPr>
          <w:p w14:paraId="3B4F880F" w14:textId="77777777" w:rsidR="00D35833" w:rsidRDefault="00D35833" w:rsidP="00E1285D">
            <w:pPr>
              <w:spacing w:after="0" w:line="240" w:lineRule="auto"/>
              <w:rPr>
                <w:lang w:val="en-US"/>
              </w:rPr>
            </w:pPr>
          </w:p>
        </w:tc>
        <w:tc>
          <w:tcPr>
            <w:tcW w:w="418" w:type="dxa"/>
          </w:tcPr>
          <w:p w14:paraId="3B4F8810" w14:textId="77777777" w:rsidR="00D35833" w:rsidRDefault="00D35833" w:rsidP="00E1285D">
            <w:pPr>
              <w:spacing w:after="0" w:line="240" w:lineRule="auto"/>
              <w:rPr>
                <w:lang w:val="en-US"/>
              </w:rPr>
            </w:pPr>
          </w:p>
        </w:tc>
      </w:tr>
      <w:tr w:rsidR="001D00F4" w14:paraId="3B4F881D" w14:textId="77777777" w:rsidTr="00C27584">
        <w:tc>
          <w:tcPr>
            <w:tcW w:w="2207" w:type="dxa"/>
          </w:tcPr>
          <w:p w14:paraId="3B4F8812" w14:textId="77777777" w:rsidR="001D00F4" w:rsidRPr="00F83FB9" w:rsidRDefault="001D00F4" w:rsidP="001D00F4">
            <w:pPr>
              <w:pStyle w:val="Default"/>
              <w:rPr>
                <w:rFonts w:asciiTheme="minorHAnsi" w:hAnsiTheme="minorHAnsi"/>
                <w:sz w:val="20"/>
                <w:szCs w:val="20"/>
              </w:rPr>
            </w:pPr>
            <w:r w:rsidRPr="00F83FB9">
              <w:rPr>
                <w:rFonts w:asciiTheme="minorHAnsi" w:hAnsiTheme="minorHAnsi"/>
                <w:sz w:val="20"/>
                <w:szCs w:val="20"/>
              </w:rPr>
              <w:t xml:space="preserve">Fish reproduction </w:t>
            </w:r>
          </w:p>
          <w:p w14:paraId="3B4F8813" w14:textId="77777777" w:rsidR="001D00F4" w:rsidRPr="00F83FB9" w:rsidRDefault="001D00F4" w:rsidP="001D00F4">
            <w:pPr>
              <w:pStyle w:val="Default"/>
              <w:rPr>
                <w:rFonts w:asciiTheme="minorHAnsi" w:hAnsiTheme="minorHAnsi"/>
                <w:sz w:val="20"/>
                <w:szCs w:val="20"/>
              </w:rPr>
            </w:pPr>
            <w:r w:rsidRPr="00F83FB9">
              <w:rPr>
                <w:rFonts w:asciiTheme="minorHAnsi" w:hAnsiTheme="minorHAnsi"/>
                <w:sz w:val="20"/>
              </w:rPr>
              <w:t xml:space="preserve">(larvae) </w:t>
            </w:r>
          </w:p>
        </w:tc>
        <w:tc>
          <w:tcPr>
            <w:tcW w:w="560" w:type="dxa"/>
          </w:tcPr>
          <w:p w14:paraId="3B4F8814" w14:textId="77777777" w:rsidR="001D00F4" w:rsidRDefault="001D00F4" w:rsidP="001D00F4">
            <w:pPr>
              <w:spacing w:after="0" w:line="240" w:lineRule="auto"/>
              <w:rPr>
                <w:lang w:val="en-US"/>
              </w:rPr>
            </w:pPr>
            <w:r>
              <w:rPr>
                <w:lang w:val="en-US"/>
              </w:rPr>
              <w:t>3</w:t>
            </w:r>
          </w:p>
        </w:tc>
        <w:tc>
          <w:tcPr>
            <w:tcW w:w="1056" w:type="dxa"/>
            <w:tcMar>
              <w:left w:w="85" w:type="dxa"/>
              <w:right w:w="85" w:type="dxa"/>
            </w:tcMar>
          </w:tcPr>
          <w:p w14:paraId="3B4F8815" w14:textId="77777777" w:rsidR="001D00F4" w:rsidRDefault="001D00F4" w:rsidP="001D00F4">
            <w:pPr>
              <w:spacing w:after="0" w:line="240" w:lineRule="auto"/>
              <w:rPr>
                <w:lang w:val="en-US"/>
              </w:rPr>
            </w:pPr>
            <w:r>
              <w:rPr>
                <w:lang w:val="en-US"/>
              </w:rPr>
              <w:t>1,2,3,4</w:t>
            </w:r>
          </w:p>
        </w:tc>
        <w:tc>
          <w:tcPr>
            <w:tcW w:w="425" w:type="dxa"/>
          </w:tcPr>
          <w:p w14:paraId="3B4F8816" w14:textId="77777777" w:rsidR="001D00F4" w:rsidRDefault="001D00F4" w:rsidP="001D00F4">
            <w:pPr>
              <w:spacing w:after="0" w:line="240" w:lineRule="auto"/>
              <w:rPr>
                <w:lang w:val="en-US"/>
              </w:rPr>
            </w:pPr>
          </w:p>
        </w:tc>
        <w:tc>
          <w:tcPr>
            <w:tcW w:w="425" w:type="dxa"/>
          </w:tcPr>
          <w:p w14:paraId="3B4F8817" w14:textId="77777777" w:rsidR="001D00F4" w:rsidRDefault="001D00F4" w:rsidP="001D00F4">
            <w:pPr>
              <w:spacing w:after="0" w:line="240" w:lineRule="auto"/>
              <w:rPr>
                <w:lang w:val="en-US"/>
              </w:rPr>
            </w:pPr>
          </w:p>
        </w:tc>
        <w:tc>
          <w:tcPr>
            <w:tcW w:w="2909" w:type="dxa"/>
            <w:gridSpan w:val="11"/>
            <w:shd w:val="clear" w:color="auto" w:fill="D9D9D9" w:themeFill="background1" w:themeFillShade="D9"/>
          </w:tcPr>
          <w:p w14:paraId="3B4F8818" w14:textId="77777777" w:rsidR="001D00F4" w:rsidRPr="00B77D92" w:rsidRDefault="001D00F4" w:rsidP="001D00F4">
            <w:pPr>
              <w:spacing w:after="0" w:line="240" w:lineRule="auto"/>
              <w:rPr>
                <w:sz w:val="20"/>
                <w:lang w:val="en-US"/>
              </w:rPr>
            </w:pPr>
            <w:r w:rsidRPr="00B77D92">
              <w:rPr>
                <w:sz w:val="20"/>
                <w:lang w:val="en-US"/>
              </w:rPr>
              <w:t xml:space="preserve">Fortnightly </w:t>
            </w:r>
            <w:r>
              <w:rPr>
                <w:sz w:val="20"/>
                <w:lang w:val="en-US"/>
              </w:rPr>
              <w:t>sampling</w:t>
            </w:r>
          </w:p>
          <w:p w14:paraId="3B4F8819" w14:textId="77777777" w:rsidR="001D00F4" w:rsidRPr="00B77D92" w:rsidRDefault="001D00F4" w:rsidP="001D00F4">
            <w:pPr>
              <w:spacing w:after="0" w:line="240" w:lineRule="auto"/>
              <w:rPr>
                <w:sz w:val="20"/>
                <w:lang w:val="en-US"/>
              </w:rPr>
            </w:pPr>
          </w:p>
        </w:tc>
        <w:tc>
          <w:tcPr>
            <w:tcW w:w="434" w:type="dxa"/>
            <w:gridSpan w:val="2"/>
          </w:tcPr>
          <w:p w14:paraId="3B4F881A" w14:textId="77777777" w:rsidR="001D00F4" w:rsidRDefault="001D00F4" w:rsidP="001D00F4">
            <w:pPr>
              <w:spacing w:after="0" w:line="240" w:lineRule="auto"/>
              <w:rPr>
                <w:lang w:val="en-US"/>
              </w:rPr>
            </w:pPr>
          </w:p>
        </w:tc>
        <w:tc>
          <w:tcPr>
            <w:tcW w:w="343" w:type="dxa"/>
          </w:tcPr>
          <w:p w14:paraId="3B4F881B" w14:textId="77777777" w:rsidR="001D00F4" w:rsidRDefault="001D00F4" w:rsidP="001D00F4">
            <w:pPr>
              <w:spacing w:after="0" w:line="240" w:lineRule="auto"/>
              <w:rPr>
                <w:lang w:val="en-US"/>
              </w:rPr>
            </w:pPr>
          </w:p>
        </w:tc>
        <w:tc>
          <w:tcPr>
            <w:tcW w:w="425" w:type="dxa"/>
            <w:gridSpan w:val="2"/>
          </w:tcPr>
          <w:p w14:paraId="3B4F881C" w14:textId="77777777" w:rsidR="001D00F4" w:rsidRDefault="001D00F4" w:rsidP="001D00F4">
            <w:pPr>
              <w:spacing w:after="0" w:line="240" w:lineRule="auto"/>
              <w:rPr>
                <w:lang w:val="en-US"/>
              </w:rPr>
            </w:pPr>
          </w:p>
        </w:tc>
      </w:tr>
      <w:tr w:rsidR="001D00F4" w14:paraId="3B4F882C" w14:textId="77777777" w:rsidTr="00C27584">
        <w:tc>
          <w:tcPr>
            <w:tcW w:w="2207" w:type="dxa"/>
          </w:tcPr>
          <w:p w14:paraId="3B4F881E" w14:textId="77777777" w:rsidR="00D35833" w:rsidRPr="0075648F" w:rsidRDefault="001D00F4" w:rsidP="001D00F4">
            <w:pPr>
              <w:spacing w:after="0" w:line="240" w:lineRule="auto"/>
              <w:jc w:val="left"/>
              <w:rPr>
                <w:rFonts w:asciiTheme="minorHAnsi" w:hAnsiTheme="minorHAnsi"/>
                <w:sz w:val="20"/>
              </w:rPr>
            </w:pPr>
            <w:r w:rsidRPr="00F83FB9">
              <w:rPr>
                <w:rFonts w:asciiTheme="minorHAnsi" w:hAnsiTheme="minorHAnsi"/>
                <w:sz w:val="20"/>
              </w:rPr>
              <w:t>Fish recruitment</w:t>
            </w:r>
          </w:p>
        </w:tc>
        <w:tc>
          <w:tcPr>
            <w:tcW w:w="560" w:type="dxa"/>
          </w:tcPr>
          <w:p w14:paraId="3B4F881F" w14:textId="77777777" w:rsidR="001D00F4" w:rsidRDefault="001D00F4" w:rsidP="001D00F4">
            <w:pPr>
              <w:spacing w:after="0" w:line="240" w:lineRule="auto"/>
              <w:rPr>
                <w:lang w:val="en-US"/>
              </w:rPr>
            </w:pPr>
            <w:r>
              <w:rPr>
                <w:lang w:val="en-US"/>
              </w:rPr>
              <w:t>3</w:t>
            </w:r>
          </w:p>
        </w:tc>
        <w:tc>
          <w:tcPr>
            <w:tcW w:w="1056" w:type="dxa"/>
            <w:tcMar>
              <w:left w:w="85" w:type="dxa"/>
              <w:right w:w="85" w:type="dxa"/>
            </w:tcMar>
          </w:tcPr>
          <w:p w14:paraId="3B4F8820" w14:textId="77777777" w:rsidR="001D00F4" w:rsidRDefault="001D00F4" w:rsidP="001D00F4">
            <w:pPr>
              <w:spacing w:after="0" w:line="240" w:lineRule="auto"/>
              <w:rPr>
                <w:lang w:val="en-US"/>
              </w:rPr>
            </w:pPr>
            <w:r>
              <w:rPr>
                <w:lang w:val="en-US"/>
              </w:rPr>
              <w:t>1,2,3,4</w:t>
            </w:r>
          </w:p>
        </w:tc>
        <w:tc>
          <w:tcPr>
            <w:tcW w:w="425" w:type="dxa"/>
          </w:tcPr>
          <w:p w14:paraId="3B4F8821" w14:textId="77777777" w:rsidR="001D00F4" w:rsidRDefault="001D00F4" w:rsidP="001D00F4">
            <w:pPr>
              <w:spacing w:after="0" w:line="240" w:lineRule="auto"/>
              <w:rPr>
                <w:lang w:val="en-US"/>
              </w:rPr>
            </w:pPr>
          </w:p>
        </w:tc>
        <w:tc>
          <w:tcPr>
            <w:tcW w:w="425" w:type="dxa"/>
          </w:tcPr>
          <w:p w14:paraId="3B4F8822" w14:textId="77777777" w:rsidR="001D00F4" w:rsidRDefault="001D00F4" w:rsidP="001D00F4">
            <w:pPr>
              <w:spacing w:after="0" w:line="240" w:lineRule="auto"/>
              <w:rPr>
                <w:lang w:val="en-US"/>
              </w:rPr>
            </w:pPr>
          </w:p>
        </w:tc>
        <w:tc>
          <w:tcPr>
            <w:tcW w:w="425" w:type="dxa"/>
          </w:tcPr>
          <w:p w14:paraId="3B4F8823" w14:textId="77777777" w:rsidR="001D00F4" w:rsidRDefault="001D00F4" w:rsidP="001D00F4">
            <w:pPr>
              <w:spacing w:after="0" w:line="240" w:lineRule="auto"/>
              <w:rPr>
                <w:lang w:val="en-US"/>
              </w:rPr>
            </w:pPr>
          </w:p>
        </w:tc>
        <w:tc>
          <w:tcPr>
            <w:tcW w:w="426" w:type="dxa"/>
            <w:gridSpan w:val="3"/>
          </w:tcPr>
          <w:p w14:paraId="3B4F8824" w14:textId="77777777" w:rsidR="001D00F4" w:rsidRDefault="001D00F4" w:rsidP="001D00F4">
            <w:pPr>
              <w:spacing w:after="0" w:line="240" w:lineRule="auto"/>
              <w:rPr>
                <w:lang w:val="en-US"/>
              </w:rPr>
            </w:pPr>
          </w:p>
        </w:tc>
        <w:tc>
          <w:tcPr>
            <w:tcW w:w="471" w:type="dxa"/>
          </w:tcPr>
          <w:p w14:paraId="3B4F8825" w14:textId="77777777" w:rsidR="001D00F4" w:rsidRDefault="001D00F4" w:rsidP="001D00F4">
            <w:pPr>
              <w:spacing w:after="0" w:line="240" w:lineRule="auto"/>
              <w:rPr>
                <w:lang w:val="en-US"/>
              </w:rPr>
            </w:pPr>
          </w:p>
        </w:tc>
        <w:tc>
          <w:tcPr>
            <w:tcW w:w="413" w:type="dxa"/>
          </w:tcPr>
          <w:p w14:paraId="3B4F8826" w14:textId="77777777" w:rsidR="001D00F4" w:rsidRDefault="001D00F4" w:rsidP="001D00F4">
            <w:pPr>
              <w:spacing w:after="0" w:line="240" w:lineRule="auto"/>
              <w:rPr>
                <w:lang w:val="en-US"/>
              </w:rPr>
            </w:pPr>
          </w:p>
        </w:tc>
        <w:tc>
          <w:tcPr>
            <w:tcW w:w="391" w:type="dxa"/>
          </w:tcPr>
          <w:p w14:paraId="3B4F8827" w14:textId="77777777" w:rsidR="001D00F4" w:rsidRDefault="001D00F4" w:rsidP="001D00F4">
            <w:pPr>
              <w:spacing w:after="0" w:line="240" w:lineRule="auto"/>
              <w:rPr>
                <w:lang w:val="en-US"/>
              </w:rPr>
            </w:pPr>
          </w:p>
        </w:tc>
        <w:tc>
          <w:tcPr>
            <w:tcW w:w="783" w:type="dxa"/>
            <w:gridSpan w:val="4"/>
            <w:shd w:val="clear" w:color="auto" w:fill="D9D9D9" w:themeFill="background1" w:themeFillShade="D9"/>
            <w:tcMar>
              <w:left w:w="57" w:type="dxa"/>
              <w:right w:w="57" w:type="dxa"/>
            </w:tcMar>
          </w:tcPr>
          <w:p w14:paraId="3B4F8828" w14:textId="77777777" w:rsidR="001D00F4" w:rsidRPr="00B77D92" w:rsidRDefault="001D00F4" w:rsidP="001D00F4">
            <w:pPr>
              <w:spacing w:after="0" w:line="240" w:lineRule="auto"/>
              <w:rPr>
                <w:sz w:val="18"/>
                <w:szCs w:val="18"/>
                <w:lang w:val="en-US"/>
              </w:rPr>
            </w:pPr>
          </w:p>
        </w:tc>
        <w:tc>
          <w:tcPr>
            <w:tcW w:w="434" w:type="dxa"/>
            <w:gridSpan w:val="2"/>
          </w:tcPr>
          <w:p w14:paraId="3B4F8829" w14:textId="77777777" w:rsidR="001D00F4" w:rsidRDefault="001D00F4" w:rsidP="001D00F4">
            <w:pPr>
              <w:spacing w:after="0" w:line="240" w:lineRule="auto"/>
              <w:rPr>
                <w:lang w:val="en-US"/>
              </w:rPr>
            </w:pPr>
          </w:p>
        </w:tc>
        <w:tc>
          <w:tcPr>
            <w:tcW w:w="343" w:type="dxa"/>
          </w:tcPr>
          <w:p w14:paraId="3B4F882A" w14:textId="77777777" w:rsidR="001D00F4" w:rsidRDefault="001D00F4" w:rsidP="001D00F4">
            <w:pPr>
              <w:spacing w:after="0" w:line="240" w:lineRule="auto"/>
              <w:rPr>
                <w:lang w:val="en-US"/>
              </w:rPr>
            </w:pPr>
          </w:p>
        </w:tc>
        <w:tc>
          <w:tcPr>
            <w:tcW w:w="425" w:type="dxa"/>
            <w:gridSpan w:val="2"/>
          </w:tcPr>
          <w:p w14:paraId="3B4F882B" w14:textId="77777777" w:rsidR="001D00F4" w:rsidRDefault="001D00F4" w:rsidP="001D00F4">
            <w:pPr>
              <w:spacing w:after="0" w:line="240" w:lineRule="auto"/>
              <w:rPr>
                <w:lang w:val="en-US"/>
              </w:rPr>
            </w:pPr>
          </w:p>
        </w:tc>
      </w:tr>
      <w:tr w:rsidR="001D00F4" w14:paraId="3B4F883C" w14:textId="77777777" w:rsidTr="00C27584">
        <w:tc>
          <w:tcPr>
            <w:tcW w:w="2207" w:type="dxa"/>
          </w:tcPr>
          <w:p w14:paraId="3B4F882D" w14:textId="77777777" w:rsidR="005443BF" w:rsidRPr="00C27584" w:rsidRDefault="001D00F4" w:rsidP="00D35833">
            <w:pPr>
              <w:spacing w:after="0" w:line="240" w:lineRule="auto"/>
              <w:jc w:val="left"/>
              <w:rPr>
                <w:rFonts w:asciiTheme="minorHAnsi" w:hAnsiTheme="minorHAnsi"/>
                <w:sz w:val="20"/>
              </w:rPr>
            </w:pPr>
            <w:r w:rsidRPr="00F83FB9">
              <w:rPr>
                <w:rFonts w:asciiTheme="minorHAnsi" w:hAnsiTheme="minorHAnsi"/>
                <w:sz w:val="20"/>
              </w:rPr>
              <w:t xml:space="preserve">Fish </w:t>
            </w:r>
            <w:r w:rsidR="00D35833">
              <w:rPr>
                <w:rFonts w:asciiTheme="minorHAnsi" w:hAnsiTheme="minorHAnsi"/>
                <w:sz w:val="20"/>
              </w:rPr>
              <w:t>(river)</w:t>
            </w:r>
            <w:r w:rsidRPr="00F83FB9">
              <w:rPr>
                <w:rFonts w:asciiTheme="minorHAnsi" w:hAnsiTheme="minorHAnsi"/>
                <w:sz w:val="20"/>
              </w:rPr>
              <w:t xml:space="preserve"> </w:t>
            </w:r>
          </w:p>
        </w:tc>
        <w:tc>
          <w:tcPr>
            <w:tcW w:w="560" w:type="dxa"/>
          </w:tcPr>
          <w:p w14:paraId="3B4F882E" w14:textId="77777777" w:rsidR="001D00F4" w:rsidRDefault="001D00F4" w:rsidP="001D00F4">
            <w:pPr>
              <w:spacing w:after="0" w:line="240" w:lineRule="auto"/>
              <w:jc w:val="left"/>
              <w:rPr>
                <w:lang w:val="en-US"/>
              </w:rPr>
            </w:pPr>
            <w:r>
              <w:rPr>
                <w:lang w:val="en-US"/>
              </w:rPr>
              <w:t>1</w:t>
            </w:r>
          </w:p>
        </w:tc>
        <w:tc>
          <w:tcPr>
            <w:tcW w:w="1056" w:type="dxa"/>
            <w:tcMar>
              <w:left w:w="85" w:type="dxa"/>
              <w:right w:w="85" w:type="dxa"/>
            </w:tcMar>
          </w:tcPr>
          <w:p w14:paraId="3B4F882F" w14:textId="77777777" w:rsidR="001D00F4" w:rsidRPr="001D00F4" w:rsidRDefault="001D00F4" w:rsidP="001D00F4">
            <w:pPr>
              <w:spacing w:after="0" w:line="240" w:lineRule="auto"/>
              <w:jc w:val="left"/>
              <w:rPr>
                <w:lang w:val="en-US"/>
              </w:rPr>
            </w:pPr>
            <w:r>
              <w:rPr>
                <w:lang w:val="en-US"/>
              </w:rPr>
              <w:t xml:space="preserve">3 </w:t>
            </w:r>
          </w:p>
        </w:tc>
        <w:tc>
          <w:tcPr>
            <w:tcW w:w="425" w:type="dxa"/>
          </w:tcPr>
          <w:p w14:paraId="3B4F8830" w14:textId="77777777" w:rsidR="001D00F4" w:rsidRDefault="001D00F4" w:rsidP="001D00F4">
            <w:pPr>
              <w:spacing w:after="0" w:line="240" w:lineRule="auto"/>
              <w:rPr>
                <w:lang w:val="en-US"/>
              </w:rPr>
            </w:pPr>
          </w:p>
        </w:tc>
        <w:tc>
          <w:tcPr>
            <w:tcW w:w="425" w:type="dxa"/>
          </w:tcPr>
          <w:p w14:paraId="3B4F8831" w14:textId="77777777" w:rsidR="001D00F4" w:rsidRDefault="001D00F4" w:rsidP="001D00F4">
            <w:pPr>
              <w:spacing w:after="0" w:line="240" w:lineRule="auto"/>
              <w:rPr>
                <w:lang w:val="en-US"/>
              </w:rPr>
            </w:pPr>
          </w:p>
        </w:tc>
        <w:tc>
          <w:tcPr>
            <w:tcW w:w="425" w:type="dxa"/>
          </w:tcPr>
          <w:p w14:paraId="3B4F8832" w14:textId="77777777" w:rsidR="001D00F4" w:rsidRDefault="001D00F4" w:rsidP="001D00F4">
            <w:pPr>
              <w:spacing w:after="0" w:line="240" w:lineRule="auto"/>
              <w:rPr>
                <w:lang w:val="en-US"/>
              </w:rPr>
            </w:pPr>
          </w:p>
        </w:tc>
        <w:tc>
          <w:tcPr>
            <w:tcW w:w="426" w:type="dxa"/>
            <w:gridSpan w:val="3"/>
          </w:tcPr>
          <w:p w14:paraId="3B4F8833" w14:textId="77777777" w:rsidR="001D00F4" w:rsidRDefault="001D00F4" w:rsidP="001D00F4">
            <w:pPr>
              <w:spacing w:after="0" w:line="240" w:lineRule="auto"/>
              <w:rPr>
                <w:lang w:val="en-US"/>
              </w:rPr>
            </w:pPr>
          </w:p>
        </w:tc>
        <w:tc>
          <w:tcPr>
            <w:tcW w:w="471" w:type="dxa"/>
          </w:tcPr>
          <w:p w14:paraId="3B4F8834" w14:textId="77777777" w:rsidR="001D00F4" w:rsidRDefault="001D00F4" w:rsidP="001D00F4">
            <w:pPr>
              <w:spacing w:after="0" w:line="240" w:lineRule="auto"/>
              <w:rPr>
                <w:lang w:val="en-US"/>
              </w:rPr>
            </w:pPr>
          </w:p>
        </w:tc>
        <w:tc>
          <w:tcPr>
            <w:tcW w:w="413" w:type="dxa"/>
          </w:tcPr>
          <w:p w14:paraId="3B4F8835" w14:textId="77777777" w:rsidR="001D00F4" w:rsidRDefault="001D00F4" w:rsidP="001D00F4">
            <w:pPr>
              <w:spacing w:after="0" w:line="240" w:lineRule="auto"/>
              <w:rPr>
                <w:lang w:val="en-US"/>
              </w:rPr>
            </w:pPr>
          </w:p>
        </w:tc>
        <w:tc>
          <w:tcPr>
            <w:tcW w:w="391" w:type="dxa"/>
          </w:tcPr>
          <w:p w14:paraId="3B4F8836" w14:textId="77777777" w:rsidR="001D00F4" w:rsidRDefault="001D00F4" w:rsidP="001D00F4">
            <w:pPr>
              <w:spacing w:after="0" w:line="240" w:lineRule="auto"/>
              <w:rPr>
                <w:lang w:val="en-US"/>
              </w:rPr>
            </w:pPr>
          </w:p>
        </w:tc>
        <w:tc>
          <w:tcPr>
            <w:tcW w:w="426" w:type="dxa"/>
            <w:gridSpan w:val="3"/>
          </w:tcPr>
          <w:p w14:paraId="3B4F8837" w14:textId="77777777" w:rsidR="001D00F4" w:rsidRDefault="001D00F4" w:rsidP="001D00F4">
            <w:pPr>
              <w:spacing w:after="0" w:line="240" w:lineRule="auto"/>
              <w:rPr>
                <w:lang w:val="en-US"/>
              </w:rPr>
            </w:pPr>
          </w:p>
        </w:tc>
        <w:tc>
          <w:tcPr>
            <w:tcW w:w="357" w:type="dxa"/>
          </w:tcPr>
          <w:p w14:paraId="3B4F8838" w14:textId="77777777" w:rsidR="001D00F4" w:rsidRDefault="001D00F4" w:rsidP="001D00F4">
            <w:pPr>
              <w:spacing w:after="0" w:line="240" w:lineRule="auto"/>
              <w:rPr>
                <w:lang w:val="en-US"/>
              </w:rPr>
            </w:pPr>
          </w:p>
        </w:tc>
        <w:tc>
          <w:tcPr>
            <w:tcW w:w="434" w:type="dxa"/>
            <w:gridSpan w:val="2"/>
          </w:tcPr>
          <w:p w14:paraId="3B4F8839" w14:textId="77777777" w:rsidR="001D00F4" w:rsidRDefault="001D00F4" w:rsidP="001D00F4">
            <w:pPr>
              <w:spacing w:after="0" w:line="240" w:lineRule="auto"/>
              <w:rPr>
                <w:lang w:val="en-US"/>
              </w:rPr>
            </w:pPr>
          </w:p>
        </w:tc>
        <w:tc>
          <w:tcPr>
            <w:tcW w:w="343" w:type="dxa"/>
            <w:shd w:val="clear" w:color="auto" w:fill="D9D9D9" w:themeFill="background1" w:themeFillShade="D9"/>
            <w:tcMar>
              <w:left w:w="28" w:type="dxa"/>
              <w:right w:w="28" w:type="dxa"/>
            </w:tcMar>
          </w:tcPr>
          <w:p w14:paraId="3B4F883A" w14:textId="77777777" w:rsidR="001D00F4" w:rsidRPr="00B77D92" w:rsidRDefault="001D00F4" w:rsidP="001D00F4">
            <w:pPr>
              <w:spacing w:after="0" w:line="240" w:lineRule="auto"/>
              <w:rPr>
                <w:sz w:val="18"/>
                <w:szCs w:val="18"/>
                <w:lang w:val="en-US"/>
              </w:rPr>
            </w:pPr>
          </w:p>
        </w:tc>
        <w:tc>
          <w:tcPr>
            <w:tcW w:w="425" w:type="dxa"/>
            <w:gridSpan w:val="2"/>
          </w:tcPr>
          <w:p w14:paraId="3B4F883B" w14:textId="77777777" w:rsidR="001D00F4" w:rsidRDefault="001D00F4" w:rsidP="001D00F4">
            <w:pPr>
              <w:spacing w:after="0" w:line="240" w:lineRule="auto"/>
              <w:rPr>
                <w:lang w:val="en-US"/>
              </w:rPr>
            </w:pPr>
          </w:p>
        </w:tc>
      </w:tr>
      <w:tr w:rsidR="00D35833" w14:paraId="3B4F8841" w14:textId="77777777" w:rsidTr="00C27584">
        <w:tc>
          <w:tcPr>
            <w:tcW w:w="2207" w:type="dxa"/>
          </w:tcPr>
          <w:p w14:paraId="3B4F883D" w14:textId="77777777" w:rsidR="005443BF" w:rsidRPr="00F83FB9" w:rsidRDefault="00D35833" w:rsidP="00D35833">
            <w:pPr>
              <w:spacing w:after="0" w:line="240" w:lineRule="auto"/>
              <w:jc w:val="left"/>
              <w:rPr>
                <w:rFonts w:asciiTheme="minorHAnsi" w:hAnsiTheme="minorHAnsi"/>
                <w:sz w:val="20"/>
              </w:rPr>
            </w:pPr>
            <w:r w:rsidRPr="00F83FB9">
              <w:rPr>
                <w:rFonts w:asciiTheme="minorHAnsi" w:hAnsiTheme="minorHAnsi"/>
                <w:sz w:val="20"/>
              </w:rPr>
              <w:t xml:space="preserve">Fish </w:t>
            </w:r>
            <w:r>
              <w:rPr>
                <w:rFonts w:asciiTheme="minorHAnsi" w:hAnsiTheme="minorHAnsi"/>
                <w:sz w:val="20"/>
              </w:rPr>
              <w:t>community</w:t>
            </w:r>
            <w:r w:rsidRPr="00F83FB9">
              <w:rPr>
                <w:rFonts w:asciiTheme="minorHAnsi" w:hAnsiTheme="minorHAnsi"/>
                <w:sz w:val="20"/>
              </w:rPr>
              <w:t xml:space="preserve"> survey</w:t>
            </w:r>
          </w:p>
        </w:tc>
        <w:tc>
          <w:tcPr>
            <w:tcW w:w="560" w:type="dxa"/>
          </w:tcPr>
          <w:p w14:paraId="3B4F883E" w14:textId="77777777" w:rsidR="00D35833" w:rsidRDefault="00D35833" w:rsidP="001D00F4">
            <w:pPr>
              <w:spacing w:after="0" w:line="240" w:lineRule="auto"/>
              <w:jc w:val="left"/>
              <w:rPr>
                <w:lang w:val="en-US"/>
              </w:rPr>
            </w:pPr>
            <w:r>
              <w:rPr>
                <w:lang w:val="en-US"/>
              </w:rPr>
              <w:t>3</w:t>
            </w:r>
          </w:p>
        </w:tc>
        <w:tc>
          <w:tcPr>
            <w:tcW w:w="1056" w:type="dxa"/>
            <w:tcMar>
              <w:left w:w="85" w:type="dxa"/>
              <w:right w:w="85" w:type="dxa"/>
            </w:tcMar>
          </w:tcPr>
          <w:p w14:paraId="3B4F883F" w14:textId="77777777" w:rsidR="00D35833" w:rsidRPr="006D1BD6" w:rsidRDefault="00D35833" w:rsidP="006D1BD6">
            <w:pPr>
              <w:spacing w:after="0" w:line="240" w:lineRule="auto"/>
              <w:jc w:val="left"/>
              <w:rPr>
                <w:sz w:val="20"/>
                <w:lang w:val="en-US"/>
              </w:rPr>
            </w:pPr>
            <w:r w:rsidRPr="006D1BD6">
              <w:rPr>
                <w:sz w:val="20"/>
                <w:lang w:val="en-US"/>
              </w:rPr>
              <w:t>20 sites</w:t>
            </w:r>
            <w:r w:rsidR="006D1BD6" w:rsidRPr="006D1BD6">
              <w:rPr>
                <w:sz w:val="20"/>
                <w:lang w:val="en-US"/>
              </w:rPr>
              <w:t xml:space="preserve"> </w:t>
            </w:r>
          </w:p>
        </w:tc>
        <w:tc>
          <w:tcPr>
            <w:tcW w:w="4961" w:type="dxa"/>
            <w:gridSpan w:val="18"/>
          </w:tcPr>
          <w:p w14:paraId="3B4F8840" w14:textId="77777777" w:rsidR="00D35833" w:rsidRPr="00D35833" w:rsidRDefault="00D35833" w:rsidP="006D1BD6">
            <w:pPr>
              <w:spacing w:after="0" w:line="240" w:lineRule="auto"/>
              <w:rPr>
                <w:sz w:val="20"/>
                <w:lang w:val="en-US"/>
              </w:rPr>
            </w:pPr>
            <w:r>
              <w:rPr>
                <w:sz w:val="20"/>
                <w:lang w:val="en-US"/>
              </w:rPr>
              <w:t>Undertaken</w:t>
            </w:r>
            <w:r w:rsidR="00813DE2">
              <w:rPr>
                <w:sz w:val="20"/>
                <w:lang w:val="en-US"/>
              </w:rPr>
              <w:t xml:space="preserve"> in 2014-15 and 2018-19</w:t>
            </w:r>
            <w:r w:rsidRPr="00D35833">
              <w:rPr>
                <w:sz w:val="20"/>
                <w:lang w:val="en-US"/>
              </w:rPr>
              <w:t xml:space="preserve"> </w:t>
            </w:r>
            <w:r w:rsidR="006D1BD6">
              <w:rPr>
                <w:sz w:val="20"/>
                <w:lang w:val="en-US"/>
              </w:rPr>
              <w:t>only</w:t>
            </w:r>
          </w:p>
        </w:tc>
      </w:tr>
      <w:tr w:rsidR="001D00F4" w14:paraId="3B4F8847" w14:textId="77777777" w:rsidTr="00C27584">
        <w:tc>
          <w:tcPr>
            <w:tcW w:w="2207" w:type="dxa"/>
          </w:tcPr>
          <w:p w14:paraId="3B4F8842" w14:textId="77777777" w:rsidR="00D35833" w:rsidRPr="006D1BD6" w:rsidRDefault="001D00F4" w:rsidP="001D00F4">
            <w:pPr>
              <w:spacing w:after="0" w:line="240" w:lineRule="auto"/>
              <w:jc w:val="left"/>
              <w:rPr>
                <w:rFonts w:asciiTheme="minorHAnsi" w:hAnsiTheme="minorHAnsi"/>
                <w:sz w:val="20"/>
              </w:rPr>
            </w:pPr>
            <w:r w:rsidRPr="00F83FB9">
              <w:rPr>
                <w:rFonts w:asciiTheme="minorHAnsi" w:hAnsiTheme="minorHAnsi"/>
                <w:sz w:val="20"/>
              </w:rPr>
              <w:t xml:space="preserve">Fish movement </w:t>
            </w:r>
          </w:p>
        </w:tc>
        <w:tc>
          <w:tcPr>
            <w:tcW w:w="560" w:type="dxa"/>
          </w:tcPr>
          <w:p w14:paraId="3B4F8843" w14:textId="77777777" w:rsidR="001D00F4" w:rsidRPr="007F5529" w:rsidRDefault="001D00F4" w:rsidP="001D00F4">
            <w:pPr>
              <w:spacing w:after="0" w:line="240" w:lineRule="auto"/>
              <w:rPr>
                <w:highlight w:val="yellow"/>
                <w:lang w:val="en-US"/>
              </w:rPr>
            </w:pPr>
            <w:r w:rsidRPr="001D00F4">
              <w:rPr>
                <w:lang w:val="en-US"/>
              </w:rPr>
              <w:t>2</w:t>
            </w:r>
          </w:p>
        </w:tc>
        <w:tc>
          <w:tcPr>
            <w:tcW w:w="1056" w:type="dxa"/>
            <w:tcMar>
              <w:left w:w="28" w:type="dxa"/>
              <w:right w:w="28" w:type="dxa"/>
            </w:tcMar>
          </w:tcPr>
          <w:p w14:paraId="3B4F8844" w14:textId="77777777" w:rsidR="001D00F4" w:rsidRDefault="007C2727" w:rsidP="005443BF">
            <w:pPr>
              <w:spacing w:after="0" w:line="240" w:lineRule="auto"/>
              <w:jc w:val="left"/>
              <w:rPr>
                <w:lang w:val="en-US"/>
              </w:rPr>
            </w:pPr>
            <w:r w:rsidRPr="00312313">
              <w:rPr>
                <w:shd w:val="clear" w:color="auto" w:fill="FFFFFF" w:themeFill="background1"/>
                <w:lang w:val="en-US"/>
              </w:rPr>
              <w:t>1,2,3,4</w:t>
            </w:r>
            <w:r>
              <w:rPr>
                <w:lang w:val="en-US"/>
              </w:rPr>
              <w:t xml:space="preserve"> </w:t>
            </w:r>
            <w:r w:rsidR="005443BF" w:rsidRPr="005443BF">
              <w:rPr>
                <w:rFonts w:asciiTheme="minorHAnsi" w:hAnsiTheme="minorHAnsi"/>
                <w:sz w:val="16"/>
                <w:szCs w:val="16"/>
              </w:rPr>
              <w:t xml:space="preserve">(plus </w:t>
            </w:r>
            <w:r w:rsidR="005443BF">
              <w:rPr>
                <w:rFonts w:asciiTheme="minorHAnsi" w:hAnsiTheme="minorHAnsi"/>
                <w:sz w:val="16"/>
                <w:szCs w:val="16"/>
              </w:rPr>
              <w:t>additional sites</w:t>
            </w:r>
            <w:r w:rsidR="005443BF" w:rsidRPr="005443BF">
              <w:rPr>
                <w:rFonts w:asciiTheme="minorHAnsi" w:hAnsiTheme="minorHAnsi"/>
                <w:sz w:val="16"/>
                <w:szCs w:val="16"/>
              </w:rPr>
              <w:t xml:space="preserve"> funded</w:t>
            </w:r>
            <w:r w:rsidR="005443BF">
              <w:rPr>
                <w:rFonts w:asciiTheme="minorHAnsi" w:hAnsiTheme="minorHAnsi"/>
                <w:sz w:val="18"/>
                <w:szCs w:val="18"/>
              </w:rPr>
              <w:t xml:space="preserve"> by </w:t>
            </w:r>
            <w:r w:rsidR="005443BF" w:rsidRPr="005443BF">
              <w:rPr>
                <w:rFonts w:asciiTheme="minorHAnsi" w:hAnsiTheme="minorHAnsi"/>
                <w:sz w:val="16"/>
                <w:szCs w:val="16"/>
              </w:rPr>
              <w:t>Murray LLS)</w:t>
            </w:r>
          </w:p>
        </w:tc>
        <w:tc>
          <w:tcPr>
            <w:tcW w:w="425" w:type="dxa"/>
          </w:tcPr>
          <w:p w14:paraId="3B4F8845" w14:textId="77777777" w:rsidR="001D00F4" w:rsidRDefault="001D00F4" w:rsidP="001D00F4">
            <w:pPr>
              <w:spacing w:after="0" w:line="240" w:lineRule="auto"/>
              <w:rPr>
                <w:lang w:val="en-US"/>
              </w:rPr>
            </w:pPr>
          </w:p>
        </w:tc>
        <w:tc>
          <w:tcPr>
            <w:tcW w:w="4536" w:type="dxa"/>
            <w:gridSpan w:val="17"/>
            <w:shd w:val="clear" w:color="auto" w:fill="D9D9D9" w:themeFill="background1" w:themeFillShade="D9"/>
          </w:tcPr>
          <w:p w14:paraId="3B4F8846" w14:textId="77777777" w:rsidR="001D00F4" w:rsidRPr="007F30A0" w:rsidRDefault="001D00F4" w:rsidP="001D00F4">
            <w:pPr>
              <w:spacing w:after="0" w:line="240" w:lineRule="auto"/>
              <w:rPr>
                <w:sz w:val="20"/>
                <w:lang w:val="en-US"/>
              </w:rPr>
            </w:pPr>
            <w:r w:rsidRPr="00B77D92">
              <w:rPr>
                <w:sz w:val="20"/>
                <w:lang w:val="en-US"/>
              </w:rPr>
              <w:t xml:space="preserve">Continuous </w:t>
            </w:r>
            <w:r>
              <w:rPr>
                <w:sz w:val="20"/>
                <w:lang w:val="en-US"/>
              </w:rPr>
              <w:t>data from acoustic receivers</w:t>
            </w:r>
          </w:p>
        </w:tc>
      </w:tr>
    </w:tbl>
    <w:p w14:paraId="3B4F8848" w14:textId="77777777" w:rsidR="00C624F0" w:rsidRPr="00C624F0" w:rsidRDefault="00C624F0" w:rsidP="004B25EB">
      <w:pPr>
        <w:tabs>
          <w:tab w:val="left" w:pos="9071"/>
        </w:tabs>
        <w:spacing w:after="240" w:line="320" w:lineRule="exact"/>
        <w:ind w:right="-1"/>
        <w:jc w:val="left"/>
        <w:rPr>
          <w:b/>
          <w:color w:val="000000" w:themeColor="text1"/>
          <w:szCs w:val="22"/>
        </w:rPr>
      </w:pPr>
    </w:p>
    <w:p w14:paraId="3B4F8849" w14:textId="77777777" w:rsidR="004B25EB" w:rsidRPr="007F30A0" w:rsidRDefault="00446E95" w:rsidP="004B25EB">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3.4</w:t>
      </w:r>
      <w:r w:rsidR="004B25EB">
        <w:rPr>
          <w:b/>
          <w:color w:val="4F6228" w:themeColor="accent3" w:themeShade="80"/>
          <w:sz w:val="24"/>
          <w:szCs w:val="24"/>
        </w:rPr>
        <w:t xml:space="preserve"> </w:t>
      </w:r>
      <w:r w:rsidR="004B25EB" w:rsidRPr="007F30A0">
        <w:rPr>
          <w:b/>
          <w:color w:val="4F6228" w:themeColor="accent3" w:themeShade="80"/>
          <w:sz w:val="24"/>
          <w:szCs w:val="24"/>
        </w:rPr>
        <w:t>Evaluation</w:t>
      </w:r>
      <w:r w:rsidR="00740CC3">
        <w:rPr>
          <w:b/>
          <w:color w:val="4F6228" w:themeColor="accent3" w:themeShade="80"/>
          <w:sz w:val="24"/>
          <w:szCs w:val="24"/>
        </w:rPr>
        <w:t xml:space="preserve"> of outcomes</w:t>
      </w:r>
    </w:p>
    <w:p w14:paraId="3B4F884A" w14:textId="77777777" w:rsidR="004B25EB" w:rsidRDefault="004B25EB" w:rsidP="004B25EB">
      <w:pPr>
        <w:spacing w:after="120" w:line="240" w:lineRule="auto"/>
      </w:pPr>
      <w:r>
        <w:t>Evaluations of the outcomes of Commonwealth environmental watering undertaken in 2015-16 were undertaken for the following indicators:</w:t>
      </w:r>
    </w:p>
    <w:p w14:paraId="3B4F884B" w14:textId="77777777" w:rsidR="00C27584" w:rsidRDefault="00C27584" w:rsidP="00764D83">
      <w:pPr>
        <w:pStyle w:val="ListParagraph"/>
        <w:numPr>
          <w:ilvl w:val="0"/>
          <w:numId w:val="21"/>
        </w:numPr>
        <w:spacing w:after="120" w:line="240" w:lineRule="auto"/>
        <w:ind w:left="714" w:hanging="357"/>
      </w:pPr>
      <w:r>
        <w:lastRenderedPageBreak/>
        <w:t>Hydrolo</w:t>
      </w:r>
      <w:r w:rsidRPr="00FA0995">
        <w:t>gy (</w:t>
      </w:r>
      <w:r w:rsidR="00FA0995" w:rsidRPr="00FA0995">
        <w:t>Section 4</w:t>
      </w:r>
      <w:r w:rsidRPr="00FA0995">
        <w:t>)</w:t>
      </w:r>
    </w:p>
    <w:p w14:paraId="3B4F884C" w14:textId="77777777" w:rsidR="004B25EB" w:rsidRDefault="004B25EB" w:rsidP="00764D83">
      <w:pPr>
        <w:pStyle w:val="ListParagraph"/>
        <w:numPr>
          <w:ilvl w:val="0"/>
          <w:numId w:val="21"/>
        </w:numPr>
        <w:spacing w:after="120" w:line="240" w:lineRule="auto"/>
        <w:ind w:left="714" w:hanging="357"/>
      </w:pPr>
      <w:r>
        <w:t>Wate</w:t>
      </w:r>
      <w:r w:rsidR="00FA0995">
        <w:t>r quality and carbon (Section 5</w:t>
      </w:r>
      <w:r w:rsidR="005443BF">
        <w:t xml:space="preserve">, </w:t>
      </w:r>
      <w:r w:rsidR="005E4168">
        <w:t>Appendix A</w:t>
      </w:r>
      <w:r>
        <w:t>)</w:t>
      </w:r>
    </w:p>
    <w:p w14:paraId="3B4F884D" w14:textId="77777777" w:rsidR="004B25EB" w:rsidRDefault="00FA0995" w:rsidP="00764D83">
      <w:pPr>
        <w:pStyle w:val="ListParagraph"/>
        <w:numPr>
          <w:ilvl w:val="0"/>
          <w:numId w:val="21"/>
        </w:numPr>
        <w:spacing w:after="120" w:line="240" w:lineRule="auto"/>
        <w:ind w:left="714" w:hanging="357"/>
      </w:pPr>
      <w:r>
        <w:t>Stream metabolism (Section 6</w:t>
      </w:r>
      <w:r w:rsidR="005443BF">
        <w:t xml:space="preserve">, </w:t>
      </w:r>
      <w:r w:rsidR="00C853CD">
        <w:t>A</w:t>
      </w:r>
      <w:r w:rsidR="005E4168">
        <w:t>ppendix B</w:t>
      </w:r>
      <w:r w:rsidR="004B25EB">
        <w:t>)</w:t>
      </w:r>
    </w:p>
    <w:p w14:paraId="3B4F884E" w14:textId="77777777" w:rsidR="004B25EB" w:rsidRDefault="004B25EB" w:rsidP="003960AD">
      <w:pPr>
        <w:pStyle w:val="ListParagraph"/>
        <w:numPr>
          <w:ilvl w:val="0"/>
          <w:numId w:val="21"/>
        </w:numPr>
        <w:spacing w:after="120" w:line="240" w:lineRule="auto"/>
        <w:ind w:left="714" w:hanging="357"/>
      </w:pPr>
      <w:r>
        <w:t>Aquatic and river</w:t>
      </w:r>
      <w:r w:rsidR="00FA0995">
        <w:t>bank vegetation (Section 7</w:t>
      </w:r>
      <w:r w:rsidR="005443BF">
        <w:t xml:space="preserve">, </w:t>
      </w:r>
      <w:r w:rsidR="005E4168">
        <w:t>Appendix C</w:t>
      </w:r>
      <w:r>
        <w:t>)</w:t>
      </w:r>
    </w:p>
    <w:p w14:paraId="3B4F884F" w14:textId="77777777" w:rsidR="004B25EB" w:rsidRDefault="00FA0995" w:rsidP="00764D83">
      <w:pPr>
        <w:pStyle w:val="ListParagraph"/>
        <w:numPr>
          <w:ilvl w:val="0"/>
          <w:numId w:val="21"/>
        </w:numPr>
        <w:spacing w:after="120" w:line="240" w:lineRule="auto"/>
        <w:ind w:left="714" w:hanging="357"/>
      </w:pPr>
      <w:r>
        <w:t>Fish movement (Section 8</w:t>
      </w:r>
      <w:r w:rsidR="005443BF">
        <w:t xml:space="preserve">, </w:t>
      </w:r>
      <w:r w:rsidR="005E4168">
        <w:t>Appendix D</w:t>
      </w:r>
      <w:r w:rsidR="004B25EB">
        <w:t>)</w:t>
      </w:r>
    </w:p>
    <w:p w14:paraId="3B4F8850" w14:textId="77777777" w:rsidR="004B25EB" w:rsidRDefault="00FA0995" w:rsidP="00764D83">
      <w:pPr>
        <w:pStyle w:val="ListParagraph"/>
        <w:numPr>
          <w:ilvl w:val="0"/>
          <w:numId w:val="21"/>
        </w:numPr>
        <w:spacing w:after="120" w:line="240" w:lineRule="auto"/>
        <w:ind w:left="714" w:hanging="357"/>
      </w:pPr>
      <w:r>
        <w:t>Fish reproduction (Section 9</w:t>
      </w:r>
      <w:r w:rsidR="005443BF">
        <w:t xml:space="preserve">, </w:t>
      </w:r>
      <w:r w:rsidR="005E4168">
        <w:t>Appendix D</w:t>
      </w:r>
      <w:r w:rsidR="004B25EB">
        <w:t>)</w:t>
      </w:r>
    </w:p>
    <w:p w14:paraId="3B4F8851" w14:textId="77777777" w:rsidR="005A2FCB" w:rsidRDefault="005443BF" w:rsidP="005A2FCB">
      <w:pPr>
        <w:pStyle w:val="ListParagraph"/>
        <w:numPr>
          <w:ilvl w:val="0"/>
          <w:numId w:val="21"/>
        </w:numPr>
        <w:tabs>
          <w:tab w:val="left" w:pos="9071"/>
        </w:tabs>
        <w:spacing w:after="120" w:line="240" w:lineRule="auto"/>
        <w:ind w:left="714" w:hanging="357"/>
        <w:jc w:val="left"/>
      </w:pPr>
      <w:r>
        <w:t>Fish recruitmen</w:t>
      </w:r>
      <w:r w:rsidR="00FA0995">
        <w:t>t (Section 10</w:t>
      </w:r>
      <w:r>
        <w:t xml:space="preserve">, </w:t>
      </w:r>
      <w:r w:rsidR="005E4168">
        <w:t>Appendix D</w:t>
      </w:r>
      <w:r w:rsidR="004B25EB">
        <w:t>)</w:t>
      </w:r>
    </w:p>
    <w:p w14:paraId="3B4F8852" w14:textId="77777777" w:rsidR="0000180C" w:rsidRPr="005E4168" w:rsidRDefault="005A2FCB" w:rsidP="005A2FCB">
      <w:pPr>
        <w:pStyle w:val="ListParagraph"/>
        <w:numPr>
          <w:ilvl w:val="0"/>
          <w:numId w:val="21"/>
        </w:numPr>
        <w:tabs>
          <w:tab w:val="left" w:pos="9071"/>
        </w:tabs>
        <w:spacing w:after="120" w:line="240" w:lineRule="auto"/>
        <w:ind w:left="714" w:hanging="357"/>
        <w:jc w:val="left"/>
      </w:pPr>
      <w:r>
        <w:t>Fish Community data for basin-scale evaluation (sec</w:t>
      </w:r>
      <w:r w:rsidR="00FA0995">
        <w:t>tion 11</w:t>
      </w:r>
      <w:r>
        <w:t>, Appendix D)</w:t>
      </w:r>
      <w:r w:rsidR="004B25EB" w:rsidRPr="0088257B">
        <w:t>.</w:t>
      </w:r>
      <w:r w:rsidR="004B25EB">
        <w:t xml:space="preserve"> </w:t>
      </w:r>
      <w:r w:rsidR="0000180C">
        <w:br w:type="page"/>
      </w:r>
    </w:p>
    <w:p w14:paraId="3B4F8853" w14:textId="77777777" w:rsidR="00BB47D7" w:rsidRPr="00BB47D7" w:rsidRDefault="00FA0995" w:rsidP="00417F7C">
      <w:pPr>
        <w:pStyle w:val="Heading1"/>
      </w:pPr>
      <w:bookmarkStart w:id="24" w:name="_Toc484078406"/>
      <w:r>
        <w:lastRenderedPageBreak/>
        <w:t>Hydrological outcomes</w:t>
      </w:r>
      <w:r w:rsidR="003960AD">
        <w:t xml:space="preserve"> of </w:t>
      </w:r>
      <w:r w:rsidR="00BB47D7" w:rsidRPr="00BB47D7">
        <w:t>Commonwealth environmental water delivered in 2015-16</w:t>
      </w:r>
      <w:bookmarkEnd w:id="24"/>
    </w:p>
    <w:p w14:paraId="3B4F8854" w14:textId="77777777" w:rsidR="00BB47D7" w:rsidRDefault="00BB47D7" w:rsidP="00BB47D7">
      <w:pPr>
        <w:tabs>
          <w:tab w:val="left" w:pos="9071"/>
        </w:tabs>
        <w:spacing w:after="120" w:line="240" w:lineRule="auto"/>
        <w:jc w:val="left"/>
        <w:rPr>
          <w:rFonts w:asciiTheme="minorHAnsi" w:hAnsiTheme="minorHAnsi" w:cs="Courier New"/>
          <w:color w:val="000000"/>
          <w:szCs w:val="22"/>
        </w:rPr>
      </w:pPr>
    </w:p>
    <w:p w14:paraId="3B4F8855" w14:textId="77777777" w:rsidR="00FA0995" w:rsidRPr="00FA0995" w:rsidRDefault="00FA0995" w:rsidP="00FA0995">
      <w:pPr>
        <w:tabs>
          <w:tab w:val="left" w:pos="9071"/>
        </w:tabs>
        <w:spacing w:after="240" w:line="320" w:lineRule="exact"/>
        <w:jc w:val="left"/>
        <w:rPr>
          <w:b/>
          <w:color w:val="4F6228" w:themeColor="accent3" w:themeShade="80"/>
          <w:sz w:val="24"/>
          <w:szCs w:val="24"/>
        </w:rPr>
      </w:pPr>
      <w:r w:rsidRPr="00FA0995">
        <w:rPr>
          <w:b/>
          <w:color w:val="4F6228" w:themeColor="accent3" w:themeShade="80"/>
          <w:sz w:val="24"/>
          <w:szCs w:val="24"/>
        </w:rPr>
        <w:t>4.1 Monitoring</w:t>
      </w:r>
    </w:p>
    <w:p w14:paraId="3B4F8856" w14:textId="3B866D04" w:rsidR="00BB47D7" w:rsidRDefault="00707665" w:rsidP="00BB47D7">
      <w:pPr>
        <w:pStyle w:val="NoSpacing"/>
        <w:spacing w:after="240" w:line="320" w:lineRule="exact"/>
        <w:jc w:val="left"/>
        <w:rPr>
          <w:rFonts w:asciiTheme="minorHAnsi" w:hAnsiTheme="minorHAnsi" w:cs="Courier New"/>
          <w:color w:val="000000"/>
          <w:szCs w:val="22"/>
        </w:rPr>
      </w:pPr>
      <w:r>
        <w:rPr>
          <w:rFonts w:asciiTheme="minorHAnsi" w:hAnsiTheme="minorHAnsi" w:cs="Courier New"/>
          <w:color w:val="000000"/>
          <w:szCs w:val="22"/>
        </w:rPr>
        <w:t>D</w:t>
      </w:r>
      <w:r w:rsidR="00BB47D7" w:rsidRPr="00AD1FA0">
        <w:rPr>
          <w:rFonts w:asciiTheme="minorHAnsi" w:hAnsiTheme="minorHAnsi" w:cs="Courier New"/>
          <w:color w:val="000000"/>
          <w:szCs w:val="22"/>
        </w:rPr>
        <w:t xml:space="preserve">aily discharge data </w:t>
      </w:r>
      <w:r w:rsidR="004B3B85">
        <w:rPr>
          <w:rFonts w:asciiTheme="minorHAnsi" w:hAnsiTheme="minorHAnsi" w:cs="Courier New"/>
          <w:color w:val="000000"/>
          <w:szCs w:val="22"/>
        </w:rPr>
        <w:t>were</w:t>
      </w:r>
      <w:r>
        <w:rPr>
          <w:rFonts w:asciiTheme="minorHAnsi" w:hAnsiTheme="minorHAnsi" w:cs="Courier New"/>
          <w:color w:val="000000"/>
          <w:szCs w:val="22"/>
        </w:rPr>
        <w:t xml:space="preserve"> obtained </w:t>
      </w:r>
      <w:r w:rsidR="00BB47D7">
        <w:rPr>
          <w:rFonts w:asciiTheme="minorHAnsi" w:hAnsiTheme="minorHAnsi" w:cs="Courier New"/>
          <w:color w:val="000000"/>
          <w:szCs w:val="22"/>
        </w:rPr>
        <w:t>from</w:t>
      </w:r>
      <w:r w:rsidR="00BB47D7" w:rsidRPr="00AD1FA0">
        <w:rPr>
          <w:rFonts w:asciiTheme="minorHAnsi" w:hAnsiTheme="minorHAnsi" w:cs="Courier New"/>
          <w:color w:val="000000"/>
          <w:szCs w:val="22"/>
        </w:rPr>
        <w:t xml:space="preserve"> </w:t>
      </w:r>
      <w:r w:rsidR="00BB47D7">
        <w:rPr>
          <w:rFonts w:asciiTheme="minorHAnsi" w:hAnsiTheme="minorHAnsi" w:cs="Courier New"/>
          <w:color w:val="000000"/>
          <w:szCs w:val="22"/>
        </w:rPr>
        <w:t xml:space="preserve">the </w:t>
      </w:r>
      <w:r w:rsidR="00BB47D7">
        <w:t>New South Wales Office of Water website, and data on d</w:t>
      </w:r>
      <w:r w:rsidR="00BB47D7" w:rsidRPr="00AD1FA0">
        <w:rPr>
          <w:rFonts w:asciiTheme="minorHAnsi" w:hAnsiTheme="minorHAnsi" w:cs="Courier New"/>
          <w:color w:val="000000"/>
          <w:szCs w:val="22"/>
        </w:rPr>
        <w:t>aily discharge data from the Wakool escape a</w:t>
      </w:r>
      <w:r w:rsidR="00BB47D7">
        <w:rPr>
          <w:rFonts w:asciiTheme="minorHAnsi" w:hAnsiTheme="minorHAnsi" w:cs="Courier New"/>
          <w:color w:val="000000"/>
          <w:szCs w:val="22"/>
        </w:rPr>
        <w:t>nd daily usage of Commonwealth Environmental W</w:t>
      </w:r>
      <w:r w:rsidR="00BB47D7" w:rsidRPr="00AD1FA0">
        <w:rPr>
          <w:rFonts w:asciiTheme="minorHAnsi" w:hAnsiTheme="minorHAnsi" w:cs="Courier New"/>
          <w:color w:val="000000"/>
          <w:szCs w:val="22"/>
        </w:rPr>
        <w:t>ater</w:t>
      </w:r>
      <w:r w:rsidR="00BB47D7">
        <w:rPr>
          <w:rFonts w:asciiTheme="minorHAnsi" w:hAnsiTheme="minorHAnsi" w:cs="Courier New"/>
          <w:color w:val="000000"/>
          <w:szCs w:val="22"/>
        </w:rPr>
        <w:t xml:space="preserve"> </w:t>
      </w:r>
      <w:r>
        <w:rPr>
          <w:rFonts w:asciiTheme="minorHAnsi" w:hAnsiTheme="minorHAnsi" w:cs="Courier New"/>
          <w:color w:val="000000"/>
          <w:szCs w:val="22"/>
        </w:rPr>
        <w:t xml:space="preserve">were </w:t>
      </w:r>
      <w:r w:rsidR="00BB47D7" w:rsidRPr="00AD1FA0">
        <w:rPr>
          <w:rFonts w:asciiTheme="minorHAnsi" w:hAnsiTheme="minorHAnsi" w:cs="Courier New"/>
          <w:color w:val="000000"/>
          <w:szCs w:val="22"/>
        </w:rPr>
        <w:t>obtained from WaterNSW.</w:t>
      </w:r>
      <w:r w:rsidR="00BB47D7">
        <w:rPr>
          <w:rFonts w:asciiTheme="minorHAnsi" w:hAnsiTheme="minorHAnsi" w:cs="Courier New"/>
          <w:color w:val="000000"/>
          <w:szCs w:val="22"/>
        </w:rPr>
        <w:t xml:space="preserve"> </w:t>
      </w:r>
      <w:r w:rsidR="00BB47D7" w:rsidRPr="00AD1FA0">
        <w:rPr>
          <w:rFonts w:asciiTheme="minorHAnsi" w:hAnsiTheme="minorHAnsi" w:cs="Courier New"/>
          <w:color w:val="000000"/>
          <w:szCs w:val="22"/>
        </w:rPr>
        <w:t xml:space="preserve">The hydrograph for Yallakool Creek </w:t>
      </w:r>
      <w:r w:rsidR="00BB47D7">
        <w:rPr>
          <w:rFonts w:asciiTheme="minorHAnsi" w:hAnsiTheme="minorHAnsi" w:cs="Courier New"/>
          <w:color w:val="000000"/>
          <w:szCs w:val="22"/>
        </w:rPr>
        <w:t>(</w:t>
      </w:r>
      <w:r w:rsidR="00BB47D7" w:rsidRPr="00AD1FA0">
        <w:rPr>
          <w:rFonts w:asciiTheme="minorHAnsi" w:hAnsiTheme="minorHAnsi" w:cs="Courier New"/>
          <w:color w:val="000000"/>
          <w:szCs w:val="22"/>
        </w:rPr>
        <w:t>zone 1</w:t>
      </w:r>
      <w:r w:rsidR="00BB47D7">
        <w:rPr>
          <w:rFonts w:asciiTheme="minorHAnsi" w:hAnsiTheme="minorHAnsi" w:cs="Courier New"/>
          <w:color w:val="000000"/>
          <w:szCs w:val="22"/>
        </w:rPr>
        <w:t>)</w:t>
      </w:r>
      <w:r w:rsidR="00BB47D7" w:rsidRPr="00AD1FA0">
        <w:rPr>
          <w:rFonts w:asciiTheme="minorHAnsi" w:hAnsiTheme="minorHAnsi" w:cs="Courier New"/>
          <w:color w:val="000000"/>
          <w:szCs w:val="22"/>
        </w:rPr>
        <w:t xml:space="preserve"> is based on daily discharge data from gauge 409020 Yallakool Creek @ Offtake. The hydrograph for the Wakool River zone 2 is based on discharge data </w:t>
      </w:r>
      <w:r w:rsidR="00BB47D7">
        <w:rPr>
          <w:rFonts w:asciiTheme="minorHAnsi" w:hAnsiTheme="minorHAnsi" w:cs="Courier New"/>
          <w:color w:val="000000"/>
          <w:szCs w:val="22"/>
        </w:rPr>
        <w:t>from gauge 409019 Wakool River o</w:t>
      </w:r>
      <w:r w:rsidR="00BB47D7" w:rsidRPr="00AD1FA0">
        <w:rPr>
          <w:rFonts w:asciiTheme="minorHAnsi" w:hAnsiTheme="minorHAnsi" w:cs="Courier New"/>
          <w:color w:val="000000"/>
          <w:szCs w:val="22"/>
        </w:rPr>
        <w:t xml:space="preserve">fftake regulator added to the daily discharge data from the Wakool escape. The daily discharge data for Wakool River zone 3 was estimated by combining daily discharge data from Yallakool Creek regulator, the Wakool offtake and the Wakool escape with an adjustment to account for travel time (4 days) and estimated 20% losses </w:t>
      </w:r>
      <w:r w:rsidR="00BB47D7">
        <w:rPr>
          <w:rFonts w:asciiTheme="minorHAnsi" w:hAnsiTheme="minorHAnsi" w:cs="Courier New"/>
          <w:color w:val="000000"/>
          <w:szCs w:val="22"/>
        </w:rPr>
        <w:t xml:space="preserve">(V. Kelly, WaterNSW pers. comm.) </w:t>
      </w:r>
      <w:r w:rsidR="00BB47D7" w:rsidRPr="00AD1FA0">
        <w:rPr>
          <w:rFonts w:asciiTheme="minorHAnsi" w:hAnsiTheme="minorHAnsi" w:cs="Courier New"/>
          <w:color w:val="000000"/>
          <w:szCs w:val="22"/>
        </w:rPr>
        <w:t xml:space="preserve">between the regulators and the confluence of Yallakool Creek and the Wakool River. The daily discharge data for Wakool River zone 4 were obtained from gauge 409045 Wakool River </w:t>
      </w:r>
      <w:r w:rsidR="00BB47D7">
        <w:rPr>
          <w:rFonts w:asciiTheme="minorHAnsi" w:hAnsiTheme="minorHAnsi" w:cs="Courier New"/>
          <w:color w:val="000000"/>
          <w:szCs w:val="22"/>
        </w:rPr>
        <w:t>at Wakool-Barham Road.</w:t>
      </w:r>
    </w:p>
    <w:p w14:paraId="3B4F8857" w14:textId="77777777" w:rsidR="00707665" w:rsidRPr="00707665" w:rsidRDefault="00707665" w:rsidP="00707665">
      <w:pPr>
        <w:tabs>
          <w:tab w:val="left" w:pos="9071"/>
        </w:tabs>
        <w:spacing w:after="240" w:line="320" w:lineRule="exact"/>
        <w:jc w:val="left"/>
        <w:rPr>
          <w:b/>
          <w:color w:val="4F6228" w:themeColor="accent3" w:themeShade="80"/>
          <w:sz w:val="24"/>
          <w:szCs w:val="24"/>
        </w:rPr>
      </w:pPr>
      <w:r w:rsidRPr="00707665">
        <w:rPr>
          <w:b/>
          <w:color w:val="4F6228" w:themeColor="accent3" w:themeShade="80"/>
          <w:sz w:val="24"/>
          <w:szCs w:val="24"/>
        </w:rPr>
        <w:t>4.2 Main findings</w:t>
      </w:r>
    </w:p>
    <w:p w14:paraId="3B4F8858" w14:textId="2F1117D5" w:rsidR="00BB47D7" w:rsidRPr="00BB47D7" w:rsidRDefault="00BB47D7" w:rsidP="00BB47D7">
      <w:pPr>
        <w:tabs>
          <w:tab w:val="left" w:pos="9071"/>
        </w:tabs>
        <w:spacing w:after="240" w:line="320" w:lineRule="exact"/>
        <w:jc w:val="left"/>
        <w:rPr>
          <w:rFonts w:asciiTheme="minorHAnsi" w:hAnsiTheme="minorHAnsi" w:cstheme="minorHAnsi"/>
          <w:szCs w:val="22"/>
        </w:rPr>
      </w:pPr>
      <w:r w:rsidRPr="00BB47D7">
        <w:rPr>
          <w:szCs w:val="22"/>
        </w:rPr>
        <w:t xml:space="preserve">The </w:t>
      </w:r>
      <w:r w:rsidR="003D1861">
        <w:rPr>
          <w:szCs w:val="22"/>
        </w:rPr>
        <w:t>hydrographs</w:t>
      </w:r>
      <w:r w:rsidRPr="00BB47D7">
        <w:rPr>
          <w:szCs w:val="22"/>
        </w:rPr>
        <w:t xml:space="preserve"> for the four hydrological zones in 2015-16 </w:t>
      </w:r>
      <w:r w:rsidR="00707665">
        <w:rPr>
          <w:szCs w:val="22"/>
        </w:rPr>
        <w:t xml:space="preserve">(Figure 4.1) </w:t>
      </w:r>
      <w:r w:rsidRPr="00BB47D7">
        <w:rPr>
          <w:szCs w:val="22"/>
        </w:rPr>
        <w:t>were very similar to tho</w:t>
      </w:r>
      <w:r w:rsidR="00707665">
        <w:rPr>
          <w:szCs w:val="22"/>
        </w:rPr>
        <w:t>se reported in 2014-15 (Watts et al</w:t>
      </w:r>
      <w:r w:rsidR="004762DE">
        <w:rPr>
          <w:szCs w:val="22"/>
        </w:rPr>
        <w:t>.</w:t>
      </w:r>
      <w:r w:rsidR="00707665">
        <w:rPr>
          <w:szCs w:val="22"/>
        </w:rPr>
        <w:t xml:space="preserve"> 2015</w:t>
      </w:r>
      <w:r w:rsidRPr="00BB47D7">
        <w:rPr>
          <w:szCs w:val="22"/>
        </w:rPr>
        <w:t xml:space="preserve">). Due to the </w:t>
      </w:r>
      <w:r w:rsidRPr="00BB47D7">
        <w:rPr>
          <w:rFonts w:asciiTheme="minorHAnsi" w:hAnsiTheme="minorHAnsi" w:cstheme="minorHAnsi"/>
          <w:szCs w:val="22"/>
        </w:rPr>
        <w:t xml:space="preserve">channel constraints (e.g. to avoid third party impacts) the discharge did not exceed 500 </w:t>
      </w:r>
      <w:r w:rsidR="007478C0">
        <w:t>ML.d</w:t>
      </w:r>
      <w:r w:rsidR="007478C0" w:rsidRPr="007478C0">
        <w:rPr>
          <w:vertAlign w:val="superscript"/>
        </w:rPr>
        <w:t>-1</w:t>
      </w:r>
      <w:r w:rsidR="007478C0" w:rsidRPr="004F2656">
        <w:t xml:space="preserve"> </w:t>
      </w:r>
      <w:r w:rsidRPr="00BB47D7">
        <w:rPr>
          <w:rFonts w:asciiTheme="minorHAnsi" w:hAnsiTheme="minorHAnsi" w:cstheme="minorHAnsi"/>
          <w:szCs w:val="22"/>
        </w:rPr>
        <w:t xml:space="preserve">in any of the four zones. This is well below the estimated bankful of 4000 </w:t>
      </w:r>
      <w:r w:rsidR="007478C0">
        <w:t>ML.d</w:t>
      </w:r>
      <w:r w:rsidR="007478C0" w:rsidRPr="007478C0">
        <w:rPr>
          <w:vertAlign w:val="superscript"/>
        </w:rPr>
        <w:t>-1</w:t>
      </w:r>
      <w:r w:rsidR="007478C0" w:rsidRPr="004F2656">
        <w:t xml:space="preserve"> </w:t>
      </w:r>
      <w:r w:rsidRPr="00BB47D7">
        <w:rPr>
          <w:rFonts w:asciiTheme="minorHAnsi" w:hAnsiTheme="minorHAnsi" w:cstheme="minorHAnsi"/>
          <w:szCs w:val="22"/>
        </w:rPr>
        <w:t>for this system (D. Green, Murray-Darling Basin Authority, pers comm). In May/June of each year there was a sharp rise and fall in discharge in all zones prior to the cease of flow in May/June</w:t>
      </w:r>
      <w:r w:rsidR="00707665">
        <w:rPr>
          <w:rFonts w:asciiTheme="minorHAnsi" w:hAnsiTheme="minorHAnsi" w:cstheme="minorHAnsi"/>
          <w:szCs w:val="22"/>
        </w:rPr>
        <w:t xml:space="preserve"> (Figure 4.1)</w:t>
      </w:r>
      <w:r w:rsidR="00FD6CF5">
        <w:rPr>
          <w:rFonts w:asciiTheme="minorHAnsi" w:hAnsiTheme="minorHAnsi" w:cstheme="minorHAnsi"/>
          <w:szCs w:val="22"/>
        </w:rPr>
        <w:t>, possibly due to end of watering year operations such as emptying of the Mulwala canal</w:t>
      </w:r>
      <w:r w:rsidRPr="00BB47D7">
        <w:rPr>
          <w:rFonts w:asciiTheme="minorHAnsi" w:hAnsiTheme="minorHAnsi" w:cstheme="minorHAnsi"/>
          <w:szCs w:val="22"/>
        </w:rPr>
        <w:t xml:space="preserve">. </w:t>
      </w:r>
      <w:r w:rsidRPr="00BB47D7">
        <w:rPr>
          <w:szCs w:val="22"/>
        </w:rPr>
        <w:t>There was a period of no flow in all four hydrological zones in June and July 2015</w:t>
      </w:r>
      <w:r w:rsidR="00707665">
        <w:rPr>
          <w:szCs w:val="22"/>
        </w:rPr>
        <w:t xml:space="preserve"> (Figure 4.1, Table 4</w:t>
      </w:r>
      <w:r w:rsidRPr="00BB47D7">
        <w:rPr>
          <w:szCs w:val="22"/>
        </w:rPr>
        <w:t>.1</w:t>
      </w:r>
      <w:r w:rsidR="00296FBF">
        <w:rPr>
          <w:szCs w:val="22"/>
        </w:rPr>
        <w:t>, Table 4.2</w:t>
      </w:r>
      <w:r w:rsidRPr="00BB47D7">
        <w:rPr>
          <w:szCs w:val="22"/>
        </w:rPr>
        <w:t>) when the regulators on Yallakool Creek and the upper Wakool River were closed.</w:t>
      </w:r>
    </w:p>
    <w:p w14:paraId="3B4F8859" w14:textId="77777777" w:rsidR="00BB47D7" w:rsidRDefault="00BB47D7" w:rsidP="002B3297">
      <w:pPr>
        <w:spacing w:after="240" w:line="320" w:lineRule="exact"/>
        <w:jc w:val="left"/>
      </w:pPr>
      <w:r w:rsidRPr="008463E8">
        <w:rPr>
          <w:szCs w:val="22"/>
        </w:rPr>
        <w:t xml:space="preserve">In Yallakool Creek zone 1 the hydrograph in 2015-16 was very similar to that in 2014-15 (Figure </w:t>
      </w:r>
      <w:r w:rsidR="00265BF4" w:rsidRPr="008463E8">
        <w:rPr>
          <w:szCs w:val="22"/>
        </w:rPr>
        <w:t>4.1)</w:t>
      </w:r>
      <w:r w:rsidRPr="008463E8">
        <w:rPr>
          <w:szCs w:val="22"/>
        </w:rPr>
        <w:t xml:space="preserve">. </w:t>
      </w:r>
      <w:r w:rsidRPr="00BB47D7">
        <w:rPr>
          <w:szCs w:val="22"/>
        </w:rPr>
        <w:t>In the upper Wakool River zone 2 there were similar median flows in 2015-16 as in 2014-15, with the exception of the period between April/May 2015 when the MDBA transferr</w:t>
      </w:r>
      <w:r w:rsidR="00265BF4">
        <w:rPr>
          <w:szCs w:val="22"/>
        </w:rPr>
        <w:t xml:space="preserve">ed a volume of water </w:t>
      </w:r>
      <w:r w:rsidR="00FD6CF5">
        <w:rPr>
          <w:szCs w:val="22"/>
        </w:rPr>
        <w:t xml:space="preserve">via the Wakool escape </w:t>
      </w:r>
      <w:r w:rsidR="00265BF4">
        <w:rPr>
          <w:szCs w:val="22"/>
        </w:rPr>
        <w:t>(Figure 4.1</w:t>
      </w:r>
      <w:r w:rsidRPr="00BB47D7">
        <w:rPr>
          <w:szCs w:val="22"/>
        </w:rPr>
        <w:t xml:space="preserve">). </w:t>
      </w:r>
      <w:r>
        <w:t>T</w:t>
      </w:r>
      <w:r w:rsidRPr="00D15224">
        <w:t xml:space="preserve">he Wakool River zones 3 and 4 had </w:t>
      </w:r>
      <w:r>
        <w:t>a</w:t>
      </w:r>
      <w:r w:rsidRPr="00D15224">
        <w:t xml:space="preserve"> similar shaped hydrograph in 2015-16 to that r</w:t>
      </w:r>
      <w:r w:rsidR="00265BF4">
        <w:t>eported in 2014-15 (Figure 4.1</w:t>
      </w:r>
      <w:r w:rsidRPr="00D15224">
        <w:t xml:space="preserve">), with the exception </w:t>
      </w:r>
      <w:r>
        <w:t>that</w:t>
      </w:r>
      <w:r w:rsidRPr="00D15224">
        <w:t xml:space="preserve"> the MDBA water transfer </w:t>
      </w:r>
      <w:r>
        <w:t xml:space="preserve">that occurred </w:t>
      </w:r>
      <w:r w:rsidRPr="00D15224">
        <w:t>in April/May 2015 did not occur 2016</w:t>
      </w:r>
      <w:r>
        <w:t>.</w:t>
      </w:r>
    </w:p>
    <w:p w14:paraId="3B4F885A" w14:textId="3173B0E7" w:rsidR="003D1861" w:rsidRDefault="003D1861" w:rsidP="003D1861">
      <w:pPr>
        <w:spacing w:after="240" w:line="320" w:lineRule="exact"/>
        <w:jc w:val="left"/>
        <w:rPr>
          <w:szCs w:val="22"/>
        </w:rPr>
      </w:pPr>
      <w:r>
        <w:t>In zones 1, 3 and 4 there was</w:t>
      </w:r>
      <w:r w:rsidR="00FD6CF5">
        <w:t xml:space="preserve"> a fresh in </w:t>
      </w:r>
      <w:r>
        <w:t xml:space="preserve">August 2015. </w:t>
      </w:r>
      <w:r w:rsidR="00604BF0">
        <w:t>Section 2.3 of this report provides more detail on the water accounting and use of return flows during this period of time</w:t>
      </w:r>
      <w:r>
        <w:rPr>
          <w:szCs w:val="22"/>
        </w:rPr>
        <w:t>.</w:t>
      </w:r>
    </w:p>
    <w:p w14:paraId="3B4F885B" w14:textId="77777777" w:rsidR="003D1861" w:rsidRPr="00D15224" w:rsidRDefault="003D1861" w:rsidP="00BB47D7">
      <w:pPr>
        <w:spacing w:after="240" w:line="320" w:lineRule="exact"/>
      </w:pPr>
    </w:p>
    <w:p w14:paraId="3B4F885C" w14:textId="77777777" w:rsidR="00BB47D7" w:rsidRPr="00BB47D7" w:rsidRDefault="00FD6CF5" w:rsidP="00BB47D7">
      <w:pPr>
        <w:tabs>
          <w:tab w:val="left" w:pos="9071"/>
        </w:tabs>
        <w:spacing w:after="120" w:line="240" w:lineRule="auto"/>
        <w:jc w:val="left"/>
        <w:rPr>
          <w:b/>
          <w:color w:val="000000" w:themeColor="text1"/>
          <w:sz w:val="20"/>
        </w:rPr>
      </w:pPr>
      <w:r>
        <w:rPr>
          <w:b/>
          <w:noProof/>
          <w:color w:val="000000" w:themeColor="text1"/>
          <w:sz w:val="20"/>
          <w:lang w:eastAsia="en-AU"/>
        </w:rPr>
        <w:drawing>
          <wp:inline distT="0" distB="0" distL="0" distR="0" wp14:anchorId="3B4F95E7" wp14:editId="4BADDC5A">
            <wp:extent cx="4791710" cy="7608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91710" cy="7608570"/>
                    </a:xfrm>
                    <a:prstGeom prst="rect">
                      <a:avLst/>
                    </a:prstGeom>
                    <a:noFill/>
                  </pic:spPr>
                </pic:pic>
              </a:graphicData>
            </a:graphic>
          </wp:inline>
        </w:drawing>
      </w:r>
    </w:p>
    <w:p w14:paraId="3B4F885D" w14:textId="77777777" w:rsidR="00BB47D7" w:rsidRPr="00BB47D7" w:rsidRDefault="00265BF4" w:rsidP="00BB47D7">
      <w:pPr>
        <w:tabs>
          <w:tab w:val="left" w:pos="9071"/>
        </w:tabs>
        <w:spacing w:after="120" w:line="240" w:lineRule="auto"/>
        <w:jc w:val="left"/>
        <w:rPr>
          <w:rFonts w:cs="Calibri"/>
          <w:sz w:val="20"/>
          <w:lang w:val="en-GB"/>
        </w:rPr>
      </w:pPr>
      <w:r>
        <w:rPr>
          <w:b/>
          <w:color w:val="000000" w:themeColor="text1"/>
          <w:sz w:val="20"/>
        </w:rPr>
        <w:t>Figure 4.1</w:t>
      </w:r>
      <w:r w:rsidR="00BB47D7" w:rsidRPr="00BB47D7">
        <w:rPr>
          <w:b/>
          <w:color w:val="000000" w:themeColor="text1"/>
          <w:sz w:val="20"/>
        </w:rPr>
        <w:t>.</w:t>
      </w:r>
      <w:r w:rsidR="00BB47D7" w:rsidRPr="00BB47D7">
        <w:rPr>
          <w:rFonts w:cs="Calibri"/>
          <w:sz w:val="20"/>
          <w:lang w:val="en-GB"/>
        </w:rPr>
        <w:t xml:space="preserve"> Hydrographs of zones 1 Yallakool Creek, and zones 2, 3 and 4 in the Wakool River for the period from 1 July 2015 to 30 June 2016. The portion of the hydrographs coloured black is at</w:t>
      </w:r>
      <w:r w:rsidR="00BB47D7" w:rsidRPr="00BB47D7">
        <w:rPr>
          <w:rFonts w:cs="Calibri"/>
          <w:sz w:val="20"/>
          <w:lang w:val="en-GB"/>
        </w:rPr>
        <w:lastRenderedPageBreak/>
        <w:t>tributed to the delivery of Commonwealth Environmental Water (CEW)</w:t>
      </w:r>
      <w:r w:rsidR="00FD6CF5">
        <w:rPr>
          <w:rFonts w:cs="Calibri"/>
          <w:sz w:val="20"/>
          <w:lang w:val="en-GB"/>
        </w:rPr>
        <w:t xml:space="preserve"> to the Edward-Wakool system for the Yallakool Creek and Wakool River environmental watering actions described in section 2</w:t>
      </w:r>
      <w:r w:rsidR="00BB47D7" w:rsidRPr="00BB47D7">
        <w:rPr>
          <w:rFonts w:cs="Calibri"/>
          <w:sz w:val="20"/>
          <w:lang w:val="en-GB"/>
        </w:rPr>
        <w:t xml:space="preserve">. </w:t>
      </w:r>
    </w:p>
    <w:p w14:paraId="3B4F885E" w14:textId="66F3F28F" w:rsidR="00741AC3" w:rsidRDefault="00741AC3" w:rsidP="00FD6CF5">
      <w:pPr>
        <w:spacing w:after="120" w:line="320" w:lineRule="exact"/>
        <w:jc w:val="left"/>
        <w:rPr>
          <w:rFonts w:cs="Calibri"/>
          <w:szCs w:val="22"/>
          <w:lang w:val="en-GB"/>
        </w:rPr>
      </w:pPr>
      <w:r>
        <w:rPr>
          <w:rFonts w:cs="Calibri"/>
          <w:szCs w:val="22"/>
          <w:lang w:val="en-GB"/>
        </w:rPr>
        <w:t xml:space="preserve">The comparison of discharge in the study zones with and without Commonwealth environmental water delivered via Yallakool Creek and Wakool River is confounded because the </w:t>
      </w:r>
      <w:r>
        <w:rPr>
          <w:color w:val="000000" w:themeColor="text1"/>
          <w:szCs w:val="22"/>
        </w:rPr>
        <w:t xml:space="preserve">environmental water </w:t>
      </w:r>
      <w:r w:rsidRPr="00BB47D7">
        <w:rPr>
          <w:szCs w:val="22"/>
        </w:rPr>
        <w:t>returning from Barmah-Millewa Forest  watering action</w:t>
      </w:r>
      <w:r>
        <w:rPr>
          <w:szCs w:val="22"/>
        </w:rPr>
        <w:t xml:space="preserve"> is included in the operational water component</w:t>
      </w:r>
      <w:r w:rsidR="00696E37">
        <w:rPr>
          <w:szCs w:val="22"/>
        </w:rPr>
        <w:t>. T</w:t>
      </w:r>
      <w:r w:rsidR="00604BF0">
        <w:rPr>
          <w:szCs w:val="22"/>
        </w:rPr>
        <w:t>hat is, prior to 4 September the returning flows were not used by the CEWO as part of Edward-Wakool specific watering actions</w:t>
      </w:r>
      <w:r>
        <w:rPr>
          <w:szCs w:val="22"/>
        </w:rPr>
        <w:t>.</w:t>
      </w:r>
    </w:p>
    <w:p w14:paraId="3B4F885F" w14:textId="0F02AF9C" w:rsidR="00296FBF" w:rsidRDefault="00FD6CF5" w:rsidP="00FD6CF5">
      <w:pPr>
        <w:spacing w:after="120" w:line="320" w:lineRule="exact"/>
        <w:jc w:val="left"/>
        <w:rPr>
          <w:rFonts w:cs="Calibri"/>
          <w:szCs w:val="22"/>
          <w:lang w:val="en-GB"/>
        </w:rPr>
      </w:pPr>
      <w:r w:rsidRPr="00BB47D7">
        <w:rPr>
          <w:rFonts w:cs="Calibri"/>
          <w:szCs w:val="22"/>
          <w:lang w:val="en-GB"/>
        </w:rPr>
        <w:t xml:space="preserve">The </w:t>
      </w:r>
      <w:r w:rsidR="00741AC3">
        <w:rPr>
          <w:rFonts w:cs="Calibri"/>
          <w:szCs w:val="22"/>
          <w:lang w:val="en-GB"/>
        </w:rPr>
        <w:t xml:space="preserve">Yallakool Creek </w:t>
      </w:r>
      <w:r w:rsidRPr="00BB47D7">
        <w:rPr>
          <w:rFonts w:cs="Calibri"/>
          <w:szCs w:val="22"/>
          <w:lang w:val="en-GB"/>
        </w:rPr>
        <w:t>Commonwealth environmental water</w:t>
      </w:r>
      <w:r w:rsidR="00741AC3">
        <w:rPr>
          <w:rFonts w:cs="Calibri"/>
          <w:szCs w:val="22"/>
          <w:lang w:val="en-GB"/>
        </w:rPr>
        <w:t>ing action</w:t>
      </w:r>
      <w:r w:rsidRPr="00BB47D7">
        <w:rPr>
          <w:rFonts w:cs="Calibri"/>
          <w:szCs w:val="22"/>
          <w:lang w:val="en-GB"/>
        </w:rPr>
        <w:t xml:space="preserve"> increased the</w:t>
      </w:r>
      <w:r w:rsidR="00296FBF">
        <w:rPr>
          <w:rFonts w:cs="Calibri"/>
          <w:szCs w:val="22"/>
          <w:lang w:val="en-GB"/>
        </w:rPr>
        <w:t xml:space="preserve"> mean and</w:t>
      </w:r>
      <w:r w:rsidRPr="00BB47D7">
        <w:rPr>
          <w:rFonts w:cs="Calibri"/>
          <w:szCs w:val="22"/>
          <w:lang w:val="en-GB"/>
        </w:rPr>
        <w:t xml:space="preserve"> median of discharge</w:t>
      </w:r>
      <w:r w:rsidRPr="00BB47D7">
        <w:rPr>
          <w:rFonts w:cs="Calibri"/>
          <w:szCs w:val="22"/>
          <w:vertAlign w:val="subscript"/>
          <w:lang w:val="en-GB"/>
        </w:rPr>
        <w:t xml:space="preserve"> </w:t>
      </w:r>
      <w:r w:rsidRPr="00BB47D7">
        <w:rPr>
          <w:rFonts w:cs="Calibri"/>
          <w:szCs w:val="22"/>
          <w:lang w:val="en-GB"/>
        </w:rPr>
        <w:t xml:space="preserve">in Yallakool Creek, and Wakool River zones 3 and 4 </w:t>
      </w:r>
      <w:r>
        <w:rPr>
          <w:rFonts w:cs="Calibri"/>
          <w:szCs w:val="22"/>
          <w:lang w:val="en-GB"/>
        </w:rPr>
        <w:t>(Table 4</w:t>
      </w:r>
      <w:r w:rsidRPr="00BB47D7">
        <w:rPr>
          <w:rFonts w:cs="Calibri"/>
          <w:szCs w:val="22"/>
          <w:lang w:val="en-GB"/>
        </w:rPr>
        <w:t>.1)</w:t>
      </w:r>
      <w:r w:rsidR="00296FBF">
        <w:rPr>
          <w:rFonts w:cs="Calibri"/>
          <w:szCs w:val="22"/>
          <w:lang w:val="en-GB"/>
        </w:rPr>
        <w:t xml:space="preserve"> While the environmental watering action in Yallakool Creek slightly increased the coefficient of variation </w:t>
      </w:r>
      <w:r w:rsidR="00741AC3">
        <w:rPr>
          <w:rFonts w:cs="Calibri"/>
          <w:szCs w:val="22"/>
          <w:lang w:val="en-GB"/>
        </w:rPr>
        <w:t>in Yallakool Creek, the coefficient of variation in zones 3 and 4 were reduced due to the Commonwealth environmental watering action.</w:t>
      </w:r>
      <w:r w:rsidR="00A8259E">
        <w:rPr>
          <w:rFonts w:cs="Calibri"/>
          <w:szCs w:val="22"/>
          <w:lang w:val="en-GB"/>
        </w:rPr>
        <w:t xml:space="preserve"> At the Yallakool regulator t</w:t>
      </w:r>
      <w:r w:rsidR="00C71A71">
        <w:rPr>
          <w:rFonts w:cs="Calibri"/>
          <w:szCs w:val="22"/>
          <w:lang w:val="en-GB"/>
        </w:rPr>
        <w:t xml:space="preserve">he </w:t>
      </w:r>
      <w:r w:rsidR="004B3B85">
        <w:rPr>
          <w:rFonts w:cs="Calibri"/>
          <w:szCs w:val="22"/>
          <w:lang w:val="en-GB"/>
        </w:rPr>
        <w:t xml:space="preserve">maximum </w:t>
      </w:r>
      <w:r w:rsidR="00A8259E">
        <w:rPr>
          <w:rFonts w:cs="Calibri"/>
          <w:szCs w:val="22"/>
          <w:lang w:val="en-GB"/>
        </w:rPr>
        <w:t>difference</w:t>
      </w:r>
      <w:r w:rsidR="00C71A71">
        <w:rPr>
          <w:rFonts w:cs="Calibri"/>
          <w:szCs w:val="22"/>
          <w:lang w:val="en-GB"/>
        </w:rPr>
        <w:t xml:space="preserve"> in depth </w:t>
      </w:r>
      <w:r w:rsidR="00A8259E">
        <w:rPr>
          <w:rFonts w:cs="Calibri"/>
          <w:szCs w:val="22"/>
          <w:lang w:val="en-GB"/>
        </w:rPr>
        <w:t>between operational flow (230 ML d</w:t>
      </w:r>
      <w:r w:rsidR="00A8259E" w:rsidRPr="00FE78FD">
        <w:rPr>
          <w:rFonts w:cs="Calibri"/>
          <w:szCs w:val="22"/>
          <w:vertAlign w:val="superscript"/>
          <w:lang w:val="en-GB"/>
        </w:rPr>
        <w:t>-1</w:t>
      </w:r>
      <w:r w:rsidR="00A8259E">
        <w:rPr>
          <w:rFonts w:cs="Calibri"/>
          <w:szCs w:val="22"/>
          <w:lang w:val="en-GB"/>
        </w:rPr>
        <w:t>) and environmental watering (500 ML d</w:t>
      </w:r>
      <w:r w:rsidR="00A8259E" w:rsidRPr="00FE78FD">
        <w:rPr>
          <w:rFonts w:cs="Calibri"/>
          <w:szCs w:val="22"/>
          <w:vertAlign w:val="superscript"/>
          <w:lang w:val="en-GB"/>
        </w:rPr>
        <w:t>-1</w:t>
      </w:r>
      <w:r w:rsidR="00A8259E">
        <w:rPr>
          <w:rFonts w:cs="Calibri"/>
          <w:szCs w:val="22"/>
          <w:lang w:val="en-GB"/>
        </w:rPr>
        <w:t xml:space="preserve">) </w:t>
      </w:r>
      <w:r w:rsidR="00C71A71">
        <w:rPr>
          <w:rFonts w:cs="Calibri"/>
          <w:szCs w:val="22"/>
          <w:lang w:val="en-GB"/>
        </w:rPr>
        <w:t>was approximately 60 cm (increase from 1.9</w:t>
      </w:r>
      <w:r w:rsidR="005941AD">
        <w:rPr>
          <w:rFonts w:cs="Calibri"/>
          <w:szCs w:val="22"/>
          <w:lang w:val="en-GB"/>
        </w:rPr>
        <w:t>1</w:t>
      </w:r>
      <w:r w:rsidR="00FE78FD">
        <w:rPr>
          <w:rFonts w:cs="Calibri"/>
          <w:szCs w:val="22"/>
          <w:lang w:val="en-GB"/>
        </w:rPr>
        <w:t xml:space="preserve"> m </w:t>
      </w:r>
      <w:r w:rsidR="00A8259E">
        <w:rPr>
          <w:rFonts w:cs="Calibri"/>
          <w:szCs w:val="22"/>
          <w:lang w:val="en-GB"/>
        </w:rPr>
        <w:t>during operational flow</w:t>
      </w:r>
      <w:r w:rsidR="00C71A71">
        <w:rPr>
          <w:rFonts w:cs="Calibri"/>
          <w:szCs w:val="22"/>
          <w:lang w:val="en-GB"/>
        </w:rPr>
        <w:t xml:space="preserve"> to 2.5</w:t>
      </w:r>
      <w:r w:rsidR="005941AD">
        <w:rPr>
          <w:rFonts w:cs="Calibri"/>
          <w:szCs w:val="22"/>
          <w:lang w:val="en-GB"/>
        </w:rPr>
        <w:t>1</w:t>
      </w:r>
      <w:r w:rsidR="00A8259E">
        <w:rPr>
          <w:rFonts w:cs="Calibri"/>
          <w:szCs w:val="22"/>
          <w:lang w:val="en-GB"/>
        </w:rPr>
        <w:t xml:space="preserve"> m during </w:t>
      </w:r>
      <w:r w:rsidR="00FE78FD">
        <w:rPr>
          <w:rFonts w:cs="Calibri"/>
          <w:szCs w:val="22"/>
          <w:lang w:val="en-GB"/>
        </w:rPr>
        <w:t>environmental water</w:t>
      </w:r>
      <w:r w:rsidR="00C71A71">
        <w:rPr>
          <w:rFonts w:cs="Calibri"/>
          <w:szCs w:val="22"/>
          <w:lang w:val="en-GB"/>
        </w:rPr>
        <w:t>).</w:t>
      </w:r>
    </w:p>
    <w:p w14:paraId="2B248C8B" w14:textId="21C26720" w:rsidR="00C71A71" w:rsidRDefault="00741AC3" w:rsidP="00C71A71">
      <w:pPr>
        <w:spacing w:after="120" w:line="320" w:lineRule="exact"/>
        <w:jc w:val="left"/>
        <w:rPr>
          <w:rFonts w:cs="Calibri"/>
          <w:szCs w:val="22"/>
          <w:lang w:val="en-GB"/>
        </w:rPr>
      </w:pPr>
      <w:r w:rsidRPr="00BB47D7">
        <w:rPr>
          <w:szCs w:val="22"/>
        </w:rPr>
        <w:t xml:space="preserve">The small volume of Commonwealth environmental water delivered to </w:t>
      </w:r>
      <w:r>
        <w:rPr>
          <w:szCs w:val="22"/>
        </w:rPr>
        <w:t>the upper Wakool River (zone 2)</w:t>
      </w:r>
      <w:r w:rsidRPr="00BB47D7">
        <w:rPr>
          <w:szCs w:val="22"/>
        </w:rPr>
        <w:t xml:space="preserve"> in 2015-16 had minimal impact on the hydrograph or lateral connectivity in this </w:t>
      </w:r>
      <w:r w:rsidR="00864BDE">
        <w:rPr>
          <w:szCs w:val="22"/>
        </w:rPr>
        <w:t>zone</w:t>
      </w:r>
      <w:r w:rsidRPr="00BB47D7">
        <w:rPr>
          <w:szCs w:val="22"/>
        </w:rPr>
        <w:t xml:space="preserve"> compared to </w:t>
      </w:r>
      <w:r>
        <w:rPr>
          <w:szCs w:val="22"/>
        </w:rPr>
        <w:t>operational</w:t>
      </w:r>
      <w:r w:rsidRPr="00BB47D7">
        <w:rPr>
          <w:szCs w:val="22"/>
        </w:rPr>
        <w:t xml:space="preserve"> flows</w:t>
      </w:r>
      <w:r>
        <w:t xml:space="preserve">. </w:t>
      </w:r>
      <w:r w:rsidR="00FD6CF5" w:rsidRPr="00BB47D7">
        <w:rPr>
          <w:rFonts w:cs="Calibri"/>
          <w:szCs w:val="22"/>
          <w:lang w:val="en-GB"/>
        </w:rPr>
        <w:t>The maximum, mean and median disc</w:t>
      </w:r>
      <w:r>
        <w:rPr>
          <w:rFonts w:cs="Calibri"/>
          <w:szCs w:val="22"/>
          <w:lang w:val="en-GB"/>
        </w:rPr>
        <w:t>harge in Wakool River zone 2 were all considerably</w:t>
      </w:r>
      <w:r w:rsidR="00FD6CF5" w:rsidRPr="00BB47D7">
        <w:rPr>
          <w:rFonts w:cs="Calibri"/>
          <w:szCs w:val="22"/>
          <w:lang w:val="en-GB"/>
        </w:rPr>
        <w:t xml:space="preserve"> lower than in </w:t>
      </w:r>
      <w:r w:rsidR="00FD6CF5">
        <w:rPr>
          <w:rFonts w:cs="Calibri"/>
          <w:szCs w:val="22"/>
          <w:lang w:val="en-GB"/>
        </w:rPr>
        <w:t xml:space="preserve">all of the other </w:t>
      </w:r>
      <w:r>
        <w:rPr>
          <w:rFonts w:cs="Calibri"/>
          <w:szCs w:val="22"/>
          <w:lang w:val="en-GB"/>
        </w:rPr>
        <w:t>zones</w:t>
      </w:r>
      <w:r w:rsidR="00FD6CF5">
        <w:rPr>
          <w:rFonts w:cs="Calibri"/>
          <w:szCs w:val="22"/>
          <w:lang w:val="en-GB"/>
        </w:rPr>
        <w:t xml:space="preserve"> (Table 4</w:t>
      </w:r>
      <w:r w:rsidR="00FD6CF5" w:rsidRPr="00BB47D7">
        <w:rPr>
          <w:rFonts w:cs="Calibri"/>
          <w:szCs w:val="22"/>
          <w:lang w:val="en-GB"/>
        </w:rPr>
        <w:t>.1).</w:t>
      </w:r>
      <w:r w:rsidR="00FD6CF5">
        <w:rPr>
          <w:rFonts w:cs="Calibri"/>
          <w:szCs w:val="22"/>
          <w:lang w:val="en-GB"/>
        </w:rPr>
        <w:t xml:space="preserve"> </w:t>
      </w:r>
      <w:r w:rsidR="00296FBF">
        <w:rPr>
          <w:rFonts w:cs="Calibri"/>
          <w:szCs w:val="22"/>
          <w:lang w:val="en-GB"/>
        </w:rPr>
        <w:t xml:space="preserve">There was very little difference in the mean and median </w:t>
      </w:r>
      <w:r w:rsidR="004B3B85">
        <w:rPr>
          <w:rFonts w:cs="Calibri"/>
          <w:szCs w:val="22"/>
          <w:lang w:val="en-GB"/>
        </w:rPr>
        <w:t xml:space="preserve">discharge </w:t>
      </w:r>
      <w:r w:rsidR="00296FBF">
        <w:rPr>
          <w:rFonts w:cs="Calibri"/>
          <w:szCs w:val="22"/>
          <w:lang w:val="en-GB"/>
        </w:rPr>
        <w:t xml:space="preserve">in the Wakool River zone two with </w:t>
      </w:r>
      <w:r>
        <w:rPr>
          <w:rFonts w:cs="Calibri"/>
          <w:szCs w:val="22"/>
          <w:lang w:val="en-GB"/>
        </w:rPr>
        <w:t xml:space="preserve">and without environmental water, and the coefficient of variation was </w:t>
      </w:r>
      <w:r w:rsidR="004B3B85">
        <w:rPr>
          <w:rFonts w:cs="Calibri"/>
          <w:szCs w:val="22"/>
          <w:lang w:val="en-GB"/>
        </w:rPr>
        <w:t xml:space="preserve">slightly </w:t>
      </w:r>
      <w:r>
        <w:rPr>
          <w:rFonts w:cs="Calibri"/>
          <w:szCs w:val="22"/>
          <w:lang w:val="en-GB"/>
        </w:rPr>
        <w:t>reduced due to the Commonwealth environmental watering action (Table 4.1)</w:t>
      </w:r>
      <w:r w:rsidR="00C71A71">
        <w:rPr>
          <w:rFonts w:cs="Calibri"/>
          <w:szCs w:val="22"/>
          <w:lang w:val="en-GB"/>
        </w:rPr>
        <w:t xml:space="preserve">. The </w:t>
      </w:r>
      <w:r w:rsidR="004B3B85">
        <w:rPr>
          <w:rFonts w:cs="Calibri"/>
          <w:szCs w:val="22"/>
          <w:lang w:val="en-GB"/>
        </w:rPr>
        <w:t xml:space="preserve">maximum </w:t>
      </w:r>
      <w:r w:rsidR="00C71A71">
        <w:rPr>
          <w:rFonts w:cs="Calibri"/>
          <w:szCs w:val="22"/>
          <w:lang w:val="en-GB"/>
        </w:rPr>
        <w:t xml:space="preserve">increase in </w:t>
      </w:r>
      <w:r w:rsidR="00C71A71" w:rsidRPr="004B3B85">
        <w:rPr>
          <w:rFonts w:cs="Calibri"/>
          <w:szCs w:val="22"/>
          <w:lang w:val="en-GB"/>
        </w:rPr>
        <w:t xml:space="preserve">depth </w:t>
      </w:r>
      <w:r w:rsidR="00A8259E" w:rsidRPr="004B3B85">
        <w:rPr>
          <w:rFonts w:cs="Calibri"/>
          <w:szCs w:val="22"/>
          <w:lang w:val="en-GB"/>
        </w:rPr>
        <w:t xml:space="preserve">at the Wakool regulator </w:t>
      </w:r>
      <w:r w:rsidR="00A8259E">
        <w:rPr>
          <w:rFonts w:cs="Calibri"/>
          <w:szCs w:val="22"/>
          <w:lang w:val="en-GB"/>
        </w:rPr>
        <w:t>(</w:t>
      </w:r>
      <w:r w:rsidR="004B3B85">
        <w:rPr>
          <w:rFonts w:cs="Calibri"/>
          <w:szCs w:val="22"/>
          <w:lang w:val="en-GB"/>
        </w:rPr>
        <w:t>zone 2</w:t>
      </w:r>
      <w:r w:rsidR="00A8259E">
        <w:rPr>
          <w:rFonts w:cs="Calibri"/>
          <w:szCs w:val="22"/>
          <w:lang w:val="en-GB"/>
        </w:rPr>
        <w:t>)</w:t>
      </w:r>
      <w:r w:rsidR="004B3B85">
        <w:rPr>
          <w:rFonts w:cs="Calibri"/>
          <w:szCs w:val="22"/>
          <w:lang w:val="en-GB"/>
        </w:rPr>
        <w:t xml:space="preserve"> </w:t>
      </w:r>
      <w:r w:rsidR="00A8259E">
        <w:rPr>
          <w:rFonts w:cs="Calibri"/>
          <w:szCs w:val="22"/>
          <w:lang w:val="en-GB"/>
        </w:rPr>
        <w:t>between the operational flow (</w:t>
      </w:r>
      <w:r w:rsidR="00A8259E" w:rsidRPr="004B3B85">
        <w:rPr>
          <w:rFonts w:cs="Calibri"/>
          <w:szCs w:val="22"/>
          <w:lang w:val="en-GB"/>
        </w:rPr>
        <w:t>50 ML d</w:t>
      </w:r>
      <w:r w:rsidR="00A8259E" w:rsidRPr="004B3B85">
        <w:rPr>
          <w:rFonts w:cs="Calibri"/>
          <w:szCs w:val="22"/>
          <w:vertAlign w:val="superscript"/>
          <w:lang w:val="en-GB"/>
        </w:rPr>
        <w:t>-1</w:t>
      </w:r>
      <w:r w:rsidR="00A8259E">
        <w:rPr>
          <w:rFonts w:cs="Calibri"/>
          <w:szCs w:val="22"/>
          <w:lang w:val="en-GB"/>
        </w:rPr>
        <w:t>) and t</w:t>
      </w:r>
      <w:r w:rsidR="00C71A71" w:rsidRPr="004B3B85">
        <w:rPr>
          <w:rFonts w:cs="Calibri"/>
          <w:szCs w:val="22"/>
          <w:lang w:val="en-GB"/>
        </w:rPr>
        <w:t xml:space="preserve">he environmental watering </w:t>
      </w:r>
      <w:r w:rsidR="00A8259E">
        <w:rPr>
          <w:rFonts w:cs="Calibri"/>
          <w:szCs w:val="22"/>
          <w:lang w:val="en-GB"/>
        </w:rPr>
        <w:t>(100</w:t>
      </w:r>
      <w:r w:rsidR="00A8259E" w:rsidRPr="004B3B85">
        <w:rPr>
          <w:rFonts w:cs="Calibri"/>
          <w:szCs w:val="22"/>
          <w:lang w:val="en-GB"/>
        </w:rPr>
        <w:t xml:space="preserve"> ML d</w:t>
      </w:r>
      <w:r w:rsidR="00A8259E" w:rsidRPr="004B3B85">
        <w:rPr>
          <w:rFonts w:cs="Calibri"/>
          <w:szCs w:val="22"/>
          <w:vertAlign w:val="superscript"/>
          <w:lang w:val="en-GB"/>
        </w:rPr>
        <w:t>-1</w:t>
      </w:r>
      <w:r w:rsidR="00A8259E">
        <w:rPr>
          <w:rFonts w:cs="Calibri"/>
          <w:szCs w:val="22"/>
          <w:lang w:val="en-GB"/>
        </w:rPr>
        <w:t xml:space="preserve">) </w:t>
      </w:r>
      <w:r w:rsidR="00C71A71" w:rsidRPr="004B3B85">
        <w:rPr>
          <w:rFonts w:cs="Calibri"/>
          <w:szCs w:val="22"/>
          <w:lang w:val="en-GB"/>
        </w:rPr>
        <w:t xml:space="preserve">was approximately </w:t>
      </w:r>
      <w:r w:rsidR="004B3B85" w:rsidRPr="004B3B85">
        <w:rPr>
          <w:rFonts w:cs="Calibri"/>
          <w:szCs w:val="22"/>
          <w:lang w:val="en-GB"/>
        </w:rPr>
        <w:t>23</w:t>
      </w:r>
      <w:r w:rsidR="00C71A71" w:rsidRPr="004B3B85">
        <w:rPr>
          <w:rFonts w:cs="Calibri"/>
          <w:szCs w:val="22"/>
          <w:lang w:val="en-GB"/>
        </w:rPr>
        <w:t xml:space="preserve"> cm (increase from </w:t>
      </w:r>
      <w:r w:rsidR="001D0CE9" w:rsidRPr="004B3B85">
        <w:rPr>
          <w:rFonts w:cs="Calibri"/>
          <w:szCs w:val="22"/>
          <w:lang w:val="en-GB"/>
        </w:rPr>
        <w:t>0.56</w:t>
      </w:r>
      <w:r w:rsidR="00C71A71" w:rsidRPr="004B3B85">
        <w:rPr>
          <w:rFonts w:cs="Calibri"/>
          <w:szCs w:val="22"/>
          <w:lang w:val="en-GB"/>
        </w:rPr>
        <w:t xml:space="preserve"> </w:t>
      </w:r>
      <w:r w:rsidR="00FE78FD" w:rsidRPr="004B3B85">
        <w:rPr>
          <w:rFonts w:cs="Calibri"/>
          <w:szCs w:val="22"/>
          <w:lang w:val="en-GB"/>
        </w:rPr>
        <w:t xml:space="preserve">m </w:t>
      </w:r>
      <w:r w:rsidR="00864BDE" w:rsidRPr="004B3B85">
        <w:rPr>
          <w:rFonts w:cs="Calibri"/>
          <w:szCs w:val="22"/>
          <w:lang w:val="en-GB"/>
        </w:rPr>
        <w:t>during</w:t>
      </w:r>
      <w:r w:rsidR="00FE78FD" w:rsidRPr="004B3B85">
        <w:rPr>
          <w:rFonts w:cs="Calibri"/>
          <w:szCs w:val="22"/>
          <w:lang w:val="en-GB"/>
        </w:rPr>
        <w:t xml:space="preserve"> </w:t>
      </w:r>
      <w:r w:rsidR="00864BDE" w:rsidRPr="004B3B85">
        <w:rPr>
          <w:rFonts w:cs="Calibri"/>
          <w:szCs w:val="22"/>
          <w:lang w:val="en-GB"/>
        </w:rPr>
        <w:t>operational flows</w:t>
      </w:r>
      <w:r w:rsidR="00FE78FD" w:rsidRPr="004B3B85">
        <w:rPr>
          <w:rFonts w:cs="Calibri"/>
          <w:szCs w:val="22"/>
          <w:lang w:val="en-GB"/>
        </w:rPr>
        <w:t xml:space="preserve"> </w:t>
      </w:r>
      <w:r w:rsidR="00C71A71" w:rsidRPr="004B3B85">
        <w:rPr>
          <w:rFonts w:cs="Calibri"/>
          <w:szCs w:val="22"/>
          <w:lang w:val="en-GB"/>
        </w:rPr>
        <w:t xml:space="preserve">to </w:t>
      </w:r>
      <w:r w:rsidR="004B3B85" w:rsidRPr="004B3B85">
        <w:rPr>
          <w:rFonts w:cs="Calibri"/>
          <w:szCs w:val="22"/>
          <w:lang w:val="en-GB"/>
        </w:rPr>
        <w:t>0.79</w:t>
      </w:r>
      <w:r w:rsidR="00C71A71" w:rsidRPr="004B3B85">
        <w:rPr>
          <w:rFonts w:cs="Calibri"/>
          <w:szCs w:val="22"/>
          <w:lang w:val="en-GB"/>
        </w:rPr>
        <w:t xml:space="preserve"> m </w:t>
      </w:r>
      <w:r w:rsidR="00A8259E">
        <w:rPr>
          <w:rFonts w:cs="Calibri"/>
          <w:szCs w:val="22"/>
          <w:lang w:val="en-GB"/>
        </w:rPr>
        <w:t>during</w:t>
      </w:r>
      <w:r w:rsidR="00FE78FD" w:rsidRPr="004B3B85">
        <w:rPr>
          <w:rFonts w:cs="Calibri"/>
          <w:szCs w:val="22"/>
          <w:lang w:val="en-GB"/>
        </w:rPr>
        <w:t xml:space="preserve"> environmental</w:t>
      </w:r>
      <w:r w:rsidR="00FE78FD">
        <w:rPr>
          <w:rFonts w:cs="Calibri"/>
          <w:szCs w:val="22"/>
          <w:lang w:val="en-GB"/>
        </w:rPr>
        <w:t xml:space="preserve"> water</w:t>
      </w:r>
      <w:r w:rsidR="00A8259E">
        <w:rPr>
          <w:rFonts w:cs="Calibri"/>
          <w:szCs w:val="22"/>
          <w:lang w:val="en-GB"/>
        </w:rPr>
        <w:t>ing).</w:t>
      </w:r>
    </w:p>
    <w:p w14:paraId="3B4F8861" w14:textId="77777777" w:rsidR="00741AC3" w:rsidRDefault="00741AC3" w:rsidP="00BB47D7">
      <w:pPr>
        <w:spacing w:after="0" w:line="240" w:lineRule="auto"/>
        <w:rPr>
          <w:b/>
          <w:bCs/>
          <w:sz w:val="20"/>
        </w:rPr>
      </w:pPr>
    </w:p>
    <w:p w14:paraId="3B4F8862" w14:textId="37AD3516" w:rsidR="00BB47D7" w:rsidRPr="00BB47D7" w:rsidRDefault="00707665" w:rsidP="00BB47D7">
      <w:pPr>
        <w:spacing w:after="0" w:line="240" w:lineRule="auto"/>
        <w:rPr>
          <w:bCs/>
          <w:sz w:val="20"/>
        </w:rPr>
      </w:pPr>
      <w:r>
        <w:rPr>
          <w:b/>
          <w:bCs/>
          <w:sz w:val="20"/>
        </w:rPr>
        <w:t>Table 4</w:t>
      </w:r>
      <w:r w:rsidR="00BB47D7" w:rsidRPr="00BB47D7">
        <w:rPr>
          <w:b/>
          <w:bCs/>
          <w:sz w:val="20"/>
        </w:rPr>
        <w:t xml:space="preserve">.1. </w:t>
      </w:r>
      <w:r w:rsidR="00BB47D7" w:rsidRPr="00BB47D7">
        <w:rPr>
          <w:bCs/>
          <w:sz w:val="20"/>
        </w:rPr>
        <w:t xml:space="preserve">Summary hydrological statistics for four hydrological zones in the Edward-Wakool system </w:t>
      </w:r>
      <w:r w:rsidR="00741AC3">
        <w:rPr>
          <w:bCs/>
          <w:sz w:val="20"/>
        </w:rPr>
        <w:t>for the two year period from</w:t>
      </w:r>
      <w:r w:rsidR="00BB47D7" w:rsidRPr="00BB47D7">
        <w:rPr>
          <w:bCs/>
          <w:sz w:val="20"/>
        </w:rPr>
        <w:t xml:space="preserve"> </w:t>
      </w:r>
      <w:r w:rsidR="00741AC3">
        <w:rPr>
          <w:bCs/>
          <w:sz w:val="20"/>
        </w:rPr>
        <w:t>1/7/14 to 30/6/2016</w:t>
      </w:r>
      <w:r w:rsidR="00BB47D7" w:rsidRPr="00BB47D7">
        <w:rPr>
          <w:bCs/>
          <w:sz w:val="20"/>
        </w:rPr>
        <w:t xml:space="preserve">. Statistics are </w:t>
      </w:r>
      <w:r w:rsidR="00BB47D7" w:rsidRPr="008E7ECD">
        <w:rPr>
          <w:bCs/>
          <w:sz w:val="20"/>
        </w:rPr>
        <w:t>shown for each zone with and without Commonwealth Environmental Water (CEW).</w:t>
      </w:r>
      <w:r w:rsidR="008E7ECD" w:rsidRPr="008E7ECD">
        <w:rPr>
          <w:bCs/>
          <w:sz w:val="20"/>
        </w:rPr>
        <w:t xml:space="preserve"> Note that the operational water component includes </w:t>
      </w:r>
      <w:r w:rsidR="008E7ECD" w:rsidRPr="008E7ECD">
        <w:rPr>
          <w:color w:val="000000" w:themeColor="text1"/>
          <w:sz w:val="20"/>
        </w:rPr>
        <w:t xml:space="preserve">environmental water </w:t>
      </w:r>
      <w:r w:rsidR="008E7ECD" w:rsidRPr="008E7ECD">
        <w:rPr>
          <w:sz w:val="20"/>
        </w:rPr>
        <w:t xml:space="preserve">returning from </w:t>
      </w:r>
      <w:r w:rsidR="00604BF0">
        <w:rPr>
          <w:sz w:val="20"/>
        </w:rPr>
        <w:t xml:space="preserve">the </w:t>
      </w:r>
      <w:r w:rsidR="008E7ECD" w:rsidRPr="008E7ECD">
        <w:rPr>
          <w:sz w:val="20"/>
        </w:rPr>
        <w:t>Barmah-Millewa Forest watering action.</w:t>
      </w:r>
    </w:p>
    <w:tbl>
      <w:tblPr>
        <w:tblW w:w="9197" w:type="dxa"/>
        <w:tblInd w:w="70" w:type="dxa"/>
        <w:tblLayout w:type="fixed"/>
        <w:tblLook w:val="04A0" w:firstRow="1" w:lastRow="0" w:firstColumn="1" w:lastColumn="0" w:noHBand="0" w:noVBand="1"/>
      </w:tblPr>
      <w:tblGrid>
        <w:gridCol w:w="2057"/>
        <w:gridCol w:w="992"/>
        <w:gridCol w:w="709"/>
        <w:gridCol w:w="992"/>
        <w:gridCol w:w="850"/>
        <w:gridCol w:w="992"/>
        <w:gridCol w:w="709"/>
        <w:gridCol w:w="142"/>
        <w:gridCol w:w="1068"/>
        <w:gridCol w:w="686"/>
      </w:tblGrid>
      <w:tr w:rsidR="002F5E77" w:rsidRPr="00752C11" w14:paraId="3B4F8868" w14:textId="77777777" w:rsidTr="00583307">
        <w:trPr>
          <w:trHeight w:val="290"/>
        </w:trPr>
        <w:tc>
          <w:tcPr>
            <w:tcW w:w="2057" w:type="dxa"/>
            <w:tcBorders>
              <w:top w:val="single" w:sz="4" w:space="0" w:color="auto"/>
            </w:tcBorders>
            <w:shd w:val="clear" w:color="auto" w:fill="EAF1DD"/>
            <w:hideMark/>
          </w:tcPr>
          <w:p w14:paraId="3B4F8863" w14:textId="77777777" w:rsidR="002F5E77" w:rsidRPr="00BB47D7" w:rsidRDefault="002F5E77" w:rsidP="00BB47D7">
            <w:pPr>
              <w:autoSpaceDE w:val="0"/>
              <w:autoSpaceDN w:val="0"/>
              <w:adjustRightInd w:val="0"/>
              <w:spacing w:after="0" w:line="240" w:lineRule="auto"/>
              <w:rPr>
                <w:rFonts w:cs="Calibri"/>
                <w:b/>
                <w:color w:val="000000"/>
                <w:lang w:eastAsia="en-AU"/>
              </w:rPr>
            </w:pPr>
            <w:r w:rsidRPr="00BB47D7">
              <w:rPr>
                <w:rFonts w:cs="Calibri"/>
                <w:b/>
                <w:color w:val="000000"/>
                <w:lang w:eastAsia="en-AU"/>
              </w:rPr>
              <w:t>Flow variable</w:t>
            </w:r>
          </w:p>
        </w:tc>
        <w:tc>
          <w:tcPr>
            <w:tcW w:w="1701" w:type="dxa"/>
            <w:gridSpan w:val="2"/>
            <w:tcBorders>
              <w:top w:val="single" w:sz="4" w:space="0" w:color="auto"/>
            </w:tcBorders>
            <w:shd w:val="clear" w:color="auto" w:fill="EAF1DD"/>
            <w:hideMark/>
          </w:tcPr>
          <w:p w14:paraId="3B4F8864" w14:textId="0DD7D35C" w:rsidR="002F5E77" w:rsidRPr="002F5E77" w:rsidRDefault="00583307" w:rsidP="00BB47D7">
            <w:pPr>
              <w:autoSpaceDE w:val="0"/>
              <w:autoSpaceDN w:val="0"/>
              <w:adjustRightInd w:val="0"/>
              <w:spacing w:after="0" w:line="240" w:lineRule="auto"/>
              <w:rPr>
                <w:rFonts w:cs="Calibri"/>
                <w:b/>
                <w:color w:val="000000"/>
                <w:u w:val="single"/>
                <w:lang w:eastAsia="en-AU"/>
              </w:rPr>
            </w:pPr>
            <w:r>
              <w:rPr>
                <w:rFonts w:cs="Calibri"/>
                <w:b/>
                <w:color w:val="000000"/>
                <w:u w:val="single"/>
                <w:lang w:eastAsia="en-AU"/>
              </w:rPr>
              <w:t>Yallakool Creek</w:t>
            </w:r>
          </w:p>
        </w:tc>
        <w:tc>
          <w:tcPr>
            <w:tcW w:w="1842" w:type="dxa"/>
            <w:gridSpan w:val="2"/>
            <w:tcBorders>
              <w:top w:val="single" w:sz="4" w:space="0" w:color="auto"/>
            </w:tcBorders>
            <w:shd w:val="clear" w:color="auto" w:fill="EAF1DD"/>
            <w:hideMark/>
          </w:tcPr>
          <w:p w14:paraId="3B4F8865" w14:textId="77777777" w:rsidR="002F5E77" w:rsidRPr="002F5E77" w:rsidRDefault="002F5E77" w:rsidP="002F5E77">
            <w:pPr>
              <w:autoSpaceDE w:val="0"/>
              <w:autoSpaceDN w:val="0"/>
              <w:adjustRightInd w:val="0"/>
              <w:spacing w:after="0" w:line="240" w:lineRule="auto"/>
              <w:ind w:left="34" w:right="33"/>
              <w:rPr>
                <w:rFonts w:cs="Calibri"/>
                <w:b/>
                <w:color w:val="000000"/>
                <w:u w:val="single"/>
                <w:lang w:eastAsia="en-AU"/>
              </w:rPr>
            </w:pPr>
            <w:r w:rsidRPr="002F5E77">
              <w:rPr>
                <w:rFonts w:cs="Calibri"/>
                <w:b/>
                <w:color w:val="000000"/>
                <w:u w:val="single"/>
                <w:lang w:eastAsia="en-AU"/>
              </w:rPr>
              <w:t>Wakool R zone2</w:t>
            </w:r>
          </w:p>
        </w:tc>
        <w:tc>
          <w:tcPr>
            <w:tcW w:w="1843" w:type="dxa"/>
            <w:gridSpan w:val="3"/>
            <w:tcBorders>
              <w:top w:val="single" w:sz="4" w:space="0" w:color="auto"/>
            </w:tcBorders>
            <w:shd w:val="clear" w:color="auto" w:fill="EAF1DD"/>
            <w:hideMark/>
          </w:tcPr>
          <w:p w14:paraId="3B4F8866" w14:textId="77777777" w:rsidR="002F5E77" w:rsidRPr="002F5E77" w:rsidRDefault="002F5E77" w:rsidP="00BB47D7">
            <w:pPr>
              <w:autoSpaceDE w:val="0"/>
              <w:autoSpaceDN w:val="0"/>
              <w:adjustRightInd w:val="0"/>
              <w:spacing w:after="0" w:line="240" w:lineRule="auto"/>
              <w:rPr>
                <w:rFonts w:cs="Calibri"/>
                <w:b/>
                <w:color w:val="000000"/>
                <w:u w:val="single"/>
                <w:lang w:eastAsia="en-AU"/>
              </w:rPr>
            </w:pPr>
            <w:r w:rsidRPr="002F5E77">
              <w:rPr>
                <w:rFonts w:cs="Calibri"/>
                <w:b/>
                <w:color w:val="000000"/>
                <w:u w:val="single"/>
                <w:lang w:eastAsia="en-AU"/>
              </w:rPr>
              <w:t>Wakool R zone 3</w:t>
            </w:r>
          </w:p>
        </w:tc>
        <w:tc>
          <w:tcPr>
            <w:tcW w:w="1754" w:type="dxa"/>
            <w:gridSpan w:val="2"/>
            <w:tcBorders>
              <w:top w:val="single" w:sz="4" w:space="0" w:color="auto"/>
            </w:tcBorders>
            <w:shd w:val="clear" w:color="auto" w:fill="EAF1DD"/>
            <w:hideMark/>
          </w:tcPr>
          <w:p w14:paraId="3B4F8867" w14:textId="77777777" w:rsidR="002F5E77" w:rsidRPr="002F5E77" w:rsidRDefault="002F5E77" w:rsidP="00BB47D7">
            <w:pPr>
              <w:autoSpaceDE w:val="0"/>
              <w:autoSpaceDN w:val="0"/>
              <w:adjustRightInd w:val="0"/>
              <w:spacing w:after="0" w:line="240" w:lineRule="auto"/>
              <w:rPr>
                <w:rFonts w:cs="Calibri"/>
                <w:b/>
                <w:color w:val="000000"/>
                <w:u w:val="single"/>
                <w:lang w:eastAsia="en-AU"/>
              </w:rPr>
            </w:pPr>
            <w:r w:rsidRPr="002F5E77">
              <w:rPr>
                <w:rFonts w:cs="Calibri"/>
                <w:b/>
                <w:color w:val="000000"/>
                <w:u w:val="single"/>
                <w:lang w:eastAsia="en-AU"/>
              </w:rPr>
              <w:t>Wakool R zone 4</w:t>
            </w:r>
          </w:p>
        </w:tc>
      </w:tr>
      <w:tr w:rsidR="002F5E77" w:rsidRPr="00752C11" w14:paraId="3B4F8872" w14:textId="77777777" w:rsidTr="00583307">
        <w:trPr>
          <w:trHeight w:val="290"/>
        </w:trPr>
        <w:tc>
          <w:tcPr>
            <w:tcW w:w="2057" w:type="dxa"/>
            <w:tcBorders>
              <w:bottom w:val="single" w:sz="4" w:space="0" w:color="auto"/>
            </w:tcBorders>
          </w:tcPr>
          <w:p w14:paraId="3B4F8869" w14:textId="77777777" w:rsidR="002F5E77" w:rsidRPr="00BB47D7" w:rsidRDefault="002F5E77" w:rsidP="003E1F9C">
            <w:pPr>
              <w:autoSpaceDE w:val="0"/>
              <w:autoSpaceDN w:val="0"/>
              <w:adjustRightInd w:val="0"/>
              <w:spacing w:after="0" w:line="240" w:lineRule="auto"/>
              <w:rPr>
                <w:rFonts w:cs="Calibri"/>
                <w:color w:val="000000"/>
                <w:lang w:eastAsia="en-AU"/>
              </w:rPr>
            </w:pPr>
          </w:p>
        </w:tc>
        <w:tc>
          <w:tcPr>
            <w:tcW w:w="992" w:type="dxa"/>
            <w:tcBorders>
              <w:bottom w:val="single" w:sz="4" w:space="0" w:color="auto"/>
            </w:tcBorders>
          </w:tcPr>
          <w:p w14:paraId="3B4F886A" w14:textId="77777777" w:rsidR="002F5E77" w:rsidRPr="00BB47D7" w:rsidRDefault="002F5E77" w:rsidP="003E1F9C">
            <w:pPr>
              <w:autoSpaceDE w:val="0"/>
              <w:autoSpaceDN w:val="0"/>
              <w:adjustRightInd w:val="0"/>
              <w:spacing w:after="0" w:line="240" w:lineRule="auto"/>
              <w:jc w:val="center"/>
              <w:rPr>
                <w:rFonts w:cs="Calibri"/>
                <w:color w:val="000000"/>
                <w:sz w:val="20"/>
                <w:lang w:eastAsia="en-AU"/>
              </w:rPr>
            </w:pPr>
            <w:r w:rsidRPr="00BB47D7">
              <w:rPr>
                <w:rFonts w:cs="Calibri"/>
                <w:color w:val="000000"/>
                <w:sz w:val="20"/>
                <w:lang w:eastAsia="en-AU"/>
              </w:rPr>
              <w:t>Without CEW</w:t>
            </w:r>
          </w:p>
        </w:tc>
        <w:tc>
          <w:tcPr>
            <w:tcW w:w="709" w:type="dxa"/>
            <w:tcBorders>
              <w:bottom w:val="single" w:sz="4" w:space="0" w:color="auto"/>
            </w:tcBorders>
          </w:tcPr>
          <w:p w14:paraId="3B4F886B" w14:textId="77777777" w:rsidR="002F5E77" w:rsidRPr="00BB47D7" w:rsidRDefault="002F5E77" w:rsidP="002F5E77">
            <w:pPr>
              <w:autoSpaceDE w:val="0"/>
              <w:autoSpaceDN w:val="0"/>
              <w:adjustRightInd w:val="0"/>
              <w:spacing w:after="0" w:line="240" w:lineRule="auto"/>
              <w:jc w:val="right"/>
              <w:rPr>
                <w:rFonts w:cs="Calibri"/>
                <w:color w:val="000000"/>
                <w:sz w:val="20"/>
                <w:lang w:eastAsia="en-AU"/>
              </w:rPr>
            </w:pPr>
            <w:r w:rsidRPr="00BB47D7">
              <w:rPr>
                <w:rFonts w:cs="Calibri"/>
                <w:color w:val="000000"/>
                <w:sz w:val="20"/>
                <w:lang w:eastAsia="en-AU"/>
              </w:rPr>
              <w:t>With CEW</w:t>
            </w:r>
          </w:p>
        </w:tc>
        <w:tc>
          <w:tcPr>
            <w:tcW w:w="992" w:type="dxa"/>
            <w:tcBorders>
              <w:bottom w:val="single" w:sz="4" w:space="0" w:color="auto"/>
            </w:tcBorders>
          </w:tcPr>
          <w:p w14:paraId="3B4F886C" w14:textId="4B667753" w:rsidR="002F5E77" w:rsidRPr="00BB47D7" w:rsidRDefault="002F5E77" w:rsidP="002F5E77">
            <w:pPr>
              <w:autoSpaceDE w:val="0"/>
              <w:autoSpaceDN w:val="0"/>
              <w:adjustRightInd w:val="0"/>
              <w:spacing w:after="0" w:line="240" w:lineRule="auto"/>
              <w:jc w:val="right"/>
              <w:rPr>
                <w:rFonts w:cs="Calibri"/>
                <w:color w:val="000000"/>
                <w:lang w:eastAsia="en-AU"/>
              </w:rPr>
            </w:pPr>
            <w:r w:rsidRPr="00BB47D7">
              <w:rPr>
                <w:rFonts w:cs="Calibri"/>
                <w:color w:val="000000"/>
                <w:sz w:val="20"/>
                <w:lang w:eastAsia="en-AU"/>
              </w:rPr>
              <w:t>Without CEW</w:t>
            </w:r>
          </w:p>
        </w:tc>
        <w:tc>
          <w:tcPr>
            <w:tcW w:w="850" w:type="dxa"/>
            <w:tcBorders>
              <w:bottom w:val="single" w:sz="4" w:space="0" w:color="auto"/>
            </w:tcBorders>
          </w:tcPr>
          <w:p w14:paraId="3B4F886D" w14:textId="77777777" w:rsidR="002F5E77" w:rsidRPr="00BB47D7" w:rsidRDefault="002F5E77" w:rsidP="002F5E77">
            <w:pPr>
              <w:autoSpaceDE w:val="0"/>
              <w:autoSpaceDN w:val="0"/>
              <w:adjustRightInd w:val="0"/>
              <w:spacing w:after="0" w:line="240" w:lineRule="auto"/>
              <w:ind w:right="98"/>
              <w:jc w:val="right"/>
              <w:rPr>
                <w:rFonts w:cs="Calibri"/>
                <w:color w:val="000000"/>
                <w:sz w:val="20"/>
                <w:lang w:eastAsia="en-AU"/>
              </w:rPr>
            </w:pPr>
            <w:r w:rsidRPr="00BB47D7">
              <w:rPr>
                <w:rFonts w:cs="Calibri"/>
                <w:color w:val="000000"/>
                <w:sz w:val="20"/>
                <w:lang w:eastAsia="en-AU"/>
              </w:rPr>
              <w:t>With CEW</w:t>
            </w:r>
          </w:p>
        </w:tc>
        <w:tc>
          <w:tcPr>
            <w:tcW w:w="992" w:type="dxa"/>
            <w:tcBorders>
              <w:bottom w:val="single" w:sz="4" w:space="0" w:color="auto"/>
            </w:tcBorders>
          </w:tcPr>
          <w:p w14:paraId="3B4F886E" w14:textId="77777777" w:rsidR="002F5E77" w:rsidRPr="00BB47D7" w:rsidRDefault="002F5E77" w:rsidP="002F5E77">
            <w:pPr>
              <w:autoSpaceDE w:val="0"/>
              <w:autoSpaceDN w:val="0"/>
              <w:adjustRightInd w:val="0"/>
              <w:spacing w:after="0" w:line="240" w:lineRule="auto"/>
              <w:jc w:val="right"/>
              <w:rPr>
                <w:rFonts w:cs="Calibri"/>
                <w:color w:val="000000"/>
                <w:lang w:eastAsia="en-AU"/>
              </w:rPr>
            </w:pPr>
            <w:r w:rsidRPr="00BB47D7">
              <w:rPr>
                <w:rFonts w:cs="Calibri"/>
                <w:color w:val="000000"/>
                <w:sz w:val="20"/>
                <w:lang w:eastAsia="en-AU"/>
              </w:rPr>
              <w:t>Without CEW</w:t>
            </w:r>
          </w:p>
        </w:tc>
        <w:tc>
          <w:tcPr>
            <w:tcW w:w="709" w:type="dxa"/>
            <w:tcBorders>
              <w:bottom w:val="single" w:sz="4" w:space="0" w:color="auto"/>
            </w:tcBorders>
          </w:tcPr>
          <w:p w14:paraId="3B4F886F" w14:textId="77777777" w:rsidR="002F5E77" w:rsidRPr="00BB47D7" w:rsidRDefault="002F5E77" w:rsidP="002F5E77">
            <w:pPr>
              <w:autoSpaceDE w:val="0"/>
              <w:autoSpaceDN w:val="0"/>
              <w:adjustRightInd w:val="0"/>
              <w:spacing w:after="0" w:line="240" w:lineRule="auto"/>
              <w:jc w:val="right"/>
              <w:rPr>
                <w:rFonts w:cs="Calibri"/>
                <w:color w:val="000000"/>
                <w:lang w:eastAsia="en-AU"/>
              </w:rPr>
            </w:pPr>
            <w:r w:rsidRPr="00BB47D7">
              <w:rPr>
                <w:rFonts w:cs="Calibri"/>
                <w:color w:val="000000"/>
                <w:sz w:val="20"/>
                <w:lang w:eastAsia="en-AU"/>
              </w:rPr>
              <w:t>With CEW</w:t>
            </w:r>
          </w:p>
        </w:tc>
        <w:tc>
          <w:tcPr>
            <w:tcW w:w="1210" w:type="dxa"/>
            <w:gridSpan w:val="2"/>
            <w:tcBorders>
              <w:bottom w:val="single" w:sz="4" w:space="0" w:color="auto"/>
            </w:tcBorders>
          </w:tcPr>
          <w:p w14:paraId="3B4F8870" w14:textId="34FC7974" w:rsidR="002F5E77" w:rsidRPr="00BB47D7" w:rsidRDefault="002F5E77" w:rsidP="002F5E77">
            <w:pPr>
              <w:autoSpaceDE w:val="0"/>
              <w:autoSpaceDN w:val="0"/>
              <w:adjustRightInd w:val="0"/>
              <w:spacing w:after="0" w:line="240" w:lineRule="auto"/>
              <w:jc w:val="right"/>
              <w:rPr>
                <w:rFonts w:cs="Calibri"/>
                <w:color w:val="000000"/>
                <w:lang w:eastAsia="en-AU"/>
              </w:rPr>
            </w:pPr>
            <w:r w:rsidRPr="00BB47D7">
              <w:rPr>
                <w:rFonts w:cs="Calibri"/>
                <w:color w:val="000000"/>
                <w:sz w:val="20"/>
                <w:lang w:eastAsia="en-AU"/>
              </w:rPr>
              <w:t>Without CEW</w:t>
            </w:r>
          </w:p>
        </w:tc>
        <w:tc>
          <w:tcPr>
            <w:tcW w:w="686" w:type="dxa"/>
            <w:tcBorders>
              <w:bottom w:val="single" w:sz="4" w:space="0" w:color="auto"/>
            </w:tcBorders>
          </w:tcPr>
          <w:p w14:paraId="3B4F8871" w14:textId="77777777" w:rsidR="002F5E77" w:rsidRPr="00BB47D7" w:rsidRDefault="002F5E77" w:rsidP="002F5E77">
            <w:pPr>
              <w:autoSpaceDE w:val="0"/>
              <w:autoSpaceDN w:val="0"/>
              <w:adjustRightInd w:val="0"/>
              <w:spacing w:after="0" w:line="240" w:lineRule="auto"/>
              <w:jc w:val="right"/>
              <w:rPr>
                <w:rFonts w:cs="Calibri"/>
                <w:color w:val="000000"/>
                <w:lang w:eastAsia="en-AU"/>
              </w:rPr>
            </w:pPr>
            <w:r w:rsidRPr="00BB47D7">
              <w:rPr>
                <w:rFonts w:cs="Calibri"/>
                <w:color w:val="000000"/>
                <w:sz w:val="20"/>
                <w:lang w:eastAsia="en-AU"/>
              </w:rPr>
              <w:t>With CEW</w:t>
            </w:r>
          </w:p>
        </w:tc>
      </w:tr>
      <w:tr w:rsidR="002F5E77" w:rsidRPr="00752C11" w14:paraId="3B4F887C" w14:textId="77777777" w:rsidTr="00583307">
        <w:trPr>
          <w:trHeight w:val="290"/>
        </w:trPr>
        <w:tc>
          <w:tcPr>
            <w:tcW w:w="2057" w:type="dxa"/>
            <w:tcBorders>
              <w:top w:val="single" w:sz="4" w:space="0" w:color="auto"/>
            </w:tcBorders>
            <w:hideMark/>
          </w:tcPr>
          <w:p w14:paraId="3B4F8873" w14:textId="77777777" w:rsidR="002F5E77" w:rsidRPr="00BB47D7" w:rsidRDefault="002F5E77" w:rsidP="003E1F9C">
            <w:pPr>
              <w:autoSpaceDE w:val="0"/>
              <w:autoSpaceDN w:val="0"/>
              <w:adjustRightInd w:val="0"/>
              <w:spacing w:after="0" w:line="280" w:lineRule="exact"/>
              <w:rPr>
                <w:rFonts w:cs="Calibri"/>
                <w:color w:val="000000"/>
                <w:lang w:eastAsia="en-AU"/>
              </w:rPr>
            </w:pPr>
            <w:r w:rsidRPr="00BB47D7">
              <w:rPr>
                <w:rFonts w:cs="Calibri"/>
                <w:color w:val="000000"/>
                <w:lang w:eastAsia="en-AU"/>
              </w:rPr>
              <w:t>Q</w:t>
            </w:r>
            <w:r w:rsidRPr="00BB47D7">
              <w:rPr>
                <w:rFonts w:cs="Calibri"/>
                <w:color w:val="000000"/>
                <w:vertAlign w:val="subscript"/>
                <w:lang w:eastAsia="en-AU"/>
              </w:rPr>
              <w:t>min</w:t>
            </w:r>
            <w:r>
              <w:rPr>
                <w:rFonts w:cs="Calibri"/>
                <w:color w:val="000000"/>
                <w:vertAlign w:val="subscript"/>
                <w:lang w:eastAsia="en-AU"/>
              </w:rPr>
              <w:t xml:space="preserve"> </w:t>
            </w:r>
            <w:r w:rsidRPr="003E1F9C">
              <w:rPr>
                <w:bCs/>
                <w:sz w:val="18"/>
                <w:szCs w:val="18"/>
              </w:rPr>
              <w:t>(</w:t>
            </w:r>
            <w:r w:rsidRPr="003E1F9C">
              <w:rPr>
                <w:sz w:val="18"/>
                <w:szCs w:val="18"/>
              </w:rPr>
              <w:t>ML.d</w:t>
            </w:r>
            <w:r w:rsidRPr="003E1F9C">
              <w:rPr>
                <w:sz w:val="18"/>
                <w:szCs w:val="18"/>
                <w:vertAlign w:val="superscript"/>
              </w:rPr>
              <w:t>-1</w:t>
            </w:r>
            <w:r w:rsidRPr="003E1F9C">
              <w:rPr>
                <w:bCs/>
                <w:sz w:val="18"/>
                <w:szCs w:val="18"/>
              </w:rPr>
              <w:t>)</w:t>
            </w:r>
          </w:p>
        </w:tc>
        <w:tc>
          <w:tcPr>
            <w:tcW w:w="992" w:type="dxa"/>
            <w:tcBorders>
              <w:top w:val="single" w:sz="4" w:space="0" w:color="auto"/>
            </w:tcBorders>
          </w:tcPr>
          <w:p w14:paraId="3B4F8874"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w:t>
            </w:r>
          </w:p>
        </w:tc>
        <w:tc>
          <w:tcPr>
            <w:tcW w:w="709" w:type="dxa"/>
            <w:tcBorders>
              <w:top w:val="single" w:sz="4" w:space="0" w:color="auto"/>
            </w:tcBorders>
          </w:tcPr>
          <w:p w14:paraId="3B4F8875"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w:t>
            </w:r>
          </w:p>
        </w:tc>
        <w:tc>
          <w:tcPr>
            <w:tcW w:w="992" w:type="dxa"/>
            <w:tcBorders>
              <w:top w:val="single" w:sz="4" w:space="0" w:color="auto"/>
            </w:tcBorders>
          </w:tcPr>
          <w:p w14:paraId="3B4F8876"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w:t>
            </w:r>
          </w:p>
        </w:tc>
        <w:tc>
          <w:tcPr>
            <w:tcW w:w="850" w:type="dxa"/>
            <w:tcBorders>
              <w:top w:val="single" w:sz="4" w:space="0" w:color="auto"/>
            </w:tcBorders>
          </w:tcPr>
          <w:p w14:paraId="3B4F8877" w14:textId="77777777" w:rsidR="002F5E77" w:rsidRPr="00BB47D7" w:rsidRDefault="002F5E77" w:rsidP="002F5E77">
            <w:pPr>
              <w:autoSpaceDE w:val="0"/>
              <w:autoSpaceDN w:val="0"/>
              <w:adjustRightInd w:val="0"/>
              <w:spacing w:after="0" w:line="280" w:lineRule="exact"/>
              <w:ind w:right="98"/>
              <w:jc w:val="right"/>
              <w:rPr>
                <w:rFonts w:cs="Calibri"/>
                <w:color w:val="000000"/>
                <w:lang w:eastAsia="en-AU"/>
              </w:rPr>
            </w:pPr>
            <w:r>
              <w:rPr>
                <w:rFonts w:cs="Calibri"/>
                <w:color w:val="000000"/>
                <w:lang w:eastAsia="en-AU"/>
              </w:rPr>
              <w:t>0</w:t>
            </w:r>
          </w:p>
        </w:tc>
        <w:tc>
          <w:tcPr>
            <w:tcW w:w="992" w:type="dxa"/>
            <w:tcBorders>
              <w:top w:val="single" w:sz="4" w:space="0" w:color="auto"/>
            </w:tcBorders>
          </w:tcPr>
          <w:p w14:paraId="3B4F8878"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w:t>
            </w:r>
          </w:p>
        </w:tc>
        <w:tc>
          <w:tcPr>
            <w:tcW w:w="709" w:type="dxa"/>
            <w:tcBorders>
              <w:top w:val="single" w:sz="4" w:space="0" w:color="auto"/>
            </w:tcBorders>
          </w:tcPr>
          <w:p w14:paraId="3B4F8879"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w:t>
            </w:r>
          </w:p>
        </w:tc>
        <w:tc>
          <w:tcPr>
            <w:tcW w:w="1210" w:type="dxa"/>
            <w:gridSpan w:val="2"/>
            <w:tcBorders>
              <w:top w:val="single" w:sz="4" w:space="0" w:color="auto"/>
            </w:tcBorders>
          </w:tcPr>
          <w:p w14:paraId="3B4F887A"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0.5</w:t>
            </w:r>
          </w:p>
        </w:tc>
        <w:tc>
          <w:tcPr>
            <w:tcW w:w="686" w:type="dxa"/>
            <w:tcBorders>
              <w:top w:val="single" w:sz="4" w:space="0" w:color="auto"/>
            </w:tcBorders>
          </w:tcPr>
          <w:p w14:paraId="3B4F887B"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0.5</w:t>
            </w:r>
          </w:p>
        </w:tc>
      </w:tr>
      <w:tr w:rsidR="002F5E77" w:rsidRPr="00752C11" w14:paraId="3B4F8886" w14:textId="77777777" w:rsidTr="00583307">
        <w:trPr>
          <w:trHeight w:val="290"/>
        </w:trPr>
        <w:tc>
          <w:tcPr>
            <w:tcW w:w="2057" w:type="dxa"/>
            <w:hideMark/>
          </w:tcPr>
          <w:p w14:paraId="3B4F887D" w14:textId="77777777" w:rsidR="002F5E77" w:rsidRPr="00BB47D7" w:rsidRDefault="002F5E77" w:rsidP="003E1F9C">
            <w:pPr>
              <w:autoSpaceDE w:val="0"/>
              <w:autoSpaceDN w:val="0"/>
              <w:adjustRightInd w:val="0"/>
              <w:spacing w:after="0" w:line="280" w:lineRule="exact"/>
              <w:rPr>
                <w:rFonts w:cs="Calibri"/>
                <w:color w:val="000000"/>
                <w:lang w:eastAsia="en-AU"/>
              </w:rPr>
            </w:pPr>
            <w:r w:rsidRPr="00BB47D7">
              <w:rPr>
                <w:rFonts w:cs="Calibri"/>
                <w:color w:val="000000"/>
                <w:lang w:eastAsia="en-AU"/>
              </w:rPr>
              <w:t>Q</w:t>
            </w:r>
            <w:r w:rsidRPr="00BB47D7">
              <w:rPr>
                <w:rFonts w:cs="Calibri"/>
                <w:color w:val="000000"/>
                <w:vertAlign w:val="subscript"/>
                <w:lang w:eastAsia="en-AU"/>
              </w:rPr>
              <w:t>max</w:t>
            </w:r>
            <w:r>
              <w:rPr>
                <w:rFonts w:cs="Calibri"/>
                <w:color w:val="000000"/>
                <w:vertAlign w:val="subscript"/>
                <w:lang w:eastAsia="en-AU"/>
              </w:rPr>
              <w:t xml:space="preserve"> </w:t>
            </w:r>
            <w:r w:rsidRPr="003E1F9C">
              <w:rPr>
                <w:bCs/>
                <w:sz w:val="18"/>
                <w:szCs w:val="18"/>
              </w:rPr>
              <w:t>(</w:t>
            </w:r>
            <w:r w:rsidRPr="003E1F9C">
              <w:rPr>
                <w:sz w:val="18"/>
                <w:szCs w:val="18"/>
              </w:rPr>
              <w:t>ML.d</w:t>
            </w:r>
            <w:r w:rsidRPr="003E1F9C">
              <w:rPr>
                <w:sz w:val="18"/>
                <w:szCs w:val="18"/>
                <w:vertAlign w:val="superscript"/>
              </w:rPr>
              <w:t>-1</w:t>
            </w:r>
            <w:r w:rsidRPr="003E1F9C">
              <w:rPr>
                <w:bCs/>
                <w:sz w:val="18"/>
                <w:szCs w:val="18"/>
              </w:rPr>
              <w:t>)</w:t>
            </w:r>
          </w:p>
        </w:tc>
        <w:tc>
          <w:tcPr>
            <w:tcW w:w="992" w:type="dxa"/>
          </w:tcPr>
          <w:p w14:paraId="3B4F887E"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480</w:t>
            </w:r>
          </w:p>
        </w:tc>
        <w:tc>
          <w:tcPr>
            <w:tcW w:w="709" w:type="dxa"/>
          </w:tcPr>
          <w:p w14:paraId="3B4F887F"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520</w:t>
            </w:r>
          </w:p>
        </w:tc>
        <w:tc>
          <w:tcPr>
            <w:tcW w:w="992" w:type="dxa"/>
          </w:tcPr>
          <w:p w14:paraId="3B4F8880"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370</w:t>
            </w:r>
          </w:p>
        </w:tc>
        <w:tc>
          <w:tcPr>
            <w:tcW w:w="850" w:type="dxa"/>
          </w:tcPr>
          <w:p w14:paraId="3B4F8881" w14:textId="77777777" w:rsidR="002F5E77" w:rsidRPr="00BB47D7" w:rsidRDefault="002F5E77" w:rsidP="002F5E77">
            <w:pPr>
              <w:autoSpaceDE w:val="0"/>
              <w:autoSpaceDN w:val="0"/>
              <w:adjustRightInd w:val="0"/>
              <w:spacing w:after="0" w:line="280" w:lineRule="exact"/>
              <w:ind w:right="98"/>
              <w:jc w:val="right"/>
              <w:rPr>
                <w:rFonts w:cs="Calibri"/>
                <w:color w:val="000000"/>
                <w:lang w:eastAsia="en-AU"/>
              </w:rPr>
            </w:pPr>
            <w:r>
              <w:rPr>
                <w:rFonts w:cs="Calibri"/>
                <w:color w:val="000000"/>
                <w:lang w:eastAsia="en-AU"/>
              </w:rPr>
              <w:t>370</w:t>
            </w:r>
          </w:p>
        </w:tc>
        <w:tc>
          <w:tcPr>
            <w:tcW w:w="992" w:type="dxa"/>
          </w:tcPr>
          <w:p w14:paraId="3B4F8882"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508</w:t>
            </w:r>
          </w:p>
        </w:tc>
        <w:tc>
          <w:tcPr>
            <w:tcW w:w="709" w:type="dxa"/>
          </w:tcPr>
          <w:p w14:paraId="3B4F8883"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515</w:t>
            </w:r>
          </w:p>
        </w:tc>
        <w:tc>
          <w:tcPr>
            <w:tcW w:w="1210" w:type="dxa"/>
            <w:gridSpan w:val="2"/>
          </w:tcPr>
          <w:p w14:paraId="3B4F8884"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506</w:t>
            </w:r>
          </w:p>
        </w:tc>
        <w:tc>
          <w:tcPr>
            <w:tcW w:w="686" w:type="dxa"/>
          </w:tcPr>
          <w:p w14:paraId="3B4F8885"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514</w:t>
            </w:r>
          </w:p>
        </w:tc>
      </w:tr>
      <w:tr w:rsidR="002F5E77" w:rsidRPr="00752C11" w14:paraId="3B4F8890" w14:textId="77777777" w:rsidTr="00583307">
        <w:trPr>
          <w:trHeight w:val="290"/>
        </w:trPr>
        <w:tc>
          <w:tcPr>
            <w:tcW w:w="2057" w:type="dxa"/>
            <w:hideMark/>
          </w:tcPr>
          <w:p w14:paraId="3B4F8887" w14:textId="77777777" w:rsidR="002F5E77" w:rsidRPr="00BB47D7" w:rsidRDefault="002F5E77" w:rsidP="003E1F9C">
            <w:pPr>
              <w:autoSpaceDE w:val="0"/>
              <w:autoSpaceDN w:val="0"/>
              <w:adjustRightInd w:val="0"/>
              <w:spacing w:after="0" w:line="280" w:lineRule="exact"/>
              <w:rPr>
                <w:rFonts w:cs="Calibri"/>
                <w:color w:val="000000"/>
                <w:lang w:eastAsia="en-AU"/>
              </w:rPr>
            </w:pPr>
            <w:r w:rsidRPr="00BB47D7">
              <w:rPr>
                <w:rFonts w:cs="Calibri"/>
                <w:color w:val="000000"/>
                <w:sz w:val="20"/>
                <w:lang w:eastAsia="en-AU"/>
              </w:rPr>
              <w:t>mean</w:t>
            </w:r>
            <w:r w:rsidRPr="00BB47D7">
              <w:rPr>
                <w:rFonts w:cs="Calibri"/>
                <w:color w:val="000000"/>
                <w:lang w:eastAsia="en-AU"/>
              </w:rPr>
              <w:t xml:space="preserve"> (Q</w:t>
            </w:r>
            <w:r w:rsidRPr="00BB47D7">
              <w:rPr>
                <w:rFonts w:cs="Calibri"/>
                <w:color w:val="000000"/>
                <w:vertAlign w:val="subscript"/>
                <w:lang w:eastAsia="en-AU"/>
              </w:rPr>
              <w:t>mean</w:t>
            </w:r>
            <w:r w:rsidRPr="00BB47D7">
              <w:rPr>
                <w:rFonts w:cs="Calibri"/>
                <w:color w:val="000000"/>
                <w:lang w:eastAsia="en-AU"/>
              </w:rPr>
              <w:t>)</w:t>
            </w:r>
            <w:r>
              <w:rPr>
                <w:rFonts w:cs="Calibri"/>
                <w:color w:val="000000"/>
                <w:lang w:eastAsia="en-AU"/>
              </w:rPr>
              <w:t xml:space="preserve"> </w:t>
            </w:r>
            <w:r w:rsidRPr="003E1F9C">
              <w:rPr>
                <w:bCs/>
                <w:sz w:val="18"/>
                <w:szCs w:val="18"/>
              </w:rPr>
              <w:t>(</w:t>
            </w:r>
            <w:r w:rsidRPr="003E1F9C">
              <w:rPr>
                <w:sz w:val="18"/>
                <w:szCs w:val="18"/>
              </w:rPr>
              <w:t>ML.d</w:t>
            </w:r>
            <w:r w:rsidRPr="003E1F9C">
              <w:rPr>
                <w:sz w:val="18"/>
                <w:szCs w:val="18"/>
                <w:vertAlign w:val="superscript"/>
              </w:rPr>
              <w:t>-1</w:t>
            </w:r>
            <w:r w:rsidRPr="003E1F9C">
              <w:rPr>
                <w:bCs/>
                <w:sz w:val="18"/>
                <w:szCs w:val="18"/>
              </w:rPr>
              <w:t>)</w:t>
            </w:r>
          </w:p>
        </w:tc>
        <w:tc>
          <w:tcPr>
            <w:tcW w:w="992" w:type="dxa"/>
          </w:tcPr>
          <w:p w14:paraId="3B4F8888"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231</w:t>
            </w:r>
          </w:p>
        </w:tc>
        <w:tc>
          <w:tcPr>
            <w:tcW w:w="709" w:type="dxa"/>
          </w:tcPr>
          <w:p w14:paraId="3B4F8889"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312</w:t>
            </w:r>
          </w:p>
        </w:tc>
        <w:tc>
          <w:tcPr>
            <w:tcW w:w="992" w:type="dxa"/>
          </w:tcPr>
          <w:p w14:paraId="3B4F888A"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70</w:t>
            </w:r>
          </w:p>
        </w:tc>
        <w:tc>
          <w:tcPr>
            <w:tcW w:w="850" w:type="dxa"/>
          </w:tcPr>
          <w:p w14:paraId="3B4F888B" w14:textId="77777777" w:rsidR="002F5E77" w:rsidRPr="00BB47D7" w:rsidRDefault="002F5E77" w:rsidP="002F5E77">
            <w:pPr>
              <w:autoSpaceDE w:val="0"/>
              <w:autoSpaceDN w:val="0"/>
              <w:adjustRightInd w:val="0"/>
              <w:spacing w:after="0" w:line="280" w:lineRule="exact"/>
              <w:ind w:right="98"/>
              <w:jc w:val="right"/>
              <w:rPr>
                <w:rFonts w:cs="Calibri"/>
                <w:color w:val="000000"/>
                <w:lang w:eastAsia="en-AU"/>
              </w:rPr>
            </w:pPr>
            <w:r>
              <w:rPr>
                <w:rFonts w:cs="Calibri"/>
                <w:color w:val="000000"/>
                <w:lang w:eastAsia="en-AU"/>
              </w:rPr>
              <w:t>74</w:t>
            </w:r>
          </w:p>
        </w:tc>
        <w:tc>
          <w:tcPr>
            <w:tcW w:w="992" w:type="dxa"/>
          </w:tcPr>
          <w:p w14:paraId="3B4F888C"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223</w:t>
            </w:r>
          </w:p>
        </w:tc>
        <w:tc>
          <w:tcPr>
            <w:tcW w:w="709" w:type="dxa"/>
          </w:tcPr>
          <w:p w14:paraId="3B4F888D"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311</w:t>
            </w:r>
          </w:p>
        </w:tc>
        <w:tc>
          <w:tcPr>
            <w:tcW w:w="1210" w:type="dxa"/>
            <w:gridSpan w:val="2"/>
          </w:tcPr>
          <w:p w14:paraId="3B4F888E"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217</w:t>
            </w:r>
          </w:p>
        </w:tc>
        <w:tc>
          <w:tcPr>
            <w:tcW w:w="686" w:type="dxa"/>
          </w:tcPr>
          <w:p w14:paraId="3B4F888F"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312</w:t>
            </w:r>
          </w:p>
        </w:tc>
      </w:tr>
      <w:tr w:rsidR="002F5E77" w:rsidRPr="00752C11" w14:paraId="3B4F889A" w14:textId="77777777" w:rsidTr="00583307">
        <w:trPr>
          <w:trHeight w:val="290"/>
        </w:trPr>
        <w:tc>
          <w:tcPr>
            <w:tcW w:w="2057" w:type="dxa"/>
            <w:hideMark/>
          </w:tcPr>
          <w:p w14:paraId="3B4F8891" w14:textId="77777777" w:rsidR="002F5E77" w:rsidRPr="00BB47D7" w:rsidRDefault="002F5E77" w:rsidP="003E1F9C">
            <w:pPr>
              <w:autoSpaceDE w:val="0"/>
              <w:autoSpaceDN w:val="0"/>
              <w:adjustRightInd w:val="0"/>
              <w:spacing w:after="0" w:line="280" w:lineRule="exact"/>
              <w:rPr>
                <w:rFonts w:cs="Calibri"/>
                <w:color w:val="000000"/>
                <w:lang w:eastAsia="en-AU"/>
              </w:rPr>
            </w:pPr>
            <w:r w:rsidRPr="00BB47D7">
              <w:rPr>
                <w:rFonts w:cs="Calibri"/>
                <w:color w:val="000000"/>
                <w:sz w:val="20"/>
                <w:lang w:eastAsia="en-AU"/>
              </w:rPr>
              <w:t xml:space="preserve">median </w:t>
            </w:r>
            <w:r w:rsidRPr="00BB47D7">
              <w:rPr>
                <w:rFonts w:cs="Calibri"/>
                <w:color w:val="000000"/>
                <w:lang w:eastAsia="en-AU"/>
              </w:rPr>
              <w:t>(Q</w:t>
            </w:r>
            <w:r w:rsidRPr="00BB47D7">
              <w:rPr>
                <w:rFonts w:cs="Calibri"/>
                <w:color w:val="000000"/>
                <w:vertAlign w:val="subscript"/>
                <w:lang w:eastAsia="en-AU"/>
              </w:rPr>
              <w:t>50</w:t>
            </w:r>
            <w:r w:rsidRPr="00BB47D7">
              <w:rPr>
                <w:rFonts w:cs="Calibri"/>
                <w:color w:val="000000"/>
                <w:lang w:eastAsia="en-AU"/>
              </w:rPr>
              <w:t>)</w:t>
            </w:r>
            <w:r>
              <w:rPr>
                <w:rFonts w:cs="Calibri"/>
                <w:color w:val="000000"/>
                <w:lang w:eastAsia="en-AU"/>
              </w:rPr>
              <w:t xml:space="preserve"> </w:t>
            </w:r>
            <w:r w:rsidRPr="003E1F9C">
              <w:rPr>
                <w:bCs/>
                <w:sz w:val="18"/>
                <w:szCs w:val="18"/>
              </w:rPr>
              <w:t>(</w:t>
            </w:r>
            <w:r w:rsidRPr="003E1F9C">
              <w:rPr>
                <w:sz w:val="18"/>
                <w:szCs w:val="18"/>
              </w:rPr>
              <w:t>ML.d</w:t>
            </w:r>
            <w:r w:rsidRPr="003E1F9C">
              <w:rPr>
                <w:sz w:val="18"/>
                <w:szCs w:val="18"/>
                <w:vertAlign w:val="superscript"/>
              </w:rPr>
              <w:t>-1</w:t>
            </w:r>
            <w:r w:rsidRPr="003E1F9C">
              <w:rPr>
                <w:bCs/>
                <w:sz w:val="18"/>
                <w:szCs w:val="18"/>
              </w:rPr>
              <w:t>)</w:t>
            </w:r>
          </w:p>
        </w:tc>
        <w:tc>
          <w:tcPr>
            <w:tcW w:w="992" w:type="dxa"/>
          </w:tcPr>
          <w:p w14:paraId="3B4F8892"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240</w:t>
            </w:r>
          </w:p>
        </w:tc>
        <w:tc>
          <w:tcPr>
            <w:tcW w:w="709" w:type="dxa"/>
          </w:tcPr>
          <w:p w14:paraId="3B4F8893"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323</w:t>
            </w:r>
          </w:p>
        </w:tc>
        <w:tc>
          <w:tcPr>
            <w:tcW w:w="992" w:type="dxa"/>
          </w:tcPr>
          <w:p w14:paraId="3B4F8894"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53</w:t>
            </w:r>
          </w:p>
        </w:tc>
        <w:tc>
          <w:tcPr>
            <w:tcW w:w="850" w:type="dxa"/>
          </w:tcPr>
          <w:p w14:paraId="3B4F8895" w14:textId="77777777" w:rsidR="002F5E77" w:rsidRPr="00BB47D7" w:rsidRDefault="002F5E77" w:rsidP="002F5E77">
            <w:pPr>
              <w:autoSpaceDE w:val="0"/>
              <w:autoSpaceDN w:val="0"/>
              <w:adjustRightInd w:val="0"/>
              <w:spacing w:after="0" w:line="280" w:lineRule="exact"/>
              <w:ind w:right="98"/>
              <w:jc w:val="right"/>
              <w:rPr>
                <w:rFonts w:cs="Calibri"/>
                <w:color w:val="000000"/>
                <w:lang w:eastAsia="en-AU"/>
              </w:rPr>
            </w:pPr>
            <w:r>
              <w:rPr>
                <w:rFonts w:cs="Calibri"/>
                <w:color w:val="000000"/>
                <w:lang w:eastAsia="en-AU"/>
              </w:rPr>
              <w:t>64</w:t>
            </w:r>
          </w:p>
        </w:tc>
        <w:tc>
          <w:tcPr>
            <w:tcW w:w="992" w:type="dxa"/>
          </w:tcPr>
          <w:p w14:paraId="3B4F8896"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204</w:t>
            </w:r>
          </w:p>
        </w:tc>
        <w:tc>
          <w:tcPr>
            <w:tcW w:w="709" w:type="dxa"/>
          </w:tcPr>
          <w:p w14:paraId="3B4F8897"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340</w:t>
            </w:r>
          </w:p>
        </w:tc>
        <w:tc>
          <w:tcPr>
            <w:tcW w:w="1210" w:type="dxa"/>
            <w:gridSpan w:val="2"/>
          </w:tcPr>
          <w:p w14:paraId="3B4F8898"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197</w:t>
            </w:r>
          </w:p>
        </w:tc>
        <w:tc>
          <w:tcPr>
            <w:tcW w:w="686" w:type="dxa"/>
          </w:tcPr>
          <w:p w14:paraId="3B4F8899"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327</w:t>
            </w:r>
          </w:p>
        </w:tc>
      </w:tr>
      <w:tr w:rsidR="002F5E77" w:rsidRPr="00CB4561" w14:paraId="3B4F88A4" w14:textId="77777777" w:rsidTr="00583307">
        <w:trPr>
          <w:trHeight w:val="290"/>
        </w:trPr>
        <w:tc>
          <w:tcPr>
            <w:tcW w:w="2057" w:type="dxa"/>
            <w:tcBorders>
              <w:bottom w:val="single" w:sz="4" w:space="0" w:color="auto"/>
            </w:tcBorders>
            <w:hideMark/>
          </w:tcPr>
          <w:p w14:paraId="3B4F889B" w14:textId="5ADA4CEC" w:rsidR="002F5E77" w:rsidRPr="00BB47D7" w:rsidRDefault="00A67839" w:rsidP="003E1F9C">
            <w:pPr>
              <w:autoSpaceDE w:val="0"/>
              <w:autoSpaceDN w:val="0"/>
              <w:adjustRightInd w:val="0"/>
              <w:spacing w:after="0" w:line="280" w:lineRule="exact"/>
              <w:rPr>
                <w:rFonts w:cs="Calibri"/>
                <w:color w:val="000000"/>
                <w:sz w:val="20"/>
                <w:lang w:eastAsia="en-AU"/>
              </w:rPr>
            </w:pPr>
            <w:r>
              <w:rPr>
                <w:rFonts w:cs="Calibri"/>
                <w:color w:val="000000"/>
                <w:sz w:val="20"/>
                <w:lang w:eastAsia="en-AU"/>
              </w:rPr>
              <w:t xml:space="preserve">Coefficient of variation </w:t>
            </w:r>
          </w:p>
        </w:tc>
        <w:tc>
          <w:tcPr>
            <w:tcW w:w="992" w:type="dxa"/>
            <w:tcBorders>
              <w:bottom w:val="single" w:sz="4" w:space="0" w:color="auto"/>
            </w:tcBorders>
          </w:tcPr>
          <w:p w14:paraId="3B4F889C"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0.42</w:t>
            </w:r>
          </w:p>
        </w:tc>
        <w:tc>
          <w:tcPr>
            <w:tcW w:w="709" w:type="dxa"/>
            <w:tcBorders>
              <w:bottom w:val="single" w:sz="4" w:space="0" w:color="auto"/>
            </w:tcBorders>
          </w:tcPr>
          <w:p w14:paraId="3B4F889D"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0.48</w:t>
            </w:r>
          </w:p>
        </w:tc>
        <w:tc>
          <w:tcPr>
            <w:tcW w:w="992" w:type="dxa"/>
            <w:tcBorders>
              <w:bottom w:val="single" w:sz="4" w:space="0" w:color="auto"/>
            </w:tcBorders>
          </w:tcPr>
          <w:p w14:paraId="3B4F889E"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0.97</w:t>
            </w:r>
          </w:p>
        </w:tc>
        <w:tc>
          <w:tcPr>
            <w:tcW w:w="850" w:type="dxa"/>
            <w:tcBorders>
              <w:bottom w:val="single" w:sz="4" w:space="0" w:color="auto"/>
            </w:tcBorders>
          </w:tcPr>
          <w:p w14:paraId="3B4F889F" w14:textId="77777777" w:rsidR="002F5E77" w:rsidRPr="00BB47D7" w:rsidRDefault="002F5E77" w:rsidP="002F5E77">
            <w:pPr>
              <w:autoSpaceDE w:val="0"/>
              <w:autoSpaceDN w:val="0"/>
              <w:adjustRightInd w:val="0"/>
              <w:spacing w:after="0" w:line="280" w:lineRule="exact"/>
              <w:ind w:right="98"/>
              <w:jc w:val="right"/>
              <w:rPr>
                <w:rFonts w:cs="Calibri"/>
                <w:color w:val="000000"/>
                <w:lang w:eastAsia="en-AU"/>
              </w:rPr>
            </w:pPr>
            <w:r>
              <w:rPr>
                <w:rFonts w:cs="Calibri"/>
                <w:color w:val="000000"/>
                <w:lang w:eastAsia="en-AU"/>
              </w:rPr>
              <w:t>0.91</w:t>
            </w:r>
          </w:p>
        </w:tc>
        <w:tc>
          <w:tcPr>
            <w:tcW w:w="992" w:type="dxa"/>
            <w:tcBorders>
              <w:bottom w:val="single" w:sz="4" w:space="0" w:color="auto"/>
            </w:tcBorders>
          </w:tcPr>
          <w:p w14:paraId="3B4F88A0"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0.54</w:t>
            </w:r>
          </w:p>
        </w:tc>
        <w:tc>
          <w:tcPr>
            <w:tcW w:w="709" w:type="dxa"/>
            <w:tcBorders>
              <w:bottom w:val="single" w:sz="4" w:space="0" w:color="auto"/>
            </w:tcBorders>
          </w:tcPr>
          <w:p w14:paraId="3B4F88A1"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0.45</w:t>
            </w:r>
          </w:p>
        </w:tc>
        <w:tc>
          <w:tcPr>
            <w:tcW w:w="1210" w:type="dxa"/>
            <w:gridSpan w:val="2"/>
            <w:tcBorders>
              <w:bottom w:val="single" w:sz="4" w:space="0" w:color="auto"/>
            </w:tcBorders>
          </w:tcPr>
          <w:p w14:paraId="3B4F88A2" w14:textId="77777777" w:rsidR="002F5E77" w:rsidRPr="00BB47D7" w:rsidRDefault="00296FBF"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0.55</w:t>
            </w:r>
          </w:p>
        </w:tc>
        <w:tc>
          <w:tcPr>
            <w:tcW w:w="686" w:type="dxa"/>
            <w:tcBorders>
              <w:bottom w:val="single" w:sz="4" w:space="0" w:color="auto"/>
            </w:tcBorders>
          </w:tcPr>
          <w:p w14:paraId="3B4F88A3" w14:textId="77777777" w:rsidR="002F5E77" w:rsidRPr="00BB47D7" w:rsidRDefault="002F5E77" w:rsidP="003E1F9C">
            <w:pPr>
              <w:autoSpaceDE w:val="0"/>
              <w:autoSpaceDN w:val="0"/>
              <w:adjustRightInd w:val="0"/>
              <w:spacing w:after="0" w:line="280" w:lineRule="exact"/>
              <w:jc w:val="right"/>
              <w:rPr>
                <w:rFonts w:cs="Calibri"/>
                <w:color w:val="000000"/>
                <w:lang w:eastAsia="en-AU"/>
              </w:rPr>
            </w:pPr>
            <w:r>
              <w:rPr>
                <w:rFonts w:cs="Calibri"/>
                <w:color w:val="000000"/>
                <w:lang w:eastAsia="en-AU"/>
              </w:rPr>
              <w:t>0.44</w:t>
            </w:r>
          </w:p>
        </w:tc>
      </w:tr>
    </w:tbl>
    <w:p w14:paraId="3B4F88A5" w14:textId="77777777" w:rsidR="00BB47D7" w:rsidRPr="00BB47D7" w:rsidRDefault="00BB47D7" w:rsidP="00BB47D7">
      <w:pPr>
        <w:tabs>
          <w:tab w:val="left" w:pos="9071"/>
        </w:tabs>
        <w:spacing w:after="240" w:line="320" w:lineRule="exact"/>
        <w:jc w:val="left"/>
        <w:rPr>
          <w:szCs w:val="22"/>
        </w:rPr>
      </w:pPr>
    </w:p>
    <w:p w14:paraId="3B4F88A6" w14:textId="77777777" w:rsidR="00AC2E61" w:rsidRDefault="003D1861" w:rsidP="002B3297">
      <w:pPr>
        <w:spacing w:after="240" w:line="320" w:lineRule="exact"/>
        <w:jc w:val="left"/>
        <w:rPr>
          <w:szCs w:val="22"/>
        </w:rPr>
      </w:pPr>
      <w:r>
        <w:rPr>
          <w:szCs w:val="22"/>
        </w:rPr>
        <w:t xml:space="preserve">The hydrograph for the Wakool River at </w:t>
      </w:r>
      <w:r w:rsidR="00AC2E61">
        <w:rPr>
          <w:szCs w:val="22"/>
        </w:rPr>
        <w:t>Gee Gee Bridge</w:t>
      </w:r>
      <w:r>
        <w:rPr>
          <w:szCs w:val="22"/>
        </w:rPr>
        <w:t xml:space="preserve"> (</w:t>
      </w:r>
      <w:r w:rsidRPr="00345436">
        <w:rPr>
          <w:szCs w:val="22"/>
        </w:rPr>
        <w:t>Figure 4.2</w:t>
      </w:r>
      <w:r>
        <w:rPr>
          <w:szCs w:val="22"/>
        </w:rPr>
        <w:t>)</w:t>
      </w:r>
      <w:r w:rsidR="00AC2E61">
        <w:rPr>
          <w:szCs w:val="22"/>
        </w:rPr>
        <w:t xml:space="preserve"> </w:t>
      </w:r>
      <w:r>
        <w:rPr>
          <w:szCs w:val="22"/>
        </w:rPr>
        <w:t>was</w:t>
      </w:r>
      <w:r w:rsidR="00AC2E61">
        <w:rPr>
          <w:szCs w:val="22"/>
        </w:rPr>
        <w:t xml:space="preserve"> very similar to that for Yallakool Creek and the Wakool River zones </w:t>
      </w:r>
      <w:r w:rsidR="00741AC3">
        <w:rPr>
          <w:szCs w:val="22"/>
        </w:rPr>
        <w:t>3 and 4 (Figure 4.1). T</w:t>
      </w:r>
      <w:r w:rsidR="00AC2E61">
        <w:rPr>
          <w:szCs w:val="22"/>
        </w:rPr>
        <w:t xml:space="preserve">he hydrographs </w:t>
      </w:r>
      <w:r w:rsidR="00AC2E61">
        <w:rPr>
          <w:szCs w:val="22"/>
        </w:rPr>
        <w:lastRenderedPageBreak/>
        <w:t xml:space="preserve">for Coonamit and Stoney Crossing </w:t>
      </w:r>
      <w:r>
        <w:rPr>
          <w:szCs w:val="22"/>
        </w:rPr>
        <w:t xml:space="preserve">(Figure 4.2) </w:t>
      </w:r>
      <w:r w:rsidR="00AC2E61">
        <w:rPr>
          <w:szCs w:val="22"/>
        </w:rPr>
        <w:t xml:space="preserve">have higher discharge and differ </w:t>
      </w:r>
      <w:r w:rsidR="00741AC3">
        <w:rPr>
          <w:szCs w:val="22"/>
        </w:rPr>
        <w:t>to</w:t>
      </w:r>
      <w:r w:rsidR="00AC2E61">
        <w:rPr>
          <w:szCs w:val="22"/>
        </w:rPr>
        <w:t xml:space="preserve"> those for zones 1, 3 and 4. These reaches </w:t>
      </w:r>
      <w:r w:rsidR="00741AC3">
        <w:rPr>
          <w:szCs w:val="22"/>
        </w:rPr>
        <w:t>are</w:t>
      </w:r>
      <w:r w:rsidR="00AC2E61">
        <w:rPr>
          <w:szCs w:val="22"/>
        </w:rPr>
        <w:t xml:space="preserve"> more strongly influenced by inflows from the River Murray than flows </w:t>
      </w:r>
      <w:r w:rsidR="00741AC3">
        <w:rPr>
          <w:szCs w:val="22"/>
        </w:rPr>
        <w:t>from</w:t>
      </w:r>
      <w:r w:rsidR="00AC2E61">
        <w:rPr>
          <w:szCs w:val="22"/>
        </w:rPr>
        <w:t xml:space="preserve"> Yallakool Creek and Wakool River regulators.</w:t>
      </w:r>
      <w:r>
        <w:rPr>
          <w:szCs w:val="22"/>
        </w:rPr>
        <w:t xml:space="preserve"> At Coonamit and Stoney Crossing there is a period of lower flow in winter, but no cease to flow (Figure 4.2).</w:t>
      </w:r>
    </w:p>
    <w:p w14:paraId="3B4F88A7" w14:textId="3A4B52EC" w:rsidR="00AC2E61" w:rsidRDefault="00AC2E61" w:rsidP="00AC2E61">
      <w:pPr>
        <w:tabs>
          <w:tab w:val="left" w:pos="9071"/>
        </w:tabs>
        <w:spacing w:after="240" w:line="320" w:lineRule="exact"/>
        <w:jc w:val="left"/>
      </w:pPr>
      <w:r>
        <w:rPr>
          <w:rFonts w:asciiTheme="minorHAnsi" w:hAnsiTheme="minorHAnsi" w:cstheme="minorHAnsi"/>
          <w:szCs w:val="22"/>
        </w:rPr>
        <w:t>The</w:t>
      </w:r>
      <w:r w:rsidRPr="00BB47D7">
        <w:rPr>
          <w:rFonts w:asciiTheme="minorHAnsi" w:hAnsiTheme="minorHAnsi" w:cstheme="minorHAnsi"/>
          <w:szCs w:val="22"/>
        </w:rPr>
        <w:t xml:space="preserve"> </w:t>
      </w:r>
      <w:r>
        <w:rPr>
          <w:rFonts w:asciiTheme="minorHAnsi" w:hAnsiTheme="minorHAnsi" w:cstheme="minorHAnsi"/>
          <w:szCs w:val="22"/>
        </w:rPr>
        <w:t>Commonwealth environmental watering action in Yallakool Creek</w:t>
      </w:r>
      <w:r w:rsidRPr="00BB47D7">
        <w:rPr>
          <w:rFonts w:asciiTheme="minorHAnsi" w:hAnsiTheme="minorHAnsi" w:cstheme="minorHAnsi"/>
          <w:szCs w:val="22"/>
        </w:rPr>
        <w:t xml:space="preserve"> in 2015-16 </w:t>
      </w:r>
      <w:r>
        <w:rPr>
          <w:rFonts w:asciiTheme="minorHAnsi" w:hAnsiTheme="minorHAnsi" w:cstheme="minorHAnsi"/>
          <w:szCs w:val="22"/>
        </w:rPr>
        <w:t xml:space="preserve">was very similar </w:t>
      </w:r>
      <w:r w:rsidRPr="00BB47D7">
        <w:rPr>
          <w:rFonts w:asciiTheme="minorHAnsi" w:hAnsiTheme="minorHAnsi" w:cstheme="minorHAnsi"/>
          <w:szCs w:val="22"/>
        </w:rPr>
        <w:t xml:space="preserve">to that in </w:t>
      </w:r>
      <w:r>
        <w:rPr>
          <w:rFonts w:asciiTheme="minorHAnsi" w:hAnsiTheme="minorHAnsi" w:cstheme="minorHAnsi"/>
          <w:szCs w:val="22"/>
        </w:rPr>
        <w:t xml:space="preserve">2014-15. Therefore, </w:t>
      </w:r>
      <w:r w:rsidRPr="00BB47D7">
        <w:rPr>
          <w:rFonts w:asciiTheme="minorHAnsi" w:hAnsiTheme="minorHAnsi" w:cstheme="minorHAnsi"/>
          <w:szCs w:val="22"/>
        </w:rPr>
        <w:t>the instream inundation modelling undertaken in 2014-15 (Watts et al</w:t>
      </w:r>
      <w:r>
        <w:rPr>
          <w:rFonts w:asciiTheme="minorHAnsi" w:hAnsiTheme="minorHAnsi" w:cstheme="minorHAnsi"/>
          <w:szCs w:val="22"/>
        </w:rPr>
        <w:t>.</w:t>
      </w:r>
      <w:r w:rsidRPr="00BB47D7">
        <w:rPr>
          <w:rFonts w:asciiTheme="minorHAnsi" w:hAnsiTheme="minorHAnsi" w:cstheme="minorHAnsi"/>
          <w:szCs w:val="22"/>
        </w:rPr>
        <w:t xml:space="preserve"> 2015b) </w:t>
      </w:r>
      <w:r w:rsidR="00E17DDE">
        <w:rPr>
          <w:rFonts w:asciiTheme="minorHAnsi" w:hAnsiTheme="minorHAnsi" w:cstheme="minorHAnsi"/>
          <w:szCs w:val="22"/>
        </w:rPr>
        <w:t>can be applied</w:t>
      </w:r>
      <w:r w:rsidRPr="00BB47D7">
        <w:rPr>
          <w:rFonts w:asciiTheme="minorHAnsi" w:hAnsiTheme="minorHAnsi" w:cstheme="minorHAnsi"/>
          <w:szCs w:val="22"/>
        </w:rPr>
        <w:t xml:space="preserve"> to the</w:t>
      </w:r>
      <w:r>
        <w:rPr>
          <w:rFonts w:asciiTheme="minorHAnsi" w:hAnsiTheme="minorHAnsi" w:cstheme="minorHAnsi"/>
          <w:szCs w:val="22"/>
        </w:rPr>
        <w:t xml:space="preserve"> 2015-16 hydrograph</w:t>
      </w:r>
      <w:r w:rsidRPr="00BB47D7">
        <w:rPr>
          <w:rFonts w:asciiTheme="minorHAnsi" w:hAnsiTheme="minorHAnsi" w:cstheme="minorHAnsi"/>
          <w:szCs w:val="22"/>
        </w:rPr>
        <w:t xml:space="preserve">. </w:t>
      </w:r>
      <w:r>
        <w:t xml:space="preserve">The hydraulic models indicated </w:t>
      </w:r>
      <w:r w:rsidR="004212BB">
        <w:t xml:space="preserve">that the </w:t>
      </w:r>
      <w:r w:rsidR="004212BB" w:rsidRPr="00BB47D7">
        <w:rPr>
          <w:szCs w:val="22"/>
        </w:rPr>
        <w:t xml:space="preserve">environmental watering </w:t>
      </w:r>
      <w:r w:rsidR="004212BB">
        <w:rPr>
          <w:szCs w:val="22"/>
        </w:rPr>
        <w:t xml:space="preserve">action </w:t>
      </w:r>
      <w:r w:rsidR="004212BB" w:rsidRPr="00BB47D7">
        <w:rPr>
          <w:szCs w:val="22"/>
        </w:rPr>
        <w:t xml:space="preserve">in Yallakool Creek </w:t>
      </w:r>
      <w:r w:rsidR="004212BB">
        <w:rPr>
          <w:szCs w:val="22"/>
        </w:rPr>
        <w:t xml:space="preserve">would have resulted in </w:t>
      </w:r>
      <w:r>
        <w:t xml:space="preserve">an </w:t>
      </w:r>
      <w:r w:rsidRPr="001D7084">
        <w:t>increase</w:t>
      </w:r>
      <w:r>
        <w:t xml:space="preserve"> in </w:t>
      </w:r>
      <w:r w:rsidRPr="001D7084">
        <w:t xml:space="preserve">wetted benthic area </w:t>
      </w:r>
      <w:r>
        <w:t xml:space="preserve">in zones 1, 3 </w:t>
      </w:r>
      <w:r w:rsidRPr="00BB47D7">
        <w:rPr>
          <w:szCs w:val="22"/>
        </w:rPr>
        <w:t xml:space="preserve">and 4 </w:t>
      </w:r>
      <w:r w:rsidR="00E17DDE">
        <w:rPr>
          <w:szCs w:val="22"/>
        </w:rPr>
        <w:t xml:space="preserve">when compared to base flows </w:t>
      </w:r>
      <w:r w:rsidRPr="00BB47D7">
        <w:rPr>
          <w:szCs w:val="22"/>
        </w:rPr>
        <w:t>(Watts et al</w:t>
      </w:r>
      <w:r>
        <w:rPr>
          <w:szCs w:val="22"/>
        </w:rPr>
        <w:t>.</w:t>
      </w:r>
      <w:r w:rsidRPr="00BB47D7">
        <w:rPr>
          <w:szCs w:val="22"/>
        </w:rPr>
        <w:t xml:space="preserve"> 2015b). </w:t>
      </w:r>
      <w:r w:rsidR="004212BB">
        <w:rPr>
          <w:szCs w:val="22"/>
        </w:rPr>
        <w:t>There was also</w:t>
      </w:r>
      <w:r w:rsidRPr="00BB47D7">
        <w:rPr>
          <w:szCs w:val="22"/>
        </w:rPr>
        <w:t xml:space="preserve"> a reduction in area of slow water </w:t>
      </w:r>
      <w:r w:rsidRPr="00BB47D7">
        <w:rPr>
          <w:rFonts w:eastAsia="Times New Roman"/>
          <w:color w:val="000000"/>
          <w:kern w:val="28"/>
          <w:szCs w:val="22"/>
        </w:rPr>
        <w:t>(0.02-0.3 m.s</w:t>
      </w:r>
      <w:r w:rsidRPr="00BB47D7">
        <w:rPr>
          <w:rFonts w:eastAsia="Times New Roman"/>
          <w:color w:val="000000"/>
          <w:kern w:val="28"/>
          <w:szCs w:val="22"/>
          <w:vertAlign w:val="superscript"/>
        </w:rPr>
        <w:t>-1</w:t>
      </w:r>
      <w:r w:rsidRPr="00BB47D7">
        <w:rPr>
          <w:rFonts w:eastAsia="Times New Roman"/>
          <w:color w:val="000000"/>
          <w:kern w:val="28"/>
          <w:szCs w:val="22"/>
        </w:rPr>
        <w:t xml:space="preserve">) </w:t>
      </w:r>
      <w:r w:rsidRPr="00BB47D7">
        <w:rPr>
          <w:szCs w:val="22"/>
        </w:rPr>
        <w:t xml:space="preserve">in Yallakool Creek but an increase in area of slackwater </w:t>
      </w:r>
      <w:r w:rsidRPr="00BB47D7">
        <w:rPr>
          <w:rFonts w:eastAsia="Times New Roman"/>
          <w:color w:val="000000"/>
          <w:kern w:val="28"/>
          <w:szCs w:val="22"/>
        </w:rPr>
        <w:t>(&lt; 0.02 m.s</w:t>
      </w:r>
      <w:r w:rsidRPr="00BB47D7">
        <w:rPr>
          <w:rFonts w:eastAsia="Times New Roman"/>
          <w:color w:val="000000"/>
          <w:kern w:val="28"/>
          <w:szCs w:val="22"/>
          <w:vertAlign w:val="superscript"/>
        </w:rPr>
        <w:t>-1</w:t>
      </w:r>
      <w:r w:rsidRPr="00BB47D7">
        <w:rPr>
          <w:rFonts w:eastAsia="Times New Roman"/>
          <w:color w:val="000000"/>
          <w:kern w:val="28"/>
          <w:sz w:val="20"/>
        </w:rPr>
        <w:t>),</w:t>
      </w:r>
      <w:r>
        <w:t xml:space="preserve">and slow water in Wakool River zones 3 and 4 (Watts et al. 2015b). </w:t>
      </w:r>
      <w:r w:rsidR="004212BB">
        <w:t>The environmental watering action resulted in lower hydraulic diversity within Yallakool Creek (zone 1) where there was mainly faster flowing hydraulic habitat, but there was a higher diversity of hydraulic habitats over the whole focal zone.</w:t>
      </w:r>
    </w:p>
    <w:p w14:paraId="3B4F88A8" w14:textId="31B2116F" w:rsidR="00AC2E61" w:rsidRDefault="00AC2E61" w:rsidP="00AC2E61">
      <w:pPr>
        <w:tabs>
          <w:tab w:val="left" w:pos="9071"/>
        </w:tabs>
        <w:spacing w:after="240" w:line="320" w:lineRule="exact"/>
        <w:jc w:val="left"/>
      </w:pPr>
      <w:r>
        <w:rPr>
          <w:rFonts w:asciiTheme="minorHAnsi" w:hAnsiTheme="minorHAnsi" w:cstheme="minorHAnsi"/>
          <w:szCs w:val="22"/>
        </w:rPr>
        <w:t>T</w:t>
      </w:r>
      <w:r w:rsidRPr="00BB47D7">
        <w:rPr>
          <w:rFonts w:asciiTheme="minorHAnsi" w:hAnsiTheme="minorHAnsi" w:cstheme="minorHAnsi"/>
          <w:szCs w:val="22"/>
        </w:rPr>
        <w:t xml:space="preserve">he instream inundation modelling undertaken in </w:t>
      </w:r>
      <w:r w:rsidR="00126598">
        <w:rPr>
          <w:rFonts w:asciiTheme="minorHAnsi" w:hAnsiTheme="minorHAnsi" w:cstheme="minorHAnsi"/>
          <w:szCs w:val="22"/>
        </w:rPr>
        <w:t xml:space="preserve">the Wakool River </w:t>
      </w:r>
      <w:r>
        <w:rPr>
          <w:rFonts w:asciiTheme="minorHAnsi" w:hAnsiTheme="minorHAnsi" w:cstheme="minorHAnsi"/>
          <w:szCs w:val="22"/>
        </w:rPr>
        <w:t xml:space="preserve">zone 2 in </w:t>
      </w:r>
      <w:r w:rsidRPr="00BB47D7">
        <w:rPr>
          <w:rFonts w:asciiTheme="minorHAnsi" w:hAnsiTheme="minorHAnsi" w:cstheme="minorHAnsi"/>
          <w:szCs w:val="22"/>
        </w:rPr>
        <w:t>2014-15 (Watts et al</w:t>
      </w:r>
      <w:r>
        <w:rPr>
          <w:rFonts w:asciiTheme="minorHAnsi" w:hAnsiTheme="minorHAnsi" w:cstheme="minorHAnsi"/>
          <w:szCs w:val="22"/>
        </w:rPr>
        <w:t>.</w:t>
      </w:r>
      <w:r w:rsidRPr="00BB47D7">
        <w:rPr>
          <w:rFonts w:asciiTheme="minorHAnsi" w:hAnsiTheme="minorHAnsi" w:cstheme="minorHAnsi"/>
          <w:szCs w:val="22"/>
        </w:rPr>
        <w:t xml:space="preserve"> 2015b) </w:t>
      </w:r>
      <w:r>
        <w:t>indicated there was minimal differen</w:t>
      </w:r>
      <w:r w:rsidR="00126598">
        <w:t>ce between the approximate 50 ML</w:t>
      </w:r>
      <w:r w:rsidR="00696E37">
        <w:t xml:space="preserve"> </w:t>
      </w:r>
      <w:r>
        <w:t>d</w:t>
      </w:r>
      <w:r w:rsidRPr="00AC2E61">
        <w:rPr>
          <w:vertAlign w:val="superscript"/>
        </w:rPr>
        <w:t>-1</w:t>
      </w:r>
      <w:r>
        <w:t xml:space="preserve"> base </w:t>
      </w:r>
      <w:r w:rsidR="00696E37">
        <w:t xml:space="preserve">operational flow and the 100 ML </w:t>
      </w:r>
      <w:r>
        <w:t>d</w:t>
      </w:r>
      <w:r w:rsidRPr="00AC2E61">
        <w:rPr>
          <w:vertAlign w:val="superscript"/>
        </w:rPr>
        <w:t>-1</w:t>
      </w:r>
      <w:r>
        <w:t xml:space="preserve"> discharge with environmental water.</w:t>
      </w:r>
      <w:r w:rsidR="009D0F3E">
        <w:t xml:space="preserve"> Delivery of environmental water to the Wakool River zone 2 is limited by an operational constraint of 600 ML d</w:t>
      </w:r>
      <w:r w:rsidR="009D0F3E" w:rsidRPr="009D0F3E">
        <w:rPr>
          <w:vertAlign w:val="superscript"/>
        </w:rPr>
        <w:t>-1</w:t>
      </w:r>
      <w:r w:rsidR="009D0F3E">
        <w:t xml:space="preserve"> at the confluence of Yallakool Creek and the Wakool River. When the discharge in Yallakool Creek is 500 ML d</w:t>
      </w:r>
      <w:r w:rsidR="009D0F3E" w:rsidRPr="009D0F3E">
        <w:rPr>
          <w:vertAlign w:val="superscript"/>
        </w:rPr>
        <w:t>-1</w:t>
      </w:r>
      <w:r w:rsidR="009D0F3E">
        <w:t xml:space="preserve"> the operational limit in the Wakool River zone 2 is 100 ML d</w:t>
      </w:r>
      <w:r w:rsidR="009D0F3E" w:rsidRPr="009D0F3E">
        <w:rPr>
          <w:vertAlign w:val="superscript"/>
        </w:rPr>
        <w:t>-1</w:t>
      </w:r>
      <w:r w:rsidR="009D0F3E">
        <w:t>.</w:t>
      </w:r>
    </w:p>
    <w:p w14:paraId="3B4F88A9" w14:textId="77777777" w:rsidR="00126598" w:rsidRPr="00BB47D7" w:rsidRDefault="00126598" w:rsidP="00126598">
      <w:pPr>
        <w:spacing w:after="240" w:line="320" w:lineRule="exact"/>
        <w:jc w:val="left"/>
        <w:rPr>
          <w:rFonts w:cs="Calibri"/>
        </w:rPr>
      </w:pPr>
      <w:r w:rsidRPr="00BB47D7">
        <w:rPr>
          <w:rFonts w:cs="Calibri"/>
        </w:rPr>
        <w:t>A</w:t>
      </w:r>
      <w:r>
        <w:rPr>
          <w:rFonts w:cs="Calibri"/>
        </w:rPr>
        <w:t>n</w:t>
      </w:r>
      <w:r w:rsidRPr="00BB47D7">
        <w:rPr>
          <w:rFonts w:cs="Calibri"/>
        </w:rPr>
        <w:t xml:space="preserve"> </w:t>
      </w:r>
      <w:r>
        <w:rPr>
          <w:rFonts w:cs="Calibri"/>
        </w:rPr>
        <w:t>evaluation</w:t>
      </w:r>
      <w:r w:rsidRPr="00BB47D7">
        <w:rPr>
          <w:rFonts w:cs="Calibri"/>
        </w:rPr>
        <w:t xml:space="preserve"> of the outcomes of Commonwealth environmental watering on the hydrology and longitudinal and lateral connectivity in Yallakool Creek and the Wako</w:t>
      </w:r>
      <w:r>
        <w:rPr>
          <w:rFonts w:cs="Calibri"/>
        </w:rPr>
        <w:t>ol River is presented in Table 4</w:t>
      </w:r>
      <w:r w:rsidRPr="00BB47D7">
        <w:rPr>
          <w:rFonts w:cs="Calibri"/>
        </w:rPr>
        <w:t>.2.</w:t>
      </w:r>
    </w:p>
    <w:p w14:paraId="3B4F88AB" w14:textId="77777777" w:rsidR="00AC2E61" w:rsidRDefault="00AC2E61" w:rsidP="00D6205B">
      <w:pPr>
        <w:tabs>
          <w:tab w:val="left" w:pos="9071"/>
        </w:tabs>
        <w:spacing w:after="0" w:line="240" w:lineRule="auto"/>
        <w:jc w:val="left"/>
      </w:pPr>
      <w:r>
        <w:rPr>
          <w:noProof/>
          <w:lang w:eastAsia="en-AU"/>
        </w:rPr>
        <w:lastRenderedPageBreak/>
        <w:drawing>
          <wp:inline distT="0" distB="0" distL="0" distR="0" wp14:anchorId="3B4F95E9" wp14:editId="3957D5CB">
            <wp:extent cx="3186927" cy="4104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t="691" b="2560"/>
                    <a:stretch/>
                  </pic:blipFill>
                  <pic:spPr bwMode="auto">
                    <a:xfrm>
                      <a:off x="0" y="0"/>
                      <a:ext cx="3186927" cy="4104000"/>
                    </a:xfrm>
                    <a:prstGeom prst="rect">
                      <a:avLst/>
                    </a:prstGeom>
                    <a:noFill/>
                    <a:ln>
                      <a:noFill/>
                    </a:ln>
                    <a:extLst>
                      <a:ext uri="{53640926-AAD7-44D8-BBD7-CCE9431645EC}">
                        <a14:shadowObscured xmlns:a14="http://schemas.microsoft.com/office/drawing/2010/main"/>
                      </a:ext>
                    </a:extLst>
                  </pic:spPr>
                </pic:pic>
              </a:graphicData>
            </a:graphic>
          </wp:inline>
        </w:drawing>
      </w:r>
    </w:p>
    <w:p w14:paraId="3B4F88AC" w14:textId="77777777" w:rsidR="00AC2E61" w:rsidRDefault="00AC2E61" w:rsidP="008E7ECD">
      <w:pPr>
        <w:spacing w:after="0" w:line="240" w:lineRule="auto"/>
        <w:jc w:val="left"/>
      </w:pPr>
      <w:r w:rsidRPr="00605296">
        <w:rPr>
          <w:rFonts w:cs="Calibri"/>
          <w:b/>
          <w:sz w:val="20"/>
          <w:lang w:val="en-GB"/>
        </w:rPr>
        <w:t>Figure 4.</w:t>
      </w:r>
      <w:r>
        <w:rPr>
          <w:rFonts w:cs="Calibri"/>
          <w:b/>
          <w:sz w:val="20"/>
          <w:lang w:val="en-GB"/>
        </w:rPr>
        <w:t>2</w:t>
      </w:r>
      <w:r w:rsidRPr="00605296">
        <w:rPr>
          <w:rFonts w:cs="Calibri"/>
          <w:sz w:val="20"/>
          <w:lang w:val="en-GB"/>
        </w:rPr>
        <w:t xml:space="preserve">. Hydrographs </w:t>
      </w:r>
      <w:r>
        <w:rPr>
          <w:rFonts w:cs="Calibri"/>
          <w:sz w:val="20"/>
          <w:lang w:val="en-GB"/>
        </w:rPr>
        <w:t>for</w:t>
      </w:r>
      <w:r w:rsidRPr="00605296">
        <w:rPr>
          <w:rFonts w:cs="Calibri"/>
          <w:sz w:val="20"/>
          <w:lang w:val="en-GB"/>
        </w:rPr>
        <w:t xml:space="preserve"> </w:t>
      </w:r>
      <w:r>
        <w:rPr>
          <w:rFonts w:cs="Calibri"/>
          <w:sz w:val="20"/>
          <w:lang w:val="en-GB"/>
        </w:rPr>
        <w:t xml:space="preserve">the Wakool River at Gee Gee Bridge (gauge 409062), Coonamit (gauge 409061) and Stoney Crossing (gauge 409013) </w:t>
      </w:r>
      <w:r w:rsidRPr="00605296">
        <w:rPr>
          <w:rFonts w:cs="Calibri"/>
          <w:sz w:val="20"/>
          <w:lang w:val="en-GB"/>
        </w:rPr>
        <w:t xml:space="preserve">for the period </w:t>
      </w:r>
      <w:r>
        <w:rPr>
          <w:rFonts w:cs="Calibri"/>
          <w:sz w:val="20"/>
          <w:lang w:val="en-GB"/>
        </w:rPr>
        <w:t>from 1 July 2014 to 30 June 2016</w:t>
      </w:r>
      <w:r w:rsidRPr="00605296">
        <w:rPr>
          <w:rFonts w:cs="Calibri"/>
          <w:sz w:val="20"/>
          <w:lang w:val="en-GB"/>
        </w:rPr>
        <w:t xml:space="preserve">. </w:t>
      </w:r>
    </w:p>
    <w:p w14:paraId="3B4F88AD" w14:textId="77777777" w:rsidR="00BB47D7" w:rsidRPr="00BB47D7" w:rsidRDefault="00BB47D7" w:rsidP="00BB47D7">
      <w:pPr>
        <w:pStyle w:val="ListParagraph"/>
        <w:numPr>
          <w:ilvl w:val="0"/>
          <w:numId w:val="21"/>
        </w:numPr>
        <w:spacing w:after="240"/>
        <w:jc w:val="left"/>
        <w:rPr>
          <w:rFonts w:cs="Calibri"/>
          <w:highlight w:val="yellow"/>
        </w:rPr>
        <w:sectPr w:rsidR="00BB47D7" w:rsidRPr="00BB47D7" w:rsidSect="00CE1538">
          <w:pgSz w:w="11906" w:h="16838"/>
          <w:pgMar w:top="1440" w:right="1700" w:bottom="1440" w:left="1701" w:header="709" w:footer="709" w:gutter="0"/>
          <w:cols w:space="708"/>
          <w:docGrid w:linePitch="360"/>
        </w:sectPr>
      </w:pPr>
    </w:p>
    <w:p w14:paraId="3B4F88AE" w14:textId="77777777" w:rsidR="00D30C6A" w:rsidRPr="00D30C6A" w:rsidRDefault="00D30C6A" w:rsidP="00A67839">
      <w:pPr>
        <w:tabs>
          <w:tab w:val="left" w:pos="9071"/>
        </w:tabs>
        <w:spacing w:after="120" w:line="320" w:lineRule="exact"/>
        <w:jc w:val="left"/>
        <w:rPr>
          <w:b/>
          <w:color w:val="4F6228" w:themeColor="accent3" w:themeShade="80"/>
          <w:sz w:val="24"/>
          <w:szCs w:val="24"/>
        </w:rPr>
      </w:pPr>
      <w:r>
        <w:rPr>
          <w:b/>
          <w:color w:val="4F6228" w:themeColor="accent3" w:themeShade="80"/>
          <w:sz w:val="24"/>
          <w:szCs w:val="24"/>
        </w:rPr>
        <w:lastRenderedPageBreak/>
        <w:t>4.3</w:t>
      </w:r>
      <w:r w:rsidRPr="00D30C6A">
        <w:rPr>
          <w:b/>
          <w:color w:val="4F6228" w:themeColor="accent3" w:themeShade="80"/>
          <w:sz w:val="24"/>
          <w:szCs w:val="24"/>
        </w:rPr>
        <w:t xml:space="preserve"> </w:t>
      </w:r>
      <w:r>
        <w:rPr>
          <w:b/>
          <w:color w:val="4F6228" w:themeColor="accent3" w:themeShade="80"/>
          <w:sz w:val="24"/>
          <w:szCs w:val="24"/>
        </w:rPr>
        <w:t>Evaluation</w:t>
      </w:r>
    </w:p>
    <w:p w14:paraId="3B4F88AF" w14:textId="77777777" w:rsidR="00BB47D7" w:rsidRPr="00BB47D7" w:rsidRDefault="00707665" w:rsidP="004212BB">
      <w:pPr>
        <w:tabs>
          <w:tab w:val="left" w:pos="9071"/>
        </w:tabs>
        <w:spacing w:after="0" w:line="240" w:lineRule="auto"/>
        <w:jc w:val="left"/>
        <w:rPr>
          <w:color w:val="000000" w:themeColor="text1"/>
          <w:sz w:val="20"/>
        </w:rPr>
      </w:pPr>
      <w:r>
        <w:rPr>
          <w:b/>
          <w:color w:val="000000" w:themeColor="text1"/>
          <w:sz w:val="20"/>
        </w:rPr>
        <w:t>Table 4</w:t>
      </w:r>
      <w:r w:rsidR="00BB47D7" w:rsidRPr="00BB47D7">
        <w:rPr>
          <w:b/>
          <w:color w:val="000000" w:themeColor="text1"/>
          <w:sz w:val="20"/>
        </w:rPr>
        <w:t>.2</w:t>
      </w:r>
      <w:r w:rsidR="00BB47D7" w:rsidRPr="00BB47D7">
        <w:rPr>
          <w:color w:val="000000" w:themeColor="text1"/>
          <w:sz w:val="20"/>
        </w:rPr>
        <w:t xml:space="preserve">. </w:t>
      </w:r>
      <w:r w:rsidR="00D30C6A">
        <w:rPr>
          <w:color w:val="000000" w:themeColor="text1"/>
          <w:sz w:val="20"/>
        </w:rPr>
        <w:t>E</w:t>
      </w:r>
      <w:r w:rsidR="00BB47D7" w:rsidRPr="00BB47D7">
        <w:rPr>
          <w:color w:val="000000" w:themeColor="text1"/>
          <w:sz w:val="20"/>
        </w:rPr>
        <w:t>xpected outcomes of Commonwealth environmental watering on hydrology and connectivity</w:t>
      </w:r>
    </w:p>
    <w:tbl>
      <w:tblPr>
        <w:tblStyle w:val="TableGrid"/>
        <w:tblW w:w="14170" w:type="dxa"/>
        <w:tblLook w:val="04A0" w:firstRow="1" w:lastRow="0" w:firstColumn="1" w:lastColumn="0" w:noHBand="0" w:noVBand="1"/>
      </w:tblPr>
      <w:tblGrid>
        <w:gridCol w:w="2405"/>
        <w:gridCol w:w="2126"/>
        <w:gridCol w:w="2552"/>
        <w:gridCol w:w="2835"/>
        <w:gridCol w:w="2126"/>
        <w:gridCol w:w="2126"/>
      </w:tblGrid>
      <w:tr w:rsidR="00BB47D7" w14:paraId="3B4F88B2" w14:textId="77777777" w:rsidTr="0018604F">
        <w:tc>
          <w:tcPr>
            <w:tcW w:w="4531" w:type="dxa"/>
            <w:gridSpan w:val="2"/>
            <w:shd w:val="clear" w:color="auto" w:fill="EAF1DD" w:themeFill="accent3" w:themeFillTint="33"/>
          </w:tcPr>
          <w:p w14:paraId="3B4F88B0" w14:textId="77777777" w:rsidR="00BB47D7" w:rsidRPr="00543BE6" w:rsidRDefault="00BB47D7" w:rsidP="0018604F">
            <w:pPr>
              <w:tabs>
                <w:tab w:val="left" w:pos="9071"/>
              </w:tabs>
              <w:spacing w:after="0" w:line="240" w:lineRule="auto"/>
              <w:jc w:val="center"/>
              <w:rPr>
                <w:b/>
                <w:sz w:val="24"/>
                <w:szCs w:val="24"/>
              </w:rPr>
            </w:pPr>
            <w:r w:rsidRPr="00543BE6">
              <w:rPr>
                <w:b/>
                <w:sz w:val="24"/>
                <w:szCs w:val="24"/>
              </w:rPr>
              <w:t>CEWO Water Planning and delivery</w:t>
            </w:r>
          </w:p>
        </w:tc>
        <w:tc>
          <w:tcPr>
            <w:tcW w:w="9639" w:type="dxa"/>
            <w:gridSpan w:val="4"/>
            <w:shd w:val="clear" w:color="auto" w:fill="EAF1DD" w:themeFill="accent3" w:themeFillTint="33"/>
          </w:tcPr>
          <w:p w14:paraId="3B4F88B1" w14:textId="77777777" w:rsidR="00BB47D7" w:rsidRPr="00543BE6" w:rsidRDefault="00BB47D7" w:rsidP="0018604F">
            <w:pPr>
              <w:tabs>
                <w:tab w:val="left" w:pos="9071"/>
              </w:tabs>
              <w:spacing w:after="0" w:line="240" w:lineRule="auto"/>
              <w:jc w:val="center"/>
              <w:rPr>
                <w:b/>
                <w:sz w:val="24"/>
                <w:szCs w:val="24"/>
              </w:rPr>
            </w:pPr>
            <w:r w:rsidRPr="00543BE6">
              <w:rPr>
                <w:b/>
                <w:sz w:val="24"/>
                <w:szCs w:val="24"/>
              </w:rPr>
              <w:t>Monitoring and Evaluation questions and outcomes</w:t>
            </w:r>
          </w:p>
        </w:tc>
      </w:tr>
      <w:tr w:rsidR="00BB47D7" w14:paraId="3B4F88B9" w14:textId="77777777" w:rsidTr="0018604F">
        <w:tc>
          <w:tcPr>
            <w:tcW w:w="2405" w:type="dxa"/>
            <w:shd w:val="clear" w:color="auto" w:fill="EAF1DD" w:themeFill="accent3" w:themeFillTint="33"/>
          </w:tcPr>
          <w:p w14:paraId="3B4F88B3" w14:textId="77777777" w:rsidR="00BB47D7" w:rsidRPr="00CF2E66" w:rsidRDefault="00BB47D7" w:rsidP="0018604F">
            <w:pPr>
              <w:tabs>
                <w:tab w:val="left" w:pos="9071"/>
              </w:tabs>
              <w:spacing w:after="0" w:line="240" w:lineRule="auto"/>
              <w:jc w:val="left"/>
              <w:rPr>
                <w:b/>
                <w:color w:val="4F6228" w:themeColor="accent3" w:themeShade="80"/>
                <w:sz w:val="20"/>
              </w:rPr>
            </w:pPr>
            <w:r w:rsidRPr="00CF2E66">
              <w:rPr>
                <w:b/>
                <w:bCs/>
                <w:sz w:val="20"/>
              </w:rPr>
              <w:t>Flow component type and target/planned</w:t>
            </w:r>
            <w:r w:rsidRPr="00CF2E66">
              <w:rPr>
                <w:b/>
                <w:bCs/>
                <w:sz w:val="20"/>
                <w:u w:val="single"/>
              </w:rPr>
              <w:t xml:space="preserve"> </w:t>
            </w:r>
            <w:r w:rsidRPr="00CF2E66">
              <w:rPr>
                <w:b/>
                <w:bCs/>
                <w:sz w:val="20"/>
              </w:rPr>
              <w:t>magnitude, duration, timing and/or inundation extent</w:t>
            </w:r>
            <w:r w:rsidR="00B13448">
              <w:rPr>
                <w:b/>
                <w:bCs/>
                <w:sz w:val="20"/>
              </w:rPr>
              <w:t xml:space="preserve"> (CEWO 2016)</w:t>
            </w:r>
          </w:p>
        </w:tc>
        <w:tc>
          <w:tcPr>
            <w:tcW w:w="2126" w:type="dxa"/>
            <w:shd w:val="clear" w:color="auto" w:fill="EAF1DD" w:themeFill="accent3" w:themeFillTint="33"/>
          </w:tcPr>
          <w:p w14:paraId="3B4F88B4" w14:textId="77777777" w:rsidR="00BB47D7" w:rsidRPr="00CF2E66" w:rsidRDefault="00BB47D7" w:rsidP="0018604F">
            <w:pPr>
              <w:tabs>
                <w:tab w:val="left" w:pos="9071"/>
              </w:tabs>
              <w:spacing w:after="0" w:line="240" w:lineRule="auto"/>
              <w:jc w:val="left"/>
              <w:rPr>
                <w:b/>
                <w:color w:val="4F6228" w:themeColor="accent3" w:themeShade="80"/>
                <w:sz w:val="20"/>
              </w:rPr>
            </w:pPr>
            <w:r w:rsidRPr="00CF2E66">
              <w:rPr>
                <w:b/>
                <w:sz w:val="20"/>
              </w:rPr>
              <w:t>Expected outcomes of watering action (From Water Use Minute 10038 and/or CEWO Acquittal report)</w:t>
            </w:r>
          </w:p>
        </w:tc>
        <w:tc>
          <w:tcPr>
            <w:tcW w:w="2552" w:type="dxa"/>
            <w:shd w:val="clear" w:color="auto" w:fill="EAF1DD" w:themeFill="accent3" w:themeFillTint="33"/>
          </w:tcPr>
          <w:p w14:paraId="3B4F88B5" w14:textId="77777777" w:rsidR="00BB47D7" w:rsidRPr="00CF2E66" w:rsidRDefault="00BB47D7" w:rsidP="0018604F">
            <w:pPr>
              <w:tabs>
                <w:tab w:val="left" w:pos="9071"/>
              </w:tabs>
              <w:spacing w:after="0" w:line="240" w:lineRule="auto"/>
              <w:jc w:val="left"/>
              <w:rPr>
                <w:b/>
                <w:color w:val="4F6228" w:themeColor="accent3" w:themeShade="80"/>
                <w:sz w:val="20"/>
              </w:rPr>
            </w:pPr>
            <w:r w:rsidRPr="00CF2E66">
              <w:rPr>
                <w:b/>
                <w:sz w:val="20"/>
              </w:rPr>
              <w:t>LTIM Question</w:t>
            </w:r>
          </w:p>
        </w:tc>
        <w:tc>
          <w:tcPr>
            <w:tcW w:w="2835" w:type="dxa"/>
            <w:shd w:val="clear" w:color="auto" w:fill="EAF1DD" w:themeFill="accent3" w:themeFillTint="33"/>
          </w:tcPr>
          <w:p w14:paraId="3B4F88B6" w14:textId="77777777" w:rsidR="00BB47D7" w:rsidRPr="00CF2E66" w:rsidRDefault="00BB47D7" w:rsidP="0018604F">
            <w:pPr>
              <w:tabs>
                <w:tab w:val="left" w:pos="9071"/>
              </w:tabs>
              <w:spacing w:after="0" w:line="240" w:lineRule="auto"/>
              <w:jc w:val="left"/>
              <w:rPr>
                <w:b/>
                <w:color w:val="4F6228" w:themeColor="accent3" w:themeShade="80"/>
                <w:sz w:val="20"/>
              </w:rPr>
            </w:pPr>
            <w:r w:rsidRPr="00CF2E66">
              <w:rPr>
                <w:b/>
                <w:sz w:val="20"/>
              </w:rPr>
              <w:t>Observed outcomes</w:t>
            </w:r>
          </w:p>
        </w:tc>
        <w:tc>
          <w:tcPr>
            <w:tcW w:w="2126" w:type="dxa"/>
            <w:shd w:val="clear" w:color="auto" w:fill="EAF1DD" w:themeFill="accent3" w:themeFillTint="33"/>
          </w:tcPr>
          <w:p w14:paraId="3B4F88B7" w14:textId="77777777" w:rsidR="00BB47D7" w:rsidRPr="00CF2E66" w:rsidRDefault="00BB47D7" w:rsidP="0018604F">
            <w:pPr>
              <w:tabs>
                <w:tab w:val="left" w:pos="9071"/>
              </w:tabs>
              <w:spacing w:after="0" w:line="240" w:lineRule="auto"/>
              <w:jc w:val="left"/>
              <w:rPr>
                <w:b/>
                <w:color w:val="4F6228" w:themeColor="accent3" w:themeShade="80"/>
                <w:sz w:val="20"/>
              </w:rPr>
            </w:pPr>
            <w:r w:rsidRPr="00CF2E66">
              <w:rPr>
                <w:b/>
                <w:sz w:val="20"/>
              </w:rPr>
              <w:t>What information was the evaluation based on?</w:t>
            </w:r>
          </w:p>
        </w:tc>
        <w:tc>
          <w:tcPr>
            <w:tcW w:w="2126" w:type="dxa"/>
            <w:shd w:val="clear" w:color="auto" w:fill="EAF1DD" w:themeFill="accent3" w:themeFillTint="33"/>
          </w:tcPr>
          <w:p w14:paraId="3B4F88B8" w14:textId="77777777" w:rsidR="00BB47D7" w:rsidRPr="00CF2E66" w:rsidRDefault="00BB47D7" w:rsidP="0018604F">
            <w:pPr>
              <w:tabs>
                <w:tab w:val="left" w:pos="9071"/>
              </w:tabs>
              <w:spacing w:after="0" w:line="240" w:lineRule="auto"/>
              <w:jc w:val="left"/>
              <w:rPr>
                <w:b/>
                <w:color w:val="4F6228" w:themeColor="accent3" w:themeShade="80"/>
                <w:sz w:val="20"/>
              </w:rPr>
            </w:pPr>
            <w:r w:rsidRPr="00CF2E66">
              <w:rPr>
                <w:b/>
                <w:sz w:val="20"/>
              </w:rPr>
              <w:t>Were appropriate flows provided to achieve the expected outcome?</w:t>
            </w:r>
          </w:p>
        </w:tc>
      </w:tr>
      <w:tr w:rsidR="00BB47D7" w14:paraId="3B4F88C9" w14:textId="77777777" w:rsidTr="0018604F">
        <w:trPr>
          <w:trHeight w:val="845"/>
        </w:trPr>
        <w:tc>
          <w:tcPr>
            <w:tcW w:w="2405" w:type="dxa"/>
            <w:vMerge w:val="restart"/>
            <w:tcMar>
              <w:left w:w="57" w:type="dxa"/>
              <w:right w:w="57" w:type="dxa"/>
            </w:tcMar>
          </w:tcPr>
          <w:p w14:paraId="3B4F88BA" w14:textId="77777777" w:rsidR="00BB47D7" w:rsidRDefault="00BB47D7" w:rsidP="0018604F">
            <w:pPr>
              <w:pStyle w:val="ListBullet"/>
              <w:spacing w:after="0"/>
              <w:contextualSpacing w:val="0"/>
              <w:jc w:val="left"/>
              <w:rPr>
                <w:sz w:val="18"/>
                <w:szCs w:val="18"/>
                <w:u w:val="single"/>
              </w:rPr>
            </w:pPr>
            <w:r w:rsidRPr="008443CE">
              <w:rPr>
                <w:sz w:val="18"/>
                <w:szCs w:val="18"/>
                <w:u w:val="single"/>
              </w:rPr>
              <w:t>Upper Wakool River: Base flow and Fresh</w:t>
            </w:r>
            <w:r>
              <w:rPr>
                <w:sz w:val="18"/>
                <w:szCs w:val="18"/>
                <w:u w:val="single"/>
              </w:rPr>
              <w:t xml:space="preserve">  </w:t>
            </w:r>
          </w:p>
          <w:p w14:paraId="3B4F88BB" w14:textId="77777777" w:rsidR="00BB47D7" w:rsidRDefault="00BB47D7" w:rsidP="0018604F">
            <w:pPr>
              <w:pStyle w:val="ListBullet"/>
              <w:spacing w:after="0"/>
              <w:contextualSpacing w:val="0"/>
              <w:jc w:val="left"/>
              <w:rPr>
                <w:sz w:val="18"/>
                <w:szCs w:val="18"/>
              </w:rPr>
            </w:pPr>
            <w:r w:rsidRPr="00B51B43">
              <w:rPr>
                <w:sz w:val="18"/>
                <w:szCs w:val="18"/>
              </w:rPr>
              <w:t>Flow for spring-summer fresh in Upper Wakool (above confluence with Yallakool Creek) to have a flow range of between 50 ML/day and 100</w:t>
            </w:r>
            <w:r>
              <w:rPr>
                <w:sz w:val="18"/>
                <w:szCs w:val="18"/>
              </w:rPr>
              <w:t xml:space="preserve"> </w:t>
            </w:r>
            <w:r w:rsidRPr="00B51B43">
              <w:rPr>
                <w:sz w:val="18"/>
                <w:szCs w:val="18"/>
              </w:rPr>
              <w:t>ML/day to enable river operators to provide a level of variability into flows. A flow recession back to base flows of 25 ML/day every 14 days was targeted.</w:t>
            </w:r>
          </w:p>
          <w:p w14:paraId="3B4F88BC" w14:textId="77777777" w:rsidR="00BB47D7" w:rsidRPr="00956EAE" w:rsidRDefault="00BB47D7" w:rsidP="00D30C6A">
            <w:pPr>
              <w:pStyle w:val="ListBullet"/>
              <w:spacing w:after="0"/>
              <w:contextualSpacing w:val="0"/>
              <w:jc w:val="left"/>
              <w:rPr>
                <w:b/>
                <w:color w:val="4F6228" w:themeColor="accent3" w:themeShade="80"/>
              </w:rPr>
            </w:pPr>
            <w:r w:rsidRPr="008443CE">
              <w:rPr>
                <w:sz w:val="18"/>
                <w:szCs w:val="18"/>
                <w:u w:val="single"/>
              </w:rPr>
              <w:t>Yallakool Creek: Base flow and Fresh</w:t>
            </w:r>
            <w:r>
              <w:rPr>
                <w:sz w:val="18"/>
                <w:szCs w:val="18"/>
                <w:u w:val="single"/>
              </w:rPr>
              <w:t xml:space="preserve"> </w:t>
            </w:r>
            <w:r w:rsidR="00D30C6A">
              <w:rPr>
                <w:sz w:val="18"/>
                <w:szCs w:val="18"/>
                <w:u w:val="single"/>
              </w:rPr>
              <w:t xml:space="preserve"> </w:t>
            </w:r>
            <w:r w:rsidRPr="00B51B43">
              <w:rPr>
                <w:sz w:val="18"/>
                <w:szCs w:val="18"/>
              </w:rPr>
              <w:t>Flow for early fresh to increase from base flow level to peak of 550</w:t>
            </w:r>
            <w:r>
              <w:rPr>
                <w:sz w:val="18"/>
                <w:szCs w:val="18"/>
              </w:rPr>
              <w:t xml:space="preserve"> </w:t>
            </w:r>
            <w:r w:rsidRPr="00B51B43">
              <w:rPr>
                <w:sz w:val="18"/>
                <w:szCs w:val="18"/>
              </w:rPr>
              <w:t>ML/day, receding to 450 ML/day. Flow for spring-summer fresh to have a flow range of between 450 ML/day and 500 ML/day to enable river operators to provide a level of variability into flows. Flow recession to reduce from 500 ML/day in 25 ML/day increments</w:t>
            </w:r>
            <w:r>
              <w:rPr>
                <w:bCs/>
              </w:rPr>
              <w:t>.</w:t>
            </w:r>
          </w:p>
        </w:tc>
        <w:tc>
          <w:tcPr>
            <w:tcW w:w="2126" w:type="dxa"/>
            <w:vMerge w:val="restart"/>
            <w:tcMar>
              <w:left w:w="57" w:type="dxa"/>
              <w:right w:w="57" w:type="dxa"/>
            </w:tcMar>
          </w:tcPr>
          <w:p w14:paraId="3B4F88BD" w14:textId="77777777" w:rsidR="00BB47D7" w:rsidRDefault="00BB47D7" w:rsidP="0018604F">
            <w:pPr>
              <w:spacing w:after="0" w:line="240" w:lineRule="auto"/>
              <w:ind w:left="42"/>
              <w:jc w:val="left"/>
              <w:rPr>
                <w:sz w:val="18"/>
                <w:szCs w:val="18"/>
              </w:rPr>
            </w:pPr>
            <w:r>
              <w:rPr>
                <w:sz w:val="18"/>
                <w:szCs w:val="18"/>
              </w:rPr>
              <w:t>S</w:t>
            </w:r>
            <w:r w:rsidRPr="006F158D">
              <w:rPr>
                <w:sz w:val="18"/>
                <w:szCs w:val="18"/>
              </w:rPr>
              <w:t>upport mobilisation, transport and dispersal of biotic and abiotic material (e.g. sediment, nutrients and organic matter) through longitudinal and lateral hydrological connectivity</w:t>
            </w:r>
          </w:p>
          <w:p w14:paraId="3B4F88BE" w14:textId="77777777" w:rsidR="00BB47D7" w:rsidRPr="006F158D" w:rsidRDefault="00BB47D7" w:rsidP="0018604F">
            <w:pPr>
              <w:spacing w:after="0" w:line="240" w:lineRule="auto"/>
              <w:ind w:left="42"/>
              <w:jc w:val="left"/>
              <w:rPr>
                <w:sz w:val="18"/>
                <w:szCs w:val="18"/>
              </w:rPr>
            </w:pPr>
          </w:p>
          <w:p w14:paraId="3B4F88BF" w14:textId="77777777" w:rsidR="00BB47D7" w:rsidRDefault="00BB47D7" w:rsidP="0018604F">
            <w:pPr>
              <w:spacing w:after="0" w:line="240" w:lineRule="auto"/>
              <w:ind w:left="42"/>
              <w:jc w:val="left"/>
              <w:rPr>
                <w:sz w:val="18"/>
                <w:szCs w:val="18"/>
              </w:rPr>
            </w:pPr>
            <w:r>
              <w:rPr>
                <w:sz w:val="18"/>
                <w:szCs w:val="18"/>
              </w:rPr>
              <w:t>S</w:t>
            </w:r>
            <w:r w:rsidRPr="006F158D">
              <w:rPr>
                <w:sz w:val="18"/>
                <w:szCs w:val="18"/>
              </w:rPr>
              <w:t>upport inundation of low-lying wetlands/floodplains habitats within the system</w:t>
            </w:r>
          </w:p>
          <w:p w14:paraId="3B4F88C0" w14:textId="77777777" w:rsidR="00BB47D7" w:rsidRDefault="00BB47D7" w:rsidP="0018604F">
            <w:pPr>
              <w:spacing w:after="0" w:line="240" w:lineRule="auto"/>
              <w:ind w:left="42"/>
              <w:jc w:val="left"/>
              <w:rPr>
                <w:sz w:val="18"/>
                <w:szCs w:val="18"/>
              </w:rPr>
            </w:pPr>
          </w:p>
          <w:p w14:paraId="3B4F88C1" w14:textId="77777777" w:rsidR="00BB47D7" w:rsidRPr="006F158D" w:rsidRDefault="00BB47D7" w:rsidP="0018604F">
            <w:pPr>
              <w:spacing w:after="0" w:line="240" w:lineRule="auto"/>
              <w:ind w:left="40"/>
              <w:jc w:val="left"/>
              <w:rPr>
                <w:sz w:val="18"/>
                <w:szCs w:val="18"/>
              </w:rPr>
            </w:pPr>
            <w:r>
              <w:rPr>
                <w:sz w:val="18"/>
                <w:szCs w:val="18"/>
              </w:rPr>
              <w:t>M</w:t>
            </w:r>
            <w:r w:rsidRPr="006F158D">
              <w:rPr>
                <w:sz w:val="18"/>
                <w:szCs w:val="18"/>
              </w:rPr>
              <w:t>aintain ecosystem and population resilience through supporting ecological recovery and maintaining aquatic habitat.</w:t>
            </w:r>
          </w:p>
          <w:p w14:paraId="3B4F88C2"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8C3" w14:textId="105554B9" w:rsidR="00BB47D7" w:rsidRPr="00E66032" w:rsidRDefault="00BB47D7" w:rsidP="004212BB">
            <w:pPr>
              <w:pStyle w:val="ListBullet"/>
              <w:spacing w:after="0"/>
              <w:contextualSpacing w:val="0"/>
              <w:jc w:val="left"/>
              <w:rPr>
                <w:rFonts w:cstheme="minorHAnsi"/>
                <w:i/>
                <w:sz w:val="18"/>
                <w:szCs w:val="18"/>
              </w:rPr>
            </w:pPr>
            <w:r w:rsidRPr="00E66032">
              <w:rPr>
                <w:i/>
                <w:sz w:val="18"/>
                <w:szCs w:val="18"/>
              </w:rPr>
              <w:t xml:space="preserve">What is the effect of Commonwealth Environmental Water on the hydrology of the four zones in the Edward-Wakool system that were monitored for the </w:t>
            </w:r>
            <w:r w:rsidR="004212BB">
              <w:rPr>
                <w:i/>
                <w:sz w:val="18"/>
                <w:szCs w:val="18"/>
              </w:rPr>
              <w:t xml:space="preserve">LTIM </w:t>
            </w:r>
            <w:r w:rsidRPr="00E66032">
              <w:rPr>
                <w:i/>
                <w:sz w:val="18"/>
                <w:szCs w:val="18"/>
              </w:rPr>
              <w:t xml:space="preserve"> project?</w:t>
            </w:r>
          </w:p>
        </w:tc>
        <w:tc>
          <w:tcPr>
            <w:tcW w:w="2835" w:type="dxa"/>
            <w:tcMar>
              <w:left w:w="57" w:type="dxa"/>
              <w:right w:w="57" w:type="dxa"/>
            </w:tcMar>
          </w:tcPr>
          <w:p w14:paraId="3B4F88C4" w14:textId="6850B6DC" w:rsidR="00BB47D7" w:rsidRPr="00956EAE" w:rsidRDefault="00BB47D7" w:rsidP="004212BB">
            <w:pPr>
              <w:tabs>
                <w:tab w:val="left" w:pos="9071"/>
              </w:tabs>
              <w:spacing w:after="0" w:line="240" w:lineRule="auto"/>
              <w:ind w:right="-1"/>
              <w:jc w:val="left"/>
              <w:rPr>
                <w:b/>
                <w:color w:val="4F6228" w:themeColor="accent3" w:themeShade="80"/>
              </w:rPr>
            </w:pPr>
            <w:r w:rsidRPr="00CF2E66">
              <w:rPr>
                <w:sz w:val="18"/>
                <w:szCs w:val="18"/>
              </w:rPr>
              <w:t xml:space="preserve">CEW had </w:t>
            </w:r>
            <w:r>
              <w:rPr>
                <w:sz w:val="18"/>
                <w:szCs w:val="18"/>
              </w:rPr>
              <w:t>minimal</w:t>
            </w:r>
            <w:r w:rsidRPr="00CF2E66">
              <w:rPr>
                <w:sz w:val="18"/>
                <w:szCs w:val="18"/>
              </w:rPr>
              <w:t xml:space="preserve"> impact on the hydrology of the upper Wakool River zone 2.</w:t>
            </w:r>
            <w:r w:rsidR="00265BF4">
              <w:rPr>
                <w:sz w:val="18"/>
                <w:szCs w:val="18"/>
              </w:rPr>
              <w:t xml:space="preserve"> There were observable differences in hydrological variables in zones 1, 3 and 4 as a result of the Yallakool Creek watering action</w:t>
            </w:r>
          </w:p>
        </w:tc>
        <w:tc>
          <w:tcPr>
            <w:tcW w:w="2126" w:type="dxa"/>
            <w:tcMar>
              <w:left w:w="57" w:type="dxa"/>
              <w:right w:w="57" w:type="dxa"/>
            </w:tcMar>
          </w:tcPr>
          <w:p w14:paraId="3B4F88C5" w14:textId="77777777" w:rsidR="00BB47D7" w:rsidRPr="00CF7E25" w:rsidRDefault="00BB47D7" w:rsidP="0018604F">
            <w:pPr>
              <w:spacing w:after="0" w:line="240" w:lineRule="auto"/>
              <w:jc w:val="left"/>
              <w:rPr>
                <w:bCs/>
                <w:sz w:val="18"/>
                <w:szCs w:val="18"/>
              </w:rPr>
            </w:pPr>
            <w:r w:rsidRPr="00CF2E66">
              <w:rPr>
                <w:bCs/>
                <w:sz w:val="18"/>
                <w:szCs w:val="18"/>
              </w:rPr>
              <w:t xml:space="preserve">Hydrographs </w:t>
            </w:r>
            <w:r>
              <w:rPr>
                <w:bCs/>
                <w:sz w:val="18"/>
                <w:szCs w:val="18"/>
              </w:rPr>
              <w:t>comparing reaches with and without CEW</w:t>
            </w:r>
          </w:p>
        </w:tc>
        <w:tc>
          <w:tcPr>
            <w:tcW w:w="2126" w:type="dxa"/>
            <w:vMerge w:val="restart"/>
          </w:tcPr>
          <w:p w14:paraId="3B4F88C6" w14:textId="48296638" w:rsidR="00BB47D7" w:rsidRDefault="00194C8C" w:rsidP="0018604F">
            <w:pPr>
              <w:tabs>
                <w:tab w:val="left" w:pos="104"/>
              </w:tabs>
              <w:spacing w:after="0" w:line="240" w:lineRule="auto"/>
              <w:ind w:right="33"/>
              <w:jc w:val="left"/>
              <w:rPr>
                <w:bCs/>
                <w:sz w:val="18"/>
                <w:szCs w:val="18"/>
              </w:rPr>
            </w:pPr>
            <w:r>
              <w:rPr>
                <w:bCs/>
                <w:sz w:val="18"/>
                <w:szCs w:val="18"/>
              </w:rPr>
              <w:t>The environmental flow in th</w:t>
            </w:r>
            <w:r w:rsidRPr="00194C8C">
              <w:rPr>
                <w:bCs/>
                <w:sz w:val="18"/>
                <w:szCs w:val="18"/>
              </w:rPr>
              <w:t>e upper Wakool River was small magnitude and was not appropriate to achieve expected outcomes due</w:t>
            </w:r>
            <w:r>
              <w:rPr>
                <w:bCs/>
                <w:sz w:val="18"/>
                <w:szCs w:val="18"/>
              </w:rPr>
              <w:t xml:space="preserve"> to the flow constraint in the Wakool River. </w:t>
            </w:r>
            <w:r w:rsidR="005E263F">
              <w:rPr>
                <w:bCs/>
                <w:sz w:val="18"/>
                <w:szCs w:val="18"/>
              </w:rPr>
              <w:t xml:space="preserve">It </w:t>
            </w:r>
            <w:r w:rsidR="00BB47D7">
              <w:rPr>
                <w:bCs/>
                <w:sz w:val="18"/>
                <w:szCs w:val="18"/>
              </w:rPr>
              <w:t>did not increase lateral connectivity or connect low-lying habitats within the system.</w:t>
            </w:r>
          </w:p>
          <w:p w14:paraId="3B4F88C7" w14:textId="77777777" w:rsidR="00BB47D7" w:rsidRDefault="00BB47D7" w:rsidP="0018604F">
            <w:pPr>
              <w:tabs>
                <w:tab w:val="left" w:pos="104"/>
              </w:tabs>
              <w:spacing w:after="0" w:line="240" w:lineRule="auto"/>
              <w:ind w:right="33"/>
              <w:rPr>
                <w:bCs/>
                <w:sz w:val="18"/>
                <w:szCs w:val="18"/>
              </w:rPr>
            </w:pPr>
          </w:p>
          <w:p w14:paraId="3B4F88C8" w14:textId="17970F52" w:rsidR="00BB47D7" w:rsidRDefault="005E263F" w:rsidP="0018604F">
            <w:pPr>
              <w:tabs>
                <w:tab w:val="left" w:pos="9071"/>
              </w:tabs>
              <w:spacing w:after="0" w:line="240" w:lineRule="auto"/>
              <w:ind w:right="-1"/>
              <w:jc w:val="left"/>
              <w:rPr>
                <w:b/>
                <w:color w:val="4F6228" w:themeColor="accent3" w:themeShade="80"/>
                <w:sz w:val="24"/>
                <w:szCs w:val="24"/>
              </w:rPr>
            </w:pPr>
            <w:r>
              <w:rPr>
                <w:bCs/>
                <w:sz w:val="18"/>
                <w:szCs w:val="18"/>
              </w:rPr>
              <w:t>The environmental flow</w:t>
            </w:r>
            <w:r w:rsidR="00BB47D7">
              <w:rPr>
                <w:bCs/>
                <w:sz w:val="18"/>
                <w:szCs w:val="18"/>
              </w:rPr>
              <w:t xml:space="preserve"> in Yallakool creek resulted in an increase longitudinal connectivity and achieved an increase in lateral connectivity in some, but not all reaches.</w:t>
            </w:r>
          </w:p>
        </w:tc>
      </w:tr>
      <w:tr w:rsidR="00BB47D7" w14:paraId="3B4F88D1" w14:textId="77777777" w:rsidTr="0018604F">
        <w:tc>
          <w:tcPr>
            <w:tcW w:w="2405" w:type="dxa"/>
            <w:vMerge/>
            <w:tcMar>
              <w:left w:w="57" w:type="dxa"/>
              <w:right w:w="57" w:type="dxa"/>
            </w:tcMar>
          </w:tcPr>
          <w:p w14:paraId="3B4F88CA"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8CB"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8CC" w14:textId="77777777" w:rsidR="00BB47D7" w:rsidRPr="00E66032" w:rsidRDefault="00BB47D7" w:rsidP="0018604F">
            <w:pPr>
              <w:spacing w:after="0" w:line="240" w:lineRule="auto"/>
              <w:jc w:val="left"/>
              <w:rPr>
                <w:i/>
                <w:sz w:val="18"/>
                <w:szCs w:val="18"/>
              </w:rPr>
            </w:pPr>
            <w:r w:rsidRPr="00E66032">
              <w:rPr>
                <w:i/>
                <w:sz w:val="18"/>
                <w:szCs w:val="18"/>
              </w:rPr>
              <w:t xml:space="preserve">What did Commonwealth environmental water contribute to </w:t>
            </w:r>
            <w:r w:rsidR="00D30C6A">
              <w:rPr>
                <w:i/>
                <w:sz w:val="18"/>
                <w:szCs w:val="18"/>
              </w:rPr>
              <w:t xml:space="preserve">longitudinal </w:t>
            </w:r>
            <w:r w:rsidRPr="00E66032">
              <w:rPr>
                <w:i/>
                <w:sz w:val="18"/>
                <w:szCs w:val="18"/>
              </w:rPr>
              <w:t>hydrological connectivity?</w:t>
            </w:r>
          </w:p>
          <w:p w14:paraId="3B4F88CD" w14:textId="77777777" w:rsidR="00BB47D7" w:rsidRPr="00E66032" w:rsidRDefault="00BB47D7" w:rsidP="0018604F">
            <w:pPr>
              <w:spacing w:after="0" w:line="240" w:lineRule="auto"/>
              <w:ind w:left="28"/>
              <w:jc w:val="left"/>
              <w:rPr>
                <w:rFonts w:cs="Calibri"/>
                <w:i/>
                <w:sz w:val="18"/>
                <w:szCs w:val="18"/>
              </w:rPr>
            </w:pPr>
          </w:p>
        </w:tc>
        <w:tc>
          <w:tcPr>
            <w:tcW w:w="2835" w:type="dxa"/>
            <w:tcMar>
              <w:left w:w="57" w:type="dxa"/>
              <w:right w:w="57" w:type="dxa"/>
            </w:tcMar>
          </w:tcPr>
          <w:p w14:paraId="3B4F88CE" w14:textId="349FE4B2" w:rsidR="00BB47D7" w:rsidRPr="00956EAE" w:rsidRDefault="00BB47D7" w:rsidP="00A67839">
            <w:pPr>
              <w:tabs>
                <w:tab w:val="left" w:pos="9071"/>
              </w:tabs>
              <w:spacing w:after="0" w:line="240" w:lineRule="auto"/>
              <w:ind w:right="-1"/>
              <w:jc w:val="left"/>
              <w:rPr>
                <w:b/>
                <w:color w:val="4F6228" w:themeColor="accent3" w:themeShade="80"/>
              </w:rPr>
            </w:pPr>
            <w:r>
              <w:rPr>
                <w:sz w:val="18"/>
                <w:szCs w:val="18"/>
              </w:rPr>
              <w:t xml:space="preserve">CEW contributed to longitudinal connectivity in </w:t>
            </w:r>
            <w:r w:rsidR="00A67839">
              <w:rPr>
                <w:sz w:val="18"/>
                <w:szCs w:val="18"/>
              </w:rPr>
              <w:t>Yallakool C</w:t>
            </w:r>
            <w:r w:rsidR="00265BF4">
              <w:rPr>
                <w:sz w:val="18"/>
                <w:szCs w:val="18"/>
              </w:rPr>
              <w:t xml:space="preserve">k (zone 1) </w:t>
            </w:r>
            <w:r w:rsidR="00A67839">
              <w:rPr>
                <w:sz w:val="18"/>
                <w:szCs w:val="18"/>
              </w:rPr>
              <w:t xml:space="preserve">and </w:t>
            </w:r>
            <w:r>
              <w:rPr>
                <w:sz w:val="18"/>
                <w:szCs w:val="18"/>
              </w:rPr>
              <w:t>the Wakool River</w:t>
            </w:r>
            <w:r w:rsidR="00265BF4">
              <w:rPr>
                <w:sz w:val="18"/>
                <w:szCs w:val="18"/>
              </w:rPr>
              <w:t xml:space="preserve"> (zone</w:t>
            </w:r>
            <w:r w:rsidR="004212BB">
              <w:rPr>
                <w:sz w:val="18"/>
                <w:szCs w:val="18"/>
              </w:rPr>
              <w:t>s</w:t>
            </w:r>
            <w:r w:rsidR="00265BF4">
              <w:rPr>
                <w:sz w:val="18"/>
                <w:szCs w:val="18"/>
              </w:rPr>
              <w:t xml:space="preserve"> 3 and 4)</w:t>
            </w:r>
            <w:r w:rsidR="00D30C6A">
              <w:rPr>
                <w:sz w:val="18"/>
                <w:szCs w:val="18"/>
              </w:rPr>
              <w:t xml:space="preserve">. </w:t>
            </w:r>
            <w:r w:rsidR="00A67839">
              <w:rPr>
                <w:sz w:val="18"/>
                <w:szCs w:val="18"/>
              </w:rPr>
              <w:t>CEW had</w:t>
            </w:r>
            <w:r>
              <w:rPr>
                <w:sz w:val="18"/>
                <w:szCs w:val="18"/>
              </w:rPr>
              <w:t xml:space="preserve"> </w:t>
            </w:r>
            <w:r w:rsidR="00A67839">
              <w:rPr>
                <w:sz w:val="18"/>
                <w:szCs w:val="18"/>
              </w:rPr>
              <w:t>limited</w:t>
            </w:r>
            <w:r>
              <w:rPr>
                <w:sz w:val="18"/>
                <w:szCs w:val="18"/>
              </w:rPr>
              <w:t xml:space="preserve"> influence </w:t>
            </w:r>
            <w:r w:rsidR="00D30C6A">
              <w:rPr>
                <w:sz w:val="18"/>
                <w:szCs w:val="18"/>
              </w:rPr>
              <w:t xml:space="preserve">on </w:t>
            </w:r>
            <w:r w:rsidR="00A67839">
              <w:rPr>
                <w:sz w:val="18"/>
                <w:szCs w:val="18"/>
              </w:rPr>
              <w:t xml:space="preserve">downstream </w:t>
            </w:r>
            <w:r w:rsidR="00D30C6A">
              <w:rPr>
                <w:sz w:val="18"/>
                <w:szCs w:val="18"/>
              </w:rPr>
              <w:t xml:space="preserve">reaches at Coonamit and Stoney Crossing </w:t>
            </w:r>
            <w:r w:rsidR="00A67839">
              <w:rPr>
                <w:sz w:val="18"/>
                <w:szCs w:val="18"/>
              </w:rPr>
              <w:t>that</w:t>
            </w:r>
            <w:r>
              <w:rPr>
                <w:sz w:val="18"/>
                <w:szCs w:val="18"/>
              </w:rPr>
              <w:t xml:space="preserve"> </w:t>
            </w:r>
            <w:r w:rsidR="00265BF4">
              <w:rPr>
                <w:sz w:val="18"/>
                <w:szCs w:val="18"/>
              </w:rPr>
              <w:t>were</w:t>
            </w:r>
            <w:r>
              <w:rPr>
                <w:sz w:val="18"/>
                <w:szCs w:val="18"/>
              </w:rPr>
              <w:t xml:space="preserve"> more influenced by Murray River</w:t>
            </w:r>
            <w:r w:rsidR="00A67839">
              <w:rPr>
                <w:sz w:val="18"/>
                <w:szCs w:val="18"/>
              </w:rPr>
              <w:t xml:space="preserve"> flows</w:t>
            </w:r>
          </w:p>
        </w:tc>
        <w:tc>
          <w:tcPr>
            <w:tcW w:w="2126" w:type="dxa"/>
            <w:tcMar>
              <w:left w:w="57" w:type="dxa"/>
              <w:right w:w="57" w:type="dxa"/>
            </w:tcMar>
          </w:tcPr>
          <w:p w14:paraId="3B4F88CF" w14:textId="77777777" w:rsidR="00BB47D7" w:rsidRPr="00956EAE" w:rsidRDefault="00BB47D7" w:rsidP="0018604F">
            <w:pPr>
              <w:spacing w:after="0" w:line="240" w:lineRule="auto"/>
              <w:jc w:val="left"/>
              <w:rPr>
                <w:b/>
                <w:color w:val="4F6228" w:themeColor="accent3" w:themeShade="80"/>
              </w:rPr>
            </w:pPr>
            <w:r w:rsidRPr="00CF2E66">
              <w:rPr>
                <w:bCs/>
                <w:sz w:val="18"/>
                <w:szCs w:val="18"/>
              </w:rPr>
              <w:t xml:space="preserve">Hydrographs </w:t>
            </w:r>
            <w:r>
              <w:rPr>
                <w:bCs/>
                <w:sz w:val="18"/>
                <w:szCs w:val="18"/>
              </w:rPr>
              <w:t>comparing reaches with and without CEW</w:t>
            </w:r>
            <w:r w:rsidR="00265BF4">
              <w:rPr>
                <w:bCs/>
                <w:sz w:val="18"/>
                <w:szCs w:val="18"/>
              </w:rPr>
              <w:t>.</w:t>
            </w:r>
          </w:p>
        </w:tc>
        <w:tc>
          <w:tcPr>
            <w:tcW w:w="2126" w:type="dxa"/>
            <w:vMerge/>
          </w:tcPr>
          <w:p w14:paraId="3B4F88D0" w14:textId="77777777" w:rsidR="00BB47D7" w:rsidRDefault="00BB47D7" w:rsidP="0018604F">
            <w:pPr>
              <w:tabs>
                <w:tab w:val="left" w:pos="9071"/>
              </w:tabs>
              <w:spacing w:after="0" w:line="240" w:lineRule="auto"/>
              <w:ind w:right="-1"/>
              <w:jc w:val="left"/>
              <w:rPr>
                <w:b/>
                <w:color w:val="4F6228" w:themeColor="accent3" w:themeShade="80"/>
                <w:sz w:val="24"/>
                <w:szCs w:val="24"/>
              </w:rPr>
            </w:pPr>
          </w:p>
        </w:tc>
      </w:tr>
      <w:tr w:rsidR="00BB47D7" w14:paraId="3B4F88D8" w14:textId="77777777" w:rsidTr="0018604F">
        <w:tc>
          <w:tcPr>
            <w:tcW w:w="2405" w:type="dxa"/>
            <w:vMerge/>
            <w:tcMar>
              <w:left w:w="57" w:type="dxa"/>
              <w:right w:w="57" w:type="dxa"/>
            </w:tcMar>
          </w:tcPr>
          <w:p w14:paraId="3B4F88D2"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8D3"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8D4" w14:textId="77777777" w:rsidR="00BB47D7" w:rsidRPr="00E66032" w:rsidRDefault="00BB47D7" w:rsidP="0018604F">
            <w:pPr>
              <w:spacing w:after="0" w:line="240" w:lineRule="auto"/>
              <w:ind w:left="28"/>
              <w:jc w:val="left"/>
              <w:rPr>
                <w:rFonts w:cs="Calibri"/>
                <w:i/>
                <w:sz w:val="18"/>
                <w:szCs w:val="18"/>
              </w:rPr>
            </w:pPr>
            <w:r w:rsidRPr="00E66032">
              <w:rPr>
                <w:rFonts w:asciiTheme="minorHAnsi" w:hAnsiTheme="minorHAnsi"/>
                <w:bCs/>
                <w:i/>
                <w:sz w:val="18"/>
                <w:szCs w:val="18"/>
              </w:rPr>
              <w:t>What did Commonwealth environmental water contribute to the in-channel wetted benthic area?</w:t>
            </w:r>
          </w:p>
        </w:tc>
        <w:tc>
          <w:tcPr>
            <w:tcW w:w="2835" w:type="dxa"/>
            <w:tcMar>
              <w:left w:w="57" w:type="dxa"/>
              <w:right w:w="57" w:type="dxa"/>
            </w:tcMar>
          </w:tcPr>
          <w:p w14:paraId="3B4F88D5" w14:textId="77777777" w:rsidR="00BB47D7" w:rsidRPr="00956EAE" w:rsidRDefault="00BB47D7" w:rsidP="0018604F">
            <w:pPr>
              <w:tabs>
                <w:tab w:val="left" w:pos="9071"/>
              </w:tabs>
              <w:spacing w:after="0" w:line="240" w:lineRule="auto"/>
              <w:ind w:right="-1"/>
              <w:jc w:val="left"/>
              <w:rPr>
                <w:b/>
                <w:color w:val="4F6228" w:themeColor="accent3" w:themeShade="80"/>
              </w:rPr>
            </w:pPr>
            <w:r w:rsidRPr="00EC75AA">
              <w:rPr>
                <w:sz w:val="18"/>
                <w:szCs w:val="18"/>
              </w:rPr>
              <w:t>CEW increased wetted benthic area in zones</w:t>
            </w:r>
            <w:r>
              <w:rPr>
                <w:sz w:val="18"/>
                <w:szCs w:val="18"/>
              </w:rPr>
              <w:t xml:space="preserve"> 1,</w:t>
            </w:r>
            <w:r w:rsidRPr="00EC75AA">
              <w:rPr>
                <w:sz w:val="18"/>
                <w:szCs w:val="18"/>
              </w:rPr>
              <w:t xml:space="preserve"> 3 and 4 compared to operational flows</w:t>
            </w:r>
            <w:r>
              <w:rPr>
                <w:sz w:val="18"/>
                <w:szCs w:val="18"/>
              </w:rPr>
              <w:t>. There was considerable variation in the responses in different reaches</w:t>
            </w:r>
          </w:p>
        </w:tc>
        <w:tc>
          <w:tcPr>
            <w:tcW w:w="2126" w:type="dxa"/>
            <w:tcMar>
              <w:left w:w="57" w:type="dxa"/>
              <w:right w:w="57" w:type="dxa"/>
            </w:tcMar>
          </w:tcPr>
          <w:p w14:paraId="3B4F88D6" w14:textId="77777777" w:rsidR="00BB47D7" w:rsidRPr="00CF7E25" w:rsidRDefault="00BB47D7" w:rsidP="0018604F">
            <w:pPr>
              <w:spacing w:after="0" w:line="240" w:lineRule="auto"/>
              <w:jc w:val="left"/>
              <w:rPr>
                <w:bCs/>
                <w:sz w:val="18"/>
                <w:szCs w:val="18"/>
              </w:rPr>
            </w:pPr>
            <w:r>
              <w:rPr>
                <w:bCs/>
                <w:sz w:val="18"/>
                <w:szCs w:val="18"/>
              </w:rPr>
              <w:t>In-stream inundation modelling (Watts et al</w:t>
            </w:r>
            <w:r w:rsidR="004762DE">
              <w:rPr>
                <w:bCs/>
                <w:sz w:val="18"/>
                <w:szCs w:val="18"/>
              </w:rPr>
              <w:t>.</w:t>
            </w:r>
            <w:r>
              <w:rPr>
                <w:bCs/>
                <w:sz w:val="18"/>
                <w:szCs w:val="18"/>
              </w:rPr>
              <w:t xml:space="preserve"> 2015b)</w:t>
            </w:r>
          </w:p>
        </w:tc>
        <w:tc>
          <w:tcPr>
            <w:tcW w:w="2126" w:type="dxa"/>
            <w:vMerge/>
          </w:tcPr>
          <w:p w14:paraId="3B4F88D7" w14:textId="77777777" w:rsidR="00BB47D7" w:rsidRDefault="00BB47D7" w:rsidP="0018604F">
            <w:pPr>
              <w:tabs>
                <w:tab w:val="left" w:pos="9071"/>
              </w:tabs>
              <w:spacing w:after="0" w:line="240" w:lineRule="auto"/>
              <w:ind w:right="-1"/>
              <w:jc w:val="left"/>
              <w:rPr>
                <w:b/>
                <w:color w:val="4F6228" w:themeColor="accent3" w:themeShade="80"/>
                <w:sz w:val="24"/>
                <w:szCs w:val="24"/>
              </w:rPr>
            </w:pPr>
          </w:p>
        </w:tc>
      </w:tr>
      <w:tr w:rsidR="00BB47D7" w14:paraId="3B4F88DF" w14:textId="77777777" w:rsidTr="0018604F">
        <w:trPr>
          <w:trHeight w:val="1208"/>
        </w:trPr>
        <w:tc>
          <w:tcPr>
            <w:tcW w:w="2405" w:type="dxa"/>
            <w:vMerge/>
            <w:tcMar>
              <w:left w:w="57" w:type="dxa"/>
              <w:right w:w="57" w:type="dxa"/>
            </w:tcMar>
          </w:tcPr>
          <w:p w14:paraId="3B4F88D9"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8DA"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8DB" w14:textId="77777777" w:rsidR="00BB47D7" w:rsidRPr="00E66032" w:rsidRDefault="00BB47D7" w:rsidP="0018604F">
            <w:pPr>
              <w:spacing w:after="0" w:line="240" w:lineRule="auto"/>
              <w:ind w:left="28"/>
              <w:jc w:val="left"/>
              <w:rPr>
                <w:rFonts w:cs="Calibri"/>
                <w:i/>
                <w:sz w:val="18"/>
                <w:szCs w:val="18"/>
              </w:rPr>
            </w:pPr>
            <w:r w:rsidRPr="00E66032">
              <w:rPr>
                <w:rFonts w:asciiTheme="minorHAnsi" w:hAnsiTheme="minorHAnsi"/>
                <w:bCs/>
                <w:i/>
                <w:sz w:val="18"/>
                <w:szCs w:val="18"/>
              </w:rPr>
              <w:t>What did Commonwealth environmental water contribute to the area of slackwater, slow flowing water and fast water?</w:t>
            </w:r>
          </w:p>
        </w:tc>
        <w:tc>
          <w:tcPr>
            <w:tcW w:w="2835" w:type="dxa"/>
            <w:tcMar>
              <w:left w:w="57" w:type="dxa"/>
              <w:right w:w="57" w:type="dxa"/>
            </w:tcMar>
          </w:tcPr>
          <w:p w14:paraId="3B4F88DC" w14:textId="75154FEF" w:rsidR="00BB47D7" w:rsidRPr="00956EAE" w:rsidRDefault="004212BB" w:rsidP="004212BB">
            <w:pPr>
              <w:tabs>
                <w:tab w:val="left" w:pos="9071"/>
              </w:tabs>
              <w:spacing w:after="0" w:line="240" w:lineRule="auto"/>
              <w:ind w:right="-1"/>
              <w:jc w:val="left"/>
              <w:rPr>
                <w:b/>
                <w:color w:val="4F6228" w:themeColor="accent3" w:themeShade="80"/>
              </w:rPr>
            </w:pPr>
            <w:r>
              <w:rPr>
                <w:sz w:val="18"/>
                <w:szCs w:val="18"/>
              </w:rPr>
              <w:t xml:space="preserve">The responses were mixed. </w:t>
            </w:r>
            <w:r w:rsidR="00BB47D7" w:rsidRPr="00EC75AA">
              <w:rPr>
                <w:sz w:val="18"/>
                <w:szCs w:val="18"/>
              </w:rPr>
              <w:t>CEW increased the area of slackwa</w:t>
            </w:r>
            <w:r>
              <w:rPr>
                <w:sz w:val="18"/>
                <w:szCs w:val="18"/>
              </w:rPr>
              <w:t xml:space="preserve">ter and slow water in zone 3 </w:t>
            </w:r>
            <w:r w:rsidR="00BB47D7" w:rsidRPr="00EC75AA">
              <w:rPr>
                <w:sz w:val="18"/>
                <w:szCs w:val="18"/>
              </w:rPr>
              <w:t>and 4.</w:t>
            </w:r>
            <w:r w:rsidR="00BB47D7">
              <w:rPr>
                <w:sz w:val="18"/>
                <w:szCs w:val="18"/>
              </w:rPr>
              <w:t xml:space="preserve"> CEW reduced the </w:t>
            </w:r>
            <w:r w:rsidR="00671636">
              <w:rPr>
                <w:sz w:val="18"/>
                <w:szCs w:val="18"/>
              </w:rPr>
              <w:t>area</w:t>
            </w:r>
            <w:r w:rsidR="00BB47D7">
              <w:rPr>
                <w:sz w:val="18"/>
                <w:szCs w:val="18"/>
              </w:rPr>
              <w:t xml:space="preserve"> of slow water</w:t>
            </w:r>
            <w:r>
              <w:rPr>
                <w:sz w:val="18"/>
                <w:szCs w:val="18"/>
              </w:rPr>
              <w:t xml:space="preserve"> and hydraulic diversity in zone 1. However, hydraulic diversity was increased over the whole focal zone</w:t>
            </w:r>
          </w:p>
        </w:tc>
        <w:tc>
          <w:tcPr>
            <w:tcW w:w="2126" w:type="dxa"/>
            <w:tcMar>
              <w:left w:w="57" w:type="dxa"/>
              <w:right w:w="57" w:type="dxa"/>
            </w:tcMar>
          </w:tcPr>
          <w:p w14:paraId="3B4F88DD" w14:textId="77777777" w:rsidR="00BB47D7" w:rsidRPr="00BB30E9" w:rsidRDefault="00BB47D7" w:rsidP="0018604F">
            <w:pPr>
              <w:spacing w:after="0" w:line="240" w:lineRule="auto"/>
              <w:jc w:val="left"/>
              <w:rPr>
                <w:bCs/>
                <w:sz w:val="18"/>
                <w:szCs w:val="18"/>
              </w:rPr>
            </w:pPr>
            <w:r>
              <w:rPr>
                <w:bCs/>
                <w:sz w:val="18"/>
                <w:szCs w:val="18"/>
              </w:rPr>
              <w:t>In-stream inundation modelling (Watts et al</w:t>
            </w:r>
            <w:r w:rsidR="004762DE">
              <w:rPr>
                <w:bCs/>
                <w:sz w:val="18"/>
                <w:szCs w:val="18"/>
              </w:rPr>
              <w:t>.</w:t>
            </w:r>
            <w:r>
              <w:rPr>
                <w:bCs/>
                <w:sz w:val="18"/>
                <w:szCs w:val="18"/>
              </w:rPr>
              <w:t xml:space="preserve"> 2015b)</w:t>
            </w:r>
          </w:p>
        </w:tc>
        <w:tc>
          <w:tcPr>
            <w:tcW w:w="2126" w:type="dxa"/>
            <w:vMerge/>
          </w:tcPr>
          <w:p w14:paraId="3B4F88DE" w14:textId="77777777" w:rsidR="00BB47D7" w:rsidRDefault="00BB47D7" w:rsidP="0018604F">
            <w:pPr>
              <w:tabs>
                <w:tab w:val="left" w:pos="9071"/>
              </w:tabs>
              <w:spacing w:after="0" w:line="240" w:lineRule="auto"/>
              <w:ind w:right="-1"/>
              <w:jc w:val="left"/>
              <w:rPr>
                <w:b/>
                <w:color w:val="4F6228" w:themeColor="accent3" w:themeShade="80"/>
                <w:sz w:val="24"/>
                <w:szCs w:val="24"/>
              </w:rPr>
            </w:pPr>
          </w:p>
        </w:tc>
      </w:tr>
      <w:tr w:rsidR="00BB47D7" w14:paraId="3B4F88E6" w14:textId="77777777" w:rsidTr="00A67839">
        <w:trPr>
          <w:trHeight w:val="703"/>
        </w:trPr>
        <w:tc>
          <w:tcPr>
            <w:tcW w:w="2405" w:type="dxa"/>
            <w:vMerge/>
            <w:tcMar>
              <w:left w:w="57" w:type="dxa"/>
              <w:right w:w="57" w:type="dxa"/>
            </w:tcMar>
          </w:tcPr>
          <w:p w14:paraId="3B4F88E0"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8E1" w14:textId="77777777" w:rsidR="00BB47D7" w:rsidRPr="00956EAE" w:rsidRDefault="00BB47D7" w:rsidP="0018604F">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8E2" w14:textId="046B1D8B" w:rsidR="00BB47D7" w:rsidRPr="00E66032" w:rsidRDefault="00BB47D7" w:rsidP="00A67839">
            <w:pPr>
              <w:spacing w:after="0" w:line="240" w:lineRule="auto"/>
              <w:ind w:left="28"/>
              <w:jc w:val="left"/>
              <w:rPr>
                <w:rFonts w:asciiTheme="minorHAnsi" w:hAnsiTheme="minorHAnsi"/>
                <w:bCs/>
                <w:i/>
                <w:sz w:val="18"/>
                <w:szCs w:val="18"/>
              </w:rPr>
            </w:pPr>
            <w:r w:rsidRPr="00E66032">
              <w:rPr>
                <w:rFonts w:asciiTheme="minorHAnsi" w:hAnsiTheme="minorHAnsi"/>
                <w:i/>
                <w:sz w:val="18"/>
                <w:szCs w:val="18"/>
              </w:rPr>
              <w:t xml:space="preserve">What did Commonwealth environmental water contribute to </w:t>
            </w:r>
            <w:r w:rsidR="00D30C6A">
              <w:rPr>
                <w:rFonts w:asciiTheme="minorHAnsi" w:hAnsiTheme="minorHAnsi"/>
                <w:i/>
                <w:sz w:val="18"/>
                <w:szCs w:val="18"/>
              </w:rPr>
              <w:t xml:space="preserve">lateral </w:t>
            </w:r>
            <w:r w:rsidRPr="00E66032">
              <w:rPr>
                <w:rFonts w:asciiTheme="minorHAnsi" w:hAnsiTheme="minorHAnsi"/>
                <w:i/>
                <w:sz w:val="18"/>
                <w:szCs w:val="18"/>
              </w:rPr>
              <w:t>connectivity</w:t>
            </w:r>
          </w:p>
        </w:tc>
        <w:tc>
          <w:tcPr>
            <w:tcW w:w="2835" w:type="dxa"/>
            <w:tcMar>
              <w:left w:w="57" w:type="dxa"/>
              <w:right w:w="57" w:type="dxa"/>
            </w:tcMar>
          </w:tcPr>
          <w:p w14:paraId="3B4F88E3" w14:textId="65E26DBC" w:rsidR="00BB47D7" w:rsidRPr="00956EAE" w:rsidRDefault="004212BB" w:rsidP="00A67839">
            <w:pPr>
              <w:tabs>
                <w:tab w:val="left" w:pos="9071"/>
              </w:tabs>
              <w:spacing w:after="0" w:line="240" w:lineRule="auto"/>
              <w:ind w:right="-1"/>
              <w:jc w:val="left"/>
              <w:rPr>
                <w:b/>
                <w:color w:val="4F6228" w:themeColor="accent3" w:themeShade="80"/>
              </w:rPr>
            </w:pPr>
            <w:r>
              <w:rPr>
                <w:sz w:val="18"/>
                <w:szCs w:val="18"/>
              </w:rPr>
              <w:t xml:space="preserve">There were small </w:t>
            </w:r>
            <w:r w:rsidR="00BB47D7" w:rsidRPr="00CF2E66">
              <w:rPr>
                <w:sz w:val="18"/>
                <w:szCs w:val="18"/>
              </w:rPr>
              <w:t>increase</w:t>
            </w:r>
            <w:r>
              <w:rPr>
                <w:sz w:val="18"/>
                <w:szCs w:val="18"/>
              </w:rPr>
              <w:t>s in</w:t>
            </w:r>
            <w:r w:rsidR="00A67839">
              <w:rPr>
                <w:sz w:val="18"/>
                <w:szCs w:val="18"/>
              </w:rPr>
              <w:t xml:space="preserve"> lateral connectivity, in some, </w:t>
            </w:r>
            <w:r w:rsidR="00BB47D7" w:rsidRPr="00CF2E66">
              <w:rPr>
                <w:sz w:val="18"/>
                <w:szCs w:val="18"/>
              </w:rPr>
              <w:t xml:space="preserve">but </w:t>
            </w:r>
            <w:r w:rsidR="00BB47D7">
              <w:rPr>
                <w:sz w:val="18"/>
                <w:szCs w:val="18"/>
              </w:rPr>
              <w:t xml:space="preserve">not </w:t>
            </w:r>
            <w:r w:rsidR="00BB47D7" w:rsidRPr="00CF2E66">
              <w:rPr>
                <w:sz w:val="18"/>
                <w:szCs w:val="18"/>
              </w:rPr>
              <w:t>in all</w:t>
            </w:r>
            <w:r w:rsidR="00A67839">
              <w:rPr>
                <w:sz w:val="18"/>
                <w:szCs w:val="18"/>
              </w:rPr>
              <w:t>,</w:t>
            </w:r>
            <w:r w:rsidR="00BB47D7" w:rsidRPr="00CF2E66">
              <w:rPr>
                <w:sz w:val="18"/>
                <w:szCs w:val="18"/>
              </w:rPr>
              <w:t xml:space="preserve"> </w:t>
            </w:r>
            <w:r w:rsidR="00A67839">
              <w:rPr>
                <w:sz w:val="18"/>
                <w:szCs w:val="18"/>
              </w:rPr>
              <w:t xml:space="preserve">study </w:t>
            </w:r>
            <w:r w:rsidR="00BB47D7" w:rsidRPr="00CF2E66">
              <w:rPr>
                <w:sz w:val="18"/>
                <w:szCs w:val="18"/>
              </w:rPr>
              <w:t>reaches</w:t>
            </w:r>
          </w:p>
        </w:tc>
        <w:tc>
          <w:tcPr>
            <w:tcW w:w="2126" w:type="dxa"/>
            <w:tcMar>
              <w:left w:w="57" w:type="dxa"/>
              <w:right w:w="57" w:type="dxa"/>
            </w:tcMar>
          </w:tcPr>
          <w:p w14:paraId="3B4F88E4" w14:textId="77777777" w:rsidR="00BB47D7" w:rsidRPr="00BB30E9" w:rsidRDefault="00BB47D7" w:rsidP="0018604F">
            <w:pPr>
              <w:spacing w:after="0" w:line="240" w:lineRule="auto"/>
              <w:jc w:val="left"/>
              <w:rPr>
                <w:bCs/>
                <w:sz w:val="18"/>
                <w:szCs w:val="18"/>
              </w:rPr>
            </w:pPr>
            <w:r>
              <w:rPr>
                <w:bCs/>
                <w:sz w:val="18"/>
                <w:szCs w:val="18"/>
              </w:rPr>
              <w:t>In-stream inundation modelling (Watts et al</w:t>
            </w:r>
            <w:r w:rsidR="004762DE">
              <w:rPr>
                <w:bCs/>
                <w:sz w:val="18"/>
                <w:szCs w:val="18"/>
              </w:rPr>
              <w:t>.</w:t>
            </w:r>
            <w:r>
              <w:rPr>
                <w:bCs/>
                <w:sz w:val="18"/>
                <w:szCs w:val="18"/>
              </w:rPr>
              <w:t xml:space="preserve"> 2015b)</w:t>
            </w:r>
          </w:p>
        </w:tc>
        <w:tc>
          <w:tcPr>
            <w:tcW w:w="2126" w:type="dxa"/>
            <w:vMerge/>
          </w:tcPr>
          <w:p w14:paraId="3B4F88E5" w14:textId="77777777" w:rsidR="00BB47D7" w:rsidRDefault="00BB47D7" w:rsidP="0018604F">
            <w:pPr>
              <w:tabs>
                <w:tab w:val="left" w:pos="9071"/>
              </w:tabs>
              <w:spacing w:after="0" w:line="240" w:lineRule="auto"/>
              <w:ind w:right="-1"/>
              <w:jc w:val="left"/>
              <w:rPr>
                <w:b/>
                <w:color w:val="4F6228" w:themeColor="accent3" w:themeShade="80"/>
                <w:sz w:val="24"/>
                <w:szCs w:val="24"/>
              </w:rPr>
            </w:pPr>
          </w:p>
        </w:tc>
      </w:tr>
    </w:tbl>
    <w:p w14:paraId="3B4F88E7" w14:textId="77777777" w:rsidR="00BB47D7" w:rsidRPr="00BB47D7" w:rsidRDefault="00BB47D7" w:rsidP="00BB47D7">
      <w:pPr>
        <w:pStyle w:val="ListParagraph"/>
        <w:numPr>
          <w:ilvl w:val="0"/>
          <w:numId w:val="21"/>
        </w:numPr>
        <w:spacing w:after="0" w:line="240" w:lineRule="auto"/>
        <w:jc w:val="left"/>
        <w:rPr>
          <w:b/>
          <w:color w:val="4F6228" w:themeColor="accent3" w:themeShade="80"/>
          <w:sz w:val="36"/>
          <w:szCs w:val="36"/>
        </w:rPr>
        <w:sectPr w:rsidR="00BB47D7" w:rsidRPr="00BB47D7" w:rsidSect="00956EAE">
          <w:pgSz w:w="16838" w:h="11906" w:orient="landscape"/>
          <w:pgMar w:top="1701" w:right="1440" w:bottom="1701" w:left="1440" w:header="709" w:footer="709" w:gutter="0"/>
          <w:cols w:space="708"/>
          <w:docGrid w:linePitch="360"/>
        </w:sectPr>
      </w:pPr>
    </w:p>
    <w:p w14:paraId="3B4F88E8" w14:textId="77777777" w:rsidR="00D83954" w:rsidRPr="00981345" w:rsidRDefault="0075648F" w:rsidP="00417F7C">
      <w:pPr>
        <w:pStyle w:val="Heading1"/>
      </w:pPr>
      <w:bookmarkStart w:id="25" w:name="_Toc484078407"/>
      <w:r>
        <w:lastRenderedPageBreak/>
        <w:t>Summary of w</w:t>
      </w:r>
      <w:r w:rsidR="00D83954">
        <w:t xml:space="preserve">ater quality and carbon responses to </w:t>
      </w:r>
      <w:r w:rsidR="00743D43">
        <w:t>C</w:t>
      </w:r>
      <w:r w:rsidR="00D83954" w:rsidRPr="00981345">
        <w:t xml:space="preserve">ommonwealth environmental </w:t>
      </w:r>
      <w:r w:rsidR="00D83954">
        <w:t>wate</w:t>
      </w:r>
      <w:r>
        <w:t>r</w:t>
      </w:r>
      <w:r w:rsidR="00D83954">
        <w:t>ing</w:t>
      </w:r>
      <w:bookmarkEnd w:id="25"/>
    </w:p>
    <w:p w14:paraId="3B4F88E9" w14:textId="77777777" w:rsidR="00D83954" w:rsidRDefault="00D83954" w:rsidP="00D83954">
      <w:pPr>
        <w:spacing w:after="0" w:line="240" w:lineRule="auto"/>
        <w:jc w:val="left"/>
        <w:rPr>
          <w:color w:val="4F6228" w:themeColor="accent3" w:themeShade="80"/>
          <w:szCs w:val="22"/>
        </w:rPr>
      </w:pPr>
    </w:p>
    <w:p w14:paraId="3B4F88EA" w14:textId="77777777" w:rsidR="00D83954" w:rsidRPr="00F13819" w:rsidRDefault="00832113" w:rsidP="00CF1438">
      <w:pPr>
        <w:tabs>
          <w:tab w:val="left" w:pos="9071"/>
        </w:tabs>
        <w:spacing w:after="240" w:line="300" w:lineRule="exact"/>
        <w:jc w:val="left"/>
        <w:rPr>
          <w:b/>
          <w:color w:val="4F6228" w:themeColor="accent3" w:themeShade="80"/>
          <w:sz w:val="24"/>
          <w:szCs w:val="24"/>
        </w:rPr>
      </w:pPr>
      <w:r>
        <w:rPr>
          <w:b/>
          <w:color w:val="4F6228" w:themeColor="accent3" w:themeShade="80"/>
          <w:sz w:val="24"/>
          <w:szCs w:val="24"/>
        </w:rPr>
        <w:t>5</w:t>
      </w:r>
      <w:r w:rsidR="00D83954">
        <w:rPr>
          <w:b/>
          <w:color w:val="4F6228" w:themeColor="accent3" w:themeShade="80"/>
          <w:sz w:val="24"/>
          <w:szCs w:val="24"/>
        </w:rPr>
        <w:t xml:space="preserve">.1 </w:t>
      </w:r>
      <w:r w:rsidR="001012C1">
        <w:rPr>
          <w:b/>
          <w:color w:val="4F6228" w:themeColor="accent3" w:themeShade="80"/>
          <w:sz w:val="24"/>
          <w:szCs w:val="24"/>
        </w:rPr>
        <w:t>Monitoring</w:t>
      </w:r>
    </w:p>
    <w:p w14:paraId="3B4F88EB" w14:textId="77777777" w:rsidR="00F468B3" w:rsidRPr="00F468B3" w:rsidRDefault="00F468B3" w:rsidP="007A6B52">
      <w:pPr>
        <w:shd w:val="clear" w:color="auto" w:fill="FFFFFF" w:themeFill="background1"/>
        <w:spacing w:after="240" w:line="320" w:lineRule="exact"/>
        <w:jc w:val="left"/>
        <w:rPr>
          <w:szCs w:val="22"/>
        </w:rPr>
      </w:pPr>
      <w:r w:rsidRPr="00F468B3">
        <w:rPr>
          <w:szCs w:val="22"/>
        </w:rPr>
        <w:t xml:space="preserve">Water quality parameters were assessed by a combination of continuous logging (temperature and dissolved oxygen) supplemented with spot measurements and collection of water samples (monthly) </w:t>
      </w:r>
      <w:r w:rsidR="003D2EB4">
        <w:rPr>
          <w:szCs w:val="22"/>
        </w:rPr>
        <w:t xml:space="preserve">at </w:t>
      </w:r>
      <w:r w:rsidRPr="00F468B3">
        <w:rPr>
          <w:szCs w:val="22"/>
        </w:rPr>
        <w:t xml:space="preserve">two sites within each zone, and from Stevens Weir on the Edward River and the Mulwala Canal for laboratory measurement of: dissolved organic carbon, nutrients and absorbance and fluorescence spectroscopy for organic matter characterisation. </w:t>
      </w:r>
      <w:r w:rsidR="00976748">
        <w:rPr>
          <w:szCs w:val="22"/>
        </w:rPr>
        <w:t xml:space="preserve">Additional weekly monitoring was undertaken at these plus additional sites over thirteen weeks between March and </w:t>
      </w:r>
      <w:r w:rsidR="00976748" w:rsidRPr="00F468B3">
        <w:rPr>
          <w:szCs w:val="22"/>
        </w:rPr>
        <w:t xml:space="preserve">May </w:t>
      </w:r>
      <w:r w:rsidR="00976748">
        <w:rPr>
          <w:szCs w:val="22"/>
        </w:rPr>
        <w:t>during</w:t>
      </w:r>
      <w:r w:rsidR="00976748" w:rsidRPr="00F468B3">
        <w:rPr>
          <w:szCs w:val="22"/>
        </w:rPr>
        <w:t xml:space="preserve"> </w:t>
      </w:r>
      <w:r w:rsidR="00976748">
        <w:rPr>
          <w:szCs w:val="22"/>
        </w:rPr>
        <w:t>a</w:t>
      </w:r>
      <w:r w:rsidR="00976748" w:rsidRPr="00F468B3">
        <w:rPr>
          <w:szCs w:val="22"/>
        </w:rPr>
        <w:t xml:space="preserve"> cyanobacteria </w:t>
      </w:r>
      <w:r w:rsidR="00976748">
        <w:rPr>
          <w:szCs w:val="22"/>
        </w:rPr>
        <w:t>bloom that extended throughout the Murray system.</w:t>
      </w:r>
    </w:p>
    <w:p w14:paraId="3B4F88EC" w14:textId="77777777" w:rsidR="00C476D7" w:rsidRDefault="00832113" w:rsidP="003D2EB4">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5</w:t>
      </w:r>
      <w:r w:rsidR="0075648F">
        <w:rPr>
          <w:b/>
          <w:color w:val="4F6228" w:themeColor="accent3" w:themeShade="80"/>
          <w:sz w:val="24"/>
          <w:szCs w:val="24"/>
        </w:rPr>
        <w:t>.2 M</w:t>
      </w:r>
      <w:r w:rsidR="00C476D7">
        <w:rPr>
          <w:b/>
          <w:color w:val="4F6228" w:themeColor="accent3" w:themeShade="80"/>
          <w:sz w:val="24"/>
          <w:szCs w:val="24"/>
        </w:rPr>
        <w:t>ain findings</w:t>
      </w:r>
    </w:p>
    <w:p w14:paraId="3B4F88ED" w14:textId="77777777" w:rsidR="007A6B52" w:rsidRDefault="007A6B52" w:rsidP="00CF1438">
      <w:pPr>
        <w:autoSpaceDE w:val="0"/>
        <w:autoSpaceDN w:val="0"/>
        <w:adjustRightInd w:val="0"/>
        <w:spacing w:after="240" w:line="300" w:lineRule="exact"/>
        <w:jc w:val="left"/>
        <w:rPr>
          <w:szCs w:val="22"/>
        </w:rPr>
      </w:pPr>
      <w:r>
        <w:rPr>
          <w:szCs w:val="22"/>
        </w:rPr>
        <w:t xml:space="preserve">This section provides a summary of the </w:t>
      </w:r>
      <w:r w:rsidR="00BF559C">
        <w:rPr>
          <w:szCs w:val="22"/>
        </w:rPr>
        <w:t xml:space="preserve">main </w:t>
      </w:r>
      <w:r>
        <w:rPr>
          <w:szCs w:val="22"/>
        </w:rPr>
        <w:t xml:space="preserve">water quality and carbon responses to Commonwealth environmental watering in the Edward-Wakool system in 2015-16. Detailed findings are presented in </w:t>
      </w:r>
      <w:r w:rsidRPr="0088257B">
        <w:rPr>
          <w:szCs w:val="22"/>
        </w:rPr>
        <w:t xml:space="preserve">Appendix </w:t>
      </w:r>
      <w:r w:rsidR="0088257B" w:rsidRPr="0088257B">
        <w:rPr>
          <w:szCs w:val="22"/>
        </w:rPr>
        <w:t>A</w:t>
      </w:r>
      <w:r w:rsidRPr="0088257B">
        <w:rPr>
          <w:szCs w:val="22"/>
        </w:rPr>
        <w:t>.</w:t>
      </w:r>
      <w:r>
        <w:rPr>
          <w:szCs w:val="22"/>
        </w:rPr>
        <w:t xml:space="preserve"> </w:t>
      </w:r>
    </w:p>
    <w:p w14:paraId="3B4F88EE" w14:textId="68849E14" w:rsidR="00442A0E" w:rsidRDefault="00442A0E" w:rsidP="00CF1438">
      <w:pPr>
        <w:autoSpaceDE w:val="0"/>
        <w:autoSpaceDN w:val="0"/>
        <w:adjustRightInd w:val="0"/>
        <w:spacing w:after="240" w:line="300" w:lineRule="exact"/>
        <w:jc w:val="left"/>
        <w:rPr>
          <w:szCs w:val="22"/>
        </w:rPr>
      </w:pPr>
      <w:r w:rsidRPr="005D3994">
        <w:rPr>
          <w:szCs w:val="22"/>
        </w:rPr>
        <w:t xml:space="preserve">Commonwealth environmental water </w:t>
      </w:r>
      <w:r w:rsidR="004D4CC0">
        <w:rPr>
          <w:szCs w:val="22"/>
        </w:rPr>
        <w:t>maintained</w:t>
      </w:r>
      <w:r w:rsidRPr="005D3994">
        <w:rPr>
          <w:szCs w:val="22"/>
        </w:rPr>
        <w:t xml:space="preserve"> diss</w:t>
      </w:r>
      <w:r w:rsidR="00BA3554">
        <w:rPr>
          <w:szCs w:val="22"/>
        </w:rPr>
        <w:t>olved oxygen concentrations in z</w:t>
      </w:r>
      <w:r w:rsidRPr="005D3994">
        <w:rPr>
          <w:szCs w:val="22"/>
        </w:rPr>
        <w:t>ones 1, 3 and 4 during spring and early summer.</w:t>
      </w:r>
      <w:r>
        <w:rPr>
          <w:szCs w:val="22"/>
        </w:rPr>
        <w:t xml:space="preserve"> This was consistent with o</w:t>
      </w:r>
      <w:r w:rsidR="00832113">
        <w:rPr>
          <w:szCs w:val="22"/>
        </w:rPr>
        <w:t>bservations in 2014-15 (Figure 5</w:t>
      </w:r>
      <w:r w:rsidR="00BA3554">
        <w:rPr>
          <w:szCs w:val="22"/>
        </w:rPr>
        <w:t>.1) when the Wakool River zone 2 had</w:t>
      </w:r>
      <w:r>
        <w:rPr>
          <w:szCs w:val="22"/>
        </w:rPr>
        <w:t xml:space="preserve"> lower dissolved oxygen during low flow</w:t>
      </w:r>
      <w:r w:rsidR="004D4CC0">
        <w:rPr>
          <w:szCs w:val="22"/>
        </w:rPr>
        <w:t>s</w:t>
      </w:r>
      <w:r>
        <w:rPr>
          <w:szCs w:val="22"/>
        </w:rPr>
        <w:t>.</w:t>
      </w:r>
    </w:p>
    <w:p w14:paraId="3B4F88EF" w14:textId="6C4FEB8B" w:rsidR="00442A0E" w:rsidRPr="005D3994" w:rsidRDefault="00442A0E" w:rsidP="00CF1438">
      <w:pPr>
        <w:autoSpaceDE w:val="0"/>
        <w:autoSpaceDN w:val="0"/>
        <w:adjustRightInd w:val="0"/>
        <w:spacing w:after="240" w:line="300" w:lineRule="exact"/>
        <w:jc w:val="left"/>
        <w:rPr>
          <w:szCs w:val="22"/>
        </w:rPr>
      </w:pPr>
      <w:r w:rsidRPr="005D3994">
        <w:rPr>
          <w:szCs w:val="22"/>
        </w:rPr>
        <w:t xml:space="preserve">A pulse of dissolved organic </w:t>
      </w:r>
      <w:r>
        <w:rPr>
          <w:szCs w:val="22"/>
        </w:rPr>
        <w:t>carbon</w:t>
      </w:r>
      <w:r w:rsidRPr="005D3994">
        <w:rPr>
          <w:szCs w:val="22"/>
        </w:rPr>
        <w:t xml:space="preserve"> </w:t>
      </w:r>
      <w:r>
        <w:rPr>
          <w:szCs w:val="22"/>
        </w:rPr>
        <w:t xml:space="preserve">(DOC) </w:t>
      </w:r>
      <w:r w:rsidRPr="005D3994">
        <w:rPr>
          <w:szCs w:val="22"/>
        </w:rPr>
        <w:t xml:space="preserve">from the Barmah-Millewa </w:t>
      </w:r>
      <w:r w:rsidR="00D20606">
        <w:rPr>
          <w:szCs w:val="22"/>
        </w:rPr>
        <w:t>F</w:t>
      </w:r>
      <w:r w:rsidRPr="005D3994">
        <w:rPr>
          <w:szCs w:val="22"/>
        </w:rPr>
        <w:t xml:space="preserve">orest was introduced to the system through the combination of the multi-site watering action and Commonwealth environmental water </w:t>
      </w:r>
      <w:r w:rsidR="003D2EB4">
        <w:rPr>
          <w:szCs w:val="22"/>
        </w:rPr>
        <w:t xml:space="preserve">action </w:t>
      </w:r>
      <w:r w:rsidR="00BA3554">
        <w:rPr>
          <w:szCs w:val="22"/>
        </w:rPr>
        <w:t xml:space="preserve">in September to </w:t>
      </w:r>
      <w:r w:rsidRPr="005D3994">
        <w:rPr>
          <w:szCs w:val="22"/>
        </w:rPr>
        <w:t>December</w:t>
      </w:r>
      <w:r w:rsidR="00832113">
        <w:rPr>
          <w:szCs w:val="22"/>
        </w:rPr>
        <w:t xml:space="preserve"> </w:t>
      </w:r>
      <w:r w:rsidR="00BA3554">
        <w:rPr>
          <w:szCs w:val="22"/>
        </w:rPr>
        <w:t xml:space="preserve">2015 </w:t>
      </w:r>
      <w:r w:rsidR="00832113">
        <w:rPr>
          <w:szCs w:val="22"/>
        </w:rPr>
        <w:t>(Figure 5</w:t>
      </w:r>
      <w:r>
        <w:rPr>
          <w:szCs w:val="22"/>
        </w:rPr>
        <w:t>.2)</w:t>
      </w:r>
      <w:r w:rsidRPr="005D3994">
        <w:rPr>
          <w:szCs w:val="22"/>
        </w:rPr>
        <w:t xml:space="preserve">, however no increase in nutrients </w:t>
      </w:r>
      <w:r>
        <w:rPr>
          <w:szCs w:val="22"/>
        </w:rPr>
        <w:t xml:space="preserve">(nitrogen or phosphorus) </w:t>
      </w:r>
      <w:r w:rsidRPr="005D3994">
        <w:rPr>
          <w:szCs w:val="22"/>
        </w:rPr>
        <w:t>was observed over this period</w:t>
      </w:r>
      <w:r w:rsidR="00BA3554">
        <w:rPr>
          <w:szCs w:val="22"/>
        </w:rPr>
        <w:t xml:space="preserve"> (</w:t>
      </w:r>
      <w:r w:rsidR="00832113">
        <w:rPr>
          <w:szCs w:val="22"/>
        </w:rPr>
        <w:t>Figure 5</w:t>
      </w:r>
      <w:r w:rsidR="00BA3554">
        <w:rPr>
          <w:szCs w:val="22"/>
        </w:rPr>
        <w:t>.3</w:t>
      </w:r>
      <w:r>
        <w:rPr>
          <w:szCs w:val="22"/>
        </w:rPr>
        <w:t xml:space="preserve">). The change in DOC concentrations was small and similar to the range </w:t>
      </w:r>
      <w:r w:rsidR="00BF559C">
        <w:rPr>
          <w:szCs w:val="22"/>
        </w:rPr>
        <w:t>observed in 2014-15 but there was</w:t>
      </w:r>
      <w:r>
        <w:rPr>
          <w:szCs w:val="22"/>
        </w:rPr>
        <w:t xml:space="preserve"> a clear increase </w:t>
      </w:r>
      <w:r w:rsidR="00BA3554">
        <w:rPr>
          <w:szCs w:val="22"/>
        </w:rPr>
        <w:t>in all zones that</w:t>
      </w:r>
      <w:r w:rsidR="0018604F">
        <w:rPr>
          <w:szCs w:val="22"/>
        </w:rPr>
        <w:t xml:space="preserve"> received water from </w:t>
      </w:r>
      <w:r w:rsidR="00BA3554">
        <w:rPr>
          <w:szCs w:val="22"/>
        </w:rPr>
        <w:t>Stevens Weir</w:t>
      </w:r>
      <w:r w:rsidR="0018604F">
        <w:rPr>
          <w:szCs w:val="22"/>
        </w:rPr>
        <w:t xml:space="preserve"> </w:t>
      </w:r>
      <w:r>
        <w:rPr>
          <w:szCs w:val="22"/>
        </w:rPr>
        <w:t xml:space="preserve">relative to concentrations in the </w:t>
      </w:r>
      <w:r w:rsidR="00BA3554">
        <w:rPr>
          <w:szCs w:val="22"/>
        </w:rPr>
        <w:t xml:space="preserve">Mulwala </w:t>
      </w:r>
      <w:r>
        <w:rPr>
          <w:szCs w:val="22"/>
        </w:rPr>
        <w:t>canal</w:t>
      </w:r>
      <w:r w:rsidR="0018604F">
        <w:rPr>
          <w:szCs w:val="22"/>
        </w:rPr>
        <w:t>,</w:t>
      </w:r>
      <w:r>
        <w:rPr>
          <w:szCs w:val="22"/>
        </w:rPr>
        <w:t xml:space="preserve"> and the pulse </w:t>
      </w:r>
      <w:r w:rsidR="00BA3554">
        <w:rPr>
          <w:szCs w:val="22"/>
        </w:rPr>
        <w:t xml:space="preserve">of DOC </w:t>
      </w:r>
      <w:r>
        <w:rPr>
          <w:szCs w:val="22"/>
        </w:rPr>
        <w:t>progress</w:t>
      </w:r>
      <w:r w:rsidR="00BA3554">
        <w:rPr>
          <w:szCs w:val="22"/>
        </w:rPr>
        <w:t>ed</w:t>
      </w:r>
      <w:r>
        <w:rPr>
          <w:szCs w:val="22"/>
        </w:rPr>
        <w:t xml:space="preserve"> downstream over time.</w:t>
      </w:r>
    </w:p>
    <w:p w14:paraId="3B4F88F0" w14:textId="132E5BEB" w:rsidR="009B2ABE" w:rsidRPr="00AC49AC" w:rsidRDefault="009B2ABE" w:rsidP="00E50AD5">
      <w:pPr>
        <w:autoSpaceDE w:val="0"/>
        <w:autoSpaceDN w:val="0"/>
        <w:adjustRightInd w:val="0"/>
        <w:spacing w:after="120" w:line="300" w:lineRule="exact"/>
        <w:jc w:val="left"/>
        <w:rPr>
          <w:rFonts w:asciiTheme="minorHAnsi" w:eastAsiaTheme="minorHAnsi" w:hAnsiTheme="minorHAnsi" w:cs="Calibri"/>
          <w:szCs w:val="22"/>
        </w:rPr>
      </w:pPr>
      <w:r w:rsidRPr="00AC49AC">
        <w:rPr>
          <w:rFonts w:asciiTheme="minorHAnsi" w:eastAsiaTheme="minorHAnsi" w:hAnsiTheme="minorHAnsi" w:cs="Calibri"/>
          <w:szCs w:val="22"/>
        </w:rPr>
        <w:t>From late Febr</w:t>
      </w:r>
      <w:r w:rsidR="00BA6C55">
        <w:rPr>
          <w:rFonts w:asciiTheme="minorHAnsi" w:eastAsiaTheme="minorHAnsi" w:hAnsiTheme="minorHAnsi" w:cs="Calibri"/>
          <w:szCs w:val="22"/>
        </w:rPr>
        <w:t xml:space="preserve">uary to </w:t>
      </w:r>
      <w:r w:rsidRPr="00AC49AC">
        <w:rPr>
          <w:rFonts w:asciiTheme="minorHAnsi" w:eastAsiaTheme="minorHAnsi" w:hAnsiTheme="minorHAnsi" w:cs="Calibri"/>
          <w:szCs w:val="22"/>
        </w:rPr>
        <w:t xml:space="preserve">May </w:t>
      </w:r>
      <w:r w:rsidR="00BA6C55">
        <w:rPr>
          <w:rFonts w:asciiTheme="minorHAnsi" w:eastAsiaTheme="minorHAnsi" w:hAnsiTheme="minorHAnsi" w:cs="Calibri"/>
          <w:szCs w:val="22"/>
        </w:rPr>
        <w:t xml:space="preserve">2016 </w:t>
      </w:r>
      <w:r w:rsidRPr="00AC49AC">
        <w:rPr>
          <w:rFonts w:asciiTheme="minorHAnsi" w:eastAsiaTheme="minorHAnsi" w:hAnsiTheme="minorHAnsi" w:cs="Calibri"/>
          <w:szCs w:val="22"/>
        </w:rPr>
        <w:t xml:space="preserve">water quality parameters were </w:t>
      </w:r>
      <w:r w:rsidR="00BA3554">
        <w:rPr>
          <w:rFonts w:asciiTheme="minorHAnsi" w:eastAsiaTheme="minorHAnsi" w:hAnsiTheme="minorHAnsi" w:cs="Calibri"/>
          <w:szCs w:val="22"/>
        </w:rPr>
        <w:t>influenced</w:t>
      </w:r>
      <w:r w:rsidRPr="00AC49AC">
        <w:rPr>
          <w:rFonts w:asciiTheme="minorHAnsi" w:eastAsiaTheme="minorHAnsi" w:hAnsiTheme="minorHAnsi" w:cs="Calibri"/>
          <w:szCs w:val="22"/>
        </w:rPr>
        <w:t xml:space="preserve"> by a bloom of</w:t>
      </w:r>
      <w:r>
        <w:rPr>
          <w:rFonts w:asciiTheme="minorHAnsi" w:eastAsiaTheme="minorHAnsi" w:hAnsiTheme="minorHAnsi" w:cs="Calibri"/>
          <w:szCs w:val="22"/>
        </w:rPr>
        <w:t xml:space="preserve"> the cyanobacteria </w:t>
      </w:r>
      <w:r>
        <w:rPr>
          <w:rFonts w:asciiTheme="minorHAnsi" w:eastAsiaTheme="minorHAnsi" w:hAnsiTheme="minorHAnsi" w:cs="Calibri-Italic"/>
          <w:i/>
          <w:iCs/>
          <w:szCs w:val="22"/>
        </w:rPr>
        <w:t>Chrysosporum ovalisporum.</w:t>
      </w:r>
      <w:r>
        <w:rPr>
          <w:rFonts w:asciiTheme="minorHAnsi" w:eastAsiaTheme="minorHAnsi" w:hAnsiTheme="minorHAnsi" w:cs="Calibri-Italic"/>
          <w:iCs/>
          <w:szCs w:val="22"/>
        </w:rPr>
        <w:t xml:space="preserve"> This bloom was widespread through the Murray River catchment and originated upstream of </w:t>
      </w:r>
      <w:r w:rsidR="003D2EB4">
        <w:rPr>
          <w:rFonts w:asciiTheme="minorHAnsi" w:eastAsiaTheme="minorHAnsi" w:hAnsiTheme="minorHAnsi" w:cs="Calibri-Italic"/>
          <w:iCs/>
          <w:szCs w:val="22"/>
        </w:rPr>
        <w:t>these study zones (Fi</w:t>
      </w:r>
      <w:r w:rsidR="0018604F">
        <w:rPr>
          <w:rFonts w:asciiTheme="minorHAnsi" w:eastAsiaTheme="minorHAnsi" w:hAnsiTheme="minorHAnsi" w:cs="Calibri-Italic"/>
          <w:iCs/>
          <w:szCs w:val="22"/>
        </w:rPr>
        <w:t>gures 5</w:t>
      </w:r>
      <w:r w:rsidR="003D2EB4">
        <w:rPr>
          <w:rFonts w:asciiTheme="minorHAnsi" w:eastAsiaTheme="minorHAnsi" w:hAnsiTheme="minorHAnsi" w:cs="Calibri-Italic"/>
          <w:iCs/>
          <w:szCs w:val="22"/>
        </w:rPr>
        <w:t xml:space="preserve">.4, </w:t>
      </w:r>
      <w:r w:rsidR="0018604F">
        <w:rPr>
          <w:rFonts w:asciiTheme="minorHAnsi" w:eastAsiaTheme="minorHAnsi" w:hAnsiTheme="minorHAnsi" w:cs="Calibri-Italic"/>
          <w:iCs/>
          <w:szCs w:val="22"/>
        </w:rPr>
        <w:t>5</w:t>
      </w:r>
      <w:r>
        <w:rPr>
          <w:rFonts w:asciiTheme="minorHAnsi" w:eastAsiaTheme="minorHAnsi" w:hAnsiTheme="minorHAnsi" w:cs="Calibri-Italic"/>
          <w:iCs/>
          <w:szCs w:val="22"/>
        </w:rPr>
        <w:t>.5).</w:t>
      </w:r>
      <w:r>
        <w:rPr>
          <w:rFonts w:asciiTheme="minorHAnsi" w:eastAsiaTheme="minorHAnsi" w:hAnsiTheme="minorHAnsi" w:cs="Calibri-Italic"/>
          <w:i/>
          <w:iCs/>
          <w:szCs w:val="22"/>
        </w:rPr>
        <w:t xml:space="preserve"> </w:t>
      </w:r>
      <w:r>
        <w:rPr>
          <w:rFonts w:asciiTheme="minorHAnsi" w:eastAsiaTheme="minorHAnsi" w:hAnsiTheme="minorHAnsi" w:cs="Calibri-Italic"/>
          <w:iCs/>
          <w:szCs w:val="22"/>
        </w:rPr>
        <w:t xml:space="preserve">The sharp increase in </w:t>
      </w:r>
      <w:r w:rsidRPr="00AC49AC">
        <w:rPr>
          <w:rFonts w:asciiTheme="minorHAnsi" w:eastAsiaTheme="minorHAnsi" w:hAnsiTheme="minorHAnsi" w:cs="Calibri"/>
          <w:szCs w:val="22"/>
        </w:rPr>
        <w:t>DO</w:t>
      </w:r>
      <w:r>
        <w:rPr>
          <w:rFonts w:asciiTheme="minorHAnsi" w:eastAsiaTheme="minorHAnsi" w:hAnsiTheme="minorHAnsi" w:cs="Calibri"/>
          <w:szCs w:val="22"/>
        </w:rPr>
        <w:t xml:space="preserve"> </w:t>
      </w:r>
      <w:r w:rsidR="0018604F">
        <w:rPr>
          <w:rFonts w:asciiTheme="minorHAnsi" w:eastAsiaTheme="minorHAnsi" w:hAnsiTheme="minorHAnsi" w:cs="Calibri"/>
          <w:szCs w:val="22"/>
        </w:rPr>
        <w:t xml:space="preserve">observed at the onset of the bloom was a result of </w:t>
      </w:r>
      <w:r>
        <w:rPr>
          <w:rFonts w:asciiTheme="minorHAnsi" w:eastAsiaTheme="minorHAnsi" w:hAnsiTheme="minorHAnsi" w:cs="Calibri"/>
          <w:szCs w:val="22"/>
        </w:rPr>
        <w:t>the high rates of photosynthesis lead</w:t>
      </w:r>
      <w:r w:rsidR="0018604F">
        <w:rPr>
          <w:rFonts w:asciiTheme="minorHAnsi" w:eastAsiaTheme="minorHAnsi" w:hAnsiTheme="minorHAnsi" w:cs="Calibri"/>
          <w:szCs w:val="22"/>
        </w:rPr>
        <w:t>ing</w:t>
      </w:r>
      <w:r>
        <w:rPr>
          <w:rFonts w:asciiTheme="minorHAnsi" w:eastAsiaTheme="minorHAnsi" w:hAnsiTheme="minorHAnsi" w:cs="Calibri"/>
          <w:szCs w:val="22"/>
        </w:rPr>
        <w:t xml:space="preserve"> to oversaturation of the water column during the day </w:t>
      </w:r>
      <w:r w:rsidR="00BA6C55">
        <w:rPr>
          <w:rFonts w:asciiTheme="minorHAnsi" w:eastAsiaTheme="minorHAnsi" w:hAnsiTheme="minorHAnsi" w:cs="Calibri"/>
          <w:szCs w:val="22"/>
        </w:rPr>
        <w:t>(</w:t>
      </w:r>
      <w:r w:rsidR="0018604F">
        <w:rPr>
          <w:rFonts w:asciiTheme="minorHAnsi" w:eastAsiaTheme="minorHAnsi" w:hAnsiTheme="minorHAnsi" w:cs="Calibri"/>
          <w:szCs w:val="22"/>
        </w:rPr>
        <w:t>Figure 5</w:t>
      </w:r>
      <w:r>
        <w:rPr>
          <w:rFonts w:asciiTheme="minorHAnsi" w:eastAsiaTheme="minorHAnsi" w:hAnsiTheme="minorHAnsi" w:cs="Calibri"/>
          <w:szCs w:val="22"/>
        </w:rPr>
        <w:t>.1</w:t>
      </w:r>
      <w:r w:rsidR="00BA6C55">
        <w:rPr>
          <w:rFonts w:asciiTheme="minorHAnsi" w:eastAsiaTheme="minorHAnsi" w:hAnsiTheme="minorHAnsi" w:cs="Calibri"/>
          <w:szCs w:val="22"/>
        </w:rPr>
        <w:t>)</w:t>
      </w:r>
      <w:r>
        <w:rPr>
          <w:rFonts w:asciiTheme="minorHAnsi" w:eastAsiaTheme="minorHAnsi" w:hAnsiTheme="minorHAnsi" w:cs="Calibri"/>
          <w:szCs w:val="22"/>
        </w:rPr>
        <w:t xml:space="preserve">. </w:t>
      </w:r>
      <w:r w:rsidRPr="00AC49AC">
        <w:rPr>
          <w:rFonts w:asciiTheme="minorHAnsi" w:eastAsiaTheme="minorHAnsi" w:hAnsiTheme="minorHAnsi" w:cs="Calibri"/>
          <w:szCs w:val="22"/>
        </w:rPr>
        <w:t>Hypoxia was not observed</w:t>
      </w:r>
      <w:r>
        <w:rPr>
          <w:rFonts w:asciiTheme="minorHAnsi" w:eastAsiaTheme="minorHAnsi" w:hAnsiTheme="minorHAnsi" w:cs="Calibri"/>
          <w:szCs w:val="22"/>
        </w:rPr>
        <w:t xml:space="preserve"> </w:t>
      </w:r>
      <w:r w:rsidRPr="00AC49AC">
        <w:rPr>
          <w:rFonts w:asciiTheme="minorHAnsi" w:eastAsiaTheme="minorHAnsi" w:hAnsiTheme="minorHAnsi" w:cs="Calibri"/>
          <w:szCs w:val="22"/>
        </w:rPr>
        <w:t>following the collapse of the bloom</w:t>
      </w:r>
      <w:r>
        <w:rPr>
          <w:rFonts w:asciiTheme="minorHAnsi" w:eastAsiaTheme="minorHAnsi" w:hAnsiTheme="minorHAnsi" w:cs="Calibri"/>
          <w:szCs w:val="22"/>
        </w:rPr>
        <w:t xml:space="preserve"> as the bloom decreased gradually in cold water conditions. The high rates of photosynthesis and cell production also increased</w:t>
      </w:r>
      <w:r w:rsidRPr="00AC49AC">
        <w:rPr>
          <w:rFonts w:asciiTheme="minorHAnsi" w:eastAsiaTheme="minorHAnsi" w:hAnsiTheme="minorHAnsi" w:cs="Calibri"/>
          <w:szCs w:val="22"/>
        </w:rPr>
        <w:t xml:space="preserve"> pH</w:t>
      </w:r>
      <w:r>
        <w:rPr>
          <w:rFonts w:asciiTheme="minorHAnsi" w:eastAsiaTheme="minorHAnsi" w:hAnsiTheme="minorHAnsi" w:cs="Calibri"/>
          <w:szCs w:val="22"/>
        </w:rPr>
        <w:t xml:space="preserve"> and turbidity. This species of cyanobacteria can fix nitrogen </w:t>
      </w:r>
      <w:r>
        <w:rPr>
          <w:rFonts w:asciiTheme="minorHAnsi" w:eastAsiaTheme="minorHAnsi" w:hAnsiTheme="minorHAnsi" w:cs="Calibri"/>
          <w:szCs w:val="22"/>
        </w:rPr>
        <w:lastRenderedPageBreak/>
        <w:t xml:space="preserve">from the atmosphere and a dramatic increase in </w:t>
      </w:r>
      <w:r w:rsidRPr="00AC49AC">
        <w:rPr>
          <w:rFonts w:asciiTheme="minorHAnsi" w:eastAsiaTheme="minorHAnsi" w:hAnsiTheme="minorHAnsi" w:cs="Calibri"/>
          <w:szCs w:val="22"/>
        </w:rPr>
        <w:t>total N</w:t>
      </w:r>
      <w:r>
        <w:rPr>
          <w:rFonts w:asciiTheme="minorHAnsi" w:eastAsiaTheme="minorHAnsi" w:hAnsiTheme="minorHAnsi" w:cs="Calibri"/>
          <w:szCs w:val="22"/>
        </w:rPr>
        <w:t xml:space="preserve"> is observed at all sites following the onset of bloom</w:t>
      </w:r>
      <w:r w:rsidR="0018604F">
        <w:rPr>
          <w:rFonts w:asciiTheme="minorHAnsi" w:eastAsiaTheme="minorHAnsi" w:hAnsiTheme="minorHAnsi" w:cs="Calibri"/>
          <w:szCs w:val="22"/>
        </w:rPr>
        <w:t xml:space="preserve"> conditions (Figure 5</w:t>
      </w:r>
      <w:r>
        <w:rPr>
          <w:rFonts w:asciiTheme="minorHAnsi" w:eastAsiaTheme="minorHAnsi" w:hAnsiTheme="minorHAnsi" w:cs="Calibri"/>
          <w:szCs w:val="22"/>
        </w:rPr>
        <w:t xml:space="preserve">.3). </w:t>
      </w:r>
      <w:r w:rsidR="00BA6C55">
        <w:rPr>
          <w:rFonts w:asciiTheme="minorHAnsi" w:eastAsiaTheme="minorHAnsi" w:hAnsiTheme="minorHAnsi" w:cs="Calibri"/>
          <w:szCs w:val="22"/>
        </w:rPr>
        <w:t>This species</w:t>
      </w:r>
      <w:r>
        <w:rPr>
          <w:rFonts w:asciiTheme="minorHAnsi" w:eastAsiaTheme="minorHAnsi" w:hAnsiTheme="minorHAnsi" w:cs="Calibri"/>
          <w:szCs w:val="22"/>
        </w:rPr>
        <w:t xml:space="preserve"> is also </w:t>
      </w:r>
      <w:r w:rsidR="00BA6C55">
        <w:rPr>
          <w:rFonts w:asciiTheme="minorHAnsi" w:eastAsiaTheme="minorHAnsi" w:hAnsiTheme="minorHAnsi" w:cs="Calibri"/>
          <w:szCs w:val="22"/>
        </w:rPr>
        <w:t xml:space="preserve">known to be </w:t>
      </w:r>
      <w:r>
        <w:rPr>
          <w:rFonts w:asciiTheme="minorHAnsi" w:eastAsiaTheme="minorHAnsi" w:hAnsiTheme="minorHAnsi" w:cs="Calibri"/>
          <w:szCs w:val="22"/>
        </w:rPr>
        <w:t>an efficient scavenger of phosphorus</w:t>
      </w:r>
      <w:r w:rsidR="00BA6C55">
        <w:rPr>
          <w:rFonts w:asciiTheme="minorHAnsi" w:eastAsiaTheme="minorHAnsi" w:hAnsiTheme="minorHAnsi" w:cs="Calibri"/>
          <w:szCs w:val="22"/>
        </w:rPr>
        <w:t>,</w:t>
      </w:r>
      <w:r>
        <w:rPr>
          <w:rFonts w:asciiTheme="minorHAnsi" w:eastAsiaTheme="minorHAnsi" w:hAnsiTheme="minorHAnsi" w:cs="Calibri"/>
          <w:szCs w:val="22"/>
        </w:rPr>
        <w:t xml:space="preserve"> and </w:t>
      </w:r>
      <w:r w:rsidRPr="00AC49AC">
        <w:rPr>
          <w:rFonts w:asciiTheme="minorHAnsi" w:eastAsiaTheme="minorHAnsi" w:hAnsiTheme="minorHAnsi" w:cs="Calibri"/>
          <w:szCs w:val="22"/>
        </w:rPr>
        <w:t>total P</w:t>
      </w:r>
      <w:r>
        <w:rPr>
          <w:rFonts w:asciiTheme="minorHAnsi" w:eastAsiaTheme="minorHAnsi" w:hAnsiTheme="minorHAnsi" w:cs="Calibri"/>
          <w:szCs w:val="22"/>
        </w:rPr>
        <w:t xml:space="preserve"> was also observed to increase slightly</w:t>
      </w:r>
      <w:r w:rsidR="00BA6C55">
        <w:rPr>
          <w:rFonts w:asciiTheme="minorHAnsi" w:eastAsiaTheme="minorHAnsi" w:hAnsiTheme="minorHAnsi" w:cs="Calibri"/>
          <w:szCs w:val="22"/>
        </w:rPr>
        <w:t xml:space="preserve"> in the water column during the bloom event</w:t>
      </w:r>
      <w:r w:rsidR="00BF559C">
        <w:rPr>
          <w:rFonts w:asciiTheme="minorHAnsi" w:eastAsiaTheme="minorHAnsi" w:hAnsiTheme="minorHAnsi" w:cs="Calibri"/>
          <w:szCs w:val="22"/>
        </w:rPr>
        <w:t xml:space="preserve">. </w:t>
      </w:r>
      <w:r>
        <w:rPr>
          <w:rFonts w:asciiTheme="minorHAnsi" w:eastAsiaTheme="minorHAnsi" w:hAnsiTheme="minorHAnsi" w:cs="Calibri"/>
          <w:szCs w:val="22"/>
        </w:rPr>
        <w:t>The bloom contributed substantial quan</w:t>
      </w:r>
      <w:r w:rsidR="00BF559C">
        <w:rPr>
          <w:rFonts w:asciiTheme="minorHAnsi" w:eastAsiaTheme="minorHAnsi" w:hAnsiTheme="minorHAnsi" w:cs="Calibri"/>
          <w:szCs w:val="22"/>
        </w:rPr>
        <w:t>tities of total organic carbon</w:t>
      </w:r>
      <w:r>
        <w:rPr>
          <w:rFonts w:asciiTheme="minorHAnsi" w:eastAsiaTheme="minorHAnsi" w:hAnsiTheme="minorHAnsi" w:cs="Calibri"/>
          <w:szCs w:val="22"/>
        </w:rPr>
        <w:t xml:space="preserve"> and </w:t>
      </w:r>
      <w:r w:rsidRPr="00AC49AC">
        <w:rPr>
          <w:rFonts w:asciiTheme="minorHAnsi" w:eastAsiaTheme="minorHAnsi" w:hAnsiTheme="minorHAnsi" w:cs="Calibri"/>
          <w:szCs w:val="22"/>
        </w:rPr>
        <w:t>DOC</w:t>
      </w:r>
      <w:r w:rsidR="00265BF4">
        <w:rPr>
          <w:rFonts w:asciiTheme="minorHAnsi" w:eastAsiaTheme="minorHAnsi" w:hAnsiTheme="minorHAnsi" w:cs="Calibri"/>
          <w:szCs w:val="22"/>
        </w:rPr>
        <w:t xml:space="preserve"> (Figure 5</w:t>
      </w:r>
      <w:r>
        <w:rPr>
          <w:rFonts w:asciiTheme="minorHAnsi" w:eastAsiaTheme="minorHAnsi" w:hAnsiTheme="minorHAnsi" w:cs="Calibri"/>
          <w:szCs w:val="22"/>
        </w:rPr>
        <w:t>.2) to the water column and spectroscopic analysis showed that the mixture of compounds making up the DOC (</w:t>
      </w:r>
      <w:r w:rsidRPr="00AC49AC">
        <w:rPr>
          <w:rFonts w:asciiTheme="minorHAnsi" w:eastAsiaTheme="minorHAnsi" w:hAnsiTheme="minorHAnsi" w:cs="Calibri"/>
          <w:szCs w:val="22"/>
        </w:rPr>
        <w:t>the organic matter profile in the river system</w:t>
      </w:r>
      <w:r>
        <w:rPr>
          <w:rFonts w:asciiTheme="minorHAnsi" w:eastAsiaTheme="minorHAnsi" w:hAnsiTheme="minorHAnsi" w:cs="Calibri"/>
          <w:szCs w:val="22"/>
        </w:rPr>
        <w:t>) changed considerably during the bloom conditions w</w:t>
      </w:r>
      <w:r w:rsidR="00BF559C">
        <w:rPr>
          <w:rFonts w:asciiTheme="minorHAnsi" w:eastAsiaTheme="minorHAnsi" w:hAnsiTheme="minorHAnsi" w:cs="Calibri"/>
          <w:szCs w:val="22"/>
        </w:rPr>
        <w:t xml:space="preserve">ith a shift to much smaller </w:t>
      </w:r>
      <w:r w:rsidR="0018604F">
        <w:rPr>
          <w:rFonts w:asciiTheme="minorHAnsi" w:eastAsiaTheme="minorHAnsi" w:hAnsiTheme="minorHAnsi" w:cs="Calibri"/>
          <w:szCs w:val="22"/>
        </w:rPr>
        <w:t>molecules that absorb light more weakly (less coloured) and are likely to be more readily available to the microbial community in the system</w:t>
      </w:r>
      <w:r w:rsidRPr="00AC49AC">
        <w:rPr>
          <w:rFonts w:asciiTheme="minorHAnsi" w:eastAsiaTheme="minorHAnsi" w:hAnsiTheme="minorHAnsi" w:cs="Calibri"/>
          <w:szCs w:val="22"/>
        </w:rPr>
        <w:t xml:space="preserve">. </w:t>
      </w:r>
    </w:p>
    <w:p w14:paraId="3B4F88F1" w14:textId="77777777" w:rsidR="009B2ABE" w:rsidRDefault="009B2ABE" w:rsidP="00BA3554">
      <w:pPr>
        <w:autoSpaceDE w:val="0"/>
        <w:autoSpaceDN w:val="0"/>
        <w:adjustRightInd w:val="0"/>
        <w:spacing w:after="0" w:line="240" w:lineRule="auto"/>
        <w:jc w:val="left"/>
        <w:rPr>
          <w:szCs w:val="22"/>
        </w:rPr>
      </w:pPr>
      <w:r>
        <w:rPr>
          <w:noProof/>
          <w:szCs w:val="22"/>
          <w:lang w:eastAsia="en-AU"/>
        </w:rPr>
        <w:drawing>
          <wp:inline distT="0" distB="0" distL="0" distR="0" wp14:anchorId="3B4F95EB" wp14:editId="6DF8311F">
            <wp:extent cx="5254863" cy="1764000"/>
            <wp:effectExtent l="0" t="0" r="3175" b="825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254863" cy="1764000"/>
                    </a:xfrm>
                    <a:prstGeom prst="rect">
                      <a:avLst/>
                    </a:prstGeom>
                    <a:noFill/>
                    <a:ln>
                      <a:noFill/>
                    </a:ln>
                  </pic:spPr>
                </pic:pic>
              </a:graphicData>
            </a:graphic>
          </wp:inline>
        </w:drawing>
      </w:r>
    </w:p>
    <w:p w14:paraId="3B4F88F2" w14:textId="16FAD8F6" w:rsidR="009B2ABE" w:rsidRPr="00442A0E" w:rsidRDefault="00B13448" w:rsidP="009B2ABE">
      <w:pPr>
        <w:autoSpaceDE w:val="0"/>
        <w:autoSpaceDN w:val="0"/>
        <w:adjustRightInd w:val="0"/>
        <w:spacing w:after="0" w:line="240" w:lineRule="auto"/>
        <w:jc w:val="left"/>
        <w:rPr>
          <w:sz w:val="20"/>
        </w:rPr>
      </w:pPr>
      <w:r>
        <w:rPr>
          <w:b/>
          <w:sz w:val="20"/>
        </w:rPr>
        <w:t>Figure 5</w:t>
      </w:r>
      <w:r w:rsidR="009B2ABE" w:rsidRPr="00442A0E">
        <w:rPr>
          <w:b/>
          <w:sz w:val="20"/>
        </w:rPr>
        <w:t>.1</w:t>
      </w:r>
      <w:r w:rsidR="00945A47">
        <w:rPr>
          <w:b/>
          <w:sz w:val="20"/>
        </w:rPr>
        <w:t>.</w:t>
      </w:r>
      <w:r w:rsidR="009B2ABE" w:rsidRPr="00442A0E">
        <w:rPr>
          <w:sz w:val="20"/>
        </w:rPr>
        <w:t xml:space="preserve"> Mean oxygen saturation in study zones in 2014-15 and 2015-16.</w:t>
      </w:r>
      <w:r w:rsidR="00E50AD5">
        <w:rPr>
          <w:sz w:val="20"/>
        </w:rPr>
        <w:t xml:space="preserve"> </w:t>
      </w:r>
      <w:r w:rsidR="00E50AD5" w:rsidRPr="00E50AD5">
        <w:rPr>
          <w:sz w:val="20"/>
        </w:rPr>
        <w:t>Note: cyanobacteria were present in bloom concentrations from late-February to the end of May 2016.</w:t>
      </w:r>
    </w:p>
    <w:p w14:paraId="3B4F88F3" w14:textId="77777777" w:rsidR="009B2ABE" w:rsidRDefault="009B2ABE" w:rsidP="00E50AD5">
      <w:pPr>
        <w:autoSpaceDE w:val="0"/>
        <w:autoSpaceDN w:val="0"/>
        <w:adjustRightInd w:val="0"/>
        <w:spacing w:after="120" w:line="320" w:lineRule="exact"/>
        <w:jc w:val="left"/>
        <w:rPr>
          <w:szCs w:val="22"/>
        </w:rPr>
      </w:pPr>
    </w:p>
    <w:p w14:paraId="3B4F88F4" w14:textId="77777777" w:rsidR="00265BF4" w:rsidRDefault="00265BF4" w:rsidP="00442A0E">
      <w:pPr>
        <w:spacing w:after="0" w:line="240" w:lineRule="auto"/>
        <w:rPr>
          <w:b/>
          <w:sz w:val="20"/>
        </w:rPr>
      </w:pPr>
      <w:r>
        <w:rPr>
          <w:b/>
          <w:noProof/>
          <w:sz w:val="20"/>
          <w:lang w:eastAsia="en-AU"/>
        </w:rPr>
        <w:drawing>
          <wp:inline distT="0" distB="0" distL="0" distR="0" wp14:anchorId="3B4F95ED" wp14:editId="5CEA40C1">
            <wp:extent cx="5330866" cy="252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FT_DOC_allyears.png"/>
                    <pic:cNvPicPr/>
                  </pic:nvPicPr>
                  <pic:blipFill>
                    <a:blip r:embed="rId45" cstate="email">
                      <a:extLst>
                        <a:ext uri="{28A0092B-C50C-407E-A947-70E740481C1C}">
                          <a14:useLocalDpi xmlns:a14="http://schemas.microsoft.com/office/drawing/2010/main"/>
                        </a:ext>
                      </a:extLst>
                    </a:blip>
                    <a:stretch>
                      <a:fillRect/>
                    </a:stretch>
                  </pic:blipFill>
                  <pic:spPr>
                    <a:xfrm>
                      <a:off x="0" y="0"/>
                      <a:ext cx="5330866" cy="2520000"/>
                    </a:xfrm>
                    <a:prstGeom prst="rect">
                      <a:avLst/>
                    </a:prstGeom>
                  </pic:spPr>
                </pic:pic>
              </a:graphicData>
            </a:graphic>
          </wp:inline>
        </w:drawing>
      </w:r>
    </w:p>
    <w:p w14:paraId="3B4F88F5" w14:textId="2CED5EB7" w:rsidR="00442A0E" w:rsidRPr="00442A0E" w:rsidRDefault="00B13448" w:rsidP="00442A0E">
      <w:pPr>
        <w:spacing w:after="0" w:line="240" w:lineRule="auto"/>
        <w:rPr>
          <w:sz w:val="20"/>
        </w:rPr>
      </w:pPr>
      <w:r>
        <w:rPr>
          <w:b/>
          <w:sz w:val="20"/>
        </w:rPr>
        <w:t>Figure 5</w:t>
      </w:r>
      <w:r w:rsidR="00442A0E" w:rsidRPr="00442A0E">
        <w:rPr>
          <w:b/>
          <w:sz w:val="20"/>
        </w:rPr>
        <w:t>.2</w:t>
      </w:r>
      <w:r w:rsidR="00945A47">
        <w:rPr>
          <w:b/>
          <w:sz w:val="20"/>
        </w:rPr>
        <w:t>.</w:t>
      </w:r>
      <w:r w:rsidR="00442A0E" w:rsidRPr="00442A0E">
        <w:rPr>
          <w:sz w:val="20"/>
        </w:rPr>
        <w:t xml:space="preserve"> Dissolved organic carbon in 2014-15 and 2015-16.</w:t>
      </w:r>
      <w:r w:rsidR="00E50AD5">
        <w:rPr>
          <w:sz w:val="20"/>
        </w:rPr>
        <w:t xml:space="preserve"> </w:t>
      </w:r>
      <w:r w:rsidR="00E50AD5" w:rsidRPr="00E50AD5">
        <w:rPr>
          <w:sz w:val="20"/>
        </w:rPr>
        <w:t>Note: cyanobacteria were present in bloom concentrations from late-February to the end of May 2016.</w:t>
      </w:r>
    </w:p>
    <w:p w14:paraId="3B4F88F6" w14:textId="77777777" w:rsidR="00442A0E" w:rsidRDefault="00442A0E" w:rsidP="00442A0E">
      <w:pPr>
        <w:spacing w:after="0" w:line="240" w:lineRule="auto"/>
      </w:pPr>
    </w:p>
    <w:p w14:paraId="3B4F88F7" w14:textId="77777777" w:rsidR="00442A0E" w:rsidRDefault="00442A0E" w:rsidP="00442A0E">
      <w:pPr>
        <w:spacing w:after="0" w:line="240" w:lineRule="auto"/>
      </w:pPr>
      <w:r>
        <w:rPr>
          <w:noProof/>
          <w:lang w:eastAsia="en-AU"/>
        </w:rPr>
        <w:lastRenderedPageBreak/>
        <w:drawing>
          <wp:inline distT="0" distB="0" distL="0" distR="0" wp14:anchorId="3B4F95EF" wp14:editId="583AE963">
            <wp:extent cx="5285976" cy="2340000"/>
            <wp:effectExtent l="0" t="0" r="0" b="317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285976" cy="2340000"/>
                    </a:xfrm>
                    <a:prstGeom prst="rect">
                      <a:avLst/>
                    </a:prstGeom>
                    <a:noFill/>
                    <a:ln>
                      <a:noFill/>
                    </a:ln>
                  </pic:spPr>
                </pic:pic>
              </a:graphicData>
            </a:graphic>
          </wp:inline>
        </w:drawing>
      </w:r>
    </w:p>
    <w:p w14:paraId="3B4F88F8" w14:textId="3055B926" w:rsidR="003D2EB4" w:rsidRDefault="00B13448" w:rsidP="00CF1438">
      <w:pPr>
        <w:spacing w:after="0" w:line="240" w:lineRule="auto"/>
      </w:pPr>
      <w:r>
        <w:rPr>
          <w:b/>
          <w:sz w:val="20"/>
        </w:rPr>
        <w:t>Figure 5</w:t>
      </w:r>
      <w:r w:rsidR="00442A0E" w:rsidRPr="00442A0E">
        <w:rPr>
          <w:b/>
          <w:sz w:val="20"/>
        </w:rPr>
        <w:t>.3</w:t>
      </w:r>
      <w:r w:rsidR="00945A47">
        <w:rPr>
          <w:b/>
          <w:sz w:val="20"/>
        </w:rPr>
        <w:t>.</w:t>
      </w:r>
      <w:r w:rsidR="00442A0E" w:rsidRPr="00442A0E">
        <w:rPr>
          <w:sz w:val="20"/>
        </w:rPr>
        <w:t xml:space="preserve"> Total Nitrogen </w:t>
      </w:r>
      <w:r w:rsidR="00256D83">
        <w:rPr>
          <w:sz w:val="20"/>
        </w:rPr>
        <w:t>(mgL</w:t>
      </w:r>
      <w:r w:rsidR="00256D83" w:rsidRPr="00256D83">
        <w:rPr>
          <w:sz w:val="20"/>
          <w:vertAlign w:val="superscript"/>
        </w:rPr>
        <w:t>-1</w:t>
      </w:r>
      <w:r w:rsidR="00256D83">
        <w:rPr>
          <w:sz w:val="20"/>
        </w:rPr>
        <w:t>)</w:t>
      </w:r>
      <w:r w:rsidR="00E26451">
        <w:rPr>
          <w:sz w:val="20"/>
        </w:rPr>
        <w:t xml:space="preserve"> </w:t>
      </w:r>
      <w:r w:rsidR="00442A0E" w:rsidRPr="00442A0E">
        <w:rPr>
          <w:sz w:val="20"/>
        </w:rPr>
        <w:t>in 2014-15 and 2015-16.</w:t>
      </w:r>
      <w:r w:rsidR="00E50AD5">
        <w:rPr>
          <w:sz w:val="20"/>
        </w:rPr>
        <w:t xml:space="preserve"> </w:t>
      </w:r>
      <w:r w:rsidR="00E50AD5" w:rsidRPr="00E50AD5">
        <w:rPr>
          <w:sz w:val="20"/>
        </w:rPr>
        <w:t>Note: cyanobacteria were present in bloom concentrations from late-February to the end of May 2016.</w:t>
      </w:r>
      <w:r w:rsidR="003D2EB4">
        <w:br w:type="page"/>
      </w:r>
    </w:p>
    <w:p w14:paraId="3B4F88F9" w14:textId="0C25F78F" w:rsidR="003D2EB4" w:rsidRDefault="003D2EB4" w:rsidP="00CF1438">
      <w:pPr>
        <w:spacing w:after="0" w:line="240" w:lineRule="auto"/>
        <w:jc w:val="left"/>
      </w:pPr>
      <w:r>
        <w:lastRenderedPageBreak/>
        <w:t>The algal bloom persisted at higher concentrations and for a longer period of time in the Edward-Wakool system than in nearby sit</w:t>
      </w:r>
      <w:r w:rsidR="00B13448">
        <w:t>es in the Murray River (Figure 5</w:t>
      </w:r>
      <w:r>
        <w:t>.4). Most sites had more than five times the concentratio</w:t>
      </w:r>
      <w:r w:rsidR="0075648F">
        <w:t xml:space="preserve">n of blue-green algal cells </w:t>
      </w:r>
      <w:r w:rsidR="0018604F">
        <w:t>required to trigger</w:t>
      </w:r>
      <w:r>
        <w:t xml:space="preserve"> red alert</w:t>
      </w:r>
      <w:r w:rsidR="0018604F">
        <w:t xml:space="preserve"> notifications</w:t>
      </w:r>
      <w:r>
        <w:t xml:space="preserve">. The bloom started to break down in the Edward River, Yallakool Creek and upper Wakool River prior to </w:t>
      </w:r>
      <w:r w:rsidR="00BA3554">
        <w:t xml:space="preserve">the algal bloom break down at </w:t>
      </w:r>
      <w:r>
        <w:t xml:space="preserve">sites in the mid </w:t>
      </w:r>
      <w:r w:rsidR="00B13448">
        <w:t>and lower Wakool River (Figure 5</w:t>
      </w:r>
      <w:r w:rsidR="00C31A31">
        <w:t>.4).</w:t>
      </w:r>
    </w:p>
    <w:p w14:paraId="3B4F88FA" w14:textId="77777777" w:rsidR="003D2EB4" w:rsidRDefault="003D2EB4" w:rsidP="00442A0E">
      <w:pPr>
        <w:spacing w:after="0" w:line="240" w:lineRule="auto"/>
      </w:pPr>
    </w:p>
    <w:p w14:paraId="3B4F88FB" w14:textId="77777777" w:rsidR="00442A0E" w:rsidRPr="009B2ABE" w:rsidRDefault="009B2ABE" w:rsidP="002B3297">
      <w:pPr>
        <w:spacing w:after="120" w:line="240" w:lineRule="auto"/>
        <w:jc w:val="left"/>
        <w:rPr>
          <w:rStyle w:val="CommentReference"/>
          <w:rFonts w:asciiTheme="minorHAnsi" w:hAnsiTheme="minorHAnsi"/>
          <w:sz w:val="20"/>
          <w:szCs w:val="20"/>
        </w:rPr>
      </w:pPr>
      <w:r>
        <w:rPr>
          <w:rFonts w:asciiTheme="minorHAnsi" w:hAnsiTheme="minorHAnsi"/>
          <w:b/>
          <w:noProof/>
          <w:sz w:val="20"/>
          <w:lang w:eastAsia="en-AU"/>
        </w:rPr>
        <w:drawing>
          <wp:inline distT="0" distB="0" distL="0" distR="0" wp14:anchorId="3B4F95F1" wp14:editId="57B4EC48">
            <wp:extent cx="5400040" cy="4220210"/>
            <wp:effectExtent l="0" t="0" r="0" b="889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algal map.png"/>
                    <pic:cNvPicPr/>
                  </pic:nvPicPr>
                  <pic:blipFill>
                    <a:blip r:embed="rId47" cstate="email">
                      <a:extLst>
                        <a:ext uri="{28A0092B-C50C-407E-A947-70E740481C1C}">
                          <a14:useLocalDpi xmlns:a14="http://schemas.microsoft.com/office/drawing/2010/main"/>
                        </a:ext>
                      </a:extLst>
                    </a:blip>
                    <a:stretch>
                      <a:fillRect/>
                    </a:stretch>
                  </pic:blipFill>
                  <pic:spPr>
                    <a:xfrm>
                      <a:off x="0" y="0"/>
                      <a:ext cx="5400040" cy="4220210"/>
                    </a:xfrm>
                    <a:prstGeom prst="rect">
                      <a:avLst/>
                    </a:prstGeom>
                  </pic:spPr>
                </pic:pic>
              </a:graphicData>
            </a:graphic>
          </wp:inline>
        </w:drawing>
      </w:r>
      <w:r w:rsidR="00B13448">
        <w:rPr>
          <w:rStyle w:val="CommentReference"/>
          <w:rFonts w:asciiTheme="minorHAnsi" w:hAnsiTheme="minorHAnsi"/>
          <w:b/>
          <w:sz w:val="20"/>
          <w:szCs w:val="20"/>
        </w:rPr>
        <w:t>Figure 5</w:t>
      </w:r>
      <w:r w:rsidR="00442A0E" w:rsidRPr="009B2ABE">
        <w:rPr>
          <w:rStyle w:val="CommentReference"/>
          <w:rFonts w:asciiTheme="minorHAnsi" w:hAnsiTheme="minorHAnsi"/>
          <w:b/>
          <w:sz w:val="20"/>
          <w:szCs w:val="20"/>
        </w:rPr>
        <w:t>.4</w:t>
      </w:r>
      <w:r w:rsidR="00945A47">
        <w:rPr>
          <w:rStyle w:val="CommentReference"/>
          <w:rFonts w:asciiTheme="minorHAnsi" w:hAnsiTheme="minorHAnsi"/>
          <w:b/>
          <w:sz w:val="20"/>
          <w:szCs w:val="20"/>
        </w:rPr>
        <w:t>.</w:t>
      </w:r>
      <w:r w:rsidR="00442A0E" w:rsidRPr="009B2ABE">
        <w:rPr>
          <w:rStyle w:val="CommentReference"/>
          <w:rFonts w:asciiTheme="minorHAnsi" w:hAnsiTheme="minorHAnsi"/>
          <w:sz w:val="20"/>
          <w:szCs w:val="20"/>
        </w:rPr>
        <w:t xml:space="preserve"> Map of bloom conditions in the study region showing </w:t>
      </w:r>
      <w:r>
        <w:rPr>
          <w:rStyle w:val="CommentReference"/>
          <w:rFonts w:asciiTheme="minorHAnsi" w:hAnsiTheme="minorHAnsi"/>
          <w:sz w:val="20"/>
          <w:szCs w:val="20"/>
        </w:rPr>
        <w:t>weekly blue-green algae alert levels from 7/3/2016 through to 23/5/2016. There were</w:t>
      </w:r>
      <w:r w:rsidR="00442A0E" w:rsidRPr="009B2ABE">
        <w:rPr>
          <w:rStyle w:val="CommentReference"/>
          <w:rFonts w:asciiTheme="minorHAnsi" w:hAnsiTheme="minorHAnsi"/>
          <w:sz w:val="20"/>
          <w:szCs w:val="20"/>
        </w:rPr>
        <w:t xml:space="preserve"> very high biovolumes </w:t>
      </w:r>
      <w:r>
        <w:rPr>
          <w:rStyle w:val="CommentReference"/>
          <w:rFonts w:asciiTheme="minorHAnsi" w:hAnsiTheme="minorHAnsi"/>
          <w:sz w:val="20"/>
          <w:szCs w:val="20"/>
        </w:rPr>
        <w:t xml:space="preserve">of blue-green algae in the Edward-Wakool system </w:t>
      </w:r>
      <w:r w:rsidR="00442A0E" w:rsidRPr="009B2ABE">
        <w:rPr>
          <w:rStyle w:val="CommentReference"/>
          <w:rFonts w:asciiTheme="minorHAnsi" w:hAnsiTheme="minorHAnsi"/>
          <w:sz w:val="20"/>
          <w:szCs w:val="20"/>
        </w:rPr>
        <w:t xml:space="preserve">through to the end of May. The bloom established at much higher biovolumes in the Edward-Wakool system than in the Murray </w:t>
      </w:r>
      <w:r>
        <w:rPr>
          <w:rStyle w:val="CommentReference"/>
          <w:rFonts w:asciiTheme="minorHAnsi" w:hAnsiTheme="minorHAnsi"/>
          <w:sz w:val="20"/>
          <w:szCs w:val="20"/>
        </w:rPr>
        <w:t xml:space="preserve">River </w:t>
      </w:r>
      <w:r w:rsidR="00442A0E" w:rsidRPr="009B2ABE">
        <w:rPr>
          <w:rStyle w:val="CommentReference"/>
          <w:rFonts w:asciiTheme="minorHAnsi" w:hAnsiTheme="minorHAnsi"/>
          <w:sz w:val="20"/>
          <w:szCs w:val="20"/>
        </w:rPr>
        <w:t>at Echuca and Barham.</w:t>
      </w:r>
    </w:p>
    <w:p w14:paraId="3B4F88FD" w14:textId="77777777" w:rsidR="00BA6C55" w:rsidRDefault="00BA6C55" w:rsidP="00442A0E">
      <w:pPr>
        <w:spacing w:after="120" w:line="240" w:lineRule="auto"/>
        <w:rPr>
          <w:rStyle w:val="CommentReference"/>
          <w:rFonts w:ascii="Arial" w:hAnsi="Arial"/>
        </w:rPr>
      </w:pPr>
    </w:p>
    <w:p w14:paraId="3B4F88FE" w14:textId="77777777" w:rsidR="00442A0E" w:rsidRDefault="009B2ABE" w:rsidP="00442A0E">
      <w:pPr>
        <w:spacing w:after="120" w:line="240" w:lineRule="auto"/>
        <w:rPr>
          <w:rStyle w:val="CommentReference"/>
          <w:rFonts w:ascii="Arial" w:hAnsi="Arial"/>
        </w:rPr>
      </w:pPr>
      <w:r>
        <w:rPr>
          <w:noProof/>
          <w:lang w:eastAsia="en-AU"/>
        </w:rPr>
        <w:lastRenderedPageBreak/>
        <w:drawing>
          <wp:inline distT="0" distB="0" distL="0" distR="0" wp14:anchorId="3B4F95F3" wp14:editId="7231D441">
            <wp:extent cx="2647950" cy="192849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120.JPG"/>
                    <pic:cNvPicPr/>
                  </pic:nvPicPr>
                  <pic:blipFill rotWithShape="1">
                    <a:blip r:embed="rId48" cstate="email">
                      <a:extLst>
                        <a:ext uri="{28A0092B-C50C-407E-A947-70E740481C1C}">
                          <a14:useLocalDpi xmlns:a14="http://schemas.microsoft.com/office/drawing/2010/main"/>
                        </a:ext>
                      </a:extLst>
                    </a:blip>
                    <a:srcRect l="1558" t="7237" r="26244"/>
                    <a:stretch/>
                  </pic:blipFill>
                  <pic:spPr bwMode="auto">
                    <a:xfrm>
                      <a:off x="0" y="0"/>
                      <a:ext cx="2648197" cy="1928675"/>
                    </a:xfrm>
                    <a:prstGeom prst="rect">
                      <a:avLst/>
                    </a:prstGeom>
                    <a:ln>
                      <a:noFill/>
                    </a:ln>
                    <a:extLst>
                      <a:ext uri="{53640926-AAD7-44D8-BBD7-CCE9431645EC}">
                        <a14:shadowObscured xmlns:a14="http://schemas.microsoft.com/office/drawing/2010/main"/>
                      </a:ext>
                    </a:extLst>
                  </pic:spPr>
                </pic:pic>
              </a:graphicData>
            </a:graphic>
          </wp:inline>
        </w:drawing>
      </w:r>
      <w:r>
        <w:rPr>
          <w:rStyle w:val="CommentReference"/>
          <w:rFonts w:ascii="Arial" w:hAnsi="Arial"/>
        </w:rPr>
        <w:t xml:space="preserve"> </w:t>
      </w:r>
      <w:r>
        <w:rPr>
          <w:noProof/>
          <w:lang w:eastAsia="en-AU"/>
        </w:rPr>
        <w:drawing>
          <wp:inline distT="0" distB="0" distL="0" distR="0" wp14:anchorId="3B4F95F5" wp14:editId="3EB3B5C0">
            <wp:extent cx="2705100" cy="192849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2S4 upper wakool.jpg"/>
                    <pic:cNvPicPr/>
                  </pic:nvPicPr>
                  <pic:blipFill rotWithShape="1">
                    <a:blip r:embed="rId49" cstate="email">
                      <a:extLst>
                        <a:ext uri="{28A0092B-C50C-407E-A947-70E740481C1C}">
                          <a14:useLocalDpi xmlns:a14="http://schemas.microsoft.com/office/drawing/2010/main"/>
                        </a:ext>
                      </a:extLst>
                    </a:blip>
                    <a:srcRect t="7237" r="2405"/>
                    <a:stretch/>
                  </pic:blipFill>
                  <pic:spPr bwMode="auto">
                    <a:xfrm>
                      <a:off x="0" y="0"/>
                      <a:ext cx="2705347" cy="1928671"/>
                    </a:xfrm>
                    <a:prstGeom prst="rect">
                      <a:avLst/>
                    </a:prstGeom>
                    <a:ln>
                      <a:noFill/>
                    </a:ln>
                    <a:extLst>
                      <a:ext uri="{53640926-AAD7-44D8-BBD7-CCE9431645EC}">
                        <a14:shadowObscured xmlns:a14="http://schemas.microsoft.com/office/drawing/2010/main"/>
                      </a:ext>
                    </a:extLst>
                  </pic:spPr>
                </pic:pic>
              </a:graphicData>
            </a:graphic>
          </wp:inline>
        </w:drawing>
      </w:r>
    </w:p>
    <w:p w14:paraId="3B4F88FF" w14:textId="77777777" w:rsidR="00442A0E" w:rsidRDefault="00B13448" w:rsidP="002B3297">
      <w:pPr>
        <w:spacing w:after="120" w:line="240" w:lineRule="auto"/>
        <w:jc w:val="left"/>
        <w:rPr>
          <w:color w:val="4F6228" w:themeColor="accent3" w:themeShade="80"/>
          <w:szCs w:val="22"/>
        </w:rPr>
      </w:pPr>
      <w:r>
        <w:rPr>
          <w:rStyle w:val="CommentReference"/>
          <w:rFonts w:asciiTheme="minorHAnsi" w:hAnsiTheme="minorHAnsi"/>
          <w:b/>
          <w:sz w:val="20"/>
          <w:szCs w:val="20"/>
        </w:rPr>
        <w:t>Figure 5</w:t>
      </w:r>
      <w:r w:rsidR="00442A0E" w:rsidRPr="009B2ABE">
        <w:rPr>
          <w:rStyle w:val="CommentReference"/>
          <w:rFonts w:asciiTheme="minorHAnsi" w:hAnsiTheme="minorHAnsi"/>
          <w:b/>
          <w:sz w:val="20"/>
          <w:szCs w:val="20"/>
        </w:rPr>
        <w:t>.5.</w:t>
      </w:r>
      <w:r w:rsidR="00442A0E" w:rsidRPr="009B2ABE">
        <w:rPr>
          <w:rStyle w:val="CommentReference"/>
          <w:rFonts w:asciiTheme="minorHAnsi" w:hAnsiTheme="minorHAnsi"/>
          <w:sz w:val="20"/>
          <w:szCs w:val="20"/>
        </w:rPr>
        <w:t xml:space="preserve"> </w:t>
      </w:r>
      <w:r w:rsidR="009B2ABE" w:rsidRPr="009B2ABE">
        <w:rPr>
          <w:sz w:val="20"/>
        </w:rPr>
        <w:t>Wakool River (Zone 2 site 4) at ‘Widgee’ on 22/3/16 (Photo J Abell).   b) Lower concentration of blue-green algae evident at this site on 17/5/16. (Photo</w:t>
      </w:r>
      <w:r w:rsidR="003D2EB4">
        <w:rPr>
          <w:sz w:val="20"/>
        </w:rPr>
        <w:t>:</w:t>
      </w:r>
      <w:r w:rsidR="009B2ABE" w:rsidRPr="009B2ABE">
        <w:rPr>
          <w:sz w:val="20"/>
        </w:rPr>
        <w:t xml:space="preserve"> R Watts)</w:t>
      </w:r>
      <w:r w:rsidR="003D2EB4">
        <w:rPr>
          <w:sz w:val="20"/>
        </w:rPr>
        <w:t xml:space="preserve">. </w:t>
      </w:r>
    </w:p>
    <w:p w14:paraId="3B4F8900" w14:textId="77777777" w:rsidR="00442A0E" w:rsidRDefault="00442A0E" w:rsidP="00442A0E">
      <w:pPr>
        <w:tabs>
          <w:tab w:val="left" w:pos="9071"/>
        </w:tabs>
        <w:spacing w:after="240"/>
        <w:ind w:right="-1"/>
        <w:jc w:val="left"/>
        <w:rPr>
          <w:b/>
          <w:color w:val="4F6228" w:themeColor="accent3" w:themeShade="80"/>
          <w:sz w:val="24"/>
          <w:szCs w:val="24"/>
        </w:rPr>
        <w:sectPr w:rsidR="00442A0E" w:rsidSect="00F71922">
          <w:pgSz w:w="11906" w:h="16838"/>
          <w:pgMar w:top="1440" w:right="1701" w:bottom="1440" w:left="1701" w:header="709" w:footer="709" w:gutter="0"/>
          <w:cols w:space="708"/>
          <w:docGrid w:linePitch="360"/>
        </w:sectPr>
      </w:pPr>
    </w:p>
    <w:p w14:paraId="3B4F8901" w14:textId="77777777" w:rsidR="00442A0E" w:rsidRDefault="00B13448" w:rsidP="00442A0E">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lastRenderedPageBreak/>
        <w:t>5</w:t>
      </w:r>
      <w:r w:rsidR="00442A0E" w:rsidRPr="00442A0E">
        <w:rPr>
          <w:b/>
          <w:color w:val="4F6228" w:themeColor="accent3" w:themeShade="80"/>
          <w:sz w:val="24"/>
          <w:szCs w:val="24"/>
        </w:rPr>
        <w:t>.3 Evaluation</w:t>
      </w:r>
    </w:p>
    <w:tbl>
      <w:tblPr>
        <w:tblStyle w:val="TableGrid"/>
        <w:tblW w:w="14170" w:type="dxa"/>
        <w:tblLook w:val="04A0" w:firstRow="1" w:lastRow="0" w:firstColumn="1" w:lastColumn="0" w:noHBand="0" w:noVBand="1"/>
      </w:tblPr>
      <w:tblGrid>
        <w:gridCol w:w="2405"/>
        <w:gridCol w:w="2126"/>
        <w:gridCol w:w="2552"/>
        <w:gridCol w:w="2835"/>
        <w:gridCol w:w="2126"/>
        <w:gridCol w:w="2126"/>
      </w:tblGrid>
      <w:tr w:rsidR="00BB4129" w14:paraId="3B4F8904" w14:textId="77777777" w:rsidTr="00BB4129">
        <w:tc>
          <w:tcPr>
            <w:tcW w:w="4531" w:type="dxa"/>
            <w:gridSpan w:val="2"/>
            <w:shd w:val="clear" w:color="auto" w:fill="EAF1DD" w:themeFill="accent3" w:themeFillTint="33"/>
          </w:tcPr>
          <w:p w14:paraId="3B4F8902" w14:textId="77777777" w:rsidR="00BB4129" w:rsidRPr="00543BE6" w:rsidRDefault="00BB4129" w:rsidP="00497F33">
            <w:pPr>
              <w:tabs>
                <w:tab w:val="left" w:pos="9071"/>
              </w:tabs>
              <w:spacing w:after="0" w:line="240" w:lineRule="auto"/>
              <w:jc w:val="center"/>
              <w:rPr>
                <w:b/>
                <w:sz w:val="24"/>
                <w:szCs w:val="24"/>
              </w:rPr>
            </w:pPr>
            <w:r w:rsidRPr="00543BE6">
              <w:rPr>
                <w:b/>
                <w:sz w:val="24"/>
                <w:szCs w:val="24"/>
              </w:rPr>
              <w:t>CEWO Water Planning and delivery</w:t>
            </w:r>
          </w:p>
        </w:tc>
        <w:tc>
          <w:tcPr>
            <w:tcW w:w="9639" w:type="dxa"/>
            <w:gridSpan w:val="4"/>
            <w:shd w:val="clear" w:color="auto" w:fill="EAF1DD" w:themeFill="accent3" w:themeFillTint="33"/>
          </w:tcPr>
          <w:p w14:paraId="3B4F8903" w14:textId="77777777" w:rsidR="00BB4129" w:rsidRPr="00543BE6" w:rsidRDefault="00BB4129" w:rsidP="00497F33">
            <w:pPr>
              <w:tabs>
                <w:tab w:val="left" w:pos="9071"/>
              </w:tabs>
              <w:spacing w:after="0" w:line="240" w:lineRule="auto"/>
              <w:jc w:val="center"/>
              <w:rPr>
                <w:b/>
                <w:sz w:val="24"/>
                <w:szCs w:val="24"/>
              </w:rPr>
            </w:pPr>
            <w:r w:rsidRPr="00543BE6">
              <w:rPr>
                <w:b/>
                <w:sz w:val="24"/>
                <w:szCs w:val="24"/>
              </w:rPr>
              <w:t>Monitoring and Evaluation questions and outcomes</w:t>
            </w:r>
          </w:p>
        </w:tc>
      </w:tr>
      <w:tr w:rsidR="00BB4129" w14:paraId="3B4F890B" w14:textId="77777777" w:rsidTr="00BB4129">
        <w:tc>
          <w:tcPr>
            <w:tcW w:w="2405" w:type="dxa"/>
            <w:shd w:val="clear" w:color="auto" w:fill="EAF1DD" w:themeFill="accent3" w:themeFillTint="33"/>
          </w:tcPr>
          <w:p w14:paraId="3B4F8905" w14:textId="77777777" w:rsidR="00BB4129" w:rsidRPr="00BB4129" w:rsidRDefault="00BB4129" w:rsidP="00497F33">
            <w:pPr>
              <w:tabs>
                <w:tab w:val="left" w:pos="9071"/>
              </w:tabs>
              <w:spacing w:after="0" w:line="240" w:lineRule="auto"/>
              <w:jc w:val="left"/>
              <w:rPr>
                <w:b/>
                <w:color w:val="4F6228" w:themeColor="accent3" w:themeShade="80"/>
                <w:sz w:val="20"/>
              </w:rPr>
            </w:pPr>
            <w:r w:rsidRPr="00BB4129">
              <w:rPr>
                <w:b/>
                <w:bCs/>
                <w:sz w:val="20"/>
              </w:rPr>
              <w:t>Flow component type and target/planned</w:t>
            </w:r>
            <w:r w:rsidRPr="00BB4129">
              <w:rPr>
                <w:b/>
                <w:bCs/>
                <w:sz w:val="20"/>
                <w:u w:val="single"/>
              </w:rPr>
              <w:t xml:space="preserve"> </w:t>
            </w:r>
            <w:r w:rsidRPr="00BB4129">
              <w:rPr>
                <w:b/>
                <w:bCs/>
                <w:sz w:val="20"/>
              </w:rPr>
              <w:t>magnitude, duration, timing and/or inundation extent</w:t>
            </w:r>
            <w:r w:rsidR="00B13448">
              <w:rPr>
                <w:b/>
                <w:bCs/>
                <w:sz w:val="20"/>
              </w:rPr>
              <w:t xml:space="preserve"> (CEWO 2016)</w:t>
            </w:r>
          </w:p>
        </w:tc>
        <w:tc>
          <w:tcPr>
            <w:tcW w:w="2126" w:type="dxa"/>
            <w:shd w:val="clear" w:color="auto" w:fill="EAF1DD" w:themeFill="accent3" w:themeFillTint="33"/>
          </w:tcPr>
          <w:p w14:paraId="3B4F8906" w14:textId="77777777" w:rsidR="00BB4129" w:rsidRPr="00BB4129" w:rsidRDefault="00BB4129" w:rsidP="00497F33">
            <w:pPr>
              <w:tabs>
                <w:tab w:val="left" w:pos="9071"/>
              </w:tabs>
              <w:spacing w:after="0" w:line="240" w:lineRule="auto"/>
              <w:jc w:val="left"/>
              <w:rPr>
                <w:b/>
                <w:color w:val="4F6228" w:themeColor="accent3" w:themeShade="80"/>
                <w:sz w:val="20"/>
              </w:rPr>
            </w:pPr>
            <w:r w:rsidRPr="00BB4129">
              <w:rPr>
                <w:b/>
                <w:sz w:val="20"/>
              </w:rPr>
              <w:t>Expected outcomes of watering action (From Water Use Minute 10038 and/or CEWO Acquittal report)</w:t>
            </w:r>
          </w:p>
        </w:tc>
        <w:tc>
          <w:tcPr>
            <w:tcW w:w="2552" w:type="dxa"/>
            <w:shd w:val="clear" w:color="auto" w:fill="EAF1DD" w:themeFill="accent3" w:themeFillTint="33"/>
          </w:tcPr>
          <w:p w14:paraId="3B4F8907" w14:textId="77777777" w:rsidR="00BB4129" w:rsidRPr="00BB4129" w:rsidRDefault="00BB4129" w:rsidP="00497F33">
            <w:pPr>
              <w:tabs>
                <w:tab w:val="left" w:pos="9071"/>
              </w:tabs>
              <w:spacing w:after="0" w:line="240" w:lineRule="auto"/>
              <w:jc w:val="left"/>
              <w:rPr>
                <w:b/>
                <w:color w:val="4F6228" w:themeColor="accent3" w:themeShade="80"/>
                <w:sz w:val="20"/>
              </w:rPr>
            </w:pPr>
            <w:r w:rsidRPr="00BB4129">
              <w:rPr>
                <w:b/>
                <w:sz w:val="20"/>
              </w:rPr>
              <w:t>LTIM Question</w:t>
            </w:r>
          </w:p>
        </w:tc>
        <w:tc>
          <w:tcPr>
            <w:tcW w:w="2835" w:type="dxa"/>
            <w:shd w:val="clear" w:color="auto" w:fill="EAF1DD" w:themeFill="accent3" w:themeFillTint="33"/>
          </w:tcPr>
          <w:p w14:paraId="3B4F8908" w14:textId="77777777" w:rsidR="00BB4129" w:rsidRPr="00BB4129" w:rsidRDefault="00BB4129" w:rsidP="00497F33">
            <w:pPr>
              <w:tabs>
                <w:tab w:val="left" w:pos="9071"/>
              </w:tabs>
              <w:spacing w:after="0" w:line="240" w:lineRule="auto"/>
              <w:jc w:val="left"/>
              <w:rPr>
                <w:b/>
                <w:color w:val="4F6228" w:themeColor="accent3" w:themeShade="80"/>
                <w:sz w:val="20"/>
              </w:rPr>
            </w:pPr>
            <w:r w:rsidRPr="00BB4129">
              <w:rPr>
                <w:b/>
                <w:sz w:val="20"/>
              </w:rPr>
              <w:t>Observed outcomes</w:t>
            </w:r>
          </w:p>
        </w:tc>
        <w:tc>
          <w:tcPr>
            <w:tcW w:w="2126" w:type="dxa"/>
            <w:shd w:val="clear" w:color="auto" w:fill="EAF1DD" w:themeFill="accent3" w:themeFillTint="33"/>
          </w:tcPr>
          <w:p w14:paraId="3B4F8909" w14:textId="77777777" w:rsidR="00BB4129" w:rsidRPr="00BB4129" w:rsidRDefault="00BB4129" w:rsidP="00497F33">
            <w:pPr>
              <w:tabs>
                <w:tab w:val="left" w:pos="9071"/>
              </w:tabs>
              <w:spacing w:after="0" w:line="240" w:lineRule="auto"/>
              <w:jc w:val="left"/>
              <w:rPr>
                <w:b/>
                <w:color w:val="4F6228" w:themeColor="accent3" w:themeShade="80"/>
                <w:sz w:val="20"/>
              </w:rPr>
            </w:pPr>
            <w:r w:rsidRPr="00BB4129">
              <w:rPr>
                <w:b/>
                <w:sz w:val="20"/>
              </w:rPr>
              <w:t>What information was the evaluation based on?</w:t>
            </w:r>
          </w:p>
        </w:tc>
        <w:tc>
          <w:tcPr>
            <w:tcW w:w="2126" w:type="dxa"/>
            <w:shd w:val="clear" w:color="auto" w:fill="EAF1DD" w:themeFill="accent3" w:themeFillTint="33"/>
          </w:tcPr>
          <w:p w14:paraId="3B4F890A" w14:textId="77777777" w:rsidR="00BB4129" w:rsidRPr="00BB4129" w:rsidRDefault="00BB4129" w:rsidP="00497F33">
            <w:pPr>
              <w:tabs>
                <w:tab w:val="left" w:pos="9071"/>
              </w:tabs>
              <w:spacing w:after="0" w:line="240" w:lineRule="auto"/>
              <w:jc w:val="left"/>
              <w:rPr>
                <w:b/>
                <w:color w:val="4F6228" w:themeColor="accent3" w:themeShade="80"/>
                <w:sz w:val="20"/>
              </w:rPr>
            </w:pPr>
            <w:r w:rsidRPr="00BB4129">
              <w:rPr>
                <w:b/>
                <w:sz w:val="20"/>
              </w:rPr>
              <w:t>Were appropriate flows provided to achieve the expected outcome?</w:t>
            </w:r>
          </w:p>
        </w:tc>
      </w:tr>
      <w:tr w:rsidR="00BB4129" w14:paraId="3B4F891A" w14:textId="77777777" w:rsidTr="00497F33">
        <w:tc>
          <w:tcPr>
            <w:tcW w:w="2405" w:type="dxa"/>
            <w:vMerge w:val="restart"/>
            <w:tcMar>
              <w:left w:w="57" w:type="dxa"/>
              <w:right w:w="57" w:type="dxa"/>
            </w:tcMar>
          </w:tcPr>
          <w:p w14:paraId="3B4F890C" w14:textId="77777777" w:rsidR="00BB4129" w:rsidRPr="008443CE" w:rsidRDefault="00BB4129" w:rsidP="00497F33">
            <w:pPr>
              <w:pStyle w:val="ListBullet"/>
              <w:spacing w:after="0"/>
              <w:contextualSpacing w:val="0"/>
              <w:jc w:val="left"/>
              <w:rPr>
                <w:sz w:val="18"/>
                <w:szCs w:val="18"/>
                <w:u w:val="single"/>
              </w:rPr>
            </w:pPr>
            <w:r w:rsidRPr="008443CE">
              <w:rPr>
                <w:sz w:val="18"/>
                <w:szCs w:val="18"/>
                <w:u w:val="single"/>
              </w:rPr>
              <w:t>Upper Wakool River: Base flow and Fresh</w:t>
            </w:r>
          </w:p>
          <w:p w14:paraId="3B4F890D" w14:textId="77777777" w:rsidR="00BB4129" w:rsidRDefault="00BB4129" w:rsidP="00497F33">
            <w:pPr>
              <w:pStyle w:val="ListBullet"/>
              <w:spacing w:after="0"/>
              <w:contextualSpacing w:val="0"/>
              <w:jc w:val="left"/>
              <w:rPr>
                <w:sz w:val="18"/>
                <w:szCs w:val="18"/>
              </w:rPr>
            </w:pPr>
            <w:r w:rsidRPr="00B51B43">
              <w:rPr>
                <w:sz w:val="18"/>
                <w:szCs w:val="18"/>
              </w:rPr>
              <w:t>Flow for spring-summer fresh in Upper Wakool (above confluence with Yallakool Creek) to have a flow range of between 50 ML/day and 100</w:t>
            </w:r>
            <w:r>
              <w:rPr>
                <w:sz w:val="18"/>
                <w:szCs w:val="18"/>
              </w:rPr>
              <w:t xml:space="preserve"> </w:t>
            </w:r>
            <w:r w:rsidRPr="00B51B43">
              <w:rPr>
                <w:sz w:val="18"/>
                <w:szCs w:val="18"/>
              </w:rPr>
              <w:t>ML/day to enable river operators to provide a level of variability into flows. A flow recession back to base flows of 25 ML/day every 14 days was targeted.</w:t>
            </w:r>
          </w:p>
          <w:p w14:paraId="3B4F890E" w14:textId="77777777" w:rsidR="00BB4129" w:rsidRPr="008443CE" w:rsidRDefault="00BB4129" w:rsidP="00497F33">
            <w:pPr>
              <w:pStyle w:val="ListBullet"/>
              <w:spacing w:after="0"/>
              <w:contextualSpacing w:val="0"/>
              <w:jc w:val="left"/>
              <w:rPr>
                <w:sz w:val="18"/>
                <w:szCs w:val="18"/>
                <w:u w:val="single"/>
              </w:rPr>
            </w:pPr>
            <w:r w:rsidRPr="008443CE">
              <w:rPr>
                <w:sz w:val="18"/>
                <w:szCs w:val="18"/>
                <w:u w:val="single"/>
              </w:rPr>
              <w:t>Yallakool Creek: Base flow and Fresh</w:t>
            </w:r>
          </w:p>
          <w:p w14:paraId="3B4F890F" w14:textId="77777777" w:rsidR="00BB4129" w:rsidRPr="00956EAE" w:rsidRDefault="00BB4129" w:rsidP="00497F33">
            <w:pPr>
              <w:tabs>
                <w:tab w:val="left" w:pos="9071"/>
              </w:tabs>
              <w:spacing w:after="0" w:line="240" w:lineRule="auto"/>
              <w:ind w:right="-1"/>
              <w:jc w:val="left"/>
              <w:rPr>
                <w:b/>
                <w:color w:val="4F6228" w:themeColor="accent3" w:themeShade="80"/>
              </w:rPr>
            </w:pPr>
            <w:r w:rsidRPr="00B51B43">
              <w:rPr>
                <w:sz w:val="18"/>
                <w:szCs w:val="18"/>
              </w:rPr>
              <w:t>Flow for early fresh to increase from base flow level to peak of 550</w:t>
            </w:r>
            <w:r>
              <w:rPr>
                <w:sz w:val="18"/>
                <w:szCs w:val="18"/>
              </w:rPr>
              <w:t xml:space="preserve"> </w:t>
            </w:r>
            <w:r w:rsidRPr="00B51B43">
              <w:rPr>
                <w:sz w:val="18"/>
                <w:szCs w:val="18"/>
              </w:rPr>
              <w:t>ML/day, receding to 450 ML/day. Flow for spring-summer fresh to have a flow range of between 450 ML/day and 500 ML/day to enable river operators to provide a level of variability into flows. Flow recession to reduce from 500 ML/day in 25 ML/day increments</w:t>
            </w:r>
            <w:r>
              <w:rPr>
                <w:bCs/>
              </w:rPr>
              <w:t>.</w:t>
            </w:r>
          </w:p>
        </w:tc>
        <w:tc>
          <w:tcPr>
            <w:tcW w:w="2126" w:type="dxa"/>
            <w:vMerge w:val="restart"/>
            <w:tcMar>
              <w:left w:w="57" w:type="dxa"/>
              <w:right w:w="57" w:type="dxa"/>
            </w:tcMar>
          </w:tcPr>
          <w:p w14:paraId="3B4F8910" w14:textId="77777777" w:rsidR="00BB4129" w:rsidRPr="00D977AE" w:rsidRDefault="00BB4129" w:rsidP="00497F33">
            <w:pPr>
              <w:pStyle w:val="Default"/>
              <w:rPr>
                <w:rFonts w:asciiTheme="minorHAnsi" w:hAnsiTheme="minorHAnsi"/>
                <w:color w:val="auto"/>
                <w:sz w:val="18"/>
                <w:szCs w:val="18"/>
              </w:rPr>
            </w:pPr>
            <w:r w:rsidRPr="00D977AE">
              <w:rPr>
                <w:rFonts w:asciiTheme="minorHAnsi" w:hAnsiTheme="minorHAnsi"/>
                <w:color w:val="auto"/>
                <w:sz w:val="18"/>
                <w:szCs w:val="18"/>
              </w:rPr>
              <w:t xml:space="preserve">To support mobilisation, transport and dispersal of biotic and abiotic material (e.g. sediment, nutrients and organic matter) through longitudinal and lateral hydrological connectivity </w:t>
            </w:r>
          </w:p>
          <w:p w14:paraId="3B4F8911" w14:textId="77777777" w:rsidR="00BB4129" w:rsidRPr="00D977AE" w:rsidRDefault="00BB4129" w:rsidP="00497F33">
            <w:pPr>
              <w:pStyle w:val="Default"/>
              <w:rPr>
                <w:rFonts w:asciiTheme="minorHAnsi" w:hAnsiTheme="minorHAnsi"/>
                <w:color w:val="auto"/>
                <w:sz w:val="18"/>
                <w:szCs w:val="18"/>
              </w:rPr>
            </w:pPr>
            <w:r w:rsidRPr="00D977AE">
              <w:rPr>
                <w:rFonts w:asciiTheme="minorHAnsi" w:hAnsiTheme="minorHAnsi"/>
                <w:color w:val="auto"/>
                <w:sz w:val="18"/>
                <w:szCs w:val="18"/>
              </w:rPr>
              <w:t xml:space="preserve"> </w:t>
            </w:r>
          </w:p>
          <w:p w14:paraId="3B4F8912" w14:textId="77777777" w:rsidR="00BB4129" w:rsidRPr="00D977AE" w:rsidRDefault="00BB4129" w:rsidP="00497F33">
            <w:pPr>
              <w:pStyle w:val="Default"/>
              <w:rPr>
                <w:rFonts w:asciiTheme="minorHAnsi" w:hAnsiTheme="minorHAnsi"/>
                <w:color w:val="auto"/>
                <w:sz w:val="18"/>
                <w:szCs w:val="18"/>
              </w:rPr>
            </w:pPr>
            <w:r w:rsidRPr="00D977AE">
              <w:rPr>
                <w:rFonts w:asciiTheme="minorHAnsi" w:hAnsiTheme="minorHAnsi"/>
                <w:color w:val="auto"/>
                <w:sz w:val="18"/>
                <w:szCs w:val="18"/>
              </w:rPr>
              <w:t xml:space="preserve">To maintain/improve water quality within the system, particularly dissolved oxygen, salinity and pH </w:t>
            </w:r>
          </w:p>
          <w:p w14:paraId="3B4F8913" w14:textId="77777777" w:rsidR="00BB4129" w:rsidRPr="00BB4129" w:rsidRDefault="00BB4129" w:rsidP="00497F33">
            <w:pPr>
              <w:tabs>
                <w:tab w:val="left" w:pos="9071"/>
              </w:tabs>
              <w:spacing w:after="0" w:line="240" w:lineRule="auto"/>
              <w:ind w:right="-1"/>
              <w:jc w:val="left"/>
              <w:rPr>
                <w:color w:val="4F6228" w:themeColor="accent3" w:themeShade="80"/>
              </w:rPr>
            </w:pPr>
            <w:r w:rsidRPr="00BB4129">
              <w:rPr>
                <w:rFonts w:asciiTheme="minorHAnsi" w:hAnsiTheme="minorHAnsi"/>
                <w:sz w:val="18"/>
                <w:szCs w:val="18"/>
              </w:rPr>
              <w:t>(Water use minute 10038)</w:t>
            </w:r>
          </w:p>
        </w:tc>
        <w:tc>
          <w:tcPr>
            <w:tcW w:w="2552" w:type="dxa"/>
            <w:tcMar>
              <w:left w:w="57" w:type="dxa"/>
              <w:right w:w="57" w:type="dxa"/>
            </w:tcMar>
          </w:tcPr>
          <w:p w14:paraId="3B4F8914" w14:textId="77777777" w:rsidR="00BB4129" w:rsidRPr="00CF7E25" w:rsidRDefault="00BB4129" w:rsidP="00497F33">
            <w:pPr>
              <w:pStyle w:val="ListBullet"/>
              <w:spacing w:after="0"/>
              <w:contextualSpacing w:val="0"/>
              <w:jc w:val="left"/>
              <w:rPr>
                <w:rFonts w:cstheme="minorHAnsi"/>
                <w:i/>
                <w:sz w:val="18"/>
                <w:szCs w:val="18"/>
              </w:rPr>
            </w:pPr>
            <w:r>
              <w:rPr>
                <w:rFonts w:cstheme="minorHAnsi"/>
                <w:i/>
                <w:sz w:val="18"/>
                <w:szCs w:val="18"/>
              </w:rPr>
              <w:t>What did Commonwealth environmental water contribute to temperature regimes?</w:t>
            </w:r>
          </w:p>
        </w:tc>
        <w:tc>
          <w:tcPr>
            <w:tcW w:w="2835" w:type="dxa"/>
            <w:tcMar>
              <w:left w:w="57" w:type="dxa"/>
              <w:right w:w="57" w:type="dxa"/>
            </w:tcMar>
          </w:tcPr>
          <w:p w14:paraId="3B4F8915" w14:textId="77777777" w:rsidR="00BB4129" w:rsidRPr="000D639C" w:rsidRDefault="00BB4129" w:rsidP="00497F33">
            <w:pPr>
              <w:tabs>
                <w:tab w:val="left" w:pos="9071"/>
              </w:tabs>
              <w:spacing w:after="0" w:line="240" w:lineRule="auto"/>
              <w:ind w:right="-1"/>
              <w:jc w:val="left"/>
              <w:rPr>
                <w:sz w:val="18"/>
                <w:szCs w:val="18"/>
              </w:rPr>
            </w:pPr>
            <w:r w:rsidRPr="000D639C">
              <w:rPr>
                <w:sz w:val="18"/>
                <w:szCs w:val="18"/>
              </w:rPr>
              <w:t>Commonwealth environmental water did not influence temperature.</w:t>
            </w:r>
          </w:p>
        </w:tc>
        <w:tc>
          <w:tcPr>
            <w:tcW w:w="2126" w:type="dxa"/>
            <w:tcMar>
              <w:left w:w="57" w:type="dxa"/>
              <w:right w:w="57" w:type="dxa"/>
            </w:tcMar>
          </w:tcPr>
          <w:p w14:paraId="3B4F8916" w14:textId="77777777" w:rsidR="00BB4129" w:rsidRPr="00CF7E25" w:rsidRDefault="00BB4129" w:rsidP="00497F33">
            <w:pPr>
              <w:spacing w:after="0" w:line="240" w:lineRule="auto"/>
              <w:jc w:val="left"/>
              <w:rPr>
                <w:bCs/>
                <w:sz w:val="18"/>
                <w:szCs w:val="18"/>
              </w:rPr>
            </w:pPr>
            <w:r>
              <w:rPr>
                <w:bCs/>
                <w:sz w:val="18"/>
                <w:szCs w:val="18"/>
              </w:rPr>
              <w:t>Temperature was similar at all sites regardless of flow.</w:t>
            </w:r>
          </w:p>
        </w:tc>
        <w:tc>
          <w:tcPr>
            <w:tcW w:w="2126" w:type="dxa"/>
            <w:vMerge w:val="restart"/>
          </w:tcPr>
          <w:p w14:paraId="3B4F8917" w14:textId="692CF7C3" w:rsidR="00BB4129" w:rsidRDefault="00194C8C" w:rsidP="00497F33">
            <w:pPr>
              <w:tabs>
                <w:tab w:val="left" w:pos="104"/>
              </w:tabs>
              <w:spacing w:after="0" w:line="240" w:lineRule="auto"/>
              <w:ind w:right="33"/>
              <w:jc w:val="left"/>
              <w:rPr>
                <w:bCs/>
                <w:sz w:val="18"/>
                <w:szCs w:val="18"/>
              </w:rPr>
            </w:pPr>
            <w:r>
              <w:rPr>
                <w:bCs/>
                <w:sz w:val="18"/>
                <w:szCs w:val="18"/>
              </w:rPr>
              <w:t>The environmental flow</w:t>
            </w:r>
            <w:r w:rsidR="00BB4129">
              <w:rPr>
                <w:bCs/>
                <w:sz w:val="18"/>
                <w:szCs w:val="18"/>
              </w:rPr>
              <w:t xml:space="preserve"> in th</w:t>
            </w:r>
            <w:r w:rsidR="00BB4129" w:rsidRPr="00194C8C">
              <w:rPr>
                <w:bCs/>
                <w:sz w:val="18"/>
                <w:szCs w:val="18"/>
              </w:rPr>
              <w:t>e upper Wakool River was</w:t>
            </w:r>
            <w:r w:rsidRPr="00194C8C">
              <w:rPr>
                <w:bCs/>
                <w:sz w:val="18"/>
                <w:szCs w:val="18"/>
              </w:rPr>
              <w:t xml:space="preserve"> small magnitude</w:t>
            </w:r>
            <w:r w:rsidR="00BB4129" w:rsidRPr="00194C8C">
              <w:rPr>
                <w:bCs/>
                <w:sz w:val="18"/>
                <w:szCs w:val="18"/>
              </w:rPr>
              <w:t xml:space="preserve"> and was not appropriate to achieve expected outcomes</w:t>
            </w:r>
            <w:r w:rsidRPr="00194C8C">
              <w:rPr>
                <w:bCs/>
                <w:sz w:val="18"/>
                <w:szCs w:val="18"/>
              </w:rPr>
              <w:t xml:space="preserve"> due</w:t>
            </w:r>
            <w:r>
              <w:rPr>
                <w:bCs/>
                <w:sz w:val="18"/>
                <w:szCs w:val="18"/>
              </w:rPr>
              <w:t xml:space="preserve"> to the flow constraint in the Wakool River</w:t>
            </w:r>
            <w:r w:rsidR="00BB4129">
              <w:rPr>
                <w:bCs/>
                <w:sz w:val="18"/>
                <w:szCs w:val="18"/>
              </w:rPr>
              <w:t>. It did not create additional wetted area of riverbank or provide sufficient flow to maintain DO in the range seen at other sites. Organic matter was influenced by the multi-site watering upstream.</w:t>
            </w:r>
          </w:p>
          <w:p w14:paraId="3B4F8918" w14:textId="77777777" w:rsidR="00BB4129" w:rsidRDefault="00BB4129" w:rsidP="00497F33">
            <w:pPr>
              <w:tabs>
                <w:tab w:val="left" w:pos="104"/>
              </w:tabs>
              <w:spacing w:after="0" w:line="240" w:lineRule="auto"/>
              <w:ind w:right="33"/>
              <w:rPr>
                <w:bCs/>
                <w:sz w:val="18"/>
                <w:szCs w:val="18"/>
              </w:rPr>
            </w:pPr>
          </w:p>
          <w:p w14:paraId="3B4F8919" w14:textId="047DFCD5" w:rsidR="00BB4129" w:rsidRDefault="00194C8C" w:rsidP="00497F33">
            <w:pPr>
              <w:tabs>
                <w:tab w:val="left" w:pos="9071"/>
              </w:tabs>
              <w:spacing w:after="0" w:line="240" w:lineRule="auto"/>
              <w:ind w:right="-1"/>
              <w:jc w:val="left"/>
              <w:rPr>
                <w:b/>
                <w:color w:val="4F6228" w:themeColor="accent3" w:themeShade="80"/>
                <w:sz w:val="24"/>
                <w:szCs w:val="24"/>
              </w:rPr>
            </w:pPr>
            <w:r>
              <w:rPr>
                <w:bCs/>
                <w:sz w:val="18"/>
                <w:szCs w:val="18"/>
              </w:rPr>
              <w:t>The environmental flow</w:t>
            </w:r>
            <w:r w:rsidR="00BB4129">
              <w:rPr>
                <w:bCs/>
                <w:sz w:val="18"/>
                <w:szCs w:val="18"/>
              </w:rPr>
              <w:t xml:space="preserve"> in Yallakool creek was sufficient to maintain DO relative to the lower flows seen in the Wakool river (Zone 2). The flow was not sufficient to connect to low-lying floodplain features at this site to introduce additional nutrients to the system but some carbon was introduced by the multi-site watering.</w:t>
            </w:r>
          </w:p>
        </w:tc>
      </w:tr>
      <w:tr w:rsidR="00BB4129" w14:paraId="3B4F8921" w14:textId="77777777" w:rsidTr="00497F33">
        <w:tc>
          <w:tcPr>
            <w:tcW w:w="2405" w:type="dxa"/>
            <w:vMerge/>
            <w:tcMar>
              <w:left w:w="57" w:type="dxa"/>
              <w:right w:w="57" w:type="dxa"/>
            </w:tcMar>
          </w:tcPr>
          <w:p w14:paraId="3B4F891B" w14:textId="77777777" w:rsidR="00BB4129" w:rsidRPr="008443CE" w:rsidRDefault="00BB4129" w:rsidP="00497F33">
            <w:pPr>
              <w:pStyle w:val="ListBullet"/>
              <w:spacing w:after="0"/>
              <w:contextualSpacing w:val="0"/>
              <w:jc w:val="left"/>
              <w:rPr>
                <w:sz w:val="18"/>
                <w:szCs w:val="18"/>
                <w:u w:val="single"/>
              </w:rPr>
            </w:pPr>
          </w:p>
        </w:tc>
        <w:tc>
          <w:tcPr>
            <w:tcW w:w="2126" w:type="dxa"/>
            <w:vMerge/>
            <w:tcMar>
              <w:left w:w="57" w:type="dxa"/>
              <w:right w:w="57" w:type="dxa"/>
            </w:tcMar>
          </w:tcPr>
          <w:p w14:paraId="3B4F891C" w14:textId="77777777" w:rsidR="00BB4129" w:rsidRPr="007B4E6F" w:rsidRDefault="00BB4129" w:rsidP="00497F33">
            <w:pPr>
              <w:spacing w:after="0" w:line="240" w:lineRule="auto"/>
              <w:jc w:val="left"/>
              <w:rPr>
                <w:bCs/>
                <w:sz w:val="18"/>
                <w:szCs w:val="18"/>
              </w:rPr>
            </w:pPr>
          </w:p>
        </w:tc>
        <w:tc>
          <w:tcPr>
            <w:tcW w:w="2552" w:type="dxa"/>
            <w:tcMar>
              <w:left w:w="57" w:type="dxa"/>
              <w:right w:w="57" w:type="dxa"/>
            </w:tcMar>
          </w:tcPr>
          <w:p w14:paraId="3B4F891D" w14:textId="77777777" w:rsidR="00BB4129" w:rsidRDefault="00BB4129" w:rsidP="00497F33">
            <w:pPr>
              <w:pStyle w:val="ListBullet"/>
              <w:spacing w:after="0"/>
              <w:contextualSpacing w:val="0"/>
              <w:jc w:val="left"/>
              <w:rPr>
                <w:rFonts w:cstheme="minorHAnsi"/>
                <w:i/>
                <w:sz w:val="18"/>
                <w:szCs w:val="18"/>
              </w:rPr>
            </w:pPr>
            <w:r>
              <w:rPr>
                <w:rFonts w:cstheme="minorHAnsi"/>
                <w:i/>
                <w:sz w:val="18"/>
                <w:szCs w:val="18"/>
              </w:rPr>
              <w:t>What did Commonwealth environmental water contribute to dissolved oxygen concentrations?</w:t>
            </w:r>
          </w:p>
        </w:tc>
        <w:tc>
          <w:tcPr>
            <w:tcW w:w="2835" w:type="dxa"/>
            <w:tcMar>
              <w:left w:w="57" w:type="dxa"/>
              <w:right w:w="57" w:type="dxa"/>
            </w:tcMar>
          </w:tcPr>
          <w:p w14:paraId="3B4F891E" w14:textId="77777777" w:rsidR="00BB4129" w:rsidRPr="000D639C" w:rsidRDefault="00BB4129" w:rsidP="00497F33">
            <w:pPr>
              <w:tabs>
                <w:tab w:val="left" w:pos="9071"/>
              </w:tabs>
              <w:spacing w:after="0" w:line="240" w:lineRule="auto"/>
              <w:ind w:right="-1"/>
              <w:jc w:val="left"/>
              <w:rPr>
                <w:sz w:val="18"/>
                <w:szCs w:val="18"/>
              </w:rPr>
            </w:pPr>
            <w:r w:rsidRPr="000D639C">
              <w:rPr>
                <w:sz w:val="18"/>
                <w:szCs w:val="18"/>
              </w:rPr>
              <w:t>Dissolved oxygen concentrations were supported by the Yallakool Creek Base Flow and Fresh</w:t>
            </w:r>
          </w:p>
        </w:tc>
        <w:tc>
          <w:tcPr>
            <w:tcW w:w="2126" w:type="dxa"/>
            <w:tcMar>
              <w:left w:w="57" w:type="dxa"/>
              <w:right w:w="57" w:type="dxa"/>
            </w:tcMar>
          </w:tcPr>
          <w:p w14:paraId="3B4F891F" w14:textId="77777777" w:rsidR="00BB4129" w:rsidRPr="00CF7E25" w:rsidRDefault="00BB4129" w:rsidP="00497F33">
            <w:pPr>
              <w:spacing w:after="0" w:line="240" w:lineRule="auto"/>
              <w:jc w:val="left"/>
              <w:rPr>
                <w:bCs/>
                <w:sz w:val="18"/>
                <w:szCs w:val="18"/>
              </w:rPr>
            </w:pPr>
            <w:r>
              <w:rPr>
                <w:bCs/>
                <w:sz w:val="18"/>
                <w:szCs w:val="18"/>
              </w:rPr>
              <w:t>DO was higher in Zones 1, 3 and 4 where the volume of water was higher than in Zone 2.</w:t>
            </w:r>
          </w:p>
        </w:tc>
        <w:tc>
          <w:tcPr>
            <w:tcW w:w="2126" w:type="dxa"/>
            <w:vMerge/>
          </w:tcPr>
          <w:p w14:paraId="3B4F8920" w14:textId="77777777" w:rsidR="00BB4129" w:rsidRDefault="00BB4129" w:rsidP="00497F33">
            <w:pPr>
              <w:tabs>
                <w:tab w:val="left" w:pos="104"/>
              </w:tabs>
              <w:spacing w:after="0" w:line="240" w:lineRule="auto"/>
              <w:ind w:right="33"/>
              <w:jc w:val="left"/>
              <w:rPr>
                <w:bCs/>
                <w:sz w:val="18"/>
                <w:szCs w:val="18"/>
              </w:rPr>
            </w:pPr>
          </w:p>
        </w:tc>
      </w:tr>
      <w:tr w:rsidR="00BB4129" w14:paraId="3B4F8928" w14:textId="77777777" w:rsidTr="00497F33">
        <w:tc>
          <w:tcPr>
            <w:tcW w:w="2405" w:type="dxa"/>
            <w:vMerge/>
            <w:tcMar>
              <w:left w:w="57" w:type="dxa"/>
              <w:right w:w="57" w:type="dxa"/>
            </w:tcMar>
          </w:tcPr>
          <w:p w14:paraId="3B4F8922" w14:textId="77777777" w:rsidR="00BB4129" w:rsidRPr="008443CE" w:rsidRDefault="00BB4129" w:rsidP="00497F33">
            <w:pPr>
              <w:pStyle w:val="ListBullet"/>
              <w:spacing w:after="0"/>
              <w:contextualSpacing w:val="0"/>
              <w:jc w:val="left"/>
              <w:rPr>
                <w:sz w:val="18"/>
                <w:szCs w:val="18"/>
                <w:u w:val="single"/>
              </w:rPr>
            </w:pPr>
          </w:p>
        </w:tc>
        <w:tc>
          <w:tcPr>
            <w:tcW w:w="2126" w:type="dxa"/>
            <w:vMerge/>
            <w:tcMar>
              <w:left w:w="57" w:type="dxa"/>
              <w:right w:w="57" w:type="dxa"/>
            </w:tcMar>
          </w:tcPr>
          <w:p w14:paraId="3B4F8923" w14:textId="77777777" w:rsidR="00BB4129" w:rsidRPr="007B4E6F" w:rsidRDefault="00BB4129" w:rsidP="00497F33">
            <w:pPr>
              <w:spacing w:after="0" w:line="240" w:lineRule="auto"/>
              <w:jc w:val="left"/>
              <w:rPr>
                <w:bCs/>
                <w:sz w:val="18"/>
                <w:szCs w:val="18"/>
              </w:rPr>
            </w:pPr>
          </w:p>
        </w:tc>
        <w:tc>
          <w:tcPr>
            <w:tcW w:w="2552" w:type="dxa"/>
            <w:tcMar>
              <w:left w:w="57" w:type="dxa"/>
              <w:right w:w="57" w:type="dxa"/>
            </w:tcMar>
          </w:tcPr>
          <w:p w14:paraId="3B4F8924" w14:textId="77777777" w:rsidR="00BB4129" w:rsidRDefault="00BB4129" w:rsidP="00497F33">
            <w:pPr>
              <w:pStyle w:val="ListBullet"/>
              <w:spacing w:after="0"/>
              <w:contextualSpacing w:val="0"/>
              <w:jc w:val="left"/>
              <w:rPr>
                <w:rFonts w:cstheme="minorHAnsi"/>
                <w:i/>
                <w:sz w:val="18"/>
                <w:szCs w:val="18"/>
              </w:rPr>
            </w:pPr>
            <w:r>
              <w:rPr>
                <w:rFonts w:cs="Calibri"/>
                <w:i/>
              </w:rPr>
              <w:t>What did Commonwealth environmental water contribute to nutrient concentrations?</w:t>
            </w:r>
          </w:p>
        </w:tc>
        <w:tc>
          <w:tcPr>
            <w:tcW w:w="2835" w:type="dxa"/>
            <w:tcMar>
              <w:left w:w="57" w:type="dxa"/>
              <w:right w:w="57" w:type="dxa"/>
            </w:tcMar>
          </w:tcPr>
          <w:p w14:paraId="3B4F8925" w14:textId="77777777" w:rsidR="00BB4129" w:rsidRPr="000D639C" w:rsidRDefault="00BB4129" w:rsidP="00497F33">
            <w:pPr>
              <w:tabs>
                <w:tab w:val="left" w:pos="9071"/>
              </w:tabs>
              <w:spacing w:after="0" w:line="240" w:lineRule="auto"/>
              <w:ind w:right="-1"/>
              <w:jc w:val="left"/>
              <w:rPr>
                <w:color w:val="4F6228" w:themeColor="accent3" w:themeShade="80"/>
                <w:sz w:val="18"/>
                <w:szCs w:val="18"/>
              </w:rPr>
            </w:pPr>
            <w:r w:rsidRPr="000D639C">
              <w:rPr>
                <w:sz w:val="18"/>
                <w:szCs w:val="18"/>
              </w:rPr>
              <w:t>Commonwealth Environmental water did not influence nutrient concentrations in 2015-16</w:t>
            </w:r>
          </w:p>
        </w:tc>
        <w:tc>
          <w:tcPr>
            <w:tcW w:w="2126" w:type="dxa"/>
            <w:tcMar>
              <w:left w:w="57" w:type="dxa"/>
              <w:right w:w="57" w:type="dxa"/>
            </w:tcMar>
          </w:tcPr>
          <w:p w14:paraId="3B4F8926" w14:textId="77777777" w:rsidR="00BB4129" w:rsidRPr="00CF7E25" w:rsidRDefault="00BB4129" w:rsidP="00497F33">
            <w:pPr>
              <w:spacing w:after="0" w:line="240" w:lineRule="auto"/>
              <w:jc w:val="left"/>
              <w:rPr>
                <w:bCs/>
                <w:sz w:val="18"/>
                <w:szCs w:val="18"/>
              </w:rPr>
            </w:pPr>
            <w:r>
              <w:rPr>
                <w:bCs/>
                <w:sz w:val="18"/>
                <w:szCs w:val="18"/>
              </w:rPr>
              <w:t>Nutrient concentrations were similar across zones and consistent with 2014-15 during the use of Commonwealth environmental water.</w:t>
            </w:r>
          </w:p>
        </w:tc>
        <w:tc>
          <w:tcPr>
            <w:tcW w:w="2126" w:type="dxa"/>
            <w:vMerge/>
          </w:tcPr>
          <w:p w14:paraId="3B4F8927" w14:textId="77777777" w:rsidR="00BB4129" w:rsidRDefault="00BB4129" w:rsidP="00497F33">
            <w:pPr>
              <w:tabs>
                <w:tab w:val="left" w:pos="104"/>
              </w:tabs>
              <w:spacing w:after="0" w:line="240" w:lineRule="auto"/>
              <w:ind w:right="33"/>
              <w:jc w:val="left"/>
              <w:rPr>
                <w:bCs/>
                <w:sz w:val="18"/>
                <w:szCs w:val="18"/>
              </w:rPr>
            </w:pPr>
          </w:p>
        </w:tc>
      </w:tr>
      <w:tr w:rsidR="00BB4129" w14:paraId="3B4F892F" w14:textId="77777777" w:rsidTr="00497F33">
        <w:tc>
          <w:tcPr>
            <w:tcW w:w="2405" w:type="dxa"/>
            <w:vMerge/>
            <w:tcMar>
              <w:left w:w="57" w:type="dxa"/>
              <w:right w:w="57" w:type="dxa"/>
            </w:tcMar>
          </w:tcPr>
          <w:p w14:paraId="3B4F8929"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2A"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2B" w14:textId="77777777" w:rsidR="00BB4129" w:rsidRPr="00BB4129" w:rsidRDefault="00BB4129" w:rsidP="00497F33">
            <w:pPr>
              <w:spacing w:after="0" w:line="240" w:lineRule="auto"/>
              <w:ind w:left="28"/>
              <w:jc w:val="left"/>
              <w:rPr>
                <w:rFonts w:cs="Calibri"/>
                <w:i/>
                <w:sz w:val="20"/>
              </w:rPr>
            </w:pPr>
            <w:r w:rsidRPr="00BB4129">
              <w:rPr>
                <w:rFonts w:cs="Calibri"/>
                <w:i/>
                <w:sz w:val="20"/>
              </w:rPr>
              <w:t>What did Commonwealth environmental water contribute to modification of the type and amount of dissolved organic matter through reconnection with previously dry or disconnected channel habitat?</w:t>
            </w:r>
          </w:p>
        </w:tc>
        <w:tc>
          <w:tcPr>
            <w:tcW w:w="2835" w:type="dxa"/>
            <w:tcMar>
              <w:left w:w="57" w:type="dxa"/>
              <w:right w:w="57" w:type="dxa"/>
            </w:tcMar>
          </w:tcPr>
          <w:p w14:paraId="3B4F892C" w14:textId="77777777" w:rsidR="00BB4129" w:rsidRPr="000D639C" w:rsidRDefault="00BB4129" w:rsidP="00497F33">
            <w:pPr>
              <w:autoSpaceDE w:val="0"/>
              <w:autoSpaceDN w:val="0"/>
              <w:adjustRightInd w:val="0"/>
              <w:spacing w:after="0" w:line="240" w:lineRule="auto"/>
              <w:jc w:val="left"/>
              <w:rPr>
                <w:b/>
                <w:color w:val="4F6228" w:themeColor="accent3" w:themeShade="80"/>
                <w:sz w:val="18"/>
                <w:szCs w:val="18"/>
              </w:rPr>
            </w:pPr>
            <w:r w:rsidRPr="000D639C">
              <w:rPr>
                <w:rFonts w:eastAsiaTheme="minorHAnsi" w:cs="Calibri"/>
                <w:sz w:val="18"/>
                <w:szCs w:val="18"/>
              </w:rPr>
              <w:t>Commonwealth environmental water, through the combination of the multi-site watering</w:t>
            </w:r>
            <w:r>
              <w:rPr>
                <w:rFonts w:eastAsiaTheme="minorHAnsi" w:cs="Calibri"/>
                <w:sz w:val="18"/>
                <w:szCs w:val="18"/>
              </w:rPr>
              <w:t xml:space="preserve"> </w:t>
            </w:r>
            <w:r w:rsidRPr="000D639C">
              <w:rPr>
                <w:rFonts w:eastAsiaTheme="minorHAnsi" w:cs="Calibri"/>
                <w:sz w:val="18"/>
                <w:szCs w:val="18"/>
              </w:rPr>
              <w:t xml:space="preserve">action and the flows directed specifically at the Yallakool Creek and Wakool River, contributed to the introduction of small amounts of floodplain carbon from upstream in the Barmah-Millewa forest. </w:t>
            </w:r>
          </w:p>
        </w:tc>
        <w:tc>
          <w:tcPr>
            <w:tcW w:w="2126" w:type="dxa"/>
            <w:tcMar>
              <w:left w:w="57" w:type="dxa"/>
              <w:right w:w="57" w:type="dxa"/>
            </w:tcMar>
          </w:tcPr>
          <w:p w14:paraId="3B4F892D" w14:textId="77777777" w:rsidR="00BB4129" w:rsidRPr="000D639C" w:rsidRDefault="00BB4129" w:rsidP="00497F33">
            <w:pPr>
              <w:tabs>
                <w:tab w:val="left" w:pos="9071"/>
              </w:tabs>
              <w:spacing w:after="0" w:line="240" w:lineRule="auto"/>
              <w:ind w:right="-1"/>
              <w:jc w:val="left"/>
              <w:rPr>
                <w:sz w:val="18"/>
                <w:szCs w:val="18"/>
              </w:rPr>
            </w:pPr>
            <w:r w:rsidRPr="000D639C">
              <w:rPr>
                <w:sz w:val="18"/>
                <w:szCs w:val="18"/>
              </w:rPr>
              <w:t xml:space="preserve">DOC concentrations had a small peak that progressed downstream. </w:t>
            </w:r>
            <w:r w:rsidRPr="000D639C">
              <w:rPr>
                <w:rFonts w:eastAsiaTheme="minorHAnsi" w:cs="Calibri"/>
                <w:sz w:val="18"/>
                <w:szCs w:val="18"/>
              </w:rPr>
              <w:t>The organic matter profile over this period reflected input of large, complex humic and fulvic acids which passed through the system from September to December</w:t>
            </w:r>
          </w:p>
        </w:tc>
        <w:tc>
          <w:tcPr>
            <w:tcW w:w="2126" w:type="dxa"/>
            <w:vMerge/>
          </w:tcPr>
          <w:p w14:paraId="3B4F892E" w14:textId="77777777" w:rsidR="00BB4129" w:rsidRDefault="00BB4129" w:rsidP="00497F33">
            <w:pPr>
              <w:tabs>
                <w:tab w:val="left" w:pos="9071"/>
              </w:tabs>
              <w:spacing w:after="0" w:line="240" w:lineRule="auto"/>
              <w:ind w:right="-1"/>
              <w:jc w:val="left"/>
              <w:rPr>
                <w:b/>
                <w:color w:val="4F6228" w:themeColor="accent3" w:themeShade="80"/>
                <w:sz w:val="24"/>
                <w:szCs w:val="24"/>
              </w:rPr>
            </w:pPr>
          </w:p>
        </w:tc>
      </w:tr>
      <w:tr w:rsidR="00BB4129" w14:paraId="3B4F8936" w14:textId="77777777" w:rsidTr="00497F33">
        <w:tc>
          <w:tcPr>
            <w:tcW w:w="2405" w:type="dxa"/>
            <w:vMerge/>
            <w:tcMar>
              <w:left w:w="57" w:type="dxa"/>
              <w:right w:w="57" w:type="dxa"/>
            </w:tcMar>
          </w:tcPr>
          <w:p w14:paraId="3B4F8930"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31"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32" w14:textId="77777777" w:rsidR="00BB4129" w:rsidRPr="00BB4129" w:rsidRDefault="00BB4129" w:rsidP="00497F33">
            <w:pPr>
              <w:spacing w:after="0" w:line="240" w:lineRule="auto"/>
              <w:ind w:left="28"/>
              <w:jc w:val="left"/>
              <w:rPr>
                <w:rFonts w:cs="Calibri"/>
                <w:i/>
                <w:sz w:val="20"/>
              </w:rPr>
            </w:pPr>
            <w:r w:rsidRPr="00BB4129">
              <w:rPr>
                <w:rFonts w:cs="Calibri"/>
                <w:i/>
                <w:sz w:val="20"/>
              </w:rPr>
              <w:t>What did Commonwealth environmental water contribute to reducing the impact of blackwater in the system?</w:t>
            </w:r>
          </w:p>
        </w:tc>
        <w:tc>
          <w:tcPr>
            <w:tcW w:w="2835" w:type="dxa"/>
            <w:tcMar>
              <w:left w:w="57" w:type="dxa"/>
              <w:right w:w="57" w:type="dxa"/>
            </w:tcMar>
          </w:tcPr>
          <w:p w14:paraId="3B4F8933" w14:textId="77777777" w:rsidR="00BB4129" w:rsidRPr="00956EAE" w:rsidRDefault="00BB4129" w:rsidP="00497F33">
            <w:pPr>
              <w:autoSpaceDE w:val="0"/>
              <w:autoSpaceDN w:val="0"/>
              <w:adjustRightInd w:val="0"/>
              <w:spacing w:after="0" w:line="240" w:lineRule="auto"/>
              <w:jc w:val="left"/>
              <w:rPr>
                <w:b/>
                <w:color w:val="4F6228" w:themeColor="accent3" w:themeShade="80"/>
              </w:rPr>
            </w:pPr>
            <w:r w:rsidRPr="000D639C">
              <w:rPr>
                <w:rFonts w:eastAsiaTheme="minorHAnsi" w:cs="Calibri"/>
                <w:sz w:val="18"/>
                <w:szCs w:val="18"/>
              </w:rPr>
              <w:t>The timing of the flows through the Barmah-Millewa forest was early enough in the season</w:t>
            </w:r>
            <w:r>
              <w:rPr>
                <w:rFonts w:eastAsiaTheme="minorHAnsi" w:cs="Calibri"/>
                <w:sz w:val="18"/>
                <w:szCs w:val="18"/>
              </w:rPr>
              <w:t xml:space="preserve"> </w:t>
            </w:r>
            <w:r w:rsidRPr="000D639C">
              <w:rPr>
                <w:rFonts w:eastAsiaTheme="minorHAnsi" w:cs="Calibri"/>
                <w:sz w:val="18"/>
                <w:szCs w:val="18"/>
              </w:rPr>
              <w:t>that carbon inputs were achieved by Commonwealth environmental water without causing</w:t>
            </w:r>
            <w:r>
              <w:rPr>
                <w:rFonts w:eastAsiaTheme="minorHAnsi" w:cs="Calibri"/>
                <w:sz w:val="18"/>
                <w:szCs w:val="18"/>
              </w:rPr>
              <w:t xml:space="preserve"> </w:t>
            </w:r>
            <w:r w:rsidRPr="000D639C">
              <w:rPr>
                <w:rFonts w:eastAsiaTheme="minorHAnsi" w:cs="Calibri"/>
                <w:sz w:val="18"/>
                <w:szCs w:val="18"/>
              </w:rPr>
              <w:t>blackwater in the Edward-Wakool system. Dilution flows from the canal were not required.</w:t>
            </w:r>
          </w:p>
        </w:tc>
        <w:tc>
          <w:tcPr>
            <w:tcW w:w="2126" w:type="dxa"/>
            <w:tcMar>
              <w:left w:w="57" w:type="dxa"/>
              <w:right w:w="57" w:type="dxa"/>
            </w:tcMar>
          </w:tcPr>
          <w:p w14:paraId="3B4F8934" w14:textId="77777777" w:rsidR="00BB4129" w:rsidRPr="00CF7E25" w:rsidRDefault="00BB4129" w:rsidP="00497F33">
            <w:pPr>
              <w:spacing w:after="0" w:line="240" w:lineRule="auto"/>
              <w:jc w:val="left"/>
              <w:rPr>
                <w:bCs/>
                <w:sz w:val="18"/>
                <w:szCs w:val="18"/>
              </w:rPr>
            </w:pPr>
            <w:r>
              <w:rPr>
                <w:bCs/>
                <w:sz w:val="18"/>
                <w:szCs w:val="18"/>
              </w:rPr>
              <w:t>Neither very high DOC nor hypoxic DO concentrations were observed.</w:t>
            </w:r>
          </w:p>
        </w:tc>
        <w:tc>
          <w:tcPr>
            <w:tcW w:w="2126" w:type="dxa"/>
            <w:vMerge/>
          </w:tcPr>
          <w:p w14:paraId="3B4F8935" w14:textId="77777777" w:rsidR="00BB4129" w:rsidRDefault="00BB4129" w:rsidP="00497F33">
            <w:pPr>
              <w:tabs>
                <w:tab w:val="left" w:pos="9071"/>
              </w:tabs>
              <w:spacing w:after="0" w:line="240" w:lineRule="auto"/>
              <w:ind w:right="-1"/>
              <w:jc w:val="left"/>
              <w:rPr>
                <w:b/>
                <w:color w:val="4F6228" w:themeColor="accent3" w:themeShade="80"/>
                <w:sz w:val="24"/>
                <w:szCs w:val="24"/>
              </w:rPr>
            </w:pPr>
          </w:p>
        </w:tc>
      </w:tr>
      <w:tr w:rsidR="00BB4129" w14:paraId="3B4F893B" w14:textId="77777777" w:rsidTr="00BB4129">
        <w:tc>
          <w:tcPr>
            <w:tcW w:w="2405" w:type="dxa"/>
            <w:vMerge/>
            <w:tcMar>
              <w:left w:w="57" w:type="dxa"/>
              <w:right w:w="57" w:type="dxa"/>
            </w:tcMar>
          </w:tcPr>
          <w:p w14:paraId="3B4F8937"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38"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7513" w:type="dxa"/>
            <w:gridSpan w:val="3"/>
            <w:shd w:val="clear" w:color="auto" w:fill="EAF1DD" w:themeFill="accent3" w:themeFillTint="33"/>
            <w:tcMar>
              <w:left w:w="57" w:type="dxa"/>
              <w:right w:w="57" w:type="dxa"/>
            </w:tcMar>
          </w:tcPr>
          <w:p w14:paraId="3B4F8939" w14:textId="77777777" w:rsidR="00BB4129" w:rsidRPr="00BB4129" w:rsidRDefault="00BB4129" w:rsidP="00497F33">
            <w:pPr>
              <w:spacing w:after="0" w:line="240" w:lineRule="auto"/>
              <w:jc w:val="left"/>
              <w:rPr>
                <w:bCs/>
                <w:sz w:val="20"/>
              </w:rPr>
            </w:pPr>
            <w:r w:rsidRPr="00BB4129">
              <w:rPr>
                <w:bCs/>
                <w:sz w:val="20"/>
              </w:rPr>
              <w:t>Additional questions for extended algal monitoring</w:t>
            </w:r>
          </w:p>
        </w:tc>
        <w:tc>
          <w:tcPr>
            <w:tcW w:w="2126" w:type="dxa"/>
            <w:vMerge/>
          </w:tcPr>
          <w:p w14:paraId="3B4F893A" w14:textId="77777777" w:rsidR="00BB4129" w:rsidRDefault="00BB4129" w:rsidP="00497F33">
            <w:pPr>
              <w:tabs>
                <w:tab w:val="left" w:pos="9071"/>
              </w:tabs>
              <w:spacing w:after="0" w:line="240" w:lineRule="auto"/>
              <w:ind w:right="-1"/>
              <w:jc w:val="left"/>
              <w:rPr>
                <w:b/>
                <w:color w:val="4F6228" w:themeColor="accent3" w:themeShade="80"/>
                <w:sz w:val="24"/>
                <w:szCs w:val="24"/>
              </w:rPr>
            </w:pPr>
          </w:p>
        </w:tc>
      </w:tr>
      <w:tr w:rsidR="00BB4129" w14:paraId="3B4F8942" w14:textId="77777777" w:rsidTr="00497F33">
        <w:tc>
          <w:tcPr>
            <w:tcW w:w="2405" w:type="dxa"/>
            <w:vMerge/>
            <w:tcMar>
              <w:left w:w="57" w:type="dxa"/>
              <w:right w:w="57" w:type="dxa"/>
            </w:tcMar>
          </w:tcPr>
          <w:p w14:paraId="3B4F893C"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3D"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3E" w14:textId="77777777" w:rsidR="00BB4129" w:rsidRPr="00BB4129" w:rsidRDefault="00BB4129" w:rsidP="00497F33">
            <w:pPr>
              <w:spacing w:after="0" w:line="240" w:lineRule="auto"/>
              <w:ind w:left="28"/>
              <w:jc w:val="left"/>
              <w:rPr>
                <w:rFonts w:cs="Calibri"/>
                <w:i/>
                <w:sz w:val="20"/>
              </w:rPr>
            </w:pPr>
            <w:r w:rsidRPr="00BB4129">
              <w:rPr>
                <w:rFonts w:cs="Calibri"/>
                <w:i/>
                <w:sz w:val="20"/>
              </w:rPr>
              <w:t>Did Commonwealth environmental water contribute to the bloom conditions in the Edward Wakool System?</w:t>
            </w:r>
          </w:p>
        </w:tc>
        <w:tc>
          <w:tcPr>
            <w:tcW w:w="2835" w:type="dxa"/>
            <w:tcMar>
              <w:left w:w="57" w:type="dxa"/>
              <w:right w:w="57" w:type="dxa"/>
            </w:tcMar>
          </w:tcPr>
          <w:p w14:paraId="3B4F893F" w14:textId="4C38B443" w:rsidR="00BB4129" w:rsidRPr="000D639C" w:rsidRDefault="00BB4129" w:rsidP="00497F33">
            <w:pPr>
              <w:autoSpaceDE w:val="0"/>
              <w:autoSpaceDN w:val="0"/>
              <w:adjustRightInd w:val="0"/>
              <w:spacing w:after="0" w:line="240" w:lineRule="auto"/>
              <w:jc w:val="left"/>
              <w:rPr>
                <w:b/>
                <w:sz w:val="18"/>
                <w:szCs w:val="18"/>
              </w:rPr>
            </w:pPr>
            <w:r w:rsidRPr="000D639C">
              <w:rPr>
                <w:rFonts w:eastAsiaTheme="minorHAnsi" w:cs="Calibri"/>
                <w:sz w:val="18"/>
                <w:szCs w:val="18"/>
              </w:rPr>
              <w:t>Commonwealth environmental water did not create conditions responsible for the onset of</w:t>
            </w:r>
            <w:r>
              <w:rPr>
                <w:rFonts w:eastAsiaTheme="minorHAnsi" w:cs="Calibri"/>
                <w:sz w:val="18"/>
                <w:szCs w:val="18"/>
              </w:rPr>
              <w:t xml:space="preserve"> </w:t>
            </w:r>
            <w:r w:rsidRPr="000D639C">
              <w:rPr>
                <w:rFonts w:eastAsiaTheme="minorHAnsi" w:cs="Calibri"/>
                <w:sz w:val="18"/>
                <w:szCs w:val="18"/>
              </w:rPr>
              <w:t>the bloom of cyanobacteria in February 2016. Nutrient profiles in the system were in the usual</w:t>
            </w:r>
            <w:r>
              <w:rPr>
                <w:rFonts w:eastAsiaTheme="minorHAnsi" w:cs="Calibri"/>
                <w:sz w:val="18"/>
                <w:szCs w:val="18"/>
              </w:rPr>
              <w:t xml:space="preserve"> </w:t>
            </w:r>
            <w:r w:rsidRPr="000D639C">
              <w:rPr>
                <w:rFonts w:eastAsiaTheme="minorHAnsi" w:cs="Calibri"/>
                <w:sz w:val="18"/>
                <w:szCs w:val="18"/>
              </w:rPr>
              <w:t>range prior to the onset of the bloom, and the bloom was initiated much further upstream</w:t>
            </w:r>
            <w:r>
              <w:rPr>
                <w:rFonts w:eastAsiaTheme="minorHAnsi" w:cs="Calibri"/>
                <w:sz w:val="18"/>
                <w:szCs w:val="18"/>
              </w:rPr>
              <w:t xml:space="preserve"> </w:t>
            </w:r>
            <w:r w:rsidRPr="000D639C">
              <w:rPr>
                <w:rFonts w:eastAsiaTheme="minorHAnsi" w:cs="Calibri"/>
                <w:sz w:val="18"/>
                <w:szCs w:val="18"/>
              </w:rPr>
              <w:t xml:space="preserve">than the floodplain connections created by Commonwealth </w:t>
            </w:r>
            <w:r w:rsidR="00D20606">
              <w:rPr>
                <w:rFonts w:eastAsiaTheme="minorHAnsi" w:cs="Calibri"/>
                <w:sz w:val="18"/>
                <w:szCs w:val="18"/>
              </w:rPr>
              <w:t>e</w:t>
            </w:r>
            <w:r w:rsidRPr="000D639C">
              <w:rPr>
                <w:rFonts w:eastAsiaTheme="minorHAnsi" w:cs="Calibri"/>
                <w:sz w:val="18"/>
                <w:szCs w:val="18"/>
              </w:rPr>
              <w:t xml:space="preserve">nvironmental </w:t>
            </w:r>
            <w:r w:rsidR="00D20606">
              <w:rPr>
                <w:rFonts w:eastAsiaTheme="minorHAnsi" w:cs="Calibri"/>
                <w:sz w:val="18"/>
                <w:szCs w:val="18"/>
              </w:rPr>
              <w:t>w</w:t>
            </w:r>
            <w:r w:rsidRPr="000D639C">
              <w:rPr>
                <w:rFonts w:eastAsiaTheme="minorHAnsi" w:cs="Calibri"/>
                <w:sz w:val="18"/>
                <w:szCs w:val="18"/>
              </w:rPr>
              <w:t>ater.</w:t>
            </w:r>
          </w:p>
        </w:tc>
        <w:tc>
          <w:tcPr>
            <w:tcW w:w="2126" w:type="dxa"/>
            <w:tcMar>
              <w:left w:w="57" w:type="dxa"/>
              <w:right w:w="57" w:type="dxa"/>
            </w:tcMar>
          </w:tcPr>
          <w:p w14:paraId="3B4F8940" w14:textId="77777777" w:rsidR="00BB4129" w:rsidRPr="00BB30E9" w:rsidRDefault="00BB4129" w:rsidP="00497F33">
            <w:pPr>
              <w:spacing w:after="0" w:line="240" w:lineRule="auto"/>
              <w:jc w:val="left"/>
              <w:rPr>
                <w:bCs/>
                <w:sz w:val="18"/>
                <w:szCs w:val="18"/>
              </w:rPr>
            </w:pPr>
            <w:r>
              <w:rPr>
                <w:bCs/>
                <w:sz w:val="18"/>
                <w:szCs w:val="18"/>
              </w:rPr>
              <w:t>This evaluation was based on data on bloom conditions throughout the Murray system, in addition to water quality parameters before and during the bloom.</w:t>
            </w:r>
          </w:p>
        </w:tc>
        <w:tc>
          <w:tcPr>
            <w:tcW w:w="2126" w:type="dxa"/>
            <w:vMerge/>
          </w:tcPr>
          <w:p w14:paraId="3B4F8941" w14:textId="77777777" w:rsidR="00BB4129" w:rsidRDefault="00BB4129" w:rsidP="00497F33">
            <w:pPr>
              <w:tabs>
                <w:tab w:val="left" w:pos="9071"/>
              </w:tabs>
              <w:spacing w:after="0" w:line="240" w:lineRule="auto"/>
              <w:ind w:right="-1"/>
              <w:jc w:val="left"/>
              <w:rPr>
                <w:b/>
                <w:color w:val="4F6228" w:themeColor="accent3" w:themeShade="80"/>
                <w:sz w:val="24"/>
                <w:szCs w:val="24"/>
              </w:rPr>
            </w:pPr>
          </w:p>
        </w:tc>
      </w:tr>
      <w:tr w:rsidR="00BB4129" w14:paraId="3B4F8949" w14:textId="77777777" w:rsidTr="00497F33">
        <w:tc>
          <w:tcPr>
            <w:tcW w:w="2405" w:type="dxa"/>
            <w:vMerge/>
            <w:tcMar>
              <w:left w:w="57" w:type="dxa"/>
              <w:right w:w="57" w:type="dxa"/>
            </w:tcMar>
          </w:tcPr>
          <w:p w14:paraId="3B4F8943"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44" w14:textId="77777777" w:rsidR="00BB4129" w:rsidRPr="00956EAE" w:rsidRDefault="00BB4129"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45" w14:textId="77777777" w:rsidR="00BB4129" w:rsidRPr="00BB4129" w:rsidRDefault="00BB4129" w:rsidP="00497F33">
            <w:pPr>
              <w:spacing w:after="0" w:line="240" w:lineRule="auto"/>
              <w:jc w:val="left"/>
              <w:rPr>
                <w:rFonts w:cs="Calibri"/>
                <w:i/>
                <w:sz w:val="20"/>
              </w:rPr>
            </w:pPr>
            <w:r w:rsidRPr="00BB4129">
              <w:rPr>
                <w:rFonts w:cs="Calibri"/>
                <w:i/>
                <w:sz w:val="20"/>
              </w:rPr>
              <w:t>How did the algal bloom impact water quality in the Edward Wakool system?</w:t>
            </w:r>
          </w:p>
        </w:tc>
        <w:tc>
          <w:tcPr>
            <w:tcW w:w="2835" w:type="dxa"/>
            <w:tcMar>
              <w:left w:w="57" w:type="dxa"/>
              <w:right w:w="57" w:type="dxa"/>
            </w:tcMar>
          </w:tcPr>
          <w:p w14:paraId="3B4F8946" w14:textId="77777777" w:rsidR="00BB4129" w:rsidRPr="00D977AE" w:rsidRDefault="00BB4129" w:rsidP="00497F33">
            <w:pPr>
              <w:autoSpaceDE w:val="0"/>
              <w:autoSpaceDN w:val="0"/>
              <w:adjustRightInd w:val="0"/>
              <w:spacing w:after="0" w:line="240" w:lineRule="auto"/>
              <w:jc w:val="left"/>
              <w:rPr>
                <w:b/>
                <w:color w:val="4F6228" w:themeColor="accent3" w:themeShade="80"/>
                <w:sz w:val="18"/>
                <w:szCs w:val="18"/>
              </w:rPr>
            </w:pPr>
            <w:r w:rsidRPr="00D977AE">
              <w:rPr>
                <w:rFonts w:eastAsiaTheme="minorHAnsi" w:cs="Calibri"/>
                <w:sz w:val="18"/>
                <w:szCs w:val="18"/>
              </w:rPr>
              <w:t>The algal bloom caused an increase in Total Nitrogen and Total Phosphorus in the water column through efficient nitrogen fixation from the atmosphere and phosphorus scavenging from the aquatic environment. It dramatically changed the organic matter profile with a shift to much higher proportions of particulate organic matter and the dissolved organic matter became dominated by small molecules</w:t>
            </w:r>
            <w:r>
              <w:rPr>
                <w:rFonts w:eastAsiaTheme="minorHAnsi" w:cs="Calibri"/>
                <w:sz w:val="18"/>
                <w:szCs w:val="18"/>
              </w:rPr>
              <w:t>.</w:t>
            </w:r>
            <w:r w:rsidRPr="00D977AE">
              <w:rPr>
                <w:rFonts w:eastAsiaTheme="minorHAnsi" w:cs="Calibri"/>
                <w:sz w:val="18"/>
                <w:szCs w:val="18"/>
              </w:rPr>
              <w:t xml:space="preserve"> Average dissolved oxygen shifted to supersaturated concentrations and pH moved into the basic region, both with wide diurnal fluctuations during the peak of the bloom</w:t>
            </w:r>
            <w:r>
              <w:rPr>
                <w:rFonts w:eastAsiaTheme="minorHAnsi" w:cs="Calibri"/>
                <w:sz w:val="18"/>
                <w:szCs w:val="18"/>
              </w:rPr>
              <w:t>.</w:t>
            </w:r>
            <w:r w:rsidRPr="00D977AE">
              <w:rPr>
                <w:rFonts w:eastAsiaTheme="minorHAnsi" w:cs="Calibri"/>
                <w:sz w:val="18"/>
                <w:szCs w:val="18"/>
              </w:rPr>
              <w:t xml:space="preserve"> Turbidity was dominated by algal cells during the bloom, limiting the light available for other species.</w:t>
            </w:r>
          </w:p>
        </w:tc>
        <w:tc>
          <w:tcPr>
            <w:tcW w:w="2126" w:type="dxa"/>
            <w:tcMar>
              <w:left w:w="57" w:type="dxa"/>
              <w:right w:w="57" w:type="dxa"/>
            </w:tcMar>
          </w:tcPr>
          <w:p w14:paraId="3B4F8947" w14:textId="77777777" w:rsidR="00BB4129" w:rsidRPr="00BB30E9" w:rsidRDefault="00BB4129" w:rsidP="00497F33">
            <w:pPr>
              <w:spacing w:after="0" w:line="240" w:lineRule="auto"/>
              <w:jc w:val="left"/>
              <w:rPr>
                <w:bCs/>
                <w:sz w:val="18"/>
                <w:szCs w:val="18"/>
              </w:rPr>
            </w:pPr>
            <w:r>
              <w:rPr>
                <w:bCs/>
                <w:sz w:val="18"/>
                <w:szCs w:val="18"/>
              </w:rPr>
              <w:t>Water quality parameters changed dramatically during the bloom and all measured parameters were used together to assess the impact of the bloom. Spectroscopic analysis showed a shift in organic carbon type.</w:t>
            </w:r>
          </w:p>
        </w:tc>
        <w:tc>
          <w:tcPr>
            <w:tcW w:w="2126" w:type="dxa"/>
            <w:vMerge/>
          </w:tcPr>
          <w:p w14:paraId="3B4F8948" w14:textId="77777777" w:rsidR="00BB4129" w:rsidRDefault="00BB4129" w:rsidP="00497F33">
            <w:pPr>
              <w:tabs>
                <w:tab w:val="left" w:pos="9071"/>
              </w:tabs>
              <w:spacing w:after="0" w:line="240" w:lineRule="auto"/>
              <w:ind w:right="-1"/>
              <w:jc w:val="left"/>
              <w:rPr>
                <w:b/>
                <w:color w:val="4F6228" w:themeColor="accent3" w:themeShade="80"/>
                <w:sz w:val="24"/>
                <w:szCs w:val="24"/>
              </w:rPr>
            </w:pPr>
          </w:p>
        </w:tc>
      </w:tr>
    </w:tbl>
    <w:p w14:paraId="3B4F894A" w14:textId="77777777" w:rsidR="00BB4129" w:rsidRDefault="00BB4129" w:rsidP="00442A0E">
      <w:pPr>
        <w:spacing w:after="0" w:line="240" w:lineRule="auto"/>
        <w:jc w:val="left"/>
        <w:rPr>
          <w:b/>
          <w:color w:val="4F6228" w:themeColor="accent3" w:themeShade="80"/>
          <w:sz w:val="36"/>
          <w:szCs w:val="36"/>
        </w:rPr>
        <w:sectPr w:rsidR="00BB4129" w:rsidSect="00956EAE">
          <w:pgSz w:w="16838" w:h="11906" w:orient="landscape"/>
          <w:pgMar w:top="1701" w:right="1440" w:bottom="1701" w:left="1440" w:header="709" w:footer="709" w:gutter="0"/>
          <w:cols w:space="708"/>
          <w:docGrid w:linePitch="360"/>
        </w:sectPr>
      </w:pPr>
    </w:p>
    <w:p w14:paraId="3B4F894B" w14:textId="77777777" w:rsidR="00D83954" w:rsidRPr="00981345" w:rsidRDefault="0075648F" w:rsidP="00417F7C">
      <w:pPr>
        <w:pStyle w:val="Heading1"/>
      </w:pPr>
      <w:bookmarkStart w:id="26" w:name="_Toc484078408"/>
      <w:r>
        <w:lastRenderedPageBreak/>
        <w:t>Summary of stream metabolism responses to</w:t>
      </w:r>
      <w:r w:rsidR="00D83954">
        <w:t xml:space="preserve"> </w:t>
      </w:r>
      <w:r w:rsidR="00743D43">
        <w:t>C</w:t>
      </w:r>
      <w:r w:rsidR="00D83954" w:rsidRPr="00981345">
        <w:t xml:space="preserve">ommonwealth environmental </w:t>
      </w:r>
      <w:r w:rsidR="00D83954">
        <w:t>wate</w:t>
      </w:r>
      <w:r w:rsidR="00256D83">
        <w:t>ring</w:t>
      </w:r>
      <w:bookmarkEnd w:id="26"/>
    </w:p>
    <w:p w14:paraId="3B4F894C" w14:textId="77777777" w:rsidR="00256D83" w:rsidRDefault="00256D83" w:rsidP="00256D83">
      <w:pPr>
        <w:spacing w:after="0" w:line="240" w:lineRule="auto"/>
        <w:jc w:val="left"/>
        <w:rPr>
          <w:color w:val="4F6228" w:themeColor="accent3" w:themeShade="80"/>
          <w:szCs w:val="22"/>
        </w:rPr>
      </w:pPr>
    </w:p>
    <w:p w14:paraId="3B4F894D" w14:textId="77777777" w:rsidR="00256D83" w:rsidRPr="00256D83" w:rsidRDefault="00B13448" w:rsidP="00256D83">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6</w:t>
      </w:r>
      <w:r w:rsidR="00256D83" w:rsidRPr="00256D83">
        <w:rPr>
          <w:b/>
          <w:color w:val="4F6228" w:themeColor="accent3" w:themeShade="80"/>
          <w:sz w:val="24"/>
          <w:szCs w:val="24"/>
        </w:rPr>
        <w:t>.1 Monitoring</w:t>
      </w:r>
    </w:p>
    <w:p w14:paraId="3B4F894E" w14:textId="703A595B" w:rsidR="00786A66" w:rsidRDefault="00256D83" w:rsidP="00256D83">
      <w:pPr>
        <w:pStyle w:val="ListBullet"/>
        <w:spacing w:after="240" w:line="320" w:lineRule="exact"/>
        <w:jc w:val="left"/>
        <w:rPr>
          <w:rFonts w:cs="Calibri"/>
          <w:sz w:val="22"/>
          <w:szCs w:val="22"/>
        </w:rPr>
      </w:pPr>
      <w:r>
        <w:rPr>
          <w:rFonts w:cs="Calibri"/>
          <w:sz w:val="22"/>
          <w:szCs w:val="22"/>
        </w:rPr>
        <w:t xml:space="preserve">Monitoring of dissolved oxygen concentrations, water temperature and incident solar irradiance was performed at ten minute intervals over the period from mid-August 2015 until early April 2016 at seven sites in four </w:t>
      </w:r>
      <w:r w:rsidR="00DF3CD4">
        <w:rPr>
          <w:rFonts w:cs="Calibri"/>
          <w:sz w:val="22"/>
          <w:szCs w:val="22"/>
        </w:rPr>
        <w:t xml:space="preserve">hydrological </w:t>
      </w:r>
      <w:r>
        <w:rPr>
          <w:rFonts w:cs="Calibri"/>
          <w:sz w:val="22"/>
          <w:szCs w:val="22"/>
        </w:rPr>
        <w:t xml:space="preserve">zones within the Edward-Wakool system. </w:t>
      </w:r>
      <w:r w:rsidR="00786A66">
        <w:rPr>
          <w:rFonts w:cs="Calibri"/>
          <w:sz w:val="22"/>
          <w:szCs w:val="22"/>
        </w:rPr>
        <w:t xml:space="preserve">There was a logger at the upstream and downstream end of each of </w:t>
      </w:r>
      <w:r w:rsidR="00786A66" w:rsidRPr="00786A66">
        <w:rPr>
          <w:rFonts w:cs="Calibri"/>
          <w:sz w:val="22"/>
          <w:szCs w:val="22"/>
        </w:rPr>
        <w:t>zones 1, 3 and 4, and a logger at the downstream end of zone 2</w:t>
      </w:r>
      <w:r w:rsidR="005F2B8A">
        <w:rPr>
          <w:rFonts w:cs="Calibri"/>
          <w:sz w:val="22"/>
          <w:szCs w:val="22"/>
        </w:rPr>
        <w:t>.</w:t>
      </w:r>
    </w:p>
    <w:p w14:paraId="3B4F894F" w14:textId="77777777" w:rsidR="00786A66" w:rsidRDefault="00786A66" w:rsidP="00256D83">
      <w:pPr>
        <w:pStyle w:val="ListBullet"/>
        <w:spacing w:after="240" w:line="320" w:lineRule="exact"/>
        <w:jc w:val="left"/>
        <w:rPr>
          <w:rFonts w:cs="Calibri"/>
          <w:sz w:val="22"/>
          <w:szCs w:val="22"/>
        </w:rPr>
      </w:pPr>
    </w:p>
    <w:p w14:paraId="3B4F8950" w14:textId="77777777" w:rsidR="00256D83" w:rsidRPr="00316975" w:rsidRDefault="00256D83" w:rsidP="00256D83">
      <w:pPr>
        <w:pStyle w:val="ListBullet"/>
        <w:spacing w:after="240" w:line="320" w:lineRule="exact"/>
        <w:jc w:val="left"/>
        <w:rPr>
          <w:sz w:val="22"/>
          <w:szCs w:val="22"/>
        </w:rPr>
      </w:pPr>
      <w:r>
        <w:rPr>
          <w:rFonts w:cs="Calibri"/>
          <w:sz w:val="22"/>
          <w:szCs w:val="22"/>
        </w:rPr>
        <w:t xml:space="preserve">Stream metabolism parameters – Gross Primary Production (GPP) and Ecosystem Respiration (ER) - were estimated on a daily basis using the BASEv2 </w:t>
      </w:r>
      <w:r w:rsidRPr="00786A66">
        <w:rPr>
          <w:rFonts w:cs="Calibri"/>
          <w:sz w:val="22"/>
          <w:szCs w:val="22"/>
        </w:rPr>
        <w:t>model</w:t>
      </w:r>
      <w:r w:rsidR="00786A66" w:rsidRPr="00786A66">
        <w:rPr>
          <w:rFonts w:cs="Calibri"/>
          <w:sz w:val="22"/>
          <w:szCs w:val="22"/>
        </w:rPr>
        <w:t xml:space="preserve"> (</w:t>
      </w:r>
      <w:r w:rsidR="00786A66" w:rsidRPr="00786A66">
        <w:rPr>
          <w:sz w:val="22"/>
          <w:szCs w:val="22"/>
        </w:rPr>
        <w:t>Song et al. 2016)</w:t>
      </w:r>
      <w:r w:rsidRPr="00786A66">
        <w:rPr>
          <w:rFonts w:cs="Calibri"/>
          <w:sz w:val="22"/>
          <w:szCs w:val="22"/>
        </w:rPr>
        <w:t>. Model</w:t>
      </w:r>
      <w:r>
        <w:rPr>
          <w:rFonts w:cs="Calibri"/>
          <w:sz w:val="22"/>
          <w:szCs w:val="22"/>
        </w:rPr>
        <w:t xml:space="preserve"> fits that met LTIM-agreed acceptance criteria were then used for </w:t>
      </w:r>
      <w:r w:rsidR="0075648F">
        <w:rPr>
          <w:rFonts w:cs="Calibri"/>
          <w:sz w:val="22"/>
          <w:szCs w:val="22"/>
        </w:rPr>
        <w:t xml:space="preserve">describing stream metabolism, and for </w:t>
      </w:r>
      <w:r>
        <w:rPr>
          <w:rFonts w:cs="Calibri"/>
          <w:sz w:val="22"/>
          <w:szCs w:val="22"/>
        </w:rPr>
        <w:t xml:space="preserve">assessing effects of watering events and other environmental factors </w:t>
      </w:r>
      <w:r w:rsidR="0075648F">
        <w:rPr>
          <w:rFonts w:cs="Calibri"/>
          <w:sz w:val="22"/>
          <w:szCs w:val="22"/>
        </w:rPr>
        <w:t>(</w:t>
      </w:r>
      <w:r>
        <w:rPr>
          <w:rFonts w:cs="Calibri"/>
          <w:sz w:val="22"/>
          <w:szCs w:val="22"/>
        </w:rPr>
        <w:t>e.g. season</w:t>
      </w:r>
      <w:r w:rsidR="0075648F">
        <w:rPr>
          <w:rFonts w:cs="Calibri"/>
          <w:sz w:val="22"/>
          <w:szCs w:val="22"/>
        </w:rPr>
        <w:t>)</w:t>
      </w:r>
      <w:r>
        <w:rPr>
          <w:rFonts w:cs="Calibri"/>
          <w:sz w:val="22"/>
          <w:szCs w:val="22"/>
        </w:rPr>
        <w:t>.</w:t>
      </w:r>
    </w:p>
    <w:p w14:paraId="3B4F8951" w14:textId="77777777" w:rsidR="00256D83" w:rsidRPr="00256D83" w:rsidRDefault="005F2B8A" w:rsidP="00256D83">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6</w:t>
      </w:r>
      <w:r w:rsidR="00256D83" w:rsidRPr="00256D83">
        <w:rPr>
          <w:b/>
          <w:color w:val="4F6228" w:themeColor="accent3" w:themeShade="80"/>
          <w:sz w:val="24"/>
          <w:szCs w:val="24"/>
        </w:rPr>
        <w:t>.2 Main findings</w:t>
      </w:r>
    </w:p>
    <w:p w14:paraId="3B4F8952" w14:textId="0982DF17" w:rsidR="003D5507" w:rsidRDefault="003D5507" w:rsidP="003D5507">
      <w:pPr>
        <w:autoSpaceDE w:val="0"/>
        <w:autoSpaceDN w:val="0"/>
        <w:adjustRightInd w:val="0"/>
        <w:spacing w:after="240" w:line="320" w:lineRule="exact"/>
        <w:jc w:val="left"/>
        <w:rPr>
          <w:szCs w:val="22"/>
        </w:rPr>
      </w:pPr>
      <w:r>
        <w:rPr>
          <w:szCs w:val="22"/>
        </w:rPr>
        <w:t xml:space="preserve">This section provides a summary of the main responses to Commonwealth environmental watering in the Edward-Wakool system in 2015-16. Detailed findings are presented in </w:t>
      </w:r>
      <w:r w:rsidRPr="0088257B">
        <w:rPr>
          <w:szCs w:val="22"/>
        </w:rPr>
        <w:t xml:space="preserve">Appendix </w:t>
      </w:r>
      <w:r w:rsidR="0088257B" w:rsidRPr="0088257B">
        <w:rPr>
          <w:szCs w:val="22"/>
        </w:rPr>
        <w:t>B</w:t>
      </w:r>
      <w:r w:rsidRPr="0088257B">
        <w:rPr>
          <w:szCs w:val="22"/>
        </w:rPr>
        <w:t>.</w:t>
      </w:r>
      <w:r>
        <w:rPr>
          <w:szCs w:val="22"/>
        </w:rPr>
        <w:t xml:space="preserve"> </w:t>
      </w:r>
    </w:p>
    <w:p w14:paraId="3B4F8953" w14:textId="4B87D516" w:rsidR="00256D83" w:rsidRDefault="00256D83" w:rsidP="00256D83">
      <w:pPr>
        <w:pStyle w:val="ListBullet"/>
        <w:spacing w:after="240" w:line="320" w:lineRule="exact"/>
        <w:contextualSpacing w:val="0"/>
        <w:jc w:val="left"/>
        <w:rPr>
          <w:sz w:val="22"/>
          <w:szCs w:val="22"/>
        </w:rPr>
      </w:pPr>
      <w:r>
        <w:rPr>
          <w:sz w:val="22"/>
          <w:szCs w:val="22"/>
        </w:rPr>
        <w:t xml:space="preserve">A total of 676 separate daily estimates of GPP and ER were </w:t>
      </w:r>
      <w:r w:rsidR="00425453">
        <w:rPr>
          <w:sz w:val="22"/>
          <w:szCs w:val="22"/>
        </w:rPr>
        <w:t xml:space="preserve">obtained from </w:t>
      </w:r>
      <w:r w:rsidR="00DF3CD4">
        <w:rPr>
          <w:sz w:val="22"/>
          <w:szCs w:val="22"/>
        </w:rPr>
        <w:t>the</w:t>
      </w:r>
      <w:r>
        <w:rPr>
          <w:sz w:val="22"/>
          <w:szCs w:val="22"/>
        </w:rPr>
        <w:t xml:space="preserve"> seven sites. This corresponds to a 45% acceptance rate for daily data – modelled fits to the rest of the data did not meet LT</w:t>
      </w:r>
      <w:r w:rsidR="00945A47">
        <w:rPr>
          <w:sz w:val="22"/>
          <w:szCs w:val="22"/>
        </w:rPr>
        <w:t>IM acceptance criteria. Figure 6</w:t>
      </w:r>
      <w:r>
        <w:rPr>
          <w:sz w:val="22"/>
          <w:szCs w:val="22"/>
        </w:rPr>
        <w:t xml:space="preserve">.1 displays the summary of GPP values </w:t>
      </w:r>
      <w:r w:rsidR="00425453">
        <w:rPr>
          <w:sz w:val="22"/>
          <w:szCs w:val="22"/>
        </w:rPr>
        <w:t>observed</w:t>
      </w:r>
      <w:r>
        <w:rPr>
          <w:sz w:val="22"/>
          <w:szCs w:val="22"/>
        </w:rPr>
        <w:t xml:space="preserve"> </w:t>
      </w:r>
      <w:r w:rsidR="00425453">
        <w:rPr>
          <w:sz w:val="22"/>
          <w:szCs w:val="22"/>
        </w:rPr>
        <w:t>on</w:t>
      </w:r>
      <w:r>
        <w:rPr>
          <w:sz w:val="22"/>
          <w:szCs w:val="22"/>
        </w:rPr>
        <w:t xml:space="preserve"> these 676 days. </w:t>
      </w:r>
    </w:p>
    <w:p w14:paraId="3B4F8954" w14:textId="2D1E16EC" w:rsidR="005F2B8A" w:rsidRPr="00F62416" w:rsidRDefault="005F2B8A" w:rsidP="005F2B8A">
      <w:pPr>
        <w:pStyle w:val="ListBullet"/>
        <w:spacing w:after="240" w:line="320" w:lineRule="exact"/>
        <w:contextualSpacing w:val="0"/>
        <w:jc w:val="left"/>
        <w:rPr>
          <w:rFonts w:cs="Calibri"/>
          <w:sz w:val="22"/>
          <w:szCs w:val="22"/>
        </w:rPr>
      </w:pPr>
      <w:r>
        <w:rPr>
          <w:rFonts w:cs="Calibri"/>
          <w:sz w:val="22"/>
          <w:szCs w:val="22"/>
        </w:rPr>
        <w:t>Median GPP rates (represented by the horizontal middle line within each ‘box’) were relatively consistent across 6 of the 7 sites (Figure 6.1). The higher value for Zone 3 upstream was due to that site not having any data during springtime (in</w:t>
      </w:r>
      <w:r w:rsidR="00F03A5C">
        <w:rPr>
          <w:rFonts w:cs="Calibri"/>
          <w:sz w:val="22"/>
          <w:szCs w:val="22"/>
        </w:rPr>
        <w:t xml:space="preserve"> contrast to all other sites). Lower GPP rates have been previously observed during spring (Watts et al. 2015). </w:t>
      </w:r>
      <w:r>
        <w:rPr>
          <w:rFonts w:cs="Calibri"/>
          <w:sz w:val="22"/>
          <w:szCs w:val="22"/>
        </w:rPr>
        <w:t xml:space="preserve">The key point is that </w:t>
      </w:r>
      <w:r w:rsidR="00F03A5C">
        <w:rPr>
          <w:rFonts w:cs="Calibri"/>
          <w:sz w:val="22"/>
          <w:szCs w:val="22"/>
        </w:rPr>
        <w:t xml:space="preserve">GPP </w:t>
      </w:r>
      <w:r>
        <w:rPr>
          <w:rFonts w:cs="Calibri"/>
          <w:sz w:val="22"/>
          <w:szCs w:val="22"/>
        </w:rPr>
        <w:t>rates are at the lower end of the normal range found in river systems throughout the world (typically 3 to 10 mg O</w:t>
      </w:r>
      <w:r>
        <w:rPr>
          <w:rFonts w:cs="Calibri"/>
          <w:sz w:val="22"/>
          <w:szCs w:val="22"/>
          <w:vertAlign w:val="subscript"/>
        </w:rPr>
        <w:t>2</w:t>
      </w:r>
      <w:r w:rsidRPr="005F2B8A">
        <w:rPr>
          <w:rFonts w:cs="Calibri"/>
          <w:sz w:val="22"/>
          <w:szCs w:val="22"/>
        </w:rPr>
        <w:t>.</w:t>
      </w:r>
      <w:r>
        <w:rPr>
          <w:rFonts w:cs="Calibri"/>
          <w:sz w:val="22"/>
          <w:szCs w:val="22"/>
        </w:rPr>
        <w:t>L</w:t>
      </w:r>
      <w:r w:rsidRPr="00256D83">
        <w:rPr>
          <w:rFonts w:cs="Calibri"/>
          <w:sz w:val="22"/>
          <w:szCs w:val="22"/>
          <w:vertAlign w:val="superscript"/>
        </w:rPr>
        <w:t>-1</w:t>
      </w:r>
      <w:r>
        <w:rPr>
          <w:rFonts w:cs="Calibri"/>
          <w:sz w:val="22"/>
          <w:szCs w:val="22"/>
        </w:rPr>
        <w:t>.d</w:t>
      </w:r>
      <w:r w:rsidRPr="00256D83">
        <w:rPr>
          <w:rFonts w:cs="Calibri"/>
          <w:sz w:val="22"/>
          <w:szCs w:val="22"/>
          <w:vertAlign w:val="superscript"/>
        </w:rPr>
        <w:t>-1</w:t>
      </w:r>
      <w:r>
        <w:rPr>
          <w:rFonts w:cs="Calibri"/>
          <w:sz w:val="22"/>
          <w:szCs w:val="22"/>
        </w:rPr>
        <w:t xml:space="preserve">)(Lamberti and Steinman 1997). It is highly likely that </w:t>
      </w:r>
      <w:r w:rsidR="00DF3CD4">
        <w:rPr>
          <w:rFonts w:cs="Calibri"/>
          <w:sz w:val="22"/>
          <w:szCs w:val="22"/>
        </w:rPr>
        <w:t>rates of GPP in the</w:t>
      </w:r>
      <w:r>
        <w:rPr>
          <w:rFonts w:cs="Calibri"/>
          <w:sz w:val="22"/>
          <w:szCs w:val="22"/>
        </w:rPr>
        <w:t xml:space="preserve"> Edward-Wakool </w:t>
      </w:r>
      <w:r w:rsidR="00DF3CD4">
        <w:rPr>
          <w:rFonts w:cs="Calibri"/>
          <w:sz w:val="22"/>
          <w:szCs w:val="22"/>
        </w:rPr>
        <w:t>system</w:t>
      </w:r>
      <w:r>
        <w:rPr>
          <w:rFonts w:cs="Calibri"/>
          <w:sz w:val="22"/>
          <w:szCs w:val="22"/>
        </w:rPr>
        <w:t xml:space="preserve"> are constrained by the low bioavailable nutrient concentrations. The high ‘outliers’, shown as circles in the plot, indicate that when conditions are conducive for primary production, rates can be at or above the high end of global normal rates. Ecosystem Respiration showed a similar response (Appendix B). </w:t>
      </w:r>
    </w:p>
    <w:p w14:paraId="3B4F8955" w14:textId="77777777" w:rsidR="005F2B8A" w:rsidRDefault="005F2B8A" w:rsidP="00256D83">
      <w:pPr>
        <w:pStyle w:val="ListBullet"/>
        <w:spacing w:after="240" w:line="320" w:lineRule="exact"/>
        <w:contextualSpacing w:val="0"/>
        <w:jc w:val="left"/>
        <w:rPr>
          <w:sz w:val="22"/>
          <w:szCs w:val="22"/>
        </w:rPr>
      </w:pPr>
    </w:p>
    <w:bookmarkStart w:id="27" w:name="_MON_1536337610"/>
    <w:bookmarkEnd w:id="27"/>
    <w:p w14:paraId="3B4F8956" w14:textId="77777777" w:rsidR="00256D83" w:rsidRDefault="00C11B36" w:rsidP="00256D83">
      <w:pPr>
        <w:spacing w:after="0" w:line="240" w:lineRule="auto"/>
        <w:jc w:val="center"/>
      </w:pPr>
      <w:r>
        <w:object w:dxaOrig="8504" w:dyaOrig="7136" w14:anchorId="3B4F9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357pt" o:ole="">
            <v:imagedata r:id="rId50" o:title=""/>
          </v:shape>
          <o:OLEObject Type="Embed" ProgID="Word.Document.12" ShapeID="_x0000_i1025" DrawAspect="Content" ObjectID="_1558256727" r:id="rId51">
            <o:FieldCodes>\s</o:FieldCodes>
          </o:OLEObject>
        </w:object>
      </w:r>
    </w:p>
    <w:p w14:paraId="3B4F8957" w14:textId="77777777" w:rsidR="00256D83" w:rsidRPr="00720F92" w:rsidRDefault="005F2B8A" w:rsidP="00256D83">
      <w:pPr>
        <w:spacing w:after="120" w:line="240" w:lineRule="auto"/>
        <w:rPr>
          <w:sz w:val="20"/>
        </w:rPr>
      </w:pPr>
      <w:r>
        <w:rPr>
          <w:b/>
          <w:sz w:val="20"/>
        </w:rPr>
        <w:t>Figure 6</w:t>
      </w:r>
      <w:r w:rsidR="00256D83">
        <w:rPr>
          <w:b/>
          <w:sz w:val="20"/>
        </w:rPr>
        <w:t>.1</w:t>
      </w:r>
      <w:r w:rsidR="00256D83" w:rsidRPr="00720F92">
        <w:rPr>
          <w:b/>
          <w:sz w:val="20"/>
        </w:rPr>
        <w:t>.</w:t>
      </w:r>
      <w:r w:rsidR="00256D83" w:rsidRPr="00720F92">
        <w:rPr>
          <w:sz w:val="20"/>
        </w:rPr>
        <w:t xml:space="preserve"> </w:t>
      </w:r>
      <w:r w:rsidR="00256D83">
        <w:rPr>
          <w:sz w:val="20"/>
        </w:rPr>
        <w:t xml:space="preserve">Box Plot Summary of Daily GPP rates across all seven sites (4 zones) from August 2015 until April 2016. </w:t>
      </w:r>
    </w:p>
    <w:p w14:paraId="3B4F8958" w14:textId="77777777" w:rsidR="005F2B8A" w:rsidRDefault="00495171" w:rsidP="00256D83">
      <w:pPr>
        <w:pStyle w:val="ListBullet"/>
        <w:spacing w:after="240" w:line="320" w:lineRule="exact"/>
        <w:contextualSpacing w:val="0"/>
        <w:jc w:val="left"/>
        <w:rPr>
          <w:sz w:val="22"/>
          <w:szCs w:val="22"/>
        </w:rPr>
      </w:pPr>
      <w:r>
        <w:rPr>
          <w:sz w:val="22"/>
          <w:szCs w:val="22"/>
        </w:rPr>
        <w:t xml:space="preserve">There was </w:t>
      </w:r>
      <w:r w:rsidR="00256D83">
        <w:rPr>
          <w:sz w:val="22"/>
          <w:szCs w:val="22"/>
        </w:rPr>
        <w:t xml:space="preserve">no </w:t>
      </w:r>
      <w:r w:rsidR="005F2B8A">
        <w:rPr>
          <w:sz w:val="22"/>
          <w:szCs w:val="22"/>
        </w:rPr>
        <w:t xml:space="preserve">consistent </w:t>
      </w:r>
      <w:r w:rsidR="00256D83">
        <w:rPr>
          <w:sz w:val="22"/>
          <w:szCs w:val="22"/>
        </w:rPr>
        <w:t>effect of Commonwealth environmental water on rates of GPP or ER detected</w:t>
      </w:r>
      <w:r>
        <w:rPr>
          <w:sz w:val="22"/>
          <w:szCs w:val="22"/>
        </w:rPr>
        <w:t>, perhaps largely due to the relatively low variance in discharge through most of the monitoring period</w:t>
      </w:r>
      <w:r w:rsidR="00256D83">
        <w:rPr>
          <w:sz w:val="22"/>
          <w:szCs w:val="22"/>
        </w:rPr>
        <w:t xml:space="preserve">. </w:t>
      </w:r>
      <w:r w:rsidR="00AB7D51">
        <w:rPr>
          <w:sz w:val="22"/>
          <w:szCs w:val="22"/>
        </w:rPr>
        <w:t>However the</w:t>
      </w:r>
      <w:r w:rsidR="005F2B8A">
        <w:rPr>
          <w:sz w:val="22"/>
          <w:szCs w:val="22"/>
        </w:rPr>
        <w:t xml:space="preserve"> absence of a predictable response to environmental watering may be due to other factors, such as variability in wetted benthic area under environmental watering. The Wakool River zone 3 that had the highest median GPP in 2015-16 (Figure 6.1) also had the largest increase in wetted benthic area under the Yallakool Creek environmental watering action (section 4 and Watts et al</w:t>
      </w:r>
      <w:r w:rsidR="004762DE">
        <w:rPr>
          <w:sz w:val="22"/>
          <w:szCs w:val="22"/>
        </w:rPr>
        <w:t>.</w:t>
      </w:r>
      <w:r w:rsidR="005F2B8A">
        <w:rPr>
          <w:sz w:val="22"/>
          <w:szCs w:val="22"/>
        </w:rPr>
        <w:t xml:space="preserve"> 2015b).</w:t>
      </w:r>
    </w:p>
    <w:p w14:paraId="3B4F8959" w14:textId="766227B5" w:rsidR="00256D83" w:rsidRDefault="00F03A5C" w:rsidP="00256D83">
      <w:pPr>
        <w:pStyle w:val="ListBullet"/>
        <w:spacing w:after="240" w:line="320" w:lineRule="exact"/>
        <w:contextualSpacing w:val="0"/>
        <w:jc w:val="left"/>
        <w:rPr>
          <w:rStyle w:val="CommentReference"/>
          <w:rFonts w:ascii="Arial" w:hAnsi="Arial"/>
        </w:rPr>
      </w:pPr>
      <w:r>
        <w:rPr>
          <w:sz w:val="22"/>
          <w:szCs w:val="22"/>
        </w:rPr>
        <w:t>T</w:t>
      </w:r>
      <w:r w:rsidR="00AB7D51">
        <w:rPr>
          <w:sz w:val="22"/>
          <w:szCs w:val="22"/>
        </w:rPr>
        <w:t xml:space="preserve">he rates of GPP and ER are at the lower end of the normal range </w:t>
      </w:r>
      <w:r w:rsidR="00AB7D51">
        <w:rPr>
          <w:rFonts w:cs="Calibri"/>
          <w:sz w:val="22"/>
          <w:szCs w:val="22"/>
        </w:rPr>
        <w:t>observed in river systems throughout the world</w:t>
      </w:r>
      <w:r>
        <w:rPr>
          <w:rFonts w:cs="Calibri"/>
          <w:sz w:val="22"/>
          <w:szCs w:val="22"/>
        </w:rPr>
        <w:t xml:space="preserve">. More variable in-channel flows, including </w:t>
      </w:r>
      <w:r w:rsidR="00AB7D51">
        <w:rPr>
          <w:rFonts w:cs="Calibri"/>
          <w:sz w:val="22"/>
          <w:szCs w:val="22"/>
        </w:rPr>
        <w:t>larger environmental flow events</w:t>
      </w:r>
      <w:r>
        <w:rPr>
          <w:rFonts w:cs="Calibri"/>
          <w:sz w:val="22"/>
          <w:szCs w:val="22"/>
        </w:rPr>
        <w:t>,</w:t>
      </w:r>
      <w:r w:rsidR="00AB7D51">
        <w:rPr>
          <w:rFonts w:cs="Calibri"/>
          <w:sz w:val="22"/>
          <w:szCs w:val="22"/>
        </w:rPr>
        <w:t xml:space="preserve"> </w:t>
      </w:r>
      <w:r>
        <w:rPr>
          <w:rFonts w:cs="Calibri"/>
          <w:sz w:val="22"/>
          <w:szCs w:val="22"/>
        </w:rPr>
        <w:t>would result</w:t>
      </w:r>
      <w:r w:rsidR="00AB7D51">
        <w:rPr>
          <w:rFonts w:cs="Calibri"/>
          <w:sz w:val="22"/>
          <w:szCs w:val="22"/>
        </w:rPr>
        <w:t xml:space="preserve"> in greater connection with instream features and low lying part of the floodplain </w:t>
      </w:r>
      <w:r>
        <w:rPr>
          <w:sz w:val="22"/>
          <w:szCs w:val="22"/>
        </w:rPr>
        <w:t>and would</w:t>
      </w:r>
      <w:r w:rsidR="00AB7D51">
        <w:rPr>
          <w:sz w:val="22"/>
          <w:szCs w:val="22"/>
        </w:rPr>
        <w:t xml:space="preserve"> stimulate these</w:t>
      </w:r>
      <w:r w:rsidR="00256D83">
        <w:rPr>
          <w:sz w:val="22"/>
          <w:szCs w:val="22"/>
        </w:rPr>
        <w:t xml:space="preserve"> essentia</w:t>
      </w:r>
      <w:r w:rsidR="00256D83" w:rsidRPr="005F2B8A">
        <w:rPr>
          <w:rFonts w:asciiTheme="minorHAnsi" w:hAnsiTheme="minorHAnsi"/>
          <w:sz w:val="22"/>
          <w:szCs w:val="22"/>
        </w:rPr>
        <w:t xml:space="preserve">l processes underpinning aquatic foodwebs. </w:t>
      </w:r>
      <w:r w:rsidR="00256D83" w:rsidRPr="005F2B8A">
        <w:rPr>
          <w:rFonts w:asciiTheme="minorHAnsi" w:hAnsiTheme="minorHAnsi"/>
          <w:iCs/>
          <w:sz w:val="22"/>
          <w:szCs w:val="22"/>
        </w:rPr>
        <w:t xml:space="preserve">It is therefore recommended that, if possible, there is </w:t>
      </w:r>
      <w:r w:rsidR="00AB7D51">
        <w:rPr>
          <w:rFonts w:asciiTheme="minorHAnsi" w:hAnsiTheme="minorHAnsi"/>
          <w:iCs/>
          <w:sz w:val="22"/>
          <w:szCs w:val="22"/>
        </w:rPr>
        <w:t>greater</w:t>
      </w:r>
      <w:r w:rsidR="00256D83" w:rsidRPr="005F2B8A">
        <w:rPr>
          <w:rFonts w:asciiTheme="minorHAnsi" w:hAnsiTheme="minorHAnsi"/>
          <w:iCs/>
          <w:sz w:val="22"/>
          <w:szCs w:val="22"/>
        </w:rPr>
        <w:t xml:space="preserve"> variation in stream flow during subsequent years of the LTIM </w:t>
      </w:r>
      <w:r w:rsidR="00495171" w:rsidRPr="005F2B8A">
        <w:rPr>
          <w:rFonts w:asciiTheme="minorHAnsi" w:hAnsiTheme="minorHAnsi"/>
          <w:iCs/>
          <w:sz w:val="22"/>
          <w:szCs w:val="22"/>
        </w:rPr>
        <w:t>project</w:t>
      </w:r>
      <w:r w:rsidR="00256D83" w:rsidRPr="005F2B8A">
        <w:rPr>
          <w:rFonts w:asciiTheme="minorHAnsi" w:hAnsiTheme="minorHAnsi"/>
          <w:iCs/>
          <w:sz w:val="22"/>
          <w:szCs w:val="22"/>
        </w:rPr>
        <w:t>.</w:t>
      </w:r>
    </w:p>
    <w:p w14:paraId="3B4F895A" w14:textId="77777777" w:rsidR="00256D83" w:rsidRDefault="00256D83" w:rsidP="00256D83">
      <w:pPr>
        <w:spacing w:after="120" w:line="240" w:lineRule="auto"/>
        <w:rPr>
          <w:color w:val="4F6228" w:themeColor="accent3" w:themeShade="80"/>
          <w:szCs w:val="22"/>
        </w:rPr>
      </w:pPr>
      <w:r>
        <w:rPr>
          <w:rStyle w:val="CommentReference"/>
          <w:rFonts w:ascii="Arial" w:hAnsi="Arial"/>
        </w:rPr>
        <w:t xml:space="preserve"> </w:t>
      </w:r>
    </w:p>
    <w:p w14:paraId="3B4F895B" w14:textId="77777777" w:rsidR="00256D83" w:rsidRDefault="00256D83" w:rsidP="00256D83">
      <w:pPr>
        <w:tabs>
          <w:tab w:val="left" w:pos="9071"/>
        </w:tabs>
        <w:spacing w:after="240"/>
        <w:ind w:right="-1"/>
        <w:jc w:val="left"/>
        <w:rPr>
          <w:b/>
          <w:color w:val="4F6228" w:themeColor="accent3" w:themeShade="80"/>
          <w:sz w:val="24"/>
          <w:szCs w:val="24"/>
        </w:rPr>
        <w:sectPr w:rsidR="00256D83" w:rsidSect="00F71922">
          <w:pgSz w:w="11906" w:h="16838"/>
          <w:pgMar w:top="1440" w:right="1701" w:bottom="1440" w:left="1701" w:header="709" w:footer="709" w:gutter="0"/>
          <w:cols w:space="708"/>
          <w:docGrid w:linePitch="360"/>
        </w:sectPr>
      </w:pPr>
    </w:p>
    <w:p w14:paraId="3B4F895C" w14:textId="77777777" w:rsidR="00256D83" w:rsidRPr="00256D83" w:rsidRDefault="00AB7D51" w:rsidP="00256D83">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lastRenderedPageBreak/>
        <w:t>6</w:t>
      </w:r>
      <w:r w:rsidR="00256D83" w:rsidRPr="00256D83">
        <w:rPr>
          <w:b/>
          <w:color w:val="4F6228" w:themeColor="accent3" w:themeShade="80"/>
          <w:sz w:val="24"/>
          <w:szCs w:val="24"/>
        </w:rPr>
        <w:t>.3 Evaluation</w:t>
      </w:r>
    </w:p>
    <w:tbl>
      <w:tblPr>
        <w:tblStyle w:val="TableGrid"/>
        <w:tblW w:w="14170" w:type="dxa"/>
        <w:tblLook w:val="04A0" w:firstRow="1" w:lastRow="0" w:firstColumn="1" w:lastColumn="0" w:noHBand="0" w:noVBand="1"/>
      </w:tblPr>
      <w:tblGrid>
        <w:gridCol w:w="2405"/>
        <w:gridCol w:w="2126"/>
        <w:gridCol w:w="2552"/>
        <w:gridCol w:w="2835"/>
        <w:gridCol w:w="2126"/>
        <w:gridCol w:w="2126"/>
      </w:tblGrid>
      <w:tr w:rsidR="00256D83" w14:paraId="3B4F895F" w14:textId="77777777" w:rsidTr="00256D83">
        <w:tc>
          <w:tcPr>
            <w:tcW w:w="4531" w:type="dxa"/>
            <w:gridSpan w:val="2"/>
            <w:shd w:val="clear" w:color="auto" w:fill="EAF1DD" w:themeFill="accent3" w:themeFillTint="33"/>
          </w:tcPr>
          <w:p w14:paraId="3B4F895D" w14:textId="77777777" w:rsidR="00256D83" w:rsidRPr="00543BE6" w:rsidRDefault="00256D83" w:rsidP="00497F33">
            <w:pPr>
              <w:tabs>
                <w:tab w:val="left" w:pos="9071"/>
              </w:tabs>
              <w:spacing w:after="0" w:line="240" w:lineRule="auto"/>
              <w:jc w:val="center"/>
              <w:rPr>
                <w:b/>
                <w:sz w:val="24"/>
                <w:szCs w:val="24"/>
              </w:rPr>
            </w:pPr>
            <w:r w:rsidRPr="00543BE6">
              <w:rPr>
                <w:b/>
                <w:sz w:val="24"/>
                <w:szCs w:val="24"/>
              </w:rPr>
              <w:t>CEWO Water Planning and delivery</w:t>
            </w:r>
          </w:p>
        </w:tc>
        <w:tc>
          <w:tcPr>
            <w:tcW w:w="9639" w:type="dxa"/>
            <w:gridSpan w:val="4"/>
            <w:shd w:val="clear" w:color="auto" w:fill="EAF1DD" w:themeFill="accent3" w:themeFillTint="33"/>
          </w:tcPr>
          <w:p w14:paraId="3B4F895E" w14:textId="77777777" w:rsidR="00256D83" w:rsidRPr="00543BE6" w:rsidRDefault="00256D83" w:rsidP="00497F33">
            <w:pPr>
              <w:tabs>
                <w:tab w:val="left" w:pos="9071"/>
              </w:tabs>
              <w:spacing w:after="0" w:line="240" w:lineRule="auto"/>
              <w:jc w:val="center"/>
              <w:rPr>
                <w:b/>
                <w:sz w:val="24"/>
                <w:szCs w:val="24"/>
              </w:rPr>
            </w:pPr>
            <w:r w:rsidRPr="00543BE6">
              <w:rPr>
                <w:b/>
                <w:sz w:val="24"/>
                <w:szCs w:val="24"/>
              </w:rPr>
              <w:t>Monitoring and Evaluation questions and outcomes</w:t>
            </w:r>
          </w:p>
        </w:tc>
      </w:tr>
      <w:tr w:rsidR="00256D83" w14:paraId="3B4F8966" w14:textId="77777777" w:rsidTr="00256D83">
        <w:tc>
          <w:tcPr>
            <w:tcW w:w="2405" w:type="dxa"/>
            <w:shd w:val="clear" w:color="auto" w:fill="EAF1DD" w:themeFill="accent3" w:themeFillTint="33"/>
          </w:tcPr>
          <w:p w14:paraId="3B4F8960" w14:textId="77777777" w:rsidR="00256D83" w:rsidRPr="00256D83" w:rsidRDefault="00256D83" w:rsidP="00497F33">
            <w:pPr>
              <w:tabs>
                <w:tab w:val="left" w:pos="9071"/>
              </w:tabs>
              <w:spacing w:after="0" w:line="240" w:lineRule="auto"/>
              <w:jc w:val="left"/>
              <w:rPr>
                <w:b/>
                <w:color w:val="4F6228" w:themeColor="accent3" w:themeShade="80"/>
                <w:sz w:val="20"/>
              </w:rPr>
            </w:pPr>
            <w:r w:rsidRPr="00256D83">
              <w:rPr>
                <w:b/>
                <w:bCs/>
                <w:sz w:val="20"/>
              </w:rPr>
              <w:t>Flow component type and target/planned</w:t>
            </w:r>
            <w:r w:rsidRPr="00256D83">
              <w:rPr>
                <w:b/>
                <w:bCs/>
                <w:sz w:val="20"/>
                <w:u w:val="single"/>
              </w:rPr>
              <w:t xml:space="preserve"> </w:t>
            </w:r>
            <w:r w:rsidRPr="00256D83">
              <w:rPr>
                <w:b/>
                <w:bCs/>
                <w:sz w:val="20"/>
              </w:rPr>
              <w:t>magnitude, duration, timing and/or inundation extent</w:t>
            </w:r>
            <w:r w:rsidR="00AB7D51">
              <w:rPr>
                <w:b/>
                <w:bCs/>
                <w:sz w:val="20"/>
              </w:rPr>
              <w:t xml:space="preserve"> (CEWO 2016)</w:t>
            </w:r>
          </w:p>
        </w:tc>
        <w:tc>
          <w:tcPr>
            <w:tcW w:w="2126" w:type="dxa"/>
            <w:shd w:val="clear" w:color="auto" w:fill="EAF1DD" w:themeFill="accent3" w:themeFillTint="33"/>
          </w:tcPr>
          <w:p w14:paraId="3B4F8961" w14:textId="77777777" w:rsidR="00256D83" w:rsidRPr="00256D83" w:rsidRDefault="00256D83" w:rsidP="00497F33">
            <w:pPr>
              <w:tabs>
                <w:tab w:val="left" w:pos="9071"/>
              </w:tabs>
              <w:spacing w:after="0" w:line="240" w:lineRule="auto"/>
              <w:jc w:val="left"/>
              <w:rPr>
                <w:b/>
                <w:color w:val="4F6228" w:themeColor="accent3" w:themeShade="80"/>
                <w:sz w:val="20"/>
              </w:rPr>
            </w:pPr>
            <w:r w:rsidRPr="00256D83">
              <w:rPr>
                <w:b/>
                <w:sz w:val="20"/>
              </w:rPr>
              <w:t>Expected outcomes of watering action (From Water Use Minute 10038 and/or CEWO Acquittal report)</w:t>
            </w:r>
          </w:p>
        </w:tc>
        <w:tc>
          <w:tcPr>
            <w:tcW w:w="2552" w:type="dxa"/>
            <w:shd w:val="clear" w:color="auto" w:fill="EAF1DD" w:themeFill="accent3" w:themeFillTint="33"/>
          </w:tcPr>
          <w:p w14:paraId="3B4F8962" w14:textId="77777777" w:rsidR="00256D83" w:rsidRPr="00256D83" w:rsidRDefault="00256D83" w:rsidP="00497F33">
            <w:pPr>
              <w:tabs>
                <w:tab w:val="left" w:pos="9071"/>
              </w:tabs>
              <w:spacing w:after="0" w:line="240" w:lineRule="auto"/>
              <w:jc w:val="left"/>
              <w:rPr>
                <w:b/>
                <w:color w:val="4F6228" w:themeColor="accent3" w:themeShade="80"/>
                <w:sz w:val="20"/>
              </w:rPr>
            </w:pPr>
            <w:r w:rsidRPr="00256D83">
              <w:rPr>
                <w:b/>
                <w:sz w:val="20"/>
              </w:rPr>
              <w:t>LTIM Question</w:t>
            </w:r>
          </w:p>
        </w:tc>
        <w:tc>
          <w:tcPr>
            <w:tcW w:w="2835" w:type="dxa"/>
            <w:shd w:val="clear" w:color="auto" w:fill="EAF1DD" w:themeFill="accent3" w:themeFillTint="33"/>
          </w:tcPr>
          <w:p w14:paraId="3B4F8963" w14:textId="77777777" w:rsidR="00256D83" w:rsidRPr="00256D83" w:rsidRDefault="00256D83" w:rsidP="00497F33">
            <w:pPr>
              <w:tabs>
                <w:tab w:val="left" w:pos="9071"/>
              </w:tabs>
              <w:spacing w:after="0" w:line="240" w:lineRule="auto"/>
              <w:jc w:val="left"/>
              <w:rPr>
                <w:b/>
                <w:color w:val="4F6228" w:themeColor="accent3" w:themeShade="80"/>
                <w:sz w:val="20"/>
              </w:rPr>
            </w:pPr>
            <w:r w:rsidRPr="00256D83">
              <w:rPr>
                <w:b/>
                <w:sz w:val="20"/>
              </w:rPr>
              <w:t>Observed outcomes</w:t>
            </w:r>
          </w:p>
        </w:tc>
        <w:tc>
          <w:tcPr>
            <w:tcW w:w="2126" w:type="dxa"/>
            <w:shd w:val="clear" w:color="auto" w:fill="EAF1DD" w:themeFill="accent3" w:themeFillTint="33"/>
          </w:tcPr>
          <w:p w14:paraId="3B4F8964" w14:textId="77777777" w:rsidR="00256D83" w:rsidRPr="00256D83" w:rsidRDefault="00256D83" w:rsidP="00497F33">
            <w:pPr>
              <w:tabs>
                <w:tab w:val="left" w:pos="9071"/>
              </w:tabs>
              <w:spacing w:after="0" w:line="240" w:lineRule="auto"/>
              <w:jc w:val="left"/>
              <w:rPr>
                <w:b/>
                <w:color w:val="4F6228" w:themeColor="accent3" w:themeShade="80"/>
                <w:sz w:val="20"/>
              </w:rPr>
            </w:pPr>
            <w:r w:rsidRPr="00256D83">
              <w:rPr>
                <w:b/>
                <w:sz w:val="20"/>
              </w:rPr>
              <w:t>What information was the evaluation based on?</w:t>
            </w:r>
          </w:p>
        </w:tc>
        <w:tc>
          <w:tcPr>
            <w:tcW w:w="2126" w:type="dxa"/>
            <w:shd w:val="clear" w:color="auto" w:fill="EAF1DD" w:themeFill="accent3" w:themeFillTint="33"/>
          </w:tcPr>
          <w:p w14:paraId="3B4F8965" w14:textId="77777777" w:rsidR="00256D83" w:rsidRPr="00256D83" w:rsidRDefault="00256D83" w:rsidP="00497F33">
            <w:pPr>
              <w:tabs>
                <w:tab w:val="left" w:pos="9071"/>
              </w:tabs>
              <w:spacing w:after="0" w:line="240" w:lineRule="auto"/>
              <w:jc w:val="left"/>
              <w:rPr>
                <w:b/>
                <w:color w:val="4F6228" w:themeColor="accent3" w:themeShade="80"/>
                <w:sz w:val="20"/>
              </w:rPr>
            </w:pPr>
            <w:r w:rsidRPr="00256D83">
              <w:rPr>
                <w:b/>
                <w:sz w:val="20"/>
              </w:rPr>
              <w:t>Were appropriate flows provided to achieve the expected outcome?</w:t>
            </w:r>
          </w:p>
        </w:tc>
      </w:tr>
      <w:tr w:rsidR="00256D83" w14:paraId="3B4F897B" w14:textId="77777777" w:rsidTr="00194C8C">
        <w:trPr>
          <w:trHeight w:val="561"/>
        </w:trPr>
        <w:tc>
          <w:tcPr>
            <w:tcW w:w="2405" w:type="dxa"/>
            <w:vMerge w:val="restart"/>
            <w:tcMar>
              <w:left w:w="57" w:type="dxa"/>
              <w:right w:w="57" w:type="dxa"/>
            </w:tcMar>
          </w:tcPr>
          <w:p w14:paraId="3B4F8967" w14:textId="77777777" w:rsidR="00256D83" w:rsidRPr="008443CE" w:rsidRDefault="00256D83" w:rsidP="00497F33">
            <w:pPr>
              <w:pStyle w:val="ListBullet"/>
              <w:spacing w:after="0"/>
              <w:contextualSpacing w:val="0"/>
              <w:jc w:val="left"/>
              <w:rPr>
                <w:sz w:val="18"/>
                <w:szCs w:val="18"/>
                <w:u w:val="single"/>
              </w:rPr>
            </w:pPr>
            <w:r w:rsidRPr="008443CE">
              <w:rPr>
                <w:sz w:val="18"/>
                <w:szCs w:val="18"/>
                <w:u w:val="single"/>
              </w:rPr>
              <w:t>Upper Wakool River: Base flow and Fresh</w:t>
            </w:r>
          </w:p>
          <w:p w14:paraId="3B4F8968" w14:textId="77777777" w:rsidR="00256D83" w:rsidRDefault="00256D83" w:rsidP="00497F33">
            <w:pPr>
              <w:pStyle w:val="ListBullet"/>
              <w:spacing w:after="0"/>
              <w:contextualSpacing w:val="0"/>
              <w:jc w:val="left"/>
              <w:rPr>
                <w:sz w:val="18"/>
                <w:szCs w:val="18"/>
              </w:rPr>
            </w:pPr>
            <w:r w:rsidRPr="00B51B43">
              <w:rPr>
                <w:sz w:val="18"/>
                <w:szCs w:val="18"/>
              </w:rPr>
              <w:t>Flow for spring-summer fresh in Upper Wakool (above confluence with Yallakool Creek) to have a flow range of between 50 ML/day and 100</w:t>
            </w:r>
            <w:r>
              <w:rPr>
                <w:sz w:val="18"/>
                <w:szCs w:val="18"/>
              </w:rPr>
              <w:t xml:space="preserve"> </w:t>
            </w:r>
            <w:r w:rsidRPr="00B51B43">
              <w:rPr>
                <w:sz w:val="18"/>
                <w:szCs w:val="18"/>
              </w:rPr>
              <w:t>ML/day to enable river operators to provide a level of variability into flows. A flow recession back to base flows of 25 ML/day every 14 days was targeted.</w:t>
            </w:r>
          </w:p>
          <w:p w14:paraId="3B4F8969" w14:textId="77777777" w:rsidR="00256D83" w:rsidRDefault="00256D83" w:rsidP="00497F33">
            <w:pPr>
              <w:pStyle w:val="ListBullet"/>
              <w:spacing w:after="0"/>
              <w:contextualSpacing w:val="0"/>
              <w:jc w:val="left"/>
              <w:rPr>
                <w:sz w:val="18"/>
                <w:szCs w:val="18"/>
              </w:rPr>
            </w:pPr>
          </w:p>
          <w:p w14:paraId="3B4F896A" w14:textId="77777777" w:rsidR="00256D83" w:rsidRPr="008443CE" w:rsidRDefault="00256D83" w:rsidP="00497F33">
            <w:pPr>
              <w:pStyle w:val="ListBullet"/>
              <w:spacing w:after="0"/>
              <w:contextualSpacing w:val="0"/>
              <w:jc w:val="left"/>
              <w:rPr>
                <w:sz w:val="18"/>
                <w:szCs w:val="18"/>
                <w:u w:val="single"/>
              </w:rPr>
            </w:pPr>
            <w:r w:rsidRPr="008443CE">
              <w:rPr>
                <w:sz w:val="18"/>
                <w:szCs w:val="18"/>
                <w:u w:val="single"/>
              </w:rPr>
              <w:t>Yallakool Creek: Base flow and Fresh</w:t>
            </w:r>
          </w:p>
          <w:p w14:paraId="3B4F896B" w14:textId="77777777" w:rsidR="00256D83" w:rsidRPr="00956EAE" w:rsidRDefault="00256D83" w:rsidP="00497F33">
            <w:pPr>
              <w:tabs>
                <w:tab w:val="left" w:pos="9071"/>
              </w:tabs>
              <w:spacing w:after="0" w:line="240" w:lineRule="auto"/>
              <w:ind w:right="-1"/>
              <w:jc w:val="left"/>
              <w:rPr>
                <w:b/>
                <w:color w:val="4F6228" w:themeColor="accent3" w:themeShade="80"/>
              </w:rPr>
            </w:pPr>
            <w:r w:rsidRPr="00B51B43">
              <w:rPr>
                <w:sz w:val="18"/>
                <w:szCs w:val="18"/>
              </w:rPr>
              <w:t>Flow for early fresh to increase from base flow level to peak of 550</w:t>
            </w:r>
            <w:r>
              <w:rPr>
                <w:sz w:val="18"/>
                <w:szCs w:val="18"/>
              </w:rPr>
              <w:t xml:space="preserve"> </w:t>
            </w:r>
            <w:r w:rsidRPr="00B51B43">
              <w:rPr>
                <w:sz w:val="18"/>
                <w:szCs w:val="18"/>
              </w:rPr>
              <w:t>ML/day, receding to 450 ML/day. Flow for spring-summer fresh to have a flow range of between 450 ML/day and 500 ML/day to enable river operators to provide a level of variability into flows. Flow recession to reduce from 500 ML/day in 25 ML/day increments</w:t>
            </w:r>
            <w:r>
              <w:rPr>
                <w:bCs/>
              </w:rPr>
              <w:t>.</w:t>
            </w:r>
          </w:p>
        </w:tc>
        <w:tc>
          <w:tcPr>
            <w:tcW w:w="2126" w:type="dxa"/>
            <w:vMerge w:val="restart"/>
            <w:tcMar>
              <w:left w:w="57" w:type="dxa"/>
              <w:right w:w="57" w:type="dxa"/>
            </w:tcMar>
          </w:tcPr>
          <w:p w14:paraId="3B4F896C" w14:textId="77777777" w:rsidR="00256D83" w:rsidRDefault="00256D83" w:rsidP="00497F33">
            <w:pPr>
              <w:spacing w:after="0" w:line="240" w:lineRule="auto"/>
              <w:jc w:val="left"/>
              <w:rPr>
                <w:bCs/>
                <w:sz w:val="18"/>
                <w:szCs w:val="18"/>
              </w:rPr>
            </w:pPr>
            <w:r>
              <w:rPr>
                <w:bCs/>
                <w:sz w:val="18"/>
                <w:szCs w:val="18"/>
              </w:rPr>
              <w:t xml:space="preserve">To </w:t>
            </w:r>
            <w:r w:rsidRPr="00EB53D0">
              <w:rPr>
                <w:bCs/>
                <w:sz w:val="18"/>
                <w:szCs w:val="18"/>
              </w:rPr>
              <w:t xml:space="preserve">support mobilisation, transport and dispersal of biotic and abiotic material (e.g. sediment, nutrients and organic matter) through longitudinal and lateral hydrological connectivity </w:t>
            </w:r>
            <w:r>
              <w:rPr>
                <w:bCs/>
                <w:sz w:val="18"/>
                <w:szCs w:val="18"/>
              </w:rPr>
              <w:t>(Water Use Minute</w:t>
            </w:r>
            <w:r w:rsidRPr="007B4E6F">
              <w:rPr>
                <w:bCs/>
                <w:sz w:val="18"/>
                <w:szCs w:val="18"/>
              </w:rPr>
              <w:t xml:space="preserve"> 10038)</w:t>
            </w:r>
            <w:r>
              <w:rPr>
                <w:bCs/>
                <w:sz w:val="18"/>
                <w:szCs w:val="18"/>
              </w:rPr>
              <w:t xml:space="preserve"> </w:t>
            </w:r>
            <w:r w:rsidRPr="00C212F0">
              <w:rPr>
                <w:bCs/>
                <w:i/>
                <w:iCs/>
                <w:sz w:val="18"/>
                <w:szCs w:val="18"/>
              </w:rPr>
              <w:t>This is related to metabolism but not specifically addressing it</w:t>
            </w:r>
            <w:r>
              <w:rPr>
                <w:bCs/>
                <w:sz w:val="18"/>
                <w:szCs w:val="18"/>
              </w:rPr>
              <w:t>.</w:t>
            </w:r>
          </w:p>
          <w:p w14:paraId="3B4F896D" w14:textId="77777777" w:rsidR="00256D83" w:rsidRPr="007B4E6F" w:rsidRDefault="00256D83" w:rsidP="00497F33">
            <w:pPr>
              <w:spacing w:after="0" w:line="240" w:lineRule="auto"/>
              <w:jc w:val="left"/>
              <w:rPr>
                <w:bCs/>
                <w:sz w:val="18"/>
                <w:szCs w:val="18"/>
              </w:rPr>
            </w:pPr>
          </w:p>
          <w:p w14:paraId="3B4F896E" w14:textId="77777777" w:rsidR="00256D83" w:rsidRPr="007B4E6F" w:rsidRDefault="00256D83" w:rsidP="00497F33">
            <w:pPr>
              <w:spacing w:after="0" w:line="240" w:lineRule="auto"/>
              <w:rPr>
                <w:bCs/>
                <w:sz w:val="18"/>
                <w:szCs w:val="18"/>
              </w:rPr>
            </w:pPr>
          </w:p>
          <w:p w14:paraId="3B4F896F" w14:textId="77777777" w:rsidR="00256D83" w:rsidRDefault="00256D83" w:rsidP="00497F33">
            <w:pPr>
              <w:tabs>
                <w:tab w:val="left" w:pos="9071"/>
              </w:tabs>
              <w:spacing w:after="0" w:line="240" w:lineRule="auto"/>
              <w:ind w:right="-1"/>
              <w:jc w:val="left"/>
              <w:rPr>
                <w:bCs/>
                <w:i/>
                <w:iCs/>
                <w:sz w:val="18"/>
                <w:szCs w:val="18"/>
              </w:rPr>
            </w:pPr>
          </w:p>
          <w:p w14:paraId="3B4F8970" w14:textId="77777777" w:rsidR="00256D83" w:rsidRPr="00956EAE" w:rsidRDefault="00256D83" w:rsidP="00497F33">
            <w:pPr>
              <w:tabs>
                <w:tab w:val="left" w:pos="9071"/>
              </w:tabs>
              <w:spacing w:after="0" w:line="240" w:lineRule="auto"/>
              <w:ind w:right="-1"/>
              <w:jc w:val="left"/>
              <w:rPr>
                <w:b/>
                <w:color w:val="4F6228" w:themeColor="accent3" w:themeShade="80"/>
              </w:rPr>
            </w:pPr>
            <w:r w:rsidRPr="00C212F0">
              <w:rPr>
                <w:bCs/>
                <w:i/>
                <w:iCs/>
                <w:sz w:val="18"/>
                <w:szCs w:val="18"/>
              </w:rPr>
              <w:t>No specific targeted outcomes for metabolism</w:t>
            </w:r>
            <w:r>
              <w:rPr>
                <w:bCs/>
                <w:sz w:val="18"/>
                <w:szCs w:val="18"/>
              </w:rPr>
              <w:t xml:space="preserve"> (W</w:t>
            </w:r>
            <w:r w:rsidRPr="007B4E6F">
              <w:rPr>
                <w:bCs/>
                <w:sz w:val="18"/>
                <w:szCs w:val="18"/>
              </w:rPr>
              <w:t>atering action acquittal report)</w:t>
            </w:r>
          </w:p>
        </w:tc>
        <w:tc>
          <w:tcPr>
            <w:tcW w:w="2552" w:type="dxa"/>
            <w:tcMar>
              <w:left w:w="57" w:type="dxa"/>
              <w:right w:w="57" w:type="dxa"/>
            </w:tcMar>
          </w:tcPr>
          <w:p w14:paraId="3B4F8971" w14:textId="77777777" w:rsidR="00256D83" w:rsidRPr="00CF7E25" w:rsidRDefault="00256D83" w:rsidP="00497F33">
            <w:pPr>
              <w:pStyle w:val="ListBullet"/>
              <w:spacing w:after="0"/>
              <w:contextualSpacing w:val="0"/>
              <w:jc w:val="left"/>
              <w:rPr>
                <w:rFonts w:cstheme="minorHAnsi"/>
                <w:i/>
                <w:sz w:val="18"/>
                <w:szCs w:val="18"/>
              </w:rPr>
            </w:pPr>
            <w:r w:rsidRPr="00AE1C74">
              <w:rPr>
                <w:rFonts w:cstheme="minorHAnsi"/>
                <w:i/>
                <w:sz w:val="18"/>
                <w:szCs w:val="18"/>
              </w:rPr>
              <w:t>What did Commonwealth environmental water contribute to patterns and rates of decomposition?</w:t>
            </w:r>
          </w:p>
        </w:tc>
        <w:tc>
          <w:tcPr>
            <w:tcW w:w="2835" w:type="dxa"/>
            <w:tcMar>
              <w:left w:w="57" w:type="dxa"/>
              <w:right w:w="57" w:type="dxa"/>
            </w:tcMar>
          </w:tcPr>
          <w:p w14:paraId="3B4F8972" w14:textId="77777777" w:rsidR="00256D83" w:rsidRPr="00956EAE" w:rsidRDefault="00256D83" w:rsidP="00497F33">
            <w:pPr>
              <w:tabs>
                <w:tab w:val="left" w:pos="9071"/>
              </w:tabs>
              <w:spacing w:after="0" w:line="240" w:lineRule="auto"/>
              <w:ind w:right="-1"/>
              <w:jc w:val="left"/>
              <w:rPr>
                <w:b/>
                <w:color w:val="4F6228" w:themeColor="accent3" w:themeShade="80"/>
              </w:rPr>
            </w:pPr>
            <w:r>
              <w:rPr>
                <w:sz w:val="18"/>
                <w:szCs w:val="18"/>
              </w:rPr>
              <w:t>Changes in ER (ecosystem Respiration) were observed but did not correspond to variation in discharge. Changes were associated with changing season and other instream behaviour (e.g. mid November 2015)</w:t>
            </w:r>
          </w:p>
        </w:tc>
        <w:tc>
          <w:tcPr>
            <w:tcW w:w="2126" w:type="dxa"/>
            <w:vMerge w:val="restart"/>
            <w:tcMar>
              <w:left w:w="57" w:type="dxa"/>
              <w:right w:w="57" w:type="dxa"/>
            </w:tcMar>
          </w:tcPr>
          <w:p w14:paraId="3B4F8973" w14:textId="77777777" w:rsidR="00256D83" w:rsidRDefault="00256D83" w:rsidP="00497F33">
            <w:pPr>
              <w:spacing w:after="0" w:line="240" w:lineRule="auto"/>
              <w:jc w:val="left"/>
              <w:rPr>
                <w:bCs/>
                <w:sz w:val="18"/>
                <w:szCs w:val="18"/>
              </w:rPr>
            </w:pPr>
            <w:r>
              <w:rPr>
                <w:bCs/>
                <w:sz w:val="18"/>
                <w:szCs w:val="18"/>
              </w:rPr>
              <w:t>Daily estimates of stream metabolism in seven sites within four zones: one in Yallakool Creek and three in the Wakool River.</w:t>
            </w:r>
          </w:p>
          <w:p w14:paraId="3B4F8974" w14:textId="77777777" w:rsidR="00256D83" w:rsidRDefault="00256D83" w:rsidP="00497F33">
            <w:pPr>
              <w:spacing w:after="0" w:line="240" w:lineRule="auto"/>
              <w:jc w:val="left"/>
              <w:rPr>
                <w:bCs/>
                <w:sz w:val="18"/>
                <w:szCs w:val="18"/>
              </w:rPr>
            </w:pPr>
          </w:p>
          <w:p w14:paraId="3B4F8975" w14:textId="77777777" w:rsidR="00256D83" w:rsidRDefault="00256D83" w:rsidP="00497F33">
            <w:pPr>
              <w:spacing w:after="0" w:line="240" w:lineRule="auto"/>
              <w:jc w:val="left"/>
              <w:rPr>
                <w:bCs/>
                <w:sz w:val="18"/>
                <w:szCs w:val="18"/>
              </w:rPr>
            </w:pPr>
            <w:r>
              <w:rPr>
                <w:bCs/>
                <w:sz w:val="18"/>
                <w:szCs w:val="18"/>
              </w:rPr>
              <w:t>Measurements were undertaken from mid-August 2015 until early April 2016.</w:t>
            </w:r>
          </w:p>
          <w:p w14:paraId="3B4F8976" w14:textId="77777777" w:rsidR="00256D83" w:rsidRDefault="00256D83" w:rsidP="00497F33">
            <w:pPr>
              <w:spacing w:after="0" w:line="240" w:lineRule="auto"/>
              <w:jc w:val="left"/>
              <w:rPr>
                <w:bCs/>
                <w:sz w:val="18"/>
                <w:szCs w:val="18"/>
              </w:rPr>
            </w:pPr>
          </w:p>
          <w:p w14:paraId="3B4F8977" w14:textId="77777777" w:rsidR="00256D83" w:rsidRPr="00CF7E25" w:rsidRDefault="00256D83" w:rsidP="00497F33">
            <w:pPr>
              <w:spacing w:after="0" w:line="240" w:lineRule="auto"/>
              <w:jc w:val="left"/>
              <w:rPr>
                <w:bCs/>
                <w:sz w:val="18"/>
                <w:szCs w:val="18"/>
              </w:rPr>
            </w:pPr>
            <w:r>
              <w:rPr>
                <w:bCs/>
                <w:sz w:val="18"/>
                <w:szCs w:val="18"/>
              </w:rPr>
              <w:t>All daily estimates of GPP an ER that met agreed acceptance criteria were then assessed for effects of discharge from Commonwealth environmental water (and other flow events)</w:t>
            </w:r>
          </w:p>
        </w:tc>
        <w:tc>
          <w:tcPr>
            <w:tcW w:w="2126" w:type="dxa"/>
            <w:vMerge w:val="restart"/>
          </w:tcPr>
          <w:p w14:paraId="705924B5" w14:textId="70E826B8" w:rsidR="00194C8C" w:rsidRDefault="00194C8C" w:rsidP="00497F33">
            <w:pPr>
              <w:tabs>
                <w:tab w:val="left" w:pos="9071"/>
              </w:tabs>
              <w:spacing w:after="0" w:line="240" w:lineRule="auto"/>
              <w:ind w:right="-1"/>
              <w:jc w:val="left"/>
              <w:rPr>
                <w:bCs/>
                <w:sz w:val="18"/>
                <w:szCs w:val="18"/>
              </w:rPr>
            </w:pPr>
            <w:r>
              <w:rPr>
                <w:bCs/>
                <w:sz w:val="18"/>
                <w:szCs w:val="18"/>
              </w:rPr>
              <w:t>The environmental flow in th</w:t>
            </w:r>
            <w:r w:rsidRPr="00194C8C">
              <w:rPr>
                <w:bCs/>
                <w:sz w:val="18"/>
                <w:szCs w:val="18"/>
              </w:rPr>
              <w:t>e upper Wakool River was small magnitude and was not appropriate to achieve expected outcomes due</w:t>
            </w:r>
            <w:r>
              <w:rPr>
                <w:bCs/>
                <w:sz w:val="18"/>
                <w:szCs w:val="18"/>
              </w:rPr>
              <w:t xml:space="preserve"> to the flow constraint in the Wakool River.</w:t>
            </w:r>
          </w:p>
          <w:p w14:paraId="4E51F6CA" w14:textId="77777777" w:rsidR="00194C8C" w:rsidRDefault="00194C8C" w:rsidP="00497F33">
            <w:pPr>
              <w:tabs>
                <w:tab w:val="left" w:pos="9071"/>
              </w:tabs>
              <w:spacing w:after="0" w:line="240" w:lineRule="auto"/>
              <w:ind w:right="-1"/>
              <w:jc w:val="left"/>
              <w:rPr>
                <w:bCs/>
                <w:sz w:val="18"/>
                <w:szCs w:val="18"/>
              </w:rPr>
            </w:pPr>
          </w:p>
          <w:p w14:paraId="3B4F897A" w14:textId="79F88F2E" w:rsidR="00256D83" w:rsidRDefault="00194C8C" w:rsidP="00194C8C">
            <w:pPr>
              <w:tabs>
                <w:tab w:val="left" w:pos="9071"/>
              </w:tabs>
              <w:spacing w:after="0" w:line="240" w:lineRule="auto"/>
              <w:ind w:right="-1"/>
              <w:jc w:val="left"/>
              <w:rPr>
                <w:b/>
                <w:color w:val="4F6228" w:themeColor="accent3" w:themeShade="80"/>
                <w:sz w:val="24"/>
                <w:szCs w:val="24"/>
              </w:rPr>
            </w:pPr>
            <w:r>
              <w:rPr>
                <w:bCs/>
                <w:sz w:val="18"/>
                <w:szCs w:val="18"/>
              </w:rPr>
              <w:t>There was no detected response</w:t>
            </w:r>
            <w:r w:rsidR="00256D83">
              <w:rPr>
                <w:bCs/>
                <w:sz w:val="18"/>
                <w:szCs w:val="18"/>
              </w:rPr>
              <w:t xml:space="preserve"> in GPP and ER to </w:t>
            </w:r>
            <w:r>
              <w:rPr>
                <w:bCs/>
                <w:sz w:val="18"/>
                <w:szCs w:val="18"/>
              </w:rPr>
              <w:t>the Yallakool Creek or Wakool River watering actions</w:t>
            </w:r>
            <w:r w:rsidR="00256D83">
              <w:rPr>
                <w:bCs/>
                <w:sz w:val="18"/>
                <w:szCs w:val="18"/>
              </w:rPr>
              <w:t>. Small perturbations in discharge on top of nea</w:t>
            </w:r>
            <w:r>
              <w:rPr>
                <w:bCs/>
                <w:sz w:val="18"/>
                <w:szCs w:val="18"/>
              </w:rPr>
              <w:t xml:space="preserve">r-continuous daily flow from </w:t>
            </w:r>
            <w:r w:rsidR="00256D83">
              <w:rPr>
                <w:bCs/>
                <w:sz w:val="18"/>
                <w:szCs w:val="18"/>
              </w:rPr>
              <w:t>Oc</w:t>
            </w:r>
            <w:r>
              <w:rPr>
                <w:bCs/>
                <w:sz w:val="18"/>
                <w:szCs w:val="18"/>
              </w:rPr>
              <w:t>t 2015 through to February 2016</w:t>
            </w:r>
            <w:r w:rsidR="00256D83">
              <w:rPr>
                <w:bCs/>
                <w:sz w:val="18"/>
                <w:szCs w:val="18"/>
              </w:rPr>
              <w:t xml:space="preserve"> meant that any enhancements in metabolic rates (desired outcome) were masked by daily variability associated with weather and from seasonal changes in these rates (changing temperatures and amounts and intensities of sunlight).</w:t>
            </w:r>
          </w:p>
        </w:tc>
      </w:tr>
      <w:tr w:rsidR="00256D83" w14:paraId="3B4F8982" w14:textId="77777777" w:rsidTr="00497F33">
        <w:tc>
          <w:tcPr>
            <w:tcW w:w="2405" w:type="dxa"/>
            <w:vMerge/>
            <w:tcMar>
              <w:left w:w="57" w:type="dxa"/>
              <w:right w:w="57" w:type="dxa"/>
            </w:tcMar>
          </w:tcPr>
          <w:p w14:paraId="3B4F897C"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7D"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7E" w14:textId="77777777" w:rsidR="00256D83" w:rsidRPr="00AE1C74" w:rsidRDefault="00256D83" w:rsidP="00497F33">
            <w:pPr>
              <w:spacing w:after="0" w:line="240" w:lineRule="auto"/>
              <w:ind w:left="28"/>
              <w:jc w:val="left"/>
              <w:rPr>
                <w:rFonts w:cs="Calibri"/>
                <w:i/>
                <w:sz w:val="18"/>
                <w:szCs w:val="18"/>
              </w:rPr>
            </w:pPr>
            <w:r w:rsidRPr="00AE1C74">
              <w:rPr>
                <w:rFonts w:cs="Calibri"/>
                <w:i/>
                <w:sz w:val="18"/>
                <w:szCs w:val="18"/>
              </w:rPr>
              <w:t>What did Commonwealth environmental water contribute to patterns and rates of primary productivity?</w:t>
            </w:r>
          </w:p>
        </w:tc>
        <w:tc>
          <w:tcPr>
            <w:tcW w:w="2835" w:type="dxa"/>
            <w:tcMar>
              <w:left w:w="57" w:type="dxa"/>
              <w:right w:w="57" w:type="dxa"/>
            </w:tcMar>
          </w:tcPr>
          <w:p w14:paraId="3B4F897F" w14:textId="77777777" w:rsidR="00256D83" w:rsidRPr="00956EAE" w:rsidRDefault="00256D83" w:rsidP="00497F33">
            <w:pPr>
              <w:tabs>
                <w:tab w:val="left" w:pos="9071"/>
              </w:tabs>
              <w:spacing w:after="0" w:line="240" w:lineRule="auto"/>
              <w:ind w:right="-1"/>
              <w:jc w:val="left"/>
              <w:rPr>
                <w:b/>
                <w:color w:val="4F6228" w:themeColor="accent3" w:themeShade="80"/>
              </w:rPr>
            </w:pPr>
            <w:r>
              <w:rPr>
                <w:sz w:val="18"/>
                <w:szCs w:val="18"/>
              </w:rPr>
              <w:t>Changes in GPP (Gross Primary Production) were observed but did not correspond to variation in discharge. Changes were associated with changing season and other instream behaviour (e.g. mid November 2015). Large increases in March 2016 at some sites were associated with the arrival of the algal bloom</w:t>
            </w:r>
          </w:p>
        </w:tc>
        <w:tc>
          <w:tcPr>
            <w:tcW w:w="2126" w:type="dxa"/>
            <w:vMerge/>
            <w:tcMar>
              <w:left w:w="57" w:type="dxa"/>
              <w:right w:w="57" w:type="dxa"/>
            </w:tcMar>
          </w:tcPr>
          <w:p w14:paraId="3B4F8980"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126" w:type="dxa"/>
            <w:vMerge/>
          </w:tcPr>
          <w:p w14:paraId="3B4F8981" w14:textId="77777777" w:rsidR="00256D83" w:rsidRDefault="00256D83" w:rsidP="00497F33">
            <w:pPr>
              <w:tabs>
                <w:tab w:val="left" w:pos="9071"/>
              </w:tabs>
              <w:spacing w:after="0" w:line="240" w:lineRule="auto"/>
              <w:ind w:right="-1"/>
              <w:jc w:val="left"/>
              <w:rPr>
                <w:b/>
                <w:color w:val="4F6228" w:themeColor="accent3" w:themeShade="80"/>
                <w:sz w:val="24"/>
                <w:szCs w:val="24"/>
              </w:rPr>
            </w:pPr>
          </w:p>
        </w:tc>
      </w:tr>
      <w:tr w:rsidR="00256D83" w14:paraId="3B4F8989" w14:textId="77777777" w:rsidTr="00497F33">
        <w:trPr>
          <w:trHeight w:val="1768"/>
        </w:trPr>
        <w:tc>
          <w:tcPr>
            <w:tcW w:w="2405" w:type="dxa"/>
            <w:vMerge/>
            <w:tcMar>
              <w:left w:w="57" w:type="dxa"/>
              <w:right w:w="57" w:type="dxa"/>
            </w:tcMar>
          </w:tcPr>
          <w:p w14:paraId="3B4F8983"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84"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85" w14:textId="77777777" w:rsidR="00256D83" w:rsidRPr="00AE1C74" w:rsidRDefault="00256D83" w:rsidP="00497F33">
            <w:pPr>
              <w:spacing w:after="0" w:line="240" w:lineRule="auto"/>
              <w:ind w:left="28"/>
              <w:jc w:val="left"/>
              <w:rPr>
                <w:rFonts w:cs="Calibri"/>
                <w:i/>
                <w:sz w:val="18"/>
                <w:szCs w:val="18"/>
              </w:rPr>
            </w:pPr>
            <w:r w:rsidRPr="00AE1C74">
              <w:rPr>
                <w:rFonts w:cstheme="minorHAnsi"/>
                <w:i/>
                <w:iCs/>
                <w:sz w:val="18"/>
                <w:szCs w:val="18"/>
              </w:rPr>
              <w:t>How does the timing and magnitude of Commonwealth environmental water delivery affect rates of gross primary productivity and ecosystem respiration in the Edward- Wakool River system?</w:t>
            </w:r>
          </w:p>
        </w:tc>
        <w:tc>
          <w:tcPr>
            <w:tcW w:w="2835" w:type="dxa"/>
            <w:tcMar>
              <w:left w:w="57" w:type="dxa"/>
              <w:right w:w="57" w:type="dxa"/>
            </w:tcMar>
          </w:tcPr>
          <w:p w14:paraId="3B4F8986" w14:textId="77777777" w:rsidR="00256D83" w:rsidRPr="00956EAE" w:rsidRDefault="00256D83" w:rsidP="00497F33">
            <w:pPr>
              <w:tabs>
                <w:tab w:val="left" w:pos="9071"/>
              </w:tabs>
              <w:spacing w:after="0" w:line="240" w:lineRule="auto"/>
              <w:ind w:right="-1"/>
              <w:jc w:val="left"/>
              <w:rPr>
                <w:b/>
                <w:color w:val="4F6228" w:themeColor="accent3" w:themeShade="80"/>
              </w:rPr>
            </w:pPr>
            <w:r>
              <w:rPr>
                <w:sz w:val="18"/>
                <w:szCs w:val="18"/>
              </w:rPr>
              <w:t>There were no indications of any flow-related c</w:t>
            </w:r>
            <w:r w:rsidR="00495171">
              <w:rPr>
                <w:sz w:val="18"/>
                <w:szCs w:val="18"/>
              </w:rPr>
              <w:t>hanges in these metabolic parame</w:t>
            </w:r>
            <w:r>
              <w:rPr>
                <w:sz w:val="18"/>
                <w:szCs w:val="18"/>
              </w:rPr>
              <w:t>ters.</w:t>
            </w:r>
          </w:p>
        </w:tc>
        <w:tc>
          <w:tcPr>
            <w:tcW w:w="2126" w:type="dxa"/>
            <w:vMerge/>
            <w:tcMar>
              <w:left w:w="57" w:type="dxa"/>
              <w:right w:w="57" w:type="dxa"/>
            </w:tcMar>
          </w:tcPr>
          <w:p w14:paraId="3B4F8987" w14:textId="77777777" w:rsidR="00256D83" w:rsidRPr="00CF7E25" w:rsidRDefault="00256D83" w:rsidP="00497F33">
            <w:pPr>
              <w:spacing w:after="0" w:line="240" w:lineRule="auto"/>
              <w:jc w:val="left"/>
              <w:rPr>
                <w:bCs/>
                <w:sz w:val="18"/>
                <w:szCs w:val="18"/>
              </w:rPr>
            </w:pPr>
          </w:p>
        </w:tc>
        <w:tc>
          <w:tcPr>
            <w:tcW w:w="2126" w:type="dxa"/>
            <w:vMerge/>
          </w:tcPr>
          <w:p w14:paraId="3B4F8988" w14:textId="77777777" w:rsidR="00256D83" w:rsidRDefault="00256D83" w:rsidP="00497F33">
            <w:pPr>
              <w:tabs>
                <w:tab w:val="left" w:pos="9071"/>
              </w:tabs>
              <w:spacing w:after="0" w:line="240" w:lineRule="auto"/>
              <w:ind w:right="-1"/>
              <w:jc w:val="left"/>
              <w:rPr>
                <w:b/>
                <w:color w:val="4F6228" w:themeColor="accent3" w:themeShade="80"/>
                <w:sz w:val="24"/>
                <w:szCs w:val="24"/>
              </w:rPr>
            </w:pPr>
          </w:p>
        </w:tc>
      </w:tr>
    </w:tbl>
    <w:p w14:paraId="3B4F898A" w14:textId="77777777" w:rsidR="00256D83" w:rsidRDefault="00256D83" w:rsidP="00256D83">
      <w:pPr>
        <w:spacing w:after="0" w:line="240" w:lineRule="auto"/>
        <w:jc w:val="left"/>
        <w:rPr>
          <w:b/>
          <w:color w:val="4F6228" w:themeColor="accent3" w:themeShade="80"/>
          <w:sz w:val="36"/>
          <w:szCs w:val="36"/>
        </w:rPr>
        <w:sectPr w:rsidR="00256D83" w:rsidSect="00956EAE">
          <w:pgSz w:w="16838" w:h="11906" w:orient="landscape"/>
          <w:pgMar w:top="1701" w:right="1440" w:bottom="1701" w:left="1440" w:header="709" w:footer="709" w:gutter="0"/>
          <w:cols w:space="708"/>
          <w:docGrid w:linePitch="360"/>
        </w:sectPr>
      </w:pPr>
    </w:p>
    <w:p w14:paraId="3B4F898B" w14:textId="77777777" w:rsidR="00D83954" w:rsidRDefault="00743D43" w:rsidP="00417F7C">
      <w:pPr>
        <w:pStyle w:val="Heading1"/>
      </w:pPr>
      <w:bookmarkStart w:id="28" w:name="_Toc484078409"/>
      <w:r>
        <w:lastRenderedPageBreak/>
        <w:t>Summary of a</w:t>
      </w:r>
      <w:r w:rsidR="00956EAE">
        <w:t>quatic and riverbank vegetation</w:t>
      </w:r>
      <w:r w:rsidR="00D83954">
        <w:t xml:space="preserve"> responses to </w:t>
      </w:r>
      <w:r>
        <w:t>C</w:t>
      </w:r>
      <w:r w:rsidR="00D83954" w:rsidRPr="00981345">
        <w:t xml:space="preserve">ommonwealth environmental </w:t>
      </w:r>
      <w:r w:rsidR="00D83954">
        <w:t>wate</w:t>
      </w:r>
      <w:r w:rsidR="006560C7">
        <w:t>r</w:t>
      </w:r>
      <w:r w:rsidR="00D83954">
        <w:t>ing</w:t>
      </w:r>
      <w:bookmarkEnd w:id="28"/>
      <w:r w:rsidR="00D83954">
        <w:t xml:space="preserve"> </w:t>
      </w:r>
    </w:p>
    <w:p w14:paraId="3B4F898C" w14:textId="77777777" w:rsidR="00887F53" w:rsidRPr="00887F53" w:rsidRDefault="00887F53" w:rsidP="001012C1">
      <w:pPr>
        <w:spacing w:after="0" w:line="320" w:lineRule="exact"/>
        <w:rPr>
          <w:lang w:val="en-US" w:eastAsia="en-AU"/>
        </w:rPr>
      </w:pPr>
    </w:p>
    <w:p w14:paraId="3B4F898D" w14:textId="77777777" w:rsidR="00D83954" w:rsidRDefault="00AB7D51" w:rsidP="0062265B">
      <w:pPr>
        <w:tabs>
          <w:tab w:val="left" w:pos="9071"/>
        </w:tabs>
        <w:spacing w:after="120" w:line="320" w:lineRule="exact"/>
        <w:jc w:val="left"/>
        <w:rPr>
          <w:b/>
          <w:color w:val="4F6228" w:themeColor="accent3" w:themeShade="80"/>
          <w:sz w:val="24"/>
          <w:szCs w:val="24"/>
        </w:rPr>
      </w:pPr>
      <w:r>
        <w:rPr>
          <w:b/>
          <w:color w:val="4F6228" w:themeColor="accent3" w:themeShade="80"/>
          <w:sz w:val="24"/>
          <w:szCs w:val="24"/>
        </w:rPr>
        <w:t>7</w:t>
      </w:r>
      <w:r w:rsidR="00D83954">
        <w:rPr>
          <w:b/>
          <w:color w:val="4F6228" w:themeColor="accent3" w:themeShade="80"/>
          <w:sz w:val="24"/>
          <w:szCs w:val="24"/>
        </w:rPr>
        <w:t xml:space="preserve">.1 </w:t>
      </w:r>
      <w:r w:rsidR="001012C1">
        <w:rPr>
          <w:b/>
          <w:color w:val="4F6228" w:themeColor="accent3" w:themeShade="80"/>
          <w:sz w:val="24"/>
          <w:szCs w:val="24"/>
        </w:rPr>
        <w:t>Monitoring</w:t>
      </w:r>
    </w:p>
    <w:p w14:paraId="3B4F898E" w14:textId="2AECE767" w:rsidR="00256D83" w:rsidRPr="00316975" w:rsidRDefault="00256D83" w:rsidP="00B12758">
      <w:pPr>
        <w:pStyle w:val="ListBullet"/>
        <w:spacing w:after="240" w:line="320" w:lineRule="exact"/>
        <w:ind w:right="-143"/>
        <w:jc w:val="left"/>
        <w:rPr>
          <w:sz w:val="22"/>
          <w:szCs w:val="22"/>
        </w:rPr>
      </w:pPr>
      <w:r w:rsidRPr="00AC6F48">
        <w:rPr>
          <w:rFonts w:cs="Calibri"/>
          <w:sz w:val="22"/>
          <w:szCs w:val="22"/>
        </w:rPr>
        <w:t xml:space="preserve">The </w:t>
      </w:r>
      <w:r w:rsidR="00B12758">
        <w:rPr>
          <w:rFonts w:cs="Calibri"/>
          <w:sz w:val="22"/>
          <w:szCs w:val="22"/>
        </w:rPr>
        <w:t>taxonomic</w:t>
      </w:r>
      <w:r w:rsidR="00B64627">
        <w:rPr>
          <w:rFonts w:cs="Calibri"/>
          <w:sz w:val="22"/>
          <w:szCs w:val="22"/>
        </w:rPr>
        <w:t xml:space="preserve"> richness</w:t>
      </w:r>
      <w:r w:rsidRPr="00AC6F48">
        <w:rPr>
          <w:rFonts w:cs="Calibri"/>
          <w:sz w:val="22"/>
          <w:szCs w:val="22"/>
        </w:rPr>
        <w:t xml:space="preserve"> and percent cover of aquatic and riverbank vegetation </w:t>
      </w:r>
      <w:r>
        <w:rPr>
          <w:rFonts w:cs="Calibri"/>
          <w:sz w:val="22"/>
          <w:szCs w:val="22"/>
        </w:rPr>
        <w:t>were</w:t>
      </w:r>
      <w:r w:rsidRPr="00AC6F48">
        <w:rPr>
          <w:rFonts w:cs="Calibri"/>
          <w:sz w:val="22"/>
          <w:szCs w:val="22"/>
        </w:rPr>
        <w:t xml:space="preserve"> monitored monthly from </w:t>
      </w:r>
      <w:r>
        <w:rPr>
          <w:rFonts w:cs="Calibri"/>
          <w:sz w:val="22"/>
          <w:szCs w:val="22"/>
        </w:rPr>
        <w:t>August 2015</w:t>
      </w:r>
      <w:r w:rsidRPr="00AC6F48">
        <w:rPr>
          <w:rFonts w:cs="Calibri"/>
          <w:sz w:val="22"/>
          <w:szCs w:val="22"/>
        </w:rPr>
        <w:t xml:space="preserve"> to </w:t>
      </w:r>
      <w:r>
        <w:rPr>
          <w:rFonts w:cs="Calibri"/>
          <w:sz w:val="22"/>
          <w:szCs w:val="22"/>
        </w:rPr>
        <w:t>May 2016</w:t>
      </w:r>
      <w:r w:rsidRPr="00AC6F48">
        <w:rPr>
          <w:rFonts w:cs="Calibri"/>
          <w:sz w:val="22"/>
          <w:szCs w:val="22"/>
        </w:rPr>
        <w:t xml:space="preserve"> at four sites in </w:t>
      </w:r>
      <w:r>
        <w:rPr>
          <w:rFonts w:cs="Calibri"/>
          <w:sz w:val="22"/>
          <w:szCs w:val="22"/>
        </w:rPr>
        <w:t xml:space="preserve">each of </w:t>
      </w:r>
      <w:r w:rsidRPr="00AC6F48">
        <w:rPr>
          <w:rFonts w:cs="Calibri"/>
          <w:sz w:val="22"/>
          <w:szCs w:val="22"/>
        </w:rPr>
        <w:t>four hydrological zones in th</w:t>
      </w:r>
      <w:r>
        <w:rPr>
          <w:rFonts w:cs="Calibri"/>
          <w:sz w:val="22"/>
          <w:szCs w:val="22"/>
        </w:rPr>
        <w:t>e Edward-Wakool system. Taxa were classified as submerged, amphibious or terrestrial.</w:t>
      </w:r>
    </w:p>
    <w:p w14:paraId="3B4F898F" w14:textId="77777777" w:rsidR="00256D83" w:rsidRPr="00256D83" w:rsidRDefault="00AB7D51" w:rsidP="00256D83">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7</w:t>
      </w:r>
      <w:r w:rsidR="00256D83" w:rsidRPr="00256D83">
        <w:rPr>
          <w:b/>
          <w:color w:val="4F6228" w:themeColor="accent3" w:themeShade="80"/>
          <w:sz w:val="24"/>
          <w:szCs w:val="24"/>
        </w:rPr>
        <w:t>.2 Main findings</w:t>
      </w:r>
    </w:p>
    <w:p w14:paraId="3B4F8990" w14:textId="77777777" w:rsidR="00256D83" w:rsidRDefault="00B42194" w:rsidP="005700BE">
      <w:pPr>
        <w:autoSpaceDE w:val="0"/>
        <w:autoSpaceDN w:val="0"/>
        <w:adjustRightInd w:val="0"/>
        <w:spacing w:after="240" w:line="320" w:lineRule="exact"/>
        <w:jc w:val="left"/>
        <w:rPr>
          <w:szCs w:val="22"/>
        </w:rPr>
      </w:pPr>
      <w:r>
        <w:rPr>
          <w:szCs w:val="22"/>
        </w:rPr>
        <w:t xml:space="preserve">This section provides a summary of the main aquatic and riverbank vegetation responses to Commonwealth environmental watering in the Edward-Wakool system in 2015-16. Detailed findings are presented in </w:t>
      </w:r>
      <w:r w:rsidRPr="0088257B">
        <w:rPr>
          <w:szCs w:val="22"/>
        </w:rPr>
        <w:t xml:space="preserve">Appendix </w:t>
      </w:r>
      <w:r w:rsidR="0088257B" w:rsidRPr="0088257B">
        <w:rPr>
          <w:szCs w:val="22"/>
        </w:rPr>
        <w:t>C</w:t>
      </w:r>
      <w:r w:rsidRPr="0088257B">
        <w:rPr>
          <w:szCs w:val="22"/>
        </w:rPr>
        <w:t>.</w:t>
      </w:r>
      <w:r w:rsidR="005700BE">
        <w:rPr>
          <w:szCs w:val="22"/>
        </w:rPr>
        <w:t xml:space="preserve"> </w:t>
      </w:r>
      <w:r w:rsidR="00256D83" w:rsidRPr="004E6851">
        <w:rPr>
          <w:szCs w:val="22"/>
        </w:rPr>
        <w:t xml:space="preserve">A total of 45 riverbank and aquatic vegetation taxa were recorded across the sixteen sites between August 2015 and May 2016. </w:t>
      </w:r>
      <w:r w:rsidR="00256D83">
        <w:rPr>
          <w:szCs w:val="22"/>
        </w:rPr>
        <w:t xml:space="preserve">Only four </w:t>
      </w:r>
      <w:r w:rsidR="0018604F">
        <w:rPr>
          <w:szCs w:val="22"/>
        </w:rPr>
        <w:t xml:space="preserve">non-native </w:t>
      </w:r>
      <w:r w:rsidR="00256D83">
        <w:rPr>
          <w:szCs w:val="22"/>
        </w:rPr>
        <w:t xml:space="preserve">taxa were </w:t>
      </w:r>
      <w:r w:rsidR="0018604F">
        <w:rPr>
          <w:szCs w:val="22"/>
        </w:rPr>
        <w:t>recorded</w:t>
      </w:r>
      <w:r w:rsidR="00256D83">
        <w:rPr>
          <w:szCs w:val="22"/>
        </w:rPr>
        <w:t xml:space="preserve"> and they were all in low abundance. </w:t>
      </w:r>
      <w:r w:rsidR="00256D83" w:rsidRPr="00CF2F4F">
        <w:rPr>
          <w:szCs w:val="22"/>
        </w:rPr>
        <w:t xml:space="preserve">The ten most abundant taxa observed were the submerged Charophyte </w:t>
      </w:r>
      <w:r w:rsidR="00256D83" w:rsidRPr="00CF2F4F">
        <w:rPr>
          <w:i/>
          <w:szCs w:val="22"/>
        </w:rPr>
        <w:t>Chara spp</w:t>
      </w:r>
      <w:r w:rsidR="00256D83" w:rsidRPr="00CF2F4F">
        <w:rPr>
          <w:szCs w:val="22"/>
        </w:rPr>
        <w:t>., amphibious taxa including floating pondweed (</w:t>
      </w:r>
      <w:r w:rsidR="00256D83" w:rsidRPr="00CF2F4F">
        <w:rPr>
          <w:i/>
          <w:szCs w:val="22"/>
        </w:rPr>
        <w:t>Potamogeton tricarinatus</w:t>
      </w:r>
      <w:r w:rsidR="00256D83" w:rsidRPr="00CF2F4F">
        <w:rPr>
          <w:szCs w:val="22"/>
        </w:rPr>
        <w:t>), milfoil (</w:t>
      </w:r>
      <w:r w:rsidR="00256D83" w:rsidRPr="00CF2F4F">
        <w:rPr>
          <w:i/>
          <w:szCs w:val="22"/>
        </w:rPr>
        <w:t>Myriophyllum</w:t>
      </w:r>
      <w:r w:rsidR="00256D83" w:rsidRPr="00CF2F4F">
        <w:rPr>
          <w:szCs w:val="22"/>
        </w:rPr>
        <w:t xml:space="preserve"> sp.), water fern (</w:t>
      </w:r>
      <w:r w:rsidR="00256D83" w:rsidRPr="00CF2F4F">
        <w:rPr>
          <w:i/>
          <w:szCs w:val="22"/>
        </w:rPr>
        <w:t>Azolla sp</w:t>
      </w:r>
      <w:r w:rsidR="00256D83" w:rsidRPr="00CF2F4F">
        <w:rPr>
          <w:szCs w:val="22"/>
        </w:rPr>
        <w:t>.), mud grass (</w:t>
      </w:r>
      <w:r w:rsidR="00256D83" w:rsidRPr="00CF2F4F">
        <w:rPr>
          <w:i/>
          <w:color w:val="000000"/>
          <w:szCs w:val="22"/>
        </w:rPr>
        <w:t>Pseudoraphis spinescens</w:t>
      </w:r>
      <w:r w:rsidR="00256D83" w:rsidRPr="00CF2F4F">
        <w:rPr>
          <w:rStyle w:val="st"/>
          <w:szCs w:val="22"/>
        </w:rPr>
        <w:t xml:space="preserve">), </w:t>
      </w:r>
      <w:r w:rsidR="00256D83" w:rsidRPr="00CF2F4F">
        <w:rPr>
          <w:szCs w:val="22"/>
        </w:rPr>
        <w:t>rush (</w:t>
      </w:r>
      <w:r w:rsidR="00256D83" w:rsidRPr="00CF2F4F">
        <w:rPr>
          <w:i/>
          <w:szCs w:val="22"/>
        </w:rPr>
        <w:t>Juncus</w:t>
      </w:r>
      <w:r w:rsidR="00256D83" w:rsidRPr="00CF2F4F">
        <w:rPr>
          <w:szCs w:val="22"/>
        </w:rPr>
        <w:t xml:space="preserve"> spp.), sedge (</w:t>
      </w:r>
      <w:r w:rsidR="00256D83" w:rsidRPr="00CF2F4F">
        <w:rPr>
          <w:i/>
          <w:szCs w:val="22"/>
        </w:rPr>
        <w:t xml:space="preserve">Cyperus </w:t>
      </w:r>
      <w:r w:rsidR="00256D83" w:rsidRPr="00CF2F4F">
        <w:rPr>
          <w:szCs w:val="22"/>
        </w:rPr>
        <w:t>spp</w:t>
      </w:r>
      <w:r w:rsidR="00256D83" w:rsidRPr="00CF2F4F">
        <w:rPr>
          <w:i/>
          <w:szCs w:val="22"/>
        </w:rPr>
        <w:t>.</w:t>
      </w:r>
      <w:r w:rsidR="00256D83" w:rsidRPr="00CF2F4F">
        <w:rPr>
          <w:szCs w:val="22"/>
        </w:rPr>
        <w:t>) and water primrose (</w:t>
      </w:r>
      <w:r w:rsidR="00256D83" w:rsidRPr="00CF2F4F">
        <w:rPr>
          <w:i/>
          <w:szCs w:val="22"/>
        </w:rPr>
        <w:t>Ludwegia peploides</w:t>
      </w:r>
      <w:r w:rsidR="00256D83" w:rsidRPr="00CF2F4F">
        <w:rPr>
          <w:szCs w:val="22"/>
        </w:rPr>
        <w:t xml:space="preserve">), and terrestrial taxa </w:t>
      </w:r>
      <w:r w:rsidR="00256D83">
        <w:rPr>
          <w:szCs w:val="22"/>
        </w:rPr>
        <w:t>including</w:t>
      </w:r>
      <w:r w:rsidR="00256D83" w:rsidRPr="00CF2F4F">
        <w:rPr>
          <w:szCs w:val="22"/>
        </w:rPr>
        <w:t xml:space="preserve"> common sneeze weed (</w:t>
      </w:r>
      <w:r w:rsidR="00256D83" w:rsidRPr="00CF2F4F">
        <w:rPr>
          <w:i/>
          <w:szCs w:val="22"/>
        </w:rPr>
        <w:t>Centipeda</w:t>
      </w:r>
      <w:r w:rsidR="00256D83" w:rsidRPr="00CF2F4F">
        <w:rPr>
          <w:szCs w:val="22"/>
        </w:rPr>
        <w:t xml:space="preserve"> </w:t>
      </w:r>
      <w:r w:rsidR="00256D83" w:rsidRPr="00CF2F4F">
        <w:rPr>
          <w:i/>
          <w:szCs w:val="22"/>
        </w:rPr>
        <w:t>cunninghamii</w:t>
      </w:r>
      <w:r w:rsidR="00256D83" w:rsidRPr="00CF2F4F">
        <w:rPr>
          <w:szCs w:val="22"/>
        </w:rPr>
        <w:t>) and grasses</w:t>
      </w:r>
      <w:r w:rsidR="00544F92">
        <w:rPr>
          <w:szCs w:val="22"/>
        </w:rPr>
        <w:t xml:space="preserve"> (Figure 7</w:t>
      </w:r>
      <w:r w:rsidR="00256D83">
        <w:rPr>
          <w:szCs w:val="22"/>
        </w:rPr>
        <w:t>.1</w:t>
      </w:r>
      <w:r w:rsidR="00256D83" w:rsidRPr="00E54B64">
        <w:rPr>
          <w:szCs w:val="22"/>
        </w:rPr>
        <w:t>)</w:t>
      </w:r>
      <w:r w:rsidR="00256D83">
        <w:rPr>
          <w:szCs w:val="22"/>
        </w:rPr>
        <w:t>.</w:t>
      </w:r>
    </w:p>
    <w:p w14:paraId="3B4F8991" w14:textId="77777777" w:rsidR="00256D83" w:rsidRDefault="00256D83" w:rsidP="007370A3">
      <w:pPr>
        <w:spacing w:after="0" w:line="240" w:lineRule="auto"/>
        <w:ind w:right="-568"/>
      </w:pPr>
      <w:r>
        <w:rPr>
          <w:noProof/>
          <w:szCs w:val="22"/>
          <w:lang w:eastAsia="en-AU"/>
        </w:rPr>
        <w:drawing>
          <wp:inline distT="0" distB="0" distL="0" distR="0" wp14:anchorId="3B4F95F8" wp14:editId="6C3C7632">
            <wp:extent cx="2747591" cy="2016000"/>
            <wp:effectExtent l="0" t="0" r="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g picture.jpg"/>
                    <pic:cNvPicPr/>
                  </pic:nvPicPr>
                  <pic:blipFill rotWithShape="1">
                    <a:blip r:embed="rId52" cstate="email">
                      <a:extLst>
                        <a:ext uri="{28A0092B-C50C-407E-A947-70E740481C1C}">
                          <a14:useLocalDpi xmlns:a14="http://schemas.microsoft.com/office/drawing/2010/main"/>
                        </a:ext>
                      </a:extLst>
                    </a:blip>
                    <a:srcRect t="2168"/>
                    <a:stretch/>
                  </pic:blipFill>
                  <pic:spPr bwMode="auto">
                    <a:xfrm>
                      <a:off x="0" y="0"/>
                      <a:ext cx="2747591" cy="2016000"/>
                    </a:xfrm>
                    <a:prstGeom prst="rect">
                      <a:avLst/>
                    </a:prstGeom>
                    <a:ln>
                      <a:noFill/>
                    </a:ln>
                    <a:extLst>
                      <a:ext uri="{53640926-AAD7-44D8-BBD7-CCE9431645EC}">
                        <a14:shadowObscured xmlns:a14="http://schemas.microsoft.com/office/drawing/2010/main"/>
                      </a:ext>
                    </a:extLst>
                  </pic:spPr>
                </pic:pic>
              </a:graphicData>
            </a:graphic>
          </wp:inline>
        </w:drawing>
      </w:r>
      <w:r w:rsidR="007370A3">
        <w:t xml:space="preserve"> </w:t>
      </w:r>
      <w:r w:rsidR="007370A3">
        <w:rPr>
          <w:noProof/>
          <w:lang w:eastAsia="en-AU"/>
        </w:rPr>
        <w:drawing>
          <wp:inline distT="0" distB="0" distL="0" distR="0" wp14:anchorId="3B4F95FA" wp14:editId="30F100F2">
            <wp:extent cx="2547562" cy="2016000"/>
            <wp:effectExtent l="0" t="0" r="571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51221_112635.jpg"/>
                    <pic:cNvPicPr/>
                  </pic:nvPicPr>
                  <pic:blipFill rotWithShape="1">
                    <a:blip r:embed="rId53" cstate="email">
                      <a:extLst>
                        <a:ext uri="{28A0092B-C50C-407E-A947-70E740481C1C}">
                          <a14:useLocalDpi xmlns:a14="http://schemas.microsoft.com/office/drawing/2010/main"/>
                        </a:ext>
                      </a:extLst>
                    </a:blip>
                    <a:srcRect t="2168" r="7279"/>
                    <a:stretch/>
                  </pic:blipFill>
                  <pic:spPr bwMode="auto">
                    <a:xfrm>
                      <a:off x="0" y="0"/>
                      <a:ext cx="2547562" cy="2016000"/>
                    </a:xfrm>
                    <a:prstGeom prst="rect">
                      <a:avLst/>
                    </a:prstGeom>
                    <a:ln>
                      <a:noFill/>
                    </a:ln>
                    <a:extLst>
                      <a:ext uri="{53640926-AAD7-44D8-BBD7-CCE9431645EC}">
                        <a14:shadowObscured xmlns:a14="http://schemas.microsoft.com/office/drawing/2010/main"/>
                      </a:ext>
                    </a:extLst>
                  </pic:spPr>
                </pic:pic>
              </a:graphicData>
            </a:graphic>
          </wp:inline>
        </w:drawing>
      </w:r>
    </w:p>
    <w:p w14:paraId="3B4F8992" w14:textId="77777777" w:rsidR="00256D83" w:rsidRPr="00720F92" w:rsidRDefault="00544F92" w:rsidP="00B42194">
      <w:pPr>
        <w:spacing w:after="120" w:line="240" w:lineRule="auto"/>
        <w:rPr>
          <w:sz w:val="20"/>
        </w:rPr>
      </w:pPr>
      <w:r>
        <w:rPr>
          <w:b/>
          <w:sz w:val="20"/>
        </w:rPr>
        <w:t>Figure 7</w:t>
      </w:r>
      <w:r w:rsidR="00256D83">
        <w:rPr>
          <w:b/>
          <w:sz w:val="20"/>
        </w:rPr>
        <w:t>.1</w:t>
      </w:r>
      <w:r w:rsidR="00256D83" w:rsidRPr="00720F92">
        <w:rPr>
          <w:b/>
          <w:sz w:val="20"/>
        </w:rPr>
        <w:t>.</w:t>
      </w:r>
      <w:r w:rsidR="00256D83" w:rsidRPr="00720F92">
        <w:rPr>
          <w:sz w:val="20"/>
        </w:rPr>
        <w:t xml:space="preserve"> </w:t>
      </w:r>
      <w:r w:rsidR="007370A3">
        <w:rPr>
          <w:sz w:val="20"/>
        </w:rPr>
        <w:t xml:space="preserve">Left: </w:t>
      </w:r>
      <w:r w:rsidR="00256D83">
        <w:rPr>
          <w:sz w:val="20"/>
        </w:rPr>
        <w:t>F</w:t>
      </w:r>
      <w:r w:rsidR="00256D83" w:rsidRPr="00720F92">
        <w:rPr>
          <w:sz w:val="20"/>
        </w:rPr>
        <w:t xml:space="preserve">loating pond weed, milfoil, sedge, </w:t>
      </w:r>
      <w:r w:rsidR="00256D83">
        <w:rPr>
          <w:sz w:val="20"/>
        </w:rPr>
        <w:t xml:space="preserve">water fern </w:t>
      </w:r>
      <w:r w:rsidR="00256D83" w:rsidRPr="00720F92">
        <w:rPr>
          <w:sz w:val="20"/>
        </w:rPr>
        <w:t>and rushes in the Wakool River</w:t>
      </w:r>
      <w:r w:rsidR="007370A3">
        <w:rPr>
          <w:sz w:val="20"/>
        </w:rPr>
        <w:t xml:space="preserve"> zone 3. Right: Minimal riverbank and aquatic vegetation and high level of leaf litter in the Wakool River zone 2.</w:t>
      </w:r>
    </w:p>
    <w:p w14:paraId="3B4F8993" w14:textId="6EDC83B6" w:rsidR="00256D83" w:rsidRDefault="00256D83" w:rsidP="005700BE">
      <w:pPr>
        <w:pStyle w:val="ListBullet"/>
        <w:spacing w:after="120" w:line="320" w:lineRule="exact"/>
        <w:contextualSpacing w:val="0"/>
        <w:jc w:val="left"/>
        <w:rPr>
          <w:sz w:val="22"/>
          <w:szCs w:val="22"/>
        </w:rPr>
      </w:pPr>
      <w:r w:rsidRPr="002A2796">
        <w:rPr>
          <w:rFonts w:cs="Calibri"/>
          <w:sz w:val="22"/>
          <w:szCs w:val="22"/>
        </w:rPr>
        <w:t xml:space="preserve">There were more taxa recorded in Yallakool Creek zone 1 </w:t>
      </w:r>
      <w:r w:rsidR="0062265B">
        <w:rPr>
          <w:rFonts w:cs="Calibri"/>
          <w:sz w:val="22"/>
          <w:szCs w:val="22"/>
        </w:rPr>
        <w:t>(36 taxa) and Wakool River zone</w:t>
      </w:r>
      <w:r w:rsidRPr="002A2796">
        <w:rPr>
          <w:rFonts w:cs="Calibri"/>
          <w:sz w:val="22"/>
          <w:szCs w:val="22"/>
        </w:rPr>
        <w:t xml:space="preserve"> 3 (30 taxa) and zone 4 (28 taxa) that received </w:t>
      </w:r>
      <w:r>
        <w:rPr>
          <w:rFonts w:cs="Calibri"/>
          <w:sz w:val="22"/>
          <w:szCs w:val="22"/>
        </w:rPr>
        <w:t xml:space="preserve">the Yallakool Creek </w:t>
      </w:r>
      <w:r w:rsidRPr="002A2796">
        <w:rPr>
          <w:rFonts w:cs="Calibri"/>
          <w:sz w:val="22"/>
          <w:szCs w:val="22"/>
        </w:rPr>
        <w:t xml:space="preserve">environmental </w:t>
      </w:r>
      <w:r w:rsidR="00B64627">
        <w:rPr>
          <w:rFonts w:cs="Calibri"/>
          <w:sz w:val="22"/>
          <w:szCs w:val="22"/>
        </w:rPr>
        <w:t xml:space="preserve">base </w:t>
      </w:r>
      <w:r>
        <w:rPr>
          <w:rFonts w:cs="Calibri"/>
          <w:sz w:val="22"/>
          <w:szCs w:val="22"/>
        </w:rPr>
        <w:t>flow and fresh</w:t>
      </w:r>
      <w:r w:rsidRPr="002A2796">
        <w:rPr>
          <w:rFonts w:cs="Calibri"/>
          <w:sz w:val="22"/>
          <w:szCs w:val="22"/>
        </w:rPr>
        <w:t xml:space="preserve"> than in the upper Wakool River zone 2 (22 taxa) that received a </w:t>
      </w:r>
      <w:r w:rsidR="00B64627">
        <w:rPr>
          <w:rFonts w:cs="Calibri"/>
          <w:sz w:val="22"/>
          <w:szCs w:val="22"/>
        </w:rPr>
        <w:t xml:space="preserve">only a </w:t>
      </w:r>
      <w:r w:rsidRPr="002A2796">
        <w:rPr>
          <w:rFonts w:cs="Calibri"/>
          <w:sz w:val="22"/>
          <w:szCs w:val="22"/>
        </w:rPr>
        <w:t>small magnitude environmental watering action</w:t>
      </w:r>
      <w:r w:rsidR="00544F92">
        <w:rPr>
          <w:rFonts w:cs="Calibri"/>
          <w:sz w:val="22"/>
          <w:szCs w:val="22"/>
        </w:rPr>
        <w:t xml:space="preserve"> </w:t>
      </w:r>
      <w:r w:rsidR="00B64627">
        <w:rPr>
          <w:rFonts w:cs="Calibri"/>
          <w:sz w:val="22"/>
          <w:szCs w:val="22"/>
        </w:rPr>
        <w:t>(</w:t>
      </w:r>
      <w:r w:rsidR="00B12758">
        <w:rPr>
          <w:rFonts w:cs="Calibri"/>
          <w:sz w:val="22"/>
          <w:szCs w:val="22"/>
        </w:rPr>
        <w:t>Section 4</w:t>
      </w:r>
      <w:r>
        <w:rPr>
          <w:rFonts w:cs="Calibri"/>
          <w:sz w:val="22"/>
          <w:szCs w:val="22"/>
        </w:rPr>
        <w:t>)</w:t>
      </w:r>
      <w:r w:rsidRPr="002A2796">
        <w:rPr>
          <w:rFonts w:cs="Calibri"/>
          <w:sz w:val="22"/>
          <w:szCs w:val="22"/>
        </w:rPr>
        <w:t xml:space="preserve">. </w:t>
      </w:r>
      <w:r>
        <w:rPr>
          <w:sz w:val="22"/>
          <w:szCs w:val="22"/>
        </w:rPr>
        <w:t>The response of riverbank and aquatic vegetation to environmental watering was similar in 2015-16 to that in 2014-</w:t>
      </w:r>
      <w:r>
        <w:rPr>
          <w:sz w:val="22"/>
          <w:szCs w:val="22"/>
        </w:rPr>
        <w:lastRenderedPageBreak/>
        <w:t>15 (Watts et al. 2015</w:t>
      </w:r>
      <w:r w:rsidR="00BB1AD5">
        <w:rPr>
          <w:sz w:val="22"/>
          <w:szCs w:val="22"/>
        </w:rPr>
        <w:t>b</w:t>
      </w:r>
      <w:r>
        <w:rPr>
          <w:sz w:val="22"/>
          <w:szCs w:val="22"/>
        </w:rPr>
        <w:t xml:space="preserve">). </w:t>
      </w:r>
      <w:r w:rsidRPr="000A4090">
        <w:rPr>
          <w:sz w:val="22"/>
          <w:szCs w:val="22"/>
        </w:rPr>
        <w:t xml:space="preserve">There was a higher percent cover and </w:t>
      </w:r>
      <w:r w:rsidR="00BB7675">
        <w:rPr>
          <w:sz w:val="22"/>
          <w:szCs w:val="22"/>
        </w:rPr>
        <w:t>taxonomic richness</w:t>
      </w:r>
      <w:r w:rsidRPr="000A4090">
        <w:rPr>
          <w:sz w:val="22"/>
          <w:szCs w:val="22"/>
        </w:rPr>
        <w:t xml:space="preserve"> of </w:t>
      </w:r>
      <w:r w:rsidR="0062265B">
        <w:rPr>
          <w:sz w:val="22"/>
          <w:szCs w:val="22"/>
        </w:rPr>
        <w:t xml:space="preserve">riverbank </w:t>
      </w:r>
      <w:r w:rsidRPr="000A4090">
        <w:rPr>
          <w:sz w:val="22"/>
          <w:szCs w:val="22"/>
        </w:rPr>
        <w:t xml:space="preserve">aquatic vegetation growing </w:t>
      </w:r>
      <w:r w:rsidR="0062265B">
        <w:rPr>
          <w:sz w:val="22"/>
          <w:szCs w:val="22"/>
        </w:rPr>
        <w:t>in</w:t>
      </w:r>
      <w:r w:rsidRPr="000A4090">
        <w:rPr>
          <w:sz w:val="22"/>
          <w:szCs w:val="22"/>
        </w:rPr>
        <w:t xml:space="preserve"> zones 3 and 4 that has a history of environmental water</w:t>
      </w:r>
      <w:r w:rsidR="00BB7675">
        <w:rPr>
          <w:sz w:val="22"/>
          <w:szCs w:val="22"/>
        </w:rPr>
        <w:t>ing</w:t>
      </w:r>
      <w:r w:rsidRPr="000A4090">
        <w:t xml:space="preserve"> </w:t>
      </w:r>
      <w:r>
        <w:rPr>
          <w:sz w:val="22"/>
          <w:szCs w:val="22"/>
        </w:rPr>
        <w:t>compared to that in</w:t>
      </w:r>
      <w:r w:rsidRPr="000A4090">
        <w:rPr>
          <w:sz w:val="22"/>
          <w:szCs w:val="22"/>
        </w:rPr>
        <w:t xml:space="preserve"> the Wakool River zone 2 that ha</w:t>
      </w:r>
      <w:r>
        <w:rPr>
          <w:sz w:val="22"/>
          <w:szCs w:val="22"/>
        </w:rPr>
        <w:t>s received none or very small v</w:t>
      </w:r>
      <w:r w:rsidRPr="000A4090">
        <w:rPr>
          <w:sz w:val="22"/>
          <w:szCs w:val="22"/>
        </w:rPr>
        <w:t>olumes of environmental water</w:t>
      </w:r>
      <w:r>
        <w:rPr>
          <w:sz w:val="22"/>
          <w:szCs w:val="22"/>
        </w:rPr>
        <w:t>.</w:t>
      </w:r>
    </w:p>
    <w:p w14:paraId="3B4F8994" w14:textId="77777777" w:rsidR="005700BE" w:rsidRDefault="00256D83" w:rsidP="005700BE">
      <w:pPr>
        <w:spacing w:after="120" w:line="320" w:lineRule="exact"/>
        <w:jc w:val="left"/>
      </w:pPr>
      <w:r>
        <w:t xml:space="preserve">The most evident change across years was an increase in the abundance of the amphibious mud grass, floating pondweed and milfoil </w:t>
      </w:r>
      <w:r w:rsidR="0062265B">
        <w:t>in zones 3 and 4 and</w:t>
      </w:r>
      <w:r>
        <w:t xml:space="preserve"> a decrease in cover of spikerush in zone 4 and a slight decrease in rush in zo</w:t>
      </w:r>
      <w:r w:rsidR="00544F92">
        <w:t>nes 1, 3 and 4 (Figure 7</w:t>
      </w:r>
      <w:r w:rsidR="0062265B">
        <w:t>.2).</w:t>
      </w:r>
      <w:r>
        <w:t xml:space="preserve"> </w:t>
      </w:r>
    </w:p>
    <w:p w14:paraId="3B4F8995" w14:textId="77777777" w:rsidR="00256D83" w:rsidRDefault="00256D83" w:rsidP="005700BE">
      <w:pPr>
        <w:spacing w:after="120" w:line="320" w:lineRule="exact"/>
        <w:jc w:val="left"/>
        <w:rPr>
          <w:szCs w:val="22"/>
        </w:rPr>
      </w:pPr>
      <w:r w:rsidRPr="003D528A">
        <w:rPr>
          <w:szCs w:val="22"/>
        </w:rPr>
        <w:t>The response of aquatic and riverbank vegetation to environmental watering has been an ongoing process</w:t>
      </w:r>
      <w:r w:rsidR="005700BE">
        <w:rPr>
          <w:szCs w:val="22"/>
        </w:rPr>
        <w:t xml:space="preserve"> and the differences among zones is not the outcome of a single watering action</w:t>
      </w:r>
      <w:r w:rsidRPr="003D528A">
        <w:rPr>
          <w:szCs w:val="22"/>
        </w:rPr>
        <w:t xml:space="preserve">. There has been a gradual improvement in vegetation observed </w:t>
      </w:r>
      <w:r>
        <w:rPr>
          <w:szCs w:val="22"/>
        </w:rPr>
        <w:t>in zones 1, 3 and 4</w:t>
      </w:r>
      <w:r w:rsidRPr="003D528A">
        <w:rPr>
          <w:szCs w:val="22"/>
        </w:rPr>
        <w:t xml:space="preserve"> that have </w:t>
      </w:r>
      <w:r>
        <w:rPr>
          <w:szCs w:val="22"/>
        </w:rPr>
        <w:t xml:space="preserve">consistently </w:t>
      </w:r>
      <w:r w:rsidRPr="003D528A">
        <w:rPr>
          <w:szCs w:val="22"/>
        </w:rPr>
        <w:t xml:space="preserve">received Commonwealth environmental water over the past </w:t>
      </w:r>
      <w:r>
        <w:rPr>
          <w:szCs w:val="22"/>
        </w:rPr>
        <w:t>five</w:t>
      </w:r>
      <w:r w:rsidRPr="003D528A">
        <w:rPr>
          <w:szCs w:val="22"/>
        </w:rPr>
        <w:t xml:space="preserve"> years.</w:t>
      </w:r>
      <w:r w:rsidR="005700BE">
        <w:rPr>
          <w:szCs w:val="22"/>
        </w:rPr>
        <w:t xml:space="preserve"> </w:t>
      </w:r>
    </w:p>
    <w:p w14:paraId="3B4F8996" w14:textId="77777777" w:rsidR="00256D83" w:rsidRDefault="00256D83" w:rsidP="00544F92">
      <w:pPr>
        <w:spacing w:after="0" w:line="240" w:lineRule="auto"/>
      </w:pPr>
      <w:r>
        <w:rPr>
          <w:noProof/>
          <w:lang w:eastAsia="en-AU"/>
        </w:rPr>
        <w:drawing>
          <wp:inline distT="0" distB="0" distL="0" distR="0" wp14:anchorId="3B4F95FC" wp14:editId="28BDFEBC">
            <wp:extent cx="5142281" cy="5904000"/>
            <wp:effectExtent l="0" t="0" r="1270" b="190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142281" cy="5904000"/>
                    </a:xfrm>
                    <a:prstGeom prst="rect">
                      <a:avLst/>
                    </a:prstGeom>
                    <a:noFill/>
                  </pic:spPr>
                </pic:pic>
              </a:graphicData>
            </a:graphic>
          </wp:inline>
        </w:drawing>
      </w:r>
    </w:p>
    <w:p w14:paraId="3B4F8997" w14:textId="77777777" w:rsidR="00256D83" w:rsidRDefault="00544F92" w:rsidP="00B12758">
      <w:pPr>
        <w:spacing w:after="0" w:line="240" w:lineRule="auto"/>
        <w:jc w:val="left"/>
        <w:rPr>
          <w:color w:val="4F6228" w:themeColor="accent3" w:themeShade="80"/>
          <w:szCs w:val="22"/>
        </w:rPr>
      </w:pPr>
      <w:r>
        <w:rPr>
          <w:b/>
          <w:sz w:val="20"/>
        </w:rPr>
        <w:lastRenderedPageBreak/>
        <w:t>Figure 7</w:t>
      </w:r>
      <w:r w:rsidR="0094680B">
        <w:rPr>
          <w:b/>
          <w:sz w:val="20"/>
        </w:rPr>
        <w:t>.2</w:t>
      </w:r>
      <w:r w:rsidR="00256D83" w:rsidRPr="00CB65EA">
        <w:rPr>
          <w:b/>
          <w:sz w:val="20"/>
        </w:rPr>
        <w:t>.</w:t>
      </w:r>
      <w:r w:rsidR="00256D83" w:rsidRPr="00CB65EA">
        <w:rPr>
          <w:sz w:val="20"/>
        </w:rPr>
        <w:t xml:space="preserve"> Maximum cover of riverbank and aquatic vegetation taxa monitored monthly across four hydrological zones in the Edward-Wakool system between October 2015 and May 2016. Taxa were classified as submerged, amphibious or terrestrial. Red dots indicate maximum cover in 2014-15 and blue dots indicate maximum cover in 2015-16.    EDWK01 = Yallakool Creek zone 1, EDWK02 = Upper Wakool River zone 2, EDWK03 = Wakool River zone 3 upstream of Thule Creek, EDWK04 = Wakool River zone 4 downstream Thule Creek</w:t>
      </w:r>
      <w:r w:rsidR="00256D83" w:rsidRPr="00CB65EA">
        <w:rPr>
          <w:rStyle w:val="CommentReference"/>
          <w:rFonts w:ascii="Arial" w:hAnsi="Arial"/>
        </w:rPr>
        <w:t xml:space="preserve">. </w:t>
      </w:r>
      <w:r w:rsidR="00256D83" w:rsidRPr="00CF7E25">
        <w:rPr>
          <w:sz w:val="20"/>
        </w:rPr>
        <w:t>Asterisk indicates introduced taxa</w:t>
      </w:r>
      <w:r w:rsidR="00256D83" w:rsidRPr="00CB65EA">
        <w:rPr>
          <w:rStyle w:val="CommentReference"/>
          <w:rFonts w:ascii="Arial" w:hAnsi="Arial"/>
        </w:rPr>
        <w:t>.</w:t>
      </w:r>
      <w:r w:rsidR="00256D83">
        <w:rPr>
          <w:rStyle w:val="CommentReference"/>
          <w:rFonts w:ascii="Arial" w:hAnsi="Arial"/>
        </w:rPr>
        <w:t xml:space="preserve"> </w:t>
      </w:r>
    </w:p>
    <w:p w14:paraId="3B4F8998" w14:textId="77777777" w:rsidR="00256D83" w:rsidRDefault="00256D83" w:rsidP="00256D83">
      <w:pPr>
        <w:tabs>
          <w:tab w:val="left" w:pos="9071"/>
        </w:tabs>
        <w:spacing w:after="240"/>
        <w:ind w:right="-1"/>
        <w:jc w:val="left"/>
        <w:rPr>
          <w:b/>
          <w:color w:val="4F6228" w:themeColor="accent3" w:themeShade="80"/>
          <w:sz w:val="24"/>
          <w:szCs w:val="24"/>
        </w:rPr>
        <w:sectPr w:rsidR="00256D83" w:rsidSect="00F71922">
          <w:pgSz w:w="11906" w:h="16838"/>
          <w:pgMar w:top="1440" w:right="1701" w:bottom="1440" w:left="1701" w:header="709" w:footer="709" w:gutter="0"/>
          <w:cols w:space="708"/>
          <w:docGrid w:linePitch="360"/>
        </w:sectPr>
      </w:pPr>
    </w:p>
    <w:p w14:paraId="3B4F8999" w14:textId="77777777" w:rsidR="00256D83" w:rsidRPr="00256D83" w:rsidRDefault="00544F92" w:rsidP="00256D83">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lastRenderedPageBreak/>
        <w:t>7</w:t>
      </w:r>
      <w:r w:rsidR="0094680B">
        <w:rPr>
          <w:b/>
          <w:color w:val="4F6228" w:themeColor="accent3" w:themeShade="80"/>
          <w:sz w:val="24"/>
          <w:szCs w:val="24"/>
        </w:rPr>
        <w:t>.</w:t>
      </w:r>
      <w:r w:rsidR="00256D83" w:rsidRPr="00256D83">
        <w:rPr>
          <w:b/>
          <w:color w:val="4F6228" w:themeColor="accent3" w:themeShade="80"/>
          <w:sz w:val="24"/>
          <w:szCs w:val="24"/>
        </w:rPr>
        <w:t>3 Evaluation</w:t>
      </w:r>
    </w:p>
    <w:tbl>
      <w:tblPr>
        <w:tblStyle w:val="TableGrid"/>
        <w:tblW w:w="14170" w:type="dxa"/>
        <w:tblLook w:val="04A0" w:firstRow="1" w:lastRow="0" w:firstColumn="1" w:lastColumn="0" w:noHBand="0" w:noVBand="1"/>
      </w:tblPr>
      <w:tblGrid>
        <w:gridCol w:w="2405"/>
        <w:gridCol w:w="2126"/>
        <w:gridCol w:w="2552"/>
        <w:gridCol w:w="2835"/>
        <w:gridCol w:w="2126"/>
        <w:gridCol w:w="2126"/>
      </w:tblGrid>
      <w:tr w:rsidR="00256D83" w14:paraId="3B4F899C" w14:textId="77777777" w:rsidTr="00256D83">
        <w:tc>
          <w:tcPr>
            <w:tcW w:w="4531" w:type="dxa"/>
            <w:gridSpan w:val="2"/>
            <w:shd w:val="clear" w:color="auto" w:fill="EAF1DD" w:themeFill="accent3" w:themeFillTint="33"/>
          </w:tcPr>
          <w:p w14:paraId="3B4F899A" w14:textId="77777777" w:rsidR="00256D83" w:rsidRPr="00543BE6" w:rsidRDefault="00256D83" w:rsidP="00497F33">
            <w:pPr>
              <w:tabs>
                <w:tab w:val="left" w:pos="9071"/>
              </w:tabs>
              <w:spacing w:after="0" w:line="240" w:lineRule="auto"/>
              <w:jc w:val="center"/>
              <w:rPr>
                <w:b/>
                <w:sz w:val="24"/>
                <w:szCs w:val="24"/>
              </w:rPr>
            </w:pPr>
            <w:r w:rsidRPr="00543BE6">
              <w:rPr>
                <w:b/>
                <w:sz w:val="24"/>
                <w:szCs w:val="24"/>
              </w:rPr>
              <w:t>CEWO Water Planning and delivery</w:t>
            </w:r>
          </w:p>
        </w:tc>
        <w:tc>
          <w:tcPr>
            <w:tcW w:w="9639" w:type="dxa"/>
            <w:gridSpan w:val="4"/>
            <w:shd w:val="clear" w:color="auto" w:fill="EAF1DD" w:themeFill="accent3" w:themeFillTint="33"/>
          </w:tcPr>
          <w:p w14:paraId="3B4F899B" w14:textId="77777777" w:rsidR="00256D83" w:rsidRPr="00543BE6" w:rsidRDefault="00256D83" w:rsidP="00497F33">
            <w:pPr>
              <w:tabs>
                <w:tab w:val="left" w:pos="9071"/>
              </w:tabs>
              <w:spacing w:after="0" w:line="240" w:lineRule="auto"/>
              <w:jc w:val="center"/>
              <w:rPr>
                <w:b/>
                <w:sz w:val="24"/>
                <w:szCs w:val="24"/>
              </w:rPr>
            </w:pPr>
            <w:r w:rsidRPr="00543BE6">
              <w:rPr>
                <w:b/>
                <w:sz w:val="24"/>
                <w:szCs w:val="24"/>
              </w:rPr>
              <w:t>Monitoring and Evaluation questions and outcomes</w:t>
            </w:r>
          </w:p>
        </w:tc>
      </w:tr>
      <w:tr w:rsidR="00256D83" w14:paraId="3B4F89A3" w14:textId="77777777" w:rsidTr="00256D83">
        <w:tc>
          <w:tcPr>
            <w:tcW w:w="2405" w:type="dxa"/>
            <w:shd w:val="clear" w:color="auto" w:fill="EAF1DD" w:themeFill="accent3" w:themeFillTint="33"/>
          </w:tcPr>
          <w:p w14:paraId="3B4F899D" w14:textId="77777777" w:rsidR="00256D83" w:rsidRPr="00956EAE" w:rsidRDefault="00256D83" w:rsidP="00497F33">
            <w:pPr>
              <w:tabs>
                <w:tab w:val="left" w:pos="9071"/>
              </w:tabs>
              <w:spacing w:after="0" w:line="240" w:lineRule="auto"/>
              <w:jc w:val="left"/>
              <w:rPr>
                <w:b/>
                <w:color w:val="4F6228" w:themeColor="accent3" w:themeShade="80"/>
              </w:rPr>
            </w:pPr>
            <w:r w:rsidRPr="00956EAE">
              <w:rPr>
                <w:b/>
                <w:bCs/>
              </w:rPr>
              <w:t>Flow component type and target/planned</w:t>
            </w:r>
            <w:r w:rsidRPr="00956EAE">
              <w:rPr>
                <w:b/>
                <w:bCs/>
                <w:u w:val="single"/>
              </w:rPr>
              <w:t xml:space="preserve"> </w:t>
            </w:r>
            <w:r w:rsidRPr="00956EAE">
              <w:rPr>
                <w:b/>
                <w:bCs/>
              </w:rPr>
              <w:t>magnitude, duration, timing and/or inundation extent</w:t>
            </w:r>
            <w:r w:rsidR="005700BE">
              <w:rPr>
                <w:b/>
                <w:bCs/>
              </w:rPr>
              <w:t xml:space="preserve"> (CEWO 2016)</w:t>
            </w:r>
          </w:p>
        </w:tc>
        <w:tc>
          <w:tcPr>
            <w:tcW w:w="2126" w:type="dxa"/>
            <w:shd w:val="clear" w:color="auto" w:fill="EAF1DD" w:themeFill="accent3" w:themeFillTint="33"/>
          </w:tcPr>
          <w:p w14:paraId="3B4F899E" w14:textId="77777777" w:rsidR="00256D83" w:rsidRPr="00956EAE" w:rsidRDefault="00256D83" w:rsidP="00497F33">
            <w:pPr>
              <w:tabs>
                <w:tab w:val="left" w:pos="9071"/>
              </w:tabs>
              <w:spacing w:after="0" w:line="240" w:lineRule="auto"/>
              <w:jc w:val="left"/>
              <w:rPr>
                <w:b/>
                <w:color w:val="4F6228" w:themeColor="accent3" w:themeShade="80"/>
              </w:rPr>
            </w:pPr>
            <w:r w:rsidRPr="00956EAE">
              <w:rPr>
                <w:b/>
              </w:rPr>
              <w:t>Expected</w:t>
            </w:r>
            <w:r>
              <w:rPr>
                <w:b/>
              </w:rPr>
              <w:t xml:space="preserve"> outcomes of watering action (From </w:t>
            </w:r>
            <w:r w:rsidRPr="00956EAE">
              <w:rPr>
                <w:b/>
              </w:rPr>
              <w:t>Water Use Minute 10038</w:t>
            </w:r>
            <w:r>
              <w:rPr>
                <w:b/>
              </w:rPr>
              <w:t xml:space="preserve"> and/or CEWO </w:t>
            </w:r>
            <w:r w:rsidRPr="00956EAE">
              <w:rPr>
                <w:b/>
              </w:rPr>
              <w:t>Acquittal report</w:t>
            </w:r>
            <w:r>
              <w:rPr>
                <w:b/>
              </w:rPr>
              <w:t>)</w:t>
            </w:r>
          </w:p>
        </w:tc>
        <w:tc>
          <w:tcPr>
            <w:tcW w:w="2552" w:type="dxa"/>
            <w:shd w:val="clear" w:color="auto" w:fill="EAF1DD" w:themeFill="accent3" w:themeFillTint="33"/>
          </w:tcPr>
          <w:p w14:paraId="3B4F899F" w14:textId="77777777" w:rsidR="00256D83" w:rsidRPr="00956EAE" w:rsidRDefault="00256D83" w:rsidP="00497F33">
            <w:pPr>
              <w:tabs>
                <w:tab w:val="left" w:pos="9071"/>
              </w:tabs>
              <w:spacing w:after="0" w:line="240" w:lineRule="auto"/>
              <w:jc w:val="left"/>
              <w:rPr>
                <w:b/>
                <w:color w:val="4F6228" w:themeColor="accent3" w:themeShade="80"/>
              </w:rPr>
            </w:pPr>
            <w:r w:rsidRPr="00956EAE">
              <w:rPr>
                <w:b/>
              </w:rPr>
              <w:t>LTIM Question</w:t>
            </w:r>
          </w:p>
        </w:tc>
        <w:tc>
          <w:tcPr>
            <w:tcW w:w="2835" w:type="dxa"/>
            <w:shd w:val="clear" w:color="auto" w:fill="EAF1DD" w:themeFill="accent3" w:themeFillTint="33"/>
          </w:tcPr>
          <w:p w14:paraId="3B4F89A0" w14:textId="77777777" w:rsidR="00256D83" w:rsidRPr="00956EAE" w:rsidRDefault="00256D83" w:rsidP="00497F33">
            <w:pPr>
              <w:tabs>
                <w:tab w:val="left" w:pos="9071"/>
              </w:tabs>
              <w:spacing w:after="0" w:line="240" w:lineRule="auto"/>
              <w:jc w:val="left"/>
              <w:rPr>
                <w:b/>
                <w:color w:val="4F6228" w:themeColor="accent3" w:themeShade="80"/>
              </w:rPr>
            </w:pPr>
            <w:r w:rsidRPr="00956EAE">
              <w:rPr>
                <w:b/>
              </w:rPr>
              <w:t>Observed outcomes</w:t>
            </w:r>
          </w:p>
        </w:tc>
        <w:tc>
          <w:tcPr>
            <w:tcW w:w="2126" w:type="dxa"/>
            <w:shd w:val="clear" w:color="auto" w:fill="EAF1DD" w:themeFill="accent3" w:themeFillTint="33"/>
          </w:tcPr>
          <w:p w14:paraId="3B4F89A1" w14:textId="77777777" w:rsidR="00256D83" w:rsidRPr="00956EAE" w:rsidRDefault="00256D83" w:rsidP="00497F33">
            <w:pPr>
              <w:tabs>
                <w:tab w:val="left" w:pos="9071"/>
              </w:tabs>
              <w:spacing w:after="0" w:line="240" w:lineRule="auto"/>
              <w:jc w:val="left"/>
              <w:rPr>
                <w:b/>
                <w:color w:val="4F6228" w:themeColor="accent3" w:themeShade="80"/>
              </w:rPr>
            </w:pPr>
            <w:r w:rsidRPr="00956EAE">
              <w:rPr>
                <w:b/>
              </w:rPr>
              <w:t>What information was the evaluation based on?</w:t>
            </w:r>
          </w:p>
        </w:tc>
        <w:tc>
          <w:tcPr>
            <w:tcW w:w="2126" w:type="dxa"/>
            <w:shd w:val="clear" w:color="auto" w:fill="EAF1DD" w:themeFill="accent3" w:themeFillTint="33"/>
          </w:tcPr>
          <w:p w14:paraId="3B4F89A2" w14:textId="77777777" w:rsidR="00256D83" w:rsidRPr="00956EAE" w:rsidRDefault="00256D83" w:rsidP="00497F33">
            <w:pPr>
              <w:tabs>
                <w:tab w:val="left" w:pos="9071"/>
              </w:tabs>
              <w:spacing w:after="0" w:line="240" w:lineRule="auto"/>
              <w:jc w:val="left"/>
              <w:rPr>
                <w:b/>
                <w:color w:val="4F6228" w:themeColor="accent3" w:themeShade="80"/>
              </w:rPr>
            </w:pPr>
            <w:r w:rsidRPr="00956EAE">
              <w:rPr>
                <w:b/>
              </w:rPr>
              <w:t>Were appropriate flows provided to achieve the expected outcome?</w:t>
            </w:r>
          </w:p>
        </w:tc>
      </w:tr>
      <w:tr w:rsidR="00256D83" w14:paraId="3B4F89B0" w14:textId="77777777" w:rsidTr="00497F33">
        <w:tc>
          <w:tcPr>
            <w:tcW w:w="2405" w:type="dxa"/>
            <w:vMerge w:val="restart"/>
            <w:tcMar>
              <w:left w:w="57" w:type="dxa"/>
              <w:right w:w="57" w:type="dxa"/>
            </w:tcMar>
          </w:tcPr>
          <w:p w14:paraId="3B4F89A4" w14:textId="77777777" w:rsidR="00256D83" w:rsidRPr="008443CE" w:rsidRDefault="00256D83" w:rsidP="00497F33">
            <w:pPr>
              <w:pStyle w:val="ListBullet"/>
              <w:spacing w:after="0"/>
              <w:contextualSpacing w:val="0"/>
              <w:jc w:val="left"/>
              <w:rPr>
                <w:sz w:val="18"/>
                <w:szCs w:val="18"/>
                <w:u w:val="single"/>
              </w:rPr>
            </w:pPr>
            <w:r w:rsidRPr="008443CE">
              <w:rPr>
                <w:sz w:val="18"/>
                <w:szCs w:val="18"/>
                <w:u w:val="single"/>
              </w:rPr>
              <w:t>Upper Wakool River: Base flow and Fresh</w:t>
            </w:r>
          </w:p>
          <w:p w14:paraId="3B4F89A5" w14:textId="77777777" w:rsidR="00256D83" w:rsidRDefault="00256D83" w:rsidP="00497F33">
            <w:pPr>
              <w:pStyle w:val="ListBullet"/>
              <w:spacing w:after="0"/>
              <w:contextualSpacing w:val="0"/>
              <w:jc w:val="left"/>
              <w:rPr>
                <w:sz w:val="18"/>
                <w:szCs w:val="18"/>
              </w:rPr>
            </w:pPr>
            <w:r w:rsidRPr="00B51B43">
              <w:rPr>
                <w:sz w:val="18"/>
                <w:szCs w:val="18"/>
              </w:rPr>
              <w:t>Flow for spring-summer fresh in Upper Wakool (above confluence with Yallakool Creek) to have a flow range of between 50 ML/day and 100</w:t>
            </w:r>
            <w:r>
              <w:rPr>
                <w:sz w:val="18"/>
                <w:szCs w:val="18"/>
              </w:rPr>
              <w:t xml:space="preserve"> </w:t>
            </w:r>
            <w:r w:rsidRPr="00B51B43">
              <w:rPr>
                <w:sz w:val="18"/>
                <w:szCs w:val="18"/>
              </w:rPr>
              <w:t>ML/day to enable river operators to provide a level of variability into flows. A flow recession back to base flows of 25 ML/day every 14 days was targeted.</w:t>
            </w:r>
          </w:p>
          <w:p w14:paraId="3B4F89A6" w14:textId="77777777" w:rsidR="00256D83" w:rsidRPr="00956EAE" w:rsidRDefault="00256D83" w:rsidP="005700BE">
            <w:pPr>
              <w:pStyle w:val="ListBullet"/>
              <w:spacing w:after="0"/>
              <w:contextualSpacing w:val="0"/>
              <w:jc w:val="left"/>
              <w:rPr>
                <w:b/>
                <w:color w:val="4F6228" w:themeColor="accent3" w:themeShade="80"/>
              </w:rPr>
            </w:pPr>
            <w:r w:rsidRPr="008443CE">
              <w:rPr>
                <w:sz w:val="18"/>
                <w:szCs w:val="18"/>
                <w:u w:val="single"/>
              </w:rPr>
              <w:t>Yallakool Creek: Base flow and Fresh</w:t>
            </w:r>
            <w:r w:rsidR="005700BE">
              <w:rPr>
                <w:sz w:val="18"/>
                <w:szCs w:val="18"/>
                <w:u w:val="single"/>
              </w:rPr>
              <w:t xml:space="preserve">  </w:t>
            </w:r>
            <w:r w:rsidRPr="00B51B43">
              <w:rPr>
                <w:sz w:val="18"/>
                <w:szCs w:val="18"/>
              </w:rPr>
              <w:t>Flow for early fresh to increase from base flow level to peak of 550</w:t>
            </w:r>
            <w:r>
              <w:rPr>
                <w:sz w:val="18"/>
                <w:szCs w:val="18"/>
              </w:rPr>
              <w:t xml:space="preserve"> </w:t>
            </w:r>
            <w:r w:rsidRPr="00B51B43">
              <w:rPr>
                <w:sz w:val="18"/>
                <w:szCs w:val="18"/>
              </w:rPr>
              <w:t>ML/day, receding to 450 ML/day. Flow for spring-summer fresh to have a flow range of between 450 ML/day and 500 ML/day to enable river operators to provide a level of variability into flows. Flow recession to reduce from 500 ML/day in 25 ML/day increments</w:t>
            </w:r>
            <w:r>
              <w:rPr>
                <w:bCs/>
              </w:rPr>
              <w:t>.</w:t>
            </w:r>
          </w:p>
        </w:tc>
        <w:tc>
          <w:tcPr>
            <w:tcW w:w="2126" w:type="dxa"/>
            <w:vMerge w:val="restart"/>
            <w:tcMar>
              <w:left w:w="57" w:type="dxa"/>
              <w:right w:w="57" w:type="dxa"/>
            </w:tcMar>
          </w:tcPr>
          <w:p w14:paraId="3B4F89A7" w14:textId="77777777" w:rsidR="00256D83" w:rsidRPr="007B4E6F" w:rsidRDefault="00256D83" w:rsidP="00497F33">
            <w:pPr>
              <w:spacing w:after="0" w:line="240" w:lineRule="auto"/>
              <w:jc w:val="left"/>
              <w:rPr>
                <w:bCs/>
                <w:sz w:val="18"/>
                <w:szCs w:val="18"/>
              </w:rPr>
            </w:pPr>
            <w:r w:rsidRPr="007B4E6F">
              <w:rPr>
                <w:bCs/>
                <w:sz w:val="18"/>
                <w:szCs w:val="18"/>
              </w:rPr>
              <w:t>To maintain health of riparian and in-channel aquatic na</w:t>
            </w:r>
            <w:r>
              <w:rPr>
                <w:bCs/>
                <w:sz w:val="18"/>
                <w:szCs w:val="18"/>
              </w:rPr>
              <w:t>tive vegetation communities (Water Use Minute</w:t>
            </w:r>
            <w:r w:rsidRPr="007B4E6F">
              <w:rPr>
                <w:bCs/>
                <w:sz w:val="18"/>
                <w:szCs w:val="18"/>
              </w:rPr>
              <w:t xml:space="preserve"> 10038)</w:t>
            </w:r>
          </w:p>
          <w:p w14:paraId="3B4F89A8" w14:textId="77777777" w:rsidR="00256D83" w:rsidRPr="007B4E6F" w:rsidRDefault="00256D83" w:rsidP="00497F33">
            <w:pPr>
              <w:spacing w:after="0" w:line="240" w:lineRule="auto"/>
              <w:rPr>
                <w:bCs/>
                <w:sz w:val="18"/>
                <w:szCs w:val="18"/>
              </w:rPr>
            </w:pPr>
          </w:p>
          <w:p w14:paraId="3B4F89A9" w14:textId="77777777" w:rsidR="00256D83" w:rsidRPr="00956EAE" w:rsidRDefault="00256D83" w:rsidP="00497F33">
            <w:pPr>
              <w:tabs>
                <w:tab w:val="left" w:pos="9071"/>
              </w:tabs>
              <w:spacing w:after="0" w:line="240" w:lineRule="auto"/>
              <w:ind w:right="-1"/>
              <w:jc w:val="left"/>
              <w:rPr>
                <w:b/>
                <w:color w:val="4F6228" w:themeColor="accent3" w:themeShade="80"/>
              </w:rPr>
            </w:pPr>
            <w:r w:rsidRPr="007B4E6F">
              <w:rPr>
                <w:bCs/>
                <w:sz w:val="18"/>
                <w:szCs w:val="18"/>
              </w:rPr>
              <w:t>To support the ongoing recovery/re-establishment of in stream aquatic</w:t>
            </w:r>
            <w:r>
              <w:rPr>
                <w:bCs/>
                <w:sz w:val="18"/>
                <w:szCs w:val="18"/>
              </w:rPr>
              <w:t xml:space="preserve"> vegetation (W</w:t>
            </w:r>
            <w:r w:rsidRPr="007B4E6F">
              <w:rPr>
                <w:bCs/>
                <w:sz w:val="18"/>
                <w:szCs w:val="18"/>
              </w:rPr>
              <w:t>atering action acquittal report)</w:t>
            </w:r>
          </w:p>
        </w:tc>
        <w:tc>
          <w:tcPr>
            <w:tcW w:w="2552" w:type="dxa"/>
            <w:tcMar>
              <w:left w:w="57" w:type="dxa"/>
              <w:right w:w="57" w:type="dxa"/>
            </w:tcMar>
          </w:tcPr>
          <w:p w14:paraId="3B4F89AA" w14:textId="77777777" w:rsidR="00256D83" w:rsidRPr="00CF7E25" w:rsidRDefault="00256D83" w:rsidP="005700BE">
            <w:pPr>
              <w:pStyle w:val="ListBullet"/>
              <w:spacing w:after="0"/>
              <w:contextualSpacing w:val="0"/>
              <w:jc w:val="left"/>
              <w:rPr>
                <w:rFonts w:cstheme="minorHAnsi"/>
                <w:i/>
                <w:sz w:val="18"/>
                <w:szCs w:val="18"/>
              </w:rPr>
            </w:pPr>
            <w:r w:rsidRPr="00FD06D8">
              <w:rPr>
                <w:rFonts w:cstheme="minorHAnsi"/>
                <w:i/>
                <w:sz w:val="18"/>
                <w:szCs w:val="18"/>
              </w:rPr>
              <w:t>What has Commonwealth environmental water contributed to the recovery (measured through species richness, cover and recruitment) of riverbank and aqua</w:t>
            </w:r>
            <w:r>
              <w:rPr>
                <w:rFonts w:cstheme="minorHAnsi"/>
                <w:i/>
                <w:sz w:val="18"/>
                <w:szCs w:val="18"/>
              </w:rPr>
              <w:t>tic vegetation in Yallakool Cree</w:t>
            </w:r>
            <w:r w:rsidRPr="00FD06D8">
              <w:rPr>
                <w:rFonts w:cstheme="minorHAnsi"/>
                <w:i/>
                <w:sz w:val="18"/>
                <w:szCs w:val="18"/>
              </w:rPr>
              <w:t>k and the mid and upper Wakool River that have been impacted by operational flows and drought and how do those responses vary over time?</w:t>
            </w:r>
          </w:p>
        </w:tc>
        <w:tc>
          <w:tcPr>
            <w:tcW w:w="2835" w:type="dxa"/>
            <w:tcMar>
              <w:left w:w="57" w:type="dxa"/>
              <w:right w:w="57" w:type="dxa"/>
            </w:tcMar>
          </w:tcPr>
          <w:p w14:paraId="3B4F89AB" w14:textId="77777777" w:rsidR="00256D83" w:rsidRPr="00956EAE" w:rsidRDefault="00256D83" w:rsidP="00497F33">
            <w:pPr>
              <w:tabs>
                <w:tab w:val="left" w:pos="9071"/>
              </w:tabs>
              <w:spacing w:after="0" w:line="240" w:lineRule="auto"/>
              <w:ind w:right="-1"/>
              <w:jc w:val="left"/>
              <w:rPr>
                <w:b/>
                <w:color w:val="4F6228" w:themeColor="accent3" w:themeShade="80"/>
              </w:rPr>
            </w:pPr>
            <w:r>
              <w:rPr>
                <w:sz w:val="18"/>
                <w:szCs w:val="18"/>
              </w:rPr>
              <w:t>Commonwealth environmental water has contributed to the ongoing recovery of riverbank and aquatic vegetation in Yallakool Creek zone 1 and the mid-Wakool river zones 3 and 4 through gradual increase in taxonomic richness and maximum percent cover over time.</w:t>
            </w:r>
          </w:p>
        </w:tc>
        <w:tc>
          <w:tcPr>
            <w:tcW w:w="2126" w:type="dxa"/>
            <w:tcMar>
              <w:left w:w="57" w:type="dxa"/>
              <w:right w:w="57" w:type="dxa"/>
            </w:tcMar>
          </w:tcPr>
          <w:p w14:paraId="3B4F89AC" w14:textId="77777777" w:rsidR="00256D83" w:rsidRPr="00CF7E25" w:rsidRDefault="00256D83" w:rsidP="00497F33">
            <w:pPr>
              <w:spacing w:after="0" w:line="240" w:lineRule="auto"/>
              <w:jc w:val="left"/>
              <w:rPr>
                <w:bCs/>
                <w:sz w:val="18"/>
                <w:szCs w:val="18"/>
              </w:rPr>
            </w:pPr>
            <w:r w:rsidRPr="007B4E6F">
              <w:rPr>
                <w:bCs/>
                <w:sz w:val="18"/>
                <w:szCs w:val="18"/>
              </w:rPr>
              <w:t xml:space="preserve">The </w:t>
            </w:r>
            <w:r>
              <w:rPr>
                <w:bCs/>
                <w:sz w:val="18"/>
                <w:szCs w:val="18"/>
              </w:rPr>
              <w:t>taxonomic richness</w:t>
            </w:r>
            <w:r w:rsidRPr="007B4E6F">
              <w:rPr>
                <w:bCs/>
                <w:sz w:val="18"/>
                <w:szCs w:val="18"/>
              </w:rPr>
              <w:t xml:space="preserve"> and percent cover of aquatic and riverbank vegetation was monitored monthly from August 2015 to May 2016 at </w:t>
            </w:r>
            <w:r>
              <w:rPr>
                <w:bCs/>
                <w:sz w:val="18"/>
                <w:szCs w:val="18"/>
              </w:rPr>
              <w:t xml:space="preserve">six transects at </w:t>
            </w:r>
            <w:r w:rsidRPr="007B4E6F">
              <w:rPr>
                <w:bCs/>
                <w:sz w:val="18"/>
                <w:szCs w:val="18"/>
              </w:rPr>
              <w:t>four sites in each of four hydrological zones</w:t>
            </w:r>
          </w:p>
        </w:tc>
        <w:tc>
          <w:tcPr>
            <w:tcW w:w="2126" w:type="dxa"/>
            <w:vMerge w:val="restart"/>
          </w:tcPr>
          <w:p w14:paraId="3B4F89AD" w14:textId="5351C976" w:rsidR="00256D83" w:rsidRDefault="00194C8C" w:rsidP="00194C8C">
            <w:pPr>
              <w:tabs>
                <w:tab w:val="left" w:pos="9071"/>
              </w:tabs>
              <w:spacing w:after="0" w:line="240" w:lineRule="auto"/>
              <w:ind w:right="-1"/>
              <w:jc w:val="left"/>
              <w:rPr>
                <w:bCs/>
                <w:sz w:val="18"/>
                <w:szCs w:val="18"/>
              </w:rPr>
            </w:pPr>
            <w:r>
              <w:rPr>
                <w:bCs/>
                <w:sz w:val="18"/>
                <w:szCs w:val="18"/>
              </w:rPr>
              <w:t>The environmental flow in th</w:t>
            </w:r>
            <w:r w:rsidRPr="00194C8C">
              <w:rPr>
                <w:bCs/>
                <w:sz w:val="18"/>
                <w:szCs w:val="18"/>
              </w:rPr>
              <w:t xml:space="preserve">e upper Wakool River was small </w:t>
            </w:r>
            <w:r w:rsidR="005D4BFA">
              <w:rPr>
                <w:bCs/>
                <w:sz w:val="18"/>
                <w:szCs w:val="18"/>
              </w:rPr>
              <w:t xml:space="preserve">in </w:t>
            </w:r>
            <w:r w:rsidRPr="00194C8C">
              <w:rPr>
                <w:bCs/>
                <w:sz w:val="18"/>
                <w:szCs w:val="18"/>
              </w:rPr>
              <w:t>magnitude and was not appropriate to achieve expected outcomes due</w:t>
            </w:r>
            <w:r>
              <w:rPr>
                <w:bCs/>
                <w:sz w:val="18"/>
                <w:szCs w:val="18"/>
              </w:rPr>
              <w:t xml:space="preserve"> to the flow constraint in the Wakool River.</w:t>
            </w:r>
            <w:r w:rsidR="00256D83">
              <w:rPr>
                <w:bCs/>
                <w:sz w:val="18"/>
                <w:szCs w:val="18"/>
              </w:rPr>
              <w:t xml:space="preserve"> It did not create additional wetted area of riverbank. There was no evidence of recovery or establishment of riverbank and aquatic vegetation in this zone.</w:t>
            </w:r>
            <w:r>
              <w:rPr>
                <w:bCs/>
                <w:sz w:val="18"/>
                <w:szCs w:val="18"/>
              </w:rPr>
              <w:t xml:space="preserve"> </w:t>
            </w:r>
            <w:r w:rsidR="008B23DC" w:rsidRPr="008B23DC">
              <w:rPr>
                <w:sz w:val="18"/>
                <w:szCs w:val="18"/>
              </w:rPr>
              <w:t>Based on hydraulic modelling</w:t>
            </w:r>
            <w:r w:rsidR="00393A0D">
              <w:rPr>
                <w:sz w:val="18"/>
                <w:szCs w:val="18"/>
              </w:rPr>
              <w:t xml:space="preserve"> and the ratings table for the Wakool regulator</w:t>
            </w:r>
            <w:r w:rsidR="008B23DC" w:rsidRPr="008B23DC">
              <w:rPr>
                <w:sz w:val="18"/>
                <w:szCs w:val="18"/>
              </w:rPr>
              <w:t xml:space="preserve">, </w:t>
            </w:r>
            <w:r w:rsidR="00393A0D">
              <w:rPr>
                <w:sz w:val="18"/>
                <w:szCs w:val="18"/>
              </w:rPr>
              <w:t xml:space="preserve">a </w:t>
            </w:r>
            <w:r w:rsidR="00393A0D" w:rsidRPr="00B12758">
              <w:rPr>
                <w:sz w:val="18"/>
                <w:szCs w:val="18"/>
              </w:rPr>
              <w:t xml:space="preserve">discharge of </w:t>
            </w:r>
            <w:r w:rsidR="00B12758">
              <w:rPr>
                <w:sz w:val="18"/>
                <w:szCs w:val="18"/>
              </w:rPr>
              <w:t>approximately 220</w:t>
            </w:r>
            <w:r w:rsidR="008B23DC" w:rsidRPr="00B12758">
              <w:rPr>
                <w:sz w:val="18"/>
                <w:szCs w:val="18"/>
              </w:rPr>
              <w:t xml:space="preserve"> ML d</w:t>
            </w:r>
            <w:r w:rsidR="008B23DC" w:rsidRPr="00B12758">
              <w:rPr>
                <w:sz w:val="18"/>
                <w:szCs w:val="18"/>
                <w:vertAlign w:val="superscript"/>
              </w:rPr>
              <w:t>-1</w:t>
            </w:r>
            <w:r w:rsidR="008B23DC" w:rsidRPr="008B23DC">
              <w:rPr>
                <w:sz w:val="18"/>
                <w:szCs w:val="18"/>
              </w:rPr>
              <w:t xml:space="preserve"> </w:t>
            </w:r>
            <w:r w:rsidR="00B12758">
              <w:rPr>
                <w:sz w:val="18"/>
                <w:szCs w:val="18"/>
              </w:rPr>
              <w:t>(relative to operational flow of 50 MLd</w:t>
            </w:r>
            <w:r w:rsidR="00B12758" w:rsidRPr="00B12758">
              <w:rPr>
                <w:sz w:val="18"/>
                <w:szCs w:val="18"/>
                <w:vertAlign w:val="superscript"/>
              </w:rPr>
              <w:t>-1</w:t>
            </w:r>
            <w:r w:rsidR="00B12758">
              <w:rPr>
                <w:sz w:val="18"/>
                <w:szCs w:val="18"/>
              </w:rPr>
              <w:t xml:space="preserve">) </w:t>
            </w:r>
            <w:r w:rsidR="008B23DC" w:rsidRPr="008B23DC">
              <w:rPr>
                <w:sz w:val="18"/>
                <w:szCs w:val="18"/>
              </w:rPr>
              <w:t>would be required to achieve</w:t>
            </w:r>
            <w:r w:rsidR="00393A0D">
              <w:rPr>
                <w:sz w:val="18"/>
                <w:szCs w:val="18"/>
              </w:rPr>
              <w:t xml:space="preserve"> a</w:t>
            </w:r>
            <w:r w:rsidR="00B12758">
              <w:rPr>
                <w:sz w:val="18"/>
                <w:szCs w:val="18"/>
              </w:rPr>
              <w:t>n</w:t>
            </w:r>
            <w:r w:rsidR="00393A0D">
              <w:rPr>
                <w:sz w:val="18"/>
                <w:szCs w:val="18"/>
              </w:rPr>
              <w:t xml:space="preserve"> </w:t>
            </w:r>
            <w:r w:rsidR="00B12758">
              <w:rPr>
                <w:sz w:val="18"/>
                <w:szCs w:val="18"/>
              </w:rPr>
              <w:t>increase</w:t>
            </w:r>
            <w:r w:rsidR="00393A0D">
              <w:rPr>
                <w:sz w:val="18"/>
                <w:szCs w:val="18"/>
              </w:rPr>
              <w:t xml:space="preserve"> of</w:t>
            </w:r>
            <w:r w:rsidR="008B23DC" w:rsidRPr="008B23DC">
              <w:rPr>
                <w:sz w:val="18"/>
                <w:szCs w:val="18"/>
              </w:rPr>
              <w:t xml:space="preserve"> </w:t>
            </w:r>
            <w:r w:rsidR="008B23DC" w:rsidRPr="00B12758">
              <w:rPr>
                <w:sz w:val="18"/>
                <w:szCs w:val="18"/>
              </w:rPr>
              <w:t>60</w:t>
            </w:r>
            <w:r w:rsidR="00393A0D">
              <w:rPr>
                <w:sz w:val="18"/>
                <w:szCs w:val="18"/>
              </w:rPr>
              <w:t xml:space="preserve"> cm in water level</w:t>
            </w:r>
            <w:r w:rsidR="008B23DC" w:rsidRPr="008B23DC">
              <w:rPr>
                <w:sz w:val="18"/>
                <w:szCs w:val="18"/>
              </w:rPr>
              <w:t xml:space="preserve"> </w:t>
            </w:r>
            <w:r w:rsidR="00B12758">
              <w:rPr>
                <w:sz w:val="18"/>
                <w:szCs w:val="18"/>
              </w:rPr>
              <w:t>(</w:t>
            </w:r>
            <w:r w:rsidR="00393A0D">
              <w:rPr>
                <w:sz w:val="18"/>
                <w:szCs w:val="18"/>
              </w:rPr>
              <w:t>similar to</w:t>
            </w:r>
            <w:r w:rsidR="005D4BFA">
              <w:rPr>
                <w:sz w:val="18"/>
                <w:szCs w:val="18"/>
              </w:rPr>
              <w:t xml:space="preserve"> the</w:t>
            </w:r>
            <w:r w:rsidR="00393A0D">
              <w:rPr>
                <w:sz w:val="18"/>
                <w:szCs w:val="18"/>
              </w:rPr>
              <w:t xml:space="preserve"> </w:t>
            </w:r>
            <w:r w:rsidR="00B12758">
              <w:rPr>
                <w:sz w:val="18"/>
                <w:szCs w:val="18"/>
              </w:rPr>
              <w:t>rise observed</w:t>
            </w:r>
            <w:r w:rsidR="00393A0D">
              <w:rPr>
                <w:sz w:val="18"/>
                <w:szCs w:val="18"/>
              </w:rPr>
              <w:t xml:space="preserve"> </w:t>
            </w:r>
            <w:r w:rsidR="00B12758">
              <w:rPr>
                <w:sz w:val="18"/>
                <w:szCs w:val="18"/>
              </w:rPr>
              <w:t>in Yallakool Creek)</w:t>
            </w:r>
          </w:p>
          <w:p w14:paraId="3B4F89AF" w14:textId="050FEBB1" w:rsidR="00256D83" w:rsidRDefault="00194C8C" w:rsidP="00497F33">
            <w:pPr>
              <w:tabs>
                <w:tab w:val="left" w:pos="9071"/>
              </w:tabs>
              <w:spacing w:after="0" w:line="240" w:lineRule="auto"/>
              <w:ind w:right="-1"/>
              <w:jc w:val="left"/>
              <w:rPr>
                <w:b/>
                <w:color w:val="4F6228" w:themeColor="accent3" w:themeShade="80"/>
                <w:sz w:val="24"/>
                <w:szCs w:val="24"/>
              </w:rPr>
            </w:pPr>
            <w:r>
              <w:rPr>
                <w:bCs/>
                <w:sz w:val="18"/>
                <w:szCs w:val="18"/>
              </w:rPr>
              <w:t>The environmental flow</w:t>
            </w:r>
            <w:r w:rsidR="00256D83">
              <w:rPr>
                <w:bCs/>
                <w:sz w:val="18"/>
                <w:szCs w:val="18"/>
              </w:rPr>
              <w:t xml:space="preserve"> in Yallakool creek was appropriate to achieve expected outcomes in some submerged and amphibious taxa. Shorter duration, higher magnitude flows would be required to achieve outcomes for terrestrial taxa that occur higher up on the riverbank.</w:t>
            </w:r>
          </w:p>
        </w:tc>
      </w:tr>
      <w:tr w:rsidR="00256D83" w14:paraId="3B4F89B7" w14:textId="77777777" w:rsidTr="00497F33">
        <w:tc>
          <w:tcPr>
            <w:tcW w:w="2405" w:type="dxa"/>
            <w:vMerge/>
            <w:tcMar>
              <w:left w:w="57" w:type="dxa"/>
              <w:right w:w="57" w:type="dxa"/>
            </w:tcMar>
          </w:tcPr>
          <w:p w14:paraId="3B4F89B1"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B2"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B3" w14:textId="77777777" w:rsidR="00256D83" w:rsidRPr="00FD06D8" w:rsidRDefault="00256D83" w:rsidP="00497F33">
            <w:pPr>
              <w:spacing w:after="0" w:line="240" w:lineRule="auto"/>
              <w:ind w:left="28"/>
              <w:jc w:val="left"/>
              <w:rPr>
                <w:rFonts w:cs="Calibri"/>
                <w:i/>
              </w:rPr>
            </w:pPr>
            <w:r w:rsidRPr="00FD06D8">
              <w:rPr>
                <w:rFonts w:cstheme="minorHAnsi"/>
                <w:i/>
                <w:sz w:val="18"/>
                <w:szCs w:val="18"/>
              </w:rPr>
              <w:t>How do vegetation responses to Commonwealth environmental water delivery vary among hydrological zones?</w:t>
            </w:r>
          </w:p>
        </w:tc>
        <w:tc>
          <w:tcPr>
            <w:tcW w:w="2835" w:type="dxa"/>
            <w:tcMar>
              <w:left w:w="57" w:type="dxa"/>
              <w:right w:w="57" w:type="dxa"/>
            </w:tcMar>
          </w:tcPr>
          <w:p w14:paraId="3B4F89B4" w14:textId="77777777" w:rsidR="00256D83" w:rsidRPr="00956EAE" w:rsidRDefault="00256D83" w:rsidP="00497F33">
            <w:pPr>
              <w:tabs>
                <w:tab w:val="left" w:pos="9071"/>
              </w:tabs>
              <w:spacing w:after="0" w:line="240" w:lineRule="auto"/>
              <w:ind w:right="-1"/>
              <w:jc w:val="left"/>
              <w:rPr>
                <w:b/>
                <w:color w:val="4F6228" w:themeColor="accent3" w:themeShade="80"/>
              </w:rPr>
            </w:pPr>
            <w:r w:rsidRPr="00D91B2E">
              <w:rPr>
                <w:sz w:val="18"/>
                <w:szCs w:val="18"/>
              </w:rPr>
              <w:t>Some taxa had higher</w:t>
            </w:r>
            <w:r>
              <w:rPr>
                <w:sz w:val="18"/>
                <w:szCs w:val="18"/>
              </w:rPr>
              <w:t xml:space="preserve"> cover in </w:t>
            </w:r>
            <w:r w:rsidRPr="00D91B2E">
              <w:rPr>
                <w:sz w:val="18"/>
                <w:szCs w:val="18"/>
              </w:rPr>
              <w:t>zones 1, 3 and 4</w:t>
            </w:r>
            <w:r>
              <w:rPr>
                <w:sz w:val="18"/>
                <w:szCs w:val="18"/>
              </w:rPr>
              <w:t xml:space="preserve"> (environmental water) than in zone 2</w:t>
            </w:r>
            <w:r w:rsidRPr="00D91B2E">
              <w:rPr>
                <w:sz w:val="18"/>
                <w:szCs w:val="18"/>
              </w:rPr>
              <w:t xml:space="preserve"> </w:t>
            </w:r>
            <w:r>
              <w:rPr>
                <w:sz w:val="18"/>
                <w:szCs w:val="18"/>
              </w:rPr>
              <w:t>(none or minimal</w:t>
            </w:r>
            <w:r w:rsidRPr="00D91B2E">
              <w:rPr>
                <w:sz w:val="18"/>
                <w:szCs w:val="18"/>
              </w:rPr>
              <w:t xml:space="preserve"> environmental wate</w:t>
            </w:r>
            <w:r>
              <w:rPr>
                <w:sz w:val="18"/>
                <w:szCs w:val="18"/>
              </w:rPr>
              <w:t>r)</w:t>
            </w:r>
            <w:r w:rsidRPr="00D91B2E">
              <w:rPr>
                <w:sz w:val="18"/>
                <w:szCs w:val="18"/>
              </w:rPr>
              <w:t>.</w:t>
            </w:r>
            <w:r>
              <w:rPr>
                <w:sz w:val="18"/>
                <w:szCs w:val="18"/>
              </w:rPr>
              <w:t xml:space="preserve"> </w:t>
            </w:r>
            <w:r w:rsidRPr="00D91B2E">
              <w:rPr>
                <w:sz w:val="18"/>
                <w:szCs w:val="18"/>
              </w:rPr>
              <w:t xml:space="preserve">Recruitment was observed </w:t>
            </w:r>
            <w:r>
              <w:rPr>
                <w:sz w:val="18"/>
                <w:szCs w:val="18"/>
              </w:rPr>
              <w:t xml:space="preserve">in zones 1, 3 and 4. </w:t>
            </w:r>
            <w:r w:rsidRPr="00D91B2E">
              <w:rPr>
                <w:sz w:val="18"/>
                <w:szCs w:val="18"/>
              </w:rPr>
              <w:t xml:space="preserve">There was limited recruitment </w:t>
            </w:r>
            <w:r>
              <w:rPr>
                <w:sz w:val="18"/>
                <w:szCs w:val="18"/>
              </w:rPr>
              <w:t>in zone 2 and s</w:t>
            </w:r>
            <w:r w:rsidRPr="00D91B2E">
              <w:rPr>
                <w:sz w:val="18"/>
                <w:szCs w:val="18"/>
              </w:rPr>
              <w:t xml:space="preserve">everal taxa were absent </w:t>
            </w:r>
            <w:r>
              <w:rPr>
                <w:sz w:val="18"/>
                <w:szCs w:val="18"/>
              </w:rPr>
              <w:t>or in low abundance in</w:t>
            </w:r>
            <w:r w:rsidRPr="00D91B2E">
              <w:rPr>
                <w:sz w:val="18"/>
                <w:szCs w:val="18"/>
              </w:rPr>
              <w:t xml:space="preserve"> zone 2</w:t>
            </w:r>
            <w:r>
              <w:rPr>
                <w:sz w:val="18"/>
                <w:szCs w:val="18"/>
              </w:rPr>
              <w:t>.</w:t>
            </w:r>
          </w:p>
        </w:tc>
        <w:tc>
          <w:tcPr>
            <w:tcW w:w="2126" w:type="dxa"/>
            <w:tcMar>
              <w:left w:w="57" w:type="dxa"/>
              <w:right w:w="57" w:type="dxa"/>
            </w:tcMar>
          </w:tcPr>
          <w:p w14:paraId="3B4F89B5" w14:textId="77777777" w:rsidR="00256D83" w:rsidRPr="00956EAE" w:rsidRDefault="00256D83" w:rsidP="00497F33">
            <w:pPr>
              <w:tabs>
                <w:tab w:val="left" w:pos="9071"/>
              </w:tabs>
              <w:spacing w:after="0" w:line="240" w:lineRule="auto"/>
              <w:ind w:right="-1"/>
              <w:jc w:val="left"/>
              <w:rPr>
                <w:b/>
                <w:color w:val="4F6228" w:themeColor="accent3" w:themeShade="80"/>
              </w:rPr>
            </w:pPr>
            <w:r>
              <w:rPr>
                <w:sz w:val="18"/>
                <w:szCs w:val="18"/>
              </w:rPr>
              <w:t>The responses were compared among four hydrological zones</w:t>
            </w:r>
          </w:p>
        </w:tc>
        <w:tc>
          <w:tcPr>
            <w:tcW w:w="2126" w:type="dxa"/>
            <w:vMerge/>
          </w:tcPr>
          <w:p w14:paraId="3B4F89B6" w14:textId="77777777" w:rsidR="00256D83" w:rsidRDefault="00256D83" w:rsidP="00497F33">
            <w:pPr>
              <w:tabs>
                <w:tab w:val="left" w:pos="9071"/>
              </w:tabs>
              <w:spacing w:after="0" w:line="240" w:lineRule="auto"/>
              <w:ind w:right="-1"/>
              <w:jc w:val="left"/>
              <w:rPr>
                <w:b/>
                <w:color w:val="4F6228" w:themeColor="accent3" w:themeShade="80"/>
                <w:sz w:val="24"/>
                <w:szCs w:val="24"/>
              </w:rPr>
            </w:pPr>
          </w:p>
        </w:tc>
      </w:tr>
      <w:tr w:rsidR="00256D83" w14:paraId="3B4F89BE" w14:textId="77777777" w:rsidTr="00497F33">
        <w:tc>
          <w:tcPr>
            <w:tcW w:w="2405" w:type="dxa"/>
            <w:vMerge/>
            <w:tcMar>
              <w:left w:w="57" w:type="dxa"/>
              <w:right w:w="57" w:type="dxa"/>
            </w:tcMar>
          </w:tcPr>
          <w:p w14:paraId="3B4F89B8"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B9"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BA" w14:textId="77777777" w:rsidR="00256D83" w:rsidRPr="00FD06D8" w:rsidRDefault="00256D83" w:rsidP="00497F33">
            <w:pPr>
              <w:spacing w:after="0" w:line="240" w:lineRule="auto"/>
              <w:ind w:left="28"/>
              <w:jc w:val="left"/>
              <w:rPr>
                <w:rFonts w:cs="Calibri"/>
                <w:i/>
              </w:rPr>
            </w:pPr>
            <w:r w:rsidRPr="00FD06D8">
              <w:rPr>
                <w:rFonts w:cstheme="minorHAnsi"/>
                <w:i/>
                <w:sz w:val="18"/>
                <w:szCs w:val="18"/>
              </w:rPr>
              <w:t>What did Commonwealth environmental water delivered as base flows and freshes contribute to the percent cover of riverbank and aquatic vegetation in Yallakool Creek and the upper and mid Wakool River?</w:t>
            </w:r>
          </w:p>
        </w:tc>
        <w:tc>
          <w:tcPr>
            <w:tcW w:w="2835" w:type="dxa"/>
            <w:tcMar>
              <w:left w:w="57" w:type="dxa"/>
              <w:right w:w="57" w:type="dxa"/>
            </w:tcMar>
          </w:tcPr>
          <w:p w14:paraId="3B4F89BB" w14:textId="3A4EF5BF" w:rsidR="00256D83" w:rsidRPr="00956EAE" w:rsidRDefault="00256D83" w:rsidP="00BB7675">
            <w:pPr>
              <w:tabs>
                <w:tab w:val="left" w:pos="9071"/>
              </w:tabs>
              <w:spacing w:after="0" w:line="240" w:lineRule="auto"/>
              <w:ind w:right="-1"/>
              <w:jc w:val="left"/>
              <w:rPr>
                <w:b/>
                <w:color w:val="4F6228" w:themeColor="accent3" w:themeShade="80"/>
              </w:rPr>
            </w:pPr>
            <w:r w:rsidRPr="007B4E6F">
              <w:rPr>
                <w:sz w:val="18"/>
                <w:szCs w:val="18"/>
              </w:rPr>
              <w:t xml:space="preserve">There was a higher percent cover of riverbank and </w:t>
            </w:r>
            <w:r w:rsidR="00BB7675">
              <w:rPr>
                <w:sz w:val="18"/>
                <w:szCs w:val="18"/>
              </w:rPr>
              <w:t>taxonomic richness</w:t>
            </w:r>
            <w:r w:rsidRPr="007B4E6F">
              <w:rPr>
                <w:sz w:val="18"/>
                <w:szCs w:val="18"/>
              </w:rPr>
              <w:t xml:space="preserve"> of aquatic vegetation growing </w:t>
            </w:r>
            <w:r>
              <w:rPr>
                <w:sz w:val="18"/>
                <w:szCs w:val="18"/>
              </w:rPr>
              <w:t xml:space="preserve">in </w:t>
            </w:r>
            <w:r w:rsidRPr="007B4E6F">
              <w:rPr>
                <w:sz w:val="18"/>
                <w:szCs w:val="18"/>
              </w:rPr>
              <w:t>zones 3 and 4 that ha</w:t>
            </w:r>
            <w:r>
              <w:rPr>
                <w:sz w:val="18"/>
                <w:szCs w:val="18"/>
              </w:rPr>
              <w:t>ve</w:t>
            </w:r>
            <w:r w:rsidRPr="007B4E6F">
              <w:rPr>
                <w:sz w:val="18"/>
                <w:szCs w:val="18"/>
              </w:rPr>
              <w:t xml:space="preserve"> a history of receiving environmental water compared to </w:t>
            </w:r>
            <w:r>
              <w:rPr>
                <w:sz w:val="18"/>
                <w:szCs w:val="18"/>
              </w:rPr>
              <w:t xml:space="preserve">that in </w:t>
            </w:r>
            <w:r w:rsidRPr="007B4E6F">
              <w:rPr>
                <w:sz w:val="18"/>
                <w:szCs w:val="18"/>
              </w:rPr>
              <w:t xml:space="preserve">zone 2 </w:t>
            </w:r>
            <w:r>
              <w:rPr>
                <w:sz w:val="18"/>
                <w:szCs w:val="18"/>
              </w:rPr>
              <w:t>(</w:t>
            </w:r>
            <w:r w:rsidRPr="007B4E6F">
              <w:rPr>
                <w:sz w:val="18"/>
                <w:szCs w:val="18"/>
              </w:rPr>
              <w:t xml:space="preserve">none or </w:t>
            </w:r>
            <w:r>
              <w:rPr>
                <w:sz w:val="18"/>
                <w:szCs w:val="18"/>
              </w:rPr>
              <w:t>minimal</w:t>
            </w:r>
            <w:r w:rsidRPr="007B4E6F">
              <w:rPr>
                <w:sz w:val="18"/>
                <w:szCs w:val="18"/>
              </w:rPr>
              <w:t xml:space="preserve"> environmental water</w:t>
            </w:r>
            <w:r>
              <w:rPr>
                <w:sz w:val="18"/>
                <w:szCs w:val="18"/>
              </w:rPr>
              <w:t>)</w:t>
            </w:r>
            <w:r w:rsidRPr="007B4E6F">
              <w:rPr>
                <w:sz w:val="18"/>
                <w:szCs w:val="18"/>
              </w:rPr>
              <w:t>.</w:t>
            </w:r>
          </w:p>
        </w:tc>
        <w:tc>
          <w:tcPr>
            <w:tcW w:w="2126" w:type="dxa"/>
            <w:tcMar>
              <w:left w:w="57" w:type="dxa"/>
              <w:right w:w="57" w:type="dxa"/>
            </w:tcMar>
          </w:tcPr>
          <w:p w14:paraId="3B4F89BC" w14:textId="77777777" w:rsidR="00256D83" w:rsidRPr="00CF7E25" w:rsidRDefault="00256D83" w:rsidP="00497F33">
            <w:pPr>
              <w:spacing w:after="0" w:line="240" w:lineRule="auto"/>
              <w:jc w:val="left"/>
              <w:rPr>
                <w:bCs/>
                <w:sz w:val="18"/>
                <w:szCs w:val="18"/>
              </w:rPr>
            </w:pPr>
            <w:r w:rsidRPr="007B4E6F">
              <w:rPr>
                <w:bCs/>
                <w:sz w:val="18"/>
                <w:szCs w:val="18"/>
              </w:rPr>
              <w:t xml:space="preserve">The percent cover of aquatic and riverbank vegetation was monitored monthly from August 2015 to May 2016 at </w:t>
            </w:r>
            <w:r>
              <w:rPr>
                <w:bCs/>
                <w:sz w:val="18"/>
                <w:szCs w:val="18"/>
              </w:rPr>
              <w:t xml:space="preserve">six transects at </w:t>
            </w:r>
            <w:r w:rsidRPr="007B4E6F">
              <w:rPr>
                <w:bCs/>
                <w:sz w:val="18"/>
                <w:szCs w:val="18"/>
              </w:rPr>
              <w:t xml:space="preserve">four sites in four hydrological zones </w:t>
            </w:r>
          </w:p>
        </w:tc>
        <w:tc>
          <w:tcPr>
            <w:tcW w:w="2126" w:type="dxa"/>
            <w:vMerge/>
          </w:tcPr>
          <w:p w14:paraId="3B4F89BD" w14:textId="77777777" w:rsidR="00256D83" w:rsidRDefault="00256D83" w:rsidP="00497F33">
            <w:pPr>
              <w:tabs>
                <w:tab w:val="left" w:pos="9071"/>
              </w:tabs>
              <w:spacing w:after="0" w:line="240" w:lineRule="auto"/>
              <w:ind w:right="-1"/>
              <w:jc w:val="left"/>
              <w:rPr>
                <w:b/>
                <w:color w:val="4F6228" w:themeColor="accent3" w:themeShade="80"/>
                <w:sz w:val="24"/>
                <w:szCs w:val="24"/>
              </w:rPr>
            </w:pPr>
          </w:p>
        </w:tc>
      </w:tr>
      <w:tr w:rsidR="00256D83" w14:paraId="3B4F89C5" w14:textId="77777777" w:rsidTr="00497F33">
        <w:tc>
          <w:tcPr>
            <w:tcW w:w="2405" w:type="dxa"/>
            <w:vMerge/>
            <w:tcMar>
              <w:left w:w="57" w:type="dxa"/>
              <w:right w:w="57" w:type="dxa"/>
            </w:tcMar>
          </w:tcPr>
          <w:p w14:paraId="3B4F89BF"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126" w:type="dxa"/>
            <w:vMerge/>
            <w:tcMar>
              <w:left w:w="57" w:type="dxa"/>
              <w:right w:w="57" w:type="dxa"/>
            </w:tcMar>
          </w:tcPr>
          <w:p w14:paraId="3B4F89C0" w14:textId="77777777" w:rsidR="00256D83" w:rsidRPr="00956EAE" w:rsidRDefault="00256D83" w:rsidP="00497F33">
            <w:pPr>
              <w:tabs>
                <w:tab w:val="left" w:pos="9071"/>
              </w:tabs>
              <w:spacing w:after="0" w:line="240" w:lineRule="auto"/>
              <w:ind w:right="-1"/>
              <w:jc w:val="left"/>
              <w:rPr>
                <w:b/>
                <w:color w:val="4F6228" w:themeColor="accent3" w:themeShade="80"/>
              </w:rPr>
            </w:pPr>
          </w:p>
        </w:tc>
        <w:tc>
          <w:tcPr>
            <w:tcW w:w="2552" w:type="dxa"/>
            <w:tcMar>
              <w:left w:w="57" w:type="dxa"/>
              <w:right w:w="57" w:type="dxa"/>
            </w:tcMar>
          </w:tcPr>
          <w:p w14:paraId="3B4F89C1" w14:textId="73D426CF" w:rsidR="00256D83" w:rsidRPr="00FD06D8" w:rsidRDefault="00256D83" w:rsidP="00BB7675">
            <w:pPr>
              <w:spacing w:after="0" w:line="240" w:lineRule="auto"/>
              <w:ind w:left="28"/>
              <w:jc w:val="left"/>
              <w:rPr>
                <w:rFonts w:cs="Calibri"/>
                <w:i/>
              </w:rPr>
            </w:pPr>
            <w:r w:rsidRPr="00FD06D8">
              <w:rPr>
                <w:rFonts w:cstheme="minorHAnsi"/>
                <w:i/>
                <w:sz w:val="18"/>
                <w:szCs w:val="18"/>
              </w:rPr>
              <w:t xml:space="preserve">What did Commonwealth environmental water delivered as base flows and freshes contribute to the </w:t>
            </w:r>
            <w:r w:rsidR="00BB7675">
              <w:rPr>
                <w:rFonts w:cstheme="minorHAnsi"/>
                <w:i/>
                <w:sz w:val="18"/>
                <w:szCs w:val="18"/>
              </w:rPr>
              <w:t>taxonomic richness</w:t>
            </w:r>
            <w:r w:rsidRPr="00FD06D8">
              <w:rPr>
                <w:rFonts w:cstheme="minorHAnsi"/>
                <w:i/>
                <w:sz w:val="18"/>
                <w:szCs w:val="18"/>
              </w:rPr>
              <w:t xml:space="preserve"> of riverbank and aquatic vegetation taxa in Yallakool Creek and the upper and mid Wakool River?</w:t>
            </w:r>
          </w:p>
        </w:tc>
        <w:tc>
          <w:tcPr>
            <w:tcW w:w="2835" w:type="dxa"/>
            <w:tcMar>
              <w:left w:w="57" w:type="dxa"/>
              <w:right w:w="57" w:type="dxa"/>
            </w:tcMar>
          </w:tcPr>
          <w:p w14:paraId="3B4F89C2" w14:textId="77777777" w:rsidR="00256D83" w:rsidRPr="00956EAE" w:rsidRDefault="00256D83" w:rsidP="00497F33">
            <w:pPr>
              <w:tabs>
                <w:tab w:val="left" w:pos="9071"/>
              </w:tabs>
              <w:spacing w:after="0" w:line="240" w:lineRule="auto"/>
              <w:ind w:right="-1"/>
              <w:jc w:val="left"/>
              <w:rPr>
                <w:b/>
                <w:color w:val="4F6228" w:themeColor="accent3" w:themeShade="80"/>
              </w:rPr>
            </w:pPr>
            <w:r>
              <w:rPr>
                <w:sz w:val="18"/>
                <w:szCs w:val="18"/>
              </w:rPr>
              <w:t>Taxonomic richness was higher in Yallakool Creek (36 taxa), and the mid-</w:t>
            </w:r>
            <w:r w:rsidRPr="007B4E6F">
              <w:rPr>
                <w:sz w:val="18"/>
                <w:szCs w:val="18"/>
              </w:rPr>
              <w:t>Wakool River zones 3 (</w:t>
            </w:r>
            <w:r>
              <w:rPr>
                <w:sz w:val="18"/>
                <w:szCs w:val="18"/>
              </w:rPr>
              <w:t>23</w:t>
            </w:r>
            <w:r w:rsidRPr="007B4E6F">
              <w:rPr>
                <w:sz w:val="18"/>
                <w:szCs w:val="18"/>
              </w:rPr>
              <w:t xml:space="preserve"> taxa) </w:t>
            </w:r>
            <w:r>
              <w:rPr>
                <w:sz w:val="18"/>
                <w:szCs w:val="18"/>
              </w:rPr>
              <w:t>and zone 4 (28</w:t>
            </w:r>
            <w:r w:rsidRPr="007B4E6F">
              <w:rPr>
                <w:sz w:val="18"/>
                <w:szCs w:val="18"/>
              </w:rPr>
              <w:t xml:space="preserve"> taxa) </w:t>
            </w:r>
            <w:r>
              <w:rPr>
                <w:sz w:val="18"/>
                <w:szCs w:val="18"/>
              </w:rPr>
              <w:t xml:space="preserve">that have received environmental water over the past five years </w:t>
            </w:r>
            <w:r w:rsidRPr="007B4E6F">
              <w:rPr>
                <w:sz w:val="18"/>
                <w:szCs w:val="18"/>
              </w:rPr>
              <w:t>than in t</w:t>
            </w:r>
            <w:r>
              <w:rPr>
                <w:sz w:val="18"/>
                <w:szCs w:val="18"/>
              </w:rPr>
              <w:t>he upper Wakool River zone 2 (22</w:t>
            </w:r>
            <w:r w:rsidRPr="007B4E6F">
              <w:rPr>
                <w:sz w:val="18"/>
                <w:szCs w:val="18"/>
              </w:rPr>
              <w:t xml:space="preserve"> taxa) that has received none or very minimal environmental water</w:t>
            </w:r>
            <w:r>
              <w:rPr>
                <w:sz w:val="18"/>
                <w:szCs w:val="18"/>
              </w:rPr>
              <w:t>.</w:t>
            </w:r>
          </w:p>
        </w:tc>
        <w:tc>
          <w:tcPr>
            <w:tcW w:w="2126" w:type="dxa"/>
            <w:tcMar>
              <w:left w:w="57" w:type="dxa"/>
              <w:right w:w="57" w:type="dxa"/>
            </w:tcMar>
          </w:tcPr>
          <w:p w14:paraId="3B4F89C3" w14:textId="77777777" w:rsidR="00256D83" w:rsidRPr="00BB30E9" w:rsidRDefault="00256D83" w:rsidP="00497F33">
            <w:pPr>
              <w:spacing w:after="0" w:line="240" w:lineRule="auto"/>
              <w:jc w:val="left"/>
              <w:rPr>
                <w:bCs/>
                <w:sz w:val="18"/>
                <w:szCs w:val="18"/>
              </w:rPr>
            </w:pPr>
            <w:r w:rsidRPr="007B4E6F">
              <w:rPr>
                <w:bCs/>
                <w:sz w:val="18"/>
                <w:szCs w:val="18"/>
              </w:rPr>
              <w:t xml:space="preserve">The </w:t>
            </w:r>
            <w:r>
              <w:rPr>
                <w:bCs/>
                <w:sz w:val="18"/>
                <w:szCs w:val="18"/>
              </w:rPr>
              <w:t>taxonomic richness</w:t>
            </w:r>
            <w:r w:rsidRPr="007B4E6F">
              <w:rPr>
                <w:bCs/>
                <w:sz w:val="18"/>
                <w:szCs w:val="18"/>
              </w:rPr>
              <w:t xml:space="preserve"> of aquatic and riverbank vegetation was monitored monthly from August 2015 to May 2016 at </w:t>
            </w:r>
            <w:r>
              <w:rPr>
                <w:bCs/>
                <w:sz w:val="18"/>
                <w:szCs w:val="18"/>
              </w:rPr>
              <w:t xml:space="preserve">six transects at </w:t>
            </w:r>
            <w:r w:rsidRPr="007B4E6F">
              <w:rPr>
                <w:bCs/>
                <w:sz w:val="18"/>
                <w:szCs w:val="18"/>
              </w:rPr>
              <w:t>four sites in each of four hydrological zones</w:t>
            </w:r>
          </w:p>
        </w:tc>
        <w:tc>
          <w:tcPr>
            <w:tcW w:w="2126" w:type="dxa"/>
            <w:vMerge/>
          </w:tcPr>
          <w:p w14:paraId="3B4F89C4" w14:textId="77777777" w:rsidR="00256D83" w:rsidRDefault="00256D83" w:rsidP="00497F33">
            <w:pPr>
              <w:tabs>
                <w:tab w:val="left" w:pos="9071"/>
              </w:tabs>
              <w:spacing w:after="0" w:line="240" w:lineRule="auto"/>
              <w:ind w:right="-1"/>
              <w:jc w:val="left"/>
              <w:rPr>
                <w:b/>
                <w:color w:val="4F6228" w:themeColor="accent3" w:themeShade="80"/>
                <w:sz w:val="24"/>
                <w:szCs w:val="24"/>
              </w:rPr>
            </w:pPr>
          </w:p>
        </w:tc>
      </w:tr>
    </w:tbl>
    <w:p w14:paraId="3B4F89C6" w14:textId="77777777" w:rsidR="00256D83" w:rsidRDefault="00256D83" w:rsidP="00256D83">
      <w:pPr>
        <w:spacing w:after="0" w:line="240" w:lineRule="auto"/>
        <w:jc w:val="left"/>
        <w:rPr>
          <w:b/>
          <w:color w:val="4F6228" w:themeColor="accent3" w:themeShade="80"/>
          <w:sz w:val="36"/>
          <w:szCs w:val="36"/>
        </w:rPr>
        <w:sectPr w:rsidR="00256D83" w:rsidSect="00956EAE">
          <w:pgSz w:w="16838" w:h="11906" w:orient="landscape"/>
          <w:pgMar w:top="1701" w:right="1440" w:bottom="1701" w:left="1440" w:header="709" w:footer="709" w:gutter="0"/>
          <w:cols w:space="708"/>
          <w:docGrid w:linePitch="360"/>
        </w:sectPr>
      </w:pPr>
    </w:p>
    <w:p w14:paraId="3B4F89C7" w14:textId="77777777" w:rsidR="00D83954" w:rsidRPr="00981345" w:rsidRDefault="00743D43" w:rsidP="00417F7C">
      <w:pPr>
        <w:pStyle w:val="Heading1"/>
      </w:pPr>
      <w:bookmarkStart w:id="29" w:name="_Toc484078410"/>
      <w:r>
        <w:lastRenderedPageBreak/>
        <w:t>Summary of f</w:t>
      </w:r>
      <w:r w:rsidR="00BB30E9">
        <w:t xml:space="preserve">ish </w:t>
      </w:r>
      <w:r w:rsidR="002631FA">
        <w:t xml:space="preserve">movement </w:t>
      </w:r>
      <w:r w:rsidR="00D83954">
        <w:t xml:space="preserve">responses to </w:t>
      </w:r>
      <w:r>
        <w:t>C</w:t>
      </w:r>
      <w:r w:rsidR="00D83954" w:rsidRPr="00981345">
        <w:t xml:space="preserve">ommonwealth environmental </w:t>
      </w:r>
      <w:r w:rsidR="00D83954">
        <w:t>wate</w:t>
      </w:r>
      <w:r w:rsidR="002631FA">
        <w:t>r</w:t>
      </w:r>
      <w:r w:rsidR="0062265B">
        <w:t>ing</w:t>
      </w:r>
      <w:bookmarkEnd w:id="29"/>
    </w:p>
    <w:p w14:paraId="3B4F89C8" w14:textId="77777777" w:rsidR="00D83954" w:rsidRDefault="00D83954" w:rsidP="00D83954">
      <w:pPr>
        <w:spacing w:after="0" w:line="240" w:lineRule="auto"/>
        <w:jc w:val="left"/>
        <w:rPr>
          <w:color w:val="4F6228" w:themeColor="accent3" w:themeShade="80"/>
          <w:szCs w:val="22"/>
        </w:rPr>
      </w:pPr>
    </w:p>
    <w:p w14:paraId="3B4F89C9" w14:textId="77777777" w:rsidR="0027160E" w:rsidRPr="00222EE2" w:rsidRDefault="005700BE" w:rsidP="0027160E">
      <w:pPr>
        <w:tabs>
          <w:tab w:val="left" w:pos="9071"/>
        </w:tabs>
        <w:spacing w:after="240" w:line="320" w:lineRule="exact"/>
        <w:rPr>
          <w:b/>
          <w:color w:val="4F6228" w:themeColor="accent3" w:themeShade="80"/>
          <w:sz w:val="24"/>
          <w:szCs w:val="24"/>
        </w:rPr>
      </w:pPr>
      <w:r>
        <w:rPr>
          <w:b/>
          <w:color w:val="4F6228" w:themeColor="accent3" w:themeShade="80"/>
          <w:sz w:val="24"/>
          <w:szCs w:val="24"/>
        </w:rPr>
        <w:t>8</w:t>
      </w:r>
      <w:r w:rsidR="0027160E" w:rsidRPr="00222EE2">
        <w:rPr>
          <w:b/>
          <w:color w:val="4F6228" w:themeColor="accent3" w:themeShade="80"/>
          <w:sz w:val="24"/>
          <w:szCs w:val="24"/>
        </w:rPr>
        <w:t>.1 Monitoring</w:t>
      </w:r>
    </w:p>
    <w:p w14:paraId="3B4F89CA" w14:textId="77777777" w:rsidR="00FF1297" w:rsidRDefault="00FF1297" w:rsidP="00FF1297">
      <w:pPr>
        <w:spacing w:after="240" w:line="320" w:lineRule="exact"/>
        <w:jc w:val="left"/>
        <w:rPr>
          <w:rFonts w:asciiTheme="minorHAnsi" w:hAnsiTheme="minorHAnsi"/>
          <w:szCs w:val="22"/>
        </w:rPr>
      </w:pPr>
      <w:r w:rsidRPr="00052289">
        <w:rPr>
          <w:rFonts w:asciiTheme="minorHAnsi" w:hAnsiTheme="minorHAnsi"/>
          <w:szCs w:val="22"/>
        </w:rPr>
        <w:t xml:space="preserve">A total of 71 acoustic receivers (VEMCO VR2W) </w:t>
      </w:r>
      <w:r w:rsidR="005700BE">
        <w:rPr>
          <w:rFonts w:asciiTheme="minorHAnsi" w:hAnsiTheme="minorHAnsi"/>
          <w:szCs w:val="22"/>
        </w:rPr>
        <w:t>(Figure 8</w:t>
      </w:r>
      <w:r>
        <w:rPr>
          <w:rFonts w:asciiTheme="minorHAnsi" w:hAnsiTheme="minorHAnsi"/>
          <w:szCs w:val="22"/>
        </w:rPr>
        <w:t xml:space="preserve">.1) </w:t>
      </w:r>
      <w:r w:rsidRPr="00052289">
        <w:rPr>
          <w:rFonts w:asciiTheme="minorHAnsi" w:hAnsiTheme="minorHAnsi"/>
          <w:szCs w:val="22"/>
        </w:rPr>
        <w:t>were installed in the Edward-Wakool system in August 2015. Of these, 51 constituted the fine-scale a</w:t>
      </w:r>
      <w:r>
        <w:rPr>
          <w:rFonts w:asciiTheme="minorHAnsi" w:hAnsiTheme="minorHAnsi"/>
          <w:szCs w:val="22"/>
        </w:rPr>
        <w:t xml:space="preserve">coustic receiver array of approximately </w:t>
      </w:r>
      <w:r w:rsidRPr="00052289">
        <w:rPr>
          <w:rFonts w:asciiTheme="minorHAnsi" w:hAnsiTheme="minorHAnsi"/>
          <w:szCs w:val="22"/>
        </w:rPr>
        <w:t>6 km receiver spacing and 20 additional receivers were placed at key entry/exit points and major junctions within the wider Edward-Wakool system to monitor any potential emigration out of the system. Thirty one golden perch and eight silver perch had acoustic telemetry tags surgically inserted from August-October 2015</w:t>
      </w:r>
      <w:r w:rsidR="005700BE">
        <w:rPr>
          <w:rFonts w:asciiTheme="minorHAnsi" w:hAnsiTheme="minorHAnsi"/>
          <w:szCs w:val="22"/>
        </w:rPr>
        <w:t xml:space="preserve"> (Figure 8</w:t>
      </w:r>
      <w:r>
        <w:rPr>
          <w:rFonts w:asciiTheme="minorHAnsi" w:hAnsiTheme="minorHAnsi"/>
          <w:szCs w:val="22"/>
        </w:rPr>
        <w:t>.1).</w:t>
      </w:r>
    </w:p>
    <w:p w14:paraId="3B4F89CB" w14:textId="77777777" w:rsidR="0027160E" w:rsidRDefault="0027160E" w:rsidP="0027160E">
      <w:pPr>
        <w:pStyle w:val="ListBullet"/>
        <w:spacing w:after="240" w:line="320" w:lineRule="exact"/>
        <w:jc w:val="left"/>
        <w:rPr>
          <w:rFonts w:cs="Calibri"/>
          <w:sz w:val="22"/>
          <w:szCs w:val="22"/>
        </w:rPr>
      </w:pPr>
      <w:r>
        <w:rPr>
          <w:rFonts w:cs="Calibri"/>
          <w:sz w:val="22"/>
          <w:szCs w:val="22"/>
        </w:rPr>
        <w:t>Movement responses of periodic fish species golden perch and silver perch were monitored continuously from August 2015</w:t>
      </w:r>
      <w:r w:rsidRPr="00AC6F48">
        <w:rPr>
          <w:rFonts w:cs="Calibri"/>
          <w:sz w:val="22"/>
          <w:szCs w:val="22"/>
        </w:rPr>
        <w:t xml:space="preserve"> to </w:t>
      </w:r>
      <w:r>
        <w:rPr>
          <w:rFonts w:cs="Calibri"/>
          <w:sz w:val="22"/>
          <w:szCs w:val="22"/>
        </w:rPr>
        <w:t>April 2016</w:t>
      </w:r>
      <w:r w:rsidRPr="00AC6F48">
        <w:rPr>
          <w:rFonts w:cs="Calibri"/>
          <w:sz w:val="22"/>
          <w:szCs w:val="22"/>
        </w:rPr>
        <w:t xml:space="preserve"> </w:t>
      </w:r>
      <w:r>
        <w:rPr>
          <w:rFonts w:cs="Calibri"/>
          <w:sz w:val="22"/>
          <w:szCs w:val="22"/>
        </w:rPr>
        <w:t xml:space="preserve">within each of the four focal LTIM </w:t>
      </w:r>
      <w:r w:rsidRPr="00AC6F48">
        <w:rPr>
          <w:rFonts w:cs="Calibri"/>
          <w:sz w:val="22"/>
          <w:szCs w:val="22"/>
        </w:rPr>
        <w:t>hydrological zones in th</w:t>
      </w:r>
      <w:r>
        <w:rPr>
          <w:rFonts w:cs="Calibri"/>
          <w:sz w:val="22"/>
          <w:szCs w:val="22"/>
        </w:rPr>
        <w:t xml:space="preserve">e Edward-Wakool system. Additionally, movements outside of the focal zones were monitored to determine the timing, direction, magnitude and drivers of large scale movements within the entire Edward-Wakool system. </w:t>
      </w:r>
    </w:p>
    <w:p w14:paraId="3B4F89CC" w14:textId="77777777" w:rsidR="00F90BDC" w:rsidRDefault="00F90BDC" w:rsidP="0027160E">
      <w:pPr>
        <w:pStyle w:val="ListBullet"/>
        <w:spacing w:after="240" w:line="320" w:lineRule="exact"/>
        <w:jc w:val="left"/>
        <w:rPr>
          <w:rFonts w:cs="Calibri"/>
          <w:sz w:val="22"/>
          <w:szCs w:val="22"/>
        </w:rPr>
      </w:pPr>
    </w:p>
    <w:p w14:paraId="3B4F89CD" w14:textId="77777777" w:rsidR="00F90BDC" w:rsidRDefault="00F90BDC" w:rsidP="00FF1297">
      <w:pPr>
        <w:pStyle w:val="ListBullet"/>
        <w:spacing w:after="240"/>
        <w:contextualSpacing w:val="0"/>
        <w:jc w:val="left"/>
        <w:rPr>
          <w:noProof/>
          <w:sz w:val="22"/>
          <w:szCs w:val="22"/>
        </w:rPr>
      </w:pPr>
      <w:r>
        <w:rPr>
          <w:noProof/>
          <w:sz w:val="22"/>
          <w:szCs w:val="22"/>
        </w:rPr>
        <w:drawing>
          <wp:inline distT="0" distB="0" distL="0" distR="0" wp14:anchorId="3B4F95FE" wp14:editId="65CBE46C">
            <wp:extent cx="5326535" cy="398145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330877" cy="3984696"/>
                    </a:xfrm>
                    <a:prstGeom prst="rect">
                      <a:avLst/>
                    </a:prstGeom>
                    <a:noFill/>
                  </pic:spPr>
                </pic:pic>
              </a:graphicData>
            </a:graphic>
          </wp:inline>
        </w:drawing>
      </w:r>
    </w:p>
    <w:p w14:paraId="3B4F89CE" w14:textId="77777777" w:rsidR="00FF1297" w:rsidRDefault="005700BE" w:rsidP="00FF1297">
      <w:pPr>
        <w:pStyle w:val="ListBullet"/>
        <w:spacing w:after="240"/>
        <w:contextualSpacing w:val="0"/>
        <w:jc w:val="left"/>
        <w:rPr>
          <w:noProof/>
          <w:sz w:val="22"/>
          <w:szCs w:val="22"/>
        </w:rPr>
      </w:pPr>
      <w:r>
        <w:rPr>
          <w:rFonts w:asciiTheme="minorHAnsi" w:hAnsiTheme="minorHAnsi"/>
          <w:b/>
        </w:rPr>
        <w:t>Figure 8</w:t>
      </w:r>
      <w:r w:rsidR="00FF1297" w:rsidRPr="00FF1297">
        <w:rPr>
          <w:rFonts w:asciiTheme="minorHAnsi" w:hAnsiTheme="minorHAnsi"/>
          <w:b/>
        </w:rPr>
        <w:t>.1</w:t>
      </w:r>
      <w:r w:rsidR="00945A47">
        <w:rPr>
          <w:rFonts w:asciiTheme="minorHAnsi" w:hAnsiTheme="minorHAnsi"/>
          <w:b/>
        </w:rPr>
        <w:t>.</w:t>
      </w:r>
      <w:r w:rsidR="00FF1297">
        <w:rPr>
          <w:rFonts w:asciiTheme="minorHAnsi" w:hAnsiTheme="minorHAnsi"/>
        </w:rPr>
        <w:t xml:space="preserve"> </w:t>
      </w:r>
      <w:r w:rsidR="00FF1297" w:rsidRPr="004D2F69">
        <w:rPr>
          <w:rFonts w:asciiTheme="minorHAnsi" w:hAnsiTheme="minorHAnsi"/>
        </w:rPr>
        <w:t>Clockwise from left: An acoustic receiver ready for deployment and an acoustic tag for scale, downloading information from tagged fish passing an acoustic receiver and, an anaesthetised golden perch undergoing surgical implantation of an acoustic tag in August 2015.</w:t>
      </w:r>
    </w:p>
    <w:p w14:paraId="3B4F89CF" w14:textId="77777777" w:rsidR="00F90BDC" w:rsidRPr="00316975" w:rsidRDefault="00F90BDC" w:rsidP="0027160E">
      <w:pPr>
        <w:pStyle w:val="ListBullet"/>
        <w:spacing w:after="240" w:line="320" w:lineRule="exact"/>
        <w:jc w:val="left"/>
        <w:rPr>
          <w:sz w:val="22"/>
          <w:szCs w:val="22"/>
        </w:rPr>
      </w:pPr>
    </w:p>
    <w:p w14:paraId="3B4F89D0" w14:textId="77777777" w:rsidR="0027160E" w:rsidRPr="00222EE2" w:rsidRDefault="005700BE" w:rsidP="0027160E">
      <w:pPr>
        <w:tabs>
          <w:tab w:val="left" w:pos="9071"/>
        </w:tabs>
        <w:spacing w:after="240" w:line="320" w:lineRule="exact"/>
        <w:ind w:right="-1"/>
        <w:rPr>
          <w:b/>
          <w:color w:val="4F6228" w:themeColor="accent3" w:themeShade="80"/>
          <w:sz w:val="24"/>
          <w:szCs w:val="24"/>
        </w:rPr>
      </w:pPr>
      <w:r>
        <w:rPr>
          <w:b/>
          <w:color w:val="4F6228" w:themeColor="accent3" w:themeShade="80"/>
          <w:sz w:val="24"/>
          <w:szCs w:val="24"/>
        </w:rPr>
        <w:t>8</w:t>
      </w:r>
      <w:r w:rsidR="0027160E" w:rsidRPr="00222EE2">
        <w:rPr>
          <w:b/>
          <w:color w:val="4F6228" w:themeColor="accent3" w:themeShade="80"/>
          <w:sz w:val="24"/>
          <w:szCs w:val="24"/>
        </w:rPr>
        <w:t>.2 Main findings</w:t>
      </w:r>
    </w:p>
    <w:p w14:paraId="3B4F89D1" w14:textId="77777777" w:rsidR="00B42194" w:rsidRDefault="00B42194" w:rsidP="00B42194">
      <w:pPr>
        <w:autoSpaceDE w:val="0"/>
        <w:autoSpaceDN w:val="0"/>
        <w:adjustRightInd w:val="0"/>
        <w:spacing w:after="240" w:line="320" w:lineRule="exact"/>
        <w:jc w:val="left"/>
        <w:rPr>
          <w:szCs w:val="22"/>
        </w:rPr>
      </w:pPr>
      <w:r>
        <w:rPr>
          <w:szCs w:val="22"/>
        </w:rPr>
        <w:t xml:space="preserve">This section provides a summary of the main fish movement responses to Commonwealth environmental watering in the Edward-Wakool system in 2015-16. Detailed findings are presented in Appendix </w:t>
      </w:r>
      <w:r w:rsidR="0088257B">
        <w:rPr>
          <w:szCs w:val="22"/>
        </w:rPr>
        <w:t>D</w:t>
      </w:r>
      <w:r>
        <w:rPr>
          <w:szCs w:val="22"/>
        </w:rPr>
        <w:t xml:space="preserve">. </w:t>
      </w:r>
    </w:p>
    <w:p w14:paraId="49C613AE" w14:textId="21DC5189" w:rsidR="008F460F" w:rsidRPr="00E73AD8" w:rsidRDefault="0027160E" w:rsidP="008F460F">
      <w:pPr>
        <w:pStyle w:val="ListBullet"/>
        <w:spacing w:after="240" w:line="320" w:lineRule="exact"/>
        <w:contextualSpacing w:val="0"/>
        <w:jc w:val="left"/>
        <w:rPr>
          <w:sz w:val="22"/>
          <w:szCs w:val="22"/>
        </w:rPr>
      </w:pPr>
      <w:r w:rsidRPr="00222EE2">
        <w:rPr>
          <w:sz w:val="22"/>
          <w:szCs w:val="22"/>
        </w:rPr>
        <w:t xml:space="preserve">All tagged individuals except for one golden perch were detected on acoustic receivers one week or more post-tagging. </w:t>
      </w:r>
      <w:r w:rsidR="008F460F">
        <w:rPr>
          <w:sz w:val="22"/>
          <w:szCs w:val="22"/>
        </w:rPr>
        <w:t>T</w:t>
      </w:r>
      <w:r w:rsidR="008F460F" w:rsidRPr="00CE52BE">
        <w:rPr>
          <w:sz w:val="22"/>
          <w:szCs w:val="22"/>
        </w:rPr>
        <w:t>he majority of movements occurred from late October to late December 2015</w:t>
      </w:r>
      <w:r w:rsidR="008F460F">
        <w:rPr>
          <w:sz w:val="22"/>
          <w:szCs w:val="22"/>
        </w:rPr>
        <w:t xml:space="preserve"> (Figure 8.2)</w:t>
      </w:r>
      <w:r w:rsidR="008F460F" w:rsidRPr="00CE52BE">
        <w:rPr>
          <w:sz w:val="22"/>
          <w:szCs w:val="22"/>
        </w:rPr>
        <w:t>. The timing of peak movements of both species is consistent with previously reported spawning windows for each species. Commonwealth watering occurred in conjunction with suitable water temperatures, and the volumes of water delivered enabled movement among all zones.</w:t>
      </w:r>
    </w:p>
    <w:p w14:paraId="279152C4" w14:textId="42B15908" w:rsidR="007425F6" w:rsidRDefault="008F460F" w:rsidP="00B42194">
      <w:pPr>
        <w:pStyle w:val="ListBullet"/>
        <w:spacing w:after="240" w:line="320" w:lineRule="exact"/>
        <w:contextualSpacing w:val="0"/>
        <w:jc w:val="left"/>
        <w:rPr>
          <w:sz w:val="22"/>
          <w:szCs w:val="22"/>
        </w:rPr>
      </w:pPr>
      <w:r w:rsidRPr="00CE52BE">
        <w:rPr>
          <w:sz w:val="22"/>
          <w:szCs w:val="22"/>
        </w:rPr>
        <w:t xml:space="preserve">The majority of golden perch movements occurred between mid-September and mid-November 2015 when water temperatures ranged from 20–25 </w:t>
      </w:r>
      <w:r w:rsidRPr="00CE52BE">
        <w:rPr>
          <w:sz w:val="22"/>
          <w:szCs w:val="22"/>
          <w:vertAlign w:val="superscript"/>
        </w:rPr>
        <w:t>o</w:t>
      </w:r>
      <w:r w:rsidRPr="00CE52BE">
        <w:rPr>
          <w:sz w:val="22"/>
          <w:szCs w:val="22"/>
        </w:rPr>
        <w:t xml:space="preserve">C. </w:t>
      </w:r>
      <w:r w:rsidR="001E7F5E">
        <w:rPr>
          <w:sz w:val="22"/>
          <w:szCs w:val="22"/>
        </w:rPr>
        <w:t>The majority of g</w:t>
      </w:r>
      <w:r w:rsidR="007425F6">
        <w:rPr>
          <w:sz w:val="22"/>
          <w:szCs w:val="22"/>
        </w:rPr>
        <w:t xml:space="preserve">olden perch moved very </w:t>
      </w:r>
      <w:r w:rsidR="00DF2A70">
        <w:rPr>
          <w:sz w:val="22"/>
          <w:szCs w:val="22"/>
        </w:rPr>
        <w:t>small distances</w:t>
      </w:r>
      <w:r w:rsidR="007425F6">
        <w:rPr>
          <w:sz w:val="22"/>
          <w:szCs w:val="22"/>
        </w:rPr>
        <w:t xml:space="preserve"> </w:t>
      </w:r>
      <w:r>
        <w:rPr>
          <w:sz w:val="22"/>
          <w:szCs w:val="22"/>
        </w:rPr>
        <w:t xml:space="preserve">downstream </w:t>
      </w:r>
      <w:r w:rsidR="007425F6">
        <w:rPr>
          <w:sz w:val="22"/>
          <w:szCs w:val="22"/>
        </w:rPr>
        <w:t xml:space="preserve">and </w:t>
      </w:r>
      <w:r>
        <w:rPr>
          <w:sz w:val="22"/>
          <w:szCs w:val="22"/>
        </w:rPr>
        <w:t xml:space="preserve">all of the tagged golden perch </w:t>
      </w:r>
      <w:r w:rsidR="007425F6">
        <w:rPr>
          <w:sz w:val="22"/>
          <w:szCs w:val="22"/>
        </w:rPr>
        <w:t>remained within the zone 3</w:t>
      </w:r>
      <w:r w:rsidR="001E7F5E">
        <w:rPr>
          <w:sz w:val="22"/>
          <w:szCs w:val="22"/>
        </w:rPr>
        <w:t xml:space="preserve"> throughout the study period</w:t>
      </w:r>
      <w:r>
        <w:rPr>
          <w:sz w:val="22"/>
          <w:szCs w:val="22"/>
        </w:rPr>
        <w:t xml:space="preserve"> (Figure 8.2)</w:t>
      </w:r>
      <w:r w:rsidR="001E7F5E">
        <w:rPr>
          <w:sz w:val="22"/>
          <w:szCs w:val="22"/>
        </w:rPr>
        <w:t xml:space="preserve">. </w:t>
      </w:r>
      <w:r w:rsidR="007425F6">
        <w:rPr>
          <w:sz w:val="22"/>
          <w:szCs w:val="22"/>
        </w:rPr>
        <w:t xml:space="preserve"> </w:t>
      </w:r>
      <w:r w:rsidR="008771F5">
        <w:rPr>
          <w:sz w:val="22"/>
          <w:szCs w:val="22"/>
        </w:rPr>
        <w:t xml:space="preserve">The movements of these fish in 2015-16 are less than distances reported for tagged fish 2013-14, where one golden perch were reported to move upstream to Gulpa Creek and another into the upper Edward River (Watts et al. 2014). </w:t>
      </w:r>
      <w:r w:rsidRPr="00222EE2">
        <w:rPr>
          <w:sz w:val="22"/>
          <w:szCs w:val="22"/>
        </w:rPr>
        <w:t xml:space="preserve">The largest upstream movement </w:t>
      </w:r>
      <w:r w:rsidR="008771F5">
        <w:rPr>
          <w:sz w:val="22"/>
          <w:szCs w:val="22"/>
        </w:rPr>
        <w:t xml:space="preserve">in 2015-16 was </w:t>
      </w:r>
      <w:r w:rsidRPr="00222EE2">
        <w:rPr>
          <w:sz w:val="22"/>
          <w:szCs w:val="22"/>
        </w:rPr>
        <w:t xml:space="preserve">into Yallakool Creek </w:t>
      </w:r>
      <w:r w:rsidR="008771F5">
        <w:rPr>
          <w:sz w:val="22"/>
          <w:szCs w:val="22"/>
        </w:rPr>
        <w:t>where an</w:t>
      </w:r>
      <w:r w:rsidRPr="00222EE2">
        <w:rPr>
          <w:sz w:val="22"/>
          <w:szCs w:val="22"/>
        </w:rPr>
        <w:t xml:space="preserve"> </w:t>
      </w:r>
      <w:r w:rsidR="008771F5">
        <w:rPr>
          <w:sz w:val="22"/>
          <w:szCs w:val="22"/>
        </w:rPr>
        <w:t>individual</w:t>
      </w:r>
      <w:r w:rsidRPr="00222EE2">
        <w:rPr>
          <w:sz w:val="22"/>
          <w:szCs w:val="22"/>
        </w:rPr>
        <w:t xml:space="preserve"> golden perch </w:t>
      </w:r>
      <w:r w:rsidR="008771F5">
        <w:rPr>
          <w:sz w:val="22"/>
          <w:szCs w:val="22"/>
        </w:rPr>
        <w:t xml:space="preserve">was </w:t>
      </w:r>
      <w:r w:rsidRPr="00222EE2">
        <w:rPr>
          <w:sz w:val="22"/>
          <w:szCs w:val="22"/>
        </w:rPr>
        <w:t>detected approximately 12 km upstream of Wakool Reserve on 3/10/15.</w:t>
      </w:r>
      <w:r>
        <w:rPr>
          <w:sz w:val="22"/>
          <w:szCs w:val="22"/>
        </w:rPr>
        <w:t xml:space="preserve"> </w:t>
      </w:r>
      <w:r w:rsidR="00DF2A70">
        <w:rPr>
          <w:sz w:val="22"/>
          <w:szCs w:val="22"/>
        </w:rPr>
        <w:t>Of the</w:t>
      </w:r>
      <w:r w:rsidR="001E7F5E">
        <w:rPr>
          <w:sz w:val="22"/>
          <w:szCs w:val="22"/>
        </w:rPr>
        <w:t xml:space="preserve"> individuals that </w:t>
      </w:r>
      <w:r w:rsidR="00DF2A70">
        <w:rPr>
          <w:sz w:val="22"/>
          <w:szCs w:val="22"/>
        </w:rPr>
        <w:t>moved</w:t>
      </w:r>
      <w:r w:rsidR="001E7F5E">
        <w:rPr>
          <w:sz w:val="22"/>
          <w:szCs w:val="22"/>
        </w:rPr>
        <w:t xml:space="preserve"> upstream</w:t>
      </w:r>
      <w:r w:rsidR="00DF2A70">
        <w:rPr>
          <w:sz w:val="22"/>
          <w:szCs w:val="22"/>
        </w:rPr>
        <w:t>, more went</w:t>
      </w:r>
      <w:r w:rsidR="001E7F5E">
        <w:rPr>
          <w:sz w:val="22"/>
          <w:szCs w:val="22"/>
        </w:rPr>
        <w:t xml:space="preserve"> into </w:t>
      </w:r>
      <w:r w:rsidR="001E7F5E" w:rsidRPr="00CE52BE">
        <w:rPr>
          <w:sz w:val="22"/>
          <w:szCs w:val="22"/>
        </w:rPr>
        <w:t xml:space="preserve">the upper Wakool River (zone 2) </w:t>
      </w:r>
      <w:r w:rsidR="0027160E" w:rsidRPr="00CE52BE">
        <w:rPr>
          <w:sz w:val="22"/>
          <w:szCs w:val="22"/>
        </w:rPr>
        <w:t xml:space="preserve">than into Yallakool Creek (zone 1) during </w:t>
      </w:r>
      <w:r w:rsidR="00495171">
        <w:rPr>
          <w:sz w:val="22"/>
          <w:szCs w:val="22"/>
        </w:rPr>
        <w:t xml:space="preserve">environmental </w:t>
      </w:r>
      <w:r w:rsidR="0027160E" w:rsidRPr="00CE52BE">
        <w:rPr>
          <w:sz w:val="22"/>
          <w:szCs w:val="22"/>
        </w:rPr>
        <w:t xml:space="preserve">water delivery. </w:t>
      </w:r>
      <w:r w:rsidR="00502DE6">
        <w:rPr>
          <w:sz w:val="22"/>
          <w:szCs w:val="22"/>
        </w:rPr>
        <w:t xml:space="preserve">This is different to </w:t>
      </w:r>
      <w:r w:rsidR="008771F5">
        <w:rPr>
          <w:sz w:val="22"/>
          <w:szCs w:val="22"/>
        </w:rPr>
        <w:t xml:space="preserve">upstream </w:t>
      </w:r>
      <w:r w:rsidR="00502DE6">
        <w:rPr>
          <w:sz w:val="22"/>
          <w:szCs w:val="22"/>
        </w:rPr>
        <w:t xml:space="preserve">movement patterns </w:t>
      </w:r>
      <w:r w:rsidR="001E7F5E">
        <w:rPr>
          <w:sz w:val="22"/>
          <w:szCs w:val="22"/>
        </w:rPr>
        <w:t xml:space="preserve">of golden perch </w:t>
      </w:r>
      <w:r w:rsidR="00502DE6">
        <w:rPr>
          <w:sz w:val="22"/>
          <w:szCs w:val="22"/>
        </w:rPr>
        <w:t xml:space="preserve">observed in 2013-14, when </w:t>
      </w:r>
      <w:r w:rsidR="00DF2A70">
        <w:rPr>
          <w:sz w:val="22"/>
          <w:szCs w:val="22"/>
        </w:rPr>
        <w:t>more</w:t>
      </w:r>
      <w:r w:rsidR="00502DE6">
        <w:rPr>
          <w:sz w:val="22"/>
          <w:szCs w:val="22"/>
        </w:rPr>
        <w:t xml:space="preserve"> golden perch moved into Yallakoo</w:t>
      </w:r>
      <w:r w:rsidR="007425F6">
        <w:rPr>
          <w:sz w:val="22"/>
          <w:szCs w:val="22"/>
        </w:rPr>
        <w:t xml:space="preserve">l Creek </w:t>
      </w:r>
      <w:r w:rsidR="00DF2A70">
        <w:rPr>
          <w:sz w:val="22"/>
          <w:szCs w:val="22"/>
        </w:rPr>
        <w:t xml:space="preserve">than the Wakool River </w:t>
      </w:r>
      <w:r w:rsidR="007425F6">
        <w:rPr>
          <w:sz w:val="22"/>
          <w:szCs w:val="22"/>
        </w:rPr>
        <w:t>(Watts et al. 2014).</w:t>
      </w:r>
      <w:r w:rsidR="001E7F5E">
        <w:rPr>
          <w:sz w:val="22"/>
          <w:szCs w:val="22"/>
        </w:rPr>
        <w:t xml:space="preserve"> </w:t>
      </w:r>
      <w:r w:rsidR="00DF2A70">
        <w:rPr>
          <w:sz w:val="22"/>
          <w:szCs w:val="22"/>
        </w:rPr>
        <w:t xml:space="preserve">There is no </w:t>
      </w:r>
      <w:r>
        <w:rPr>
          <w:sz w:val="22"/>
          <w:szCs w:val="22"/>
        </w:rPr>
        <w:t>obvious</w:t>
      </w:r>
      <w:r w:rsidR="00DF2A70">
        <w:rPr>
          <w:sz w:val="22"/>
          <w:szCs w:val="22"/>
        </w:rPr>
        <w:t xml:space="preserve"> explanation for this preference, </w:t>
      </w:r>
      <w:r>
        <w:rPr>
          <w:sz w:val="22"/>
          <w:szCs w:val="22"/>
        </w:rPr>
        <w:t>however</w:t>
      </w:r>
      <w:r w:rsidR="00DF2A70">
        <w:rPr>
          <w:sz w:val="22"/>
          <w:szCs w:val="22"/>
        </w:rPr>
        <w:t xml:space="preserve"> the </w:t>
      </w:r>
      <w:r>
        <w:rPr>
          <w:sz w:val="22"/>
          <w:szCs w:val="22"/>
        </w:rPr>
        <w:t xml:space="preserve">number of fish and </w:t>
      </w:r>
      <w:r w:rsidR="004D4CC0">
        <w:rPr>
          <w:sz w:val="22"/>
          <w:szCs w:val="22"/>
        </w:rPr>
        <w:t xml:space="preserve">the </w:t>
      </w:r>
      <w:r w:rsidR="00DF2A70">
        <w:rPr>
          <w:sz w:val="22"/>
          <w:szCs w:val="22"/>
        </w:rPr>
        <w:t xml:space="preserve">distances moved </w:t>
      </w:r>
      <w:r>
        <w:rPr>
          <w:sz w:val="22"/>
          <w:szCs w:val="22"/>
        </w:rPr>
        <w:t xml:space="preserve">upstream are small and are </w:t>
      </w:r>
      <w:r w:rsidR="00DF2A70">
        <w:rPr>
          <w:sz w:val="22"/>
          <w:szCs w:val="22"/>
        </w:rPr>
        <w:t>not significant for this species.</w:t>
      </w:r>
    </w:p>
    <w:p w14:paraId="1218482F" w14:textId="6ACF7A21" w:rsidR="008F460F" w:rsidRDefault="008F460F" w:rsidP="008F460F">
      <w:pPr>
        <w:pStyle w:val="ListBullet"/>
        <w:spacing w:after="240" w:line="320" w:lineRule="exact"/>
        <w:contextualSpacing w:val="0"/>
        <w:jc w:val="left"/>
        <w:rPr>
          <w:sz w:val="22"/>
          <w:szCs w:val="22"/>
        </w:rPr>
      </w:pPr>
      <w:r w:rsidRPr="00CE52BE">
        <w:rPr>
          <w:sz w:val="22"/>
          <w:szCs w:val="22"/>
        </w:rPr>
        <w:t xml:space="preserve">Samples sizes of </w:t>
      </w:r>
      <w:r>
        <w:rPr>
          <w:sz w:val="22"/>
          <w:szCs w:val="22"/>
        </w:rPr>
        <w:t xml:space="preserve">tagged </w:t>
      </w:r>
      <w:r w:rsidRPr="00CE52BE">
        <w:rPr>
          <w:sz w:val="22"/>
          <w:szCs w:val="22"/>
        </w:rPr>
        <w:t>silver perch were low</w:t>
      </w:r>
      <w:r>
        <w:rPr>
          <w:sz w:val="22"/>
          <w:szCs w:val="22"/>
        </w:rPr>
        <w:t>.</w:t>
      </w:r>
      <w:r w:rsidRPr="00CE52BE">
        <w:rPr>
          <w:sz w:val="22"/>
          <w:szCs w:val="22"/>
        </w:rPr>
        <w:t xml:space="preserve"> </w:t>
      </w:r>
      <w:r>
        <w:rPr>
          <w:sz w:val="22"/>
          <w:szCs w:val="22"/>
        </w:rPr>
        <w:t>All of the tagged</w:t>
      </w:r>
      <w:r w:rsidRPr="00CE52BE">
        <w:rPr>
          <w:sz w:val="22"/>
          <w:szCs w:val="22"/>
        </w:rPr>
        <w:t xml:space="preserve"> silver perch remained within the Edward-Wakool selected area during water delivery</w:t>
      </w:r>
      <w:r>
        <w:rPr>
          <w:sz w:val="22"/>
          <w:szCs w:val="22"/>
        </w:rPr>
        <w:t xml:space="preserve"> and only one silver perch </w:t>
      </w:r>
      <w:r w:rsidRPr="00222EE2">
        <w:rPr>
          <w:sz w:val="22"/>
          <w:szCs w:val="22"/>
        </w:rPr>
        <w:t>was detected o</w:t>
      </w:r>
      <w:r>
        <w:rPr>
          <w:sz w:val="22"/>
          <w:szCs w:val="22"/>
        </w:rPr>
        <w:t xml:space="preserve">utside of the fine-scale array at </w:t>
      </w:r>
      <w:r w:rsidRPr="00222EE2">
        <w:rPr>
          <w:sz w:val="22"/>
          <w:szCs w:val="22"/>
        </w:rPr>
        <w:t xml:space="preserve">Gee Gee Bridge, approximately 134 km downstream from Wakool Reserve (Figure </w:t>
      </w:r>
      <w:r>
        <w:rPr>
          <w:sz w:val="22"/>
          <w:szCs w:val="22"/>
        </w:rPr>
        <w:t>8.2</w:t>
      </w:r>
      <w:r w:rsidRPr="00222EE2">
        <w:rPr>
          <w:sz w:val="22"/>
          <w:szCs w:val="22"/>
        </w:rPr>
        <w:t>)</w:t>
      </w:r>
      <w:r w:rsidR="008771F5">
        <w:rPr>
          <w:sz w:val="22"/>
          <w:szCs w:val="22"/>
        </w:rPr>
        <w:t>. T</w:t>
      </w:r>
      <w:r w:rsidR="008771F5" w:rsidRPr="00CE52BE">
        <w:rPr>
          <w:sz w:val="22"/>
          <w:szCs w:val="22"/>
        </w:rPr>
        <w:t xml:space="preserve">his </w:t>
      </w:r>
      <w:r w:rsidR="008771F5">
        <w:rPr>
          <w:sz w:val="22"/>
          <w:szCs w:val="22"/>
        </w:rPr>
        <w:t xml:space="preserve">movement </w:t>
      </w:r>
      <w:r w:rsidR="008771F5" w:rsidRPr="00CE52BE">
        <w:rPr>
          <w:sz w:val="22"/>
          <w:szCs w:val="22"/>
        </w:rPr>
        <w:t>occurred only for a brief period of time (6</w:t>
      </w:r>
      <w:r w:rsidR="008771F5" w:rsidRPr="00CE52BE">
        <w:rPr>
          <w:sz w:val="22"/>
          <w:szCs w:val="22"/>
          <w:vertAlign w:val="superscript"/>
        </w:rPr>
        <w:t>th</w:t>
      </w:r>
      <w:r w:rsidR="008771F5" w:rsidRPr="00CE52BE">
        <w:rPr>
          <w:sz w:val="22"/>
          <w:szCs w:val="22"/>
        </w:rPr>
        <w:t xml:space="preserve"> to 10</w:t>
      </w:r>
      <w:r w:rsidR="008771F5" w:rsidRPr="00CE52BE">
        <w:rPr>
          <w:sz w:val="22"/>
          <w:szCs w:val="22"/>
          <w:vertAlign w:val="superscript"/>
        </w:rPr>
        <w:t>th</w:t>
      </w:r>
      <w:r w:rsidR="008771F5" w:rsidRPr="00CE52BE">
        <w:rPr>
          <w:sz w:val="22"/>
          <w:szCs w:val="22"/>
        </w:rPr>
        <w:t xml:space="preserve"> February 2016)</w:t>
      </w:r>
      <w:r w:rsidR="008771F5">
        <w:rPr>
          <w:sz w:val="22"/>
          <w:szCs w:val="22"/>
        </w:rPr>
        <w:t xml:space="preserve"> after which the fish returned to zone 3</w:t>
      </w:r>
      <w:r w:rsidR="008771F5" w:rsidRPr="00CE52BE">
        <w:rPr>
          <w:sz w:val="22"/>
          <w:szCs w:val="22"/>
        </w:rPr>
        <w:t>.</w:t>
      </w:r>
      <w:r w:rsidRPr="00222EE2">
        <w:rPr>
          <w:sz w:val="22"/>
          <w:szCs w:val="22"/>
        </w:rPr>
        <w:t xml:space="preserve"> Another silver perch accounted for the furthest upstream </w:t>
      </w:r>
      <w:r w:rsidR="008771F5">
        <w:rPr>
          <w:sz w:val="22"/>
          <w:szCs w:val="22"/>
        </w:rPr>
        <w:t>movement</w:t>
      </w:r>
      <w:r w:rsidRPr="00222EE2">
        <w:rPr>
          <w:sz w:val="22"/>
          <w:szCs w:val="22"/>
        </w:rPr>
        <w:t>, and on 8/10/15 was detected approximately 30 k</w:t>
      </w:r>
      <w:r>
        <w:rPr>
          <w:sz w:val="22"/>
          <w:szCs w:val="22"/>
        </w:rPr>
        <w:t>m upstream from Wakool Reserve i</w:t>
      </w:r>
      <w:r w:rsidRPr="00222EE2">
        <w:rPr>
          <w:sz w:val="22"/>
          <w:szCs w:val="22"/>
        </w:rPr>
        <w:t xml:space="preserve">n the Wakool River. </w:t>
      </w:r>
      <w:r>
        <w:rPr>
          <w:sz w:val="22"/>
          <w:szCs w:val="22"/>
        </w:rPr>
        <w:t xml:space="preserve">These are very small movements for a species that has the ability to travel long distances. </w:t>
      </w:r>
    </w:p>
    <w:p w14:paraId="3B4F89D5" w14:textId="77777777" w:rsidR="0027160E" w:rsidRDefault="00FF1297" w:rsidP="0027160E">
      <w:pPr>
        <w:tabs>
          <w:tab w:val="left" w:pos="9071"/>
        </w:tabs>
        <w:spacing w:after="240"/>
        <w:ind w:right="-1"/>
        <w:rPr>
          <w:b/>
          <w:color w:val="4F6228" w:themeColor="accent3" w:themeShade="80"/>
          <w:sz w:val="24"/>
          <w:szCs w:val="24"/>
        </w:rPr>
      </w:pPr>
      <w:r>
        <w:rPr>
          <w:b/>
          <w:noProof/>
          <w:color w:val="4F6228" w:themeColor="accent3" w:themeShade="80"/>
          <w:sz w:val="24"/>
          <w:szCs w:val="24"/>
          <w:lang w:eastAsia="en-AU"/>
        </w:rPr>
        <w:lastRenderedPageBreak/>
        <w:drawing>
          <wp:inline distT="0" distB="0" distL="0" distR="0" wp14:anchorId="3B4F9600" wp14:editId="54470026">
            <wp:extent cx="5401310" cy="596836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401310" cy="5968365"/>
                    </a:xfrm>
                    <a:prstGeom prst="rect">
                      <a:avLst/>
                    </a:prstGeom>
                    <a:noFill/>
                  </pic:spPr>
                </pic:pic>
              </a:graphicData>
            </a:graphic>
          </wp:inline>
        </w:drawing>
      </w:r>
    </w:p>
    <w:p w14:paraId="3B4F89D6" w14:textId="77777777" w:rsidR="0027160E" w:rsidRPr="0094680B" w:rsidRDefault="0027160E" w:rsidP="002B3297">
      <w:pPr>
        <w:spacing w:after="240" w:line="240" w:lineRule="auto"/>
        <w:jc w:val="left"/>
        <w:rPr>
          <w:sz w:val="20"/>
        </w:rPr>
      </w:pPr>
      <w:r w:rsidRPr="0094680B">
        <w:rPr>
          <w:b/>
          <w:sz w:val="20"/>
        </w:rPr>
        <w:t xml:space="preserve">Figure </w:t>
      </w:r>
      <w:r w:rsidR="005700BE">
        <w:rPr>
          <w:b/>
          <w:sz w:val="20"/>
        </w:rPr>
        <w:t>8</w:t>
      </w:r>
      <w:r w:rsidR="00FF1297">
        <w:rPr>
          <w:b/>
          <w:sz w:val="20"/>
        </w:rPr>
        <w:t>.2</w:t>
      </w:r>
      <w:r w:rsidRPr="0094680B">
        <w:rPr>
          <w:b/>
          <w:sz w:val="20"/>
        </w:rPr>
        <w:t>.</w:t>
      </w:r>
      <w:r w:rsidRPr="0094680B">
        <w:rPr>
          <w:sz w:val="20"/>
        </w:rPr>
        <w:t xml:space="preserve"> A) Mean daily water temperature and B) mean daily discharge at Wakool Reserve (Zone 3) and associated daily location of acoustically tagged C) golden perch and D) silver perch. Different coloured lines represent different tagged individuals and 0 km represents the location of Wakool Reserve, with positive numbers representing upstream locations and negative numbers downstream locations.</w:t>
      </w:r>
    </w:p>
    <w:p w14:paraId="3B4F89D7" w14:textId="77777777" w:rsidR="0027160E" w:rsidRDefault="0027160E" w:rsidP="0027160E">
      <w:pPr>
        <w:spacing w:after="240" w:line="320" w:lineRule="exact"/>
        <w:rPr>
          <w:b/>
          <w:color w:val="4F6228" w:themeColor="accent3" w:themeShade="80"/>
          <w:sz w:val="24"/>
          <w:szCs w:val="24"/>
        </w:rPr>
      </w:pPr>
    </w:p>
    <w:p w14:paraId="3B4F89D8" w14:textId="77777777" w:rsidR="0027160E" w:rsidRDefault="0027160E" w:rsidP="0027160E">
      <w:pPr>
        <w:spacing w:after="240" w:line="320" w:lineRule="exact"/>
        <w:rPr>
          <w:b/>
          <w:color w:val="4F6228" w:themeColor="accent3" w:themeShade="80"/>
          <w:sz w:val="24"/>
          <w:szCs w:val="24"/>
        </w:rPr>
        <w:sectPr w:rsidR="0027160E" w:rsidSect="00497F33">
          <w:pgSz w:w="11906" w:h="16838"/>
          <w:pgMar w:top="1440" w:right="1701" w:bottom="1440" w:left="1701" w:header="708" w:footer="708" w:gutter="0"/>
          <w:cols w:space="708"/>
          <w:docGrid w:linePitch="360"/>
        </w:sectPr>
      </w:pPr>
    </w:p>
    <w:p w14:paraId="3B4F89D9" w14:textId="77777777" w:rsidR="0027160E" w:rsidRPr="00222EE2" w:rsidRDefault="005700BE" w:rsidP="0027160E">
      <w:pPr>
        <w:spacing w:after="240" w:line="320" w:lineRule="exact"/>
        <w:rPr>
          <w:b/>
          <w:color w:val="4F6228" w:themeColor="accent3" w:themeShade="80"/>
          <w:sz w:val="24"/>
          <w:szCs w:val="24"/>
        </w:rPr>
      </w:pPr>
      <w:r>
        <w:rPr>
          <w:b/>
          <w:color w:val="4F6228" w:themeColor="accent3" w:themeShade="80"/>
          <w:sz w:val="24"/>
          <w:szCs w:val="24"/>
        </w:rPr>
        <w:lastRenderedPageBreak/>
        <w:t>8</w:t>
      </w:r>
      <w:r w:rsidR="0027160E" w:rsidRPr="00222EE2">
        <w:rPr>
          <w:b/>
          <w:color w:val="4F6228" w:themeColor="accent3" w:themeShade="80"/>
          <w:sz w:val="24"/>
          <w:szCs w:val="24"/>
        </w:rPr>
        <w:t>.3 Evaluation</w:t>
      </w:r>
    </w:p>
    <w:tbl>
      <w:tblPr>
        <w:tblStyle w:val="TableGrid"/>
        <w:tblW w:w="14170" w:type="dxa"/>
        <w:tblLook w:val="04A0" w:firstRow="1" w:lastRow="0" w:firstColumn="1" w:lastColumn="0" w:noHBand="0" w:noVBand="1"/>
      </w:tblPr>
      <w:tblGrid>
        <w:gridCol w:w="2405"/>
        <w:gridCol w:w="2126"/>
        <w:gridCol w:w="2552"/>
        <w:gridCol w:w="2835"/>
        <w:gridCol w:w="2126"/>
        <w:gridCol w:w="2126"/>
      </w:tblGrid>
      <w:tr w:rsidR="0027160E" w14:paraId="3B4F89DC" w14:textId="77777777" w:rsidTr="00497F33">
        <w:tc>
          <w:tcPr>
            <w:tcW w:w="4531" w:type="dxa"/>
            <w:gridSpan w:val="2"/>
            <w:shd w:val="clear" w:color="auto" w:fill="EAF1DD" w:themeFill="accent3" w:themeFillTint="33"/>
          </w:tcPr>
          <w:p w14:paraId="3B4F89DA" w14:textId="77777777" w:rsidR="0027160E" w:rsidRPr="00543BE6" w:rsidRDefault="0027160E" w:rsidP="0027160E">
            <w:pPr>
              <w:tabs>
                <w:tab w:val="left" w:pos="9071"/>
              </w:tabs>
              <w:spacing w:after="0" w:line="240" w:lineRule="auto"/>
              <w:contextualSpacing/>
              <w:jc w:val="center"/>
              <w:rPr>
                <w:b/>
                <w:sz w:val="24"/>
                <w:szCs w:val="24"/>
              </w:rPr>
            </w:pPr>
            <w:r w:rsidRPr="00543BE6">
              <w:rPr>
                <w:b/>
                <w:sz w:val="24"/>
                <w:szCs w:val="24"/>
              </w:rPr>
              <w:t>CEWO Water Planning and delivery</w:t>
            </w:r>
          </w:p>
        </w:tc>
        <w:tc>
          <w:tcPr>
            <w:tcW w:w="9639" w:type="dxa"/>
            <w:gridSpan w:val="4"/>
            <w:shd w:val="clear" w:color="auto" w:fill="EAF1DD" w:themeFill="accent3" w:themeFillTint="33"/>
          </w:tcPr>
          <w:p w14:paraId="3B4F89DB" w14:textId="77777777" w:rsidR="0027160E" w:rsidRPr="00543BE6" w:rsidRDefault="0027160E" w:rsidP="0027160E">
            <w:pPr>
              <w:tabs>
                <w:tab w:val="left" w:pos="9071"/>
              </w:tabs>
              <w:spacing w:after="0" w:line="240" w:lineRule="auto"/>
              <w:contextualSpacing/>
              <w:jc w:val="center"/>
              <w:rPr>
                <w:b/>
                <w:sz w:val="24"/>
                <w:szCs w:val="24"/>
              </w:rPr>
            </w:pPr>
            <w:r w:rsidRPr="00543BE6">
              <w:rPr>
                <w:b/>
                <w:sz w:val="24"/>
                <w:szCs w:val="24"/>
              </w:rPr>
              <w:t>Monitoring and Evaluation questions and outcomes</w:t>
            </w:r>
          </w:p>
        </w:tc>
      </w:tr>
      <w:tr w:rsidR="0027160E" w14:paraId="3B4F89E3" w14:textId="77777777" w:rsidTr="00497F33">
        <w:tc>
          <w:tcPr>
            <w:tcW w:w="2405" w:type="dxa"/>
            <w:shd w:val="clear" w:color="auto" w:fill="EAF1DD" w:themeFill="accent3" w:themeFillTint="33"/>
          </w:tcPr>
          <w:p w14:paraId="3B4F89DD" w14:textId="77777777" w:rsidR="0027160E" w:rsidRPr="0027160E" w:rsidRDefault="0027160E" w:rsidP="0027160E">
            <w:pPr>
              <w:tabs>
                <w:tab w:val="left" w:pos="9071"/>
              </w:tabs>
              <w:spacing w:after="0" w:line="240" w:lineRule="auto"/>
              <w:contextualSpacing/>
              <w:jc w:val="left"/>
              <w:rPr>
                <w:b/>
                <w:color w:val="4F6228" w:themeColor="accent3" w:themeShade="80"/>
                <w:sz w:val="20"/>
              </w:rPr>
            </w:pPr>
            <w:r w:rsidRPr="0027160E">
              <w:rPr>
                <w:b/>
                <w:bCs/>
                <w:sz w:val="20"/>
              </w:rPr>
              <w:t>Flow component type and target/planned</w:t>
            </w:r>
            <w:r w:rsidRPr="0027160E">
              <w:rPr>
                <w:b/>
                <w:bCs/>
                <w:sz w:val="20"/>
                <w:u w:val="single"/>
              </w:rPr>
              <w:t xml:space="preserve"> </w:t>
            </w:r>
            <w:r w:rsidRPr="0027160E">
              <w:rPr>
                <w:b/>
                <w:bCs/>
                <w:sz w:val="20"/>
              </w:rPr>
              <w:t>magnitude, duration, timing and/or inundation extent</w:t>
            </w:r>
          </w:p>
        </w:tc>
        <w:tc>
          <w:tcPr>
            <w:tcW w:w="2126" w:type="dxa"/>
            <w:shd w:val="clear" w:color="auto" w:fill="EAF1DD" w:themeFill="accent3" w:themeFillTint="33"/>
          </w:tcPr>
          <w:p w14:paraId="3B4F89DE" w14:textId="77777777" w:rsidR="0027160E" w:rsidRPr="0027160E" w:rsidRDefault="0027160E" w:rsidP="0027160E">
            <w:pPr>
              <w:tabs>
                <w:tab w:val="left" w:pos="9071"/>
              </w:tabs>
              <w:spacing w:after="0" w:line="240" w:lineRule="auto"/>
              <w:contextualSpacing/>
              <w:jc w:val="left"/>
              <w:rPr>
                <w:b/>
                <w:color w:val="4F6228" w:themeColor="accent3" w:themeShade="80"/>
                <w:sz w:val="20"/>
              </w:rPr>
            </w:pPr>
            <w:r w:rsidRPr="0027160E">
              <w:rPr>
                <w:b/>
                <w:sz w:val="20"/>
              </w:rPr>
              <w:t>Expected outcomes of watering action (From Water Use Minute 10038 and/or CEWO Acquittal report)</w:t>
            </w:r>
          </w:p>
        </w:tc>
        <w:tc>
          <w:tcPr>
            <w:tcW w:w="2552" w:type="dxa"/>
            <w:shd w:val="clear" w:color="auto" w:fill="EAF1DD" w:themeFill="accent3" w:themeFillTint="33"/>
          </w:tcPr>
          <w:p w14:paraId="3B4F89DF" w14:textId="77777777" w:rsidR="0027160E" w:rsidRPr="0027160E" w:rsidRDefault="0027160E" w:rsidP="0027160E">
            <w:pPr>
              <w:tabs>
                <w:tab w:val="left" w:pos="9071"/>
              </w:tabs>
              <w:spacing w:after="0" w:line="240" w:lineRule="auto"/>
              <w:contextualSpacing/>
              <w:jc w:val="left"/>
              <w:rPr>
                <w:b/>
                <w:color w:val="4F6228" w:themeColor="accent3" w:themeShade="80"/>
                <w:sz w:val="20"/>
              </w:rPr>
            </w:pPr>
            <w:r w:rsidRPr="0027160E">
              <w:rPr>
                <w:b/>
                <w:sz w:val="20"/>
              </w:rPr>
              <w:t>LTIM Question</w:t>
            </w:r>
          </w:p>
        </w:tc>
        <w:tc>
          <w:tcPr>
            <w:tcW w:w="2835" w:type="dxa"/>
            <w:shd w:val="clear" w:color="auto" w:fill="EAF1DD" w:themeFill="accent3" w:themeFillTint="33"/>
          </w:tcPr>
          <w:p w14:paraId="3B4F89E0" w14:textId="77777777" w:rsidR="0027160E" w:rsidRPr="0027160E" w:rsidRDefault="0027160E" w:rsidP="0027160E">
            <w:pPr>
              <w:tabs>
                <w:tab w:val="left" w:pos="9071"/>
              </w:tabs>
              <w:spacing w:after="0" w:line="240" w:lineRule="auto"/>
              <w:contextualSpacing/>
              <w:jc w:val="left"/>
              <w:rPr>
                <w:b/>
                <w:color w:val="4F6228" w:themeColor="accent3" w:themeShade="80"/>
                <w:sz w:val="20"/>
              </w:rPr>
            </w:pPr>
            <w:r w:rsidRPr="0027160E">
              <w:rPr>
                <w:b/>
                <w:sz w:val="20"/>
              </w:rPr>
              <w:t>Observed outcomes</w:t>
            </w:r>
          </w:p>
        </w:tc>
        <w:tc>
          <w:tcPr>
            <w:tcW w:w="2126" w:type="dxa"/>
            <w:shd w:val="clear" w:color="auto" w:fill="EAF1DD" w:themeFill="accent3" w:themeFillTint="33"/>
          </w:tcPr>
          <w:p w14:paraId="3B4F89E1" w14:textId="77777777" w:rsidR="0027160E" w:rsidRPr="0027160E" w:rsidRDefault="0027160E" w:rsidP="0027160E">
            <w:pPr>
              <w:tabs>
                <w:tab w:val="left" w:pos="9071"/>
              </w:tabs>
              <w:spacing w:after="0" w:line="240" w:lineRule="auto"/>
              <w:contextualSpacing/>
              <w:jc w:val="left"/>
              <w:rPr>
                <w:b/>
                <w:color w:val="4F6228" w:themeColor="accent3" w:themeShade="80"/>
                <w:sz w:val="20"/>
              </w:rPr>
            </w:pPr>
            <w:r w:rsidRPr="0027160E">
              <w:rPr>
                <w:b/>
                <w:sz w:val="20"/>
              </w:rPr>
              <w:t>What information was the evaluation based on?</w:t>
            </w:r>
          </w:p>
        </w:tc>
        <w:tc>
          <w:tcPr>
            <w:tcW w:w="2126" w:type="dxa"/>
            <w:shd w:val="clear" w:color="auto" w:fill="EAF1DD" w:themeFill="accent3" w:themeFillTint="33"/>
          </w:tcPr>
          <w:p w14:paraId="3B4F89E2" w14:textId="77777777" w:rsidR="0027160E" w:rsidRPr="0027160E" w:rsidRDefault="0027160E" w:rsidP="0027160E">
            <w:pPr>
              <w:tabs>
                <w:tab w:val="left" w:pos="9071"/>
              </w:tabs>
              <w:spacing w:after="0" w:line="240" w:lineRule="auto"/>
              <w:contextualSpacing/>
              <w:jc w:val="left"/>
              <w:rPr>
                <w:b/>
                <w:color w:val="4F6228" w:themeColor="accent3" w:themeShade="80"/>
                <w:sz w:val="20"/>
              </w:rPr>
            </w:pPr>
            <w:r w:rsidRPr="0027160E">
              <w:rPr>
                <w:b/>
                <w:sz w:val="20"/>
              </w:rPr>
              <w:t>Were appropriate flows provided to achieve the expected outcome?</w:t>
            </w:r>
          </w:p>
        </w:tc>
      </w:tr>
      <w:tr w:rsidR="0027160E" w14:paraId="3B4F89F1" w14:textId="77777777" w:rsidTr="00497F33">
        <w:tc>
          <w:tcPr>
            <w:tcW w:w="2405" w:type="dxa"/>
            <w:vMerge w:val="restart"/>
            <w:tcMar>
              <w:left w:w="57" w:type="dxa"/>
              <w:right w:w="57" w:type="dxa"/>
            </w:tcMar>
          </w:tcPr>
          <w:p w14:paraId="3B4F89E4" w14:textId="77777777" w:rsidR="0027160E" w:rsidRPr="0027160E" w:rsidRDefault="0027160E" w:rsidP="0027160E">
            <w:pPr>
              <w:pStyle w:val="ListBullet"/>
              <w:spacing w:after="0"/>
              <w:jc w:val="left"/>
              <w:rPr>
                <w:u w:val="single"/>
              </w:rPr>
            </w:pPr>
            <w:r w:rsidRPr="0027160E">
              <w:rPr>
                <w:u w:val="single"/>
              </w:rPr>
              <w:t>Upper Wakool River: Base flow and Fresh</w:t>
            </w:r>
          </w:p>
          <w:p w14:paraId="3B4F89E5" w14:textId="77777777" w:rsidR="0027160E" w:rsidRPr="0027160E" w:rsidRDefault="0027160E" w:rsidP="0027160E">
            <w:pPr>
              <w:pStyle w:val="ListBullet"/>
              <w:spacing w:after="0"/>
              <w:jc w:val="left"/>
            </w:pPr>
            <w:r w:rsidRPr="0027160E">
              <w:t>Flow for spring-summer fresh in Upper Wakool (above confluence with Yallakool Creek) to have a flow range of between 50 ML/day and 100 ML/day to enable river operators to provide a level of variability into flows. A flow recession back to base flows of 25 ML/day every 14 days was targeted.</w:t>
            </w:r>
          </w:p>
          <w:p w14:paraId="3B4F89E6" w14:textId="77777777" w:rsidR="0027160E" w:rsidRPr="0027160E" w:rsidRDefault="0027160E" w:rsidP="0027160E">
            <w:pPr>
              <w:pStyle w:val="ListBullet"/>
              <w:spacing w:after="0"/>
              <w:jc w:val="left"/>
              <w:rPr>
                <w:u w:val="single"/>
              </w:rPr>
            </w:pPr>
            <w:r w:rsidRPr="0027160E">
              <w:rPr>
                <w:u w:val="single"/>
              </w:rPr>
              <w:t>Yallakool Creek: Base flow and Fresh</w:t>
            </w:r>
          </w:p>
          <w:p w14:paraId="3B4F89E7"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r w:rsidRPr="0027160E">
              <w:rPr>
                <w:sz w:val="20"/>
              </w:rPr>
              <w:t>Flow for early fresh to increase from base flow level to peak of 550 ML/day, receding to 450 ML/day. Flow for spring-summer fresh to have a flow range of between 450 ML/day and 500 ML/day to enable river operators to provide a level of variability into flows. Flow recession to reduce from 500 ML/day in 25 ML/day increments</w:t>
            </w:r>
            <w:r w:rsidRPr="0027160E">
              <w:rPr>
                <w:bCs/>
                <w:sz w:val="20"/>
              </w:rPr>
              <w:t>.</w:t>
            </w:r>
          </w:p>
        </w:tc>
        <w:tc>
          <w:tcPr>
            <w:tcW w:w="2126" w:type="dxa"/>
            <w:vMerge w:val="restart"/>
            <w:tcMar>
              <w:left w:w="57" w:type="dxa"/>
              <w:right w:w="57" w:type="dxa"/>
            </w:tcMar>
          </w:tcPr>
          <w:p w14:paraId="3B4F89E8" w14:textId="77777777" w:rsidR="0027160E" w:rsidRPr="0027160E" w:rsidRDefault="0027160E" w:rsidP="0027160E">
            <w:pPr>
              <w:spacing w:after="0" w:line="240" w:lineRule="auto"/>
              <w:contextualSpacing/>
              <w:jc w:val="left"/>
              <w:rPr>
                <w:bCs/>
                <w:sz w:val="20"/>
              </w:rPr>
            </w:pPr>
            <w:r w:rsidRPr="0027160E">
              <w:rPr>
                <w:bCs/>
                <w:sz w:val="20"/>
              </w:rPr>
              <w:t>To maintain the diversity and condition of native fish and other native species including frogs and invertebrates through maintaining suitable habitat and providing/supporting opportunities to</w:t>
            </w:r>
          </w:p>
          <w:p w14:paraId="3B4F89E9" w14:textId="77777777" w:rsidR="0027160E" w:rsidRPr="0027160E" w:rsidRDefault="0027160E" w:rsidP="0027160E">
            <w:pPr>
              <w:spacing w:after="0" w:line="240" w:lineRule="auto"/>
              <w:contextualSpacing/>
              <w:jc w:val="left"/>
              <w:rPr>
                <w:bCs/>
                <w:sz w:val="20"/>
              </w:rPr>
            </w:pPr>
            <w:r w:rsidRPr="0027160E">
              <w:rPr>
                <w:bCs/>
                <w:sz w:val="20"/>
              </w:rPr>
              <w:t>move, breed and recruit (Water Use Minute 10038)</w:t>
            </w:r>
          </w:p>
          <w:p w14:paraId="3B4F89EA"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552" w:type="dxa"/>
            <w:tcMar>
              <w:left w:w="57" w:type="dxa"/>
              <w:right w:w="57" w:type="dxa"/>
            </w:tcMar>
          </w:tcPr>
          <w:p w14:paraId="3B4F89EB" w14:textId="77777777" w:rsidR="0027160E" w:rsidRPr="0027160E" w:rsidRDefault="0027160E" w:rsidP="0027160E">
            <w:pPr>
              <w:pStyle w:val="ListBullet"/>
              <w:spacing w:after="0"/>
              <w:jc w:val="left"/>
              <w:rPr>
                <w:rFonts w:cstheme="minorHAnsi"/>
                <w:i/>
              </w:rPr>
            </w:pPr>
            <w:r w:rsidRPr="0027160E">
              <w:rPr>
                <w:rFonts w:cstheme="minorHAnsi"/>
                <w:i/>
              </w:rPr>
              <w:t>Were periodic species (golden and silver perch) present in the target reaches during Commonwealth environmental water delivery?</w:t>
            </w:r>
          </w:p>
        </w:tc>
        <w:tc>
          <w:tcPr>
            <w:tcW w:w="2835" w:type="dxa"/>
            <w:tcMar>
              <w:left w:w="57" w:type="dxa"/>
              <w:right w:w="57" w:type="dxa"/>
            </w:tcMar>
          </w:tcPr>
          <w:p w14:paraId="3B4F89EC" w14:textId="77777777" w:rsidR="0027160E" w:rsidRPr="0027160E" w:rsidRDefault="0027160E" w:rsidP="0027160E">
            <w:pPr>
              <w:tabs>
                <w:tab w:val="left" w:pos="9071"/>
              </w:tabs>
              <w:spacing w:after="0" w:line="240" w:lineRule="auto"/>
              <w:ind w:right="-1"/>
              <w:contextualSpacing/>
              <w:jc w:val="left"/>
              <w:rPr>
                <w:sz w:val="20"/>
              </w:rPr>
            </w:pPr>
            <w:r w:rsidRPr="0027160E">
              <w:rPr>
                <w:sz w:val="20"/>
              </w:rPr>
              <w:t>Both silver perch and golden perch remained within the Edward-Wakool selected area during water delivery. Movements into the upper Wakool River (zone 2) were more common than movements into Yallakool Creek (zone 1) during water delivery. Silver perch exhibited wider ranging behaviour whereas golden perch predominantly occupied zone 3.</w:t>
            </w:r>
          </w:p>
        </w:tc>
        <w:tc>
          <w:tcPr>
            <w:tcW w:w="2126" w:type="dxa"/>
            <w:tcMar>
              <w:left w:w="57" w:type="dxa"/>
              <w:right w:w="57" w:type="dxa"/>
            </w:tcMar>
          </w:tcPr>
          <w:p w14:paraId="3B4F89ED" w14:textId="77777777" w:rsidR="0027160E" w:rsidRPr="0027160E" w:rsidRDefault="0027160E" w:rsidP="0027160E">
            <w:pPr>
              <w:spacing w:after="0" w:line="240" w:lineRule="auto"/>
              <w:contextualSpacing/>
              <w:jc w:val="left"/>
              <w:rPr>
                <w:bCs/>
                <w:sz w:val="20"/>
              </w:rPr>
            </w:pPr>
            <w:r w:rsidRPr="0027160E">
              <w:rPr>
                <w:bCs/>
                <w:sz w:val="20"/>
              </w:rPr>
              <w:t xml:space="preserve">The timing of detections on different acoustic receivers (moored within the selected area focal zones) from individually tagged fish </w:t>
            </w:r>
          </w:p>
        </w:tc>
        <w:tc>
          <w:tcPr>
            <w:tcW w:w="2126" w:type="dxa"/>
            <w:vMerge w:val="restart"/>
          </w:tcPr>
          <w:p w14:paraId="3B4F89EE" w14:textId="55BDC5C7" w:rsidR="0027160E" w:rsidRDefault="0027160E" w:rsidP="0027160E">
            <w:pPr>
              <w:tabs>
                <w:tab w:val="left" w:pos="104"/>
              </w:tabs>
              <w:spacing w:after="0" w:line="240" w:lineRule="auto"/>
              <w:ind w:right="33"/>
              <w:contextualSpacing/>
              <w:jc w:val="left"/>
              <w:rPr>
                <w:bCs/>
                <w:sz w:val="18"/>
                <w:szCs w:val="18"/>
              </w:rPr>
            </w:pPr>
            <w:r>
              <w:rPr>
                <w:bCs/>
                <w:sz w:val="18"/>
                <w:szCs w:val="18"/>
              </w:rPr>
              <w:t xml:space="preserve">The </w:t>
            </w:r>
            <w:r w:rsidR="002A7DCA">
              <w:rPr>
                <w:bCs/>
                <w:sz w:val="18"/>
                <w:szCs w:val="18"/>
              </w:rPr>
              <w:t>environmental</w:t>
            </w:r>
            <w:r>
              <w:rPr>
                <w:bCs/>
                <w:sz w:val="18"/>
                <w:szCs w:val="18"/>
              </w:rPr>
              <w:t xml:space="preserve"> flows enabled </w:t>
            </w:r>
            <w:r w:rsidR="008771F5">
              <w:rPr>
                <w:bCs/>
                <w:sz w:val="18"/>
                <w:szCs w:val="18"/>
              </w:rPr>
              <w:t xml:space="preserve">small </w:t>
            </w:r>
            <w:r>
              <w:rPr>
                <w:bCs/>
                <w:sz w:val="18"/>
                <w:szCs w:val="18"/>
              </w:rPr>
              <w:t>movement</w:t>
            </w:r>
            <w:r w:rsidR="008771F5">
              <w:rPr>
                <w:bCs/>
                <w:sz w:val="18"/>
                <w:szCs w:val="18"/>
              </w:rPr>
              <w:t>s</w:t>
            </w:r>
            <w:r>
              <w:rPr>
                <w:bCs/>
                <w:sz w:val="18"/>
                <w:szCs w:val="18"/>
              </w:rPr>
              <w:t xml:space="preserve"> of periodic species throughout the selected area during delivery. </w:t>
            </w:r>
            <w:r w:rsidR="008771F5">
              <w:rPr>
                <w:bCs/>
                <w:sz w:val="18"/>
                <w:szCs w:val="18"/>
              </w:rPr>
              <w:t>These small movement</w:t>
            </w:r>
            <w:r w:rsidR="00B43238">
              <w:rPr>
                <w:bCs/>
                <w:sz w:val="18"/>
                <w:szCs w:val="18"/>
              </w:rPr>
              <w:t>s</w:t>
            </w:r>
            <w:r w:rsidR="008771F5">
              <w:rPr>
                <w:bCs/>
                <w:sz w:val="18"/>
                <w:szCs w:val="18"/>
              </w:rPr>
              <w:t xml:space="preserve"> were similar to previous observations under base flows and small fresh flows. </w:t>
            </w:r>
            <w:r>
              <w:rPr>
                <w:bCs/>
                <w:sz w:val="18"/>
                <w:szCs w:val="18"/>
              </w:rPr>
              <w:t xml:space="preserve">As this is the first year of fish movement monitoring, it is unknown whether larger flows would have provided more/greater opportunities for native fish to move. </w:t>
            </w:r>
          </w:p>
          <w:p w14:paraId="3B4F89EF" w14:textId="77777777" w:rsidR="0027160E" w:rsidRDefault="0027160E" w:rsidP="0027160E">
            <w:pPr>
              <w:tabs>
                <w:tab w:val="left" w:pos="104"/>
              </w:tabs>
              <w:spacing w:after="0" w:line="240" w:lineRule="auto"/>
              <w:ind w:right="33"/>
              <w:contextualSpacing/>
              <w:jc w:val="left"/>
              <w:rPr>
                <w:bCs/>
                <w:sz w:val="18"/>
                <w:szCs w:val="18"/>
              </w:rPr>
            </w:pPr>
          </w:p>
          <w:p w14:paraId="3B4F89F0" w14:textId="77777777" w:rsidR="0027160E" w:rsidRDefault="0027160E" w:rsidP="0027160E">
            <w:pPr>
              <w:tabs>
                <w:tab w:val="left" w:pos="9071"/>
              </w:tabs>
              <w:spacing w:after="0" w:line="240" w:lineRule="auto"/>
              <w:ind w:right="-1"/>
              <w:contextualSpacing/>
              <w:jc w:val="left"/>
              <w:rPr>
                <w:b/>
                <w:color w:val="4F6228" w:themeColor="accent3" w:themeShade="80"/>
                <w:sz w:val="24"/>
                <w:szCs w:val="24"/>
              </w:rPr>
            </w:pPr>
          </w:p>
        </w:tc>
      </w:tr>
      <w:tr w:rsidR="0027160E" w14:paraId="3B4F89F8" w14:textId="77777777" w:rsidTr="00497F33">
        <w:tc>
          <w:tcPr>
            <w:tcW w:w="2405" w:type="dxa"/>
            <w:vMerge/>
            <w:tcMar>
              <w:left w:w="57" w:type="dxa"/>
              <w:right w:w="57" w:type="dxa"/>
            </w:tcMar>
          </w:tcPr>
          <w:p w14:paraId="3B4F89F2"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126" w:type="dxa"/>
            <w:vMerge/>
            <w:tcMar>
              <w:left w:w="57" w:type="dxa"/>
              <w:right w:w="57" w:type="dxa"/>
            </w:tcMar>
          </w:tcPr>
          <w:p w14:paraId="3B4F89F3"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552" w:type="dxa"/>
            <w:tcMar>
              <w:left w:w="57" w:type="dxa"/>
              <w:right w:w="57" w:type="dxa"/>
            </w:tcMar>
          </w:tcPr>
          <w:p w14:paraId="3B4F89F4" w14:textId="77777777" w:rsidR="0027160E" w:rsidRPr="0027160E" w:rsidRDefault="0027160E" w:rsidP="0027160E">
            <w:pPr>
              <w:spacing w:after="0" w:line="240" w:lineRule="auto"/>
              <w:ind w:left="28"/>
              <w:contextualSpacing/>
              <w:jc w:val="left"/>
              <w:rPr>
                <w:rFonts w:cs="Calibri"/>
                <w:i/>
                <w:sz w:val="20"/>
              </w:rPr>
            </w:pPr>
            <w:r w:rsidRPr="0027160E">
              <w:rPr>
                <w:rFonts w:cstheme="minorHAnsi"/>
                <w:i/>
                <w:sz w:val="20"/>
              </w:rPr>
              <w:t>Did periodic species remain within the target reaches during Commonwealth environmental water delivery?</w:t>
            </w:r>
          </w:p>
        </w:tc>
        <w:tc>
          <w:tcPr>
            <w:tcW w:w="2835" w:type="dxa"/>
            <w:tcMar>
              <w:left w:w="57" w:type="dxa"/>
              <w:right w:w="57" w:type="dxa"/>
            </w:tcMar>
          </w:tcPr>
          <w:p w14:paraId="3B4F89F5" w14:textId="77777777" w:rsidR="0027160E" w:rsidRPr="0027160E" w:rsidRDefault="0027160E" w:rsidP="0027160E">
            <w:pPr>
              <w:tabs>
                <w:tab w:val="left" w:pos="9071"/>
              </w:tabs>
              <w:spacing w:after="0" w:line="240" w:lineRule="auto"/>
              <w:ind w:right="-1"/>
              <w:contextualSpacing/>
              <w:jc w:val="left"/>
              <w:rPr>
                <w:color w:val="4F6228" w:themeColor="accent3" w:themeShade="80"/>
                <w:sz w:val="20"/>
              </w:rPr>
            </w:pPr>
            <w:r w:rsidRPr="0027160E">
              <w:rPr>
                <w:sz w:val="20"/>
              </w:rPr>
              <w:t>Yes. Only one individual left the Selected Area focal zones (silver perch 37201) and this occurred only for a brief period of time.</w:t>
            </w:r>
          </w:p>
        </w:tc>
        <w:tc>
          <w:tcPr>
            <w:tcW w:w="2126" w:type="dxa"/>
            <w:tcMar>
              <w:left w:w="57" w:type="dxa"/>
              <w:right w:w="57" w:type="dxa"/>
            </w:tcMar>
          </w:tcPr>
          <w:p w14:paraId="3B4F89F6" w14:textId="77777777" w:rsidR="0027160E" w:rsidRPr="0027160E" w:rsidRDefault="0027160E" w:rsidP="0027160E">
            <w:pPr>
              <w:spacing w:after="0" w:line="240" w:lineRule="auto"/>
              <w:contextualSpacing/>
              <w:jc w:val="left"/>
              <w:rPr>
                <w:bCs/>
                <w:sz w:val="20"/>
              </w:rPr>
            </w:pPr>
            <w:r w:rsidRPr="0027160E">
              <w:rPr>
                <w:bCs/>
                <w:sz w:val="20"/>
              </w:rPr>
              <w:t xml:space="preserve">The timing of detections on different acoustic receivers (moored outside of the selected area focal zones) from individually tagged fish </w:t>
            </w:r>
          </w:p>
        </w:tc>
        <w:tc>
          <w:tcPr>
            <w:tcW w:w="2126" w:type="dxa"/>
            <w:vMerge/>
          </w:tcPr>
          <w:p w14:paraId="3B4F89F7" w14:textId="77777777" w:rsidR="0027160E" w:rsidRDefault="0027160E" w:rsidP="0027160E">
            <w:pPr>
              <w:tabs>
                <w:tab w:val="left" w:pos="9071"/>
              </w:tabs>
              <w:spacing w:after="0" w:line="240" w:lineRule="auto"/>
              <w:ind w:right="-1"/>
              <w:contextualSpacing/>
              <w:jc w:val="left"/>
              <w:rPr>
                <w:b/>
                <w:color w:val="4F6228" w:themeColor="accent3" w:themeShade="80"/>
                <w:sz w:val="24"/>
                <w:szCs w:val="24"/>
              </w:rPr>
            </w:pPr>
          </w:p>
        </w:tc>
      </w:tr>
      <w:tr w:rsidR="0027160E" w14:paraId="3B4F89FF" w14:textId="77777777" w:rsidTr="00497F33">
        <w:tc>
          <w:tcPr>
            <w:tcW w:w="2405" w:type="dxa"/>
            <w:vMerge/>
            <w:tcMar>
              <w:left w:w="57" w:type="dxa"/>
              <w:right w:w="57" w:type="dxa"/>
            </w:tcMar>
          </w:tcPr>
          <w:p w14:paraId="3B4F89F9"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126" w:type="dxa"/>
            <w:vMerge/>
            <w:tcMar>
              <w:left w:w="57" w:type="dxa"/>
              <w:right w:w="57" w:type="dxa"/>
            </w:tcMar>
          </w:tcPr>
          <w:p w14:paraId="3B4F89FA"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552" w:type="dxa"/>
            <w:tcMar>
              <w:left w:w="57" w:type="dxa"/>
              <w:right w:w="57" w:type="dxa"/>
            </w:tcMar>
          </w:tcPr>
          <w:p w14:paraId="3B4F89FB" w14:textId="77777777" w:rsidR="0027160E" w:rsidRPr="0027160E" w:rsidRDefault="0027160E" w:rsidP="0027160E">
            <w:pPr>
              <w:spacing w:after="0" w:line="240" w:lineRule="auto"/>
              <w:ind w:left="28"/>
              <w:contextualSpacing/>
              <w:jc w:val="left"/>
              <w:rPr>
                <w:rFonts w:cs="Calibri"/>
                <w:i/>
                <w:sz w:val="20"/>
              </w:rPr>
            </w:pPr>
            <w:r w:rsidRPr="0027160E">
              <w:rPr>
                <w:rFonts w:cstheme="minorHAnsi"/>
                <w:i/>
                <w:sz w:val="20"/>
              </w:rPr>
              <w:t>Did Commonwealth environmental water stimulate periodic fish species to exhibit movement consistent with reproductive behaviour?</w:t>
            </w:r>
          </w:p>
        </w:tc>
        <w:tc>
          <w:tcPr>
            <w:tcW w:w="2835" w:type="dxa"/>
            <w:tcMar>
              <w:left w:w="57" w:type="dxa"/>
              <w:right w:w="57" w:type="dxa"/>
            </w:tcMar>
          </w:tcPr>
          <w:p w14:paraId="3B4F89FC" w14:textId="77777777" w:rsidR="0027160E" w:rsidRPr="0027160E" w:rsidRDefault="0027160E" w:rsidP="0027160E">
            <w:pPr>
              <w:tabs>
                <w:tab w:val="left" w:pos="9071"/>
              </w:tabs>
              <w:spacing w:after="0" w:line="240" w:lineRule="auto"/>
              <w:ind w:right="-1"/>
              <w:contextualSpacing/>
              <w:jc w:val="left"/>
              <w:rPr>
                <w:color w:val="4F6228" w:themeColor="accent3" w:themeShade="80"/>
                <w:sz w:val="20"/>
              </w:rPr>
            </w:pPr>
            <w:r w:rsidRPr="0027160E">
              <w:rPr>
                <w:sz w:val="20"/>
              </w:rPr>
              <w:t xml:space="preserve">The majority of golden perch movements occurred between mid-September and mid-November 2015 when water temperatures ranged from 20–25 </w:t>
            </w:r>
            <w:r w:rsidRPr="0027160E">
              <w:rPr>
                <w:sz w:val="20"/>
                <w:vertAlign w:val="superscript"/>
              </w:rPr>
              <w:t>o</w:t>
            </w:r>
            <w:r w:rsidRPr="0027160E">
              <w:rPr>
                <w:sz w:val="20"/>
              </w:rPr>
              <w:t>C. Most movements were to downstream habitats, although were confined to zone 3. Samples sizes of silver perch were low, although the majority of movements occurred from late October to late December 2015. The timing of peak movements of both species is consistent with previously reported spawning windows for each species.</w:t>
            </w:r>
          </w:p>
        </w:tc>
        <w:tc>
          <w:tcPr>
            <w:tcW w:w="2126" w:type="dxa"/>
            <w:tcMar>
              <w:left w:w="57" w:type="dxa"/>
              <w:right w:w="57" w:type="dxa"/>
            </w:tcMar>
          </w:tcPr>
          <w:p w14:paraId="3B4F89FD" w14:textId="77777777" w:rsidR="0027160E" w:rsidRPr="0027160E" w:rsidRDefault="0027160E" w:rsidP="0027160E">
            <w:pPr>
              <w:spacing w:after="0" w:line="240" w:lineRule="auto"/>
              <w:contextualSpacing/>
              <w:jc w:val="left"/>
              <w:rPr>
                <w:bCs/>
                <w:sz w:val="20"/>
              </w:rPr>
            </w:pPr>
            <w:r w:rsidRPr="0027160E">
              <w:rPr>
                <w:bCs/>
                <w:sz w:val="20"/>
              </w:rPr>
              <w:t xml:space="preserve">The timing and extent of reconstructed movement paths within the selected area. </w:t>
            </w:r>
          </w:p>
        </w:tc>
        <w:tc>
          <w:tcPr>
            <w:tcW w:w="2126" w:type="dxa"/>
            <w:vMerge/>
          </w:tcPr>
          <w:p w14:paraId="3B4F89FE" w14:textId="77777777" w:rsidR="0027160E" w:rsidRDefault="0027160E" w:rsidP="0027160E">
            <w:pPr>
              <w:tabs>
                <w:tab w:val="left" w:pos="9071"/>
              </w:tabs>
              <w:spacing w:after="0" w:line="240" w:lineRule="auto"/>
              <w:ind w:right="-1"/>
              <w:contextualSpacing/>
              <w:jc w:val="left"/>
              <w:rPr>
                <w:b/>
                <w:color w:val="4F6228" w:themeColor="accent3" w:themeShade="80"/>
                <w:sz w:val="24"/>
                <w:szCs w:val="24"/>
              </w:rPr>
            </w:pPr>
          </w:p>
        </w:tc>
      </w:tr>
      <w:tr w:rsidR="0027160E" w14:paraId="3B4F8A06" w14:textId="77777777" w:rsidTr="00497F33">
        <w:tc>
          <w:tcPr>
            <w:tcW w:w="2405" w:type="dxa"/>
            <w:vMerge/>
            <w:tcMar>
              <w:left w:w="57" w:type="dxa"/>
              <w:right w:w="57" w:type="dxa"/>
            </w:tcMar>
          </w:tcPr>
          <w:p w14:paraId="3B4F8A00"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126" w:type="dxa"/>
            <w:vMerge/>
            <w:tcMar>
              <w:left w:w="57" w:type="dxa"/>
              <w:right w:w="57" w:type="dxa"/>
            </w:tcMar>
          </w:tcPr>
          <w:p w14:paraId="3B4F8A01"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552" w:type="dxa"/>
            <w:tcMar>
              <w:left w:w="57" w:type="dxa"/>
              <w:right w:w="57" w:type="dxa"/>
            </w:tcMar>
          </w:tcPr>
          <w:p w14:paraId="3B4F8A02" w14:textId="77777777" w:rsidR="0027160E" w:rsidRPr="0027160E" w:rsidRDefault="0027160E" w:rsidP="0027160E">
            <w:pPr>
              <w:spacing w:after="0" w:line="240" w:lineRule="auto"/>
              <w:ind w:left="28"/>
              <w:contextualSpacing/>
              <w:jc w:val="left"/>
              <w:rPr>
                <w:rFonts w:cs="Calibri"/>
                <w:i/>
                <w:sz w:val="20"/>
              </w:rPr>
            </w:pPr>
            <w:r w:rsidRPr="0027160E">
              <w:rPr>
                <w:rFonts w:cstheme="minorHAnsi"/>
                <w:i/>
                <w:sz w:val="20"/>
              </w:rPr>
              <w:t>Does Commonwealth environmental water enable periodic species to disperse from and return to refuge habitat?</w:t>
            </w:r>
          </w:p>
        </w:tc>
        <w:tc>
          <w:tcPr>
            <w:tcW w:w="2835" w:type="dxa"/>
            <w:tcMar>
              <w:left w:w="57" w:type="dxa"/>
              <w:right w:w="57" w:type="dxa"/>
            </w:tcMar>
          </w:tcPr>
          <w:p w14:paraId="3B4F8A03" w14:textId="77777777" w:rsidR="0027160E" w:rsidRPr="0027160E" w:rsidRDefault="0027160E" w:rsidP="0027160E">
            <w:pPr>
              <w:tabs>
                <w:tab w:val="left" w:pos="9071"/>
              </w:tabs>
              <w:spacing w:after="0" w:line="240" w:lineRule="auto"/>
              <w:ind w:right="-1"/>
              <w:contextualSpacing/>
              <w:jc w:val="left"/>
              <w:rPr>
                <w:sz w:val="20"/>
              </w:rPr>
            </w:pPr>
            <w:r w:rsidRPr="0027160E">
              <w:rPr>
                <w:sz w:val="20"/>
              </w:rPr>
              <w:t>Commonwealth watering occurred in conjunction with suitable water temperatures, and the volumes of water delivered enabled movement among all zones.</w:t>
            </w:r>
          </w:p>
        </w:tc>
        <w:tc>
          <w:tcPr>
            <w:tcW w:w="2126" w:type="dxa"/>
            <w:tcMar>
              <w:left w:w="57" w:type="dxa"/>
              <w:right w:w="57" w:type="dxa"/>
            </w:tcMar>
          </w:tcPr>
          <w:p w14:paraId="3B4F8A04" w14:textId="77777777" w:rsidR="0027160E" w:rsidRPr="0027160E" w:rsidRDefault="0027160E" w:rsidP="0027160E">
            <w:pPr>
              <w:spacing w:after="0" w:line="240" w:lineRule="auto"/>
              <w:contextualSpacing/>
              <w:jc w:val="left"/>
              <w:rPr>
                <w:bCs/>
                <w:sz w:val="20"/>
              </w:rPr>
            </w:pPr>
            <w:r w:rsidRPr="0027160E">
              <w:rPr>
                <w:bCs/>
                <w:sz w:val="20"/>
              </w:rPr>
              <w:t>The timing and extent of reconstructed movement paths within the selected area.</w:t>
            </w:r>
          </w:p>
        </w:tc>
        <w:tc>
          <w:tcPr>
            <w:tcW w:w="2126" w:type="dxa"/>
            <w:vMerge/>
          </w:tcPr>
          <w:p w14:paraId="3B4F8A05" w14:textId="77777777" w:rsidR="0027160E" w:rsidRDefault="0027160E" w:rsidP="0027160E">
            <w:pPr>
              <w:tabs>
                <w:tab w:val="left" w:pos="9071"/>
              </w:tabs>
              <w:spacing w:after="0" w:line="240" w:lineRule="auto"/>
              <w:ind w:right="-1"/>
              <w:contextualSpacing/>
              <w:jc w:val="left"/>
              <w:rPr>
                <w:b/>
                <w:color w:val="4F6228" w:themeColor="accent3" w:themeShade="80"/>
                <w:sz w:val="24"/>
                <w:szCs w:val="24"/>
              </w:rPr>
            </w:pPr>
          </w:p>
        </w:tc>
      </w:tr>
      <w:tr w:rsidR="0027160E" w14:paraId="3B4F8A0D" w14:textId="77777777" w:rsidTr="00497F33">
        <w:tc>
          <w:tcPr>
            <w:tcW w:w="2405" w:type="dxa"/>
            <w:vMerge/>
            <w:tcMar>
              <w:left w:w="57" w:type="dxa"/>
              <w:right w:w="57" w:type="dxa"/>
            </w:tcMar>
          </w:tcPr>
          <w:p w14:paraId="3B4F8A07"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126" w:type="dxa"/>
            <w:vMerge/>
            <w:tcMar>
              <w:left w:w="57" w:type="dxa"/>
              <w:right w:w="57" w:type="dxa"/>
            </w:tcMar>
          </w:tcPr>
          <w:p w14:paraId="3B4F8A08" w14:textId="77777777" w:rsidR="0027160E" w:rsidRPr="0027160E" w:rsidRDefault="0027160E" w:rsidP="0027160E">
            <w:pPr>
              <w:tabs>
                <w:tab w:val="left" w:pos="9071"/>
              </w:tabs>
              <w:spacing w:after="0" w:line="240" w:lineRule="auto"/>
              <w:ind w:right="-1"/>
              <w:contextualSpacing/>
              <w:jc w:val="left"/>
              <w:rPr>
                <w:b/>
                <w:color w:val="4F6228" w:themeColor="accent3" w:themeShade="80"/>
                <w:sz w:val="20"/>
              </w:rPr>
            </w:pPr>
          </w:p>
        </w:tc>
        <w:tc>
          <w:tcPr>
            <w:tcW w:w="2552" w:type="dxa"/>
            <w:tcMar>
              <w:left w:w="57" w:type="dxa"/>
              <w:right w:w="57" w:type="dxa"/>
            </w:tcMar>
          </w:tcPr>
          <w:p w14:paraId="3B4F8A09" w14:textId="77777777" w:rsidR="0027160E" w:rsidRPr="0027160E" w:rsidRDefault="0027160E" w:rsidP="0027160E">
            <w:pPr>
              <w:spacing w:after="0" w:line="240" w:lineRule="auto"/>
              <w:ind w:left="28"/>
              <w:contextualSpacing/>
              <w:jc w:val="left"/>
              <w:rPr>
                <w:rFonts w:cstheme="minorHAnsi"/>
                <w:i/>
                <w:sz w:val="20"/>
              </w:rPr>
            </w:pPr>
            <w:r w:rsidRPr="0027160E">
              <w:rPr>
                <w:rFonts w:cstheme="minorHAnsi"/>
                <w:i/>
                <w:sz w:val="20"/>
              </w:rPr>
              <w:t>Does Commonwealth environmental water protect periodic species from adverse water quality?</w:t>
            </w:r>
          </w:p>
        </w:tc>
        <w:tc>
          <w:tcPr>
            <w:tcW w:w="2835" w:type="dxa"/>
            <w:tcMar>
              <w:left w:w="57" w:type="dxa"/>
              <w:right w:w="57" w:type="dxa"/>
            </w:tcMar>
          </w:tcPr>
          <w:p w14:paraId="3B4F8A0A" w14:textId="77777777" w:rsidR="0027160E" w:rsidRPr="0027160E" w:rsidRDefault="000572D6" w:rsidP="000572D6">
            <w:pPr>
              <w:tabs>
                <w:tab w:val="left" w:pos="9071"/>
              </w:tabs>
              <w:spacing w:after="0" w:line="240" w:lineRule="auto"/>
              <w:ind w:right="-1"/>
              <w:contextualSpacing/>
              <w:jc w:val="left"/>
              <w:rPr>
                <w:sz w:val="20"/>
              </w:rPr>
            </w:pPr>
            <w:r>
              <w:rPr>
                <w:sz w:val="20"/>
              </w:rPr>
              <w:t xml:space="preserve">N/A  Commonwealth environmental water was not delivered to address adverse water quality issues in 2015-16.  </w:t>
            </w:r>
          </w:p>
        </w:tc>
        <w:tc>
          <w:tcPr>
            <w:tcW w:w="2126" w:type="dxa"/>
            <w:tcMar>
              <w:left w:w="57" w:type="dxa"/>
              <w:right w:w="57" w:type="dxa"/>
            </w:tcMar>
          </w:tcPr>
          <w:p w14:paraId="3B4F8A0B" w14:textId="77777777" w:rsidR="0027160E" w:rsidRPr="0027160E" w:rsidRDefault="0027160E" w:rsidP="0027160E">
            <w:pPr>
              <w:spacing w:after="0" w:line="240" w:lineRule="auto"/>
              <w:contextualSpacing/>
              <w:jc w:val="left"/>
              <w:rPr>
                <w:bCs/>
                <w:sz w:val="20"/>
              </w:rPr>
            </w:pPr>
            <w:r w:rsidRPr="0027160E">
              <w:rPr>
                <w:bCs/>
                <w:sz w:val="20"/>
              </w:rPr>
              <w:t>N/A. In future this would be generated from the timing and extent of reconstructed movement paths within the selected area.</w:t>
            </w:r>
          </w:p>
        </w:tc>
        <w:tc>
          <w:tcPr>
            <w:tcW w:w="2126" w:type="dxa"/>
            <w:vMerge/>
          </w:tcPr>
          <w:p w14:paraId="3B4F8A0C" w14:textId="77777777" w:rsidR="0027160E" w:rsidRDefault="0027160E" w:rsidP="0027160E">
            <w:pPr>
              <w:tabs>
                <w:tab w:val="left" w:pos="9071"/>
              </w:tabs>
              <w:spacing w:after="0" w:line="240" w:lineRule="auto"/>
              <w:ind w:right="-1"/>
              <w:contextualSpacing/>
              <w:jc w:val="left"/>
              <w:rPr>
                <w:b/>
                <w:color w:val="4F6228" w:themeColor="accent3" w:themeShade="80"/>
                <w:sz w:val="24"/>
                <w:szCs w:val="24"/>
              </w:rPr>
            </w:pPr>
          </w:p>
        </w:tc>
      </w:tr>
    </w:tbl>
    <w:p w14:paraId="3B4F8A0E" w14:textId="77777777" w:rsidR="0027160E" w:rsidRDefault="0027160E" w:rsidP="0027160E">
      <w:pPr>
        <w:spacing w:after="0" w:line="240" w:lineRule="auto"/>
        <w:contextualSpacing/>
        <w:jc w:val="left"/>
      </w:pPr>
    </w:p>
    <w:p w14:paraId="3B4F8A0F" w14:textId="77777777" w:rsidR="00BB30E9" w:rsidRDefault="00BB30E9" w:rsidP="0027160E">
      <w:pPr>
        <w:tabs>
          <w:tab w:val="left" w:pos="9071"/>
        </w:tabs>
        <w:spacing w:after="0" w:line="240" w:lineRule="auto"/>
        <w:ind w:right="-1"/>
        <w:contextualSpacing/>
        <w:jc w:val="left"/>
        <w:rPr>
          <w:b/>
          <w:color w:val="4F6228" w:themeColor="accent3" w:themeShade="80"/>
          <w:sz w:val="24"/>
          <w:szCs w:val="24"/>
        </w:rPr>
        <w:sectPr w:rsidR="00BB30E9" w:rsidSect="0027160E">
          <w:pgSz w:w="16838" w:h="11906" w:orient="landscape"/>
          <w:pgMar w:top="1701" w:right="1440" w:bottom="1701" w:left="1440" w:header="709" w:footer="709" w:gutter="0"/>
          <w:cols w:space="708"/>
          <w:docGrid w:linePitch="360"/>
        </w:sectPr>
      </w:pPr>
    </w:p>
    <w:p w14:paraId="3B4F8A10" w14:textId="77777777" w:rsidR="002631FA" w:rsidRPr="00981345" w:rsidRDefault="00743D43" w:rsidP="00417F7C">
      <w:pPr>
        <w:pStyle w:val="Heading1"/>
      </w:pPr>
      <w:bookmarkStart w:id="30" w:name="_Toc484078411"/>
      <w:r>
        <w:lastRenderedPageBreak/>
        <w:t>Summary of f</w:t>
      </w:r>
      <w:r w:rsidR="002631FA">
        <w:t xml:space="preserve">ish spawning responses to </w:t>
      </w:r>
      <w:r>
        <w:t>C</w:t>
      </w:r>
      <w:r w:rsidR="002631FA" w:rsidRPr="00981345">
        <w:t xml:space="preserve">ommonwealth environmental </w:t>
      </w:r>
      <w:r w:rsidR="002631FA">
        <w:t>watering</w:t>
      </w:r>
      <w:bookmarkEnd w:id="30"/>
      <w:r w:rsidR="002631FA">
        <w:t xml:space="preserve"> </w:t>
      </w:r>
    </w:p>
    <w:p w14:paraId="3B4F8A11" w14:textId="77777777" w:rsidR="002631FA" w:rsidRPr="00F13819" w:rsidRDefault="000572D6" w:rsidP="00FF1297">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9</w:t>
      </w:r>
      <w:r w:rsidR="002631FA">
        <w:rPr>
          <w:b/>
          <w:color w:val="4F6228" w:themeColor="accent3" w:themeShade="80"/>
          <w:sz w:val="24"/>
          <w:szCs w:val="24"/>
        </w:rPr>
        <w:t xml:space="preserve">.1 </w:t>
      </w:r>
      <w:r w:rsidR="001012C1">
        <w:rPr>
          <w:b/>
          <w:color w:val="4F6228" w:themeColor="accent3" w:themeShade="80"/>
          <w:sz w:val="24"/>
          <w:szCs w:val="24"/>
        </w:rPr>
        <w:t>Monitoring</w:t>
      </w:r>
    </w:p>
    <w:p w14:paraId="3B4F8A12" w14:textId="77777777" w:rsidR="00CF2F4F" w:rsidRDefault="00CF2F4F" w:rsidP="00CF2F4F">
      <w:pPr>
        <w:spacing w:after="240" w:line="320" w:lineRule="exact"/>
        <w:jc w:val="left"/>
      </w:pPr>
      <w:r>
        <w:t>Fish spawning and production responses to Commonwealth environmental watering were assessed by monitoring the presence and abundance of fish larvae throughout the spring and summer of 2015-16. Larval fish were sampled fort</w:t>
      </w:r>
      <w:r w:rsidR="0094680B">
        <w:t>nightly from September 2015 to M</w:t>
      </w:r>
      <w:r>
        <w:t xml:space="preserve">arch 2016 </w:t>
      </w:r>
      <w:r w:rsidR="0018604F">
        <w:t xml:space="preserve">using </w:t>
      </w:r>
      <w:r>
        <w:t xml:space="preserve">a combination of light traps and drift nets across four study zones: Yallakool Creek (zone 1), Wakool River upstream (zone 2), </w:t>
      </w:r>
      <w:r w:rsidR="0094680B">
        <w:t>mid-</w:t>
      </w:r>
      <w:r>
        <w:t xml:space="preserve">Wakool River upstream </w:t>
      </w:r>
      <w:r w:rsidR="00CC02D0">
        <w:t xml:space="preserve">of </w:t>
      </w:r>
      <w:r>
        <w:t xml:space="preserve">Thule Creek (zone 3), and </w:t>
      </w:r>
      <w:r w:rsidR="0094680B">
        <w:t>mid-</w:t>
      </w:r>
      <w:r>
        <w:t xml:space="preserve">Wakool River downstream </w:t>
      </w:r>
      <w:r w:rsidR="00CC02D0">
        <w:t xml:space="preserve">of </w:t>
      </w:r>
      <w:r>
        <w:t>Thule Creek (zone 4).</w:t>
      </w:r>
    </w:p>
    <w:p w14:paraId="3B4F8A13" w14:textId="77777777" w:rsidR="002631FA" w:rsidRPr="00F13819" w:rsidRDefault="000572D6" w:rsidP="00CF2F4F">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9</w:t>
      </w:r>
      <w:r w:rsidR="002631FA">
        <w:rPr>
          <w:b/>
          <w:color w:val="4F6228" w:themeColor="accent3" w:themeShade="80"/>
          <w:sz w:val="24"/>
          <w:szCs w:val="24"/>
        </w:rPr>
        <w:t>.2 Main findings</w:t>
      </w:r>
    </w:p>
    <w:p w14:paraId="3B4F8A14" w14:textId="77777777" w:rsidR="00B42194" w:rsidRDefault="00B42194" w:rsidP="00B42194">
      <w:pPr>
        <w:autoSpaceDE w:val="0"/>
        <w:autoSpaceDN w:val="0"/>
        <w:adjustRightInd w:val="0"/>
        <w:spacing w:after="240" w:line="320" w:lineRule="exact"/>
        <w:jc w:val="left"/>
        <w:rPr>
          <w:szCs w:val="22"/>
        </w:rPr>
      </w:pPr>
      <w:r>
        <w:rPr>
          <w:szCs w:val="22"/>
        </w:rPr>
        <w:t xml:space="preserve">This section provides a summary of the main fish spawning responses to Commonwealth environmental watering in the Edward-Wakool system in 2015-16. Detailed findings are presented in Appendix </w:t>
      </w:r>
      <w:r w:rsidR="0088257B" w:rsidRPr="0088257B">
        <w:rPr>
          <w:szCs w:val="22"/>
        </w:rPr>
        <w:t>D</w:t>
      </w:r>
      <w:r w:rsidRPr="0088257B">
        <w:rPr>
          <w:szCs w:val="22"/>
        </w:rPr>
        <w:t>.</w:t>
      </w:r>
    </w:p>
    <w:p w14:paraId="3B4F8A15" w14:textId="77777777" w:rsidR="00CF2F4F" w:rsidRDefault="00CF2F4F" w:rsidP="00FF1297">
      <w:pPr>
        <w:spacing w:after="240" w:line="320" w:lineRule="exact"/>
        <w:jc w:val="left"/>
      </w:pPr>
      <w:r>
        <w:t>Eight of the 10</w:t>
      </w:r>
      <w:r w:rsidRPr="00E95740">
        <w:t xml:space="preserve"> </w:t>
      </w:r>
      <w:r>
        <w:t>fish species collected as larvae were native, with small-bodied fish species making up the majority of larvae collected across the 4 study zones. Carp gudgeon (</w:t>
      </w:r>
      <w:r w:rsidRPr="00CF2F4F">
        <w:rPr>
          <w:i/>
        </w:rPr>
        <w:t>Hypseleotris</w:t>
      </w:r>
      <w:r>
        <w:t xml:space="preserve"> spp., n= 2343), were the most numerically abundant larvae caught in light traps, with flathead gudgeon (</w:t>
      </w:r>
      <w:r w:rsidRPr="00CF2F4F">
        <w:rPr>
          <w:i/>
        </w:rPr>
        <w:t>Philypnodon grandiceps</w:t>
      </w:r>
      <w:r>
        <w:t>, n = 107) and Australian smelt (</w:t>
      </w:r>
      <w:r w:rsidRPr="00CF2F4F">
        <w:rPr>
          <w:i/>
        </w:rPr>
        <w:t>Retropinna semoni</w:t>
      </w:r>
      <w:r>
        <w:t>, n= 81) larvae also detected widely across all study zones. Unspecked hardyhead (</w:t>
      </w:r>
      <w:r w:rsidRPr="00CF2F4F">
        <w:rPr>
          <w:i/>
        </w:rPr>
        <w:t>Craterocephalus stercusmuscarum fulvus</w:t>
      </w:r>
      <w:r>
        <w:t>, n= 6), obscure galaxias (</w:t>
      </w:r>
      <w:r w:rsidRPr="00CF2F4F">
        <w:rPr>
          <w:i/>
        </w:rPr>
        <w:t>Galaxias oliros</w:t>
      </w:r>
      <w:r>
        <w:t>, n=5) Murray River rainbowfish (</w:t>
      </w:r>
      <w:r w:rsidRPr="00CF2F4F">
        <w:rPr>
          <w:i/>
        </w:rPr>
        <w:t>Melanotaenia fluviatilis</w:t>
      </w:r>
      <w:r>
        <w:t>, n=1), were rare, but showed evidence that spawning had taken place in 2 of the four zones. Carp (</w:t>
      </w:r>
      <w:r w:rsidRPr="00CF2F4F">
        <w:rPr>
          <w:i/>
        </w:rPr>
        <w:t>Cyprinus carpio</w:t>
      </w:r>
      <w:r>
        <w:t>, n=5) and gambusia (</w:t>
      </w:r>
      <w:r w:rsidRPr="00CF2F4F">
        <w:rPr>
          <w:i/>
        </w:rPr>
        <w:t>Gambusia holbrooki</w:t>
      </w:r>
      <w:r>
        <w:t xml:space="preserve">, n=3) </w:t>
      </w:r>
      <w:r w:rsidR="0018604F">
        <w:t>were</w:t>
      </w:r>
      <w:r>
        <w:t xml:space="preserve"> the only </w:t>
      </w:r>
      <w:r w:rsidR="00CC02D0">
        <w:t>non-native</w:t>
      </w:r>
      <w:r>
        <w:t xml:space="preserve"> species captured as larvae. </w:t>
      </w:r>
    </w:p>
    <w:p w14:paraId="3B4F8A16" w14:textId="77777777" w:rsidR="00CF2F4F" w:rsidRPr="00287A09" w:rsidRDefault="00CF2F4F" w:rsidP="00FF1297">
      <w:pPr>
        <w:spacing w:after="240" w:line="320" w:lineRule="exact"/>
        <w:jc w:val="left"/>
      </w:pPr>
      <w:r>
        <w:t>Of the large-bodied, native fish species known to the Edward-Wakool River system, two species, Murray cod (</w:t>
      </w:r>
      <w:r w:rsidRPr="00CF2F4F">
        <w:rPr>
          <w:i/>
        </w:rPr>
        <w:t>Maccullochella peelii</w:t>
      </w:r>
      <w:r>
        <w:t>, n=215), and river blackfish (</w:t>
      </w:r>
      <w:r w:rsidRPr="00CF2F4F">
        <w:rPr>
          <w:i/>
        </w:rPr>
        <w:t xml:space="preserve">Gadopsis marmoratus, </w:t>
      </w:r>
      <w:r>
        <w:t>n=18) were collected as larvae. While Murray cod were collected as larvae in all four study zones, river blackfish were only collected in the Upper Wakool River (Zone 2). This is the fourth season that river blackfish larvae have been sampled in the Upper Wakool River, suggesting spawning populations of this species are localised. There were no bony herring (</w:t>
      </w:r>
      <w:r w:rsidRPr="00CF2F4F">
        <w:rPr>
          <w:i/>
        </w:rPr>
        <w:t>Netamalosa erebi</w:t>
      </w:r>
      <w:r>
        <w:t>), silver perch (</w:t>
      </w:r>
      <w:r w:rsidRPr="00CF2F4F">
        <w:rPr>
          <w:i/>
        </w:rPr>
        <w:t>Bidyanus bidyanus</w:t>
      </w:r>
      <w:r>
        <w:t>) or golden perch (</w:t>
      </w:r>
      <w:r w:rsidRPr="00CF2F4F">
        <w:rPr>
          <w:i/>
        </w:rPr>
        <w:t>Macquaria ambigua</w:t>
      </w:r>
      <w:r>
        <w:t xml:space="preserve">) eggs or larvae collected from light traps or drift nets. </w:t>
      </w:r>
    </w:p>
    <w:p w14:paraId="3B4F8A17" w14:textId="64188ABF" w:rsidR="00CF2F4F" w:rsidRDefault="00CF2F4F" w:rsidP="00FF1297">
      <w:pPr>
        <w:pStyle w:val="BodyText"/>
        <w:spacing w:after="240" w:line="320" w:lineRule="exact"/>
        <w:jc w:val="left"/>
        <w:rPr>
          <w:rFonts w:ascii="Calibri" w:hAnsi="Calibri"/>
          <w:sz w:val="22"/>
          <w:szCs w:val="22"/>
        </w:rPr>
      </w:pPr>
      <w:r>
        <w:rPr>
          <w:rFonts w:ascii="Calibri" w:hAnsi="Calibri"/>
          <w:sz w:val="22"/>
          <w:szCs w:val="22"/>
        </w:rPr>
        <w:t xml:space="preserve">The Yallakool Creek and Wakool River watering actions targeting increased spawning of Murray cod did not result in significantly greater numbers of Murray cod </w:t>
      </w:r>
      <w:r w:rsidR="00FF1297">
        <w:rPr>
          <w:rFonts w:ascii="Calibri" w:hAnsi="Calibri"/>
          <w:sz w:val="22"/>
          <w:szCs w:val="22"/>
        </w:rPr>
        <w:t xml:space="preserve">larvae </w:t>
      </w:r>
      <w:r>
        <w:rPr>
          <w:rFonts w:ascii="Calibri" w:hAnsi="Calibri"/>
          <w:sz w:val="22"/>
          <w:szCs w:val="22"/>
        </w:rPr>
        <w:t>in these study zones</w:t>
      </w:r>
      <w:r w:rsidR="000572D6">
        <w:rPr>
          <w:rFonts w:ascii="Calibri" w:hAnsi="Calibri"/>
          <w:sz w:val="22"/>
          <w:szCs w:val="22"/>
        </w:rPr>
        <w:t xml:space="preserve"> (Figure 9</w:t>
      </w:r>
      <w:r w:rsidR="00FF1297">
        <w:rPr>
          <w:rFonts w:ascii="Calibri" w:hAnsi="Calibri"/>
          <w:sz w:val="22"/>
          <w:szCs w:val="22"/>
        </w:rPr>
        <w:t>.1)</w:t>
      </w:r>
      <w:r>
        <w:rPr>
          <w:rFonts w:ascii="Calibri" w:hAnsi="Calibri"/>
          <w:sz w:val="22"/>
          <w:szCs w:val="22"/>
        </w:rPr>
        <w:t>. These findings concur with results observed during monitoring of similar watering actions in the Yallakool Creek in 2012</w:t>
      </w:r>
      <w:r w:rsidR="00FF1297">
        <w:rPr>
          <w:rFonts w:ascii="Calibri" w:hAnsi="Calibri"/>
          <w:sz w:val="22"/>
          <w:szCs w:val="22"/>
        </w:rPr>
        <w:t>-</w:t>
      </w:r>
      <w:r>
        <w:rPr>
          <w:rFonts w:ascii="Calibri" w:hAnsi="Calibri"/>
          <w:sz w:val="22"/>
          <w:szCs w:val="22"/>
        </w:rPr>
        <w:t xml:space="preserve">13, 2013-14 and 2014-15, and </w:t>
      </w:r>
      <w:r>
        <w:rPr>
          <w:rFonts w:ascii="Calibri" w:hAnsi="Calibri"/>
          <w:sz w:val="22"/>
          <w:szCs w:val="22"/>
        </w:rPr>
        <w:lastRenderedPageBreak/>
        <w:t>support the body of knowledge that shows Murray cod spawn at peak times in November and December, regardless of flow conditions.</w:t>
      </w:r>
    </w:p>
    <w:p w14:paraId="1C8FA378" w14:textId="5955F549" w:rsidR="00C8499D" w:rsidRPr="007748FD" w:rsidRDefault="00C8499D" w:rsidP="00FF1297">
      <w:pPr>
        <w:pStyle w:val="BodyText"/>
        <w:spacing w:after="240" w:line="320" w:lineRule="exact"/>
        <w:jc w:val="left"/>
      </w:pPr>
      <w:r>
        <w:rPr>
          <w:rFonts w:ascii="Calibri" w:hAnsi="Calibri"/>
          <w:sz w:val="22"/>
          <w:szCs w:val="22"/>
        </w:rPr>
        <w:t>There were significantly fewer larval carp gudgeon in zone 1 Yallakool Creek than in zo</w:t>
      </w:r>
      <w:r w:rsidR="004D4CC0">
        <w:rPr>
          <w:rFonts w:ascii="Calibri" w:hAnsi="Calibri"/>
          <w:sz w:val="22"/>
          <w:szCs w:val="22"/>
        </w:rPr>
        <w:t>nes 2, 3 or 4 and t</w:t>
      </w:r>
      <w:r w:rsidR="00581394">
        <w:rPr>
          <w:rFonts w:ascii="Calibri" w:hAnsi="Calibri"/>
          <w:sz w:val="22"/>
          <w:szCs w:val="22"/>
        </w:rPr>
        <w:t>here were also fewer flathead gudgeon in zone 1 Yallakool Creek than in Wakool River zone 4 (Figure 9.1). This may be due to the reduced area of slackwater and slow water in Yallakool Creek during the environmental watering action compared to the other zones (see section 4).</w:t>
      </w:r>
    </w:p>
    <w:p w14:paraId="3B4F8A18" w14:textId="77777777" w:rsidR="00CF2F4F" w:rsidRDefault="00CF2F4F" w:rsidP="00CF2F4F"/>
    <w:p w14:paraId="3B4F8A19" w14:textId="77777777" w:rsidR="00CF2F4F" w:rsidRDefault="00CF2F4F" w:rsidP="002F6E09">
      <w:pPr>
        <w:pStyle w:val="ListParagraph"/>
        <w:spacing w:after="120" w:line="240" w:lineRule="auto"/>
      </w:pPr>
      <w:r>
        <w:rPr>
          <w:noProof/>
          <w:lang w:eastAsia="en-AU"/>
        </w:rPr>
        <w:drawing>
          <wp:inline distT="0" distB="0" distL="0" distR="0" wp14:anchorId="3B4F9602" wp14:editId="3B4F9603">
            <wp:extent cx="4662372" cy="4464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2372" cy="4464000"/>
                    </a:xfrm>
                    <a:prstGeom prst="rect">
                      <a:avLst/>
                    </a:prstGeom>
                    <a:noFill/>
                  </pic:spPr>
                </pic:pic>
              </a:graphicData>
            </a:graphic>
          </wp:inline>
        </w:drawing>
      </w:r>
    </w:p>
    <w:p w14:paraId="3B4F8A1A" w14:textId="77777777" w:rsidR="00CF2F4F" w:rsidRDefault="000572D6" w:rsidP="00CF2F4F">
      <w:pPr>
        <w:spacing w:after="0" w:line="240" w:lineRule="auto"/>
        <w:rPr>
          <w:sz w:val="20"/>
        </w:rPr>
      </w:pPr>
      <w:r>
        <w:rPr>
          <w:b/>
          <w:bCs/>
          <w:sz w:val="20"/>
        </w:rPr>
        <w:t>Figure 9</w:t>
      </w:r>
      <w:r w:rsidR="0094680B">
        <w:rPr>
          <w:b/>
          <w:bCs/>
          <w:sz w:val="20"/>
        </w:rPr>
        <w:t>.1</w:t>
      </w:r>
      <w:r w:rsidR="00945A47">
        <w:rPr>
          <w:b/>
          <w:bCs/>
          <w:sz w:val="20"/>
        </w:rPr>
        <w:t>.</w:t>
      </w:r>
      <w:r w:rsidR="00CF2F4F">
        <w:rPr>
          <w:b/>
          <w:bCs/>
          <w:sz w:val="20"/>
        </w:rPr>
        <w:t xml:space="preserve"> </w:t>
      </w:r>
      <w:r w:rsidR="00CF2F4F">
        <w:rPr>
          <w:sz w:val="20"/>
        </w:rPr>
        <w:t xml:space="preserve">Mean total abundance (±SE) of larval sampled in the 2015-16 spawning season in the Edward- Wakool Selected Area, for </w:t>
      </w:r>
      <w:r w:rsidR="00CF2F4F">
        <w:rPr>
          <w:i/>
          <w:iCs/>
          <w:sz w:val="20"/>
        </w:rPr>
        <w:t xml:space="preserve">a) </w:t>
      </w:r>
      <w:r w:rsidR="00CF2F4F">
        <w:rPr>
          <w:iCs/>
          <w:sz w:val="20"/>
        </w:rPr>
        <w:t>carp gudgeon</w:t>
      </w:r>
      <w:r w:rsidR="00CF2F4F" w:rsidRPr="00502A71">
        <w:rPr>
          <w:sz w:val="20"/>
        </w:rPr>
        <w:t>,</w:t>
      </w:r>
      <w:r w:rsidR="00CF2F4F">
        <w:rPr>
          <w:sz w:val="20"/>
        </w:rPr>
        <w:t xml:space="preserve"> </w:t>
      </w:r>
      <w:r w:rsidR="00CF2F4F">
        <w:rPr>
          <w:i/>
          <w:iCs/>
          <w:sz w:val="20"/>
        </w:rPr>
        <w:t xml:space="preserve">b) </w:t>
      </w:r>
      <w:r w:rsidR="00CF2F4F">
        <w:rPr>
          <w:sz w:val="20"/>
        </w:rPr>
        <w:t xml:space="preserve">Murray cod, c) Australian smelt and </w:t>
      </w:r>
      <w:r w:rsidR="00CF2F4F">
        <w:rPr>
          <w:i/>
          <w:iCs/>
          <w:sz w:val="20"/>
        </w:rPr>
        <w:t xml:space="preserve">d) </w:t>
      </w:r>
      <w:r w:rsidR="00CF2F4F" w:rsidRPr="008819CE">
        <w:rPr>
          <w:iCs/>
          <w:sz w:val="20"/>
        </w:rPr>
        <w:t>flathead gudgeon</w:t>
      </w:r>
      <w:r w:rsidR="00CF2F4F">
        <w:rPr>
          <w:sz w:val="20"/>
        </w:rPr>
        <w:t>. There was a significant difference in carp gudgeon larval abundance across the four study zone.</w:t>
      </w:r>
    </w:p>
    <w:p w14:paraId="3B4F8A1B" w14:textId="77777777" w:rsidR="00CF2F4F" w:rsidRPr="00A71C3F" w:rsidRDefault="00CF2F4F" w:rsidP="00CF2F4F">
      <w:pPr>
        <w:pStyle w:val="BodyText"/>
        <w:spacing w:line="324" w:lineRule="exact"/>
        <w:ind w:left="360"/>
        <w:jc w:val="left"/>
      </w:pPr>
    </w:p>
    <w:p w14:paraId="3B4F8A1C" w14:textId="77777777" w:rsidR="00CF2F4F" w:rsidRDefault="00CF2F4F" w:rsidP="002631FA">
      <w:pPr>
        <w:tabs>
          <w:tab w:val="left" w:pos="9071"/>
        </w:tabs>
        <w:spacing w:after="240"/>
        <w:ind w:right="-1"/>
        <w:jc w:val="left"/>
        <w:rPr>
          <w:b/>
          <w:color w:val="4F6228" w:themeColor="accent3" w:themeShade="80"/>
          <w:sz w:val="24"/>
          <w:szCs w:val="24"/>
        </w:rPr>
        <w:sectPr w:rsidR="00CF2F4F" w:rsidSect="00F71922">
          <w:pgSz w:w="11906" w:h="16838"/>
          <w:pgMar w:top="1440" w:right="1701" w:bottom="1440" w:left="1701" w:header="709" w:footer="709" w:gutter="0"/>
          <w:cols w:space="708"/>
          <w:docGrid w:linePitch="360"/>
        </w:sectPr>
      </w:pPr>
    </w:p>
    <w:p w14:paraId="3B4F8A1D" w14:textId="77777777" w:rsidR="0094680B" w:rsidRPr="0062265B" w:rsidRDefault="000572D6" w:rsidP="0062265B">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lastRenderedPageBreak/>
        <w:t>9</w:t>
      </w:r>
      <w:r w:rsidR="0062265B">
        <w:rPr>
          <w:b/>
          <w:color w:val="4F6228" w:themeColor="accent3" w:themeShade="80"/>
          <w:sz w:val="24"/>
          <w:szCs w:val="24"/>
        </w:rPr>
        <w:t xml:space="preserve">.3 </w:t>
      </w:r>
      <w:r w:rsidR="002631FA" w:rsidRPr="0062265B">
        <w:rPr>
          <w:b/>
          <w:color w:val="4F6228" w:themeColor="accent3" w:themeShade="80"/>
          <w:sz w:val="24"/>
          <w:szCs w:val="24"/>
        </w:rPr>
        <w:t>Evaluation</w:t>
      </w:r>
    </w:p>
    <w:tbl>
      <w:tblPr>
        <w:tblStyle w:val="TableGrid"/>
        <w:tblW w:w="14170" w:type="dxa"/>
        <w:tblLook w:val="04A0" w:firstRow="1" w:lastRow="0" w:firstColumn="1" w:lastColumn="0" w:noHBand="0" w:noVBand="1"/>
      </w:tblPr>
      <w:tblGrid>
        <w:gridCol w:w="2405"/>
        <w:gridCol w:w="2126"/>
        <w:gridCol w:w="2552"/>
        <w:gridCol w:w="2835"/>
        <w:gridCol w:w="2126"/>
        <w:gridCol w:w="2126"/>
      </w:tblGrid>
      <w:tr w:rsidR="0094680B" w14:paraId="3B4F8A20" w14:textId="77777777" w:rsidTr="0094680B">
        <w:tc>
          <w:tcPr>
            <w:tcW w:w="4531" w:type="dxa"/>
            <w:gridSpan w:val="2"/>
            <w:shd w:val="clear" w:color="auto" w:fill="EAF1DD" w:themeFill="accent3" w:themeFillTint="33"/>
          </w:tcPr>
          <w:p w14:paraId="3B4F8A1E" w14:textId="77777777" w:rsidR="0094680B" w:rsidRPr="00543BE6" w:rsidRDefault="0094680B" w:rsidP="0000180C">
            <w:pPr>
              <w:tabs>
                <w:tab w:val="left" w:pos="9071"/>
              </w:tabs>
              <w:spacing w:after="0" w:line="240" w:lineRule="auto"/>
              <w:jc w:val="center"/>
              <w:rPr>
                <w:b/>
                <w:sz w:val="24"/>
                <w:szCs w:val="24"/>
              </w:rPr>
            </w:pPr>
            <w:r w:rsidRPr="00543BE6">
              <w:rPr>
                <w:b/>
                <w:sz w:val="24"/>
                <w:szCs w:val="24"/>
              </w:rPr>
              <w:t>CEWO Water Planning and delivery</w:t>
            </w:r>
          </w:p>
        </w:tc>
        <w:tc>
          <w:tcPr>
            <w:tcW w:w="9639" w:type="dxa"/>
            <w:gridSpan w:val="4"/>
            <w:shd w:val="clear" w:color="auto" w:fill="EAF1DD" w:themeFill="accent3" w:themeFillTint="33"/>
          </w:tcPr>
          <w:p w14:paraId="3B4F8A1F" w14:textId="77777777" w:rsidR="0094680B" w:rsidRPr="00543BE6" w:rsidRDefault="0094680B" w:rsidP="0000180C">
            <w:pPr>
              <w:tabs>
                <w:tab w:val="left" w:pos="9071"/>
              </w:tabs>
              <w:spacing w:after="0" w:line="240" w:lineRule="auto"/>
              <w:jc w:val="center"/>
              <w:rPr>
                <w:b/>
                <w:sz w:val="24"/>
                <w:szCs w:val="24"/>
              </w:rPr>
            </w:pPr>
            <w:r w:rsidRPr="00543BE6">
              <w:rPr>
                <w:b/>
                <w:sz w:val="24"/>
                <w:szCs w:val="24"/>
              </w:rPr>
              <w:t>Monitoring and Evaluation questions and outcomes</w:t>
            </w:r>
          </w:p>
        </w:tc>
      </w:tr>
      <w:tr w:rsidR="0094680B" w14:paraId="3B4F8A27" w14:textId="77777777" w:rsidTr="0094680B">
        <w:tc>
          <w:tcPr>
            <w:tcW w:w="2405" w:type="dxa"/>
            <w:shd w:val="clear" w:color="auto" w:fill="EAF1DD" w:themeFill="accent3" w:themeFillTint="33"/>
          </w:tcPr>
          <w:p w14:paraId="3B4F8A21" w14:textId="77777777" w:rsidR="0094680B" w:rsidRPr="0094680B" w:rsidRDefault="0094680B" w:rsidP="008905BF">
            <w:pPr>
              <w:tabs>
                <w:tab w:val="left" w:pos="9071"/>
              </w:tabs>
              <w:spacing w:after="0" w:line="240" w:lineRule="auto"/>
              <w:jc w:val="left"/>
              <w:rPr>
                <w:b/>
                <w:color w:val="4F6228" w:themeColor="accent3" w:themeShade="80"/>
                <w:sz w:val="20"/>
              </w:rPr>
            </w:pPr>
            <w:r w:rsidRPr="0094680B">
              <w:rPr>
                <w:b/>
                <w:bCs/>
                <w:sz w:val="20"/>
              </w:rPr>
              <w:t>Flow component type and target/planned</w:t>
            </w:r>
            <w:r w:rsidRPr="0094680B">
              <w:rPr>
                <w:b/>
                <w:bCs/>
                <w:sz w:val="20"/>
                <w:u w:val="single"/>
              </w:rPr>
              <w:t xml:space="preserve"> </w:t>
            </w:r>
            <w:r w:rsidRPr="0094680B">
              <w:rPr>
                <w:b/>
                <w:bCs/>
                <w:sz w:val="20"/>
              </w:rPr>
              <w:t>magnitude, duration, timing and/or inundation extent</w:t>
            </w:r>
          </w:p>
        </w:tc>
        <w:tc>
          <w:tcPr>
            <w:tcW w:w="2126" w:type="dxa"/>
            <w:shd w:val="clear" w:color="auto" w:fill="EAF1DD" w:themeFill="accent3" w:themeFillTint="33"/>
          </w:tcPr>
          <w:p w14:paraId="3B4F8A22" w14:textId="77777777" w:rsidR="0094680B" w:rsidRPr="0094680B" w:rsidRDefault="0094680B" w:rsidP="008905BF">
            <w:pPr>
              <w:tabs>
                <w:tab w:val="left" w:pos="9071"/>
              </w:tabs>
              <w:spacing w:after="0" w:line="240" w:lineRule="auto"/>
              <w:jc w:val="left"/>
              <w:rPr>
                <w:b/>
                <w:color w:val="4F6228" w:themeColor="accent3" w:themeShade="80"/>
                <w:sz w:val="20"/>
              </w:rPr>
            </w:pPr>
            <w:r w:rsidRPr="0094680B">
              <w:rPr>
                <w:b/>
                <w:sz w:val="20"/>
              </w:rPr>
              <w:t>Expected outcomes of watering action (From Water Use Minute 10038 and/or CEWO Acquittal report)</w:t>
            </w:r>
          </w:p>
        </w:tc>
        <w:tc>
          <w:tcPr>
            <w:tcW w:w="2552" w:type="dxa"/>
            <w:shd w:val="clear" w:color="auto" w:fill="EAF1DD" w:themeFill="accent3" w:themeFillTint="33"/>
          </w:tcPr>
          <w:p w14:paraId="3B4F8A23" w14:textId="77777777" w:rsidR="0094680B" w:rsidRPr="0094680B" w:rsidRDefault="0094680B" w:rsidP="008905BF">
            <w:pPr>
              <w:tabs>
                <w:tab w:val="left" w:pos="9071"/>
              </w:tabs>
              <w:spacing w:after="0" w:line="240" w:lineRule="auto"/>
              <w:jc w:val="left"/>
              <w:rPr>
                <w:b/>
                <w:color w:val="4F6228" w:themeColor="accent3" w:themeShade="80"/>
                <w:sz w:val="20"/>
              </w:rPr>
            </w:pPr>
            <w:r w:rsidRPr="0094680B">
              <w:rPr>
                <w:b/>
                <w:sz w:val="20"/>
              </w:rPr>
              <w:t>LTIM Question</w:t>
            </w:r>
          </w:p>
        </w:tc>
        <w:tc>
          <w:tcPr>
            <w:tcW w:w="2835" w:type="dxa"/>
            <w:shd w:val="clear" w:color="auto" w:fill="EAF1DD" w:themeFill="accent3" w:themeFillTint="33"/>
          </w:tcPr>
          <w:p w14:paraId="3B4F8A24" w14:textId="77777777" w:rsidR="0094680B" w:rsidRPr="0094680B" w:rsidRDefault="0094680B" w:rsidP="008905BF">
            <w:pPr>
              <w:tabs>
                <w:tab w:val="left" w:pos="9071"/>
              </w:tabs>
              <w:spacing w:after="0" w:line="240" w:lineRule="auto"/>
              <w:jc w:val="left"/>
              <w:rPr>
                <w:b/>
                <w:color w:val="4F6228" w:themeColor="accent3" w:themeShade="80"/>
                <w:sz w:val="20"/>
              </w:rPr>
            </w:pPr>
            <w:r w:rsidRPr="0094680B">
              <w:rPr>
                <w:b/>
                <w:sz w:val="20"/>
              </w:rPr>
              <w:t>Observed outcomes</w:t>
            </w:r>
          </w:p>
        </w:tc>
        <w:tc>
          <w:tcPr>
            <w:tcW w:w="2126" w:type="dxa"/>
            <w:shd w:val="clear" w:color="auto" w:fill="EAF1DD" w:themeFill="accent3" w:themeFillTint="33"/>
          </w:tcPr>
          <w:p w14:paraId="3B4F8A25" w14:textId="77777777" w:rsidR="0094680B" w:rsidRPr="0094680B" w:rsidRDefault="0094680B" w:rsidP="008905BF">
            <w:pPr>
              <w:tabs>
                <w:tab w:val="left" w:pos="9071"/>
              </w:tabs>
              <w:spacing w:after="0" w:line="240" w:lineRule="auto"/>
              <w:jc w:val="left"/>
              <w:rPr>
                <w:b/>
                <w:color w:val="4F6228" w:themeColor="accent3" w:themeShade="80"/>
                <w:sz w:val="20"/>
              </w:rPr>
            </w:pPr>
            <w:r w:rsidRPr="0094680B">
              <w:rPr>
                <w:b/>
                <w:sz w:val="20"/>
              </w:rPr>
              <w:t>What information was the evaluation based on?</w:t>
            </w:r>
          </w:p>
        </w:tc>
        <w:tc>
          <w:tcPr>
            <w:tcW w:w="2126" w:type="dxa"/>
            <w:shd w:val="clear" w:color="auto" w:fill="EAF1DD" w:themeFill="accent3" w:themeFillTint="33"/>
          </w:tcPr>
          <w:p w14:paraId="3B4F8A26" w14:textId="77777777" w:rsidR="0094680B" w:rsidRPr="0094680B" w:rsidRDefault="0094680B" w:rsidP="008905BF">
            <w:pPr>
              <w:tabs>
                <w:tab w:val="left" w:pos="9071"/>
              </w:tabs>
              <w:spacing w:after="0" w:line="240" w:lineRule="auto"/>
              <w:jc w:val="left"/>
              <w:rPr>
                <w:b/>
                <w:color w:val="4F6228" w:themeColor="accent3" w:themeShade="80"/>
                <w:sz w:val="20"/>
              </w:rPr>
            </w:pPr>
            <w:r w:rsidRPr="0094680B">
              <w:rPr>
                <w:b/>
                <w:sz w:val="20"/>
              </w:rPr>
              <w:t>Were appropriate flows provided to achieve the expected outcome?</w:t>
            </w:r>
          </w:p>
        </w:tc>
      </w:tr>
      <w:tr w:rsidR="0094680B" w14:paraId="3B4F8A33" w14:textId="77777777" w:rsidTr="0000180C">
        <w:tc>
          <w:tcPr>
            <w:tcW w:w="2405" w:type="dxa"/>
            <w:vMerge w:val="restart"/>
            <w:tcMar>
              <w:left w:w="57" w:type="dxa"/>
              <w:right w:w="57" w:type="dxa"/>
            </w:tcMar>
          </w:tcPr>
          <w:p w14:paraId="3B4F8A28" w14:textId="77777777" w:rsidR="0094680B" w:rsidRPr="005611D4" w:rsidRDefault="0094680B" w:rsidP="008905BF">
            <w:pPr>
              <w:pStyle w:val="ListBullet"/>
              <w:spacing w:after="0"/>
              <w:contextualSpacing w:val="0"/>
              <w:jc w:val="left"/>
              <w:rPr>
                <w:sz w:val="18"/>
                <w:szCs w:val="18"/>
                <w:u w:val="single"/>
              </w:rPr>
            </w:pPr>
            <w:r w:rsidRPr="005611D4">
              <w:rPr>
                <w:sz w:val="18"/>
                <w:szCs w:val="18"/>
                <w:u w:val="single"/>
              </w:rPr>
              <w:t>Upper Wakool River: Base flow and Fresh</w:t>
            </w:r>
          </w:p>
          <w:p w14:paraId="3B4F8A29" w14:textId="77777777" w:rsidR="0094680B" w:rsidRPr="005611D4" w:rsidRDefault="0094680B" w:rsidP="008905BF">
            <w:pPr>
              <w:pStyle w:val="ListBullet"/>
              <w:spacing w:after="0"/>
              <w:contextualSpacing w:val="0"/>
              <w:jc w:val="left"/>
              <w:rPr>
                <w:sz w:val="18"/>
                <w:szCs w:val="18"/>
              </w:rPr>
            </w:pPr>
            <w:r w:rsidRPr="005611D4">
              <w:rPr>
                <w:sz w:val="18"/>
                <w:szCs w:val="18"/>
              </w:rPr>
              <w:t>Flow for spring-summer fresh in Upper Wakool (above confluence with Yallakool Creek) to have a flow range of between 50 ML/day and 100 ML/day to enable river operators to provide a level of variability into flows. A flow recession back to base flows of 25 ML/day every 14 days was targeted.</w:t>
            </w:r>
          </w:p>
          <w:p w14:paraId="3B4F8A2A" w14:textId="77777777" w:rsidR="0094680B" w:rsidRPr="005611D4" w:rsidRDefault="0094680B" w:rsidP="008905BF">
            <w:pPr>
              <w:pStyle w:val="ListBullet"/>
              <w:spacing w:after="0"/>
              <w:contextualSpacing w:val="0"/>
              <w:jc w:val="left"/>
              <w:rPr>
                <w:sz w:val="18"/>
                <w:szCs w:val="18"/>
              </w:rPr>
            </w:pPr>
          </w:p>
          <w:p w14:paraId="3B4F8A2B" w14:textId="77777777" w:rsidR="0094680B" w:rsidRPr="005611D4" w:rsidRDefault="0094680B" w:rsidP="008905BF">
            <w:pPr>
              <w:pStyle w:val="ListBullet"/>
              <w:spacing w:after="0"/>
              <w:contextualSpacing w:val="0"/>
              <w:jc w:val="left"/>
              <w:rPr>
                <w:sz w:val="18"/>
                <w:szCs w:val="18"/>
                <w:u w:val="single"/>
              </w:rPr>
            </w:pPr>
            <w:r w:rsidRPr="005611D4">
              <w:rPr>
                <w:sz w:val="18"/>
                <w:szCs w:val="18"/>
                <w:u w:val="single"/>
              </w:rPr>
              <w:t>Yallakool Creek: Base flow and Fresh</w:t>
            </w:r>
          </w:p>
          <w:p w14:paraId="3B4F8A2C" w14:textId="77777777" w:rsidR="0094680B" w:rsidRPr="005611D4" w:rsidRDefault="0094680B" w:rsidP="008905BF">
            <w:pPr>
              <w:tabs>
                <w:tab w:val="left" w:pos="9071"/>
              </w:tabs>
              <w:spacing w:after="0" w:line="240" w:lineRule="auto"/>
              <w:ind w:right="-1"/>
              <w:jc w:val="left"/>
              <w:rPr>
                <w:b/>
                <w:color w:val="4F6228" w:themeColor="accent3" w:themeShade="80"/>
                <w:sz w:val="18"/>
                <w:szCs w:val="18"/>
              </w:rPr>
            </w:pPr>
            <w:r w:rsidRPr="005611D4">
              <w:rPr>
                <w:sz w:val="18"/>
                <w:szCs w:val="18"/>
              </w:rPr>
              <w:t>Flow for early fresh to increase from base flow level to peak of 550 ML/day, receding to 450 ML/day. Flow for spring-summer fresh to have a flow range of between 450 ML/day and 500 ML/day to enable river operators to provide a level of variability into flows. Flow recession to reduce from 500 ML/day in 25 ML/day increments</w:t>
            </w:r>
            <w:r w:rsidRPr="005611D4">
              <w:rPr>
                <w:bCs/>
                <w:sz w:val="18"/>
                <w:szCs w:val="18"/>
              </w:rPr>
              <w:t>.</w:t>
            </w:r>
          </w:p>
        </w:tc>
        <w:tc>
          <w:tcPr>
            <w:tcW w:w="2126" w:type="dxa"/>
            <w:tcMar>
              <w:left w:w="57" w:type="dxa"/>
              <w:right w:w="57" w:type="dxa"/>
            </w:tcMar>
          </w:tcPr>
          <w:p w14:paraId="3B4F8A2D" w14:textId="77777777" w:rsidR="0094680B" w:rsidRPr="00495171" w:rsidRDefault="0094680B" w:rsidP="00495171">
            <w:pPr>
              <w:spacing w:after="0" w:line="240" w:lineRule="auto"/>
              <w:jc w:val="left"/>
              <w:rPr>
                <w:bCs/>
                <w:sz w:val="18"/>
                <w:szCs w:val="18"/>
              </w:rPr>
            </w:pPr>
            <w:r w:rsidRPr="005611D4">
              <w:rPr>
                <w:sz w:val="18"/>
                <w:szCs w:val="18"/>
              </w:rPr>
              <w:t>To provide areas of habitat for Murray cod to move into and spawn, especially where the flows will cover snags that are the preferred spawning and nesting sites of Murray cod.</w:t>
            </w:r>
          </w:p>
        </w:tc>
        <w:tc>
          <w:tcPr>
            <w:tcW w:w="2552" w:type="dxa"/>
            <w:tcMar>
              <w:left w:w="57" w:type="dxa"/>
              <w:right w:w="57" w:type="dxa"/>
            </w:tcMar>
          </w:tcPr>
          <w:p w14:paraId="3B4F8A2E" w14:textId="77777777" w:rsidR="0094680B" w:rsidRPr="005611D4" w:rsidRDefault="0094680B" w:rsidP="008905BF">
            <w:pPr>
              <w:spacing w:after="0" w:line="240" w:lineRule="auto"/>
              <w:ind w:left="28"/>
              <w:jc w:val="left"/>
              <w:rPr>
                <w:rFonts w:cs="Calibri"/>
                <w:i/>
                <w:sz w:val="18"/>
                <w:szCs w:val="18"/>
              </w:rPr>
            </w:pPr>
            <w:r w:rsidRPr="005611D4">
              <w:rPr>
                <w:rFonts w:asciiTheme="minorHAnsi" w:hAnsiTheme="minorHAnsi"/>
                <w:i/>
                <w:sz w:val="18"/>
                <w:szCs w:val="18"/>
              </w:rPr>
              <w:t>Did Commonwealth environmental water contribute to increased spawning activity of Murray cod?</w:t>
            </w:r>
          </w:p>
        </w:tc>
        <w:tc>
          <w:tcPr>
            <w:tcW w:w="2835" w:type="dxa"/>
            <w:tcMar>
              <w:left w:w="57" w:type="dxa"/>
              <w:right w:w="57" w:type="dxa"/>
            </w:tcMar>
          </w:tcPr>
          <w:p w14:paraId="3B4F8A2F" w14:textId="77777777" w:rsidR="0094680B" w:rsidRPr="005611D4" w:rsidRDefault="0094680B" w:rsidP="008905BF">
            <w:pPr>
              <w:tabs>
                <w:tab w:val="left" w:pos="9071"/>
              </w:tabs>
              <w:spacing w:after="0" w:line="240" w:lineRule="auto"/>
              <w:ind w:right="-1"/>
              <w:jc w:val="left"/>
              <w:rPr>
                <w:b/>
                <w:color w:val="4F6228" w:themeColor="accent3" w:themeShade="80"/>
                <w:sz w:val="18"/>
                <w:szCs w:val="18"/>
                <w:highlight w:val="yellow"/>
              </w:rPr>
            </w:pPr>
            <w:r w:rsidRPr="005611D4">
              <w:rPr>
                <w:sz w:val="18"/>
                <w:szCs w:val="18"/>
              </w:rPr>
              <w:t>Environmental flow delivery did not appear to have a significant effect on the spawning magnitude of Murray cod.</w:t>
            </w:r>
          </w:p>
        </w:tc>
        <w:tc>
          <w:tcPr>
            <w:tcW w:w="2126" w:type="dxa"/>
            <w:tcMar>
              <w:left w:w="57" w:type="dxa"/>
              <w:right w:w="57" w:type="dxa"/>
            </w:tcMar>
          </w:tcPr>
          <w:p w14:paraId="3B4F8A30" w14:textId="77777777" w:rsidR="0094680B" w:rsidRPr="005611D4" w:rsidRDefault="0094680B" w:rsidP="008905BF">
            <w:pPr>
              <w:spacing w:after="0" w:line="240" w:lineRule="auto"/>
              <w:jc w:val="left"/>
              <w:rPr>
                <w:bCs/>
                <w:sz w:val="18"/>
                <w:szCs w:val="18"/>
                <w:highlight w:val="yellow"/>
              </w:rPr>
            </w:pPr>
            <w:r w:rsidRPr="005611D4">
              <w:rPr>
                <w:sz w:val="18"/>
                <w:szCs w:val="18"/>
              </w:rPr>
              <w:t>The four study zones received varying levels of environmental water during 2015-16, however no difference in the number of Murray cod larvae collected across the 4 study zones was detected, indicating that spawning occurred independently of flow conditions.</w:t>
            </w:r>
          </w:p>
        </w:tc>
        <w:tc>
          <w:tcPr>
            <w:tcW w:w="2126" w:type="dxa"/>
          </w:tcPr>
          <w:p w14:paraId="3B4F8A31" w14:textId="4DB0EFA8" w:rsidR="0094680B" w:rsidRPr="005611D4" w:rsidRDefault="001133E8" w:rsidP="008905BF">
            <w:pPr>
              <w:tabs>
                <w:tab w:val="left" w:pos="9071"/>
              </w:tabs>
              <w:spacing w:after="0" w:line="240" w:lineRule="auto"/>
              <w:ind w:right="-1"/>
              <w:jc w:val="left"/>
              <w:rPr>
                <w:rFonts w:asciiTheme="minorHAnsi" w:hAnsiTheme="minorHAnsi"/>
                <w:sz w:val="18"/>
                <w:szCs w:val="18"/>
              </w:rPr>
            </w:pPr>
            <w:r>
              <w:rPr>
                <w:rFonts w:cs="Arial"/>
                <w:color w:val="000000"/>
                <w:sz w:val="18"/>
                <w:szCs w:val="18"/>
              </w:rPr>
              <w:t>The e</w:t>
            </w:r>
            <w:r w:rsidR="0094680B" w:rsidRPr="005611D4">
              <w:rPr>
                <w:rFonts w:cs="Arial"/>
                <w:color w:val="000000"/>
                <w:sz w:val="18"/>
                <w:szCs w:val="18"/>
              </w:rPr>
              <w:t xml:space="preserve">nvironmental </w:t>
            </w:r>
            <w:r>
              <w:rPr>
                <w:rFonts w:cs="Arial"/>
                <w:color w:val="000000"/>
                <w:sz w:val="18"/>
                <w:szCs w:val="18"/>
              </w:rPr>
              <w:t>watering actions</w:t>
            </w:r>
            <w:r w:rsidR="0094680B" w:rsidRPr="005611D4">
              <w:rPr>
                <w:rFonts w:cs="Arial"/>
                <w:color w:val="000000"/>
                <w:sz w:val="18"/>
                <w:szCs w:val="18"/>
              </w:rPr>
              <w:t xml:space="preserve"> </w:t>
            </w:r>
            <w:r>
              <w:rPr>
                <w:rFonts w:cs="Arial"/>
                <w:color w:val="000000"/>
                <w:sz w:val="18"/>
                <w:szCs w:val="18"/>
              </w:rPr>
              <w:t xml:space="preserve">have </w:t>
            </w:r>
            <w:r w:rsidR="0094680B" w:rsidRPr="005611D4">
              <w:rPr>
                <w:rFonts w:cs="Arial"/>
                <w:color w:val="000000"/>
                <w:sz w:val="18"/>
                <w:szCs w:val="18"/>
              </w:rPr>
              <w:t xml:space="preserve">had no measurable effect on spawning of Murray cod in the Edward Wakool system for the past three years </w:t>
            </w:r>
            <w:r w:rsidR="0094680B" w:rsidRPr="005611D4">
              <w:rPr>
                <w:rFonts w:asciiTheme="minorHAnsi" w:hAnsiTheme="minorHAnsi"/>
                <w:sz w:val="18"/>
                <w:szCs w:val="18"/>
              </w:rPr>
              <w:t xml:space="preserve">(Watts et al. 2013, 2014b, </w:t>
            </w:r>
            <w:r>
              <w:rPr>
                <w:rFonts w:asciiTheme="minorHAnsi" w:hAnsiTheme="minorHAnsi"/>
                <w:sz w:val="18"/>
                <w:szCs w:val="18"/>
              </w:rPr>
              <w:t>2</w:t>
            </w:r>
            <w:r w:rsidR="0094680B" w:rsidRPr="005611D4">
              <w:rPr>
                <w:rFonts w:asciiTheme="minorHAnsi" w:hAnsiTheme="minorHAnsi"/>
                <w:sz w:val="18"/>
                <w:szCs w:val="18"/>
              </w:rPr>
              <w:t>015</w:t>
            </w:r>
            <w:r w:rsidR="00BB1AD5">
              <w:rPr>
                <w:rFonts w:asciiTheme="minorHAnsi" w:hAnsiTheme="minorHAnsi"/>
                <w:sz w:val="18"/>
                <w:szCs w:val="18"/>
              </w:rPr>
              <w:t>b</w:t>
            </w:r>
            <w:r w:rsidR="0094680B" w:rsidRPr="005611D4">
              <w:rPr>
                <w:rFonts w:asciiTheme="minorHAnsi" w:hAnsiTheme="minorHAnsi"/>
                <w:sz w:val="18"/>
                <w:szCs w:val="18"/>
              </w:rPr>
              <w:t xml:space="preserve">). </w:t>
            </w:r>
          </w:p>
          <w:p w14:paraId="3B4F8A32" w14:textId="77777777" w:rsidR="0094680B" w:rsidRPr="005611D4" w:rsidRDefault="0094680B" w:rsidP="008905BF">
            <w:pPr>
              <w:tabs>
                <w:tab w:val="left" w:pos="9071"/>
              </w:tabs>
              <w:spacing w:after="0" w:line="240" w:lineRule="auto"/>
              <w:ind w:right="-1"/>
              <w:jc w:val="left"/>
              <w:rPr>
                <w:rFonts w:asciiTheme="minorHAnsi" w:hAnsiTheme="minorHAnsi"/>
                <w:sz w:val="18"/>
                <w:szCs w:val="18"/>
              </w:rPr>
            </w:pPr>
            <w:r w:rsidRPr="005611D4">
              <w:rPr>
                <w:rFonts w:cs="Arial"/>
                <w:color w:val="000000"/>
                <w:sz w:val="18"/>
                <w:szCs w:val="18"/>
              </w:rPr>
              <w:t xml:space="preserve">Flows conditions are not expected to influence spawning of Murray cod and therefore environmental flow delivery objectives should focus on recruitment and growth outcomes required to sustain adult populations. </w:t>
            </w:r>
          </w:p>
        </w:tc>
      </w:tr>
      <w:tr w:rsidR="00581394" w14:paraId="3B4F8A3A" w14:textId="77777777" w:rsidTr="0000180C">
        <w:tc>
          <w:tcPr>
            <w:tcW w:w="2405" w:type="dxa"/>
            <w:vMerge/>
            <w:tcMar>
              <w:left w:w="57" w:type="dxa"/>
              <w:right w:w="57" w:type="dxa"/>
            </w:tcMar>
          </w:tcPr>
          <w:p w14:paraId="3B4F8A34" w14:textId="77777777" w:rsidR="00581394" w:rsidRPr="005611D4" w:rsidRDefault="00581394" w:rsidP="00581394">
            <w:pPr>
              <w:tabs>
                <w:tab w:val="left" w:pos="9071"/>
              </w:tabs>
              <w:spacing w:after="0" w:line="240" w:lineRule="auto"/>
              <w:ind w:right="-1"/>
              <w:jc w:val="left"/>
              <w:rPr>
                <w:b/>
                <w:color w:val="4F6228" w:themeColor="accent3" w:themeShade="80"/>
                <w:sz w:val="18"/>
                <w:szCs w:val="18"/>
              </w:rPr>
            </w:pPr>
          </w:p>
        </w:tc>
        <w:tc>
          <w:tcPr>
            <w:tcW w:w="2126" w:type="dxa"/>
            <w:tcMar>
              <w:left w:w="57" w:type="dxa"/>
              <w:right w:w="57" w:type="dxa"/>
            </w:tcMar>
          </w:tcPr>
          <w:p w14:paraId="3B4F8A35" w14:textId="5803596A" w:rsidR="00581394" w:rsidRPr="005611D4" w:rsidRDefault="00581394" w:rsidP="00581394">
            <w:pPr>
              <w:tabs>
                <w:tab w:val="left" w:pos="9071"/>
              </w:tabs>
              <w:spacing w:after="0" w:line="240" w:lineRule="auto"/>
              <w:ind w:right="-1"/>
              <w:jc w:val="left"/>
              <w:rPr>
                <w:color w:val="4F6228" w:themeColor="accent3" w:themeShade="80"/>
                <w:sz w:val="18"/>
                <w:szCs w:val="18"/>
              </w:rPr>
            </w:pPr>
            <w:r w:rsidRPr="00FD6DC4">
              <w:rPr>
                <w:sz w:val="18"/>
                <w:szCs w:val="18"/>
              </w:rPr>
              <w:t>To maintain the diversity and condition of native fish and other native species including frogs and invertebrates through maintaining suitable habitat and providing/supporting opportunities to move, breed and recruit</w:t>
            </w:r>
          </w:p>
        </w:tc>
        <w:tc>
          <w:tcPr>
            <w:tcW w:w="2552" w:type="dxa"/>
            <w:tcMar>
              <w:left w:w="57" w:type="dxa"/>
              <w:right w:w="57" w:type="dxa"/>
            </w:tcMar>
          </w:tcPr>
          <w:p w14:paraId="3B4F8A36" w14:textId="77777777" w:rsidR="00581394" w:rsidRPr="005611D4" w:rsidRDefault="00581394" w:rsidP="00581394">
            <w:pPr>
              <w:pStyle w:val="ListBullet"/>
              <w:spacing w:after="120"/>
              <w:contextualSpacing w:val="0"/>
              <w:jc w:val="left"/>
              <w:rPr>
                <w:rFonts w:asciiTheme="minorHAnsi" w:hAnsiTheme="minorHAnsi"/>
                <w:i/>
                <w:sz w:val="18"/>
                <w:szCs w:val="18"/>
              </w:rPr>
            </w:pPr>
            <w:r w:rsidRPr="005611D4">
              <w:rPr>
                <w:rFonts w:cstheme="minorHAnsi"/>
                <w:i/>
                <w:sz w:val="18"/>
                <w:szCs w:val="18"/>
              </w:rPr>
              <w:t>What did Commonwealth environmental water contribute to spawning in ‘flow-dependent’ spawning species (e.g. golden and silver perch?</w:t>
            </w:r>
          </w:p>
        </w:tc>
        <w:tc>
          <w:tcPr>
            <w:tcW w:w="2835" w:type="dxa"/>
            <w:tcMar>
              <w:left w:w="57" w:type="dxa"/>
              <w:right w:w="57" w:type="dxa"/>
            </w:tcMar>
          </w:tcPr>
          <w:p w14:paraId="3B4F8A37" w14:textId="77777777" w:rsidR="00581394" w:rsidRPr="005611D4" w:rsidRDefault="00581394" w:rsidP="00581394">
            <w:pPr>
              <w:spacing w:line="240" w:lineRule="auto"/>
              <w:jc w:val="left"/>
              <w:rPr>
                <w:sz w:val="18"/>
                <w:szCs w:val="18"/>
              </w:rPr>
            </w:pPr>
            <w:r w:rsidRPr="005611D4">
              <w:rPr>
                <w:sz w:val="18"/>
                <w:szCs w:val="18"/>
              </w:rPr>
              <w:t xml:space="preserve">No evidence of spawning of golden and silver perch was found. </w:t>
            </w:r>
          </w:p>
        </w:tc>
        <w:tc>
          <w:tcPr>
            <w:tcW w:w="2126" w:type="dxa"/>
            <w:tcMar>
              <w:left w:w="57" w:type="dxa"/>
              <w:right w:w="57" w:type="dxa"/>
            </w:tcMar>
          </w:tcPr>
          <w:p w14:paraId="3B4F8A38" w14:textId="77777777" w:rsidR="00581394" w:rsidRPr="005611D4" w:rsidRDefault="00581394" w:rsidP="00581394">
            <w:pPr>
              <w:spacing w:line="240" w:lineRule="auto"/>
              <w:jc w:val="left"/>
              <w:rPr>
                <w:sz w:val="18"/>
                <w:szCs w:val="18"/>
              </w:rPr>
            </w:pPr>
            <w:r w:rsidRPr="005611D4">
              <w:rPr>
                <w:sz w:val="18"/>
                <w:szCs w:val="18"/>
              </w:rPr>
              <w:t>No eggs or larvae were detected with targeted fortnightly sampling, which involved using drift nets and light traps across the four study zones, from mid November to early January.</w:t>
            </w:r>
          </w:p>
        </w:tc>
        <w:tc>
          <w:tcPr>
            <w:tcW w:w="2126" w:type="dxa"/>
          </w:tcPr>
          <w:p w14:paraId="3B4F8A39" w14:textId="44739023" w:rsidR="00581394" w:rsidRPr="005611D4" w:rsidRDefault="001133E8" w:rsidP="00581394">
            <w:pPr>
              <w:tabs>
                <w:tab w:val="left" w:pos="9071"/>
              </w:tabs>
              <w:spacing w:after="0" w:line="240" w:lineRule="auto"/>
              <w:ind w:right="-1"/>
              <w:jc w:val="left"/>
              <w:rPr>
                <w:b/>
                <w:color w:val="4F6228" w:themeColor="accent3" w:themeShade="80"/>
                <w:sz w:val="18"/>
                <w:szCs w:val="18"/>
              </w:rPr>
            </w:pPr>
            <w:r>
              <w:rPr>
                <w:rFonts w:cs="Arial"/>
                <w:color w:val="000000"/>
                <w:sz w:val="18"/>
                <w:szCs w:val="18"/>
              </w:rPr>
              <w:t>The e</w:t>
            </w:r>
            <w:r w:rsidR="00581394">
              <w:rPr>
                <w:rFonts w:cs="Arial"/>
                <w:color w:val="000000"/>
                <w:sz w:val="18"/>
                <w:szCs w:val="18"/>
              </w:rPr>
              <w:t>nvironmental flows did not trigger spawning in golden perch or silver perch</w:t>
            </w:r>
          </w:p>
        </w:tc>
      </w:tr>
      <w:tr w:rsidR="00581394" w14:paraId="3B4F8A41" w14:textId="77777777" w:rsidTr="00581394">
        <w:trPr>
          <w:trHeight w:val="2263"/>
        </w:trPr>
        <w:tc>
          <w:tcPr>
            <w:tcW w:w="2405" w:type="dxa"/>
            <w:vMerge/>
            <w:tcMar>
              <w:left w:w="57" w:type="dxa"/>
              <w:right w:w="57" w:type="dxa"/>
            </w:tcMar>
          </w:tcPr>
          <w:p w14:paraId="3B4F8A3B" w14:textId="77777777" w:rsidR="00581394" w:rsidRPr="005611D4" w:rsidRDefault="00581394" w:rsidP="00581394">
            <w:pPr>
              <w:tabs>
                <w:tab w:val="left" w:pos="9071"/>
              </w:tabs>
              <w:spacing w:after="0" w:line="240" w:lineRule="auto"/>
              <w:ind w:right="-1"/>
              <w:jc w:val="left"/>
              <w:rPr>
                <w:b/>
                <w:color w:val="4F6228" w:themeColor="accent3" w:themeShade="80"/>
                <w:sz w:val="18"/>
                <w:szCs w:val="18"/>
              </w:rPr>
            </w:pPr>
          </w:p>
        </w:tc>
        <w:tc>
          <w:tcPr>
            <w:tcW w:w="2126" w:type="dxa"/>
            <w:tcMar>
              <w:left w:w="57" w:type="dxa"/>
              <w:right w:w="57" w:type="dxa"/>
            </w:tcMar>
          </w:tcPr>
          <w:p w14:paraId="3B4F8A3C" w14:textId="335AEE69" w:rsidR="00581394" w:rsidRPr="005611D4" w:rsidRDefault="00581394" w:rsidP="00581394">
            <w:pPr>
              <w:spacing w:line="240" w:lineRule="auto"/>
              <w:jc w:val="left"/>
              <w:rPr>
                <w:sz w:val="18"/>
                <w:szCs w:val="18"/>
              </w:rPr>
            </w:pPr>
            <w:r w:rsidRPr="00FD6DC4">
              <w:rPr>
                <w:sz w:val="18"/>
                <w:szCs w:val="18"/>
              </w:rPr>
              <w:t>To maintain the diversity and condition of native fish and other native species including frogs and invertebrates through maintaining suitable habitat and providing/supporting opportunities to move, breed and recruit</w:t>
            </w:r>
          </w:p>
        </w:tc>
        <w:tc>
          <w:tcPr>
            <w:tcW w:w="2552" w:type="dxa"/>
            <w:tcMar>
              <w:left w:w="57" w:type="dxa"/>
              <w:right w:w="57" w:type="dxa"/>
            </w:tcMar>
          </w:tcPr>
          <w:p w14:paraId="3B4F8A3D" w14:textId="77777777" w:rsidR="00581394" w:rsidRPr="005611D4" w:rsidRDefault="00581394" w:rsidP="00581394">
            <w:pPr>
              <w:pStyle w:val="ListBullet"/>
              <w:spacing w:after="120"/>
              <w:contextualSpacing w:val="0"/>
              <w:jc w:val="left"/>
              <w:rPr>
                <w:rFonts w:asciiTheme="minorHAnsi" w:hAnsiTheme="minorHAnsi"/>
                <w:i/>
                <w:sz w:val="18"/>
                <w:szCs w:val="18"/>
              </w:rPr>
            </w:pPr>
            <w:r w:rsidRPr="005611D4">
              <w:rPr>
                <w:rFonts w:cstheme="minorHAnsi"/>
                <w:i/>
                <w:sz w:val="18"/>
                <w:szCs w:val="18"/>
              </w:rPr>
              <w:t>What did Commonwealth environmental water contribute to the spawning of 'Opportunistic' (e.g. Small bodied fish) species?</w:t>
            </w:r>
          </w:p>
        </w:tc>
        <w:tc>
          <w:tcPr>
            <w:tcW w:w="2835" w:type="dxa"/>
            <w:tcMar>
              <w:left w:w="57" w:type="dxa"/>
              <w:right w:w="57" w:type="dxa"/>
            </w:tcMar>
          </w:tcPr>
          <w:p w14:paraId="3B4F8A3E" w14:textId="17E6E2B7" w:rsidR="00581394" w:rsidRPr="005611D4" w:rsidRDefault="00581394" w:rsidP="00581394">
            <w:pPr>
              <w:tabs>
                <w:tab w:val="left" w:pos="9071"/>
              </w:tabs>
              <w:spacing w:after="0" w:line="240" w:lineRule="auto"/>
              <w:ind w:right="-1"/>
              <w:jc w:val="left"/>
              <w:rPr>
                <w:b/>
                <w:color w:val="4F6228" w:themeColor="accent3" w:themeShade="80"/>
                <w:sz w:val="18"/>
                <w:szCs w:val="18"/>
                <w:highlight w:val="yellow"/>
              </w:rPr>
            </w:pPr>
            <w:r w:rsidRPr="005611D4">
              <w:rPr>
                <w:sz w:val="18"/>
                <w:szCs w:val="18"/>
              </w:rPr>
              <w:t>Spawning of all small bodied opportunis</w:t>
            </w:r>
            <w:r>
              <w:rPr>
                <w:sz w:val="18"/>
                <w:szCs w:val="18"/>
              </w:rPr>
              <w:t>tic species known to the Edward-</w:t>
            </w:r>
            <w:r w:rsidRPr="005611D4">
              <w:rPr>
                <w:sz w:val="18"/>
                <w:szCs w:val="18"/>
              </w:rPr>
              <w:t xml:space="preserve"> Wakool area was detected. Greater numbers of flathead gudgeon and carp gudgeon larvae </w:t>
            </w:r>
            <w:r w:rsidR="001133E8">
              <w:rPr>
                <w:sz w:val="18"/>
                <w:szCs w:val="18"/>
              </w:rPr>
              <w:t xml:space="preserve">were </w:t>
            </w:r>
            <w:r w:rsidRPr="005611D4">
              <w:rPr>
                <w:sz w:val="18"/>
                <w:szCs w:val="18"/>
              </w:rPr>
              <w:t>found in study zones with increased availability of slow flowing slackwater habitat areas (study zones 2</w:t>
            </w:r>
            <w:r>
              <w:rPr>
                <w:sz w:val="18"/>
                <w:szCs w:val="18"/>
              </w:rPr>
              <w:t xml:space="preserve">, </w:t>
            </w:r>
            <w:r w:rsidRPr="005611D4">
              <w:rPr>
                <w:sz w:val="18"/>
                <w:szCs w:val="18"/>
              </w:rPr>
              <w:t>3 and 4)</w:t>
            </w:r>
            <w:r>
              <w:rPr>
                <w:sz w:val="18"/>
                <w:szCs w:val="18"/>
              </w:rPr>
              <w:t>, so the delivery of environmental flows to Yallakool Creek had a negative impact on somesmall bodied fish species.</w:t>
            </w:r>
          </w:p>
        </w:tc>
        <w:tc>
          <w:tcPr>
            <w:tcW w:w="2126" w:type="dxa"/>
            <w:tcMar>
              <w:left w:w="57" w:type="dxa"/>
              <w:right w:w="57" w:type="dxa"/>
            </w:tcMar>
          </w:tcPr>
          <w:p w14:paraId="3B4F8A3F" w14:textId="77777777" w:rsidR="00581394" w:rsidRPr="005611D4" w:rsidRDefault="00581394" w:rsidP="00581394">
            <w:pPr>
              <w:spacing w:after="0" w:line="240" w:lineRule="auto"/>
              <w:jc w:val="left"/>
              <w:rPr>
                <w:bCs/>
                <w:sz w:val="18"/>
                <w:szCs w:val="18"/>
                <w:highlight w:val="yellow"/>
              </w:rPr>
            </w:pPr>
            <w:r w:rsidRPr="005611D4">
              <w:rPr>
                <w:sz w:val="18"/>
                <w:szCs w:val="18"/>
              </w:rPr>
              <w:t>Fortnightly light trap sampling from mid September to mid March, across the 4 study zones.</w:t>
            </w:r>
          </w:p>
        </w:tc>
        <w:tc>
          <w:tcPr>
            <w:tcW w:w="2126" w:type="dxa"/>
          </w:tcPr>
          <w:p w14:paraId="3B4F8A40" w14:textId="45C50F10" w:rsidR="00581394" w:rsidRPr="005611D4" w:rsidRDefault="001133E8" w:rsidP="00581394">
            <w:pPr>
              <w:tabs>
                <w:tab w:val="left" w:pos="9071"/>
              </w:tabs>
              <w:spacing w:after="0" w:line="240" w:lineRule="auto"/>
              <w:ind w:right="-1"/>
              <w:jc w:val="left"/>
              <w:rPr>
                <w:b/>
                <w:color w:val="4F6228" w:themeColor="accent3" w:themeShade="80"/>
                <w:sz w:val="18"/>
                <w:szCs w:val="18"/>
              </w:rPr>
            </w:pPr>
            <w:r>
              <w:rPr>
                <w:rFonts w:cs="Arial"/>
                <w:color w:val="000000"/>
                <w:sz w:val="18"/>
                <w:szCs w:val="18"/>
              </w:rPr>
              <w:t xml:space="preserve">The environmental watering action had mixed responses in small bodied fish. </w:t>
            </w:r>
          </w:p>
        </w:tc>
      </w:tr>
    </w:tbl>
    <w:p w14:paraId="3B4F8A42" w14:textId="77777777" w:rsidR="0094680B" w:rsidRDefault="0094680B" w:rsidP="008905BF"/>
    <w:p w14:paraId="3B4F8A43" w14:textId="77777777" w:rsidR="0094680B" w:rsidRPr="00BB30E9" w:rsidRDefault="0094680B" w:rsidP="00417F7C">
      <w:pPr>
        <w:pStyle w:val="Heading1"/>
        <w:sectPr w:rsidR="0094680B" w:rsidRPr="00BB30E9" w:rsidSect="00BB30E9">
          <w:pgSz w:w="16838" w:h="11906" w:orient="landscape"/>
          <w:pgMar w:top="1701" w:right="1440" w:bottom="1701" w:left="1440" w:header="709" w:footer="709" w:gutter="0"/>
          <w:cols w:space="708"/>
          <w:docGrid w:linePitch="360"/>
        </w:sectPr>
      </w:pPr>
    </w:p>
    <w:p w14:paraId="3B4F8A44" w14:textId="77777777" w:rsidR="008905BF" w:rsidRDefault="00743D43" w:rsidP="00417F7C">
      <w:pPr>
        <w:pStyle w:val="Heading1"/>
      </w:pPr>
      <w:bookmarkStart w:id="31" w:name="_Toc484078412"/>
      <w:r>
        <w:lastRenderedPageBreak/>
        <w:t>Summary of M</w:t>
      </w:r>
      <w:r w:rsidR="008905BF">
        <w:t xml:space="preserve">urray cod, golden perch and silver perch </w:t>
      </w:r>
      <w:r w:rsidR="008905BF" w:rsidRPr="00CC02D0">
        <w:t xml:space="preserve">recruitment and </w:t>
      </w:r>
      <w:r w:rsidR="00C11B36" w:rsidRPr="00CC02D0">
        <w:t xml:space="preserve">early life-history </w:t>
      </w:r>
      <w:r w:rsidR="008905BF" w:rsidRPr="00CC02D0">
        <w:t>growth</w:t>
      </w:r>
      <w:r w:rsidR="002631FA" w:rsidRPr="00CC02D0">
        <w:t xml:space="preserve"> </w:t>
      </w:r>
      <w:r w:rsidR="00C11B36" w:rsidRPr="00CC02D0">
        <w:t xml:space="preserve">responses </w:t>
      </w:r>
      <w:r w:rsidR="002631FA" w:rsidRPr="00CC02D0">
        <w:t xml:space="preserve">to </w:t>
      </w:r>
      <w:r>
        <w:t>C</w:t>
      </w:r>
      <w:r w:rsidR="002631FA" w:rsidRPr="00CC02D0">
        <w:t xml:space="preserve">ommonwealth environmental </w:t>
      </w:r>
      <w:r w:rsidR="008905BF" w:rsidRPr="00CC02D0">
        <w:t>watering</w:t>
      </w:r>
      <w:bookmarkEnd w:id="31"/>
    </w:p>
    <w:p w14:paraId="3B4F8A45" w14:textId="77777777" w:rsidR="0062265B" w:rsidRPr="0062265B" w:rsidRDefault="0062265B" w:rsidP="0062265B">
      <w:pPr>
        <w:spacing w:after="240" w:line="320" w:lineRule="exact"/>
        <w:rPr>
          <w:lang w:val="en-US" w:eastAsia="en-AU"/>
        </w:rPr>
      </w:pPr>
    </w:p>
    <w:p w14:paraId="3B4F8A46" w14:textId="77777777" w:rsidR="008905BF" w:rsidRPr="008905BF" w:rsidRDefault="000572D6" w:rsidP="008905BF">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10</w:t>
      </w:r>
      <w:r w:rsidR="008905BF" w:rsidRPr="008905BF">
        <w:rPr>
          <w:b/>
          <w:color w:val="4F6228" w:themeColor="accent3" w:themeShade="80"/>
          <w:sz w:val="24"/>
          <w:szCs w:val="24"/>
        </w:rPr>
        <w:t>.1 Monitoring</w:t>
      </w:r>
    </w:p>
    <w:p w14:paraId="3B4F8A47" w14:textId="77777777" w:rsidR="008905BF" w:rsidRDefault="008905BF" w:rsidP="002B3297">
      <w:pPr>
        <w:spacing w:after="240" w:line="320" w:lineRule="exact"/>
        <w:jc w:val="left"/>
      </w:pPr>
      <w:r>
        <w:t>The selected area fish recruitment monitoring was developed specifically for the Edward-Wakool system in order to target juvenile silver perch, golden perch and Murray cod.  This monitoring enables comparisons of juvenile growth rates among zones of the Edward-Wakool and is used to determine recruitment variation of these species among years, in response to environmental watering.  Fish were sampled by backpack electro-fishing, standardised angling and set-lines to estimate recruitment and growth rates.</w:t>
      </w:r>
    </w:p>
    <w:p w14:paraId="3B4F8A48" w14:textId="77777777" w:rsidR="008905BF" w:rsidRPr="008905BF" w:rsidRDefault="000572D6" w:rsidP="008905BF">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10</w:t>
      </w:r>
      <w:r w:rsidR="008905BF">
        <w:rPr>
          <w:b/>
          <w:color w:val="4F6228" w:themeColor="accent3" w:themeShade="80"/>
          <w:sz w:val="24"/>
          <w:szCs w:val="24"/>
        </w:rPr>
        <w:t xml:space="preserve">.2 </w:t>
      </w:r>
      <w:r w:rsidR="008905BF" w:rsidRPr="008905BF">
        <w:rPr>
          <w:b/>
          <w:color w:val="4F6228" w:themeColor="accent3" w:themeShade="80"/>
          <w:sz w:val="24"/>
          <w:szCs w:val="24"/>
        </w:rPr>
        <w:t>Main findings</w:t>
      </w:r>
    </w:p>
    <w:p w14:paraId="3B4F8A49" w14:textId="77777777" w:rsidR="00B42194" w:rsidRDefault="00B42194" w:rsidP="00B42194">
      <w:pPr>
        <w:autoSpaceDE w:val="0"/>
        <w:autoSpaceDN w:val="0"/>
        <w:adjustRightInd w:val="0"/>
        <w:spacing w:after="240" w:line="320" w:lineRule="exact"/>
        <w:jc w:val="left"/>
        <w:rPr>
          <w:szCs w:val="22"/>
        </w:rPr>
      </w:pPr>
      <w:r>
        <w:rPr>
          <w:szCs w:val="22"/>
        </w:rPr>
        <w:t xml:space="preserve">This section provides a summary of the Murray cod, golden perch and silver perch recruitment responses to Commonwealth environmental </w:t>
      </w:r>
      <w:r w:rsidRPr="0088257B">
        <w:rPr>
          <w:szCs w:val="22"/>
        </w:rPr>
        <w:t xml:space="preserve">watering in the Edward-Wakool system in 2015-16. Detailed findings are presented in Appendix </w:t>
      </w:r>
      <w:r w:rsidR="0088257B" w:rsidRPr="0088257B">
        <w:rPr>
          <w:szCs w:val="22"/>
        </w:rPr>
        <w:t>D</w:t>
      </w:r>
      <w:r w:rsidRPr="0088257B">
        <w:rPr>
          <w:szCs w:val="22"/>
        </w:rPr>
        <w:t>.</w:t>
      </w:r>
    </w:p>
    <w:p w14:paraId="3B4F8A4A" w14:textId="61EAD98A" w:rsidR="008905BF" w:rsidRPr="0086280B" w:rsidRDefault="008905BF" w:rsidP="008905BF">
      <w:pPr>
        <w:pStyle w:val="ListParagraph"/>
        <w:spacing w:after="240" w:line="320" w:lineRule="exact"/>
        <w:ind w:left="0"/>
        <w:jc w:val="left"/>
        <w:rPr>
          <w:rFonts w:cs="Arial"/>
          <w:color w:val="000000"/>
        </w:rPr>
      </w:pPr>
      <w:r>
        <w:rPr>
          <w:rFonts w:cs="Arial"/>
          <w:color w:val="000000"/>
        </w:rPr>
        <w:t xml:space="preserve">Murray cod recruitment and growth of recruits remained steady in 2015-16, with </w:t>
      </w:r>
      <w:r w:rsidR="004E0D53">
        <w:rPr>
          <w:rFonts w:cs="Arial"/>
          <w:color w:val="000000"/>
        </w:rPr>
        <w:t>no positive or negative differences in growth</w:t>
      </w:r>
      <w:r>
        <w:rPr>
          <w:rFonts w:cs="Arial"/>
          <w:color w:val="000000"/>
        </w:rPr>
        <w:t xml:space="preserve"> among zones receiving environmental water </w:t>
      </w:r>
      <w:r w:rsidR="004E0D53">
        <w:rPr>
          <w:rFonts w:cs="Arial"/>
          <w:color w:val="000000"/>
        </w:rPr>
        <w:t xml:space="preserve">(Figure 10.1) </w:t>
      </w:r>
      <w:r>
        <w:rPr>
          <w:rFonts w:cs="Arial"/>
          <w:color w:val="000000"/>
        </w:rPr>
        <w:t>or between years.</w:t>
      </w:r>
      <w:r w:rsidRPr="00EE532C">
        <w:rPr>
          <w:rFonts w:cs="Arial"/>
          <w:color w:val="000000"/>
        </w:rPr>
        <w:t xml:space="preserve"> </w:t>
      </w:r>
      <w:r>
        <w:rPr>
          <w:rFonts w:cs="Arial"/>
          <w:color w:val="000000"/>
        </w:rPr>
        <w:t xml:space="preserve">The consistent presence of young-of-year and 1+ Murray cod, which are not </w:t>
      </w:r>
      <w:r w:rsidR="004E0D53">
        <w:rPr>
          <w:rFonts w:cs="Arial"/>
          <w:color w:val="000000"/>
        </w:rPr>
        <w:t xml:space="preserve">from </w:t>
      </w:r>
      <w:r>
        <w:rPr>
          <w:rFonts w:cs="Arial"/>
          <w:color w:val="000000"/>
        </w:rPr>
        <w:t>hatchery releases, indicates that spawning in the Edward-Wakool, or perhaps nearby rivers, is resulting in successful and wide-spread recruitment of this species within the system.</w:t>
      </w:r>
    </w:p>
    <w:p w14:paraId="3B4F8A4B" w14:textId="77777777" w:rsidR="008905BF" w:rsidRPr="008905BF" w:rsidRDefault="008905BF" w:rsidP="008905BF">
      <w:pPr>
        <w:pStyle w:val="ListParagraph"/>
        <w:spacing w:after="240" w:line="320" w:lineRule="exact"/>
        <w:ind w:left="0"/>
        <w:jc w:val="left"/>
        <w:rPr>
          <w:rFonts w:cs="Arial"/>
        </w:rPr>
      </w:pPr>
      <w:r>
        <w:rPr>
          <w:rFonts w:cs="Arial"/>
          <w:color w:val="000000"/>
        </w:rPr>
        <w:t xml:space="preserve">Zero golden perch recruits sampled for the second year in a row was interpreted as very low recruitment of this species in the system, and possibly in the Edward River upstream, during 2014-15 and 2015-16. </w:t>
      </w:r>
    </w:p>
    <w:p w14:paraId="3B4F8A4C" w14:textId="155FDF24" w:rsidR="008905BF" w:rsidRDefault="008905BF" w:rsidP="008905BF">
      <w:pPr>
        <w:pStyle w:val="ListParagraph"/>
        <w:spacing w:after="240" w:line="320" w:lineRule="exact"/>
        <w:ind w:left="0"/>
        <w:jc w:val="left"/>
        <w:rPr>
          <w:rFonts w:cs="Arial"/>
        </w:rPr>
      </w:pPr>
      <w:r>
        <w:t xml:space="preserve">Silver perch 1+ recruits were significantly more abundant in 2015-16, as compared with the first year of monitoring </w:t>
      </w:r>
      <w:r w:rsidR="000572D6">
        <w:rPr>
          <w:rFonts w:cs="Arial"/>
          <w:color w:val="000000"/>
        </w:rPr>
        <w:t>(Figure 10</w:t>
      </w:r>
      <w:r>
        <w:rPr>
          <w:rFonts w:cs="Arial"/>
          <w:color w:val="000000"/>
        </w:rPr>
        <w:t>.2)</w:t>
      </w:r>
      <w:r>
        <w:t>.</w:t>
      </w:r>
      <w:r w:rsidR="004E0D53">
        <w:rPr>
          <w:rFonts w:cs="Arial"/>
        </w:rPr>
        <w:t xml:space="preserve"> </w:t>
      </w:r>
      <w:r>
        <w:rPr>
          <w:rFonts w:cs="Arial"/>
        </w:rPr>
        <w:t>Most recruits were present in the zone</w:t>
      </w:r>
      <w:r w:rsidR="00F56294">
        <w:rPr>
          <w:rFonts w:cs="Arial"/>
        </w:rPr>
        <w:t xml:space="preserve"> </w:t>
      </w:r>
      <w:r w:rsidR="004E0D53">
        <w:rPr>
          <w:rFonts w:cs="Arial"/>
        </w:rPr>
        <w:t xml:space="preserve">3 and </w:t>
      </w:r>
      <w:r w:rsidR="00F56294">
        <w:rPr>
          <w:rFonts w:cs="Arial"/>
        </w:rPr>
        <w:t>zone 4</w:t>
      </w:r>
      <w:r w:rsidR="004E0D53">
        <w:rPr>
          <w:rFonts w:cs="Arial"/>
        </w:rPr>
        <w:t xml:space="preserve"> of the Wakool River</w:t>
      </w:r>
      <w:r>
        <w:rPr>
          <w:rFonts w:cs="Arial"/>
        </w:rPr>
        <w:t xml:space="preserve"> which received Co</w:t>
      </w:r>
      <w:r w:rsidR="00BD0413">
        <w:rPr>
          <w:rFonts w:cs="Arial"/>
        </w:rPr>
        <w:t>mmonwealth environmental water.</w:t>
      </w:r>
      <w:r w:rsidR="00F56294">
        <w:rPr>
          <w:rFonts w:cs="Arial"/>
        </w:rPr>
        <w:t xml:space="preserve"> Two-dimensional hydraulic modelling showed that two zones had the largest </w:t>
      </w:r>
      <w:r w:rsidR="00F56294" w:rsidRPr="00BB47D7">
        <w:rPr>
          <w:szCs w:val="22"/>
        </w:rPr>
        <w:t xml:space="preserve">increase in area of slackwater </w:t>
      </w:r>
      <w:r w:rsidR="00F56294" w:rsidRPr="00BB47D7">
        <w:rPr>
          <w:rFonts w:eastAsia="Times New Roman"/>
          <w:color w:val="000000"/>
          <w:kern w:val="28"/>
          <w:szCs w:val="22"/>
        </w:rPr>
        <w:t>(&lt; 0.02 m.s</w:t>
      </w:r>
      <w:r w:rsidR="00F56294" w:rsidRPr="00BB47D7">
        <w:rPr>
          <w:rFonts w:eastAsia="Times New Roman"/>
          <w:color w:val="000000"/>
          <w:kern w:val="28"/>
          <w:szCs w:val="22"/>
          <w:vertAlign w:val="superscript"/>
        </w:rPr>
        <w:t>-1</w:t>
      </w:r>
      <w:r w:rsidR="00F56294" w:rsidRPr="00BB47D7">
        <w:rPr>
          <w:rFonts w:eastAsia="Times New Roman"/>
          <w:color w:val="000000"/>
          <w:kern w:val="28"/>
          <w:sz w:val="20"/>
        </w:rPr>
        <w:t>)</w:t>
      </w:r>
      <w:r w:rsidR="00F56294">
        <w:rPr>
          <w:rFonts w:eastAsia="Times New Roman"/>
          <w:color w:val="000000"/>
          <w:kern w:val="28"/>
          <w:sz w:val="20"/>
        </w:rPr>
        <w:t xml:space="preserve"> </w:t>
      </w:r>
      <w:r w:rsidR="00F56294">
        <w:t xml:space="preserve">and slow water </w:t>
      </w:r>
      <w:r w:rsidR="00F56294" w:rsidRPr="003423D9">
        <w:rPr>
          <w:rFonts w:asciiTheme="minorHAnsi" w:hAnsiTheme="minorHAnsi"/>
          <w:bCs/>
          <w:szCs w:val="22"/>
        </w:rPr>
        <w:t>(</w:t>
      </w:r>
      <w:r w:rsidR="00F56294" w:rsidRPr="003423D9">
        <w:rPr>
          <w:rFonts w:asciiTheme="minorHAnsi" w:hAnsiTheme="minorHAnsi"/>
          <w:szCs w:val="22"/>
        </w:rPr>
        <w:t>0.02 – 0.3 ms</w:t>
      </w:r>
      <w:r w:rsidR="00F56294" w:rsidRPr="003423D9">
        <w:rPr>
          <w:rFonts w:asciiTheme="minorHAnsi" w:hAnsiTheme="minorHAnsi"/>
          <w:szCs w:val="22"/>
          <w:vertAlign w:val="superscript"/>
        </w:rPr>
        <w:t>-1</w:t>
      </w:r>
      <w:r w:rsidR="00F56294" w:rsidRPr="003423D9">
        <w:rPr>
          <w:rFonts w:asciiTheme="minorHAnsi" w:hAnsiTheme="minorHAnsi"/>
          <w:szCs w:val="22"/>
        </w:rPr>
        <w:t xml:space="preserve">) </w:t>
      </w:r>
      <w:r w:rsidR="00F56294">
        <w:t>during environmental watering actions in Yallakool Creek (Watts et al. 2015b).</w:t>
      </w:r>
    </w:p>
    <w:p w14:paraId="3B4F8A4D" w14:textId="77777777" w:rsidR="008905BF" w:rsidRPr="00B62135" w:rsidRDefault="008905BF" w:rsidP="00CC02D0">
      <w:pPr>
        <w:pStyle w:val="ListParagraph"/>
        <w:spacing w:after="0"/>
        <w:ind w:left="0"/>
        <w:jc w:val="center"/>
        <w:rPr>
          <w:rFonts w:cs="Arial"/>
        </w:rPr>
      </w:pPr>
      <w:r>
        <w:rPr>
          <w:rFonts w:cs="Arial"/>
          <w:b/>
          <w:noProof/>
          <w:color w:val="000000"/>
          <w:lang w:eastAsia="en-AU"/>
        </w:rPr>
        <w:lastRenderedPageBreak/>
        <w:drawing>
          <wp:inline distT="0" distB="0" distL="0" distR="0" wp14:anchorId="3B4F9604" wp14:editId="69B2F1EF">
            <wp:extent cx="3897640" cy="2876550"/>
            <wp:effectExtent l="0" t="0" r="7620" b="0"/>
            <wp:docPr id="17" name="Picture 17" descr="Growth and media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th and median length"/>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l="8955" t="4315" r="10041" b="53440"/>
                    <a:stretch/>
                  </pic:blipFill>
                  <pic:spPr bwMode="auto">
                    <a:xfrm>
                      <a:off x="0" y="0"/>
                      <a:ext cx="3898809" cy="2877413"/>
                    </a:xfrm>
                    <a:prstGeom prst="rect">
                      <a:avLst/>
                    </a:prstGeom>
                    <a:noFill/>
                    <a:ln>
                      <a:noFill/>
                    </a:ln>
                    <a:extLst>
                      <a:ext uri="{53640926-AAD7-44D8-BBD7-CCE9431645EC}">
                        <a14:shadowObscured xmlns:a14="http://schemas.microsoft.com/office/drawing/2010/main"/>
                      </a:ext>
                    </a:extLst>
                  </pic:spPr>
                </pic:pic>
              </a:graphicData>
            </a:graphic>
          </wp:inline>
        </w:drawing>
      </w:r>
    </w:p>
    <w:p w14:paraId="3B4F8A4E" w14:textId="77777777" w:rsidR="008905BF" w:rsidRDefault="000572D6" w:rsidP="008905BF">
      <w:pPr>
        <w:pStyle w:val="ListParagraph"/>
        <w:spacing w:after="0"/>
        <w:ind w:left="0"/>
        <w:rPr>
          <w:rFonts w:cs="Arial"/>
        </w:rPr>
      </w:pPr>
      <w:r>
        <w:rPr>
          <w:b/>
          <w:sz w:val="20"/>
        </w:rPr>
        <w:t>Figure 10</w:t>
      </w:r>
      <w:r w:rsidR="008905BF">
        <w:rPr>
          <w:b/>
          <w:sz w:val="20"/>
        </w:rPr>
        <w:t>.1</w:t>
      </w:r>
      <w:r w:rsidR="008905BF" w:rsidRPr="00720F92">
        <w:rPr>
          <w:b/>
          <w:sz w:val="20"/>
        </w:rPr>
        <w:t>.</w:t>
      </w:r>
      <w:r w:rsidR="008905BF" w:rsidRPr="00720F92">
        <w:rPr>
          <w:sz w:val="20"/>
        </w:rPr>
        <w:t xml:space="preserve"> </w:t>
      </w:r>
      <w:r w:rsidR="008905BF">
        <w:rPr>
          <w:rFonts w:cs="Arial"/>
          <w:color w:val="000000"/>
          <w:sz w:val="20"/>
        </w:rPr>
        <w:t>Growth curves of Murray cod recruits sampled in the Edward-Wakool system in 2015-16.</w:t>
      </w:r>
    </w:p>
    <w:p w14:paraId="3B4F8A4F" w14:textId="77777777" w:rsidR="008905BF" w:rsidRDefault="008905BF" w:rsidP="008905BF">
      <w:pPr>
        <w:spacing w:after="0" w:line="240" w:lineRule="auto"/>
        <w:jc w:val="center"/>
      </w:pPr>
      <w:r>
        <w:rPr>
          <w:noProof/>
          <w:lang w:eastAsia="en-AU"/>
        </w:rPr>
        <w:drawing>
          <wp:inline distT="0" distB="0" distL="0" distR="0" wp14:anchorId="3B4F9606" wp14:editId="4CACC33E">
            <wp:extent cx="3352800" cy="3581400"/>
            <wp:effectExtent l="0" t="0" r="0" b="0"/>
            <wp:docPr id="450" name="Picture 450" descr="SP rec index"/>
            <wp:cNvGraphicFramePr/>
            <a:graphic xmlns:a="http://schemas.openxmlformats.org/drawingml/2006/main">
              <a:graphicData uri="http://schemas.openxmlformats.org/drawingml/2006/picture">
                <pic:pic xmlns:pic="http://schemas.openxmlformats.org/drawingml/2006/picture">
                  <pic:nvPicPr>
                    <pic:cNvPr id="2" name="Picture 2" descr="SP rec index"/>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381624" cy="3612189"/>
                    </a:xfrm>
                    <a:prstGeom prst="rect">
                      <a:avLst/>
                    </a:prstGeom>
                    <a:noFill/>
                    <a:ln>
                      <a:noFill/>
                    </a:ln>
                  </pic:spPr>
                </pic:pic>
              </a:graphicData>
            </a:graphic>
          </wp:inline>
        </w:drawing>
      </w:r>
    </w:p>
    <w:p w14:paraId="3B4F8A50" w14:textId="77777777" w:rsidR="008905BF" w:rsidRPr="00B62135" w:rsidRDefault="000572D6" w:rsidP="008905BF">
      <w:pPr>
        <w:pStyle w:val="ListParagraph"/>
        <w:shd w:val="clear" w:color="auto" w:fill="FFFFFF"/>
        <w:spacing w:after="240" w:line="240" w:lineRule="auto"/>
        <w:ind w:left="0"/>
        <w:rPr>
          <w:rFonts w:cs="Arial"/>
          <w:color w:val="000000"/>
          <w:sz w:val="20"/>
        </w:rPr>
      </w:pPr>
      <w:r>
        <w:rPr>
          <w:b/>
          <w:sz w:val="20"/>
        </w:rPr>
        <w:t>Figure 10</w:t>
      </w:r>
      <w:r w:rsidR="008905BF">
        <w:rPr>
          <w:b/>
          <w:sz w:val="20"/>
        </w:rPr>
        <w:t>.2</w:t>
      </w:r>
      <w:r w:rsidR="008905BF" w:rsidRPr="00720F92">
        <w:rPr>
          <w:b/>
          <w:sz w:val="20"/>
        </w:rPr>
        <w:t>.</w:t>
      </w:r>
      <w:r w:rsidR="008905BF" w:rsidRPr="00720F92">
        <w:rPr>
          <w:sz w:val="20"/>
        </w:rPr>
        <w:t xml:space="preserve"> </w:t>
      </w:r>
      <w:r w:rsidR="008905BF">
        <w:rPr>
          <w:rFonts w:cs="Arial"/>
          <w:color w:val="000000"/>
          <w:sz w:val="20"/>
        </w:rPr>
        <w:t>Recruitment indices expressed as catch per unit of sampling effort (1000 seconds) for age-class 1 (1+) Silver perch in the Edward-Wakool system in 2014-15 and 2015-16.</w:t>
      </w:r>
      <w:r w:rsidR="008905BF" w:rsidRPr="00783747">
        <w:rPr>
          <w:rFonts w:cs="Arial"/>
          <w:color w:val="000000"/>
        </w:rPr>
        <w:t xml:space="preserve"> </w:t>
      </w:r>
      <w:r w:rsidR="008905BF">
        <w:rPr>
          <w:rFonts w:cs="Arial"/>
          <w:color w:val="000000"/>
          <w:sz w:val="20"/>
        </w:rPr>
        <w:t>Values +/- SE.</w:t>
      </w:r>
    </w:p>
    <w:p w14:paraId="3B4F8A51" w14:textId="77777777" w:rsidR="008905BF" w:rsidRDefault="008905BF" w:rsidP="008905BF">
      <w:pPr>
        <w:tabs>
          <w:tab w:val="left" w:pos="9071"/>
        </w:tabs>
        <w:spacing w:after="240" w:line="320" w:lineRule="exact"/>
        <w:jc w:val="left"/>
        <w:rPr>
          <w:b/>
          <w:sz w:val="20"/>
        </w:rPr>
      </w:pPr>
    </w:p>
    <w:p w14:paraId="3B4F8A52" w14:textId="77777777" w:rsidR="008905BF" w:rsidRDefault="008905BF" w:rsidP="008905BF">
      <w:pPr>
        <w:tabs>
          <w:tab w:val="left" w:pos="9071"/>
        </w:tabs>
        <w:spacing w:after="240" w:line="320" w:lineRule="exact"/>
        <w:jc w:val="left"/>
        <w:rPr>
          <w:b/>
          <w:sz w:val="20"/>
        </w:rPr>
        <w:sectPr w:rsidR="008905BF" w:rsidSect="0000180C">
          <w:pgSz w:w="11906" w:h="16838"/>
          <w:pgMar w:top="1440" w:right="1701" w:bottom="1440" w:left="1701" w:header="709" w:footer="709" w:gutter="0"/>
          <w:cols w:space="708"/>
          <w:docGrid w:linePitch="360"/>
        </w:sectPr>
      </w:pPr>
    </w:p>
    <w:p w14:paraId="3B4F8A53" w14:textId="77777777" w:rsidR="008905BF" w:rsidRPr="008905BF" w:rsidRDefault="00D40541" w:rsidP="008905BF">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lastRenderedPageBreak/>
        <w:t>10</w:t>
      </w:r>
      <w:r w:rsidR="008905BF" w:rsidRPr="008905BF">
        <w:rPr>
          <w:b/>
          <w:color w:val="4F6228" w:themeColor="accent3" w:themeShade="80"/>
          <w:sz w:val="24"/>
          <w:szCs w:val="24"/>
        </w:rPr>
        <w:t>.3 Evaluation</w:t>
      </w:r>
    </w:p>
    <w:tbl>
      <w:tblPr>
        <w:tblStyle w:val="TableGrid"/>
        <w:tblW w:w="14596" w:type="dxa"/>
        <w:tblLook w:val="04A0" w:firstRow="1" w:lastRow="0" w:firstColumn="1" w:lastColumn="0" w:noHBand="0" w:noVBand="1"/>
      </w:tblPr>
      <w:tblGrid>
        <w:gridCol w:w="2547"/>
        <w:gridCol w:w="2268"/>
        <w:gridCol w:w="2410"/>
        <w:gridCol w:w="3561"/>
        <w:gridCol w:w="1669"/>
        <w:gridCol w:w="2141"/>
      </w:tblGrid>
      <w:tr w:rsidR="008905BF" w:rsidRPr="00DF732F" w14:paraId="3B4F8A56" w14:textId="77777777" w:rsidTr="008905BF">
        <w:tc>
          <w:tcPr>
            <w:tcW w:w="4815" w:type="dxa"/>
            <w:gridSpan w:val="2"/>
            <w:shd w:val="clear" w:color="auto" w:fill="EAF1DD" w:themeFill="accent3" w:themeFillTint="33"/>
          </w:tcPr>
          <w:p w14:paraId="3B4F8A54" w14:textId="77777777" w:rsidR="008905BF" w:rsidRPr="00DF732F" w:rsidRDefault="008905BF" w:rsidP="0000180C">
            <w:pPr>
              <w:tabs>
                <w:tab w:val="left" w:pos="9071"/>
              </w:tabs>
              <w:spacing w:after="0" w:line="240" w:lineRule="auto"/>
              <w:jc w:val="center"/>
              <w:rPr>
                <w:rFonts w:asciiTheme="minorHAnsi" w:hAnsiTheme="minorHAnsi"/>
                <w:b/>
                <w:sz w:val="18"/>
                <w:szCs w:val="18"/>
              </w:rPr>
            </w:pPr>
            <w:r w:rsidRPr="00DF732F">
              <w:rPr>
                <w:rFonts w:asciiTheme="minorHAnsi" w:hAnsiTheme="minorHAnsi"/>
                <w:b/>
                <w:sz w:val="18"/>
                <w:szCs w:val="18"/>
              </w:rPr>
              <w:t>CEWO Water Planning and delivery</w:t>
            </w:r>
          </w:p>
        </w:tc>
        <w:tc>
          <w:tcPr>
            <w:tcW w:w="9781" w:type="dxa"/>
            <w:gridSpan w:val="4"/>
            <w:shd w:val="clear" w:color="auto" w:fill="EAF1DD" w:themeFill="accent3" w:themeFillTint="33"/>
          </w:tcPr>
          <w:p w14:paraId="3B4F8A55" w14:textId="77777777" w:rsidR="008905BF" w:rsidRPr="00DF732F" w:rsidRDefault="008905BF" w:rsidP="0000180C">
            <w:pPr>
              <w:tabs>
                <w:tab w:val="left" w:pos="9071"/>
              </w:tabs>
              <w:spacing w:after="0" w:line="240" w:lineRule="auto"/>
              <w:jc w:val="center"/>
              <w:rPr>
                <w:rFonts w:asciiTheme="minorHAnsi" w:hAnsiTheme="minorHAnsi"/>
                <w:b/>
                <w:sz w:val="18"/>
                <w:szCs w:val="18"/>
              </w:rPr>
            </w:pPr>
            <w:r w:rsidRPr="00DF732F">
              <w:rPr>
                <w:rFonts w:asciiTheme="minorHAnsi" w:hAnsiTheme="minorHAnsi"/>
                <w:b/>
                <w:sz w:val="18"/>
                <w:szCs w:val="18"/>
              </w:rPr>
              <w:t>Monitoring and Evaluation questions and outcomes</w:t>
            </w:r>
          </w:p>
        </w:tc>
      </w:tr>
      <w:tr w:rsidR="008905BF" w:rsidRPr="00DF732F" w14:paraId="3B4F8A5D" w14:textId="77777777" w:rsidTr="008905BF">
        <w:tc>
          <w:tcPr>
            <w:tcW w:w="2547" w:type="dxa"/>
            <w:shd w:val="clear" w:color="auto" w:fill="EAF1DD" w:themeFill="accent3" w:themeFillTint="33"/>
          </w:tcPr>
          <w:p w14:paraId="3B4F8A57" w14:textId="77777777" w:rsidR="008905BF" w:rsidRPr="00DF732F" w:rsidRDefault="008905BF" w:rsidP="0000180C">
            <w:pPr>
              <w:tabs>
                <w:tab w:val="left" w:pos="9071"/>
              </w:tabs>
              <w:spacing w:after="0" w:line="240" w:lineRule="auto"/>
              <w:jc w:val="left"/>
              <w:rPr>
                <w:rFonts w:asciiTheme="minorHAnsi" w:hAnsiTheme="minorHAnsi"/>
                <w:b/>
                <w:color w:val="4F6228" w:themeColor="accent3" w:themeShade="80"/>
                <w:sz w:val="18"/>
                <w:szCs w:val="18"/>
              </w:rPr>
            </w:pPr>
            <w:r w:rsidRPr="00DF732F">
              <w:rPr>
                <w:rFonts w:asciiTheme="minorHAnsi" w:hAnsiTheme="minorHAnsi"/>
                <w:b/>
                <w:bCs/>
                <w:sz w:val="18"/>
                <w:szCs w:val="18"/>
              </w:rPr>
              <w:t>Flow component type and target/planned</w:t>
            </w:r>
            <w:r w:rsidRPr="00DF732F">
              <w:rPr>
                <w:rFonts w:asciiTheme="minorHAnsi" w:hAnsiTheme="minorHAnsi"/>
                <w:b/>
                <w:bCs/>
                <w:sz w:val="18"/>
                <w:szCs w:val="18"/>
                <w:u w:val="single"/>
              </w:rPr>
              <w:t xml:space="preserve"> </w:t>
            </w:r>
            <w:r w:rsidRPr="00DF732F">
              <w:rPr>
                <w:rFonts w:asciiTheme="minorHAnsi" w:hAnsiTheme="minorHAnsi"/>
                <w:b/>
                <w:bCs/>
                <w:sz w:val="18"/>
                <w:szCs w:val="18"/>
              </w:rPr>
              <w:t>magnitude, duration, timing and/or inundation extent</w:t>
            </w:r>
          </w:p>
        </w:tc>
        <w:tc>
          <w:tcPr>
            <w:tcW w:w="2268" w:type="dxa"/>
            <w:shd w:val="clear" w:color="auto" w:fill="EAF1DD" w:themeFill="accent3" w:themeFillTint="33"/>
          </w:tcPr>
          <w:p w14:paraId="3B4F8A58" w14:textId="77777777" w:rsidR="008905BF" w:rsidRPr="00DF732F" w:rsidRDefault="008905BF" w:rsidP="0000180C">
            <w:pPr>
              <w:tabs>
                <w:tab w:val="left" w:pos="9071"/>
              </w:tabs>
              <w:spacing w:after="0" w:line="240" w:lineRule="auto"/>
              <w:jc w:val="left"/>
              <w:rPr>
                <w:rFonts w:asciiTheme="minorHAnsi" w:hAnsiTheme="minorHAnsi"/>
                <w:b/>
                <w:color w:val="4F6228" w:themeColor="accent3" w:themeShade="80"/>
                <w:sz w:val="18"/>
                <w:szCs w:val="18"/>
              </w:rPr>
            </w:pPr>
            <w:r w:rsidRPr="00DF732F">
              <w:rPr>
                <w:rFonts w:asciiTheme="minorHAnsi" w:hAnsiTheme="minorHAnsi"/>
                <w:b/>
                <w:sz w:val="18"/>
                <w:szCs w:val="18"/>
              </w:rPr>
              <w:t>Expected outcomes of watering action (From Water Use Minute 10038 and/or CEWO Acquittal report)</w:t>
            </w:r>
          </w:p>
        </w:tc>
        <w:tc>
          <w:tcPr>
            <w:tcW w:w="2410" w:type="dxa"/>
            <w:tcBorders>
              <w:bottom w:val="single" w:sz="4" w:space="0" w:color="000000"/>
            </w:tcBorders>
            <w:shd w:val="clear" w:color="auto" w:fill="EAF1DD" w:themeFill="accent3" w:themeFillTint="33"/>
          </w:tcPr>
          <w:p w14:paraId="3B4F8A59" w14:textId="77777777" w:rsidR="008905BF" w:rsidRPr="00DF732F" w:rsidRDefault="008905BF" w:rsidP="0000180C">
            <w:pPr>
              <w:tabs>
                <w:tab w:val="left" w:pos="9071"/>
              </w:tabs>
              <w:spacing w:after="0" w:line="240" w:lineRule="auto"/>
              <w:jc w:val="left"/>
              <w:rPr>
                <w:rFonts w:asciiTheme="minorHAnsi" w:hAnsiTheme="minorHAnsi"/>
                <w:b/>
                <w:color w:val="4F6228" w:themeColor="accent3" w:themeShade="80"/>
                <w:sz w:val="18"/>
                <w:szCs w:val="18"/>
              </w:rPr>
            </w:pPr>
            <w:r w:rsidRPr="00DF732F">
              <w:rPr>
                <w:rFonts w:asciiTheme="minorHAnsi" w:hAnsiTheme="minorHAnsi"/>
                <w:b/>
                <w:sz w:val="18"/>
                <w:szCs w:val="18"/>
              </w:rPr>
              <w:t>LTIM Question</w:t>
            </w:r>
          </w:p>
        </w:tc>
        <w:tc>
          <w:tcPr>
            <w:tcW w:w="3561" w:type="dxa"/>
            <w:tcBorders>
              <w:bottom w:val="single" w:sz="4" w:space="0" w:color="000000"/>
            </w:tcBorders>
            <w:shd w:val="clear" w:color="auto" w:fill="EAF1DD" w:themeFill="accent3" w:themeFillTint="33"/>
          </w:tcPr>
          <w:p w14:paraId="3B4F8A5A" w14:textId="77777777" w:rsidR="008905BF" w:rsidRPr="00DF732F" w:rsidRDefault="008905BF" w:rsidP="0000180C">
            <w:pPr>
              <w:tabs>
                <w:tab w:val="left" w:pos="9071"/>
              </w:tabs>
              <w:spacing w:after="0" w:line="240" w:lineRule="auto"/>
              <w:jc w:val="left"/>
              <w:rPr>
                <w:rFonts w:asciiTheme="minorHAnsi" w:hAnsiTheme="minorHAnsi"/>
                <w:b/>
                <w:color w:val="4F6228" w:themeColor="accent3" w:themeShade="80"/>
                <w:sz w:val="18"/>
                <w:szCs w:val="18"/>
              </w:rPr>
            </w:pPr>
            <w:r w:rsidRPr="00DF732F">
              <w:rPr>
                <w:rFonts w:asciiTheme="minorHAnsi" w:hAnsiTheme="minorHAnsi"/>
                <w:b/>
                <w:sz w:val="18"/>
                <w:szCs w:val="18"/>
              </w:rPr>
              <w:t>Observed outcomes</w:t>
            </w:r>
          </w:p>
        </w:tc>
        <w:tc>
          <w:tcPr>
            <w:tcW w:w="1669" w:type="dxa"/>
            <w:tcBorders>
              <w:bottom w:val="single" w:sz="4" w:space="0" w:color="000000"/>
            </w:tcBorders>
            <w:shd w:val="clear" w:color="auto" w:fill="EAF1DD" w:themeFill="accent3" w:themeFillTint="33"/>
          </w:tcPr>
          <w:p w14:paraId="3B4F8A5B" w14:textId="77777777" w:rsidR="008905BF" w:rsidRPr="00DF732F" w:rsidRDefault="008905BF" w:rsidP="0000180C">
            <w:pPr>
              <w:tabs>
                <w:tab w:val="left" w:pos="9071"/>
              </w:tabs>
              <w:spacing w:after="0" w:line="240" w:lineRule="auto"/>
              <w:jc w:val="left"/>
              <w:rPr>
                <w:rFonts w:asciiTheme="minorHAnsi" w:hAnsiTheme="minorHAnsi"/>
                <w:b/>
                <w:color w:val="4F6228" w:themeColor="accent3" w:themeShade="80"/>
                <w:sz w:val="18"/>
                <w:szCs w:val="18"/>
              </w:rPr>
            </w:pPr>
            <w:r w:rsidRPr="00DF732F">
              <w:rPr>
                <w:rFonts w:asciiTheme="minorHAnsi" w:hAnsiTheme="minorHAnsi"/>
                <w:b/>
                <w:sz w:val="18"/>
                <w:szCs w:val="18"/>
              </w:rPr>
              <w:t>What information was the evaluation based on?</w:t>
            </w:r>
          </w:p>
        </w:tc>
        <w:tc>
          <w:tcPr>
            <w:tcW w:w="2141" w:type="dxa"/>
            <w:shd w:val="clear" w:color="auto" w:fill="EAF1DD" w:themeFill="accent3" w:themeFillTint="33"/>
          </w:tcPr>
          <w:p w14:paraId="3B4F8A5C" w14:textId="77777777" w:rsidR="008905BF" w:rsidRPr="00DF732F" w:rsidRDefault="008905BF" w:rsidP="0000180C">
            <w:pPr>
              <w:tabs>
                <w:tab w:val="left" w:pos="9071"/>
              </w:tabs>
              <w:spacing w:after="0" w:line="240" w:lineRule="auto"/>
              <w:jc w:val="left"/>
              <w:rPr>
                <w:rFonts w:asciiTheme="minorHAnsi" w:hAnsiTheme="minorHAnsi"/>
                <w:b/>
                <w:color w:val="4F6228" w:themeColor="accent3" w:themeShade="80"/>
                <w:sz w:val="18"/>
                <w:szCs w:val="18"/>
              </w:rPr>
            </w:pPr>
            <w:r w:rsidRPr="00DF732F">
              <w:rPr>
                <w:rFonts w:asciiTheme="minorHAnsi" w:hAnsiTheme="minorHAnsi"/>
                <w:b/>
                <w:sz w:val="18"/>
                <w:szCs w:val="18"/>
              </w:rPr>
              <w:t>Were appropriate flows provided to achieve the expected outcome?</w:t>
            </w:r>
          </w:p>
        </w:tc>
      </w:tr>
      <w:tr w:rsidR="00BC1234" w:rsidRPr="00DF732F" w14:paraId="3B4F8A8C" w14:textId="77777777" w:rsidTr="0000180C">
        <w:tc>
          <w:tcPr>
            <w:tcW w:w="2547" w:type="dxa"/>
            <w:tcMar>
              <w:left w:w="57" w:type="dxa"/>
              <w:right w:w="57" w:type="dxa"/>
            </w:tcMar>
          </w:tcPr>
          <w:p w14:paraId="3B4F8A5E" w14:textId="77777777" w:rsidR="00BC1234" w:rsidRPr="00790A02" w:rsidRDefault="00BC1234" w:rsidP="0000180C">
            <w:pPr>
              <w:pStyle w:val="ListBullet"/>
              <w:spacing w:after="0"/>
              <w:contextualSpacing w:val="0"/>
              <w:jc w:val="left"/>
              <w:rPr>
                <w:rFonts w:asciiTheme="minorHAnsi" w:hAnsiTheme="minorHAnsi"/>
                <w:sz w:val="18"/>
                <w:szCs w:val="18"/>
                <w:u w:val="single"/>
              </w:rPr>
            </w:pPr>
            <w:r w:rsidRPr="00790A02">
              <w:rPr>
                <w:rFonts w:asciiTheme="minorHAnsi" w:hAnsiTheme="minorHAnsi"/>
                <w:sz w:val="18"/>
                <w:szCs w:val="18"/>
                <w:u w:val="single"/>
              </w:rPr>
              <w:t>Upper Wakool River: Base flow and Fresh</w:t>
            </w:r>
          </w:p>
          <w:p w14:paraId="3B4F8A5F" w14:textId="77777777" w:rsidR="00BC1234" w:rsidRPr="00790A02" w:rsidRDefault="00BC1234" w:rsidP="0000180C">
            <w:pPr>
              <w:pStyle w:val="ListBullet"/>
              <w:spacing w:after="0"/>
              <w:contextualSpacing w:val="0"/>
              <w:jc w:val="left"/>
              <w:rPr>
                <w:rFonts w:asciiTheme="minorHAnsi" w:hAnsiTheme="minorHAnsi"/>
                <w:sz w:val="18"/>
                <w:szCs w:val="18"/>
              </w:rPr>
            </w:pPr>
            <w:r w:rsidRPr="00790A02">
              <w:rPr>
                <w:rFonts w:asciiTheme="minorHAnsi" w:hAnsiTheme="minorHAnsi"/>
                <w:sz w:val="18"/>
                <w:szCs w:val="18"/>
              </w:rPr>
              <w:t>Flow for spring-summer fresh in Upper Wakool (above confluence with Yallakool Creek) to have a flow range of between 50 ML/day and 100 ML/day to enable river operators to provide a level of variability into flows. A flow recession back to base flows of 25 ML/day every 14 days was targeted.</w:t>
            </w:r>
          </w:p>
          <w:p w14:paraId="3B4F8A60" w14:textId="77777777" w:rsidR="00BC1234" w:rsidRPr="00790A02" w:rsidRDefault="00BC1234" w:rsidP="0000180C">
            <w:pPr>
              <w:pStyle w:val="ListBullet"/>
              <w:spacing w:after="0"/>
              <w:contextualSpacing w:val="0"/>
              <w:jc w:val="left"/>
              <w:rPr>
                <w:rFonts w:asciiTheme="minorHAnsi" w:hAnsiTheme="minorHAnsi"/>
                <w:sz w:val="18"/>
                <w:szCs w:val="18"/>
                <w:u w:val="single"/>
              </w:rPr>
            </w:pPr>
          </w:p>
          <w:p w14:paraId="3B4F8A61" w14:textId="77777777" w:rsidR="00BC1234" w:rsidRPr="00790A02" w:rsidRDefault="00BC1234" w:rsidP="0000180C">
            <w:pPr>
              <w:pStyle w:val="ListBullet"/>
              <w:spacing w:after="0"/>
              <w:contextualSpacing w:val="0"/>
              <w:jc w:val="left"/>
              <w:rPr>
                <w:rFonts w:asciiTheme="minorHAnsi" w:hAnsiTheme="minorHAnsi"/>
                <w:sz w:val="18"/>
                <w:szCs w:val="18"/>
                <w:u w:val="single"/>
              </w:rPr>
            </w:pPr>
            <w:r w:rsidRPr="00790A02">
              <w:rPr>
                <w:rFonts w:asciiTheme="minorHAnsi" w:hAnsiTheme="minorHAnsi"/>
                <w:sz w:val="18"/>
                <w:szCs w:val="18"/>
                <w:u w:val="single"/>
              </w:rPr>
              <w:t>Yallakool Creek: Base flow and Fresh</w:t>
            </w:r>
          </w:p>
          <w:p w14:paraId="3B4F8A62" w14:textId="77777777" w:rsidR="00BC1234" w:rsidRPr="00790A02" w:rsidRDefault="00BC1234" w:rsidP="0000180C">
            <w:pPr>
              <w:tabs>
                <w:tab w:val="left" w:pos="9071"/>
              </w:tabs>
              <w:spacing w:after="0" w:line="240" w:lineRule="auto"/>
              <w:ind w:right="-1"/>
              <w:jc w:val="left"/>
              <w:rPr>
                <w:rFonts w:asciiTheme="minorHAnsi" w:hAnsiTheme="minorHAnsi"/>
                <w:b/>
                <w:color w:val="4F6228" w:themeColor="accent3" w:themeShade="80"/>
                <w:sz w:val="18"/>
                <w:szCs w:val="18"/>
              </w:rPr>
            </w:pPr>
            <w:r w:rsidRPr="00790A02">
              <w:rPr>
                <w:rFonts w:asciiTheme="minorHAnsi" w:hAnsiTheme="minorHAnsi"/>
                <w:sz w:val="18"/>
                <w:szCs w:val="18"/>
              </w:rPr>
              <w:t>Flow for early fresh to increase from base flow level to peak of 550 ML/day, receding to 450 ML/day. Flow for spring-summer fresh to have a flow range of between 450 ML/day and 500 ML/day to enable river operators to provide a level of variability into flows. Flow recession to reduce from 500 ML/day in 25 ML/day increments</w:t>
            </w:r>
            <w:r w:rsidRPr="00790A02">
              <w:rPr>
                <w:rFonts w:asciiTheme="minorHAnsi" w:hAnsiTheme="minorHAnsi"/>
                <w:bCs/>
                <w:sz w:val="18"/>
                <w:szCs w:val="18"/>
              </w:rPr>
              <w:t>.</w:t>
            </w:r>
          </w:p>
        </w:tc>
        <w:tc>
          <w:tcPr>
            <w:tcW w:w="2268" w:type="dxa"/>
            <w:tcBorders>
              <w:right w:val="single" w:sz="4" w:space="0" w:color="000000"/>
            </w:tcBorders>
            <w:tcMar>
              <w:left w:w="57" w:type="dxa"/>
              <w:right w:w="57" w:type="dxa"/>
            </w:tcMar>
          </w:tcPr>
          <w:p w14:paraId="0A901534" w14:textId="5F687EA0" w:rsidR="004E0D53" w:rsidRPr="004E0D53" w:rsidRDefault="004E0D53" w:rsidP="004E0D53">
            <w:pPr>
              <w:spacing w:after="0" w:line="240" w:lineRule="auto"/>
              <w:jc w:val="left"/>
              <w:rPr>
                <w:rFonts w:asciiTheme="minorHAnsi" w:hAnsiTheme="minorHAnsi" w:cs="Arial"/>
                <w:bCs/>
                <w:color w:val="000000"/>
                <w:sz w:val="18"/>
                <w:szCs w:val="18"/>
                <w:lang w:eastAsia="en-AU"/>
              </w:rPr>
            </w:pPr>
            <w:r>
              <w:rPr>
                <w:rFonts w:asciiTheme="minorHAnsi" w:hAnsiTheme="minorHAnsi" w:cs="Arial"/>
                <w:bCs/>
                <w:color w:val="000000"/>
                <w:sz w:val="18"/>
                <w:szCs w:val="18"/>
                <w:lang w:eastAsia="en-AU"/>
              </w:rPr>
              <w:t xml:space="preserve">To </w:t>
            </w:r>
            <w:r w:rsidRPr="004E0D53">
              <w:rPr>
                <w:rFonts w:asciiTheme="minorHAnsi" w:hAnsiTheme="minorHAnsi" w:cs="Arial"/>
                <w:bCs/>
                <w:color w:val="000000"/>
                <w:sz w:val="18"/>
                <w:szCs w:val="18"/>
                <w:lang w:eastAsia="en-AU"/>
              </w:rPr>
              <w:t>maintain the diversity and condition of native fish and other native species including frogs and invertebrates through maintaining suitable habitat and providing/supporting opportunities to move, breed and recruit</w:t>
            </w:r>
          </w:p>
          <w:p w14:paraId="3B4F8A69" w14:textId="77777777" w:rsidR="00BC1234" w:rsidRPr="00790A02" w:rsidRDefault="00BC1234" w:rsidP="0000180C">
            <w:pPr>
              <w:spacing w:after="0" w:line="240" w:lineRule="auto"/>
              <w:jc w:val="left"/>
              <w:rPr>
                <w:rFonts w:asciiTheme="minorHAnsi" w:hAnsiTheme="minorHAnsi"/>
                <w:bCs/>
                <w:sz w:val="18"/>
                <w:szCs w:val="18"/>
              </w:rPr>
            </w:pPr>
          </w:p>
          <w:p w14:paraId="3B4F8A6A" w14:textId="77777777" w:rsidR="00BC1234" w:rsidRPr="00790A02" w:rsidRDefault="00BC1234" w:rsidP="0000180C">
            <w:pPr>
              <w:tabs>
                <w:tab w:val="left" w:pos="9071"/>
              </w:tabs>
              <w:spacing w:after="0" w:line="240" w:lineRule="auto"/>
              <w:ind w:right="-1"/>
              <w:jc w:val="left"/>
              <w:rPr>
                <w:rFonts w:asciiTheme="minorHAnsi" w:hAnsiTheme="minorHAnsi"/>
                <w:b/>
                <w:color w:val="4F6228" w:themeColor="accent3" w:themeShade="80"/>
                <w:sz w:val="18"/>
                <w:szCs w:val="18"/>
              </w:rPr>
            </w:pPr>
          </w:p>
        </w:tc>
        <w:tc>
          <w:tcPr>
            <w:tcW w:w="2410" w:type="dxa"/>
            <w:tcBorders>
              <w:top w:val="nil"/>
            </w:tcBorders>
            <w:tcMar>
              <w:left w:w="57" w:type="dxa"/>
              <w:right w:w="57" w:type="dxa"/>
            </w:tcMar>
          </w:tcPr>
          <w:p w14:paraId="3B4F8A6B" w14:textId="77777777" w:rsidR="00BC1234" w:rsidRPr="00790A02" w:rsidRDefault="00BC1234" w:rsidP="004E0D53">
            <w:pPr>
              <w:pStyle w:val="Default"/>
              <w:adjustRightInd/>
              <w:rPr>
                <w:rFonts w:asciiTheme="minorHAnsi" w:hAnsiTheme="minorHAnsi"/>
                <w:bCs/>
                <w:sz w:val="18"/>
                <w:szCs w:val="18"/>
              </w:rPr>
            </w:pPr>
            <w:r w:rsidRPr="00790A02">
              <w:rPr>
                <w:rFonts w:asciiTheme="minorHAnsi" w:hAnsiTheme="minorHAnsi"/>
                <w:bCs/>
                <w:sz w:val="18"/>
                <w:szCs w:val="18"/>
              </w:rPr>
              <w:t xml:space="preserve">Did Commonwealth Environmental Water affect the growth rate of </w:t>
            </w:r>
            <w:r w:rsidRPr="00790A02">
              <w:rPr>
                <w:rFonts w:asciiTheme="minorHAnsi" w:hAnsiTheme="minorHAnsi"/>
                <w:sz w:val="18"/>
                <w:szCs w:val="18"/>
              </w:rPr>
              <w:t xml:space="preserve">Murray cod, golden perch and silver perch </w:t>
            </w:r>
            <w:r w:rsidRPr="00790A02">
              <w:rPr>
                <w:rFonts w:asciiTheme="minorHAnsi" w:hAnsiTheme="minorHAnsi"/>
                <w:bCs/>
                <w:sz w:val="18"/>
                <w:szCs w:val="18"/>
              </w:rPr>
              <w:t>during the first year of life?</w:t>
            </w:r>
          </w:p>
          <w:p w14:paraId="3B4F8A6C" w14:textId="77777777" w:rsidR="00BC1234" w:rsidRPr="00790A02" w:rsidRDefault="00BC1234" w:rsidP="0000180C">
            <w:pPr>
              <w:pStyle w:val="Default"/>
              <w:adjustRightInd/>
              <w:rPr>
                <w:rFonts w:asciiTheme="minorHAnsi" w:hAnsiTheme="minorHAnsi"/>
                <w:bCs/>
                <w:sz w:val="18"/>
                <w:szCs w:val="18"/>
              </w:rPr>
            </w:pPr>
          </w:p>
          <w:p w14:paraId="3B4F8A6D" w14:textId="48DE4C6B" w:rsidR="00BC1234" w:rsidRPr="00790A02" w:rsidRDefault="00BC1234" w:rsidP="0000180C">
            <w:pPr>
              <w:pStyle w:val="ListParagraph"/>
              <w:shd w:val="clear" w:color="auto" w:fill="FFFFFF"/>
              <w:spacing w:after="200" w:line="240" w:lineRule="auto"/>
              <w:ind w:left="0"/>
              <w:jc w:val="left"/>
              <w:rPr>
                <w:rFonts w:eastAsia="Calibri" w:cs="Arial"/>
                <w:bCs/>
                <w:sz w:val="18"/>
                <w:szCs w:val="18"/>
              </w:rPr>
            </w:pPr>
            <w:r w:rsidRPr="00790A02">
              <w:rPr>
                <w:rFonts w:cs="Arial"/>
                <w:bCs/>
                <w:sz w:val="18"/>
                <w:szCs w:val="18"/>
              </w:rPr>
              <w:t xml:space="preserve">Did Commonwealth </w:t>
            </w:r>
            <w:r w:rsidR="002D1FE5">
              <w:rPr>
                <w:rFonts w:cs="Arial"/>
                <w:bCs/>
                <w:sz w:val="18"/>
                <w:szCs w:val="18"/>
              </w:rPr>
              <w:t>e</w:t>
            </w:r>
            <w:r w:rsidRPr="00790A02">
              <w:rPr>
                <w:rFonts w:cs="Arial"/>
                <w:bCs/>
                <w:sz w:val="18"/>
                <w:szCs w:val="18"/>
              </w:rPr>
              <w:t xml:space="preserve">nvironmental </w:t>
            </w:r>
            <w:r w:rsidR="002D1FE5">
              <w:rPr>
                <w:rFonts w:cs="Arial"/>
                <w:bCs/>
                <w:sz w:val="18"/>
                <w:szCs w:val="18"/>
              </w:rPr>
              <w:t>w</w:t>
            </w:r>
            <w:r w:rsidRPr="00790A02">
              <w:rPr>
                <w:rFonts w:cs="Arial"/>
                <w:bCs/>
                <w:sz w:val="18"/>
                <w:szCs w:val="18"/>
              </w:rPr>
              <w:t xml:space="preserve">ater contribute to the recruitment of </w:t>
            </w:r>
            <w:r w:rsidRPr="00790A02">
              <w:rPr>
                <w:rFonts w:cs="Arial"/>
                <w:color w:val="000000"/>
                <w:sz w:val="18"/>
                <w:szCs w:val="18"/>
              </w:rPr>
              <w:t>Murray cod, golden perch and silver perch</w:t>
            </w:r>
            <w:r w:rsidRPr="00790A02">
              <w:rPr>
                <w:rFonts w:cs="Arial"/>
                <w:bCs/>
                <w:sz w:val="18"/>
                <w:szCs w:val="18"/>
              </w:rPr>
              <w:t>?</w:t>
            </w:r>
          </w:p>
          <w:p w14:paraId="3B4F8A6E" w14:textId="77777777" w:rsidR="00BC1234" w:rsidRPr="00790A02" w:rsidRDefault="00BC1234" w:rsidP="0000180C">
            <w:pPr>
              <w:pStyle w:val="Default"/>
              <w:adjustRightInd/>
              <w:rPr>
                <w:rFonts w:asciiTheme="minorHAnsi" w:hAnsiTheme="minorHAnsi"/>
                <w:bCs/>
                <w:sz w:val="18"/>
                <w:szCs w:val="18"/>
              </w:rPr>
            </w:pPr>
          </w:p>
          <w:p w14:paraId="3B4F8A6F" w14:textId="68566EEC" w:rsidR="00BC1234" w:rsidRPr="00790A02" w:rsidRDefault="00BC1234" w:rsidP="0000180C">
            <w:pPr>
              <w:pStyle w:val="Default"/>
              <w:adjustRightInd/>
              <w:rPr>
                <w:rFonts w:asciiTheme="minorHAnsi" w:hAnsiTheme="minorHAnsi"/>
                <w:bCs/>
                <w:sz w:val="18"/>
                <w:szCs w:val="18"/>
              </w:rPr>
            </w:pPr>
            <w:r w:rsidRPr="00790A02">
              <w:rPr>
                <w:rFonts w:asciiTheme="minorHAnsi" w:hAnsiTheme="minorHAnsi"/>
                <w:bCs/>
                <w:sz w:val="18"/>
                <w:szCs w:val="18"/>
              </w:rPr>
              <w:t xml:space="preserve">Did Commonwealth </w:t>
            </w:r>
            <w:r w:rsidR="002D1FE5">
              <w:rPr>
                <w:rFonts w:asciiTheme="minorHAnsi" w:hAnsiTheme="minorHAnsi"/>
                <w:bCs/>
                <w:sz w:val="18"/>
                <w:szCs w:val="18"/>
              </w:rPr>
              <w:t>e</w:t>
            </w:r>
            <w:r w:rsidRPr="00790A02">
              <w:rPr>
                <w:rFonts w:asciiTheme="minorHAnsi" w:hAnsiTheme="minorHAnsi"/>
                <w:bCs/>
                <w:sz w:val="18"/>
                <w:szCs w:val="18"/>
              </w:rPr>
              <w:t xml:space="preserve">nvironmental </w:t>
            </w:r>
            <w:r w:rsidR="002D1FE5">
              <w:rPr>
                <w:rFonts w:asciiTheme="minorHAnsi" w:hAnsiTheme="minorHAnsi"/>
                <w:bCs/>
                <w:sz w:val="18"/>
                <w:szCs w:val="18"/>
              </w:rPr>
              <w:t>w</w:t>
            </w:r>
            <w:r w:rsidRPr="00790A02">
              <w:rPr>
                <w:rFonts w:asciiTheme="minorHAnsi" w:hAnsiTheme="minorHAnsi"/>
                <w:bCs/>
                <w:sz w:val="18"/>
                <w:szCs w:val="18"/>
              </w:rPr>
              <w:t xml:space="preserve">ater affect the growth rate of </w:t>
            </w:r>
            <w:r w:rsidRPr="00790A02">
              <w:rPr>
                <w:rFonts w:asciiTheme="minorHAnsi" w:hAnsiTheme="minorHAnsi"/>
                <w:sz w:val="18"/>
                <w:szCs w:val="18"/>
              </w:rPr>
              <w:t xml:space="preserve">Murray cod, golden perch and silver perch </w:t>
            </w:r>
            <w:r w:rsidRPr="00790A02">
              <w:rPr>
                <w:rFonts w:asciiTheme="minorHAnsi" w:hAnsiTheme="minorHAnsi"/>
                <w:bCs/>
                <w:sz w:val="18"/>
                <w:szCs w:val="18"/>
              </w:rPr>
              <w:t>during the first year of life?</w:t>
            </w:r>
          </w:p>
          <w:p w14:paraId="3B4F8A70" w14:textId="77777777" w:rsidR="00BC1234" w:rsidRPr="00790A02" w:rsidRDefault="00BC1234" w:rsidP="0000180C">
            <w:pPr>
              <w:pStyle w:val="Default"/>
              <w:adjustRightInd/>
              <w:rPr>
                <w:rFonts w:asciiTheme="minorHAnsi" w:hAnsiTheme="minorHAnsi"/>
                <w:bCs/>
                <w:sz w:val="18"/>
                <w:szCs w:val="18"/>
              </w:rPr>
            </w:pPr>
          </w:p>
          <w:p w14:paraId="3B4F8A71" w14:textId="34CFE292" w:rsidR="00BC1234" w:rsidRPr="00790A02" w:rsidRDefault="00BC1234" w:rsidP="0000180C">
            <w:pPr>
              <w:pStyle w:val="ListParagraph"/>
              <w:shd w:val="clear" w:color="auto" w:fill="FFFFFF"/>
              <w:spacing w:after="200" w:line="240" w:lineRule="auto"/>
              <w:ind w:left="0"/>
              <w:jc w:val="left"/>
              <w:rPr>
                <w:rFonts w:eastAsia="Calibri" w:cs="Arial"/>
                <w:bCs/>
                <w:sz w:val="18"/>
                <w:szCs w:val="18"/>
              </w:rPr>
            </w:pPr>
            <w:r w:rsidRPr="00790A02">
              <w:rPr>
                <w:rFonts w:cs="Arial"/>
                <w:bCs/>
                <w:sz w:val="18"/>
                <w:szCs w:val="18"/>
              </w:rPr>
              <w:t xml:space="preserve">Did Commonwealth </w:t>
            </w:r>
            <w:r w:rsidR="002D1FE5">
              <w:rPr>
                <w:rFonts w:cs="Arial"/>
                <w:bCs/>
                <w:sz w:val="18"/>
                <w:szCs w:val="18"/>
              </w:rPr>
              <w:t>e</w:t>
            </w:r>
            <w:r w:rsidRPr="00790A02">
              <w:rPr>
                <w:rFonts w:cs="Arial"/>
                <w:bCs/>
                <w:sz w:val="18"/>
                <w:szCs w:val="18"/>
              </w:rPr>
              <w:t xml:space="preserve">nvironmental </w:t>
            </w:r>
            <w:r w:rsidR="002D1FE5">
              <w:rPr>
                <w:rFonts w:cs="Arial"/>
                <w:bCs/>
                <w:sz w:val="18"/>
                <w:szCs w:val="18"/>
              </w:rPr>
              <w:t>w</w:t>
            </w:r>
            <w:r w:rsidRPr="00790A02">
              <w:rPr>
                <w:rFonts w:cs="Arial"/>
                <w:bCs/>
                <w:sz w:val="18"/>
                <w:szCs w:val="18"/>
              </w:rPr>
              <w:t xml:space="preserve">ater contribute to the recruitment of </w:t>
            </w:r>
            <w:r w:rsidRPr="00790A02">
              <w:rPr>
                <w:rFonts w:cs="Arial"/>
                <w:color w:val="000000"/>
                <w:sz w:val="18"/>
                <w:szCs w:val="18"/>
              </w:rPr>
              <w:t>Murray cod, golden perch and silver perch</w:t>
            </w:r>
            <w:r w:rsidRPr="00790A02">
              <w:rPr>
                <w:rFonts w:cs="Arial"/>
                <w:bCs/>
                <w:sz w:val="18"/>
                <w:szCs w:val="18"/>
              </w:rPr>
              <w:t>?</w:t>
            </w:r>
          </w:p>
          <w:p w14:paraId="3B4F8A72" w14:textId="77777777" w:rsidR="00BC1234" w:rsidRPr="00790A02" w:rsidRDefault="00BC1234" w:rsidP="0000180C">
            <w:pPr>
              <w:pStyle w:val="ListBullet"/>
              <w:spacing w:after="0"/>
              <w:contextualSpacing w:val="0"/>
              <w:jc w:val="left"/>
              <w:rPr>
                <w:rFonts w:asciiTheme="minorHAnsi" w:hAnsiTheme="minorHAnsi" w:cstheme="minorHAnsi"/>
                <w:i/>
                <w:sz w:val="18"/>
                <w:szCs w:val="18"/>
              </w:rPr>
            </w:pPr>
          </w:p>
        </w:tc>
        <w:tc>
          <w:tcPr>
            <w:tcW w:w="3561" w:type="dxa"/>
            <w:tcBorders>
              <w:top w:val="nil"/>
            </w:tcBorders>
            <w:tcMar>
              <w:left w:w="57" w:type="dxa"/>
              <w:right w:w="57" w:type="dxa"/>
            </w:tcMar>
          </w:tcPr>
          <w:p w14:paraId="3B4F8A73" w14:textId="49280326" w:rsidR="00BC1234" w:rsidRPr="008905BF" w:rsidRDefault="00BC1234" w:rsidP="0000180C">
            <w:pPr>
              <w:tabs>
                <w:tab w:val="left" w:pos="9071"/>
              </w:tabs>
              <w:spacing w:after="0" w:line="240" w:lineRule="auto"/>
              <w:ind w:right="-1"/>
              <w:jc w:val="left"/>
              <w:rPr>
                <w:rFonts w:asciiTheme="minorHAnsi" w:hAnsiTheme="minorHAnsi"/>
                <w:sz w:val="18"/>
                <w:szCs w:val="18"/>
              </w:rPr>
            </w:pPr>
            <w:r w:rsidRPr="008905BF">
              <w:rPr>
                <w:rFonts w:asciiTheme="minorHAnsi" w:hAnsiTheme="minorHAnsi"/>
                <w:sz w:val="18"/>
                <w:szCs w:val="18"/>
              </w:rPr>
              <w:t xml:space="preserve">No differences detected in growth of fish species monitored among zones receiving Commonwealth </w:t>
            </w:r>
            <w:r w:rsidR="002D1FE5">
              <w:rPr>
                <w:rFonts w:asciiTheme="minorHAnsi" w:hAnsiTheme="minorHAnsi"/>
                <w:sz w:val="18"/>
                <w:szCs w:val="18"/>
              </w:rPr>
              <w:t>e</w:t>
            </w:r>
            <w:r w:rsidRPr="008905BF">
              <w:rPr>
                <w:rFonts w:asciiTheme="minorHAnsi" w:hAnsiTheme="minorHAnsi"/>
                <w:sz w:val="18"/>
                <w:szCs w:val="18"/>
              </w:rPr>
              <w:t xml:space="preserve">nvironmental </w:t>
            </w:r>
            <w:r w:rsidR="002D1FE5">
              <w:rPr>
                <w:rFonts w:asciiTheme="minorHAnsi" w:hAnsiTheme="minorHAnsi"/>
                <w:sz w:val="18"/>
                <w:szCs w:val="18"/>
              </w:rPr>
              <w:t>w</w:t>
            </w:r>
            <w:r w:rsidRPr="008905BF">
              <w:rPr>
                <w:rFonts w:asciiTheme="minorHAnsi" w:hAnsiTheme="minorHAnsi"/>
                <w:sz w:val="18"/>
                <w:szCs w:val="18"/>
              </w:rPr>
              <w:t>ater in 2015-16.</w:t>
            </w:r>
          </w:p>
          <w:p w14:paraId="3B4F8A74" w14:textId="77777777" w:rsidR="00BC1234" w:rsidRPr="008905BF" w:rsidRDefault="00BC1234" w:rsidP="0000180C">
            <w:pPr>
              <w:tabs>
                <w:tab w:val="left" w:pos="9071"/>
              </w:tabs>
              <w:spacing w:after="0" w:line="240" w:lineRule="auto"/>
              <w:ind w:right="-1"/>
              <w:jc w:val="left"/>
              <w:rPr>
                <w:rFonts w:asciiTheme="minorHAnsi" w:hAnsiTheme="minorHAnsi"/>
                <w:sz w:val="18"/>
                <w:szCs w:val="18"/>
              </w:rPr>
            </w:pPr>
          </w:p>
          <w:p w14:paraId="3B4F8A75" w14:textId="77777777" w:rsidR="00BC1234" w:rsidRPr="008905BF" w:rsidRDefault="00BC1234" w:rsidP="0000180C">
            <w:pPr>
              <w:tabs>
                <w:tab w:val="left" w:pos="9071"/>
              </w:tabs>
              <w:spacing w:after="0" w:line="240" w:lineRule="auto"/>
              <w:ind w:right="-1"/>
              <w:jc w:val="left"/>
              <w:rPr>
                <w:rFonts w:asciiTheme="minorHAnsi" w:hAnsiTheme="minorHAnsi"/>
                <w:sz w:val="18"/>
                <w:szCs w:val="18"/>
              </w:rPr>
            </w:pPr>
          </w:p>
          <w:p w14:paraId="3B4F8A76" w14:textId="6380D653" w:rsidR="00BC1234" w:rsidRPr="008905BF" w:rsidRDefault="00BC1234" w:rsidP="0000180C">
            <w:pPr>
              <w:tabs>
                <w:tab w:val="left" w:pos="9071"/>
              </w:tabs>
              <w:spacing w:after="0" w:line="240" w:lineRule="auto"/>
              <w:ind w:right="-1"/>
              <w:jc w:val="left"/>
              <w:rPr>
                <w:rFonts w:asciiTheme="minorHAnsi" w:hAnsiTheme="minorHAnsi"/>
                <w:sz w:val="18"/>
                <w:szCs w:val="18"/>
              </w:rPr>
            </w:pPr>
            <w:r w:rsidRPr="008905BF">
              <w:rPr>
                <w:rFonts w:asciiTheme="minorHAnsi" w:hAnsiTheme="minorHAnsi"/>
                <w:sz w:val="18"/>
                <w:szCs w:val="18"/>
              </w:rPr>
              <w:t xml:space="preserve">No differences detected in recruitment of fish species monitored among zones receiving Commonwealth </w:t>
            </w:r>
            <w:r w:rsidR="002D1FE5">
              <w:rPr>
                <w:rFonts w:asciiTheme="minorHAnsi" w:hAnsiTheme="minorHAnsi"/>
                <w:sz w:val="18"/>
                <w:szCs w:val="18"/>
              </w:rPr>
              <w:t>e</w:t>
            </w:r>
            <w:r w:rsidRPr="008905BF">
              <w:rPr>
                <w:rFonts w:asciiTheme="minorHAnsi" w:hAnsiTheme="minorHAnsi"/>
                <w:sz w:val="18"/>
                <w:szCs w:val="18"/>
              </w:rPr>
              <w:t xml:space="preserve">nvironmental </w:t>
            </w:r>
            <w:r w:rsidR="002D1FE5">
              <w:rPr>
                <w:rFonts w:asciiTheme="minorHAnsi" w:hAnsiTheme="minorHAnsi"/>
                <w:sz w:val="18"/>
                <w:szCs w:val="18"/>
              </w:rPr>
              <w:t>w</w:t>
            </w:r>
            <w:r w:rsidRPr="008905BF">
              <w:rPr>
                <w:rFonts w:asciiTheme="minorHAnsi" w:hAnsiTheme="minorHAnsi"/>
                <w:sz w:val="18"/>
                <w:szCs w:val="18"/>
              </w:rPr>
              <w:t>ater in 2015-16. Silver perch recruitment significantly higher in 2015-16 compared to 2014-15.</w:t>
            </w:r>
          </w:p>
          <w:p w14:paraId="3B4F8A77" w14:textId="77777777" w:rsidR="00BC1234" w:rsidRPr="008905BF" w:rsidRDefault="00BC1234" w:rsidP="0000180C">
            <w:pPr>
              <w:tabs>
                <w:tab w:val="left" w:pos="9071"/>
              </w:tabs>
              <w:spacing w:after="0" w:line="240" w:lineRule="auto"/>
              <w:ind w:right="-1"/>
              <w:jc w:val="left"/>
              <w:rPr>
                <w:rFonts w:asciiTheme="minorHAnsi" w:hAnsiTheme="minorHAnsi"/>
                <w:sz w:val="18"/>
                <w:szCs w:val="18"/>
              </w:rPr>
            </w:pPr>
          </w:p>
          <w:p w14:paraId="3B4F8A78" w14:textId="77777777" w:rsidR="00BC1234" w:rsidRPr="008905BF" w:rsidRDefault="00BC1234" w:rsidP="0000180C">
            <w:pPr>
              <w:tabs>
                <w:tab w:val="left" w:pos="9071"/>
              </w:tabs>
              <w:spacing w:after="0" w:line="240" w:lineRule="auto"/>
              <w:ind w:right="-1"/>
              <w:jc w:val="left"/>
              <w:rPr>
                <w:rFonts w:asciiTheme="minorHAnsi" w:hAnsiTheme="minorHAnsi"/>
                <w:sz w:val="18"/>
                <w:szCs w:val="18"/>
              </w:rPr>
            </w:pPr>
          </w:p>
          <w:p w14:paraId="3B4F8A79" w14:textId="518AD9FA" w:rsidR="00BC1234" w:rsidRPr="008905BF" w:rsidRDefault="00BC1234" w:rsidP="0000180C">
            <w:pPr>
              <w:tabs>
                <w:tab w:val="left" w:pos="9071"/>
              </w:tabs>
              <w:spacing w:after="0" w:line="240" w:lineRule="auto"/>
              <w:ind w:right="-1"/>
              <w:jc w:val="left"/>
              <w:rPr>
                <w:rFonts w:asciiTheme="minorHAnsi" w:hAnsiTheme="minorHAnsi"/>
                <w:sz w:val="18"/>
                <w:szCs w:val="18"/>
              </w:rPr>
            </w:pPr>
            <w:r w:rsidRPr="008905BF">
              <w:rPr>
                <w:rFonts w:asciiTheme="minorHAnsi" w:hAnsiTheme="minorHAnsi"/>
                <w:sz w:val="18"/>
                <w:szCs w:val="18"/>
              </w:rPr>
              <w:t xml:space="preserve">No differences detected in growth of fish species monitored among zones receiving Commonwealth </w:t>
            </w:r>
            <w:r w:rsidR="002D1FE5">
              <w:rPr>
                <w:rFonts w:asciiTheme="minorHAnsi" w:hAnsiTheme="minorHAnsi"/>
                <w:sz w:val="18"/>
                <w:szCs w:val="18"/>
              </w:rPr>
              <w:t>e</w:t>
            </w:r>
            <w:r w:rsidRPr="008905BF">
              <w:rPr>
                <w:rFonts w:asciiTheme="minorHAnsi" w:hAnsiTheme="minorHAnsi"/>
                <w:sz w:val="18"/>
                <w:szCs w:val="18"/>
              </w:rPr>
              <w:t xml:space="preserve">nvironmental </w:t>
            </w:r>
            <w:r w:rsidR="009E3703">
              <w:rPr>
                <w:rFonts w:asciiTheme="minorHAnsi" w:hAnsiTheme="minorHAnsi"/>
                <w:sz w:val="18"/>
                <w:szCs w:val="18"/>
              </w:rPr>
              <w:t>w</w:t>
            </w:r>
            <w:r w:rsidRPr="008905BF">
              <w:rPr>
                <w:rFonts w:asciiTheme="minorHAnsi" w:hAnsiTheme="minorHAnsi"/>
                <w:sz w:val="18"/>
                <w:szCs w:val="18"/>
              </w:rPr>
              <w:t>ater in 2015-16.</w:t>
            </w:r>
          </w:p>
          <w:p w14:paraId="3B4F8A7A" w14:textId="77777777" w:rsidR="00BC1234" w:rsidRPr="008905BF" w:rsidRDefault="00BC1234" w:rsidP="0000180C">
            <w:pPr>
              <w:tabs>
                <w:tab w:val="left" w:pos="9071"/>
              </w:tabs>
              <w:spacing w:after="0" w:line="240" w:lineRule="auto"/>
              <w:ind w:right="-1"/>
              <w:jc w:val="left"/>
              <w:rPr>
                <w:rFonts w:asciiTheme="minorHAnsi" w:hAnsiTheme="minorHAnsi"/>
                <w:sz w:val="18"/>
                <w:szCs w:val="18"/>
              </w:rPr>
            </w:pPr>
          </w:p>
          <w:p w14:paraId="3B4F8A7B" w14:textId="77777777" w:rsidR="00BC1234" w:rsidRPr="008905BF" w:rsidRDefault="00BC1234" w:rsidP="0000180C">
            <w:pPr>
              <w:tabs>
                <w:tab w:val="left" w:pos="9071"/>
              </w:tabs>
              <w:spacing w:after="0" w:line="240" w:lineRule="auto"/>
              <w:ind w:right="-1"/>
              <w:jc w:val="left"/>
              <w:rPr>
                <w:rFonts w:asciiTheme="minorHAnsi" w:hAnsiTheme="minorHAnsi"/>
                <w:sz w:val="18"/>
                <w:szCs w:val="18"/>
              </w:rPr>
            </w:pPr>
          </w:p>
          <w:p w14:paraId="3B4F8A7C" w14:textId="19C9E14A" w:rsidR="00BC1234" w:rsidRPr="008905BF" w:rsidRDefault="00BC1234" w:rsidP="00F56294">
            <w:pPr>
              <w:tabs>
                <w:tab w:val="left" w:pos="9071"/>
              </w:tabs>
              <w:spacing w:after="0" w:line="240" w:lineRule="auto"/>
              <w:ind w:right="-1"/>
              <w:jc w:val="left"/>
              <w:rPr>
                <w:rFonts w:asciiTheme="minorHAnsi" w:hAnsiTheme="minorHAnsi"/>
                <w:b/>
                <w:sz w:val="18"/>
                <w:szCs w:val="18"/>
              </w:rPr>
            </w:pPr>
            <w:r w:rsidRPr="008905BF">
              <w:rPr>
                <w:rFonts w:asciiTheme="minorHAnsi" w:hAnsiTheme="minorHAnsi"/>
                <w:sz w:val="18"/>
                <w:szCs w:val="18"/>
              </w:rPr>
              <w:t xml:space="preserve">No differences detected in recruitment of </w:t>
            </w:r>
            <w:r w:rsidR="00F56294">
              <w:rPr>
                <w:rFonts w:asciiTheme="minorHAnsi" w:hAnsiTheme="minorHAnsi"/>
                <w:sz w:val="18"/>
                <w:szCs w:val="18"/>
              </w:rPr>
              <w:t>golden perch and Murray cod</w:t>
            </w:r>
            <w:r w:rsidRPr="008905BF">
              <w:rPr>
                <w:rFonts w:asciiTheme="minorHAnsi" w:hAnsiTheme="minorHAnsi"/>
                <w:sz w:val="18"/>
                <w:szCs w:val="18"/>
              </w:rPr>
              <w:t xml:space="preserve"> among zones receiving Commonwealth </w:t>
            </w:r>
            <w:r w:rsidR="002D1FE5">
              <w:rPr>
                <w:rFonts w:asciiTheme="minorHAnsi" w:hAnsiTheme="minorHAnsi"/>
                <w:sz w:val="18"/>
                <w:szCs w:val="18"/>
              </w:rPr>
              <w:t>e</w:t>
            </w:r>
            <w:r w:rsidRPr="008905BF">
              <w:rPr>
                <w:rFonts w:asciiTheme="minorHAnsi" w:hAnsiTheme="minorHAnsi"/>
                <w:sz w:val="18"/>
                <w:szCs w:val="18"/>
              </w:rPr>
              <w:t xml:space="preserve">nvironmental </w:t>
            </w:r>
            <w:r w:rsidR="002D1FE5">
              <w:rPr>
                <w:rFonts w:asciiTheme="minorHAnsi" w:hAnsiTheme="minorHAnsi"/>
                <w:sz w:val="18"/>
                <w:szCs w:val="18"/>
              </w:rPr>
              <w:t>w</w:t>
            </w:r>
            <w:r w:rsidRPr="008905BF">
              <w:rPr>
                <w:rFonts w:asciiTheme="minorHAnsi" w:hAnsiTheme="minorHAnsi"/>
                <w:sz w:val="18"/>
                <w:szCs w:val="18"/>
              </w:rPr>
              <w:t>ater in 2015-16. Silver perch recruitment significantly higher in 2015-16 compared to 2014-15.</w:t>
            </w:r>
          </w:p>
        </w:tc>
        <w:tc>
          <w:tcPr>
            <w:tcW w:w="1669" w:type="dxa"/>
            <w:tcBorders>
              <w:top w:val="nil"/>
            </w:tcBorders>
            <w:tcMar>
              <w:left w:w="57" w:type="dxa"/>
              <w:right w:w="57" w:type="dxa"/>
            </w:tcMar>
          </w:tcPr>
          <w:p w14:paraId="3B4F8A7D" w14:textId="77777777" w:rsidR="00BC1234" w:rsidRPr="00790A02" w:rsidRDefault="00BC1234" w:rsidP="0000180C">
            <w:pPr>
              <w:spacing w:after="0" w:line="240" w:lineRule="auto"/>
              <w:jc w:val="left"/>
              <w:rPr>
                <w:rFonts w:asciiTheme="minorHAnsi" w:hAnsiTheme="minorHAnsi"/>
                <w:bCs/>
                <w:sz w:val="18"/>
                <w:szCs w:val="18"/>
              </w:rPr>
            </w:pPr>
            <w:r w:rsidRPr="00790A02">
              <w:rPr>
                <w:rFonts w:asciiTheme="minorHAnsi" w:hAnsiTheme="minorHAnsi"/>
                <w:bCs/>
                <w:sz w:val="18"/>
                <w:szCs w:val="18"/>
              </w:rPr>
              <w:t>Mean total length (mm) of Young-of-Year and age-class 1+ fish determined from otoliths.</w:t>
            </w:r>
          </w:p>
          <w:p w14:paraId="3B4F8A7E" w14:textId="77777777" w:rsidR="00BC1234" w:rsidRPr="00790A02" w:rsidRDefault="00BC1234" w:rsidP="0000180C">
            <w:pPr>
              <w:spacing w:after="0" w:line="240" w:lineRule="auto"/>
              <w:jc w:val="left"/>
              <w:rPr>
                <w:rFonts w:asciiTheme="minorHAnsi" w:hAnsiTheme="minorHAnsi"/>
                <w:bCs/>
                <w:sz w:val="18"/>
                <w:szCs w:val="18"/>
              </w:rPr>
            </w:pPr>
          </w:p>
          <w:p w14:paraId="3B4F8A7F" w14:textId="77777777" w:rsidR="00BC1234" w:rsidRPr="00790A02" w:rsidRDefault="00BC1234" w:rsidP="0000180C">
            <w:pPr>
              <w:spacing w:after="0" w:line="240" w:lineRule="auto"/>
              <w:jc w:val="left"/>
              <w:rPr>
                <w:rFonts w:asciiTheme="minorHAnsi" w:hAnsiTheme="minorHAnsi"/>
                <w:bCs/>
                <w:sz w:val="18"/>
                <w:szCs w:val="18"/>
              </w:rPr>
            </w:pPr>
            <w:r w:rsidRPr="00790A02">
              <w:rPr>
                <w:rFonts w:asciiTheme="minorHAnsi" w:hAnsiTheme="minorHAnsi"/>
                <w:bCs/>
                <w:sz w:val="18"/>
                <w:szCs w:val="18"/>
              </w:rPr>
              <w:t>Relative abundance of Young-of-Year and age-class 1+ fish determined from otolith analyses.</w:t>
            </w:r>
          </w:p>
          <w:p w14:paraId="3B4F8A80" w14:textId="77777777" w:rsidR="00BC1234" w:rsidRPr="00790A02" w:rsidRDefault="00BC1234" w:rsidP="0000180C">
            <w:pPr>
              <w:spacing w:after="0" w:line="240" w:lineRule="auto"/>
              <w:jc w:val="left"/>
              <w:rPr>
                <w:rFonts w:asciiTheme="minorHAnsi" w:hAnsiTheme="minorHAnsi"/>
                <w:bCs/>
                <w:sz w:val="18"/>
                <w:szCs w:val="18"/>
              </w:rPr>
            </w:pPr>
          </w:p>
          <w:p w14:paraId="3B4F8A81" w14:textId="77777777" w:rsidR="00BC1234" w:rsidRPr="00790A02" w:rsidRDefault="00BC1234" w:rsidP="0000180C">
            <w:pPr>
              <w:spacing w:after="0" w:line="240" w:lineRule="auto"/>
              <w:jc w:val="left"/>
              <w:rPr>
                <w:rFonts w:asciiTheme="minorHAnsi" w:hAnsiTheme="minorHAnsi"/>
                <w:bCs/>
                <w:sz w:val="18"/>
                <w:szCs w:val="18"/>
              </w:rPr>
            </w:pPr>
          </w:p>
          <w:p w14:paraId="3B4F8A82" w14:textId="77777777" w:rsidR="00BC1234" w:rsidRPr="00790A02" w:rsidRDefault="00BC1234" w:rsidP="0000180C">
            <w:pPr>
              <w:spacing w:after="0" w:line="240" w:lineRule="auto"/>
              <w:jc w:val="left"/>
              <w:rPr>
                <w:rFonts w:asciiTheme="minorHAnsi" w:hAnsiTheme="minorHAnsi"/>
                <w:bCs/>
                <w:sz w:val="18"/>
                <w:szCs w:val="18"/>
              </w:rPr>
            </w:pPr>
            <w:r w:rsidRPr="00790A02">
              <w:rPr>
                <w:rFonts w:asciiTheme="minorHAnsi" w:hAnsiTheme="minorHAnsi"/>
                <w:bCs/>
                <w:sz w:val="18"/>
                <w:szCs w:val="18"/>
              </w:rPr>
              <w:t xml:space="preserve">Mean total length (mm) of Young-of-Year and age-class 1+ fish determined from otoliths. </w:t>
            </w:r>
          </w:p>
          <w:p w14:paraId="3B4F8A83" w14:textId="77777777" w:rsidR="00BC1234" w:rsidRPr="00790A02" w:rsidRDefault="00BC1234" w:rsidP="0000180C">
            <w:pPr>
              <w:spacing w:after="0" w:line="240" w:lineRule="auto"/>
              <w:jc w:val="left"/>
              <w:rPr>
                <w:rFonts w:asciiTheme="minorHAnsi" w:hAnsiTheme="minorHAnsi"/>
                <w:bCs/>
                <w:sz w:val="18"/>
                <w:szCs w:val="18"/>
              </w:rPr>
            </w:pPr>
          </w:p>
          <w:p w14:paraId="3B4F8A84" w14:textId="77777777" w:rsidR="00BC1234" w:rsidRPr="00790A02" w:rsidRDefault="00BC1234" w:rsidP="0000180C">
            <w:pPr>
              <w:spacing w:after="0" w:line="240" w:lineRule="auto"/>
              <w:jc w:val="left"/>
              <w:rPr>
                <w:rFonts w:asciiTheme="minorHAnsi" w:hAnsiTheme="minorHAnsi"/>
                <w:bCs/>
                <w:sz w:val="18"/>
                <w:szCs w:val="18"/>
              </w:rPr>
            </w:pPr>
            <w:r w:rsidRPr="00790A02">
              <w:rPr>
                <w:rFonts w:asciiTheme="minorHAnsi" w:hAnsiTheme="minorHAnsi"/>
                <w:bCs/>
                <w:sz w:val="18"/>
                <w:szCs w:val="18"/>
              </w:rPr>
              <w:t>Relative abundance of Young-of-Year and age-class 1+ fish determined from otolith analyses.</w:t>
            </w:r>
          </w:p>
          <w:p w14:paraId="3B4F8A85" w14:textId="77777777" w:rsidR="00BC1234" w:rsidRPr="00790A02" w:rsidRDefault="00BC1234" w:rsidP="0000180C">
            <w:pPr>
              <w:spacing w:after="0" w:line="240" w:lineRule="auto"/>
              <w:jc w:val="left"/>
              <w:rPr>
                <w:rFonts w:asciiTheme="minorHAnsi" w:hAnsiTheme="minorHAnsi"/>
                <w:bCs/>
                <w:sz w:val="18"/>
                <w:szCs w:val="18"/>
              </w:rPr>
            </w:pPr>
          </w:p>
        </w:tc>
        <w:tc>
          <w:tcPr>
            <w:tcW w:w="2141" w:type="dxa"/>
            <w:tcBorders>
              <w:left w:val="single" w:sz="4" w:space="0" w:color="000000"/>
            </w:tcBorders>
          </w:tcPr>
          <w:p w14:paraId="3B4F8A86" w14:textId="2AE3B3B5" w:rsidR="00BC1234" w:rsidRDefault="00BC1234" w:rsidP="0000180C">
            <w:pPr>
              <w:tabs>
                <w:tab w:val="left" w:pos="9071"/>
              </w:tabs>
              <w:spacing w:after="0" w:line="240" w:lineRule="auto"/>
              <w:ind w:right="-1"/>
              <w:jc w:val="left"/>
              <w:rPr>
                <w:rFonts w:asciiTheme="minorHAnsi" w:hAnsiTheme="minorHAnsi"/>
                <w:sz w:val="18"/>
                <w:szCs w:val="18"/>
              </w:rPr>
            </w:pPr>
            <w:r w:rsidRPr="008905BF">
              <w:rPr>
                <w:rFonts w:asciiTheme="minorHAnsi" w:hAnsiTheme="minorHAnsi"/>
                <w:sz w:val="18"/>
                <w:szCs w:val="18"/>
              </w:rPr>
              <w:t xml:space="preserve">No. </w:t>
            </w:r>
            <w:r w:rsidR="00BD0413">
              <w:rPr>
                <w:rFonts w:asciiTheme="minorHAnsi" w:hAnsiTheme="minorHAnsi"/>
                <w:sz w:val="18"/>
                <w:szCs w:val="18"/>
              </w:rPr>
              <w:t>H</w:t>
            </w:r>
            <w:r w:rsidRPr="008905BF">
              <w:rPr>
                <w:rFonts w:asciiTheme="minorHAnsi" w:hAnsiTheme="minorHAnsi"/>
                <w:sz w:val="18"/>
                <w:szCs w:val="18"/>
              </w:rPr>
              <w:t xml:space="preserve">igher magnitude flows </w:t>
            </w:r>
            <w:r w:rsidR="009878E0">
              <w:rPr>
                <w:rFonts w:asciiTheme="minorHAnsi" w:hAnsiTheme="minorHAnsi"/>
                <w:sz w:val="18"/>
                <w:szCs w:val="18"/>
              </w:rPr>
              <w:t xml:space="preserve">in the Wakool River zone 2 </w:t>
            </w:r>
            <w:r w:rsidRPr="008905BF">
              <w:rPr>
                <w:rFonts w:asciiTheme="minorHAnsi" w:hAnsiTheme="minorHAnsi"/>
                <w:sz w:val="18"/>
                <w:szCs w:val="18"/>
              </w:rPr>
              <w:t xml:space="preserve">during spring </w:t>
            </w:r>
            <w:r w:rsidR="00BD0413">
              <w:rPr>
                <w:rFonts w:asciiTheme="minorHAnsi" w:hAnsiTheme="minorHAnsi"/>
                <w:sz w:val="18"/>
                <w:szCs w:val="18"/>
              </w:rPr>
              <w:t>which inundate backwater areas</w:t>
            </w:r>
            <w:r w:rsidRPr="008905BF">
              <w:rPr>
                <w:rFonts w:asciiTheme="minorHAnsi" w:hAnsiTheme="minorHAnsi"/>
                <w:sz w:val="18"/>
                <w:szCs w:val="18"/>
              </w:rPr>
              <w:t xml:space="preserve"> may be expected to contribute to recruitment. </w:t>
            </w:r>
          </w:p>
          <w:p w14:paraId="08C72983" w14:textId="77777777" w:rsidR="00BD0413" w:rsidRDefault="00BD0413" w:rsidP="0000180C">
            <w:pPr>
              <w:tabs>
                <w:tab w:val="left" w:pos="9071"/>
              </w:tabs>
              <w:spacing w:after="0" w:line="240" w:lineRule="auto"/>
              <w:ind w:right="-1"/>
              <w:jc w:val="left"/>
              <w:rPr>
                <w:rFonts w:asciiTheme="minorHAnsi" w:hAnsiTheme="minorHAnsi"/>
                <w:sz w:val="18"/>
                <w:szCs w:val="18"/>
              </w:rPr>
            </w:pPr>
          </w:p>
          <w:p w14:paraId="5B903C63" w14:textId="77777777" w:rsidR="00BD0413" w:rsidRDefault="00BD0413" w:rsidP="0000180C">
            <w:pPr>
              <w:tabs>
                <w:tab w:val="left" w:pos="9071"/>
              </w:tabs>
              <w:spacing w:after="0" w:line="240" w:lineRule="auto"/>
              <w:ind w:right="-1"/>
              <w:jc w:val="left"/>
              <w:rPr>
                <w:rFonts w:asciiTheme="minorHAnsi" w:hAnsiTheme="minorHAnsi"/>
                <w:sz w:val="18"/>
                <w:szCs w:val="18"/>
              </w:rPr>
            </w:pPr>
          </w:p>
          <w:p w14:paraId="47698BD7" w14:textId="77777777" w:rsidR="00BD0413" w:rsidRDefault="00BD0413" w:rsidP="0000180C">
            <w:pPr>
              <w:tabs>
                <w:tab w:val="left" w:pos="9071"/>
              </w:tabs>
              <w:spacing w:after="0" w:line="240" w:lineRule="auto"/>
              <w:ind w:right="-1"/>
              <w:jc w:val="left"/>
              <w:rPr>
                <w:rFonts w:asciiTheme="minorHAnsi" w:hAnsiTheme="minorHAnsi"/>
                <w:sz w:val="18"/>
                <w:szCs w:val="18"/>
              </w:rPr>
            </w:pPr>
          </w:p>
          <w:p w14:paraId="372683D5" w14:textId="77777777" w:rsidR="00BD0413" w:rsidRDefault="00BD0413" w:rsidP="0000180C">
            <w:pPr>
              <w:tabs>
                <w:tab w:val="left" w:pos="9071"/>
              </w:tabs>
              <w:spacing w:after="0" w:line="240" w:lineRule="auto"/>
              <w:ind w:right="-1"/>
              <w:jc w:val="left"/>
              <w:rPr>
                <w:rFonts w:asciiTheme="minorHAnsi" w:hAnsiTheme="minorHAnsi"/>
                <w:sz w:val="18"/>
                <w:szCs w:val="18"/>
              </w:rPr>
            </w:pPr>
          </w:p>
          <w:p w14:paraId="5B9C5C37" w14:textId="77777777" w:rsidR="00BD0413" w:rsidRDefault="00BD0413" w:rsidP="0000180C">
            <w:pPr>
              <w:tabs>
                <w:tab w:val="left" w:pos="9071"/>
              </w:tabs>
              <w:spacing w:after="0" w:line="240" w:lineRule="auto"/>
              <w:ind w:right="-1"/>
              <w:jc w:val="left"/>
              <w:rPr>
                <w:rFonts w:asciiTheme="minorHAnsi" w:hAnsiTheme="minorHAnsi"/>
                <w:sz w:val="18"/>
                <w:szCs w:val="18"/>
              </w:rPr>
            </w:pPr>
          </w:p>
          <w:p w14:paraId="188AA205" w14:textId="77777777" w:rsidR="00BD0413" w:rsidRDefault="00BD0413" w:rsidP="0000180C">
            <w:pPr>
              <w:tabs>
                <w:tab w:val="left" w:pos="9071"/>
              </w:tabs>
              <w:spacing w:after="0" w:line="240" w:lineRule="auto"/>
              <w:ind w:right="-1"/>
              <w:jc w:val="left"/>
              <w:rPr>
                <w:rFonts w:asciiTheme="minorHAnsi" w:hAnsiTheme="minorHAnsi"/>
                <w:sz w:val="18"/>
                <w:szCs w:val="18"/>
              </w:rPr>
            </w:pPr>
          </w:p>
          <w:p w14:paraId="3716206B" w14:textId="5D12AB07" w:rsidR="00BD0413" w:rsidRPr="008905BF" w:rsidRDefault="004D4CC0" w:rsidP="00BD0413">
            <w:pPr>
              <w:tabs>
                <w:tab w:val="left" w:pos="9071"/>
              </w:tabs>
              <w:spacing w:after="0" w:line="240" w:lineRule="auto"/>
              <w:ind w:right="-1"/>
              <w:jc w:val="left"/>
              <w:rPr>
                <w:rFonts w:asciiTheme="minorHAnsi" w:hAnsiTheme="minorHAnsi"/>
                <w:sz w:val="18"/>
                <w:szCs w:val="18"/>
              </w:rPr>
            </w:pPr>
            <w:r>
              <w:rPr>
                <w:rFonts w:asciiTheme="minorHAnsi" w:hAnsiTheme="minorHAnsi"/>
                <w:sz w:val="18"/>
                <w:szCs w:val="18"/>
              </w:rPr>
              <w:t>Mixed responses. N</w:t>
            </w:r>
            <w:r w:rsidR="009878E0">
              <w:rPr>
                <w:rFonts w:asciiTheme="minorHAnsi" w:hAnsiTheme="minorHAnsi"/>
                <w:sz w:val="18"/>
                <w:szCs w:val="18"/>
              </w:rPr>
              <w:t>o difference in fish growth among zones. Higher numbers of silver perch recruits in zones 3 and 4</w:t>
            </w:r>
            <w:r w:rsidR="00BD0413" w:rsidRPr="008905BF">
              <w:rPr>
                <w:rFonts w:asciiTheme="minorHAnsi" w:hAnsiTheme="minorHAnsi"/>
                <w:sz w:val="18"/>
                <w:szCs w:val="18"/>
              </w:rPr>
              <w:t xml:space="preserve">. </w:t>
            </w:r>
            <w:r>
              <w:rPr>
                <w:rFonts w:asciiTheme="minorHAnsi" w:hAnsiTheme="minorHAnsi"/>
                <w:sz w:val="18"/>
                <w:szCs w:val="18"/>
              </w:rPr>
              <w:t>Larger</w:t>
            </w:r>
            <w:r w:rsidR="00BD0413" w:rsidRPr="008905BF">
              <w:rPr>
                <w:rFonts w:asciiTheme="minorHAnsi" w:hAnsiTheme="minorHAnsi"/>
                <w:sz w:val="18"/>
                <w:szCs w:val="18"/>
              </w:rPr>
              <w:t xml:space="preserve"> magnitude flows during spring </w:t>
            </w:r>
            <w:r w:rsidR="00BD0413">
              <w:rPr>
                <w:rFonts w:asciiTheme="minorHAnsi" w:hAnsiTheme="minorHAnsi"/>
                <w:sz w:val="18"/>
                <w:szCs w:val="18"/>
              </w:rPr>
              <w:t>which inundate backwater areas</w:t>
            </w:r>
            <w:r w:rsidR="00BD0413" w:rsidRPr="008905BF">
              <w:rPr>
                <w:rFonts w:asciiTheme="minorHAnsi" w:hAnsiTheme="minorHAnsi"/>
                <w:sz w:val="18"/>
                <w:szCs w:val="18"/>
              </w:rPr>
              <w:t xml:space="preserve"> may contribute to </w:t>
            </w:r>
            <w:r>
              <w:rPr>
                <w:rFonts w:asciiTheme="minorHAnsi" w:hAnsiTheme="minorHAnsi"/>
                <w:sz w:val="18"/>
                <w:szCs w:val="18"/>
              </w:rPr>
              <w:t xml:space="preserve">increased </w:t>
            </w:r>
            <w:r w:rsidR="00BD0413" w:rsidRPr="008905BF">
              <w:rPr>
                <w:rFonts w:asciiTheme="minorHAnsi" w:hAnsiTheme="minorHAnsi"/>
                <w:sz w:val="18"/>
                <w:szCs w:val="18"/>
              </w:rPr>
              <w:t xml:space="preserve">recruitment. </w:t>
            </w:r>
          </w:p>
          <w:p w14:paraId="6A6EC8B1" w14:textId="77777777" w:rsidR="00BD0413" w:rsidRPr="008905BF" w:rsidRDefault="00BD0413" w:rsidP="0000180C">
            <w:pPr>
              <w:tabs>
                <w:tab w:val="left" w:pos="9071"/>
              </w:tabs>
              <w:spacing w:after="0" w:line="240" w:lineRule="auto"/>
              <w:ind w:right="-1"/>
              <w:jc w:val="left"/>
              <w:rPr>
                <w:rFonts w:asciiTheme="minorHAnsi" w:hAnsiTheme="minorHAnsi"/>
                <w:sz w:val="18"/>
                <w:szCs w:val="18"/>
              </w:rPr>
            </w:pPr>
          </w:p>
          <w:p w14:paraId="3B4F8A8B" w14:textId="77777777" w:rsidR="00BC1234" w:rsidRPr="00790A02" w:rsidRDefault="00BC1234" w:rsidP="00BD0413">
            <w:pPr>
              <w:tabs>
                <w:tab w:val="left" w:pos="9071"/>
              </w:tabs>
              <w:spacing w:after="0" w:line="240" w:lineRule="auto"/>
              <w:ind w:right="-1"/>
              <w:jc w:val="left"/>
              <w:rPr>
                <w:rFonts w:asciiTheme="minorHAnsi" w:hAnsiTheme="minorHAnsi"/>
                <w:color w:val="4F6228" w:themeColor="accent3" w:themeShade="80"/>
                <w:sz w:val="18"/>
                <w:szCs w:val="18"/>
              </w:rPr>
            </w:pPr>
          </w:p>
        </w:tc>
      </w:tr>
    </w:tbl>
    <w:p w14:paraId="3B4F8A8D" w14:textId="77777777" w:rsidR="002631FA" w:rsidRDefault="002631FA" w:rsidP="002631FA">
      <w:pPr>
        <w:tabs>
          <w:tab w:val="left" w:pos="9071"/>
        </w:tabs>
        <w:spacing w:after="240"/>
        <w:ind w:right="-1"/>
        <w:jc w:val="left"/>
        <w:rPr>
          <w:b/>
          <w:color w:val="4F6228" w:themeColor="accent3" w:themeShade="80"/>
          <w:sz w:val="24"/>
          <w:szCs w:val="24"/>
        </w:rPr>
        <w:sectPr w:rsidR="002631FA" w:rsidSect="008905BF">
          <w:pgSz w:w="16838" w:h="11906" w:orient="landscape"/>
          <w:pgMar w:top="1701" w:right="1440" w:bottom="1701" w:left="1440" w:header="709" w:footer="709" w:gutter="0"/>
          <w:cols w:space="708"/>
          <w:docGrid w:linePitch="360"/>
        </w:sectPr>
      </w:pPr>
    </w:p>
    <w:p w14:paraId="3B4F8A8E" w14:textId="77777777" w:rsidR="002631FA" w:rsidRDefault="00743D43" w:rsidP="00417F7C">
      <w:pPr>
        <w:pStyle w:val="Heading1"/>
      </w:pPr>
      <w:bookmarkStart w:id="32" w:name="_Toc484078413"/>
      <w:r>
        <w:lastRenderedPageBreak/>
        <w:t>Summary of f</w:t>
      </w:r>
      <w:r w:rsidR="002631FA">
        <w:t xml:space="preserve">ish community responses to </w:t>
      </w:r>
      <w:r>
        <w:t>C</w:t>
      </w:r>
      <w:r w:rsidR="002631FA" w:rsidRPr="00981345">
        <w:t xml:space="preserve">ommonwealth environmental </w:t>
      </w:r>
      <w:r w:rsidR="002631FA">
        <w:t>watering</w:t>
      </w:r>
      <w:bookmarkEnd w:id="32"/>
    </w:p>
    <w:p w14:paraId="3B4F8A8F" w14:textId="77777777" w:rsidR="0062265B" w:rsidRPr="0062265B" w:rsidRDefault="0062265B" w:rsidP="006032E0">
      <w:pPr>
        <w:spacing w:after="120" w:line="320" w:lineRule="exact"/>
        <w:rPr>
          <w:lang w:val="en-US" w:eastAsia="en-AU"/>
        </w:rPr>
      </w:pPr>
    </w:p>
    <w:p w14:paraId="3B4F8A90" w14:textId="77777777" w:rsidR="002631FA" w:rsidRPr="00F13819" w:rsidRDefault="00D40541" w:rsidP="00887F53">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11</w:t>
      </w:r>
      <w:r w:rsidR="002631FA">
        <w:rPr>
          <w:b/>
          <w:color w:val="4F6228" w:themeColor="accent3" w:themeShade="80"/>
          <w:sz w:val="24"/>
          <w:szCs w:val="24"/>
        </w:rPr>
        <w:t xml:space="preserve">.1 </w:t>
      </w:r>
      <w:r w:rsidR="001012C1">
        <w:rPr>
          <w:b/>
          <w:color w:val="4F6228" w:themeColor="accent3" w:themeShade="80"/>
          <w:sz w:val="24"/>
          <w:szCs w:val="24"/>
        </w:rPr>
        <w:t>Monitoring</w:t>
      </w:r>
    </w:p>
    <w:p w14:paraId="3B4F8A91" w14:textId="59C2D19C" w:rsidR="005944CC" w:rsidRPr="00887F53" w:rsidRDefault="005944CC" w:rsidP="002B3297">
      <w:pPr>
        <w:spacing w:after="240" w:line="320" w:lineRule="exact"/>
        <w:jc w:val="left"/>
      </w:pPr>
      <w:r w:rsidRPr="00887F53">
        <w:t>Cat</w:t>
      </w:r>
      <w:r w:rsidR="0062265B">
        <w:t>egory</w:t>
      </w:r>
      <w:r w:rsidRPr="00887F53">
        <w:t xml:space="preserve"> 1</w:t>
      </w:r>
      <w:r w:rsidR="00276AEB">
        <w:t xml:space="preserve"> (Basin scale evaluation project)</w:t>
      </w:r>
      <w:r w:rsidRPr="00887F53">
        <w:t xml:space="preserve"> </w:t>
      </w:r>
      <w:r w:rsidR="00D87060">
        <w:t xml:space="preserve">fish (river) monitoring </w:t>
      </w:r>
      <w:r w:rsidR="00CC02D0">
        <w:t xml:space="preserve">was undertaken </w:t>
      </w:r>
      <w:r w:rsidR="00D87060">
        <w:t>in the mid-Wakool River zone 3 in 20</w:t>
      </w:r>
      <w:r w:rsidR="0062265B">
        <w:t xml:space="preserve">15-16 in </w:t>
      </w:r>
      <w:r w:rsidRPr="00887F53">
        <w:t>following methods outlined in Hale et al</w:t>
      </w:r>
      <w:r w:rsidR="004762DE">
        <w:t>.</w:t>
      </w:r>
      <w:r w:rsidR="00D87060">
        <w:t xml:space="preserve"> (2014).</w:t>
      </w:r>
      <w:r w:rsidRPr="00887F53">
        <w:t xml:space="preserve"> </w:t>
      </w:r>
      <w:r w:rsidR="00D87060">
        <w:t>T</w:t>
      </w:r>
      <w:r w:rsidRPr="00887F53">
        <w:t>he Cat</w:t>
      </w:r>
      <w:r w:rsidR="00D87060">
        <w:t>egory</w:t>
      </w:r>
      <w:r w:rsidRPr="00887F53">
        <w:t xml:space="preserve"> 3</w:t>
      </w:r>
      <w:r w:rsidR="00276AEB">
        <w:t xml:space="preserve"> (Edward Wakool Selected Area evaluation project)</w:t>
      </w:r>
      <w:r w:rsidRPr="00887F53">
        <w:t xml:space="preserve"> </w:t>
      </w:r>
      <w:r w:rsidR="00D87060">
        <w:t>monitoring</w:t>
      </w:r>
      <w:r w:rsidR="00CC02D0">
        <w:t xml:space="preserve"> of 15 additional</w:t>
      </w:r>
      <w:r w:rsidRPr="00887F53">
        <w:t xml:space="preserve"> sites </w:t>
      </w:r>
      <w:r w:rsidR="00D87060">
        <w:t>throughout</w:t>
      </w:r>
      <w:r w:rsidRPr="00887F53">
        <w:t xml:space="preserve"> the </w:t>
      </w:r>
      <w:r w:rsidR="00D87060">
        <w:t>Edward-Wakool Selected Area</w:t>
      </w:r>
      <w:r w:rsidRPr="00887F53">
        <w:t xml:space="preserve"> </w:t>
      </w:r>
      <w:r w:rsidR="00CC02D0">
        <w:t xml:space="preserve">was </w:t>
      </w:r>
      <w:r w:rsidRPr="00887F53">
        <w:t xml:space="preserve">undertaken in year 1 </w:t>
      </w:r>
      <w:r w:rsidR="00CC02D0">
        <w:t>(2014-15)(Watts et al</w:t>
      </w:r>
      <w:r w:rsidR="004762DE">
        <w:t>.</w:t>
      </w:r>
      <w:r w:rsidR="00CC02D0">
        <w:t xml:space="preserve"> 2015b) </w:t>
      </w:r>
      <w:r w:rsidRPr="00887F53">
        <w:t xml:space="preserve">and </w:t>
      </w:r>
      <w:r w:rsidR="00CC02D0">
        <w:t xml:space="preserve">is scheduled to be undertaken again in year </w:t>
      </w:r>
      <w:r w:rsidRPr="00887F53">
        <w:t xml:space="preserve">5 </w:t>
      </w:r>
      <w:r w:rsidR="00CC02D0">
        <w:t xml:space="preserve">(2018-19) </w:t>
      </w:r>
      <w:r w:rsidRPr="00887F53">
        <w:t xml:space="preserve">of the </w:t>
      </w:r>
      <w:r w:rsidR="00D87060">
        <w:t>LTIM P</w:t>
      </w:r>
      <w:r w:rsidRPr="00887F53">
        <w:t>roject</w:t>
      </w:r>
      <w:r w:rsidR="00D87060">
        <w:t xml:space="preserve">, and thus was not </w:t>
      </w:r>
      <w:r w:rsidR="00D87060" w:rsidRPr="00887F53">
        <w:t>undertaken in 2015-16</w:t>
      </w:r>
      <w:r w:rsidR="00D87060">
        <w:t>.</w:t>
      </w:r>
    </w:p>
    <w:p w14:paraId="3B4F8A92" w14:textId="77777777" w:rsidR="002631FA" w:rsidRPr="00F13819" w:rsidRDefault="00D40541" w:rsidP="00887F53">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11</w:t>
      </w:r>
      <w:r w:rsidR="002631FA">
        <w:rPr>
          <w:b/>
          <w:color w:val="4F6228" w:themeColor="accent3" w:themeShade="80"/>
          <w:sz w:val="24"/>
          <w:szCs w:val="24"/>
        </w:rPr>
        <w:t>.2 Main findings</w:t>
      </w:r>
    </w:p>
    <w:p w14:paraId="21F020EB" w14:textId="50592E21" w:rsidR="00276AEB" w:rsidRDefault="0062265B" w:rsidP="006032E0">
      <w:pPr>
        <w:spacing w:after="240" w:line="320" w:lineRule="exact"/>
        <w:jc w:val="left"/>
        <w:rPr>
          <w:rFonts w:asciiTheme="minorHAnsi" w:hAnsiTheme="minorHAnsi"/>
          <w:szCs w:val="22"/>
        </w:rPr>
      </w:pPr>
      <w:r w:rsidRPr="003B0E23">
        <w:rPr>
          <w:rFonts w:asciiTheme="minorHAnsi" w:hAnsiTheme="minorHAnsi"/>
          <w:szCs w:val="22"/>
        </w:rPr>
        <w:t>Category 1 fish community sampling identified the same nine native fish species and three alien specie</w:t>
      </w:r>
      <w:r>
        <w:rPr>
          <w:rFonts w:asciiTheme="minorHAnsi" w:hAnsiTheme="minorHAnsi"/>
          <w:szCs w:val="22"/>
        </w:rPr>
        <w:t xml:space="preserve">s in zone 3 during 2016 </w:t>
      </w:r>
      <w:r w:rsidR="00D87060">
        <w:rPr>
          <w:rFonts w:asciiTheme="minorHAnsi" w:hAnsiTheme="minorHAnsi"/>
          <w:szCs w:val="22"/>
        </w:rPr>
        <w:t>that were r</w:t>
      </w:r>
      <w:r w:rsidR="00D40541">
        <w:rPr>
          <w:rFonts w:asciiTheme="minorHAnsi" w:hAnsiTheme="minorHAnsi"/>
          <w:szCs w:val="22"/>
        </w:rPr>
        <w:t>ecorded in 2015 (Table 11</w:t>
      </w:r>
      <w:r w:rsidR="00D87060">
        <w:rPr>
          <w:rFonts w:asciiTheme="minorHAnsi" w:hAnsiTheme="minorHAnsi"/>
          <w:szCs w:val="22"/>
        </w:rPr>
        <w:t xml:space="preserve">.1). </w:t>
      </w:r>
      <w:r w:rsidRPr="00873434">
        <w:rPr>
          <w:rFonts w:asciiTheme="minorHAnsi" w:hAnsiTheme="minorHAnsi"/>
          <w:szCs w:val="22"/>
        </w:rPr>
        <w:t xml:space="preserve">There were no significant differences in the abundance </w:t>
      </w:r>
      <w:r>
        <w:rPr>
          <w:rFonts w:asciiTheme="minorHAnsi" w:hAnsiTheme="minorHAnsi"/>
          <w:szCs w:val="22"/>
        </w:rPr>
        <w:t xml:space="preserve">of the fish assemblage between 2015 and 2016 in zone 3 </w:t>
      </w:r>
      <w:r w:rsidRPr="00873434">
        <w:rPr>
          <w:rFonts w:asciiTheme="minorHAnsi" w:hAnsiTheme="minorHAnsi"/>
          <w:szCs w:val="22"/>
        </w:rPr>
        <w:t>(Pseudo-F</w:t>
      </w:r>
      <w:r w:rsidRPr="00873434">
        <w:rPr>
          <w:rFonts w:asciiTheme="minorHAnsi" w:hAnsiTheme="minorHAnsi"/>
          <w:szCs w:val="22"/>
          <w:vertAlign w:val="subscript"/>
        </w:rPr>
        <w:t>1,18</w:t>
      </w:r>
      <w:r w:rsidRPr="00873434">
        <w:rPr>
          <w:rFonts w:asciiTheme="minorHAnsi" w:hAnsiTheme="minorHAnsi"/>
          <w:szCs w:val="22"/>
        </w:rPr>
        <w:t xml:space="preserve"> = </w:t>
      </w:r>
      <w:r>
        <w:rPr>
          <w:rFonts w:asciiTheme="minorHAnsi" w:hAnsiTheme="minorHAnsi"/>
          <w:szCs w:val="22"/>
        </w:rPr>
        <w:t>2</w:t>
      </w:r>
      <w:r w:rsidRPr="00873434">
        <w:rPr>
          <w:rFonts w:asciiTheme="minorHAnsi" w:hAnsiTheme="minorHAnsi"/>
          <w:szCs w:val="22"/>
        </w:rPr>
        <w:t>.</w:t>
      </w:r>
      <w:r>
        <w:rPr>
          <w:rFonts w:asciiTheme="minorHAnsi" w:hAnsiTheme="minorHAnsi"/>
          <w:szCs w:val="22"/>
        </w:rPr>
        <w:t>131</w:t>
      </w:r>
      <w:r w:rsidRPr="00873434">
        <w:rPr>
          <w:rFonts w:asciiTheme="minorHAnsi" w:hAnsiTheme="minorHAnsi"/>
          <w:szCs w:val="22"/>
        </w:rPr>
        <w:t xml:space="preserve">, </w:t>
      </w:r>
      <w:r>
        <w:rPr>
          <w:rFonts w:asciiTheme="minorHAnsi" w:hAnsiTheme="minorHAnsi"/>
          <w:szCs w:val="22"/>
        </w:rPr>
        <w:t>p=</w:t>
      </w:r>
      <w:r w:rsidRPr="00873434">
        <w:rPr>
          <w:rFonts w:asciiTheme="minorHAnsi" w:hAnsiTheme="minorHAnsi"/>
          <w:szCs w:val="22"/>
        </w:rPr>
        <w:t>0.</w:t>
      </w:r>
      <w:r>
        <w:rPr>
          <w:rFonts w:asciiTheme="minorHAnsi" w:hAnsiTheme="minorHAnsi"/>
          <w:szCs w:val="22"/>
        </w:rPr>
        <w:t>065</w:t>
      </w:r>
      <w:r w:rsidRPr="00873434">
        <w:rPr>
          <w:rFonts w:asciiTheme="minorHAnsi" w:hAnsiTheme="minorHAnsi"/>
          <w:szCs w:val="22"/>
        </w:rPr>
        <w:t>)</w:t>
      </w:r>
      <w:r>
        <w:rPr>
          <w:rFonts w:asciiTheme="minorHAnsi" w:hAnsiTheme="minorHAnsi"/>
          <w:szCs w:val="22"/>
        </w:rPr>
        <w:t xml:space="preserve">. Length-frequency distributions </w:t>
      </w:r>
      <w:r w:rsidR="00D40541">
        <w:rPr>
          <w:rFonts w:asciiTheme="minorHAnsi" w:hAnsiTheme="minorHAnsi"/>
          <w:szCs w:val="22"/>
        </w:rPr>
        <w:t>(Figure 11</w:t>
      </w:r>
      <w:r w:rsidR="00945A47">
        <w:rPr>
          <w:rFonts w:asciiTheme="minorHAnsi" w:hAnsiTheme="minorHAnsi"/>
          <w:szCs w:val="22"/>
        </w:rPr>
        <w:t>.1</w:t>
      </w:r>
      <w:r w:rsidR="00D87060">
        <w:rPr>
          <w:rFonts w:asciiTheme="minorHAnsi" w:hAnsiTheme="minorHAnsi"/>
          <w:szCs w:val="22"/>
        </w:rPr>
        <w:t xml:space="preserve">) </w:t>
      </w:r>
      <w:r>
        <w:rPr>
          <w:rFonts w:asciiTheme="minorHAnsi" w:hAnsiTheme="minorHAnsi"/>
          <w:szCs w:val="22"/>
        </w:rPr>
        <w:t xml:space="preserve">indicate that golden perch (p=0.033) and bony herring (p&lt;0.001) were significantly larger in 2016. There was a significant difference in the size of common carp between years (p=0.048) due to a greater proportion of individuals </w:t>
      </w:r>
      <w:r w:rsidR="00D87060">
        <w:rPr>
          <w:rFonts w:asciiTheme="minorHAnsi" w:hAnsiTheme="minorHAnsi"/>
          <w:szCs w:val="22"/>
        </w:rPr>
        <w:t>with a length &lt;200 mm in 2016. There was no difference</w:t>
      </w:r>
      <w:r>
        <w:rPr>
          <w:rFonts w:asciiTheme="minorHAnsi" w:hAnsiTheme="minorHAnsi"/>
          <w:szCs w:val="22"/>
        </w:rPr>
        <w:t xml:space="preserve"> in the size distribution of Murray cod </w:t>
      </w:r>
      <w:r w:rsidR="00D87060">
        <w:rPr>
          <w:rFonts w:asciiTheme="minorHAnsi" w:hAnsiTheme="minorHAnsi"/>
          <w:szCs w:val="22"/>
        </w:rPr>
        <w:t xml:space="preserve">between 2014-15 and 2015-16 </w:t>
      </w:r>
      <w:r>
        <w:rPr>
          <w:rFonts w:asciiTheme="minorHAnsi" w:hAnsiTheme="minorHAnsi"/>
          <w:szCs w:val="22"/>
        </w:rPr>
        <w:t>(p=0.375).</w:t>
      </w:r>
    </w:p>
    <w:p w14:paraId="3179C751" w14:textId="1A5824F9" w:rsidR="00276AEB" w:rsidRPr="003B0E23" w:rsidRDefault="00F618DA" w:rsidP="0062265B">
      <w:pPr>
        <w:spacing w:after="0" w:line="324" w:lineRule="exact"/>
        <w:jc w:val="left"/>
        <w:rPr>
          <w:rFonts w:asciiTheme="minorHAnsi" w:hAnsiTheme="minorHAnsi"/>
          <w:szCs w:val="22"/>
        </w:rPr>
      </w:pPr>
      <w:r>
        <w:rPr>
          <w:rFonts w:asciiTheme="minorHAnsi" w:hAnsiTheme="minorHAnsi"/>
          <w:szCs w:val="22"/>
        </w:rPr>
        <w:t xml:space="preserve">The fish surveys were undertaken </w:t>
      </w:r>
      <w:r w:rsidR="006032E0">
        <w:rPr>
          <w:rFonts w:asciiTheme="minorHAnsi" w:hAnsiTheme="minorHAnsi"/>
          <w:szCs w:val="22"/>
        </w:rPr>
        <w:t>after the cyanobacterial algal bloom that occurred between March and May 2016 (see section 5). As t</w:t>
      </w:r>
      <w:r w:rsidR="006032E0" w:rsidRPr="00873434">
        <w:rPr>
          <w:rFonts w:asciiTheme="minorHAnsi" w:hAnsiTheme="minorHAnsi"/>
          <w:szCs w:val="22"/>
        </w:rPr>
        <w:t xml:space="preserve">here were no significant differences in the abundance </w:t>
      </w:r>
      <w:r w:rsidR="006032E0">
        <w:rPr>
          <w:rFonts w:asciiTheme="minorHAnsi" w:hAnsiTheme="minorHAnsi"/>
          <w:szCs w:val="22"/>
        </w:rPr>
        <w:t>of the fish assemblage between 2015 and 2016 in zone 3 and there were no reports to NSW DPI Fisheries of stressed or dying fish during the algal bloom this suggests that the bloom has no detecteable effect on the fish community.</w:t>
      </w:r>
    </w:p>
    <w:p w14:paraId="3B4F8A94" w14:textId="77777777" w:rsidR="0062265B" w:rsidRDefault="0062265B" w:rsidP="0062265B">
      <w:pPr>
        <w:spacing w:after="0" w:line="240" w:lineRule="auto"/>
        <w:rPr>
          <w:rFonts w:ascii="Times New Roman" w:hAnsi="Times New Roman"/>
          <w:sz w:val="24"/>
          <w:szCs w:val="24"/>
        </w:rPr>
      </w:pPr>
    </w:p>
    <w:p w14:paraId="3B4F8A95" w14:textId="77777777" w:rsidR="0062265B" w:rsidRPr="003B0E23" w:rsidRDefault="0062265B" w:rsidP="0062265B">
      <w:pPr>
        <w:spacing w:after="0" w:line="240" w:lineRule="auto"/>
        <w:rPr>
          <w:rFonts w:asciiTheme="minorHAnsi" w:hAnsiTheme="minorHAnsi"/>
          <w:sz w:val="20"/>
        </w:rPr>
      </w:pPr>
      <w:r w:rsidRPr="003B0E23">
        <w:rPr>
          <w:rFonts w:asciiTheme="minorHAnsi" w:hAnsiTheme="minorHAnsi"/>
          <w:b/>
          <w:sz w:val="20"/>
        </w:rPr>
        <w:t xml:space="preserve">Table </w:t>
      </w:r>
      <w:r w:rsidR="00D40541">
        <w:rPr>
          <w:rFonts w:asciiTheme="minorHAnsi" w:hAnsiTheme="minorHAnsi"/>
          <w:b/>
          <w:sz w:val="20"/>
        </w:rPr>
        <w:t>11</w:t>
      </w:r>
      <w:r>
        <w:rPr>
          <w:rFonts w:asciiTheme="minorHAnsi" w:hAnsiTheme="minorHAnsi"/>
          <w:b/>
          <w:sz w:val="20"/>
        </w:rPr>
        <w:t>.1</w:t>
      </w:r>
      <w:r w:rsidRPr="003B0E23">
        <w:rPr>
          <w:rFonts w:asciiTheme="minorHAnsi" w:hAnsiTheme="minorHAnsi"/>
          <w:sz w:val="20"/>
        </w:rPr>
        <w:t xml:space="preserve"> Summary of fish captured during Category 1 sampling in 2015 and 2016 </w:t>
      </w:r>
      <w:r w:rsidR="003C6775">
        <w:rPr>
          <w:rFonts w:asciiTheme="minorHAnsi" w:hAnsiTheme="minorHAnsi"/>
          <w:sz w:val="20"/>
        </w:rPr>
        <w:t xml:space="preserve">from sites in zone 3 </w:t>
      </w:r>
      <w:r w:rsidRPr="003B0E23">
        <w:rPr>
          <w:rFonts w:asciiTheme="minorHAnsi" w:hAnsiTheme="minorHAnsi"/>
          <w:sz w:val="20"/>
        </w:rPr>
        <w:t xml:space="preserve">in the Edward-Wakool </w:t>
      </w:r>
      <w:r w:rsidR="003C6775">
        <w:rPr>
          <w:rFonts w:asciiTheme="minorHAnsi" w:hAnsiTheme="minorHAnsi"/>
          <w:sz w:val="20"/>
        </w:rPr>
        <w:t>system</w:t>
      </w:r>
      <w:r w:rsidRPr="003B0E23">
        <w:rPr>
          <w:rFonts w:asciiTheme="minorHAnsi" w:hAnsiTheme="minorHAnsi"/>
          <w:sz w:val="20"/>
        </w:rPr>
        <w:t>. BE = boat electrofishing, SFN = small fyke net and BT = bait trap.</w:t>
      </w:r>
    </w:p>
    <w:tbl>
      <w:tblPr>
        <w:tblStyle w:val="TableGrid"/>
        <w:tblW w:w="8364" w:type="dxa"/>
        <w:tblLayout w:type="fixed"/>
        <w:tblLook w:val="04A0" w:firstRow="1" w:lastRow="0" w:firstColumn="1" w:lastColumn="0" w:noHBand="0" w:noVBand="1"/>
      </w:tblPr>
      <w:tblGrid>
        <w:gridCol w:w="2552"/>
        <w:gridCol w:w="709"/>
        <w:gridCol w:w="708"/>
        <w:gridCol w:w="567"/>
        <w:gridCol w:w="709"/>
        <w:gridCol w:w="289"/>
        <w:gridCol w:w="662"/>
        <w:gridCol w:w="622"/>
        <w:gridCol w:w="651"/>
        <w:gridCol w:w="895"/>
      </w:tblGrid>
      <w:tr w:rsidR="003C6775" w:rsidRPr="003B0E23" w14:paraId="3B4F8A9A" w14:textId="77777777" w:rsidTr="003C6775">
        <w:tc>
          <w:tcPr>
            <w:tcW w:w="2552" w:type="dxa"/>
            <w:vMerge w:val="restart"/>
            <w:tcBorders>
              <w:top w:val="single" w:sz="4" w:space="0" w:color="auto"/>
              <w:left w:val="nil"/>
              <w:bottom w:val="nil"/>
              <w:right w:val="nil"/>
            </w:tcBorders>
            <w:shd w:val="clear" w:color="auto" w:fill="D6E3BC" w:themeFill="accent3" w:themeFillTint="66"/>
          </w:tcPr>
          <w:p w14:paraId="3B4F8A96" w14:textId="77777777" w:rsidR="003C6775" w:rsidRPr="003B0E23" w:rsidRDefault="003C6775" w:rsidP="009C1A36">
            <w:pPr>
              <w:spacing w:after="0" w:line="240" w:lineRule="auto"/>
              <w:rPr>
                <w:rFonts w:asciiTheme="minorHAnsi" w:hAnsiTheme="minorHAnsi"/>
                <w:b/>
                <w:sz w:val="20"/>
              </w:rPr>
            </w:pPr>
            <w:r w:rsidRPr="003B0E23">
              <w:rPr>
                <w:rFonts w:asciiTheme="minorHAnsi" w:hAnsiTheme="minorHAnsi"/>
                <w:b/>
                <w:sz w:val="20"/>
              </w:rPr>
              <w:t>Fish species</w:t>
            </w:r>
          </w:p>
        </w:tc>
        <w:tc>
          <w:tcPr>
            <w:tcW w:w="2693" w:type="dxa"/>
            <w:gridSpan w:val="4"/>
            <w:tcBorders>
              <w:top w:val="single" w:sz="4" w:space="0" w:color="auto"/>
              <w:left w:val="nil"/>
              <w:bottom w:val="single" w:sz="4" w:space="0" w:color="auto"/>
              <w:right w:val="nil"/>
            </w:tcBorders>
            <w:shd w:val="clear" w:color="auto" w:fill="D6E3BC" w:themeFill="accent3" w:themeFillTint="66"/>
          </w:tcPr>
          <w:p w14:paraId="3B4F8A97" w14:textId="77777777" w:rsidR="003C6775" w:rsidRPr="003B0E23" w:rsidRDefault="003C6775" w:rsidP="009C1A36">
            <w:pPr>
              <w:spacing w:after="0" w:line="240" w:lineRule="auto"/>
              <w:jc w:val="center"/>
              <w:rPr>
                <w:rFonts w:asciiTheme="minorHAnsi" w:hAnsiTheme="minorHAnsi"/>
                <w:b/>
                <w:sz w:val="20"/>
              </w:rPr>
            </w:pPr>
            <w:r w:rsidRPr="003B0E23">
              <w:rPr>
                <w:rFonts w:asciiTheme="minorHAnsi" w:hAnsiTheme="minorHAnsi"/>
                <w:b/>
                <w:sz w:val="20"/>
              </w:rPr>
              <w:t>2015</w:t>
            </w:r>
          </w:p>
        </w:tc>
        <w:tc>
          <w:tcPr>
            <w:tcW w:w="289" w:type="dxa"/>
            <w:tcBorders>
              <w:top w:val="single" w:sz="4" w:space="0" w:color="auto"/>
              <w:left w:val="nil"/>
              <w:bottom w:val="nil"/>
              <w:right w:val="nil"/>
            </w:tcBorders>
            <w:shd w:val="clear" w:color="auto" w:fill="D6E3BC" w:themeFill="accent3" w:themeFillTint="66"/>
          </w:tcPr>
          <w:p w14:paraId="3B4F8A98" w14:textId="77777777" w:rsidR="003C6775" w:rsidRPr="003B0E23" w:rsidRDefault="003C6775" w:rsidP="009C1A36">
            <w:pPr>
              <w:spacing w:after="0" w:line="240" w:lineRule="auto"/>
              <w:jc w:val="center"/>
              <w:rPr>
                <w:rFonts w:asciiTheme="minorHAnsi" w:hAnsiTheme="minorHAnsi"/>
                <w:b/>
                <w:sz w:val="20"/>
              </w:rPr>
            </w:pPr>
          </w:p>
        </w:tc>
        <w:tc>
          <w:tcPr>
            <w:tcW w:w="2830" w:type="dxa"/>
            <w:gridSpan w:val="4"/>
            <w:tcBorders>
              <w:top w:val="single" w:sz="4" w:space="0" w:color="auto"/>
              <w:left w:val="nil"/>
              <w:bottom w:val="single" w:sz="4" w:space="0" w:color="auto"/>
              <w:right w:val="nil"/>
            </w:tcBorders>
            <w:shd w:val="clear" w:color="auto" w:fill="D6E3BC" w:themeFill="accent3" w:themeFillTint="66"/>
          </w:tcPr>
          <w:p w14:paraId="3B4F8A99" w14:textId="77777777" w:rsidR="003C6775" w:rsidRPr="003B0E23" w:rsidRDefault="003C6775" w:rsidP="009C1A36">
            <w:pPr>
              <w:spacing w:after="0" w:line="240" w:lineRule="auto"/>
              <w:jc w:val="center"/>
              <w:rPr>
                <w:rFonts w:asciiTheme="minorHAnsi" w:hAnsiTheme="minorHAnsi"/>
                <w:b/>
                <w:sz w:val="20"/>
              </w:rPr>
            </w:pPr>
            <w:r w:rsidRPr="003B0E23">
              <w:rPr>
                <w:rFonts w:asciiTheme="minorHAnsi" w:hAnsiTheme="minorHAnsi"/>
                <w:b/>
                <w:sz w:val="20"/>
              </w:rPr>
              <w:t>2016</w:t>
            </w:r>
          </w:p>
        </w:tc>
      </w:tr>
      <w:tr w:rsidR="003C6775" w:rsidRPr="003B0E23" w14:paraId="3B4F8AA5" w14:textId="77777777" w:rsidTr="003C6775">
        <w:tc>
          <w:tcPr>
            <w:tcW w:w="2552" w:type="dxa"/>
            <w:vMerge/>
            <w:tcBorders>
              <w:top w:val="nil"/>
              <w:left w:val="nil"/>
              <w:bottom w:val="nil"/>
              <w:right w:val="nil"/>
            </w:tcBorders>
            <w:shd w:val="clear" w:color="auto" w:fill="D6E3BC" w:themeFill="accent3" w:themeFillTint="66"/>
          </w:tcPr>
          <w:p w14:paraId="3B4F8A9B" w14:textId="77777777" w:rsidR="003C6775" w:rsidRPr="003B0E23" w:rsidRDefault="003C6775" w:rsidP="009C1A36">
            <w:pPr>
              <w:spacing w:after="0" w:line="240" w:lineRule="auto"/>
              <w:rPr>
                <w:rFonts w:asciiTheme="minorHAnsi" w:hAnsiTheme="minorHAnsi"/>
                <w:sz w:val="20"/>
              </w:rPr>
            </w:pPr>
          </w:p>
        </w:tc>
        <w:tc>
          <w:tcPr>
            <w:tcW w:w="709" w:type="dxa"/>
            <w:tcBorders>
              <w:top w:val="single" w:sz="4" w:space="0" w:color="auto"/>
              <w:left w:val="nil"/>
              <w:bottom w:val="single" w:sz="4" w:space="0" w:color="auto"/>
              <w:right w:val="nil"/>
            </w:tcBorders>
            <w:shd w:val="clear" w:color="auto" w:fill="D6E3BC" w:themeFill="accent3" w:themeFillTint="66"/>
          </w:tcPr>
          <w:p w14:paraId="3B4F8A9C" w14:textId="77777777" w:rsidR="003C6775" w:rsidRPr="003B0E23" w:rsidRDefault="003C6775" w:rsidP="009C1A36">
            <w:pPr>
              <w:spacing w:after="0" w:line="240" w:lineRule="auto"/>
              <w:jc w:val="center"/>
              <w:rPr>
                <w:rFonts w:asciiTheme="minorHAnsi" w:hAnsiTheme="minorHAnsi"/>
                <w:sz w:val="20"/>
              </w:rPr>
            </w:pPr>
            <w:r w:rsidRPr="003B0E23">
              <w:rPr>
                <w:rFonts w:asciiTheme="minorHAnsi" w:hAnsiTheme="minorHAnsi"/>
                <w:sz w:val="20"/>
              </w:rPr>
              <w:t>BE</w:t>
            </w:r>
          </w:p>
        </w:tc>
        <w:tc>
          <w:tcPr>
            <w:tcW w:w="708" w:type="dxa"/>
            <w:tcBorders>
              <w:top w:val="single" w:sz="4" w:space="0" w:color="auto"/>
              <w:left w:val="nil"/>
              <w:bottom w:val="single" w:sz="4" w:space="0" w:color="auto"/>
              <w:right w:val="nil"/>
            </w:tcBorders>
            <w:shd w:val="clear" w:color="auto" w:fill="D6E3BC" w:themeFill="accent3" w:themeFillTint="66"/>
          </w:tcPr>
          <w:p w14:paraId="3B4F8A9D" w14:textId="77777777" w:rsidR="003C6775" w:rsidRPr="003B0E23" w:rsidRDefault="003C6775" w:rsidP="003C6775">
            <w:pPr>
              <w:spacing w:after="0" w:line="240" w:lineRule="auto"/>
              <w:jc w:val="right"/>
              <w:rPr>
                <w:rFonts w:asciiTheme="minorHAnsi" w:hAnsiTheme="minorHAnsi"/>
                <w:sz w:val="20"/>
              </w:rPr>
            </w:pPr>
            <w:r w:rsidRPr="003B0E23">
              <w:rPr>
                <w:rFonts w:asciiTheme="minorHAnsi" w:hAnsiTheme="minorHAnsi"/>
                <w:sz w:val="20"/>
              </w:rPr>
              <w:t>SFN</w:t>
            </w:r>
          </w:p>
        </w:tc>
        <w:tc>
          <w:tcPr>
            <w:tcW w:w="567" w:type="dxa"/>
            <w:tcBorders>
              <w:top w:val="single" w:sz="4" w:space="0" w:color="auto"/>
              <w:left w:val="nil"/>
              <w:bottom w:val="single" w:sz="4" w:space="0" w:color="auto"/>
              <w:right w:val="nil"/>
            </w:tcBorders>
            <w:shd w:val="clear" w:color="auto" w:fill="D6E3BC" w:themeFill="accent3" w:themeFillTint="66"/>
          </w:tcPr>
          <w:p w14:paraId="3B4F8A9E" w14:textId="77777777" w:rsidR="003C6775" w:rsidRPr="003B0E23" w:rsidRDefault="003C6775" w:rsidP="003C6775">
            <w:pPr>
              <w:spacing w:after="0" w:line="240" w:lineRule="auto"/>
              <w:jc w:val="right"/>
              <w:rPr>
                <w:rFonts w:asciiTheme="minorHAnsi" w:hAnsiTheme="minorHAnsi"/>
                <w:sz w:val="20"/>
              </w:rPr>
            </w:pPr>
            <w:r w:rsidRPr="003B0E23">
              <w:rPr>
                <w:rFonts w:asciiTheme="minorHAnsi" w:hAnsiTheme="minorHAnsi"/>
                <w:sz w:val="20"/>
              </w:rPr>
              <w:t>BT</w:t>
            </w:r>
          </w:p>
        </w:tc>
        <w:tc>
          <w:tcPr>
            <w:tcW w:w="709" w:type="dxa"/>
            <w:tcBorders>
              <w:top w:val="single" w:sz="4" w:space="0" w:color="auto"/>
              <w:left w:val="nil"/>
              <w:bottom w:val="single" w:sz="4" w:space="0" w:color="auto"/>
              <w:right w:val="nil"/>
            </w:tcBorders>
            <w:shd w:val="clear" w:color="auto" w:fill="D6E3BC" w:themeFill="accent3" w:themeFillTint="66"/>
          </w:tcPr>
          <w:p w14:paraId="3B4F8A9F" w14:textId="77777777" w:rsidR="003C6775" w:rsidRPr="003B0E23" w:rsidRDefault="003C6775" w:rsidP="003C6775">
            <w:pPr>
              <w:spacing w:after="0" w:line="240" w:lineRule="auto"/>
              <w:jc w:val="right"/>
              <w:rPr>
                <w:rFonts w:asciiTheme="minorHAnsi" w:hAnsiTheme="minorHAnsi"/>
                <w:b/>
                <w:sz w:val="20"/>
              </w:rPr>
            </w:pPr>
            <w:r w:rsidRPr="003B0E23">
              <w:rPr>
                <w:rFonts w:asciiTheme="minorHAnsi" w:hAnsiTheme="minorHAnsi"/>
                <w:b/>
                <w:sz w:val="20"/>
              </w:rPr>
              <w:t>Total</w:t>
            </w:r>
          </w:p>
        </w:tc>
        <w:tc>
          <w:tcPr>
            <w:tcW w:w="289" w:type="dxa"/>
            <w:tcBorders>
              <w:top w:val="nil"/>
              <w:left w:val="nil"/>
              <w:bottom w:val="single" w:sz="4" w:space="0" w:color="auto"/>
              <w:right w:val="nil"/>
            </w:tcBorders>
            <w:shd w:val="clear" w:color="auto" w:fill="D6E3BC" w:themeFill="accent3" w:themeFillTint="66"/>
          </w:tcPr>
          <w:p w14:paraId="3B4F8AA0" w14:textId="77777777" w:rsidR="003C6775" w:rsidRPr="003B0E23" w:rsidRDefault="003C6775" w:rsidP="003C6775">
            <w:pPr>
              <w:spacing w:after="0" w:line="240" w:lineRule="auto"/>
              <w:jc w:val="right"/>
              <w:rPr>
                <w:rFonts w:asciiTheme="minorHAnsi" w:hAnsiTheme="minorHAnsi"/>
                <w:sz w:val="20"/>
              </w:rPr>
            </w:pPr>
          </w:p>
        </w:tc>
        <w:tc>
          <w:tcPr>
            <w:tcW w:w="662" w:type="dxa"/>
            <w:tcBorders>
              <w:top w:val="single" w:sz="4" w:space="0" w:color="auto"/>
              <w:left w:val="nil"/>
              <w:bottom w:val="single" w:sz="4" w:space="0" w:color="auto"/>
              <w:right w:val="nil"/>
            </w:tcBorders>
            <w:shd w:val="clear" w:color="auto" w:fill="D6E3BC" w:themeFill="accent3" w:themeFillTint="66"/>
          </w:tcPr>
          <w:p w14:paraId="3B4F8AA1" w14:textId="77777777" w:rsidR="003C6775" w:rsidRPr="003B0E23" w:rsidRDefault="003C6775" w:rsidP="003C6775">
            <w:pPr>
              <w:spacing w:after="0" w:line="240" w:lineRule="auto"/>
              <w:jc w:val="right"/>
              <w:rPr>
                <w:rFonts w:asciiTheme="minorHAnsi" w:hAnsiTheme="minorHAnsi"/>
                <w:sz w:val="20"/>
              </w:rPr>
            </w:pPr>
            <w:r w:rsidRPr="003B0E23">
              <w:rPr>
                <w:rFonts w:asciiTheme="minorHAnsi" w:hAnsiTheme="minorHAnsi"/>
                <w:sz w:val="20"/>
              </w:rPr>
              <w:t>BE</w:t>
            </w:r>
          </w:p>
        </w:tc>
        <w:tc>
          <w:tcPr>
            <w:tcW w:w="622" w:type="dxa"/>
            <w:tcBorders>
              <w:top w:val="single" w:sz="4" w:space="0" w:color="auto"/>
              <w:left w:val="nil"/>
              <w:bottom w:val="single" w:sz="4" w:space="0" w:color="auto"/>
              <w:right w:val="nil"/>
            </w:tcBorders>
            <w:shd w:val="clear" w:color="auto" w:fill="D6E3BC" w:themeFill="accent3" w:themeFillTint="66"/>
          </w:tcPr>
          <w:p w14:paraId="3B4F8AA2" w14:textId="77777777" w:rsidR="003C6775" w:rsidRPr="003B0E23" w:rsidRDefault="003C6775" w:rsidP="003C6775">
            <w:pPr>
              <w:spacing w:after="0" w:line="240" w:lineRule="auto"/>
              <w:jc w:val="right"/>
              <w:rPr>
                <w:rFonts w:asciiTheme="minorHAnsi" w:hAnsiTheme="minorHAnsi"/>
                <w:sz w:val="20"/>
              </w:rPr>
            </w:pPr>
            <w:r w:rsidRPr="003B0E23">
              <w:rPr>
                <w:rFonts w:asciiTheme="minorHAnsi" w:hAnsiTheme="minorHAnsi"/>
                <w:sz w:val="20"/>
              </w:rPr>
              <w:t>SFN</w:t>
            </w:r>
          </w:p>
        </w:tc>
        <w:tc>
          <w:tcPr>
            <w:tcW w:w="651" w:type="dxa"/>
            <w:tcBorders>
              <w:top w:val="single" w:sz="4" w:space="0" w:color="auto"/>
              <w:left w:val="nil"/>
              <w:bottom w:val="single" w:sz="4" w:space="0" w:color="auto"/>
              <w:right w:val="nil"/>
            </w:tcBorders>
            <w:shd w:val="clear" w:color="auto" w:fill="D6E3BC" w:themeFill="accent3" w:themeFillTint="66"/>
          </w:tcPr>
          <w:p w14:paraId="3B4F8AA3" w14:textId="77777777" w:rsidR="003C6775" w:rsidRPr="003B0E23" w:rsidRDefault="003C6775" w:rsidP="003C6775">
            <w:pPr>
              <w:spacing w:after="0" w:line="240" w:lineRule="auto"/>
              <w:jc w:val="right"/>
              <w:rPr>
                <w:rFonts w:asciiTheme="minorHAnsi" w:hAnsiTheme="minorHAnsi"/>
                <w:sz w:val="20"/>
              </w:rPr>
            </w:pPr>
            <w:r w:rsidRPr="003B0E23">
              <w:rPr>
                <w:rFonts w:asciiTheme="minorHAnsi" w:hAnsiTheme="minorHAnsi"/>
                <w:sz w:val="20"/>
              </w:rPr>
              <w:t>BT</w:t>
            </w:r>
          </w:p>
        </w:tc>
        <w:tc>
          <w:tcPr>
            <w:tcW w:w="895" w:type="dxa"/>
            <w:tcBorders>
              <w:top w:val="single" w:sz="4" w:space="0" w:color="auto"/>
              <w:left w:val="nil"/>
              <w:bottom w:val="single" w:sz="4" w:space="0" w:color="auto"/>
              <w:right w:val="nil"/>
            </w:tcBorders>
            <w:shd w:val="clear" w:color="auto" w:fill="D6E3BC" w:themeFill="accent3" w:themeFillTint="66"/>
          </w:tcPr>
          <w:p w14:paraId="3B4F8AA4" w14:textId="77777777" w:rsidR="003C6775" w:rsidRPr="003B0E23" w:rsidRDefault="003C6775" w:rsidP="009C1A36">
            <w:pPr>
              <w:spacing w:after="0" w:line="240" w:lineRule="auto"/>
              <w:jc w:val="center"/>
              <w:rPr>
                <w:rFonts w:asciiTheme="minorHAnsi" w:hAnsiTheme="minorHAnsi"/>
                <w:b/>
                <w:sz w:val="20"/>
              </w:rPr>
            </w:pPr>
            <w:r w:rsidRPr="003B0E23">
              <w:rPr>
                <w:rFonts w:asciiTheme="minorHAnsi" w:hAnsiTheme="minorHAnsi"/>
                <w:b/>
                <w:sz w:val="20"/>
              </w:rPr>
              <w:t>Total</w:t>
            </w:r>
          </w:p>
        </w:tc>
      </w:tr>
      <w:tr w:rsidR="003C6775" w:rsidRPr="003B0E23" w14:paraId="3B4F8AA7" w14:textId="77777777" w:rsidTr="003C6775">
        <w:tc>
          <w:tcPr>
            <w:tcW w:w="8364" w:type="dxa"/>
            <w:gridSpan w:val="10"/>
            <w:tcBorders>
              <w:top w:val="nil"/>
              <w:left w:val="nil"/>
              <w:bottom w:val="nil"/>
              <w:right w:val="nil"/>
            </w:tcBorders>
          </w:tcPr>
          <w:p w14:paraId="3B4F8AA6" w14:textId="77777777" w:rsidR="003C6775" w:rsidRPr="003B0E23" w:rsidRDefault="003C6775" w:rsidP="003C6775">
            <w:pPr>
              <w:spacing w:after="0" w:line="240" w:lineRule="auto"/>
              <w:rPr>
                <w:rFonts w:asciiTheme="minorHAnsi" w:hAnsiTheme="minorHAnsi"/>
                <w:sz w:val="20"/>
              </w:rPr>
            </w:pPr>
            <w:r w:rsidRPr="003B0E23">
              <w:rPr>
                <w:rFonts w:asciiTheme="minorHAnsi" w:hAnsiTheme="minorHAnsi"/>
                <w:i/>
                <w:sz w:val="20"/>
              </w:rPr>
              <w:t>native species</w:t>
            </w:r>
          </w:p>
        </w:tc>
      </w:tr>
      <w:tr w:rsidR="003C6775" w:rsidRPr="003B0E23" w14:paraId="3B4F8AB2" w14:textId="77777777" w:rsidTr="003C6775">
        <w:tc>
          <w:tcPr>
            <w:tcW w:w="2552" w:type="dxa"/>
            <w:tcBorders>
              <w:top w:val="nil"/>
              <w:left w:val="nil"/>
              <w:bottom w:val="nil"/>
              <w:right w:val="nil"/>
            </w:tcBorders>
          </w:tcPr>
          <w:p w14:paraId="3B4F8AA8"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Australian smelt</w:t>
            </w:r>
          </w:p>
        </w:tc>
        <w:tc>
          <w:tcPr>
            <w:tcW w:w="709" w:type="dxa"/>
            <w:tcBorders>
              <w:top w:val="nil"/>
              <w:left w:val="nil"/>
              <w:bottom w:val="nil"/>
              <w:right w:val="nil"/>
            </w:tcBorders>
          </w:tcPr>
          <w:p w14:paraId="3B4F8AA9"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129</w:t>
            </w:r>
          </w:p>
        </w:tc>
        <w:tc>
          <w:tcPr>
            <w:tcW w:w="708" w:type="dxa"/>
            <w:tcBorders>
              <w:top w:val="nil"/>
              <w:left w:val="nil"/>
              <w:bottom w:val="nil"/>
              <w:right w:val="nil"/>
            </w:tcBorders>
          </w:tcPr>
          <w:p w14:paraId="3B4F8AAA"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2</w:t>
            </w:r>
          </w:p>
        </w:tc>
        <w:tc>
          <w:tcPr>
            <w:tcW w:w="567" w:type="dxa"/>
            <w:tcBorders>
              <w:top w:val="nil"/>
              <w:left w:val="nil"/>
              <w:bottom w:val="nil"/>
              <w:right w:val="nil"/>
            </w:tcBorders>
          </w:tcPr>
          <w:p w14:paraId="3B4F8AAB"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AAC"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131</w:t>
            </w:r>
          </w:p>
        </w:tc>
        <w:tc>
          <w:tcPr>
            <w:tcW w:w="289" w:type="dxa"/>
            <w:tcBorders>
              <w:top w:val="nil"/>
              <w:left w:val="nil"/>
              <w:bottom w:val="nil"/>
              <w:right w:val="nil"/>
            </w:tcBorders>
          </w:tcPr>
          <w:p w14:paraId="3B4F8AAD"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AE"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52</w:t>
            </w:r>
          </w:p>
        </w:tc>
        <w:tc>
          <w:tcPr>
            <w:tcW w:w="622" w:type="dxa"/>
            <w:tcBorders>
              <w:top w:val="nil"/>
              <w:left w:val="nil"/>
              <w:bottom w:val="nil"/>
              <w:right w:val="nil"/>
            </w:tcBorders>
          </w:tcPr>
          <w:p w14:paraId="3B4F8AAF"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w:t>
            </w:r>
          </w:p>
        </w:tc>
        <w:tc>
          <w:tcPr>
            <w:tcW w:w="651" w:type="dxa"/>
            <w:tcBorders>
              <w:top w:val="nil"/>
              <w:left w:val="nil"/>
              <w:bottom w:val="nil"/>
              <w:right w:val="nil"/>
            </w:tcBorders>
          </w:tcPr>
          <w:p w14:paraId="3B4F8AB0"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AB1"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53</w:t>
            </w:r>
          </w:p>
        </w:tc>
      </w:tr>
      <w:tr w:rsidR="003C6775" w:rsidRPr="003B0E23" w14:paraId="3B4F8ABD" w14:textId="77777777" w:rsidTr="003C6775">
        <w:tc>
          <w:tcPr>
            <w:tcW w:w="2552" w:type="dxa"/>
            <w:tcBorders>
              <w:top w:val="nil"/>
              <w:left w:val="nil"/>
              <w:bottom w:val="nil"/>
              <w:right w:val="nil"/>
            </w:tcBorders>
          </w:tcPr>
          <w:p w14:paraId="3B4F8AB3"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bony herring</w:t>
            </w:r>
          </w:p>
        </w:tc>
        <w:tc>
          <w:tcPr>
            <w:tcW w:w="709" w:type="dxa"/>
            <w:tcBorders>
              <w:top w:val="nil"/>
              <w:left w:val="nil"/>
              <w:bottom w:val="nil"/>
              <w:right w:val="nil"/>
            </w:tcBorders>
          </w:tcPr>
          <w:p w14:paraId="3B4F8AB4"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31</w:t>
            </w:r>
          </w:p>
        </w:tc>
        <w:tc>
          <w:tcPr>
            <w:tcW w:w="708" w:type="dxa"/>
            <w:tcBorders>
              <w:top w:val="nil"/>
              <w:left w:val="nil"/>
              <w:bottom w:val="nil"/>
              <w:right w:val="nil"/>
            </w:tcBorders>
          </w:tcPr>
          <w:p w14:paraId="3B4F8AB5"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nil"/>
              <w:right w:val="nil"/>
            </w:tcBorders>
          </w:tcPr>
          <w:p w14:paraId="3B4F8AB6"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AB7"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31</w:t>
            </w:r>
          </w:p>
        </w:tc>
        <w:tc>
          <w:tcPr>
            <w:tcW w:w="289" w:type="dxa"/>
            <w:tcBorders>
              <w:top w:val="nil"/>
              <w:left w:val="nil"/>
              <w:bottom w:val="nil"/>
              <w:right w:val="nil"/>
            </w:tcBorders>
          </w:tcPr>
          <w:p w14:paraId="3B4F8AB8"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B9"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27</w:t>
            </w:r>
          </w:p>
        </w:tc>
        <w:tc>
          <w:tcPr>
            <w:tcW w:w="622" w:type="dxa"/>
            <w:tcBorders>
              <w:top w:val="nil"/>
              <w:left w:val="nil"/>
              <w:bottom w:val="nil"/>
              <w:right w:val="nil"/>
            </w:tcBorders>
          </w:tcPr>
          <w:p w14:paraId="3B4F8ABA"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51" w:type="dxa"/>
            <w:tcBorders>
              <w:top w:val="nil"/>
              <w:left w:val="nil"/>
              <w:bottom w:val="nil"/>
              <w:right w:val="nil"/>
            </w:tcBorders>
          </w:tcPr>
          <w:p w14:paraId="3B4F8ABB"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ABC"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27</w:t>
            </w:r>
          </w:p>
        </w:tc>
      </w:tr>
      <w:tr w:rsidR="003C6775" w:rsidRPr="003B0E23" w14:paraId="3B4F8AC8" w14:textId="77777777" w:rsidTr="003C6775">
        <w:tc>
          <w:tcPr>
            <w:tcW w:w="2552" w:type="dxa"/>
            <w:tcBorders>
              <w:top w:val="nil"/>
              <w:left w:val="nil"/>
              <w:bottom w:val="nil"/>
              <w:right w:val="nil"/>
            </w:tcBorders>
          </w:tcPr>
          <w:p w14:paraId="3B4F8ABE"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 xml:space="preserve">carp gudgeon </w:t>
            </w:r>
          </w:p>
        </w:tc>
        <w:tc>
          <w:tcPr>
            <w:tcW w:w="709" w:type="dxa"/>
            <w:tcBorders>
              <w:top w:val="nil"/>
              <w:left w:val="nil"/>
              <w:bottom w:val="nil"/>
              <w:right w:val="nil"/>
            </w:tcBorders>
          </w:tcPr>
          <w:p w14:paraId="3B4F8ABF"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47</w:t>
            </w:r>
          </w:p>
        </w:tc>
        <w:tc>
          <w:tcPr>
            <w:tcW w:w="708" w:type="dxa"/>
            <w:tcBorders>
              <w:top w:val="nil"/>
              <w:left w:val="nil"/>
              <w:bottom w:val="nil"/>
              <w:right w:val="nil"/>
            </w:tcBorders>
          </w:tcPr>
          <w:p w14:paraId="3B4F8AC0"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4302</w:t>
            </w:r>
          </w:p>
        </w:tc>
        <w:tc>
          <w:tcPr>
            <w:tcW w:w="567" w:type="dxa"/>
            <w:tcBorders>
              <w:top w:val="nil"/>
              <w:left w:val="nil"/>
              <w:bottom w:val="nil"/>
              <w:right w:val="nil"/>
            </w:tcBorders>
          </w:tcPr>
          <w:p w14:paraId="3B4F8AC1" w14:textId="77777777" w:rsidR="003C6775" w:rsidRPr="003B0E23" w:rsidRDefault="003C6775" w:rsidP="009C1A36">
            <w:pPr>
              <w:spacing w:after="0" w:line="240" w:lineRule="auto"/>
              <w:jc w:val="center"/>
              <w:rPr>
                <w:rFonts w:asciiTheme="minorHAnsi" w:hAnsiTheme="minorHAnsi"/>
                <w:sz w:val="20"/>
              </w:rPr>
            </w:pPr>
            <w:r w:rsidRPr="003B0E23">
              <w:rPr>
                <w:rFonts w:asciiTheme="minorHAnsi" w:hAnsiTheme="minorHAnsi"/>
                <w:sz w:val="20"/>
              </w:rPr>
              <w:t>51</w:t>
            </w:r>
          </w:p>
        </w:tc>
        <w:tc>
          <w:tcPr>
            <w:tcW w:w="709" w:type="dxa"/>
            <w:tcBorders>
              <w:top w:val="nil"/>
              <w:left w:val="nil"/>
              <w:bottom w:val="nil"/>
              <w:right w:val="nil"/>
            </w:tcBorders>
          </w:tcPr>
          <w:p w14:paraId="3B4F8AC2"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4400</w:t>
            </w:r>
          </w:p>
        </w:tc>
        <w:tc>
          <w:tcPr>
            <w:tcW w:w="289" w:type="dxa"/>
            <w:tcBorders>
              <w:top w:val="nil"/>
              <w:left w:val="nil"/>
              <w:bottom w:val="nil"/>
              <w:right w:val="nil"/>
            </w:tcBorders>
          </w:tcPr>
          <w:p w14:paraId="3B4F8AC3"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C4"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68</w:t>
            </w:r>
          </w:p>
        </w:tc>
        <w:tc>
          <w:tcPr>
            <w:tcW w:w="622" w:type="dxa"/>
            <w:tcBorders>
              <w:top w:val="nil"/>
              <w:left w:val="nil"/>
              <w:bottom w:val="nil"/>
              <w:right w:val="nil"/>
            </w:tcBorders>
          </w:tcPr>
          <w:p w14:paraId="3B4F8AC5"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2367</w:t>
            </w:r>
          </w:p>
        </w:tc>
        <w:tc>
          <w:tcPr>
            <w:tcW w:w="651" w:type="dxa"/>
            <w:tcBorders>
              <w:top w:val="nil"/>
              <w:left w:val="nil"/>
              <w:bottom w:val="nil"/>
              <w:right w:val="nil"/>
            </w:tcBorders>
          </w:tcPr>
          <w:p w14:paraId="3B4F8AC6"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15</w:t>
            </w:r>
          </w:p>
        </w:tc>
        <w:tc>
          <w:tcPr>
            <w:tcW w:w="895" w:type="dxa"/>
            <w:tcBorders>
              <w:top w:val="nil"/>
              <w:left w:val="nil"/>
              <w:bottom w:val="nil"/>
              <w:right w:val="nil"/>
            </w:tcBorders>
          </w:tcPr>
          <w:p w14:paraId="3B4F8AC7"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2450</w:t>
            </w:r>
          </w:p>
        </w:tc>
      </w:tr>
      <w:tr w:rsidR="003C6775" w:rsidRPr="003B0E23" w14:paraId="3B4F8AD3" w14:textId="77777777" w:rsidTr="003C6775">
        <w:tc>
          <w:tcPr>
            <w:tcW w:w="2552" w:type="dxa"/>
            <w:tcBorders>
              <w:top w:val="nil"/>
              <w:left w:val="nil"/>
              <w:bottom w:val="nil"/>
              <w:right w:val="nil"/>
            </w:tcBorders>
          </w:tcPr>
          <w:p w14:paraId="3B4F8AC9"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flatheaded gudgeon</w:t>
            </w:r>
          </w:p>
        </w:tc>
        <w:tc>
          <w:tcPr>
            <w:tcW w:w="709" w:type="dxa"/>
            <w:tcBorders>
              <w:top w:val="nil"/>
              <w:left w:val="nil"/>
              <w:bottom w:val="nil"/>
              <w:right w:val="nil"/>
            </w:tcBorders>
          </w:tcPr>
          <w:p w14:paraId="3B4F8ACA"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708" w:type="dxa"/>
            <w:tcBorders>
              <w:top w:val="nil"/>
              <w:left w:val="nil"/>
              <w:bottom w:val="nil"/>
              <w:right w:val="nil"/>
            </w:tcBorders>
          </w:tcPr>
          <w:p w14:paraId="3B4F8ACB"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nil"/>
              <w:right w:val="nil"/>
            </w:tcBorders>
          </w:tcPr>
          <w:p w14:paraId="3B4F8ACC" w14:textId="77777777" w:rsidR="003C6775" w:rsidRPr="003B0E23" w:rsidRDefault="003C6775" w:rsidP="009C1A36">
            <w:pPr>
              <w:spacing w:after="0" w:line="240" w:lineRule="auto"/>
              <w:jc w:val="center"/>
              <w:rPr>
                <w:rFonts w:asciiTheme="minorHAnsi" w:hAnsiTheme="minorHAnsi"/>
                <w:sz w:val="20"/>
              </w:rPr>
            </w:pPr>
            <w:r w:rsidRPr="003B0E23">
              <w:rPr>
                <w:rFonts w:asciiTheme="minorHAnsi" w:hAnsiTheme="minorHAnsi"/>
                <w:sz w:val="20"/>
              </w:rPr>
              <w:t>1</w:t>
            </w:r>
          </w:p>
        </w:tc>
        <w:tc>
          <w:tcPr>
            <w:tcW w:w="709" w:type="dxa"/>
            <w:tcBorders>
              <w:top w:val="nil"/>
              <w:left w:val="nil"/>
              <w:bottom w:val="nil"/>
              <w:right w:val="nil"/>
            </w:tcBorders>
          </w:tcPr>
          <w:p w14:paraId="3B4F8ACD"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w:t>
            </w:r>
          </w:p>
        </w:tc>
        <w:tc>
          <w:tcPr>
            <w:tcW w:w="289" w:type="dxa"/>
            <w:tcBorders>
              <w:top w:val="nil"/>
              <w:left w:val="nil"/>
              <w:bottom w:val="nil"/>
              <w:right w:val="nil"/>
            </w:tcBorders>
          </w:tcPr>
          <w:p w14:paraId="3B4F8ACE" w14:textId="77777777" w:rsidR="003C6775"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CF"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8AD0"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51" w:type="dxa"/>
            <w:tcBorders>
              <w:top w:val="nil"/>
              <w:left w:val="nil"/>
              <w:bottom w:val="nil"/>
              <w:right w:val="nil"/>
            </w:tcBorders>
          </w:tcPr>
          <w:p w14:paraId="3B4F8AD1"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w:t>
            </w:r>
          </w:p>
        </w:tc>
        <w:tc>
          <w:tcPr>
            <w:tcW w:w="895" w:type="dxa"/>
            <w:tcBorders>
              <w:top w:val="nil"/>
              <w:left w:val="nil"/>
              <w:bottom w:val="nil"/>
              <w:right w:val="nil"/>
            </w:tcBorders>
          </w:tcPr>
          <w:p w14:paraId="3B4F8AD2"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3</w:t>
            </w:r>
          </w:p>
        </w:tc>
      </w:tr>
      <w:tr w:rsidR="003C6775" w:rsidRPr="003B0E23" w14:paraId="3B4F8ADE" w14:textId="77777777" w:rsidTr="003C6775">
        <w:tc>
          <w:tcPr>
            <w:tcW w:w="2552" w:type="dxa"/>
            <w:tcBorders>
              <w:top w:val="nil"/>
              <w:left w:val="nil"/>
              <w:bottom w:val="nil"/>
              <w:right w:val="nil"/>
            </w:tcBorders>
          </w:tcPr>
          <w:p w14:paraId="3B4F8AD4"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golden perch</w:t>
            </w:r>
          </w:p>
        </w:tc>
        <w:tc>
          <w:tcPr>
            <w:tcW w:w="709" w:type="dxa"/>
            <w:tcBorders>
              <w:top w:val="nil"/>
              <w:left w:val="nil"/>
              <w:bottom w:val="nil"/>
              <w:right w:val="nil"/>
            </w:tcBorders>
          </w:tcPr>
          <w:p w14:paraId="3B4F8AD5"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107</w:t>
            </w:r>
          </w:p>
        </w:tc>
        <w:tc>
          <w:tcPr>
            <w:tcW w:w="708" w:type="dxa"/>
            <w:tcBorders>
              <w:top w:val="nil"/>
              <w:left w:val="nil"/>
              <w:bottom w:val="nil"/>
              <w:right w:val="nil"/>
            </w:tcBorders>
          </w:tcPr>
          <w:p w14:paraId="3B4F8AD6"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nil"/>
              <w:right w:val="nil"/>
            </w:tcBorders>
          </w:tcPr>
          <w:p w14:paraId="3B4F8AD7"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AD8"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107</w:t>
            </w:r>
          </w:p>
        </w:tc>
        <w:tc>
          <w:tcPr>
            <w:tcW w:w="289" w:type="dxa"/>
            <w:tcBorders>
              <w:top w:val="nil"/>
              <w:left w:val="nil"/>
              <w:bottom w:val="nil"/>
              <w:right w:val="nil"/>
            </w:tcBorders>
          </w:tcPr>
          <w:p w14:paraId="3B4F8AD9"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DA"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116</w:t>
            </w:r>
          </w:p>
        </w:tc>
        <w:tc>
          <w:tcPr>
            <w:tcW w:w="622" w:type="dxa"/>
            <w:tcBorders>
              <w:top w:val="nil"/>
              <w:left w:val="nil"/>
              <w:bottom w:val="nil"/>
              <w:right w:val="nil"/>
            </w:tcBorders>
          </w:tcPr>
          <w:p w14:paraId="3B4F8ADB"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51" w:type="dxa"/>
            <w:tcBorders>
              <w:top w:val="nil"/>
              <w:left w:val="nil"/>
              <w:bottom w:val="nil"/>
              <w:right w:val="nil"/>
            </w:tcBorders>
          </w:tcPr>
          <w:p w14:paraId="3B4F8ADC"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ADD"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116</w:t>
            </w:r>
          </w:p>
        </w:tc>
      </w:tr>
      <w:tr w:rsidR="003C6775" w:rsidRPr="003B0E23" w14:paraId="3B4F8AE9" w14:textId="77777777" w:rsidTr="003C6775">
        <w:tc>
          <w:tcPr>
            <w:tcW w:w="2552" w:type="dxa"/>
            <w:tcBorders>
              <w:top w:val="nil"/>
              <w:left w:val="nil"/>
              <w:bottom w:val="nil"/>
              <w:right w:val="nil"/>
            </w:tcBorders>
          </w:tcPr>
          <w:p w14:paraId="3B4F8ADF"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Murray cod</w:t>
            </w:r>
          </w:p>
        </w:tc>
        <w:tc>
          <w:tcPr>
            <w:tcW w:w="709" w:type="dxa"/>
            <w:tcBorders>
              <w:top w:val="nil"/>
              <w:left w:val="nil"/>
              <w:bottom w:val="nil"/>
              <w:right w:val="nil"/>
            </w:tcBorders>
          </w:tcPr>
          <w:p w14:paraId="3B4F8AE0"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210</w:t>
            </w:r>
          </w:p>
        </w:tc>
        <w:tc>
          <w:tcPr>
            <w:tcW w:w="708" w:type="dxa"/>
            <w:tcBorders>
              <w:top w:val="nil"/>
              <w:left w:val="nil"/>
              <w:bottom w:val="nil"/>
              <w:right w:val="nil"/>
            </w:tcBorders>
          </w:tcPr>
          <w:p w14:paraId="3B4F8AE1"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nil"/>
              <w:right w:val="nil"/>
            </w:tcBorders>
          </w:tcPr>
          <w:p w14:paraId="3B4F8AE2"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AE3"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210</w:t>
            </w:r>
          </w:p>
        </w:tc>
        <w:tc>
          <w:tcPr>
            <w:tcW w:w="289" w:type="dxa"/>
            <w:tcBorders>
              <w:top w:val="nil"/>
              <w:left w:val="nil"/>
              <w:bottom w:val="nil"/>
              <w:right w:val="nil"/>
            </w:tcBorders>
          </w:tcPr>
          <w:p w14:paraId="3B4F8AE4"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E5"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333</w:t>
            </w:r>
          </w:p>
        </w:tc>
        <w:tc>
          <w:tcPr>
            <w:tcW w:w="622" w:type="dxa"/>
            <w:tcBorders>
              <w:top w:val="nil"/>
              <w:left w:val="nil"/>
              <w:bottom w:val="nil"/>
              <w:right w:val="nil"/>
            </w:tcBorders>
          </w:tcPr>
          <w:p w14:paraId="3B4F8AE6"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w:t>
            </w:r>
          </w:p>
        </w:tc>
        <w:tc>
          <w:tcPr>
            <w:tcW w:w="651" w:type="dxa"/>
            <w:tcBorders>
              <w:top w:val="nil"/>
              <w:left w:val="nil"/>
              <w:bottom w:val="nil"/>
              <w:right w:val="nil"/>
            </w:tcBorders>
          </w:tcPr>
          <w:p w14:paraId="3B4F8AE7"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AE8"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334</w:t>
            </w:r>
          </w:p>
        </w:tc>
      </w:tr>
      <w:tr w:rsidR="003C6775" w:rsidRPr="003B0E23" w14:paraId="3B4F8AF4" w14:textId="77777777" w:rsidTr="003C6775">
        <w:tc>
          <w:tcPr>
            <w:tcW w:w="2552" w:type="dxa"/>
            <w:tcBorders>
              <w:top w:val="nil"/>
              <w:left w:val="nil"/>
              <w:bottom w:val="nil"/>
              <w:right w:val="nil"/>
            </w:tcBorders>
          </w:tcPr>
          <w:p w14:paraId="3B4F8AEA"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Murray-Darling rainbowfish</w:t>
            </w:r>
          </w:p>
        </w:tc>
        <w:tc>
          <w:tcPr>
            <w:tcW w:w="709" w:type="dxa"/>
            <w:tcBorders>
              <w:top w:val="nil"/>
              <w:left w:val="nil"/>
              <w:bottom w:val="nil"/>
              <w:right w:val="nil"/>
            </w:tcBorders>
          </w:tcPr>
          <w:p w14:paraId="3B4F8AEB"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339</w:t>
            </w:r>
          </w:p>
        </w:tc>
        <w:tc>
          <w:tcPr>
            <w:tcW w:w="708" w:type="dxa"/>
            <w:tcBorders>
              <w:top w:val="nil"/>
              <w:left w:val="nil"/>
              <w:bottom w:val="nil"/>
              <w:right w:val="nil"/>
            </w:tcBorders>
          </w:tcPr>
          <w:p w14:paraId="3B4F8AEC"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168</w:t>
            </w:r>
          </w:p>
        </w:tc>
        <w:tc>
          <w:tcPr>
            <w:tcW w:w="567" w:type="dxa"/>
            <w:tcBorders>
              <w:top w:val="nil"/>
              <w:left w:val="nil"/>
              <w:bottom w:val="nil"/>
              <w:right w:val="nil"/>
            </w:tcBorders>
          </w:tcPr>
          <w:p w14:paraId="3B4F8AED"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AEE"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507</w:t>
            </w:r>
          </w:p>
        </w:tc>
        <w:tc>
          <w:tcPr>
            <w:tcW w:w="289" w:type="dxa"/>
            <w:tcBorders>
              <w:top w:val="nil"/>
              <w:left w:val="nil"/>
              <w:bottom w:val="nil"/>
              <w:right w:val="nil"/>
            </w:tcBorders>
          </w:tcPr>
          <w:p w14:paraId="3B4F8AEF"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F0"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353</w:t>
            </w:r>
          </w:p>
        </w:tc>
        <w:tc>
          <w:tcPr>
            <w:tcW w:w="622" w:type="dxa"/>
            <w:tcBorders>
              <w:top w:val="nil"/>
              <w:left w:val="nil"/>
              <w:bottom w:val="nil"/>
              <w:right w:val="nil"/>
            </w:tcBorders>
          </w:tcPr>
          <w:p w14:paraId="3B4F8AF1"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77</w:t>
            </w:r>
          </w:p>
        </w:tc>
        <w:tc>
          <w:tcPr>
            <w:tcW w:w="651" w:type="dxa"/>
            <w:tcBorders>
              <w:top w:val="nil"/>
              <w:left w:val="nil"/>
              <w:bottom w:val="nil"/>
              <w:right w:val="nil"/>
            </w:tcBorders>
          </w:tcPr>
          <w:p w14:paraId="3B4F8AF2"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5</w:t>
            </w:r>
          </w:p>
        </w:tc>
        <w:tc>
          <w:tcPr>
            <w:tcW w:w="895" w:type="dxa"/>
            <w:tcBorders>
              <w:top w:val="nil"/>
              <w:left w:val="nil"/>
              <w:bottom w:val="nil"/>
              <w:right w:val="nil"/>
            </w:tcBorders>
          </w:tcPr>
          <w:p w14:paraId="3B4F8AF3"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435</w:t>
            </w:r>
          </w:p>
        </w:tc>
      </w:tr>
      <w:tr w:rsidR="003C6775" w:rsidRPr="003B0E23" w14:paraId="3B4F8AFF" w14:textId="77777777" w:rsidTr="003C6775">
        <w:tc>
          <w:tcPr>
            <w:tcW w:w="2552" w:type="dxa"/>
            <w:tcBorders>
              <w:top w:val="nil"/>
              <w:left w:val="nil"/>
              <w:bottom w:val="nil"/>
              <w:right w:val="nil"/>
            </w:tcBorders>
          </w:tcPr>
          <w:p w14:paraId="3B4F8AF5"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silver perch</w:t>
            </w:r>
          </w:p>
        </w:tc>
        <w:tc>
          <w:tcPr>
            <w:tcW w:w="709" w:type="dxa"/>
            <w:tcBorders>
              <w:top w:val="nil"/>
              <w:left w:val="nil"/>
              <w:bottom w:val="nil"/>
              <w:right w:val="nil"/>
            </w:tcBorders>
          </w:tcPr>
          <w:p w14:paraId="3B4F8AF6"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5</w:t>
            </w:r>
          </w:p>
        </w:tc>
        <w:tc>
          <w:tcPr>
            <w:tcW w:w="708" w:type="dxa"/>
            <w:tcBorders>
              <w:top w:val="nil"/>
              <w:left w:val="nil"/>
              <w:bottom w:val="nil"/>
              <w:right w:val="nil"/>
            </w:tcBorders>
          </w:tcPr>
          <w:p w14:paraId="3B4F8AF7"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nil"/>
              <w:right w:val="nil"/>
            </w:tcBorders>
          </w:tcPr>
          <w:p w14:paraId="3B4F8AF8"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AF9"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5</w:t>
            </w:r>
          </w:p>
        </w:tc>
        <w:tc>
          <w:tcPr>
            <w:tcW w:w="289" w:type="dxa"/>
            <w:tcBorders>
              <w:top w:val="nil"/>
              <w:left w:val="nil"/>
              <w:bottom w:val="nil"/>
              <w:right w:val="nil"/>
            </w:tcBorders>
          </w:tcPr>
          <w:p w14:paraId="3B4F8AFA"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AFB"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5</w:t>
            </w:r>
          </w:p>
        </w:tc>
        <w:tc>
          <w:tcPr>
            <w:tcW w:w="622" w:type="dxa"/>
            <w:tcBorders>
              <w:top w:val="nil"/>
              <w:left w:val="nil"/>
              <w:bottom w:val="nil"/>
              <w:right w:val="nil"/>
            </w:tcBorders>
          </w:tcPr>
          <w:p w14:paraId="3B4F8AFC"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51" w:type="dxa"/>
            <w:tcBorders>
              <w:top w:val="nil"/>
              <w:left w:val="nil"/>
              <w:bottom w:val="nil"/>
              <w:right w:val="nil"/>
            </w:tcBorders>
          </w:tcPr>
          <w:p w14:paraId="3B4F8AFD"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AFE"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5</w:t>
            </w:r>
          </w:p>
        </w:tc>
      </w:tr>
      <w:tr w:rsidR="003C6775" w:rsidRPr="003B0E23" w14:paraId="3B4F8B0A" w14:textId="77777777" w:rsidTr="003C6775">
        <w:tc>
          <w:tcPr>
            <w:tcW w:w="2552" w:type="dxa"/>
            <w:tcBorders>
              <w:top w:val="nil"/>
              <w:left w:val="nil"/>
              <w:bottom w:val="nil"/>
              <w:right w:val="nil"/>
            </w:tcBorders>
          </w:tcPr>
          <w:p w14:paraId="3B4F8B00"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un-specked hardyhead</w:t>
            </w:r>
          </w:p>
        </w:tc>
        <w:tc>
          <w:tcPr>
            <w:tcW w:w="709" w:type="dxa"/>
            <w:tcBorders>
              <w:top w:val="nil"/>
              <w:left w:val="nil"/>
              <w:bottom w:val="nil"/>
              <w:right w:val="nil"/>
            </w:tcBorders>
          </w:tcPr>
          <w:p w14:paraId="3B4F8B01"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86</w:t>
            </w:r>
          </w:p>
        </w:tc>
        <w:tc>
          <w:tcPr>
            <w:tcW w:w="708" w:type="dxa"/>
            <w:tcBorders>
              <w:top w:val="nil"/>
              <w:left w:val="nil"/>
              <w:bottom w:val="nil"/>
              <w:right w:val="nil"/>
            </w:tcBorders>
          </w:tcPr>
          <w:p w14:paraId="3B4F8B02"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64</w:t>
            </w:r>
          </w:p>
        </w:tc>
        <w:tc>
          <w:tcPr>
            <w:tcW w:w="567" w:type="dxa"/>
            <w:tcBorders>
              <w:top w:val="nil"/>
              <w:left w:val="nil"/>
              <w:bottom w:val="nil"/>
              <w:right w:val="nil"/>
            </w:tcBorders>
          </w:tcPr>
          <w:p w14:paraId="3B4F8B03"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B04"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150</w:t>
            </w:r>
          </w:p>
        </w:tc>
        <w:tc>
          <w:tcPr>
            <w:tcW w:w="289" w:type="dxa"/>
            <w:tcBorders>
              <w:top w:val="nil"/>
              <w:left w:val="nil"/>
              <w:bottom w:val="nil"/>
              <w:right w:val="nil"/>
            </w:tcBorders>
          </w:tcPr>
          <w:p w14:paraId="3B4F8B05"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B06"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565</w:t>
            </w:r>
          </w:p>
        </w:tc>
        <w:tc>
          <w:tcPr>
            <w:tcW w:w="622" w:type="dxa"/>
            <w:tcBorders>
              <w:top w:val="nil"/>
              <w:left w:val="nil"/>
              <w:bottom w:val="nil"/>
              <w:right w:val="nil"/>
            </w:tcBorders>
          </w:tcPr>
          <w:p w14:paraId="3B4F8B07"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35</w:t>
            </w:r>
          </w:p>
        </w:tc>
        <w:tc>
          <w:tcPr>
            <w:tcW w:w="651" w:type="dxa"/>
            <w:tcBorders>
              <w:top w:val="nil"/>
              <w:left w:val="nil"/>
              <w:bottom w:val="nil"/>
              <w:right w:val="nil"/>
            </w:tcBorders>
          </w:tcPr>
          <w:p w14:paraId="3B4F8B08"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B09"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600</w:t>
            </w:r>
          </w:p>
        </w:tc>
      </w:tr>
      <w:tr w:rsidR="003C6775" w:rsidRPr="003B0E23" w14:paraId="3B4F8B0C" w14:textId="77777777" w:rsidTr="003C6775">
        <w:tc>
          <w:tcPr>
            <w:tcW w:w="8364" w:type="dxa"/>
            <w:gridSpan w:val="10"/>
            <w:tcBorders>
              <w:top w:val="nil"/>
              <w:left w:val="nil"/>
              <w:bottom w:val="nil"/>
              <w:right w:val="nil"/>
            </w:tcBorders>
          </w:tcPr>
          <w:p w14:paraId="3B4F8B0B" w14:textId="77777777" w:rsidR="003C6775" w:rsidRPr="003B0E23" w:rsidRDefault="003C6775" w:rsidP="009C1A36">
            <w:pPr>
              <w:spacing w:after="0" w:line="240" w:lineRule="auto"/>
              <w:jc w:val="left"/>
              <w:rPr>
                <w:rFonts w:asciiTheme="minorHAnsi" w:hAnsiTheme="minorHAnsi"/>
                <w:sz w:val="20"/>
              </w:rPr>
            </w:pPr>
            <w:r w:rsidRPr="003B0E23">
              <w:rPr>
                <w:rFonts w:asciiTheme="minorHAnsi" w:hAnsiTheme="minorHAnsi"/>
                <w:i/>
                <w:sz w:val="20"/>
              </w:rPr>
              <w:t>alien species</w:t>
            </w:r>
          </w:p>
        </w:tc>
      </w:tr>
      <w:tr w:rsidR="003C6775" w:rsidRPr="003B0E23" w14:paraId="3B4F8B17" w14:textId="77777777" w:rsidTr="003C6775">
        <w:tc>
          <w:tcPr>
            <w:tcW w:w="2552" w:type="dxa"/>
            <w:tcBorders>
              <w:top w:val="nil"/>
              <w:left w:val="nil"/>
              <w:bottom w:val="nil"/>
              <w:right w:val="nil"/>
            </w:tcBorders>
          </w:tcPr>
          <w:p w14:paraId="3B4F8B0D" w14:textId="77777777" w:rsidR="003C6775" w:rsidRPr="003B0E23" w:rsidRDefault="003C6775" w:rsidP="009C1A36">
            <w:pPr>
              <w:spacing w:after="0" w:line="240" w:lineRule="auto"/>
              <w:rPr>
                <w:rFonts w:asciiTheme="minorHAnsi" w:hAnsiTheme="minorHAnsi"/>
                <w:i/>
                <w:sz w:val="20"/>
              </w:rPr>
            </w:pPr>
            <w:r w:rsidRPr="003B0E23">
              <w:rPr>
                <w:rFonts w:asciiTheme="minorHAnsi" w:hAnsiTheme="minorHAnsi"/>
                <w:sz w:val="20"/>
              </w:rPr>
              <w:t>common carp</w:t>
            </w:r>
          </w:p>
        </w:tc>
        <w:tc>
          <w:tcPr>
            <w:tcW w:w="709" w:type="dxa"/>
            <w:tcBorders>
              <w:top w:val="nil"/>
              <w:left w:val="nil"/>
              <w:bottom w:val="nil"/>
              <w:right w:val="nil"/>
            </w:tcBorders>
          </w:tcPr>
          <w:p w14:paraId="3B4F8B0E"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167</w:t>
            </w:r>
          </w:p>
        </w:tc>
        <w:tc>
          <w:tcPr>
            <w:tcW w:w="708" w:type="dxa"/>
            <w:tcBorders>
              <w:top w:val="nil"/>
              <w:left w:val="nil"/>
              <w:bottom w:val="nil"/>
              <w:right w:val="nil"/>
            </w:tcBorders>
          </w:tcPr>
          <w:p w14:paraId="3B4F8B0F"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nil"/>
              <w:right w:val="nil"/>
            </w:tcBorders>
          </w:tcPr>
          <w:p w14:paraId="3B4F8B10"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B11"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167</w:t>
            </w:r>
          </w:p>
        </w:tc>
        <w:tc>
          <w:tcPr>
            <w:tcW w:w="289" w:type="dxa"/>
            <w:tcBorders>
              <w:top w:val="nil"/>
              <w:left w:val="nil"/>
              <w:bottom w:val="nil"/>
              <w:right w:val="nil"/>
            </w:tcBorders>
          </w:tcPr>
          <w:p w14:paraId="3B4F8B12"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B13"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176</w:t>
            </w:r>
          </w:p>
        </w:tc>
        <w:tc>
          <w:tcPr>
            <w:tcW w:w="622" w:type="dxa"/>
            <w:tcBorders>
              <w:top w:val="nil"/>
              <w:left w:val="nil"/>
              <w:bottom w:val="nil"/>
              <w:right w:val="nil"/>
            </w:tcBorders>
          </w:tcPr>
          <w:p w14:paraId="3B4F8B14"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51" w:type="dxa"/>
            <w:tcBorders>
              <w:top w:val="nil"/>
              <w:left w:val="nil"/>
              <w:bottom w:val="nil"/>
              <w:right w:val="nil"/>
            </w:tcBorders>
          </w:tcPr>
          <w:p w14:paraId="3B4F8B15"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nil"/>
              <w:right w:val="nil"/>
            </w:tcBorders>
          </w:tcPr>
          <w:p w14:paraId="3B4F8B16"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176</w:t>
            </w:r>
          </w:p>
        </w:tc>
      </w:tr>
      <w:tr w:rsidR="003C6775" w:rsidRPr="003B0E23" w14:paraId="3B4F8B22" w14:textId="77777777" w:rsidTr="003C6775">
        <w:tc>
          <w:tcPr>
            <w:tcW w:w="2552" w:type="dxa"/>
            <w:tcBorders>
              <w:top w:val="nil"/>
              <w:left w:val="nil"/>
              <w:bottom w:val="nil"/>
              <w:right w:val="nil"/>
            </w:tcBorders>
          </w:tcPr>
          <w:p w14:paraId="3B4F8B18"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lastRenderedPageBreak/>
              <w:t>eastern gambusia</w:t>
            </w:r>
          </w:p>
        </w:tc>
        <w:tc>
          <w:tcPr>
            <w:tcW w:w="709" w:type="dxa"/>
            <w:tcBorders>
              <w:top w:val="nil"/>
              <w:left w:val="nil"/>
              <w:bottom w:val="nil"/>
              <w:right w:val="nil"/>
            </w:tcBorders>
          </w:tcPr>
          <w:p w14:paraId="3B4F8B19"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18</w:t>
            </w:r>
          </w:p>
        </w:tc>
        <w:tc>
          <w:tcPr>
            <w:tcW w:w="708" w:type="dxa"/>
            <w:tcBorders>
              <w:top w:val="nil"/>
              <w:left w:val="nil"/>
              <w:bottom w:val="nil"/>
              <w:right w:val="nil"/>
            </w:tcBorders>
          </w:tcPr>
          <w:p w14:paraId="3B4F8B1A"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175</w:t>
            </w:r>
          </w:p>
        </w:tc>
        <w:tc>
          <w:tcPr>
            <w:tcW w:w="567" w:type="dxa"/>
            <w:tcBorders>
              <w:top w:val="nil"/>
              <w:left w:val="nil"/>
              <w:bottom w:val="nil"/>
              <w:right w:val="nil"/>
            </w:tcBorders>
          </w:tcPr>
          <w:p w14:paraId="3B4F8B1B"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nil"/>
              <w:right w:val="nil"/>
            </w:tcBorders>
          </w:tcPr>
          <w:p w14:paraId="3B4F8B1C"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193</w:t>
            </w:r>
          </w:p>
        </w:tc>
        <w:tc>
          <w:tcPr>
            <w:tcW w:w="289" w:type="dxa"/>
            <w:tcBorders>
              <w:top w:val="nil"/>
              <w:left w:val="nil"/>
              <w:bottom w:val="nil"/>
              <w:right w:val="nil"/>
            </w:tcBorders>
          </w:tcPr>
          <w:p w14:paraId="3B4F8B1D"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nil"/>
              <w:right w:val="nil"/>
            </w:tcBorders>
          </w:tcPr>
          <w:p w14:paraId="3B4F8B1E"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36</w:t>
            </w:r>
          </w:p>
        </w:tc>
        <w:tc>
          <w:tcPr>
            <w:tcW w:w="622" w:type="dxa"/>
            <w:tcBorders>
              <w:top w:val="nil"/>
              <w:left w:val="nil"/>
              <w:bottom w:val="nil"/>
              <w:right w:val="nil"/>
            </w:tcBorders>
          </w:tcPr>
          <w:p w14:paraId="3B4F8B1F"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366</w:t>
            </w:r>
          </w:p>
        </w:tc>
        <w:tc>
          <w:tcPr>
            <w:tcW w:w="651" w:type="dxa"/>
            <w:tcBorders>
              <w:top w:val="nil"/>
              <w:left w:val="nil"/>
              <w:bottom w:val="nil"/>
              <w:right w:val="nil"/>
            </w:tcBorders>
          </w:tcPr>
          <w:p w14:paraId="3B4F8B20"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1</w:t>
            </w:r>
          </w:p>
        </w:tc>
        <w:tc>
          <w:tcPr>
            <w:tcW w:w="895" w:type="dxa"/>
            <w:tcBorders>
              <w:top w:val="nil"/>
              <w:left w:val="nil"/>
              <w:bottom w:val="nil"/>
              <w:right w:val="nil"/>
            </w:tcBorders>
          </w:tcPr>
          <w:p w14:paraId="3B4F8B21"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403</w:t>
            </w:r>
          </w:p>
        </w:tc>
      </w:tr>
      <w:tr w:rsidR="003C6775" w:rsidRPr="003B0E23" w14:paraId="3B4F8B2D" w14:textId="77777777" w:rsidTr="003C6775">
        <w:tc>
          <w:tcPr>
            <w:tcW w:w="2552" w:type="dxa"/>
            <w:tcBorders>
              <w:top w:val="nil"/>
              <w:left w:val="nil"/>
              <w:bottom w:val="single" w:sz="4" w:space="0" w:color="auto"/>
              <w:right w:val="nil"/>
            </w:tcBorders>
          </w:tcPr>
          <w:p w14:paraId="3B4F8B23" w14:textId="77777777" w:rsidR="003C6775" w:rsidRPr="003B0E23" w:rsidRDefault="003C6775" w:rsidP="009C1A36">
            <w:pPr>
              <w:spacing w:after="0" w:line="240" w:lineRule="auto"/>
              <w:rPr>
                <w:rFonts w:asciiTheme="minorHAnsi" w:hAnsiTheme="minorHAnsi"/>
                <w:sz w:val="20"/>
              </w:rPr>
            </w:pPr>
            <w:r w:rsidRPr="003B0E23">
              <w:rPr>
                <w:rFonts w:asciiTheme="minorHAnsi" w:hAnsiTheme="minorHAnsi"/>
                <w:sz w:val="20"/>
              </w:rPr>
              <w:t>goldfish</w:t>
            </w:r>
          </w:p>
        </w:tc>
        <w:tc>
          <w:tcPr>
            <w:tcW w:w="709" w:type="dxa"/>
            <w:tcBorders>
              <w:top w:val="nil"/>
              <w:left w:val="nil"/>
              <w:bottom w:val="single" w:sz="4" w:space="0" w:color="auto"/>
              <w:right w:val="nil"/>
            </w:tcBorders>
          </w:tcPr>
          <w:p w14:paraId="3B4F8B24"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21</w:t>
            </w:r>
          </w:p>
        </w:tc>
        <w:tc>
          <w:tcPr>
            <w:tcW w:w="708" w:type="dxa"/>
            <w:tcBorders>
              <w:top w:val="nil"/>
              <w:left w:val="nil"/>
              <w:bottom w:val="single" w:sz="4" w:space="0" w:color="auto"/>
              <w:right w:val="nil"/>
            </w:tcBorders>
          </w:tcPr>
          <w:p w14:paraId="3B4F8B25"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567" w:type="dxa"/>
            <w:tcBorders>
              <w:top w:val="nil"/>
              <w:left w:val="nil"/>
              <w:bottom w:val="single" w:sz="4" w:space="0" w:color="auto"/>
              <w:right w:val="nil"/>
            </w:tcBorders>
          </w:tcPr>
          <w:p w14:paraId="3B4F8B26" w14:textId="77777777" w:rsidR="003C6775" w:rsidRPr="003B0E23" w:rsidRDefault="003C6775" w:rsidP="009C1A36">
            <w:pPr>
              <w:spacing w:after="0" w:line="240" w:lineRule="auto"/>
              <w:jc w:val="center"/>
              <w:rPr>
                <w:rFonts w:asciiTheme="minorHAnsi" w:hAnsiTheme="minorHAnsi"/>
                <w:sz w:val="20"/>
              </w:rPr>
            </w:pPr>
            <w:r>
              <w:rPr>
                <w:rFonts w:asciiTheme="minorHAnsi" w:hAnsiTheme="minorHAnsi"/>
                <w:sz w:val="20"/>
              </w:rPr>
              <w:t>-</w:t>
            </w:r>
          </w:p>
        </w:tc>
        <w:tc>
          <w:tcPr>
            <w:tcW w:w="709" w:type="dxa"/>
            <w:tcBorders>
              <w:top w:val="nil"/>
              <w:left w:val="nil"/>
              <w:bottom w:val="single" w:sz="4" w:space="0" w:color="auto"/>
              <w:right w:val="nil"/>
            </w:tcBorders>
          </w:tcPr>
          <w:p w14:paraId="3B4F8B27"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21</w:t>
            </w:r>
          </w:p>
        </w:tc>
        <w:tc>
          <w:tcPr>
            <w:tcW w:w="289" w:type="dxa"/>
            <w:tcBorders>
              <w:top w:val="nil"/>
              <w:left w:val="nil"/>
              <w:bottom w:val="single" w:sz="4" w:space="0" w:color="auto"/>
              <w:right w:val="nil"/>
            </w:tcBorders>
          </w:tcPr>
          <w:p w14:paraId="3B4F8B28" w14:textId="77777777" w:rsidR="003C6775" w:rsidRPr="003B0E23" w:rsidRDefault="003C6775" w:rsidP="009C1A36">
            <w:pPr>
              <w:spacing w:after="0" w:line="240" w:lineRule="auto"/>
              <w:jc w:val="right"/>
              <w:rPr>
                <w:rFonts w:asciiTheme="minorHAnsi" w:hAnsiTheme="minorHAnsi"/>
                <w:sz w:val="20"/>
              </w:rPr>
            </w:pPr>
          </w:p>
        </w:tc>
        <w:tc>
          <w:tcPr>
            <w:tcW w:w="662" w:type="dxa"/>
            <w:tcBorders>
              <w:top w:val="nil"/>
              <w:left w:val="nil"/>
              <w:bottom w:val="single" w:sz="4" w:space="0" w:color="auto"/>
              <w:right w:val="nil"/>
            </w:tcBorders>
          </w:tcPr>
          <w:p w14:paraId="3B4F8B29" w14:textId="77777777" w:rsidR="003C6775" w:rsidRPr="003B0E23" w:rsidRDefault="003C6775" w:rsidP="009C1A36">
            <w:pPr>
              <w:spacing w:after="0" w:line="240" w:lineRule="auto"/>
              <w:jc w:val="right"/>
              <w:rPr>
                <w:rFonts w:asciiTheme="minorHAnsi" w:hAnsiTheme="minorHAnsi"/>
                <w:sz w:val="20"/>
              </w:rPr>
            </w:pPr>
            <w:r w:rsidRPr="003B0E23">
              <w:rPr>
                <w:rFonts w:asciiTheme="minorHAnsi" w:hAnsiTheme="minorHAnsi"/>
                <w:sz w:val="20"/>
              </w:rPr>
              <w:t>38</w:t>
            </w:r>
          </w:p>
        </w:tc>
        <w:tc>
          <w:tcPr>
            <w:tcW w:w="622" w:type="dxa"/>
            <w:tcBorders>
              <w:top w:val="nil"/>
              <w:left w:val="nil"/>
              <w:bottom w:val="single" w:sz="4" w:space="0" w:color="auto"/>
              <w:right w:val="nil"/>
            </w:tcBorders>
          </w:tcPr>
          <w:p w14:paraId="3B4F8B2A"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651" w:type="dxa"/>
            <w:tcBorders>
              <w:top w:val="nil"/>
              <w:left w:val="nil"/>
              <w:bottom w:val="single" w:sz="4" w:space="0" w:color="auto"/>
              <w:right w:val="nil"/>
            </w:tcBorders>
          </w:tcPr>
          <w:p w14:paraId="3B4F8B2B" w14:textId="77777777" w:rsidR="003C6775" w:rsidRPr="003B0E23" w:rsidRDefault="003C6775" w:rsidP="009C1A36">
            <w:pPr>
              <w:spacing w:after="0" w:line="240" w:lineRule="auto"/>
              <w:jc w:val="right"/>
              <w:rPr>
                <w:rFonts w:asciiTheme="minorHAnsi" w:hAnsiTheme="minorHAnsi"/>
                <w:sz w:val="20"/>
              </w:rPr>
            </w:pPr>
            <w:r>
              <w:rPr>
                <w:rFonts w:asciiTheme="minorHAnsi" w:hAnsiTheme="minorHAnsi"/>
                <w:sz w:val="20"/>
              </w:rPr>
              <w:t>-</w:t>
            </w:r>
          </w:p>
        </w:tc>
        <w:tc>
          <w:tcPr>
            <w:tcW w:w="895" w:type="dxa"/>
            <w:tcBorders>
              <w:top w:val="nil"/>
              <w:left w:val="nil"/>
              <w:bottom w:val="single" w:sz="4" w:space="0" w:color="auto"/>
              <w:right w:val="nil"/>
            </w:tcBorders>
          </w:tcPr>
          <w:p w14:paraId="3B4F8B2C" w14:textId="77777777" w:rsidR="003C6775" w:rsidRPr="003B0E23" w:rsidRDefault="003C6775" w:rsidP="009C1A36">
            <w:pPr>
              <w:spacing w:after="0" w:line="240" w:lineRule="auto"/>
              <w:jc w:val="right"/>
              <w:rPr>
                <w:rFonts w:asciiTheme="minorHAnsi" w:hAnsiTheme="minorHAnsi"/>
                <w:b/>
                <w:sz w:val="20"/>
              </w:rPr>
            </w:pPr>
            <w:r w:rsidRPr="003B0E23">
              <w:rPr>
                <w:rFonts w:asciiTheme="minorHAnsi" w:hAnsiTheme="minorHAnsi"/>
                <w:b/>
                <w:sz w:val="20"/>
              </w:rPr>
              <w:t>38</w:t>
            </w:r>
          </w:p>
        </w:tc>
      </w:tr>
    </w:tbl>
    <w:p w14:paraId="3B4F8B2F" w14:textId="758507DD" w:rsidR="00D87060" w:rsidRDefault="00D87060">
      <w:pPr>
        <w:spacing w:after="0" w:line="240" w:lineRule="auto"/>
        <w:jc w:val="left"/>
        <w:rPr>
          <w:rFonts w:ascii="Times New Roman" w:hAnsi="Times New Roman"/>
          <w:sz w:val="24"/>
          <w:szCs w:val="24"/>
        </w:rPr>
      </w:pPr>
    </w:p>
    <w:p w14:paraId="3B4F8B30" w14:textId="77777777" w:rsidR="0062265B" w:rsidRDefault="0062265B" w:rsidP="0062265B">
      <w:pPr>
        <w:spacing w:after="0" w:line="240" w:lineRule="auto"/>
        <w:rPr>
          <w:rFonts w:ascii="Times New Roman" w:hAnsi="Times New Roman"/>
          <w:sz w:val="24"/>
          <w:szCs w:val="24"/>
        </w:rPr>
      </w:pPr>
      <w:r w:rsidRPr="00174469">
        <w:rPr>
          <w:noProof/>
          <w:lang w:eastAsia="en-AU"/>
        </w:rPr>
        <w:drawing>
          <wp:inline distT="0" distB="0" distL="0" distR="0" wp14:anchorId="3B4F9608" wp14:editId="4B575439">
            <wp:extent cx="4276725" cy="47524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282401" cy="4758750"/>
                    </a:xfrm>
                    <a:prstGeom prst="rect">
                      <a:avLst/>
                    </a:prstGeom>
                    <a:noFill/>
                    <a:ln>
                      <a:noFill/>
                    </a:ln>
                  </pic:spPr>
                </pic:pic>
              </a:graphicData>
            </a:graphic>
          </wp:inline>
        </w:drawing>
      </w:r>
    </w:p>
    <w:p w14:paraId="3B4F8B31" w14:textId="77777777" w:rsidR="0062265B" w:rsidRPr="003B0E23" w:rsidRDefault="0062265B" w:rsidP="0088257B">
      <w:pPr>
        <w:spacing w:after="0" w:line="240" w:lineRule="auto"/>
        <w:jc w:val="left"/>
        <w:rPr>
          <w:rFonts w:asciiTheme="minorHAnsi" w:hAnsiTheme="minorHAnsi"/>
          <w:sz w:val="20"/>
        </w:rPr>
      </w:pPr>
      <w:r w:rsidRPr="003B0E23">
        <w:rPr>
          <w:rFonts w:asciiTheme="minorHAnsi" w:hAnsiTheme="minorHAnsi"/>
          <w:b/>
          <w:sz w:val="20"/>
        </w:rPr>
        <w:t xml:space="preserve">Figure </w:t>
      </w:r>
      <w:r w:rsidR="00945A47">
        <w:rPr>
          <w:rFonts w:asciiTheme="minorHAnsi" w:hAnsiTheme="minorHAnsi"/>
          <w:b/>
          <w:sz w:val="20"/>
        </w:rPr>
        <w:t>11.1</w:t>
      </w:r>
      <w:r w:rsidRPr="003B0E23">
        <w:rPr>
          <w:rFonts w:asciiTheme="minorHAnsi" w:hAnsiTheme="minorHAnsi"/>
          <w:b/>
          <w:sz w:val="20"/>
        </w:rPr>
        <w:t>.</w:t>
      </w:r>
      <w:r w:rsidRPr="003B0E23">
        <w:rPr>
          <w:rFonts w:asciiTheme="minorHAnsi" w:hAnsiTheme="minorHAnsi"/>
          <w:sz w:val="20"/>
        </w:rPr>
        <w:t xml:space="preserve"> Length-frequency histogram of golden perch captured during Category 1 sampling during the Edward-Wakool LTIM project in 2015 and 2016. The dashed line indicates approximate length at one year of age.</w:t>
      </w:r>
    </w:p>
    <w:p w14:paraId="3B4F8B32" w14:textId="77777777" w:rsidR="0062265B" w:rsidRPr="00887F53" w:rsidRDefault="0062265B" w:rsidP="00887F53">
      <w:pPr>
        <w:tabs>
          <w:tab w:val="left" w:pos="9071"/>
        </w:tabs>
        <w:spacing w:after="240" w:line="320" w:lineRule="exact"/>
        <w:ind w:right="-1"/>
        <w:jc w:val="left"/>
      </w:pPr>
    </w:p>
    <w:p w14:paraId="3B4F8B33" w14:textId="77777777" w:rsidR="005944CC" w:rsidRPr="008905BF" w:rsidRDefault="00D40541" w:rsidP="00887F53">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11</w:t>
      </w:r>
      <w:r w:rsidR="005944CC" w:rsidRPr="008905BF">
        <w:rPr>
          <w:b/>
          <w:color w:val="4F6228" w:themeColor="accent3" w:themeShade="80"/>
          <w:sz w:val="24"/>
          <w:szCs w:val="24"/>
        </w:rPr>
        <w:t>.3 Evaluation</w:t>
      </w:r>
    </w:p>
    <w:p w14:paraId="3B4F8B34" w14:textId="77777777" w:rsidR="0062265B" w:rsidRDefault="005944CC" w:rsidP="0088257B">
      <w:pPr>
        <w:spacing w:after="120" w:line="320" w:lineRule="exact"/>
        <w:jc w:val="left"/>
      </w:pPr>
      <w:r>
        <w:t>Evaluation of fish community responses to Commonwealth environmental watering in the Edward-Wakool River system for the Long Term Intervention Monitoring Project is being undertaken at the</w:t>
      </w:r>
      <w:r w:rsidR="0062265B">
        <w:t xml:space="preserve"> following scales:</w:t>
      </w:r>
    </w:p>
    <w:p w14:paraId="3B4F8B35" w14:textId="77777777" w:rsidR="00D87060" w:rsidRDefault="005944CC" w:rsidP="00764D83">
      <w:pPr>
        <w:pStyle w:val="ListParagraph"/>
        <w:numPr>
          <w:ilvl w:val="0"/>
          <w:numId w:val="25"/>
        </w:numPr>
        <w:spacing w:after="120" w:line="320" w:lineRule="exact"/>
        <w:jc w:val="left"/>
      </w:pPr>
      <w:r>
        <w:t xml:space="preserve">Selected Area </w:t>
      </w:r>
      <w:r w:rsidR="0062265B">
        <w:t>evaluation</w:t>
      </w:r>
      <w:r>
        <w:t xml:space="preserve"> (Watts et al. 2014)</w:t>
      </w:r>
      <w:r w:rsidR="0062265B">
        <w:t xml:space="preserve"> will be undertaken</w:t>
      </w:r>
      <w:r w:rsidR="00887F53">
        <w:t xml:space="preserve"> in </w:t>
      </w:r>
      <w:r w:rsidR="0062265B">
        <w:t xml:space="preserve">years 1 (2014/15) and 5 (2018/19) </w:t>
      </w:r>
      <w:r w:rsidR="00887F53">
        <w:t xml:space="preserve">of the </w:t>
      </w:r>
      <w:r w:rsidR="0062265B">
        <w:t xml:space="preserve">LTIM </w:t>
      </w:r>
      <w:r w:rsidR="00887F53">
        <w:t>Project</w:t>
      </w:r>
      <w:r w:rsidR="0062265B">
        <w:t>, and as such this report will not evaluate response questions specific to the Edward-Wakool Selected Area</w:t>
      </w:r>
      <w:r>
        <w:t xml:space="preserve">, and </w:t>
      </w:r>
    </w:p>
    <w:p w14:paraId="3B4F8B36" w14:textId="77777777" w:rsidR="0088257B" w:rsidRDefault="005944CC" w:rsidP="00764D83">
      <w:pPr>
        <w:pStyle w:val="ListParagraph"/>
        <w:numPr>
          <w:ilvl w:val="0"/>
          <w:numId w:val="25"/>
        </w:numPr>
        <w:spacing w:after="120" w:line="320" w:lineRule="exact"/>
        <w:jc w:val="left"/>
      </w:pPr>
      <w:r>
        <w:t xml:space="preserve">Basin scale </w:t>
      </w:r>
      <w:r w:rsidR="0062265B">
        <w:t>evaluation (Hale et al. 2014) will be undertaken</w:t>
      </w:r>
      <w:r>
        <w:t xml:space="preserve"> across short term and long term time scales. The Basin Scale evaluation involves the integration of mul</w:t>
      </w:r>
      <w:r>
        <w:lastRenderedPageBreak/>
        <w:t xml:space="preserve">tiple datasets from a number of different catchments, and this will be undertaken by the Murray-Darling Freshwater Research Centre and will be </w:t>
      </w:r>
      <w:r w:rsidR="0062265B">
        <w:t>evaluated in a separate report.</w:t>
      </w:r>
    </w:p>
    <w:p w14:paraId="3B4F8B37" w14:textId="77777777" w:rsidR="00887F53" w:rsidRPr="00D87060" w:rsidRDefault="00887F53" w:rsidP="00764D83">
      <w:pPr>
        <w:pStyle w:val="ListParagraph"/>
        <w:numPr>
          <w:ilvl w:val="0"/>
          <w:numId w:val="25"/>
        </w:numPr>
        <w:spacing w:after="120" w:line="320" w:lineRule="exact"/>
        <w:jc w:val="left"/>
      </w:pPr>
      <w:r>
        <w:br w:type="page"/>
      </w:r>
    </w:p>
    <w:p w14:paraId="3B4F8B38" w14:textId="77777777" w:rsidR="00C476D7" w:rsidRPr="00520FFB" w:rsidRDefault="00743D43" w:rsidP="00417F7C">
      <w:pPr>
        <w:pStyle w:val="Heading1"/>
      </w:pPr>
      <w:bookmarkStart w:id="33" w:name="_Toc484078414"/>
      <w:r>
        <w:lastRenderedPageBreak/>
        <w:t>S</w:t>
      </w:r>
      <w:r w:rsidR="003C6775">
        <w:t>ynthesis</w:t>
      </w:r>
      <w:bookmarkEnd w:id="33"/>
    </w:p>
    <w:p w14:paraId="30381618" w14:textId="77777777" w:rsidR="004D4CC0" w:rsidRDefault="00857EBB" w:rsidP="00857EBB">
      <w:pPr>
        <w:spacing w:after="120" w:line="320" w:lineRule="exact"/>
        <w:jc w:val="left"/>
      </w:pPr>
      <w:r w:rsidRPr="001D7084">
        <w:t>The responses to Commonwealth environ</w:t>
      </w:r>
      <w:r>
        <w:t>mental watering observed in 2015-16</w:t>
      </w:r>
      <w:r w:rsidRPr="001D7084">
        <w:t xml:space="preserve"> were consistent with those observed </w:t>
      </w:r>
      <w:r>
        <w:t>previously in this system (Watts et al 2015b)</w:t>
      </w:r>
      <w:r w:rsidRPr="001D7084">
        <w:t>.</w:t>
      </w:r>
      <w:r>
        <w:t xml:space="preserve"> </w:t>
      </w:r>
    </w:p>
    <w:p w14:paraId="179DA301" w14:textId="72B4556E" w:rsidR="00857EBB" w:rsidRDefault="00857EBB" w:rsidP="00857EBB">
      <w:pPr>
        <w:spacing w:after="120" w:line="320" w:lineRule="exact"/>
        <w:jc w:val="left"/>
      </w:pPr>
      <w:r w:rsidRPr="001D7084">
        <w:t xml:space="preserve">Commonwealth environmental water delivered to </w:t>
      </w:r>
      <w:r>
        <w:t>Yallakool Creek in 2015-16</w:t>
      </w:r>
      <w:r w:rsidRPr="001D7084">
        <w:t xml:space="preserve"> </w:t>
      </w:r>
      <w:r>
        <w:t>had</w:t>
      </w:r>
      <w:r w:rsidR="008473F0">
        <w:t xml:space="preserve"> the following outcomes (Table 12.1</w:t>
      </w:r>
      <w:r>
        <w:t>):</w:t>
      </w:r>
    </w:p>
    <w:p w14:paraId="15830EBE" w14:textId="7F6B8BD8" w:rsidR="00857EBB" w:rsidRDefault="00857EBB" w:rsidP="00857EBB">
      <w:pPr>
        <w:pStyle w:val="ListParagraph"/>
        <w:numPr>
          <w:ilvl w:val="0"/>
          <w:numId w:val="29"/>
        </w:numPr>
        <w:spacing w:after="0" w:line="320" w:lineRule="exact"/>
        <w:ind w:left="714" w:hanging="357"/>
      </w:pPr>
      <w:r>
        <w:t>Increased</w:t>
      </w:r>
      <w:r w:rsidRPr="001D7084">
        <w:t xml:space="preserve"> </w:t>
      </w:r>
      <w:r>
        <w:t>in-channel longitudinal connectivity in zones 1, 3 and 4 (section 4)</w:t>
      </w:r>
    </w:p>
    <w:p w14:paraId="5FD95D66" w14:textId="2F2D0956" w:rsidR="00857EBB" w:rsidRDefault="004D4CC0" w:rsidP="00857EBB">
      <w:pPr>
        <w:pStyle w:val="ListParagraph"/>
        <w:numPr>
          <w:ilvl w:val="0"/>
          <w:numId w:val="29"/>
        </w:numPr>
        <w:spacing w:after="0" w:line="320" w:lineRule="exact"/>
        <w:ind w:left="714" w:right="-143" w:hanging="357"/>
        <w:jc w:val="left"/>
      </w:pPr>
      <w:r>
        <w:t>Small increases in</w:t>
      </w:r>
      <w:r w:rsidR="00857EBB">
        <w:t xml:space="preserve"> lateral connectivity through an </w:t>
      </w:r>
      <w:r w:rsidR="00857EBB" w:rsidRPr="001D7084">
        <w:t>increase</w:t>
      </w:r>
      <w:r w:rsidR="00857EBB">
        <w:t xml:space="preserve"> in </w:t>
      </w:r>
      <w:r w:rsidR="00857EBB" w:rsidRPr="001D7084">
        <w:t xml:space="preserve">wetted benthic area </w:t>
      </w:r>
      <w:r w:rsidR="00857EBB">
        <w:t>in the Wakool River zones 1, 3 and 4 (section 4)</w:t>
      </w:r>
    </w:p>
    <w:p w14:paraId="30E0EBBF" w14:textId="458EE1FA" w:rsidR="00857EBB" w:rsidRDefault="00857EBB" w:rsidP="00857EBB">
      <w:pPr>
        <w:pStyle w:val="ListParagraph"/>
        <w:numPr>
          <w:ilvl w:val="0"/>
          <w:numId w:val="29"/>
        </w:numPr>
        <w:spacing w:after="0" w:line="320" w:lineRule="exact"/>
        <w:ind w:left="714" w:right="-143" w:hanging="357"/>
        <w:jc w:val="left"/>
      </w:pPr>
      <w:r>
        <w:t>Mixed response in hydraulic diversity compared to base flow periods. There was increased hydraulic diversity in zones 3 and 4 but reduced hydraulic diversity in zone 1 due to a reduction in the area of slackwater (section 4)</w:t>
      </w:r>
      <w:r w:rsidR="008473F0">
        <w:t xml:space="preserve">, which </w:t>
      </w:r>
      <w:r>
        <w:t xml:space="preserve">is likely to have an adverse impact on taxa that </w:t>
      </w:r>
      <w:r w:rsidR="008473F0" w:rsidRPr="00DA48E9">
        <w:rPr>
          <w:szCs w:val="22"/>
        </w:rPr>
        <w:t>require slow flowing water for recruitment and survival</w:t>
      </w:r>
      <w:r w:rsidR="008473F0">
        <w:t xml:space="preserve"> </w:t>
      </w:r>
      <w:r>
        <w:t xml:space="preserve">while benefiting taxa that prefer faster flowing water </w:t>
      </w:r>
    </w:p>
    <w:p w14:paraId="3FC0C21F" w14:textId="53853828" w:rsidR="00857EBB" w:rsidRDefault="00857EBB" w:rsidP="00857EBB">
      <w:pPr>
        <w:pStyle w:val="ListParagraph"/>
        <w:numPr>
          <w:ilvl w:val="0"/>
          <w:numId w:val="29"/>
        </w:numPr>
        <w:spacing w:after="0" w:line="320" w:lineRule="exact"/>
        <w:ind w:left="714" w:hanging="357"/>
      </w:pPr>
      <w:r>
        <w:t>Maintained dissolved oxygen levels (section 5) and ecosystem respiration (section 6)</w:t>
      </w:r>
    </w:p>
    <w:p w14:paraId="60E400E4" w14:textId="0B12EB28" w:rsidR="00857EBB" w:rsidRDefault="00857EBB" w:rsidP="00857EBB">
      <w:pPr>
        <w:pStyle w:val="ListParagraph"/>
        <w:numPr>
          <w:ilvl w:val="0"/>
          <w:numId w:val="29"/>
        </w:numPr>
        <w:spacing w:after="0" w:line="320" w:lineRule="exact"/>
        <w:ind w:left="714" w:hanging="357"/>
      </w:pPr>
      <w:r>
        <w:t>Increased dissolved organic carbon, but only during the Murray River multi-site watering action (section 5)</w:t>
      </w:r>
    </w:p>
    <w:p w14:paraId="26031EAB" w14:textId="688D5947" w:rsidR="00857EBB" w:rsidRDefault="00857EBB" w:rsidP="00857EBB">
      <w:pPr>
        <w:pStyle w:val="ListParagraph"/>
        <w:numPr>
          <w:ilvl w:val="0"/>
          <w:numId w:val="29"/>
        </w:numPr>
        <w:spacing w:after="0" w:line="320" w:lineRule="exact"/>
        <w:ind w:left="714" w:hanging="357"/>
        <w:jc w:val="left"/>
      </w:pPr>
      <w:r>
        <w:t>Increased</w:t>
      </w:r>
      <w:r w:rsidRPr="001D7084">
        <w:t xml:space="preserve"> </w:t>
      </w:r>
      <w:r w:rsidR="008473F0">
        <w:t>taxonomic richness</w:t>
      </w:r>
      <w:r>
        <w:t xml:space="preserve"> and cover of </w:t>
      </w:r>
      <w:r w:rsidRPr="001D7084">
        <w:t>instream aquatic vegetation</w:t>
      </w:r>
      <w:r>
        <w:t>, particularly in Wakool River zones 3 and 4, but not consistently in Yallakool Creek zone 1</w:t>
      </w:r>
      <w:r w:rsidR="008473F0">
        <w:t xml:space="preserve"> (section 7)</w:t>
      </w:r>
      <w:r>
        <w:t>.</w:t>
      </w:r>
    </w:p>
    <w:p w14:paraId="60BC58EA" w14:textId="4A5E0654" w:rsidR="00857EBB" w:rsidRPr="008473F0" w:rsidRDefault="00857EBB" w:rsidP="00857EBB">
      <w:pPr>
        <w:pStyle w:val="ListParagraph"/>
        <w:numPr>
          <w:ilvl w:val="0"/>
          <w:numId w:val="29"/>
        </w:numPr>
        <w:spacing w:after="0" w:line="320" w:lineRule="exact"/>
        <w:ind w:left="714" w:hanging="357"/>
        <w:jc w:val="left"/>
        <w:rPr>
          <w:rFonts w:cs="Arial"/>
        </w:rPr>
      </w:pPr>
      <w:r w:rsidRPr="008473F0">
        <w:rPr>
          <w:rFonts w:cs="Arial"/>
        </w:rPr>
        <w:t>Facilitated fish movement from zone 3 over small distances</w:t>
      </w:r>
      <w:r w:rsidR="008473F0" w:rsidRPr="008473F0">
        <w:rPr>
          <w:rFonts w:cs="Arial"/>
        </w:rPr>
        <w:t xml:space="preserve"> (section 8)</w:t>
      </w:r>
    </w:p>
    <w:p w14:paraId="5611E448" w14:textId="07B83C56" w:rsidR="008473F0" w:rsidRPr="008473F0" w:rsidRDefault="008473F0" w:rsidP="008473F0">
      <w:pPr>
        <w:pStyle w:val="BodyText"/>
        <w:numPr>
          <w:ilvl w:val="0"/>
          <w:numId w:val="29"/>
        </w:numPr>
        <w:spacing w:line="320" w:lineRule="exact"/>
        <w:ind w:left="714" w:hanging="357"/>
        <w:jc w:val="left"/>
        <w:rPr>
          <w:rFonts w:ascii="Calibri" w:hAnsi="Calibri" w:cs="Arial"/>
          <w:sz w:val="22"/>
          <w:szCs w:val="20"/>
          <w:lang w:val="en-AU"/>
        </w:rPr>
      </w:pPr>
      <w:r w:rsidRPr="008473F0">
        <w:rPr>
          <w:rFonts w:ascii="Calibri" w:hAnsi="Calibri" w:cs="Arial"/>
          <w:sz w:val="22"/>
          <w:szCs w:val="20"/>
          <w:lang w:val="en-AU"/>
        </w:rPr>
        <w:t>Mixed response in fish spawning</w:t>
      </w:r>
      <w:r>
        <w:rPr>
          <w:rFonts w:ascii="Calibri" w:hAnsi="Calibri" w:cs="Arial"/>
          <w:sz w:val="22"/>
          <w:szCs w:val="20"/>
          <w:lang w:val="en-AU"/>
        </w:rPr>
        <w:t xml:space="preserve"> (section 9)</w:t>
      </w:r>
      <w:r w:rsidRPr="008473F0">
        <w:rPr>
          <w:rFonts w:ascii="Calibri" w:hAnsi="Calibri" w:cs="Arial"/>
          <w:sz w:val="22"/>
          <w:szCs w:val="20"/>
          <w:lang w:val="en-AU"/>
        </w:rPr>
        <w:t xml:space="preserve">, with no detectable </w:t>
      </w:r>
      <w:r>
        <w:rPr>
          <w:rFonts w:ascii="Calibri" w:hAnsi="Calibri" w:cs="Arial"/>
          <w:sz w:val="22"/>
          <w:szCs w:val="20"/>
          <w:lang w:val="en-AU"/>
        </w:rPr>
        <w:t>difference</w:t>
      </w:r>
      <w:r w:rsidRPr="008473F0">
        <w:rPr>
          <w:rFonts w:ascii="Calibri" w:hAnsi="Calibri" w:cs="Arial"/>
          <w:sz w:val="22"/>
          <w:szCs w:val="20"/>
          <w:lang w:val="en-AU"/>
        </w:rPr>
        <w:t xml:space="preserve"> in Murray cod</w:t>
      </w:r>
      <w:r>
        <w:rPr>
          <w:rFonts w:ascii="Calibri" w:hAnsi="Calibri" w:cs="Arial"/>
          <w:sz w:val="22"/>
          <w:szCs w:val="20"/>
          <w:lang w:val="en-AU"/>
        </w:rPr>
        <w:t xml:space="preserve"> among zones</w:t>
      </w:r>
      <w:r w:rsidRPr="008473F0">
        <w:rPr>
          <w:rFonts w:ascii="Calibri" w:hAnsi="Calibri" w:cs="Arial"/>
          <w:sz w:val="22"/>
          <w:szCs w:val="20"/>
          <w:lang w:val="en-AU"/>
        </w:rPr>
        <w:t xml:space="preserve">, but </w:t>
      </w:r>
      <w:r>
        <w:rPr>
          <w:rFonts w:ascii="Calibri" w:hAnsi="Calibri" w:cs="Arial"/>
          <w:sz w:val="22"/>
          <w:szCs w:val="20"/>
          <w:lang w:val="en-AU"/>
        </w:rPr>
        <w:t xml:space="preserve">significantly fewer </w:t>
      </w:r>
      <w:r w:rsidRPr="008473F0">
        <w:rPr>
          <w:rFonts w:ascii="Calibri" w:hAnsi="Calibri" w:cs="Arial"/>
          <w:sz w:val="22"/>
          <w:szCs w:val="20"/>
          <w:lang w:val="en-AU"/>
        </w:rPr>
        <w:t>larval carp gudgeon in zone 1 Yallakool Creek than in zones 2, 3 or 4</w:t>
      </w:r>
      <w:r>
        <w:rPr>
          <w:rFonts w:ascii="Calibri" w:hAnsi="Calibri" w:cs="Arial"/>
          <w:sz w:val="22"/>
          <w:szCs w:val="20"/>
          <w:lang w:val="en-AU"/>
        </w:rPr>
        <w:t xml:space="preserve">, and significantly </w:t>
      </w:r>
      <w:r w:rsidRPr="008473F0">
        <w:rPr>
          <w:rFonts w:ascii="Calibri" w:hAnsi="Calibri" w:cs="Arial"/>
          <w:sz w:val="22"/>
          <w:szCs w:val="20"/>
          <w:lang w:val="en-AU"/>
        </w:rPr>
        <w:t xml:space="preserve">fewer flathead gudgeon in zone 1 </w:t>
      </w:r>
      <w:r>
        <w:rPr>
          <w:rFonts w:ascii="Calibri" w:hAnsi="Calibri" w:cs="Arial"/>
          <w:sz w:val="22"/>
          <w:szCs w:val="20"/>
          <w:lang w:val="en-AU"/>
        </w:rPr>
        <w:t>than in zone 4</w:t>
      </w:r>
      <w:r w:rsidRPr="008473F0">
        <w:rPr>
          <w:rFonts w:ascii="Calibri" w:hAnsi="Calibri" w:cs="Arial"/>
          <w:sz w:val="22"/>
          <w:szCs w:val="20"/>
          <w:lang w:val="en-AU"/>
        </w:rPr>
        <w:t xml:space="preserve">. </w:t>
      </w:r>
      <w:r>
        <w:rPr>
          <w:rFonts w:ascii="Calibri" w:hAnsi="Calibri" w:cs="Arial"/>
          <w:sz w:val="22"/>
          <w:szCs w:val="20"/>
          <w:lang w:val="en-AU"/>
        </w:rPr>
        <w:t xml:space="preserve">The reduced number of these </w:t>
      </w:r>
      <w:r w:rsidR="005D6FB3">
        <w:rPr>
          <w:rFonts w:ascii="Calibri" w:hAnsi="Calibri" w:cs="Arial"/>
          <w:sz w:val="22"/>
          <w:szCs w:val="20"/>
          <w:lang w:val="en-AU"/>
        </w:rPr>
        <w:t>l</w:t>
      </w:r>
      <w:r>
        <w:rPr>
          <w:rFonts w:ascii="Calibri" w:hAnsi="Calibri" w:cs="Arial"/>
          <w:sz w:val="22"/>
          <w:szCs w:val="20"/>
          <w:lang w:val="en-AU"/>
        </w:rPr>
        <w:t>arvae in zone 1</w:t>
      </w:r>
      <w:r w:rsidRPr="008473F0">
        <w:rPr>
          <w:rFonts w:ascii="Calibri" w:hAnsi="Calibri" w:cs="Arial"/>
          <w:sz w:val="22"/>
          <w:szCs w:val="20"/>
          <w:lang w:val="en-AU"/>
        </w:rPr>
        <w:t xml:space="preserve"> may be due to the reduced area of slackwater and slow water in Yallakool Creek during the environmental watering action compared to </w:t>
      </w:r>
      <w:r>
        <w:rPr>
          <w:rFonts w:ascii="Calibri" w:hAnsi="Calibri" w:cs="Arial"/>
          <w:sz w:val="22"/>
          <w:szCs w:val="20"/>
          <w:lang w:val="en-AU"/>
        </w:rPr>
        <w:t>the other zones.</w:t>
      </w:r>
    </w:p>
    <w:p w14:paraId="227CD966" w14:textId="062965D2" w:rsidR="008473F0" w:rsidRDefault="008473F0" w:rsidP="00857EBB">
      <w:pPr>
        <w:pStyle w:val="ListParagraph"/>
        <w:numPr>
          <w:ilvl w:val="0"/>
          <w:numId w:val="29"/>
        </w:numPr>
        <w:spacing w:after="0" w:line="320" w:lineRule="exact"/>
        <w:ind w:left="714" w:hanging="357"/>
        <w:jc w:val="left"/>
      </w:pPr>
      <w:r>
        <w:rPr>
          <w:rFonts w:cs="Arial"/>
        </w:rPr>
        <w:t>Increased number of silver perch recruits in zone 3 and zone 4 of the Wakool River which received Commonwealth environment</w:t>
      </w:r>
      <w:r w:rsidR="00AB52BD">
        <w:rPr>
          <w:rFonts w:cs="Arial"/>
        </w:rPr>
        <w:t>al water from the Yallakool Cre</w:t>
      </w:r>
      <w:r>
        <w:rPr>
          <w:rFonts w:cs="Arial"/>
        </w:rPr>
        <w:t>ek environmental watering action (section 10)</w:t>
      </w:r>
      <w:r w:rsidR="00A51D03">
        <w:rPr>
          <w:rFonts w:cs="Arial"/>
        </w:rPr>
        <w:t xml:space="preserve"> may be in response to the additional slackwater and slow </w:t>
      </w:r>
      <w:r w:rsidR="00C36AE2">
        <w:rPr>
          <w:rFonts w:cs="Arial"/>
        </w:rPr>
        <w:t xml:space="preserve">water </w:t>
      </w:r>
      <w:r w:rsidR="00A51D03">
        <w:rPr>
          <w:rFonts w:cs="Arial"/>
        </w:rPr>
        <w:t>habitat and vegetation response in these zones.</w:t>
      </w:r>
    </w:p>
    <w:p w14:paraId="34ABFE32" w14:textId="77777777" w:rsidR="00857EBB" w:rsidRDefault="00857EBB" w:rsidP="00857EBB">
      <w:pPr>
        <w:spacing w:after="0" w:line="320" w:lineRule="exact"/>
        <w:jc w:val="left"/>
      </w:pPr>
    </w:p>
    <w:p w14:paraId="4543A14D" w14:textId="3E42049C" w:rsidR="00857EBB" w:rsidRDefault="00857EBB" w:rsidP="00857EBB">
      <w:pPr>
        <w:spacing w:after="240" w:line="320" w:lineRule="exact"/>
        <w:jc w:val="left"/>
      </w:pPr>
      <w:r w:rsidRPr="001D7084">
        <w:t xml:space="preserve">Commonwealth environmental water delivered to </w:t>
      </w:r>
      <w:r>
        <w:t>the upper Wakool River Creek through the Wakool regulator in 2015-16</w:t>
      </w:r>
      <w:r w:rsidRPr="001D7084">
        <w:t xml:space="preserve"> </w:t>
      </w:r>
      <w:r>
        <w:t xml:space="preserve">resulted in almost no detectable responses. The only positive outcome was a slight increase in dissolved organic matter observed during the period when the watering action </w:t>
      </w:r>
      <w:r w:rsidRPr="00C33D1B">
        <w:t xml:space="preserve">used flows returning from the Barmah-Millewa Forest </w:t>
      </w:r>
      <w:r>
        <w:t xml:space="preserve">from the Murray River multi-site </w:t>
      </w:r>
      <w:r w:rsidRPr="00C33D1B">
        <w:t>watering action</w:t>
      </w:r>
      <w:r w:rsidR="009C2E18">
        <w:t xml:space="preserve"> (Table 12.1</w:t>
      </w:r>
      <w:r>
        <w:t>).</w:t>
      </w:r>
    </w:p>
    <w:p w14:paraId="3B4F8B3F" w14:textId="24872F36" w:rsidR="0018119E" w:rsidRDefault="0018119E" w:rsidP="00D07598">
      <w:pPr>
        <w:spacing w:after="120" w:line="300" w:lineRule="exact"/>
        <w:jc w:val="left"/>
        <w:rPr>
          <w:rFonts w:cs="Calibri"/>
          <w:szCs w:val="22"/>
        </w:rPr>
      </w:pPr>
      <w:r>
        <w:t>T</w:t>
      </w:r>
      <w:r w:rsidRPr="00F45EF8">
        <w:t xml:space="preserve">here were a number of indicators </w:t>
      </w:r>
      <w:r>
        <w:t>that showed</w:t>
      </w:r>
      <w:r w:rsidRPr="00F45EF8">
        <w:t xml:space="preserve"> no detectable res</w:t>
      </w:r>
      <w:r>
        <w:t xml:space="preserve">ponse to </w:t>
      </w:r>
      <w:r w:rsidR="00D40541">
        <w:t>environmental watering (Table 12</w:t>
      </w:r>
      <w:r>
        <w:t xml:space="preserve">.1). Although </w:t>
      </w:r>
      <w:r w:rsidRPr="00DA48E9">
        <w:rPr>
          <w:rFonts w:cs="Calibri"/>
          <w:szCs w:val="22"/>
        </w:rPr>
        <w:t xml:space="preserve">environmental watering increased wetted benthic </w:t>
      </w:r>
      <w:r w:rsidRPr="00DA48E9">
        <w:rPr>
          <w:rFonts w:cs="Calibri"/>
          <w:szCs w:val="22"/>
        </w:rPr>
        <w:lastRenderedPageBreak/>
        <w:t>area in some reaches</w:t>
      </w:r>
      <w:r w:rsidR="001600C2">
        <w:rPr>
          <w:rFonts w:cs="Calibri"/>
          <w:szCs w:val="22"/>
        </w:rPr>
        <w:t xml:space="preserve"> (</w:t>
      </w:r>
      <w:r w:rsidR="00CC02D0">
        <w:rPr>
          <w:rFonts w:cs="Calibri"/>
          <w:szCs w:val="22"/>
        </w:rPr>
        <w:t>Watts et al</w:t>
      </w:r>
      <w:r w:rsidR="004762DE">
        <w:rPr>
          <w:rFonts w:cs="Calibri"/>
          <w:szCs w:val="22"/>
        </w:rPr>
        <w:t>.</w:t>
      </w:r>
      <w:r w:rsidR="00CC02D0">
        <w:rPr>
          <w:rFonts w:cs="Calibri"/>
          <w:szCs w:val="22"/>
        </w:rPr>
        <w:t xml:space="preserve"> 2015b</w:t>
      </w:r>
      <w:r>
        <w:rPr>
          <w:rFonts w:cs="Calibri"/>
          <w:szCs w:val="22"/>
        </w:rPr>
        <w:t>)</w:t>
      </w:r>
      <w:r w:rsidRPr="00DA48E9">
        <w:rPr>
          <w:rFonts w:cs="Calibri"/>
          <w:szCs w:val="22"/>
        </w:rPr>
        <w:t xml:space="preserve">, this increase was not </w:t>
      </w:r>
      <w:r w:rsidRPr="00E367BE">
        <w:t xml:space="preserve">sufficient to trigger an increase in gross </w:t>
      </w:r>
      <w:r w:rsidR="00D40541">
        <w:t>primary productivity (section 6</w:t>
      </w:r>
      <w:r>
        <w:t>)</w:t>
      </w:r>
      <w:r w:rsidRPr="00DA48E9">
        <w:rPr>
          <w:rFonts w:cs="Calibri"/>
          <w:szCs w:val="22"/>
        </w:rPr>
        <w:t xml:space="preserve">. </w:t>
      </w:r>
      <w:r w:rsidRPr="00EC14D1">
        <w:rPr>
          <w:rFonts w:cs="Calibri"/>
          <w:szCs w:val="22"/>
        </w:rPr>
        <w:t xml:space="preserve">The delivery of environmental water is </w:t>
      </w:r>
      <w:r>
        <w:rPr>
          <w:rFonts w:cs="Calibri"/>
          <w:szCs w:val="22"/>
        </w:rPr>
        <w:t xml:space="preserve">currently </w:t>
      </w:r>
      <w:r w:rsidRPr="00EC14D1">
        <w:rPr>
          <w:rFonts w:cs="Calibri"/>
          <w:szCs w:val="22"/>
        </w:rPr>
        <w:t xml:space="preserve">constrained by a limited capacity to deliver </w:t>
      </w:r>
      <w:r>
        <w:rPr>
          <w:rFonts w:cs="Calibri"/>
          <w:szCs w:val="22"/>
        </w:rPr>
        <w:t>larger in-channel flow pulses</w:t>
      </w:r>
      <w:r w:rsidRPr="00EC14D1">
        <w:rPr>
          <w:rFonts w:cs="Calibri"/>
          <w:szCs w:val="22"/>
        </w:rPr>
        <w:t xml:space="preserve"> </w:t>
      </w:r>
      <w:r>
        <w:rPr>
          <w:rFonts w:cs="Calibri"/>
          <w:szCs w:val="22"/>
        </w:rPr>
        <w:t>because of potential</w:t>
      </w:r>
      <w:r w:rsidRPr="00EC14D1">
        <w:rPr>
          <w:rFonts w:cs="Calibri"/>
          <w:szCs w:val="22"/>
        </w:rPr>
        <w:t xml:space="preserve"> impacts on third parties. </w:t>
      </w:r>
      <w:r>
        <w:rPr>
          <w:rFonts w:cs="Calibri"/>
          <w:szCs w:val="22"/>
        </w:rPr>
        <w:t>Although th</w:t>
      </w:r>
      <w:r w:rsidRPr="00EC14D1">
        <w:rPr>
          <w:rFonts w:cs="Calibri"/>
          <w:szCs w:val="22"/>
        </w:rPr>
        <w:t xml:space="preserve">e </w:t>
      </w:r>
      <w:r>
        <w:rPr>
          <w:rFonts w:cs="Calibri"/>
          <w:szCs w:val="22"/>
        </w:rPr>
        <w:t>Commonwealth Environmental Water Office</w:t>
      </w:r>
      <w:r w:rsidRPr="00EC14D1">
        <w:rPr>
          <w:rFonts w:cs="Calibri"/>
          <w:szCs w:val="22"/>
        </w:rPr>
        <w:t xml:space="preserve"> has sought to maximize the flows to a level that is acceptable to third parties in the catchment area</w:t>
      </w:r>
      <w:r>
        <w:rPr>
          <w:rFonts w:cs="Calibri"/>
          <w:szCs w:val="22"/>
        </w:rPr>
        <w:t>, current and previous monitoring in this system suggest that larger in-channel flow events will be required to increase the gross primary productivity in this system.</w:t>
      </w:r>
      <w:r w:rsidR="009C2E18">
        <w:rPr>
          <w:rFonts w:cs="Calibri"/>
          <w:szCs w:val="22"/>
        </w:rPr>
        <w:t xml:space="preserve"> Although small increases in wetted benthic area can be provided under the current operational flow constraints, the use of return flows from Barmah-Millewa Forest from Murray River multi-site environmental watering actions may result in greater p</w:t>
      </w:r>
      <w:r w:rsidR="004D4CC0">
        <w:rPr>
          <w:rFonts w:cs="Calibri"/>
          <w:szCs w:val="22"/>
        </w:rPr>
        <w:t>roductivity gains than small freshes delivered under cu</w:t>
      </w:r>
      <w:r w:rsidR="009C2E18">
        <w:rPr>
          <w:rFonts w:cs="Calibri"/>
          <w:szCs w:val="22"/>
        </w:rPr>
        <w:t>rrent operational flow constraints.</w:t>
      </w:r>
    </w:p>
    <w:p w14:paraId="3B4F8B40" w14:textId="5D937EDB" w:rsidR="0018119E" w:rsidRDefault="001600C2" w:rsidP="00D07598">
      <w:pPr>
        <w:spacing w:after="120" w:line="300" w:lineRule="exact"/>
        <w:jc w:val="left"/>
      </w:pPr>
      <w:r>
        <w:rPr>
          <w:rFonts w:cs="Calibri"/>
          <w:szCs w:val="22"/>
        </w:rPr>
        <w:t xml:space="preserve">There was no observed </w:t>
      </w:r>
      <w:r w:rsidR="009C2E18">
        <w:rPr>
          <w:rFonts w:cs="Calibri"/>
          <w:szCs w:val="22"/>
        </w:rPr>
        <w:t xml:space="preserve">increased </w:t>
      </w:r>
      <w:r w:rsidR="00A51D03">
        <w:rPr>
          <w:rFonts w:cs="Calibri"/>
          <w:szCs w:val="22"/>
        </w:rPr>
        <w:t>in</w:t>
      </w:r>
      <w:r>
        <w:rPr>
          <w:rFonts w:cs="Calibri"/>
          <w:szCs w:val="22"/>
        </w:rPr>
        <w:t xml:space="preserve"> </w:t>
      </w:r>
      <w:r w:rsidR="009C2E18">
        <w:rPr>
          <w:rFonts w:cs="Calibri"/>
          <w:szCs w:val="22"/>
        </w:rPr>
        <w:t>Murray cod</w:t>
      </w:r>
      <w:r w:rsidR="0018119E">
        <w:t xml:space="preserve"> spawning</w:t>
      </w:r>
      <w:r w:rsidR="00D40541">
        <w:t xml:space="preserve"> </w:t>
      </w:r>
      <w:r w:rsidR="00A51D03">
        <w:t>or</w:t>
      </w:r>
      <w:r w:rsidR="00D40541">
        <w:t xml:space="preserve"> recruitment </w:t>
      </w:r>
      <w:r w:rsidR="00A51D03">
        <w:t>in response</w:t>
      </w:r>
      <w:r w:rsidR="0018119E">
        <w:t xml:space="preserve"> to </w:t>
      </w:r>
      <w:r>
        <w:t xml:space="preserve">the </w:t>
      </w:r>
      <w:r w:rsidR="0018119E">
        <w:t>environmental watering action</w:t>
      </w:r>
      <w:r>
        <w:t>s</w:t>
      </w:r>
      <w:r w:rsidR="00A51D03">
        <w:t xml:space="preserve">. Although </w:t>
      </w:r>
      <w:r w:rsidR="009C2E18">
        <w:t>t</w:t>
      </w:r>
      <w:r w:rsidR="00A51D03">
        <w:t>h</w:t>
      </w:r>
      <w:r w:rsidR="009C2E18">
        <w:t>is species</w:t>
      </w:r>
      <w:r w:rsidR="00175472">
        <w:t xml:space="preserve"> </w:t>
      </w:r>
      <w:r w:rsidR="00A51D03">
        <w:t xml:space="preserve">spawns </w:t>
      </w:r>
      <w:r w:rsidR="0018119E">
        <w:t xml:space="preserve">in this </w:t>
      </w:r>
      <w:r w:rsidR="0018119E" w:rsidRPr="00D40541">
        <w:t>system,</w:t>
      </w:r>
      <w:r w:rsidR="0018119E">
        <w:t xml:space="preserve"> </w:t>
      </w:r>
      <w:r w:rsidR="0018119E" w:rsidRPr="00E367BE">
        <w:t>the</w:t>
      </w:r>
      <w:r w:rsidR="00A51D03">
        <w:t xml:space="preserve">re was no detectible increase in spawning in the zones that received the environmental water compared to the Wakool River zone 2 that received only a small environmental watering action. </w:t>
      </w:r>
      <w:r w:rsidR="00A51D03" w:rsidRPr="00A51D03">
        <w:t xml:space="preserve">Flows are not expected to influence spawning of Murray cod and </w:t>
      </w:r>
      <w:r w:rsidR="00A51D03">
        <w:t>future</w:t>
      </w:r>
      <w:r w:rsidR="00A51D03" w:rsidRPr="00A51D03">
        <w:t xml:space="preserve"> environmental flow delivery objectives should focus on recruitment and growth outcomes required to sustain adult populations.</w:t>
      </w:r>
    </w:p>
    <w:p w14:paraId="01EE13A5" w14:textId="77777777" w:rsidR="00984911" w:rsidRDefault="005500A3" w:rsidP="00984911">
      <w:pPr>
        <w:spacing w:after="240" w:line="320" w:lineRule="exact"/>
        <w:jc w:val="left"/>
      </w:pPr>
      <w:r>
        <w:rPr>
          <w:rFonts w:cs="Calibri"/>
          <w:szCs w:val="22"/>
        </w:rPr>
        <w:t>In 2015-16 o</w:t>
      </w:r>
      <w:r w:rsidR="00984911">
        <w:rPr>
          <w:rFonts w:cs="Calibri"/>
          <w:szCs w:val="22"/>
        </w:rPr>
        <w:t>ne of the objectives of the Commonwealth Environmental Water Office was to tria</w:t>
      </w:r>
      <w:r>
        <w:rPr>
          <w:rFonts w:cs="Calibri"/>
          <w:szCs w:val="22"/>
        </w:rPr>
        <w:t>l environmental wate</w:t>
      </w:r>
      <w:r w:rsidR="00984911">
        <w:rPr>
          <w:rFonts w:cs="Calibri"/>
          <w:szCs w:val="22"/>
        </w:rPr>
        <w:t>ring actions in both Yallakool C</w:t>
      </w:r>
      <w:r>
        <w:rPr>
          <w:rFonts w:cs="Calibri"/>
          <w:szCs w:val="22"/>
        </w:rPr>
        <w:t xml:space="preserve">reek and the upper Wakool River (zone 2) in the same year. </w:t>
      </w:r>
      <w:r w:rsidR="00984911">
        <w:rPr>
          <w:rFonts w:cs="Calibri"/>
          <w:szCs w:val="22"/>
        </w:rPr>
        <w:t xml:space="preserve">The hydrological data analysis showed that the </w:t>
      </w:r>
      <w:r w:rsidR="00984911" w:rsidRPr="001D7084">
        <w:t xml:space="preserve">Commonwealth environmental water delivered to </w:t>
      </w:r>
      <w:r w:rsidR="00984911">
        <w:t xml:space="preserve">the upper Wakool River Creek through the Wakool regulator resulted in almost no detectable responses compared the operational flows and compared to flows delivered in 2014-15. The only positive outcome was a slight increase in dissolved organic matter observed during the period when the watering action </w:t>
      </w:r>
      <w:r w:rsidR="00984911" w:rsidRPr="00C33D1B">
        <w:t xml:space="preserve">used flows returning from the Barmah-Millewa Forest </w:t>
      </w:r>
      <w:r w:rsidR="00984911">
        <w:t xml:space="preserve">from the Murray River multi-site </w:t>
      </w:r>
      <w:r w:rsidR="00984911" w:rsidRPr="00C33D1B">
        <w:t>watering action</w:t>
      </w:r>
      <w:r w:rsidR="00984911">
        <w:t xml:space="preserve"> (Table 12.1). </w:t>
      </w:r>
    </w:p>
    <w:p w14:paraId="14F5D612" w14:textId="62E6845D" w:rsidR="005D6FB3" w:rsidRPr="00984911" w:rsidRDefault="00984911" w:rsidP="00E27335">
      <w:pPr>
        <w:spacing w:after="240" w:line="320" w:lineRule="exact"/>
        <w:jc w:val="left"/>
      </w:pPr>
      <w:r>
        <w:t>Concurrent watering acti</w:t>
      </w:r>
      <w:r w:rsidR="00265865">
        <w:t>ons in Yallakool Creek and the W</w:t>
      </w:r>
      <w:r>
        <w:t>akool River is limited by the 600 MLd</w:t>
      </w:r>
      <w:r w:rsidRPr="00984911">
        <w:rPr>
          <w:vertAlign w:val="superscript"/>
        </w:rPr>
        <w:t>-1</w:t>
      </w:r>
      <w:r>
        <w:t xml:space="preserve"> operational constraint downstream of the confluence of Yallakool Creek and the Wakool River. This </w:t>
      </w:r>
      <w:r w:rsidR="005D6FB3">
        <w:t xml:space="preserve">results from the past 3 years of monitoring in this system suggests that this operational </w:t>
      </w:r>
      <w:r>
        <w:t xml:space="preserve">constraint </w:t>
      </w:r>
      <w:r w:rsidR="00E27335">
        <w:t>possibly limits a number of ecological processes in this system. The constraint l</w:t>
      </w:r>
      <w:r w:rsidR="005D6FB3">
        <w:rPr>
          <w:rFonts w:cs="Calibri"/>
          <w:szCs w:val="22"/>
        </w:rPr>
        <w:t>imits</w:t>
      </w:r>
      <w:r w:rsidR="00A51D03" w:rsidRPr="00984911">
        <w:rPr>
          <w:rFonts w:cs="Calibri"/>
          <w:szCs w:val="22"/>
        </w:rPr>
        <w:t xml:space="preserve"> </w:t>
      </w:r>
      <w:r w:rsidR="005D6FB3">
        <w:rPr>
          <w:rFonts w:cs="Calibri"/>
          <w:szCs w:val="22"/>
        </w:rPr>
        <w:t>lateral connectivity and inundation of inchannel features, resulting in reduced riverine productivity and limited creation of shallow water habitat. This in turn would limit the spawning and recruitment response of many fish and invertebrate and the richness and cover of aquatic vegetation taxa.</w:t>
      </w:r>
      <w:r w:rsidR="00E27335">
        <w:rPr>
          <w:rFonts w:cs="Calibri"/>
          <w:szCs w:val="22"/>
        </w:rPr>
        <w:t xml:space="preserve"> The constraint also l</w:t>
      </w:r>
      <w:r w:rsidR="005D6FB3">
        <w:rPr>
          <w:rFonts w:cs="Calibri"/>
          <w:szCs w:val="22"/>
        </w:rPr>
        <w:t>imits the</w:t>
      </w:r>
      <w:r w:rsidR="00A51D03" w:rsidRPr="00984911">
        <w:rPr>
          <w:rFonts w:cs="Calibri"/>
          <w:szCs w:val="22"/>
        </w:rPr>
        <w:t xml:space="preserve"> </w:t>
      </w:r>
      <w:r w:rsidR="00E27335">
        <w:rPr>
          <w:rFonts w:cs="Calibri"/>
          <w:szCs w:val="22"/>
        </w:rPr>
        <w:t>larger-scale movement</w:t>
      </w:r>
      <w:r w:rsidR="00A51D03" w:rsidRPr="00984911">
        <w:rPr>
          <w:rFonts w:cs="Calibri"/>
          <w:szCs w:val="22"/>
        </w:rPr>
        <w:t xml:space="preserve"> of </w:t>
      </w:r>
      <w:r w:rsidR="00E27335">
        <w:rPr>
          <w:rFonts w:cs="Calibri"/>
          <w:szCs w:val="22"/>
        </w:rPr>
        <w:t xml:space="preserve">flow dependent fish species, such as </w:t>
      </w:r>
      <w:r w:rsidR="00A51D03" w:rsidRPr="00984911">
        <w:rPr>
          <w:rFonts w:cs="Calibri"/>
          <w:szCs w:val="22"/>
        </w:rPr>
        <w:t>golden perch and silver perch</w:t>
      </w:r>
      <w:r w:rsidR="00E27335">
        <w:rPr>
          <w:rFonts w:cs="Calibri"/>
          <w:szCs w:val="22"/>
        </w:rPr>
        <w:t>, which could possibly result in spawning of these species.</w:t>
      </w:r>
    </w:p>
    <w:p w14:paraId="3B4F8B41" w14:textId="12C288F6" w:rsidR="00D75644" w:rsidRDefault="0018119E" w:rsidP="00D07598">
      <w:pPr>
        <w:spacing w:after="120" w:line="300" w:lineRule="exact"/>
        <w:jc w:val="left"/>
        <w:rPr>
          <w:b/>
        </w:rPr>
      </w:pPr>
      <w:r w:rsidRPr="001D7084">
        <w:t>The responses to Commonwealth environ</w:t>
      </w:r>
      <w:r w:rsidR="000434F7">
        <w:t>mental watering observed in 2015-16</w:t>
      </w:r>
      <w:r w:rsidRPr="001D7084">
        <w:t xml:space="preserve"> were consistent with those observed </w:t>
      </w:r>
      <w:r>
        <w:t>previously in this system</w:t>
      </w:r>
      <w:r w:rsidRPr="001D7084">
        <w:t>.</w:t>
      </w:r>
      <w:r>
        <w:t xml:space="preserve"> The good outcomes for dissolved oxygen and aquatic vegetation </w:t>
      </w:r>
      <w:r w:rsidR="00E27335">
        <w:t xml:space="preserve">in zones 3 and 4 </w:t>
      </w:r>
      <w:r>
        <w:t>will help</w:t>
      </w:r>
      <w:r w:rsidR="00035F7C">
        <w:t xml:space="preserve"> provide</w:t>
      </w:r>
      <w:r>
        <w:t xml:space="preserve"> habitat for inver</w:t>
      </w:r>
      <w:r w:rsidR="00175472">
        <w:t xml:space="preserve">tebrates and small bodied fish and </w:t>
      </w:r>
      <w:r>
        <w:t xml:space="preserve">could lead to improved outcomes for </w:t>
      </w:r>
      <w:r w:rsidR="000434F7">
        <w:t xml:space="preserve">the </w:t>
      </w:r>
      <w:r w:rsidR="00D07598">
        <w:t xml:space="preserve">whole </w:t>
      </w:r>
      <w:r>
        <w:t xml:space="preserve">fish </w:t>
      </w:r>
      <w:r w:rsidR="000434F7">
        <w:lastRenderedPageBreak/>
        <w:t xml:space="preserve">community </w:t>
      </w:r>
      <w:r>
        <w:t>in the longer term.</w:t>
      </w:r>
      <w:r w:rsidR="001600C2">
        <w:t xml:space="preserve"> </w:t>
      </w:r>
      <w:r w:rsidRPr="00EC14D1">
        <w:t xml:space="preserve">The long-term recovery of this system </w:t>
      </w:r>
      <w:r w:rsidR="00CC02D0">
        <w:t xml:space="preserve">from the negative effects of the Millennium drought and subsequent blackwater events </w:t>
      </w:r>
      <w:r w:rsidRPr="00EC14D1">
        <w:t xml:space="preserve">is </w:t>
      </w:r>
      <w:r>
        <w:t>ongoing.</w:t>
      </w:r>
      <w:r w:rsidRPr="00960AA1">
        <w:t xml:space="preserve"> </w:t>
      </w:r>
      <w:r>
        <w:t>S</w:t>
      </w:r>
      <w:r w:rsidR="00D07598">
        <w:t>ome</w:t>
      </w:r>
      <w:r w:rsidRPr="00EC14D1">
        <w:t xml:space="preserve"> benefits of Commonwealth environmental watering actions </w:t>
      </w:r>
      <w:r w:rsidR="00CC02D0">
        <w:t xml:space="preserve">(e.g. recovery of populations of long-lived fish species, recovery of </w:t>
      </w:r>
      <w:r w:rsidR="000434F7">
        <w:t>some species of aquatic vegetation</w:t>
      </w:r>
      <w:r w:rsidR="00CC02D0">
        <w:t xml:space="preserve">) </w:t>
      </w:r>
      <w:r w:rsidRPr="00EC14D1">
        <w:t xml:space="preserve">are expected to be realised over </w:t>
      </w:r>
      <w:r w:rsidR="00CC02D0">
        <w:t>long</w:t>
      </w:r>
      <w:r w:rsidR="00D07598">
        <w:t>er</w:t>
      </w:r>
      <w:r w:rsidRPr="00EC14D1">
        <w:t xml:space="preserve"> time frame</w:t>
      </w:r>
      <w:r w:rsidR="00CC02D0">
        <w:t>s</w:t>
      </w:r>
      <w:r w:rsidRPr="00EC14D1">
        <w:t xml:space="preserve"> </w:t>
      </w:r>
      <w:r>
        <w:t>and should not be expected to eventuate from a single flow action or within a single year.</w:t>
      </w:r>
      <w:r w:rsidR="00CC02D0">
        <w:t xml:space="preserve"> </w:t>
      </w:r>
      <w:r w:rsidR="00D75644">
        <w:rPr>
          <w:b/>
        </w:rPr>
        <w:br w:type="page"/>
      </w:r>
    </w:p>
    <w:p w14:paraId="1711CC20" w14:textId="77777777" w:rsidR="009C2E18" w:rsidRPr="004E3F82" w:rsidRDefault="00D07598" w:rsidP="009C2E18">
      <w:pPr>
        <w:spacing w:after="0" w:line="240" w:lineRule="auto"/>
        <w:jc w:val="left"/>
        <w:rPr>
          <w:sz w:val="20"/>
        </w:rPr>
      </w:pPr>
      <w:r>
        <w:rPr>
          <w:b/>
          <w:sz w:val="20"/>
        </w:rPr>
        <w:lastRenderedPageBreak/>
        <w:t>Table 12</w:t>
      </w:r>
      <w:r w:rsidR="00D75644" w:rsidRPr="00D75644">
        <w:rPr>
          <w:b/>
          <w:sz w:val="20"/>
        </w:rPr>
        <w:t>.1</w:t>
      </w:r>
      <w:r w:rsidR="00D75644" w:rsidRPr="00D75644">
        <w:rPr>
          <w:sz w:val="20"/>
        </w:rPr>
        <w:t>.</w:t>
      </w:r>
      <w:r w:rsidR="00D75644" w:rsidRPr="00E367BE">
        <w:t xml:space="preserve"> </w:t>
      </w:r>
      <w:r w:rsidR="009C2E18" w:rsidRPr="004E3F82">
        <w:rPr>
          <w:sz w:val="20"/>
        </w:rPr>
        <w:t xml:space="preserve">Summary of ecosystem responses to Commonwealth environmental watering in </w:t>
      </w:r>
      <w:r w:rsidR="009C2E18">
        <w:rPr>
          <w:sz w:val="20"/>
        </w:rPr>
        <w:t>the Edward-Wakool system in 2015-16</w:t>
      </w:r>
      <w:r w:rsidR="009C2E18" w:rsidRPr="004E3F82">
        <w:rPr>
          <w:sz w:val="20"/>
        </w:rPr>
        <w:t xml:space="preserve">. </w:t>
      </w:r>
    </w:p>
    <w:p w14:paraId="20D0B614" w14:textId="77777777" w:rsidR="009C2E18" w:rsidRPr="00E64C68" w:rsidRDefault="009C2E18" w:rsidP="009C2E18">
      <w:pPr>
        <w:spacing w:after="0" w:line="240" w:lineRule="auto"/>
        <w:ind w:left="360" w:firstLine="360"/>
        <w:rPr>
          <w:sz w:val="20"/>
        </w:rPr>
      </w:pPr>
      <w:r>
        <w:rPr>
          <w:noProof/>
          <w:lang w:eastAsia="en-AU"/>
        </w:rPr>
        <mc:AlternateContent>
          <mc:Choice Requires="wps">
            <w:drawing>
              <wp:anchor distT="0" distB="0" distL="114300" distR="114300" simplePos="0" relativeHeight="251734015" behindDoc="0" locked="0" layoutInCell="1" allowOverlap="1" wp14:anchorId="00DA95A9" wp14:editId="5CAC14C3">
                <wp:simplePos x="0" y="0"/>
                <wp:positionH relativeFrom="margin">
                  <wp:posOffset>-635</wp:posOffset>
                </wp:positionH>
                <wp:positionV relativeFrom="paragraph">
                  <wp:posOffset>6350</wp:posOffset>
                </wp:positionV>
                <wp:extent cx="215265" cy="107950"/>
                <wp:effectExtent l="0" t="0" r="13335" b="2540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chemeClr val="accent3">
                            <a:lumMod val="60000"/>
                            <a:lumOff val="40000"/>
                          </a:schemeClr>
                        </a:solidFill>
                        <a:ln w="9525">
                          <a:solidFill>
                            <a:schemeClr val="accent3">
                              <a:lumMod val="7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6827A0" id="Rounded Rectangle 19" o:spid="_x0000_s1026" style="position:absolute;margin-left:-.05pt;margin-top:.5pt;width:16.95pt;height:8.5pt;z-index:251734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" fillcolor="#c2d69b [1942]" strokecolor="#76923c [2406]">
                <w10:wrap anchorx="margin"/>
              </v:roundrect>
            </w:pict>
          </mc:Fallback>
        </mc:AlternateContent>
      </w:r>
      <w:r w:rsidRPr="00E64C68">
        <w:rPr>
          <w:sz w:val="20"/>
        </w:rPr>
        <w:t>Positive response to environmental watering (green)</w:t>
      </w:r>
    </w:p>
    <w:p w14:paraId="01E5D790" w14:textId="77777777" w:rsidR="009C2E18" w:rsidRDefault="009C2E18" w:rsidP="009C2E18">
      <w:pPr>
        <w:spacing w:after="0" w:line="240" w:lineRule="auto"/>
        <w:ind w:left="360" w:firstLine="360"/>
        <w:rPr>
          <w:sz w:val="20"/>
        </w:rPr>
      </w:pPr>
      <w:r w:rsidRPr="00711C72">
        <w:rPr>
          <w:noProof/>
          <w:color w:val="FFC000"/>
          <w:lang w:eastAsia="en-AU"/>
        </w:rPr>
        <mc:AlternateContent>
          <mc:Choice Requires="wps">
            <w:drawing>
              <wp:anchor distT="0" distB="0" distL="114300" distR="114300" simplePos="0" relativeHeight="251735039" behindDoc="0" locked="0" layoutInCell="1" allowOverlap="1" wp14:anchorId="50A568AA" wp14:editId="74AD0F4E">
                <wp:simplePos x="0" y="0"/>
                <wp:positionH relativeFrom="margin">
                  <wp:posOffset>-635</wp:posOffset>
                </wp:positionH>
                <wp:positionV relativeFrom="paragraph">
                  <wp:posOffset>3175</wp:posOffset>
                </wp:positionV>
                <wp:extent cx="215265" cy="107950"/>
                <wp:effectExtent l="0" t="0" r="13335" b="2540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rgbClr val="F98607"/>
                        </a:solidFill>
                        <a:ln w="9525">
                          <a:solidFill>
                            <a:srgbClr val="F9860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AACC3C" id="Rounded Rectangle 29" o:spid="_x0000_s1026" style="position:absolute;margin-left:-.05pt;margin-top:.25pt;width:16.95pt;height:8.5pt;z-index:251735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" fillcolor="#f98607" strokecolor="#f98607">
                <w10:wrap anchorx="margin"/>
              </v:roundrect>
            </w:pict>
          </mc:Fallback>
        </mc:AlternateContent>
      </w:r>
      <w:r>
        <w:rPr>
          <w:sz w:val="20"/>
        </w:rPr>
        <w:t xml:space="preserve">Mixed response; some adverse and some positive responses to environmental watering </w:t>
      </w:r>
      <w:r w:rsidRPr="00E64C68">
        <w:rPr>
          <w:sz w:val="20"/>
        </w:rPr>
        <w:t>(</w:t>
      </w:r>
      <w:r>
        <w:rPr>
          <w:sz w:val="20"/>
        </w:rPr>
        <w:t>amber</w:t>
      </w:r>
      <w:r w:rsidRPr="00E64C68">
        <w:rPr>
          <w:sz w:val="20"/>
        </w:rPr>
        <w:t>)</w:t>
      </w:r>
    </w:p>
    <w:p w14:paraId="698B6EED" w14:textId="77777777" w:rsidR="009C2E18" w:rsidRPr="00E64C68" w:rsidRDefault="009C2E18" w:rsidP="009C2E18">
      <w:pPr>
        <w:spacing w:after="0" w:line="240" w:lineRule="auto"/>
        <w:ind w:left="360" w:firstLine="360"/>
        <w:rPr>
          <w:sz w:val="20"/>
        </w:rPr>
      </w:pPr>
      <w:r>
        <w:rPr>
          <w:noProof/>
          <w:lang w:eastAsia="en-AU"/>
        </w:rPr>
        <mc:AlternateContent>
          <mc:Choice Requires="wps">
            <w:drawing>
              <wp:anchor distT="0" distB="0" distL="114300" distR="114300" simplePos="0" relativeHeight="251738111" behindDoc="0" locked="0" layoutInCell="1" allowOverlap="1" wp14:anchorId="2E312377" wp14:editId="2E2A5716">
                <wp:simplePos x="0" y="0"/>
                <wp:positionH relativeFrom="margin">
                  <wp:posOffset>0</wp:posOffset>
                </wp:positionH>
                <wp:positionV relativeFrom="paragraph">
                  <wp:posOffset>-635</wp:posOffset>
                </wp:positionV>
                <wp:extent cx="215265" cy="107950"/>
                <wp:effectExtent l="0" t="0" r="13335" b="2540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rgbClr val="FF0000"/>
                        </a:solidFill>
                        <a:ln w="9525">
                          <a:solidFill>
                            <a:schemeClr val="accent2">
                              <a:lumMod val="7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29004" id="Rounded Rectangle 54" o:spid="_x0000_s1026" style="position:absolute;margin-left:0;margin-top:-.05pt;width:16.95pt;height:8.5pt;z-index:251738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" fillcolor="red" strokecolor="#943634 [2405]">
                <w10:wrap anchorx="margin"/>
              </v:roundrect>
            </w:pict>
          </mc:Fallback>
        </mc:AlternateContent>
      </w:r>
      <w:r>
        <w:rPr>
          <w:sz w:val="20"/>
        </w:rPr>
        <w:t>Negative response to environmental watering (red)</w:t>
      </w:r>
    </w:p>
    <w:p w14:paraId="252B5C1C" w14:textId="77777777" w:rsidR="009C2E18" w:rsidRPr="00E64C68" w:rsidRDefault="009C2E18" w:rsidP="009C2E18">
      <w:pPr>
        <w:spacing w:after="0" w:line="240" w:lineRule="auto"/>
        <w:ind w:left="360" w:right="-285" w:firstLine="360"/>
        <w:rPr>
          <w:sz w:val="20"/>
        </w:rPr>
      </w:pPr>
      <w:r>
        <w:rPr>
          <w:noProof/>
          <w:lang w:eastAsia="en-AU"/>
        </w:rPr>
        <mc:AlternateContent>
          <mc:Choice Requires="wps">
            <w:drawing>
              <wp:anchor distT="0" distB="0" distL="114300" distR="114300" simplePos="0" relativeHeight="251736063" behindDoc="0" locked="0" layoutInCell="1" allowOverlap="1" wp14:anchorId="295BAC14" wp14:editId="3CE540E0">
                <wp:simplePos x="0" y="0"/>
                <wp:positionH relativeFrom="margin">
                  <wp:posOffset>-635</wp:posOffset>
                </wp:positionH>
                <wp:positionV relativeFrom="paragraph">
                  <wp:posOffset>15240</wp:posOffset>
                </wp:positionV>
                <wp:extent cx="215265" cy="107950"/>
                <wp:effectExtent l="0" t="0" r="13335" b="2540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chemeClr val="bg1">
                            <a:lumMod val="65000"/>
                            <a:lumOff val="0"/>
                          </a:schemeClr>
                        </a:solidFill>
                        <a:ln w="9525">
                          <a:solidFill>
                            <a:schemeClr val="bg1">
                              <a:lumMod val="65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AC047" id="Rounded Rectangle 56" o:spid="_x0000_s1026" style="position:absolute;margin-left:-.05pt;margin-top:1.2pt;width:16.95pt;height:8.5pt;z-index:2517360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" fillcolor="#a5a5a5 [2092]" strokecolor="#a5a5a5 [2092]">
                <w10:wrap anchorx="margin"/>
              </v:roundrect>
            </w:pict>
          </mc:Fallback>
        </mc:AlternateContent>
      </w:r>
      <w:r w:rsidRPr="00E64C68">
        <w:rPr>
          <w:sz w:val="20"/>
        </w:rPr>
        <w:t>No detectable response to environmental watering (neither positive nor negative response) (grey)</w:t>
      </w:r>
    </w:p>
    <w:p w14:paraId="0B7958C5" w14:textId="77777777" w:rsidR="009C2E18" w:rsidRPr="00E64C68" w:rsidRDefault="009C2E18" w:rsidP="009C2E18">
      <w:pPr>
        <w:spacing w:after="0" w:line="240" w:lineRule="auto"/>
        <w:ind w:left="360" w:firstLine="360"/>
        <w:rPr>
          <w:sz w:val="20"/>
        </w:rPr>
      </w:pPr>
      <w:r>
        <w:rPr>
          <w:noProof/>
          <w:lang w:eastAsia="en-AU"/>
        </w:rPr>
        <mc:AlternateContent>
          <mc:Choice Requires="wps">
            <w:drawing>
              <wp:anchor distT="0" distB="0" distL="114300" distR="114300" simplePos="0" relativeHeight="251737087" behindDoc="0" locked="0" layoutInCell="1" allowOverlap="1" wp14:anchorId="41F6A166" wp14:editId="2D9A9F98">
                <wp:simplePos x="0" y="0"/>
                <wp:positionH relativeFrom="margin">
                  <wp:posOffset>-635</wp:posOffset>
                </wp:positionH>
                <wp:positionV relativeFrom="paragraph">
                  <wp:posOffset>7620</wp:posOffset>
                </wp:positionV>
                <wp:extent cx="215265" cy="107950"/>
                <wp:effectExtent l="0" t="0" r="13335" b="25400"/>
                <wp:wrapNone/>
                <wp:docPr id="65" name="Rounded 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07950"/>
                        </a:xfrm>
                        <a:prstGeom prst="roundRect">
                          <a:avLst>
                            <a:gd name="adj" fmla="val 16667"/>
                          </a:avLst>
                        </a:prstGeom>
                        <a:solidFill>
                          <a:schemeClr val="bg1">
                            <a:lumMod val="100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DA580" id="Rounded Rectangle 65" o:spid="_x0000_s1026" style="position:absolute;margin-left:-.05pt;margin-top:.6pt;width:16.95pt;height:8.5pt;z-index:2517370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" fillcolor="white [3212]" strokecolor="black [3213]">
                <w10:wrap anchorx="margin"/>
              </v:roundrect>
            </w:pict>
          </mc:Fallback>
        </mc:AlternateContent>
      </w:r>
      <w:r w:rsidRPr="00E64C68">
        <w:rPr>
          <w:sz w:val="20"/>
        </w:rPr>
        <w:t>N/A No evaluation undertaken by this project (white)</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51"/>
        <w:gridCol w:w="2394"/>
        <w:gridCol w:w="756"/>
        <w:gridCol w:w="686"/>
        <w:gridCol w:w="783"/>
        <w:gridCol w:w="840"/>
        <w:gridCol w:w="574"/>
        <w:gridCol w:w="742"/>
        <w:gridCol w:w="672"/>
        <w:gridCol w:w="672"/>
      </w:tblGrid>
      <w:tr w:rsidR="009C2E18" w:rsidRPr="008D4AE6" w14:paraId="176C27AB" w14:textId="77777777" w:rsidTr="00417F7C">
        <w:trPr>
          <w:trHeight w:val="812"/>
        </w:trPr>
        <w:tc>
          <w:tcPr>
            <w:tcW w:w="1451" w:type="dxa"/>
            <w:shd w:val="clear" w:color="auto" w:fill="auto"/>
          </w:tcPr>
          <w:p w14:paraId="494F32B1" w14:textId="77777777" w:rsidR="009C2E18" w:rsidRPr="008D4AE6" w:rsidRDefault="009C2E18" w:rsidP="00417F7C">
            <w:pPr>
              <w:rPr>
                <w:b/>
                <w:sz w:val="20"/>
              </w:rPr>
            </w:pPr>
            <w:r w:rsidRPr="008D4AE6">
              <w:rPr>
                <w:b/>
                <w:sz w:val="20"/>
              </w:rPr>
              <w:t>Indicators</w:t>
            </w:r>
          </w:p>
        </w:tc>
        <w:tc>
          <w:tcPr>
            <w:tcW w:w="2394" w:type="dxa"/>
          </w:tcPr>
          <w:p w14:paraId="7E5881D2" w14:textId="77777777" w:rsidR="009C2E18" w:rsidRPr="007518FC" w:rsidRDefault="009C2E18" w:rsidP="00417F7C">
            <w:pPr>
              <w:spacing w:after="0" w:line="240" w:lineRule="auto"/>
              <w:rPr>
                <w:b/>
                <w:sz w:val="20"/>
              </w:rPr>
            </w:pPr>
            <w:r>
              <w:rPr>
                <w:b/>
                <w:sz w:val="20"/>
              </w:rPr>
              <w:t>Dependant variable</w:t>
            </w:r>
          </w:p>
        </w:tc>
        <w:tc>
          <w:tcPr>
            <w:tcW w:w="3065" w:type="dxa"/>
            <w:gridSpan w:val="4"/>
            <w:shd w:val="clear" w:color="auto" w:fill="auto"/>
            <w:tcMar>
              <w:left w:w="57" w:type="dxa"/>
              <w:right w:w="57" w:type="dxa"/>
            </w:tcMar>
          </w:tcPr>
          <w:p w14:paraId="2479471B" w14:textId="77777777" w:rsidR="009C2E18" w:rsidRDefault="009C2E18" w:rsidP="00417F7C">
            <w:pPr>
              <w:spacing w:after="0" w:line="240" w:lineRule="auto"/>
              <w:jc w:val="left"/>
              <w:rPr>
                <w:b/>
                <w:sz w:val="20"/>
              </w:rPr>
            </w:pPr>
            <w:r>
              <w:rPr>
                <w:b/>
                <w:sz w:val="20"/>
              </w:rPr>
              <w:t>Response</w:t>
            </w:r>
            <w:r w:rsidRPr="007518FC">
              <w:rPr>
                <w:b/>
                <w:sz w:val="20"/>
              </w:rPr>
              <w:t xml:space="preserve"> to </w:t>
            </w:r>
            <w:r>
              <w:rPr>
                <w:b/>
                <w:sz w:val="20"/>
              </w:rPr>
              <w:t>Yallakool Creek e-watering event (Aug 2015-Jan 2016)</w:t>
            </w:r>
          </w:p>
        </w:tc>
        <w:tc>
          <w:tcPr>
            <w:tcW w:w="2660" w:type="dxa"/>
            <w:gridSpan w:val="4"/>
          </w:tcPr>
          <w:p w14:paraId="5BA9AD59" w14:textId="77777777" w:rsidR="009C2E18" w:rsidRDefault="009C2E18" w:rsidP="00417F7C">
            <w:pPr>
              <w:spacing w:after="0" w:line="240" w:lineRule="auto"/>
              <w:jc w:val="left"/>
              <w:rPr>
                <w:b/>
                <w:sz w:val="20"/>
              </w:rPr>
            </w:pPr>
            <w:r>
              <w:rPr>
                <w:b/>
                <w:sz w:val="20"/>
              </w:rPr>
              <w:t>Short-term r esponse</w:t>
            </w:r>
            <w:r w:rsidRPr="007518FC">
              <w:rPr>
                <w:b/>
                <w:sz w:val="20"/>
              </w:rPr>
              <w:t xml:space="preserve"> to </w:t>
            </w:r>
            <w:r>
              <w:rPr>
                <w:b/>
                <w:sz w:val="20"/>
              </w:rPr>
              <w:t>Wakool River e-watering (Aug 2015-Jan 2016)</w:t>
            </w:r>
          </w:p>
        </w:tc>
      </w:tr>
      <w:tr w:rsidR="009C2E18" w:rsidRPr="00287858" w14:paraId="4CF02242" w14:textId="77777777" w:rsidTr="00417F7C">
        <w:trPr>
          <w:trHeight w:val="273"/>
        </w:trPr>
        <w:tc>
          <w:tcPr>
            <w:tcW w:w="1451" w:type="dxa"/>
            <w:tcMar>
              <w:left w:w="57" w:type="dxa"/>
              <w:right w:w="57" w:type="dxa"/>
            </w:tcMar>
          </w:tcPr>
          <w:p w14:paraId="2B3A9A06" w14:textId="77777777" w:rsidR="009C2E18"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023395ED" w14:textId="77777777" w:rsidR="009C2E18" w:rsidRDefault="009C2E18" w:rsidP="00417F7C">
            <w:pPr>
              <w:spacing w:after="0" w:line="240" w:lineRule="auto"/>
              <w:jc w:val="left"/>
              <w:rPr>
                <w:sz w:val="18"/>
                <w:szCs w:val="18"/>
              </w:rPr>
            </w:pPr>
          </w:p>
        </w:tc>
        <w:tc>
          <w:tcPr>
            <w:tcW w:w="756" w:type="dxa"/>
            <w:tcBorders>
              <w:bottom w:val="single" w:sz="4" w:space="0" w:color="000000"/>
            </w:tcBorders>
            <w:shd w:val="clear" w:color="auto" w:fill="FFFFFF" w:themeFill="background1"/>
            <w:tcMar>
              <w:left w:w="57" w:type="dxa"/>
              <w:right w:w="57" w:type="dxa"/>
            </w:tcMar>
          </w:tcPr>
          <w:p w14:paraId="100B4BFD" w14:textId="77777777" w:rsidR="009C2E18" w:rsidRPr="003920D2" w:rsidRDefault="009C2E18" w:rsidP="00417F7C">
            <w:pPr>
              <w:spacing w:after="0" w:line="240" w:lineRule="auto"/>
              <w:jc w:val="center"/>
              <w:rPr>
                <w:b/>
                <w:sz w:val="16"/>
                <w:szCs w:val="16"/>
              </w:rPr>
            </w:pPr>
            <w:r w:rsidRPr="003920D2">
              <w:rPr>
                <w:b/>
                <w:sz w:val="16"/>
                <w:szCs w:val="16"/>
              </w:rPr>
              <w:t>Zone 1</w:t>
            </w:r>
          </w:p>
        </w:tc>
        <w:tc>
          <w:tcPr>
            <w:tcW w:w="686" w:type="dxa"/>
            <w:tcBorders>
              <w:bottom w:val="single" w:sz="4" w:space="0" w:color="000000"/>
            </w:tcBorders>
            <w:shd w:val="clear" w:color="auto" w:fill="FFFFFF" w:themeFill="background1"/>
          </w:tcPr>
          <w:p w14:paraId="1C6EE6CE"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2</w:t>
            </w:r>
          </w:p>
        </w:tc>
        <w:tc>
          <w:tcPr>
            <w:tcW w:w="783" w:type="dxa"/>
            <w:tcBorders>
              <w:bottom w:val="single" w:sz="4" w:space="0" w:color="000000"/>
            </w:tcBorders>
            <w:shd w:val="clear" w:color="auto" w:fill="FFFFFF" w:themeFill="background1"/>
          </w:tcPr>
          <w:p w14:paraId="659938A9"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3</w:t>
            </w:r>
          </w:p>
        </w:tc>
        <w:tc>
          <w:tcPr>
            <w:tcW w:w="840" w:type="dxa"/>
            <w:tcBorders>
              <w:bottom w:val="single" w:sz="4" w:space="0" w:color="000000"/>
            </w:tcBorders>
            <w:shd w:val="clear" w:color="auto" w:fill="FFFFFF" w:themeFill="background1"/>
          </w:tcPr>
          <w:p w14:paraId="421FA4B4"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 xml:space="preserve">Zone 4   </w:t>
            </w:r>
          </w:p>
        </w:tc>
        <w:tc>
          <w:tcPr>
            <w:tcW w:w="574" w:type="dxa"/>
            <w:tcBorders>
              <w:bottom w:val="single" w:sz="4" w:space="0" w:color="000000"/>
            </w:tcBorders>
            <w:shd w:val="clear" w:color="auto" w:fill="FFFFFF" w:themeFill="background1"/>
          </w:tcPr>
          <w:p w14:paraId="52FE6A27"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b/>
                <w:sz w:val="16"/>
                <w:szCs w:val="16"/>
              </w:rPr>
              <w:t>Zone 1</w:t>
            </w:r>
          </w:p>
        </w:tc>
        <w:tc>
          <w:tcPr>
            <w:tcW w:w="742" w:type="dxa"/>
            <w:tcBorders>
              <w:bottom w:val="single" w:sz="4" w:space="0" w:color="000000"/>
            </w:tcBorders>
            <w:shd w:val="clear" w:color="auto" w:fill="FFFFFF" w:themeFill="background1"/>
          </w:tcPr>
          <w:p w14:paraId="053B2F11"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2</w:t>
            </w:r>
          </w:p>
        </w:tc>
        <w:tc>
          <w:tcPr>
            <w:tcW w:w="672" w:type="dxa"/>
            <w:tcBorders>
              <w:bottom w:val="single" w:sz="4" w:space="0" w:color="000000"/>
            </w:tcBorders>
            <w:shd w:val="clear" w:color="auto" w:fill="FFFFFF" w:themeFill="background1"/>
          </w:tcPr>
          <w:p w14:paraId="4A894AEF"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Zone 3</w:t>
            </w:r>
          </w:p>
        </w:tc>
        <w:tc>
          <w:tcPr>
            <w:tcW w:w="672" w:type="dxa"/>
            <w:tcBorders>
              <w:bottom w:val="single" w:sz="4" w:space="0" w:color="000000"/>
            </w:tcBorders>
            <w:shd w:val="clear" w:color="auto" w:fill="FFFFFF" w:themeFill="background1"/>
          </w:tcPr>
          <w:p w14:paraId="100C8FAA" w14:textId="77777777" w:rsidR="009C2E18" w:rsidRPr="003920D2" w:rsidRDefault="009C2E18" w:rsidP="00417F7C">
            <w:pPr>
              <w:spacing w:after="0" w:line="240" w:lineRule="auto"/>
              <w:jc w:val="center"/>
              <w:rPr>
                <w:rFonts w:asciiTheme="minorHAnsi" w:hAnsiTheme="minorHAnsi" w:cstheme="minorHAnsi"/>
                <w:b/>
                <w:sz w:val="16"/>
                <w:szCs w:val="16"/>
              </w:rPr>
            </w:pPr>
            <w:r w:rsidRPr="003920D2">
              <w:rPr>
                <w:rFonts w:asciiTheme="minorHAnsi" w:hAnsiTheme="minorHAnsi" w:cstheme="minorHAnsi"/>
                <w:b/>
                <w:sz w:val="16"/>
                <w:szCs w:val="16"/>
              </w:rPr>
              <w:t xml:space="preserve">Zone 4   </w:t>
            </w:r>
          </w:p>
        </w:tc>
      </w:tr>
      <w:tr w:rsidR="009C2E18" w:rsidRPr="00287858" w14:paraId="0BA96377" w14:textId="77777777" w:rsidTr="00417F7C">
        <w:trPr>
          <w:trHeight w:val="273"/>
        </w:trPr>
        <w:tc>
          <w:tcPr>
            <w:tcW w:w="1451" w:type="dxa"/>
            <w:vMerge w:val="restart"/>
            <w:tcMar>
              <w:left w:w="57" w:type="dxa"/>
              <w:right w:w="57" w:type="dxa"/>
            </w:tcMar>
          </w:tcPr>
          <w:p w14:paraId="335F0BFA" w14:textId="77777777" w:rsidR="009C2E18" w:rsidRPr="00DE3187" w:rsidRDefault="009C2E18" w:rsidP="00417F7C">
            <w:pPr>
              <w:spacing w:after="0" w:line="240" w:lineRule="auto"/>
              <w:rPr>
                <w:b/>
                <w:sz w:val="18"/>
                <w:szCs w:val="18"/>
              </w:rPr>
            </w:pPr>
            <w:r>
              <w:rPr>
                <w:b/>
                <w:sz w:val="18"/>
                <w:szCs w:val="18"/>
              </w:rPr>
              <w:t>Hydrology</w:t>
            </w:r>
          </w:p>
        </w:tc>
        <w:tc>
          <w:tcPr>
            <w:tcW w:w="2394" w:type="dxa"/>
            <w:tcBorders>
              <w:bottom w:val="single" w:sz="4" w:space="0" w:color="000000"/>
            </w:tcBorders>
            <w:shd w:val="clear" w:color="auto" w:fill="auto"/>
          </w:tcPr>
          <w:p w14:paraId="605B5308" w14:textId="77777777" w:rsidR="009C2E18" w:rsidRPr="00A11AF6" w:rsidRDefault="009C2E18" w:rsidP="00417F7C">
            <w:pPr>
              <w:spacing w:after="0" w:line="240" w:lineRule="auto"/>
              <w:jc w:val="left"/>
              <w:rPr>
                <w:sz w:val="16"/>
                <w:szCs w:val="16"/>
              </w:rPr>
            </w:pPr>
            <w:r>
              <w:rPr>
                <w:sz w:val="18"/>
                <w:szCs w:val="18"/>
              </w:rPr>
              <w:t>Hydrological connectivity</w:t>
            </w:r>
          </w:p>
        </w:tc>
        <w:tc>
          <w:tcPr>
            <w:tcW w:w="756" w:type="dxa"/>
            <w:tcBorders>
              <w:bottom w:val="single" w:sz="4" w:space="0" w:color="000000"/>
            </w:tcBorders>
            <w:shd w:val="clear" w:color="auto" w:fill="C2D69B" w:themeFill="accent3" w:themeFillTint="99"/>
            <w:tcMar>
              <w:left w:w="57" w:type="dxa"/>
              <w:right w:w="57" w:type="dxa"/>
            </w:tcMar>
          </w:tcPr>
          <w:p w14:paraId="2A8D3240"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05CD7AA6"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36E6EB07"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53D33246"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683C9340"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76E9E6B2"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064442D0"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03C3DAB1" w14:textId="77777777" w:rsidR="009C2E18" w:rsidRPr="00A11AF6" w:rsidRDefault="009C2E18" w:rsidP="00417F7C">
            <w:pPr>
              <w:spacing w:after="0" w:line="240" w:lineRule="auto"/>
              <w:jc w:val="center"/>
              <w:rPr>
                <w:rFonts w:asciiTheme="minorHAnsi" w:hAnsiTheme="minorHAnsi" w:cstheme="minorHAnsi"/>
                <w:sz w:val="16"/>
                <w:szCs w:val="16"/>
              </w:rPr>
            </w:pPr>
          </w:p>
        </w:tc>
      </w:tr>
      <w:tr w:rsidR="009C2E18" w:rsidRPr="00287858" w14:paraId="1AA6C866" w14:textId="77777777" w:rsidTr="00417F7C">
        <w:trPr>
          <w:trHeight w:val="263"/>
        </w:trPr>
        <w:tc>
          <w:tcPr>
            <w:tcW w:w="1451" w:type="dxa"/>
            <w:vMerge/>
            <w:tcBorders>
              <w:bottom w:val="single" w:sz="4" w:space="0" w:color="000000"/>
            </w:tcBorders>
            <w:tcMar>
              <w:left w:w="57" w:type="dxa"/>
              <w:right w:w="57" w:type="dxa"/>
            </w:tcMar>
          </w:tcPr>
          <w:p w14:paraId="7C597151" w14:textId="77777777" w:rsidR="009C2E18"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0E5D2D42" w14:textId="77777777" w:rsidR="009C2E18" w:rsidRPr="00A11AF6" w:rsidRDefault="009C2E18" w:rsidP="00417F7C">
            <w:pPr>
              <w:spacing w:after="0" w:line="240" w:lineRule="auto"/>
              <w:jc w:val="left"/>
              <w:rPr>
                <w:sz w:val="18"/>
                <w:szCs w:val="18"/>
              </w:rPr>
            </w:pPr>
            <w:r>
              <w:rPr>
                <w:sz w:val="18"/>
                <w:szCs w:val="18"/>
              </w:rPr>
              <w:t>Coefficient of variation of discharge</w:t>
            </w:r>
          </w:p>
        </w:tc>
        <w:tc>
          <w:tcPr>
            <w:tcW w:w="756" w:type="dxa"/>
            <w:tcBorders>
              <w:bottom w:val="single" w:sz="4" w:space="0" w:color="000000"/>
            </w:tcBorders>
            <w:shd w:val="clear" w:color="auto" w:fill="D9D9D9" w:themeFill="background1" w:themeFillShade="D9"/>
            <w:tcMar>
              <w:left w:w="57" w:type="dxa"/>
              <w:right w:w="57" w:type="dxa"/>
            </w:tcMar>
          </w:tcPr>
          <w:p w14:paraId="279E0822"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74AABAF1"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54D2B167" w14:textId="77777777" w:rsidR="009C2E18"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31EC8E04" w14:textId="77777777" w:rsidR="009C2E18"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5B1101DF"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3681C0B9"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ACB4496"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5312FDFE"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157D9B73" w14:textId="77777777" w:rsidTr="00417F7C">
        <w:trPr>
          <w:trHeight w:val="390"/>
        </w:trPr>
        <w:tc>
          <w:tcPr>
            <w:tcW w:w="1451" w:type="dxa"/>
            <w:vMerge w:val="restart"/>
            <w:tcMar>
              <w:left w:w="57" w:type="dxa"/>
              <w:right w:w="57" w:type="dxa"/>
            </w:tcMar>
          </w:tcPr>
          <w:p w14:paraId="0B62C3B4" w14:textId="77777777" w:rsidR="009C2E18" w:rsidRPr="00DE3187" w:rsidRDefault="009C2E18" w:rsidP="00417F7C">
            <w:pPr>
              <w:spacing w:after="0" w:line="240" w:lineRule="auto"/>
              <w:rPr>
                <w:b/>
                <w:sz w:val="18"/>
                <w:szCs w:val="18"/>
              </w:rPr>
            </w:pPr>
            <w:r>
              <w:rPr>
                <w:b/>
                <w:sz w:val="18"/>
                <w:szCs w:val="18"/>
              </w:rPr>
              <w:t>Hydraulic modelling</w:t>
            </w:r>
          </w:p>
        </w:tc>
        <w:tc>
          <w:tcPr>
            <w:tcW w:w="2394" w:type="dxa"/>
            <w:tcBorders>
              <w:bottom w:val="single" w:sz="4" w:space="0" w:color="000000"/>
            </w:tcBorders>
            <w:shd w:val="clear" w:color="auto" w:fill="auto"/>
          </w:tcPr>
          <w:p w14:paraId="66FA9147" w14:textId="77777777" w:rsidR="009C2E18" w:rsidRPr="00A11AF6" w:rsidRDefault="009C2E18" w:rsidP="00417F7C">
            <w:pPr>
              <w:spacing w:after="0" w:line="240" w:lineRule="auto"/>
              <w:jc w:val="left"/>
              <w:rPr>
                <w:sz w:val="18"/>
                <w:szCs w:val="18"/>
              </w:rPr>
            </w:pPr>
            <w:r>
              <w:rPr>
                <w:sz w:val="18"/>
                <w:szCs w:val="18"/>
              </w:rPr>
              <w:t>In-channel w</w:t>
            </w:r>
            <w:r w:rsidRPr="00A11AF6">
              <w:rPr>
                <w:sz w:val="18"/>
                <w:szCs w:val="18"/>
              </w:rPr>
              <w:t>etted benthic ar</w:t>
            </w:r>
            <w:r>
              <w:rPr>
                <w:sz w:val="18"/>
                <w:szCs w:val="18"/>
              </w:rPr>
              <w:t>ea</w:t>
            </w:r>
          </w:p>
        </w:tc>
        <w:tc>
          <w:tcPr>
            <w:tcW w:w="756" w:type="dxa"/>
            <w:tcBorders>
              <w:bottom w:val="single" w:sz="4" w:space="0" w:color="000000"/>
            </w:tcBorders>
            <w:shd w:val="clear" w:color="auto" w:fill="C2D69B" w:themeFill="accent3" w:themeFillTint="99"/>
            <w:tcMar>
              <w:left w:w="57" w:type="dxa"/>
              <w:right w:w="57" w:type="dxa"/>
            </w:tcMar>
          </w:tcPr>
          <w:p w14:paraId="35A4362C"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77BF069B"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766D533A" w14:textId="77777777" w:rsidR="009C2E18"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5B1EE010" w14:textId="77777777" w:rsidR="009C2E18"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4A86B9BA"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2D8FEE56"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05B723F3"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5DEAD86C"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14FF9AC8" w14:textId="77777777" w:rsidTr="00417F7C">
        <w:trPr>
          <w:trHeight w:val="390"/>
        </w:trPr>
        <w:tc>
          <w:tcPr>
            <w:tcW w:w="1451" w:type="dxa"/>
            <w:vMerge/>
            <w:tcMar>
              <w:left w:w="57" w:type="dxa"/>
              <w:right w:w="57" w:type="dxa"/>
            </w:tcMar>
          </w:tcPr>
          <w:p w14:paraId="0EC15A0E" w14:textId="77777777" w:rsidR="009C2E18"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2AA8854F" w14:textId="77777777" w:rsidR="009C2E18" w:rsidRPr="00A11AF6" w:rsidRDefault="009C2E18" w:rsidP="00417F7C">
            <w:pPr>
              <w:spacing w:after="0" w:line="240" w:lineRule="auto"/>
              <w:jc w:val="left"/>
              <w:rPr>
                <w:sz w:val="18"/>
                <w:szCs w:val="18"/>
              </w:rPr>
            </w:pPr>
            <w:r>
              <w:rPr>
                <w:sz w:val="18"/>
                <w:szCs w:val="18"/>
              </w:rPr>
              <w:t>Hydraulic diversity – zone scale</w:t>
            </w:r>
          </w:p>
        </w:tc>
        <w:tc>
          <w:tcPr>
            <w:tcW w:w="756" w:type="dxa"/>
            <w:tcBorders>
              <w:bottom w:val="single" w:sz="4" w:space="0" w:color="000000"/>
            </w:tcBorders>
            <w:shd w:val="clear" w:color="auto" w:fill="FFC000"/>
            <w:tcMar>
              <w:left w:w="57" w:type="dxa"/>
              <w:right w:w="57" w:type="dxa"/>
            </w:tcMar>
          </w:tcPr>
          <w:p w14:paraId="1E0EE059"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3BC17619"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07DC66AA" w14:textId="77777777" w:rsidR="009C2E18"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2D5B4979" w14:textId="77777777" w:rsidR="009C2E18"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221E65E6"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0337F237"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1453CA4D"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6D84A6CB"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63BBC17E" w14:textId="77777777" w:rsidTr="00417F7C">
        <w:trPr>
          <w:trHeight w:val="390"/>
        </w:trPr>
        <w:tc>
          <w:tcPr>
            <w:tcW w:w="1451" w:type="dxa"/>
            <w:vMerge w:val="restart"/>
            <w:tcMar>
              <w:left w:w="57" w:type="dxa"/>
              <w:right w:w="57" w:type="dxa"/>
            </w:tcMar>
          </w:tcPr>
          <w:p w14:paraId="2CE1A6D3" w14:textId="77777777" w:rsidR="009C2E18" w:rsidRDefault="009C2E18" w:rsidP="00417F7C">
            <w:pPr>
              <w:spacing w:after="0" w:line="240" w:lineRule="auto"/>
              <w:jc w:val="left"/>
              <w:rPr>
                <w:b/>
                <w:sz w:val="18"/>
                <w:szCs w:val="18"/>
              </w:rPr>
            </w:pPr>
            <w:r w:rsidRPr="00DE3187">
              <w:rPr>
                <w:b/>
                <w:sz w:val="18"/>
                <w:szCs w:val="18"/>
              </w:rPr>
              <w:t>Stream metabolism</w:t>
            </w:r>
            <w:r>
              <w:rPr>
                <w:b/>
                <w:sz w:val="18"/>
                <w:szCs w:val="18"/>
              </w:rPr>
              <w:t>, water quality, and o</w:t>
            </w:r>
            <w:r w:rsidRPr="00DE3187">
              <w:rPr>
                <w:b/>
                <w:sz w:val="18"/>
                <w:szCs w:val="18"/>
              </w:rPr>
              <w:t xml:space="preserve">rganic matter </w:t>
            </w:r>
            <w:r w:rsidRPr="00207410">
              <w:rPr>
                <w:b/>
                <w:sz w:val="16"/>
                <w:szCs w:val="16"/>
              </w:rPr>
              <w:t>c</w:t>
            </w:r>
            <w:r w:rsidRPr="00646EF7">
              <w:rPr>
                <w:b/>
                <w:sz w:val="18"/>
                <w:szCs w:val="18"/>
              </w:rPr>
              <w:t>haracterisation</w:t>
            </w:r>
          </w:p>
        </w:tc>
        <w:tc>
          <w:tcPr>
            <w:tcW w:w="2394" w:type="dxa"/>
            <w:tcBorders>
              <w:bottom w:val="single" w:sz="4" w:space="0" w:color="000000"/>
            </w:tcBorders>
            <w:shd w:val="clear" w:color="auto" w:fill="auto"/>
          </w:tcPr>
          <w:p w14:paraId="67C9C105" w14:textId="77777777" w:rsidR="009C2E18" w:rsidRPr="00A11AF6" w:rsidRDefault="009C2E18" w:rsidP="00417F7C">
            <w:pPr>
              <w:spacing w:after="0" w:line="240" w:lineRule="auto"/>
              <w:jc w:val="left"/>
              <w:rPr>
                <w:sz w:val="18"/>
                <w:szCs w:val="18"/>
              </w:rPr>
            </w:pPr>
            <w:r w:rsidRPr="00BF402A">
              <w:rPr>
                <w:sz w:val="18"/>
                <w:szCs w:val="18"/>
              </w:rPr>
              <w:t xml:space="preserve">Rates of gross primary productivity </w:t>
            </w:r>
          </w:p>
        </w:tc>
        <w:tc>
          <w:tcPr>
            <w:tcW w:w="756" w:type="dxa"/>
            <w:tcBorders>
              <w:bottom w:val="single" w:sz="4" w:space="0" w:color="000000"/>
            </w:tcBorders>
            <w:shd w:val="clear" w:color="auto" w:fill="D9D9D9" w:themeFill="background1" w:themeFillShade="D9"/>
            <w:tcMar>
              <w:left w:w="57" w:type="dxa"/>
              <w:right w:w="57" w:type="dxa"/>
            </w:tcMar>
          </w:tcPr>
          <w:p w14:paraId="41FECAE3"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66BA39C8"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1147AD43" w14:textId="77777777" w:rsidR="009C2E18"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05CEA3A2" w14:textId="77777777" w:rsidR="009C2E18"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63682B7B"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2E58FF47"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746085B"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44BB626D"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630A3C7A" w14:textId="77777777" w:rsidTr="00417F7C">
        <w:trPr>
          <w:trHeight w:val="390"/>
        </w:trPr>
        <w:tc>
          <w:tcPr>
            <w:tcW w:w="1451" w:type="dxa"/>
            <w:vMerge/>
            <w:tcMar>
              <w:left w:w="57" w:type="dxa"/>
              <w:right w:w="57" w:type="dxa"/>
            </w:tcMar>
          </w:tcPr>
          <w:p w14:paraId="34FAED12" w14:textId="77777777" w:rsidR="009C2E18" w:rsidRPr="00DE3187" w:rsidRDefault="009C2E18" w:rsidP="00417F7C">
            <w:pPr>
              <w:spacing w:after="0" w:line="240" w:lineRule="auto"/>
              <w:jc w:val="left"/>
              <w:rPr>
                <w:b/>
                <w:sz w:val="18"/>
                <w:szCs w:val="18"/>
              </w:rPr>
            </w:pPr>
          </w:p>
        </w:tc>
        <w:tc>
          <w:tcPr>
            <w:tcW w:w="2394" w:type="dxa"/>
            <w:tcBorders>
              <w:bottom w:val="single" w:sz="4" w:space="0" w:color="000000"/>
            </w:tcBorders>
            <w:shd w:val="clear" w:color="auto" w:fill="auto"/>
          </w:tcPr>
          <w:p w14:paraId="19658D67" w14:textId="77777777" w:rsidR="009C2E18" w:rsidRPr="00BF402A" w:rsidRDefault="009C2E18" w:rsidP="00417F7C">
            <w:pPr>
              <w:spacing w:after="0" w:line="240" w:lineRule="auto"/>
              <w:jc w:val="left"/>
              <w:rPr>
                <w:sz w:val="18"/>
                <w:szCs w:val="18"/>
              </w:rPr>
            </w:pPr>
            <w:r>
              <w:rPr>
                <w:sz w:val="18"/>
                <w:szCs w:val="18"/>
              </w:rPr>
              <w:t>Rates of ecosystem respiration</w:t>
            </w:r>
          </w:p>
        </w:tc>
        <w:tc>
          <w:tcPr>
            <w:tcW w:w="756" w:type="dxa"/>
            <w:tcBorders>
              <w:bottom w:val="single" w:sz="4" w:space="0" w:color="000000"/>
            </w:tcBorders>
            <w:shd w:val="clear" w:color="auto" w:fill="D9D9D9" w:themeFill="background1" w:themeFillShade="D9"/>
            <w:tcMar>
              <w:left w:w="57" w:type="dxa"/>
              <w:right w:w="57" w:type="dxa"/>
            </w:tcMar>
          </w:tcPr>
          <w:p w14:paraId="67EE754B"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4216A606"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79EBFD9B" w14:textId="77777777" w:rsidR="009C2E18"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6D6D23CF" w14:textId="77777777" w:rsidR="009C2E18"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0F03A9D3"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1A96AD3D"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2180CFBC"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65AE1937"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7F2FE987" w14:textId="77777777" w:rsidTr="00417F7C">
        <w:trPr>
          <w:trHeight w:val="390"/>
        </w:trPr>
        <w:tc>
          <w:tcPr>
            <w:tcW w:w="1451" w:type="dxa"/>
            <w:vMerge/>
            <w:tcMar>
              <w:left w:w="57" w:type="dxa"/>
              <w:right w:w="57" w:type="dxa"/>
            </w:tcMar>
          </w:tcPr>
          <w:p w14:paraId="1ABF0AEF" w14:textId="77777777" w:rsidR="009C2E18" w:rsidRPr="00DE3187"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2E133AE8" w14:textId="77777777" w:rsidR="009C2E18" w:rsidRPr="00D721FD" w:rsidRDefault="009C2E18" w:rsidP="00417F7C">
            <w:pPr>
              <w:spacing w:after="0" w:line="240" w:lineRule="auto"/>
              <w:jc w:val="left"/>
              <w:rPr>
                <w:sz w:val="18"/>
                <w:szCs w:val="18"/>
              </w:rPr>
            </w:pPr>
            <w:r w:rsidRPr="00D721FD">
              <w:rPr>
                <w:sz w:val="18"/>
                <w:szCs w:val="18"/>
              </w:rPr>
              <w:t>D</w:t>
            </w:r>
            <w:r>
              <w:rPr>
                <w:sz w:val="18"/>
                <w:szCs w:val="18"/>
              </w:rPr>
              <w:t>issolved organic matter</w:t>
            </w:r>
          </w:p>
        </w:tc>
        <w:tc>
          <w:tcPr>
            <w:tcW w:w="756" w:type="dxa"/>
            <w:tcBorders>
              <w:bottom w:val="single" w:sz="4" w:space="0" w:color="000000"/>
            </w:tcBorders>
            <w:shd w:val="clear" w:color="auto" w:fill="C2D69B" w:themeFill="accent3" w:themeFillTint="99"/>
            <w:tcMar>
              <w:left w:w="57" w:type="dxa"/>
              <w:right w:w="57" w:type="dxa"/>
            </w:tcMar>
          </w:tcPr>
          <w:p w14:paraId="32C7A615" w14:textId="77777777" w:rsidR="009C2E18" w:rsidRPr="00A11AF6" w:rsidRDefault="009C2E18" w:rsidP="00417F7C">
            <w:pPr>
              <w:tabs>
                <w:tab w:val="left" w:pos="675"/>
              </w:tabs>
              <w:spacing w:after="0" w:line="240" w:lineRule="auto"/>
              <w:rPr>
                <w:sz w:val="16"/>
                <w:szCs w:val="16"/>
              </w:rPr>
            </w:pPr>
            <w:r>
              <w:rPr>
                <w:sz w:val="16"/>
                <w:szCs w:val="16"/>
              </w:rPr>
              <w:t>during multisite watering</w:t>
            </w:r>
          </w:p>
        </w:tc>
        <w:tc>
          <w:tcPr>
            <w:tcW w:w="686" w:type="dxa"/>
            <w:tcBorders>
              <w:bottom w:val="single" w:sz="4" w:space="0" w:color="000000"/>
            </w:tcBorders>
            <w:shd w:val="clear" w:color="auto" w:fill="FFFFFF" w:themeFill="background1"/>
          </w:tcPr>
          <w:p w14:paraId="303B3844"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6AEA4ADD" w14:textId="77777777" w:rsidR="009C2E18" w:rsidRDefault="009C2E18" w:rsidP="00417F7C">
            <w:pPr>
              <w:spacing w:after="0" w:line="240" w:lineRule="auto"/>
              <w:rPr>
                <w:rFonts w:asciiTheme="minorHAnsi" w:hAnsiTheme="minorHAnsi" w:cstheme="minorHAnsi"/>
                <w:sz w:val="16"/>
                <w:szCs w:val="16"/>
              </w:rPr>
            </w:pPr>
            <w:r>
              <w:rPr>
                <w:sz w:val="16"/>
                <w:szCs w:val="16"/>
              </w:rPr>
              <w:t>during multisite watering</w:t>
            </w:r>
          </w:p>
        </w:tc>
        <w:tc>
          <w:tcPr>
            <w:tcW w:w="840" w:type="dxa"/>
            <w:tcBorders>
              <w:bottom w:val="single" w:sz="4" w:space="0" w:color="000000"/>
            </w:tcBorders>
            <w:shd w:val="clear" w:color="auto" w:fill="C2D69B" w:themeFill="accent3" w:themeFillTint="99"/>
          </w:tcPr>
          <w:p w14:paraId="3946E909" w14:textId="77777777" w:rsidR="009C2E18" w:rsidRDefault="009C2E18" w:rsidP="00417F7C">
            <w:pPr>
              <w:spacing w:after="0" w:line="240" w:lineRule="auto"/>
              <w:rPr>
                <w:rFonts w:asciiTheme="minorHAnsi" w:hAnsiTheme="minorHAnsi" w:cstheme="minorHAnsi"/>
                <w:sz w:val="16"/>
                <w:szCs w:val="16"/>
              </w:rPr>
            </w:pPr>
            <w:r>
              <w:rPr>
                <w:sz w:val="16"/>
                <w:szCs w:val="16"/>
              </w:rPr>
              <w:t>during multisite watering</w:t>
            </w:r>
          </w:p>
        </w:tc>
        <w:tc>
          <w:tcPr>
            <w:tcW w:w="574" w:type="dxa"/>
            <w:tcBorders>
              <w:bottom w:val="single" w:sz="4" w:space="0" w:color="000000"/>
            </w:tcBorders>
            <w:shd w:val="clear" w:color="auto" w:fill="FFFFFF" w:themeFill="background1"/>
          </w:tcPr>
          <w:p w14:paraId="7066D5B5"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C2D69B" w:themeFill="accent3" w:themeFillTint="99"/>
          </w:tcPr>
          <w:p w14:paraId="34217FFC" w14:textId="77777777" w:rsidR="009C2E18" w:rsidRDefault="009C2E18" w:rsidP="00417F7C">
            <w:pPr>
              <w:spacing w:after="0" w:line="240" w:lineRule="auto"/>
              <w:rPr>
                <w:rFonts w:asciiTheme="minorHAnsi" w:hAnsiTheme="minorHAnsi" w:cstheme="minorHAnsi"/>
                <w:sz w:val="16"/>
                <w:szCs w:val="16"/>
              </w:rPr>
            </w:pPr>
            <w:r>
              <w:rPr>
                <w:sz w:val="16"/>
                <w:szCs w:val="16"/>
              </w:rPr>
              <w:t>during multisite watering</w:t>
            </w:r>
          </w:p>
        </w:tc>
        <w:tc>
          <w:tcPr>
            <w:tcW w:w="672" w:type="dxa"/>
            <w:tcBorders>
              <w:bottom w:val="single" w:sz="4" w:space="0" w:color="000000"/>
            </w:tcBorders>
            <w:shd w:val="clear" w:color="auto" w:fill="D9D9D9" w:themeFill="background1" w:themeFillShade="D9"/>
          </w:tcPr>
          <w:p w14:paraId="0437AA83"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66950D66"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7D252CE9" w14:textId="77777777" w:rsidTr="00417F7C">
        <w:trPr>
          <w:trHeight w:val="247"/>
        </w:trPr>
        <w:tc>
          <w:tcPr>
            <w:tcW w:w="1451" w:type="dxa"/>
            <w:vMerge/>
            <w:tcMar>
              <w:left w:w="57" w:type="dxa"/>
              <w:right w:w="57" w:type="dxa"/>
            </w:tcMar>
          </w:tcPr>
          <w:p w14:paraId="6C1EDA53" w14:textId="77777777" w:rsidR="009C2E18" w:rsidRPr="00DE3187"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76AA8CC6" w14:textId="77777777" w:rsidR="009C2E18" w:rsidRPr="00D721FD" w:rsidRDefault="009C2E18" w:rsidP="00417F7C">
            <w:pPr>
              <w:spacing w:after="0" w:line="240" w:lineRule="auto"/>
              <w:jc w:val="left"/>
              <w:rPr>
                <w:sz w:val="18"/>
                <w:szCs w:val="18"/>
              </w:rPr>
            </w:pPr>
            <w:r>
              <w:rPr>
                <w:sz w:val="18"/>
                <w:szCs w:val="18"/>
              </w:rPr>
              <w:t>Dissolved oxygen</w:t>
            </w:r>
          </w:p>
        </w:tc>
        <w:tc>
          <w:tcPr>
            <w:tcW w:w="756" w:type="dxa"/>
            <w:tcBorders>
              <w:bottom w:val="single" w:sz="4" w:space="0" w:color="000000"/>
            </w:tcBorders>
            <w:shd w:val="clear" w:color="auto" w:fill="C2D69B" w:themeFill="accent3" w:themeFillTint="99"/>
            <w:tcMar>
              <w:left w:w="57" w:type="dxa"/>
              <w:right w:w="57" w:type="dxa"/>
            </w:tcMar>
          </w:tcPr>
          <w:p w14:paraId="07E7740E"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555BF4C2"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C2D69B" w:themeFill="accent3" w:themeFillTint="99"/>
          </w:tcPr>
          <w:p w14:paraId="43C98EBE"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C2D69B" w:themeFill="accent3" w:themeFillTint="99"/>
          </w:tcPr>
          <w:p w14:paraId="2675E7D1"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144AF9C5"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1B5CC0ED"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50620D14"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5C9C8EF5" w14:textId="77777777" w:rsidR="009C2E18" w:rsidRPr="00A11AF6" w:rsidRDefault="009C2E18" w:rsidP="00417F7C">
            <w:pPr>
              <w:spacing w:after="0" w:line="240" w:lineRule="auto"/>
              <w:jc w:val="center"/>
              <w:rPr>
                <w:rFonts w:asciiTheme="minorHAnsi" w:hAnsiTheme="minorHAnsi" w:cstheme="minorHAnsi"/>
                <w:sz w:val="16"/>
                <w:szCs w:val="16"/>
              </w:rPr>
            </w:pPr>
          </w:p>
        </w:tc>
      </w:tr>
      <w:tr w:rsidR="009C2E18" w:rsidRPr="00287858" w14:paraId="18897FE7" w14:textId="77777777" w:rsidTr="00417F7C">
        <w:trPr>
          <w:trHeight w:val="247"/>
        </w:trPr>
        <w:tc>
          <w:tcPr>
            <w:tcW w:w="1451" w:type="dxa"/>
            <w:vMerge/>
            <w:tcMar>
              <w:left w:w="57" w:type="dxa"/>
              <w:right w:w="57" w:type="dxa"/>
            </w:tcMar>
          </w:tcPr>
          <w:p w14:paraId="1638D3AB" w14:textId="77777777" w:rsidR="009C2E18" w:rsidRPr="00DE3187"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1D1D05B0" w14:textId="77777777" w:rsidR="009C2E18" w:rsidRPr="00D721FD" w:rsidRDefault="009C2E18" w:rsidP="00417F7C">
            <w:pPr>
              <w:spacing w:after="0" w:line="240" w:lineRule="auto"/>
              <w:jc w:val="left"/>
              <w:rPr>
                <w:sz w:val="18"/>
                <w:szCs w:val="18"/>
              </w:rPr>
            </w:pPr>
            <w:r w:rsidRPr="00D721FD">
              <w:rPr>
                <w:sz w:val="18"/>
                <w:szCs w:val="18"/>
              </w:rPr>
              <w:t>Temperature</w:t>
            </w:r>
          </w:p>
        </w:tc>
        <w:tc>
          <w:tcPr>
            <w:tcW w:w="756" w:type="dxa"/>
            <w:tcBorders>
              <w:bottom w:val="single" w:sz="4" w:space="0" w:color="000000"/>
            </w:tcBorders>
            <w:shd w:val="clear" w:color="auto" w:fill="D9D9D9" w:themeFill="background1" w:themeFillShade="D9"/>
            <w:tcMar>
              <w:left w:w="57" w:type="dxa"/>
              <w:right w:w="57" w:type="dxa"/>
            </w:tcMar>
          </w:tcPr>
          <w:p w14:paraId="7D6FFE1C"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4C747BD2"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2BBF06AD"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5A6FD717"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0F9B68B2"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580C3840"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67D6C2F1"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350193A2" w14:textId="77777777" w:rsidR="009C2E18" w:rsidRPr="00A11AF6" w:rsidRDefault="009C2E18" w:rsidP="00417F7C">
            <w:pPr>
              <w:spacing w:after="0" w:line="240" w:lineRule="auto"/>
              <w:jc w:val="center"/>
              <w:rPr>
                <w:rFonts w:asciiTheme="minorHAnsi" w:hAnsiTheme="minorHAnsi" w:cstheme="minorHAnsi"/>
                <w:sz w:val="16"/>
                <w:szCs w:val="16"/>
              </w:rPr>
            </w:pPr>
          </w:p>
        </w:tc>
      </w:tr>
      <w:tr w:rsidR="009C2E18" w:rsidRPr="00287858" w14:paraId="655E5FBC" w14:textId="77777777" w:rsidTr="00417F7C">
        <w:trPr>
          <w:trHeight w:val="265"/>
        </w:trPr>
        <w:tc>
          <w:tcPr>
            <w:tcW w:w="1451" w:type="dxa"/>
            <w:vMerge/>
            <w:tcMar>
              <w:left w:w="57" w:type="dxa"/>
              <w:right w:w="57" w:type="dxa"/>
            </w:tcMar>
          </w:tcPr>
          <w:p w14:paraId="6DFC706C" w14:textId="77777777" w:rsidR="009C2E18" w:rsidRPr="00DE3187" w:rsidRDefault="009C2E18" w:rsidP="00417F7C">
            <w:pPr>
              <w:spacing w:after="0" w:line="240" w:lineRule="auto"/>
              <w:rPr>
                <w:b/>
                <w:sz w:val="18"/>
                <w:szCs w:val="18"/>
              </w:rPr>
            </w:pPr>
          </w:p>
        </w:tc>
        <w:tc>
          <w:tcPr>
            <w:tcW w:w="2394" w:type="dxa"/>
            <w:tcBorders>
              <w:bottom w:val="single" w:sz="4" w:space="0" w:color="000000"/>
            </w:tcBorders>
            <w:shd w:val="clear" w:color="auto" w:fill="auto"/>
          </w:tcPr>
          <w:p w14:paraId="0871BF39" w14:textId="77777777" w:rsidR="009C2E18" w:rsidRPr="00D721FD" w:rsidRDefault="009C2E18" w:rsidP="00417F7C">
            <w:pPr>
              <w:spacing w:after="0" w:line="240" w:lineRule="auto"/>
              <w:jc w:val="left"/>
              <w:rPr>
                <w:sz w:val="18"/>
                <w:szCs w:val="18"/>
              </w:rPr>
            </w:pPr>
            <w:r w:rsidRPr="00D721FD">
              <w:rPr>
                <w:sz w:val="18"/>
                <w:szCs w:val="18"/>
              </w:rPr>
              <w:t>Nutrient concentration</w:t>
            </w:r>
          </w:p>
        </w:tc>
        <w:tc>
          <w:tcPr>
            <w:tcW w:w="756" w:type="dxa"/>
            <w:tcBorders>
              <w:bottom w:val="single" w:sz="4" w:space="0" w:color="000000"/>
            </w:tcBorders>
            <w:shd w:val="clear" w:color="auto" w:fill="D9D9D9" w:themeFill="background1" w:themeFillShade="D9"/>
            <w:tcMar>
              <w:left w:w="57" w:type="dxa"/>
              <w:right w:w="57" w:type="dxa"/>
            </w:tcMar>
          </w:tcPr>
          <w:p w14:paraId="0EC1950C" w14:textId="77777777" w:rsidR="009C2E18" w:rsidRPr="00A11AF6" w:rsidRDefault="009C2E18" w:rsidP="00417F7C">
            <w:pPr>
              <w:spacing w:after="0" w:line="240" w:lineRule="auto"/>
              <w:jc w:val="center"/>
              <w:rPr>
                <w:sz w:val="16"/>
                <w:szCs w:val="16"/>
              </w:rPr>
            </w:pPr>
          </w:p>
        </w:tc>
        <w:tc>
          <w:tcPr>
            <w:tcW w:w="686" w:type="dxa"/>
            <w:tcBorders>
              <w:bottom w:val="single" w:sz="4" w:space="0" w:color="000000"/>
            </w:tcBorders>
            <w:shd w:val="clear" w:color="auto" w:fill="FFFFFF" w:themeFill="background1"/>
          </w:tcPr>
          <w:p w14:paraId="337FAEB3"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single" w:sz="4" w:space="0" w:color="000000"/>
            </w:tcBorders>
            <w:shd w:val="clear" w:color="auto" w:fill="D9D9D9" w:themeFill="background1" w:themeFillShade="D9"/>
          </w:tcPr>
          <w:p w14:paraId="445DCB7D"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840" w:type="dxa"/>
            <w:tcBorders>
              <w:bottom w:val="single" w:sz="4" w:space="0" w:color="000000"/>
            </w:tcBorders>
            <w:shd w:val="clear" w:color="auto" w:fill="D9D9D9" w:themeFill="background1" w:themeFillShade="D9"/>
          </w:tcPr>
          <w:p w14:paraId="5D5458AB"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574" w:type="dxa"/>
            <w:tcBorders>
              <w:bottom w:val="single" w:sz="4" w:space="0" w:color="000000"/>
            </w:tcBorders>
            <w:shd w:val="clear" w:color="auto" w:fill="FFFFFF" w:themeFill="background1"/>
          </w:tcPr>
          <w:p w14:paraId="07DA854C"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single" w:sz="4" w:space="0" w:color="000000"/>
            </w:tcBorders>
            <w:shd w:val="clear" w:color="auto" w:fill="D9D9D9" w:themeFill="background1" w:themeFillShade="D9"/>
          </w:tcPr>
          <w:p w14:paraId="65385AAC"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3DFB5CD0" w14:textId="77777777" w:rsidR="009C2E18" w:rsidRPr="00A11AF6" w:rsidRDefault="009C2E18" w:rsidP="00417F7C">
            <w:pPr>
              <w:spacing w:after="0" w:line="240" w:lineRule="auto"/>
              <w:jc w:val="center"/>
              <w:rPr>
                <w:rFonts w:asciiTheme="minorHAnsi" w:hAnsiTheme="minorHAnsi" w:cstheme="minorHAnsi"/>
                <w:sz w:val="16"/>
                <w:szCs w:val="16"/>
              </w:rPr>
            </w:pPr>
          </w:p>
        </w:tc>
        <w:tc>
          <w:tcPr>
            <w:tcW w:w="672" w:type="dxa"/>
            <w:tcBorders>
              <w:bottom w:val="single" w:sz="4" w:space="0" w:color="000000"/>
            </w:tcBorders>
            <w:shd w:val="clear" w:color="auto" w:fill="D9D9D9" w:themeFill="background1" w:themeFillShade="D9"/>
          </w:tcPr>
          <w:p w14:paraId="6F2479B7" w14:textId="77777777" w:rsidR="009C2E18" w:rsidRPr="00A11AF6" w:rsidRDefault="009C2E18" w:rsidP="00417F7C">
            <w:pPr>
              <w:spacing w:after="0" w:line="240" w:lineRule="auto"/>
              <w:jc w:val="center"/>
              <w:rPr>
                <w:rFonts w:asciiTheme="minorHAnsi" w:hAnsiTheme="minorHAnsi" w:cstheme="minorHAnsi"/>
                <w:sz w:val="16"/>
                <w:szCs w:val="16"/>
              </w:rPr>
            </w:pPr>
          </w:p>
        </w:tc>
      </w:tr>
      <w:tr w:rsidR="009C2E18" w:rsidRPr="00287858" w14:paraId="1FA49567" w14:textId="77777777" w:rsidTr="00417F7C">
        <w:trPr>
          <w:trHeight w:val="283"/>
        </w:trPr>
        <w:tc>
          <w:tcPr>
            <w:tcW w:w="1451" w:type="dxa"/>
            <w:vMerge/>
            <w:tcBorders>
              <w:bottom w:val="nil"/>
            </w:tcBorders>
            <w:tcMar>
              <w:left w:w="57" w:type="dxa"/>
              <w:right w:w="57" w:type="dxa"/>
            </w:tcMar>
          </w:tcPr>
          <w:p w14:paraId="708B8BAE" w14:textId="77777777" w:rsidR="009C2E18" w:rsidRPr="00DE3187" w:rsidRDefault="009C2E18" w:rsidP="00417F7C">
            <w:pPr>
              <w:spacing w:after="0" w:line="240" w:lineRule="auto"/>
              <w:rPr>
                <w:b/>
                <w:sz w:val="18"/>
                <w:szCs w:val="18"/>
              </w:rPr>
            </w:pPr>
          </w:p>
        </w:tc>
        <w:tc>
          <w:tcPr>
            <w:tcW w:w="2394" w:type="dxa"/>
            <w:tcBorders>
              <w:bottom w:val="nil"/>
            </w:tcBorders>
            <w:shd w:val="clear" w:color="auto" w:fill="auto"/>
          </w:tcPr>
          <w:p w14:paraId="347A90FE" w14:textId="77777777" w:rsidR="009C2E18" w:rsidRPr="00D721FD" w:rsidRDefault="009C2E18" w:rsidP="00417F7C">
            <w:pPr>
              <w:spacing w:after="0" w:line="240" w:lineRule="auto"/>
              <w:jc w:val="left"/>
              <w:rPr>
                <w:sz w:val="18"/>
                <w:szCs w:val="18"/>
              </w:rPr>
            </w:pPr>
            <w:r>
              <w:rPr>
                <w:sz w:val="18"/>
                <w:szCs w:val="18"/>
              </w:rPr>
              <w:t>Modification of type and amount of DOM</w:t>
            </w:r>
          </w:p>
        </w:tc>
        <w:tc>
          <w:tcPr>
            <w:tcW w:w="756" w:type="dxa"/>
            <w:tcBorders>
              <w:bottom w:val="nil"/>
            </w:tcBorders>
            <w:shd w:val="clear" w:color="auto" w:fill="C2D69B" w:themeFill="accent3" w:themeFillTint="99"/>
            <w:tcMar>
              <w:left w:w="57" w:type="dxa"/>
              <w:right w:w="57" w:type="dxa"/>
            </w:tcMar>
          </w:tcPr>
          <w:p w14:paraId="5D1920A3" w14:textId="77777777" w:rsidR="009C2E18" w:rsidRPr="00A11AF6" w:rsidRDefault="009C2E18" w:rsidP="00417F7C">
            <w:pPr>
              <w:spacing w:after="0" w:line="240" w:lineRule="auto"/>
              <w:rPr>
                <w:sz w:val="16"/>
                <w:szCs w:val="16"/>
              </w:rPr>
            </w:pPr>
            <w:r>
              <w:rPr>
                <w:sz w:val="16"/>
                <w:szCs w:val="16"/>
              </w:rPr>
              <w:t>during multisite watering</w:t>
            </w:r>
          </w:p>
        </w:tc>
        <w:tc>
          <w:tcPr>
            <w:tcW w:w="686" w:type="dxa"/>
            <w:tcBorders>
              <w:bottom w:val="nil"/>
            </w:tcBorders>
            <w:shd w:val="clear" w:color="auto" w:fill="FFFFFF" w:themeFill="background1"/>
          </w:tcPr>
          <w:p w14:paraId="2805E82E" w14:textId="77777777" w:rsidR="009C2E18"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83" w:type="dxa"/>
            <w:tcBorders>
              <w:bottom w:val="nil"/>
            </w:tcBorders>
            <w:shd w:val="clear" w:color="auto" w:fill="C2D69B" w:themeFill="accent3" w:themeFillTint="99"/>
          </w:tcPr>
          <w:p w14:paraId="05A8F3D2" w14:textId="77777777" w:rsidR="009C2E18" w:rsidRDefault="009C2E18" w:rsidP="00417F7C">
            <w:pPr>
              <w:spacing w:after="0" w:line="240" w:lineRule="auto"/>
              <w:rPr>
                <w:rFonts w:asciiTheme="minorHAnsi" w:hAnsiTheme="minorHAnsi" w:cstheme="minorHAnsi"/>
                <w:sz w:val="16"/>
                <w:szCs w:val="16"/>
              </w:rPr>
            </w:pPr>
            <w:r>
              <w:rPr>
                <w:sz w:val="16"/>
                <w:szCs w:val="16"/>
              </w:rPr>
              <w:t>during multisite watering</w:t>
            </w:r>
          </w:p>
        </w:tc>
        <w:tc>
          <w:tcPr>
            <w:tcW w:w="840" w:type="dxa"/>
            <w:tcBorders>
              <w:bottom w:val="nil"/>
            </w:tcBorders>
            <w:shd w:val="clear" w:color="auto" w:fill="C2D69B" w:themeFill="accent3" w:themeFillTint="99"/>
          </w:tcPr>
          <w:p w14:paraId="3D9E813A" w14:textId="77777777" w:rsidR="009C2E18" w:rsidRDefault="009C2E18" w:rsidP="00417F7C">
            <w:pPr>
              <w:spacing w:after="0" w:line="240" w:lineRule="auto"/>
              <w:rPr>
                <w:rFonts w:asciiTheme="minorHAnsi" w:hAnsiTheme="minorHAnsi" w:cstheme="minorHAnsi"/>
                <w:sz w:val="16"/>
                <w:szCs w:val="16"/>
              </w:rPr>
            </w:pPr>
            <w:r>
              <w:rPr>
                <w:sz w:val="16"/>
                <w:szCs w:val="16"/>
              </w:rPr>
              <w:t>during multisite watering</w:t>
            </w:r>
          </w:p>
        </w:tc>
        <w:tc>
          <w:tcPr>
            <w:tcW w:w="574" w:type="dxa"/>
            <w:tcBorders>
              <w:bottom w:val="nil"/>
            </w:tcBorders>
            <w:shd w:val="clear" w:color="auto" w:fill="FFFFFF" w:themeFill="background1"/>
          </w:tcPr>
          <w:p w14:paraId="04D061EB" w14:textId="77777777" w:rsidR="009C2E18" w:rsidRPr="00A11AF6" w:rsidRDefault="009C2E18" w:rsidP="00417F7C">
            <w:pPr>
              <w:spacing w:after="0" w:line="240" w:lineRule="auto"/>
              <w:jc w:val="center"/>
              <w:rPr>
                <w:rFonts w:asciiTheme="minorHAnsi" w:hAnsiTheme="minorHAnsi" w:cstheme="minorHAnsi"/>
                <w:sz w:val="16"/>
                <w:szCs w:val="16"/>
              </w:rPr>
            </w:pPr>
            <w:r>
              <w:rPr>
                <w:sz w:val="16"/>
                <w:szCs w:val="16"/>
              </w:rPr>
              <w:t>N/A</w:t>
            </w:r>
          </w:p>
        </w:tc>
        <w:tc>
          <w:tcPr>
            <w:tcW w:w="742" w:type="dxa"/>
            <w:tcBorders>
              <w:bottom w:val="nil"/>
            </w:tcBorders>
            <w:shd w:val="clear" w:color="auto" w:fill="C2D69B" w:themeFill="accent3" w:themeFillTint="99"/>
          </w:tcPr>
          <w:p w14:paraId="494931AA" w14:textId="77777777" w:rsidR="009C2E18" w:rsidRDefault="009C2E18" w:rsidP="00417F7C">
            <w:pPr>
              <w:spacing w:after="0" w:line="240" w:lineRule="auto"/>
              <w:rPr>
                <w:rFonts w:asciiTheme="minorHAnsi" w:hAnsiTheme="minorHAnsi" w:cstheme="minorHAnsi"/>
                <w:sz w:val="16"/>
                <w:szCs w:val="16"/>
              </w:rPr>
            </w:pPr>
            <w:r>
              <w:rPr>
                <w:sz w:val="16"/>
                <w:szCs w:val="16"/>
              </w:rPr>
              <w:t>during multisite watering</w:t>
            </w:r>
          </w:p>
        </w:tc>
        <w:tc>
          <w:tcPr>
            <w:tcW w:w="672" w:type="dxa"/>
            <w:tcBorders>
              <w:bottom w:val="nil"/>
            </w:tcBorders>
            <w:shd w:val="clear" w:color="auto" w:fill="D9D9D9" w:themeFill="background1" w:themeFillShade="D9"/>
          </w:tcPr>
          <w:p w14:paraId="18031091" w14:textId="77777777" w:rsidR="009C2E18" w:rsidRDefault="009C2E18" w:rsidP="00417F7C">
            <w:pPr>
              <w:spacing w:after="0" w:line="240" w:lineRule="auto"/>
              <w:jc w:val="center"/>
              <w:rPr>
                <w:rFonts w:asciiTheme="minorHAnsi" w:hAnsiTheme="minorHAnsi" w:cstheme="minorHAnsi"/>
                <w:sz w:val="16"/>
                <w:szCs w:val="16"/>
              </w:rPr>
            </w:pPr>
          </w:p>
        </w:tc>
        <w:tc>
          <w:tcPr>
            <w:tcW w:w="672" w:type="dxa"/>
            <w:tcBorders>
              <w:bottom w:val="nil"/>
            </w:tcBorders>
            <w:shd w:val="clear" w:color="auto" w:fill="D9D9D9" w:themeFill="background1" w:themeFillShade="D9"/>
          </w:tcPr>
          <w:p w14:paraId="489F3AEE" w14:textId="77777777" w:rsidR="009C2E18" w:rsidRDefault="009C2E18" w:rsidP="00417F7C">
            <w:pPr>
              <w:spacing w:after="0" w:line="240" w:lineRule="auto"/>
              <w:jc w:val="center"/>
              <w:rPr>
                <w:rFonts w:asciiTheme="minorHAnsi" w:hAnsiTheme="minorHAnsi" w:cstheme="minorHAnsi"/>
                <w:sz w:val="16"/>
                <w:szCs w:val="16"/>
              </w:rPr>
            </w:pPr>
          </w:p>
        </w:tc>
      </w:tr>
      <w:tr w:rsidR="009C2E18" w:rsidRPr="00287858" w14:paraId="552EA3AC" w14:textId="77777777" w:rsidTr="00417F7C">
        <w:trPr>
          <w:trHeight w:val="390"/>
        </w:trPr>
        <w:tc>
          <w:tcPr>
            <w:tcW w:w="1451" w:type="dxa"/>
            <w:vMerge w:val="restart"/>
            <w:tcMar>
              <w:left w:w="57" w:type="dxa"/>
              <w:right w:w="57" w:type="dxa"/>
            </w:tcMar>
          </w:tcPr>
          <w:p w14:paraId="08045B33" w14:textId="77777777" w:rsidR="009C2E18" w:rsidRPr="00DE3187" w:rsidRDefault="009C2E18" w:rsidP="00417F7C">
            <w:pPr>
              <w:spacing w:after="0" w:line="240" w:lineRule="auto"/>
              <w:jc w:val="left"/>
              <w:rPr>
                <w:b/>
                <w:sz w:val="18"/>
                <w:szCs w:val="18"/>
              </w:rPr>
            </w:pPr>
            <w:r w:rsidRPr="00DE3187">
              <w:rPr>
                <w:b/>
                <w:sz w:val="18"/>
                <w:szCs w:val="18"/>
              </w:rPr>
              <w:t xml:space="preserve">Riverbank and </w:t>
            </w:r>
            <w:r>
              <w:rPr>
                <w:b/>
                <w:sz w:val="18"/>
                <w:szCs w:val="18"/>
              </w:rPr>
              <w:t>aquatic</w:t>
            </w:r>
            <w:r w:rsidRPr="00DE3187">
              <w:rPr>
                <w:b/>
                <w:sz w:val="18"/>
                <w:szCs w:val="18"/>
              </w:rPr>
              <w:t xml:space="preserve"> veg</w:t>
            </w:r>
            <w:r>
              <w:rPr>
                <w:b/>
                <w:sz w:val="18"/>
                <w:szCs w:val="18"/>
              </w:rPr>
              <w:t>etation</w:t>
            </w:r>
          </w:p>
        </w:tc>
        <w:tc>
          <w:tcPr>
            <w:tcW w:w="2394" w:type="dxa"/>
            <w:shd w:val="clear" w:color="auto" w:fill="auto"/>
          </w:tcPr>
          <w:p w14:paraId="2A2B71A5" w14:textId="77777777" w:rsidR="009C2E18" w:rsidRPr="00A11AF6" w:rsidRDefault="009C2E18" w:rsidP="00417F7C">
            <w:pPr>
              <w:spacing w:after="0" w:line="240" w:lineRule="auto"/>
              <w:jc w:val="left"/>
              <w:rPr>
                <w:sz w:val="18"/>
                <w:szCs w:val="18"/>
              </w:rPr>
            </w:pPr>
            <w:r>
              <w:rPr>
                <w:sz w:val="18"/>
                <w:szCs w:val="18"/>
              </w:rPr>
              <w:t>Percent c</w:t>
            </w:r>
            <w:r w:rsidRPr="00A11AF6">
              <w:rPr>
                <w:sz w:val="18"/>
                <w:szCs w:val="18"/>
              </w:rPr>
              <w:t>over</w:t>
            </w:r>
            <w:r>
              <w:rPr>
                <w:sz w:val="18"/>
                <w:szCs w:val="18"/>
              </w:rPr>
              <w:t xml:space="preserve"> of riverbank and aquatic vegetation</w:t>
            </w:r>
          </w:p>
        </w:tc>
        <w:tc>
          <w:tcPr>
            <w:tcW w:w="756" w:type="dxa"/>
            <w:shd w:val="clear" w:color="auto" w:fill="C2D69B" w:themeFill="accent3" w:themeFillTint="99"/>
            <w:tcMar>
              <w:left w:w="57" w:type="dxa"/>
              <w:right w:w="57" w:type="dxa"/>
            </w:tcMar>
          </w:tcPr>
          <w:p w14:paraId="5FB390AB" w14:textId="77777777" w:rsidR="009C2E18" w:rsidRPr="00A11AF6" w:rsidRDefault="009C2E18" w:rsidP="00417F7C">
            <w:pPr>
              <w:spacing w:after="0" w:line="240" w:lineRule="auto"/>
              <w:jc w:val="center"/>
              <w:rPr>
                <w:sz w:val="16"/>
                <w:szCs w:val="16"/>
              </w:rPr>
            </w:pPr>
          </w:p>
        </w:tc>
        <w:tc>
          <w:tcPr>
            <w:tcW w:w="686" w:type="dxa"/>
            <w:shd w:val="clear" w:color="auto" w:fill="FFFFFF" w:themeFill="background1"/>
          </w:tcPr>
          <w:p w14:paraId="06C1E623" w14:textId="77777777" w:rsidR="009C2E18" w:rsidRPr="00A11AF6" w:rsidRDefault="009C2E18" w:rsidP="00417F7C">
            <w:pPr>
              <w:spacing w:after="0" w:line="240" w:lineRule="auto"/>
              <w:jc w:val="center"/>
              <w:rPr>
                <w:sz w:val="16"/>
                <w:szCs w:val="16"/>
              </w:rPr>
            </w:pPr>
            <w:r>
              <w:rPr>
                <w:sz w:val="16"/>
                <w:szCs w:val="16"/>
              </w:rPr>
              <w:t>N/A</w:t>
            </w:r>
          </w:p>
        </w:tc>
        <w:tc>
          <w:tcPr>
            <w:tcW w:w="783" w:type="dxa"/>
            <w:shd w:val="clear" w:color="auto" w:fill="C2D69B" w:themeFill="accent3" w:themeFillTint="99"/>
          </w:tcPr>
          <w:p w14:paraId="57A68369" w14:textId="77777777" w:rsidR="009C2E18" w:rsidRPr="00A11AF6" w:rsidRDefault="009C2E18" w:rsidP="00417F7C">
            <w:pPr>
              <w:spacing w:after="0" w:line="240" w:lineRule="auto"/>
              <w:jc w:val="center"/>
              <w:rPr>
                <w:sz w:val="16"/>
                <w:szCs w:val="16"/>
              </w:rPr>
            </w:pPr>
            <w:r>
              <w:rPr>
                <w:sz w:val="16"/>
                <w:szCs w:val="16"/>
              </w:rPr>
              <w:t xml:space="preserve"> </w:t>
            </w:r>
          </w:p>
        </w:tc>
        <w:tc>
          <w:tcPr>
            <w:tcW w:w="840" w:type="dxa"/>
            <w:shd w:val="clear" w:color="auto" w:fill="C2D69B" w:themeFill="accent3" w:themeFillTint="99"/>
          </w:tcPr>
          <w:p w14:paraId="2A0C43EA" w14:textId="77777777" w:rsidR="009C2E18" w:rsidRPr="00A11AF6" w:rsidRDefault="009C2E18" w:rsidP="00417F7C">
            <w:pPr>
              <w:spacing w:after="0" w:line="240" w:lineRule="auto"/>
              <w:jc w:val="center"/>
              <w:rPr>
                <w:sz w:val="16"/>
                <w:szCs w:val="16"/>
              </w:rPr>
            </w:pPr>
          </w:p>
        </w:tc>
        <w:tc>
          <w:tcPr>
            <w:tcW w:w="574" w:type="dxa"/>
            <w:shd w:val="clear" w:color="auto" w:fill="FFFFFF" w:themeFill="background1"/>
          </w:tcPr>
          <w:p w14:paraId="339629A5" w14:textId="77777777" w:rsidR="009C2E18" w:rsidRPr="00A11AF6" w:rsidRDefault="009C2E18" w:rsidP="00417F7C">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22C87D47"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007ADA93"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041FDB59" w14:textId="77777777" w:rsidR="009C2E18" w:rsidRPr="00A11AF6" w:rsidRDefault="009C2E18" w:rsidP="00417F7C">
            <w:pPr>
              <w:spacing w:after="0" w:line="240" w:lineRule="auto"/>
              <w:jc w:val="center"/>
              <w:rPr>
                <w:sz w:val="16"/>
                <w:szCs w:val="16"/>
              </w:rPr>
            </w:pPr>
          </w:p>
        </w:tc>
      </w:tr>
      <w:tr w:rsidR="009C2E18" w:rsidRPr="00287858" w14:paraId="03C64E55" w14:textId="77777777" w:rsidTr="00417F7C">
        <w:trPr>
          <w:trHeight w:val="265"/>
        </w:trPr>
        <w:tc>
          <w:tcPr>
            <w:tcW w:w="1451" w:type="dxa"/>
            <w:vMerge/>
            <w:tcMar>
              <w:left w:w="57" w:type="dxa"/>
              <w:right w:w="57" w:type="dxa"/>
            </w:tcMar>
          </w:tcPr>
          <w:p w14:paraId="7949E79D" w14:textId="77777777" w:rsidR="009C2E18" w:rsidRPr="00DE3187" w:rsidRDefault="009C2E18" w:rsidP="00417F7C">
            <w:pPr>
              <w:spacing w:after="0" w:line="240" w:lineRule="auto"/>
              <w:rPr>
                <w:b/>
                <w:sz w:val="18"/>
                <w:szCs w:val="18"/>
              </w:rPr>
            </w:pPr>
          </w:p>
        </w:tc>
        <w:tc>
          <w:tcPr>
            <w:tcW w:w="2394" w:type="dxa"/>
            <w:shd w:val="clear" w:color="auto" w:fill="auto"/>
          </w:tcPr>
          <w:p w14:paraId="234762BB" w14:textId="77777777" w:rsidR="009C2E18" w:rsidRPr="00A11AF6" w:rsidRDefault="009C2E18" w:rsidP="00417F7C">
            <w:pPr>
              <w:spacing w:after="0" w:line="240" w:lineRule="auto"/>
              <w:jc w:val="left"/>
              <w:rPr>
                <w:sz w:val="18"/>
                <w:szCs w:val="18"/>
              </w:rPr>
            </w:pPr>
            <w:r>
              <w:rPr>
                <w:sz w:val="18"/>
                <w:szCs w:val="18"/>
              </w:rPr>
              <w:t>Taxonomic richness of riverbank and aquatic vegetation</w:t>
            </w:r>
          </w:p>
        </w:tc>
        <w:tc>
          <w:tcPr>
            <w:tcW w:w="756" w:type="dxa"/>
            <w:shd w:val="clear" w:color="auto" w:fill="C2D69B" w:themeFill="accent3" w:themeFillTint="99"/>
            <w:tcMar>
              <w:left w:w="57" w:type="dxa"/>
              <w:right w:w="57" w:type="dxa"/>
            </w:tcMar>
          </w:tcPr>
          <w:p w14:paraId="04A35A9B" w14:textId="77777777" w:rsidR="009C2E18" w:rsidRPr="00A11AF6" w:rsidRDefault="009C2E18" w:rsidP="00417F7C">
            <w:pPr>
              <w:spacing w:after="0" w:line="240" w:lineRule="auto"/>
              <w:jc w:val="center"/>
              <w:rPr>
                <w:sz w:val="16"/>
                <w:szCs w:val="16"/>
              </w:rPr>
            </w:pPr>
          </w:p>
        </w:tc>
        <w:tc>
          <w:tcPr>
            <w:tcW w:w="686" w:type="dxa"/>
            <w:shd w:val="clear" w:color="auto" w:fill="FFFFFF" w:themeFill="background1"/>
          </w:tcPr>
          <w:p w14:paraId="09D7A868" w14:textId="77777777" w:rsidR="009C2E18" w:rsidRPr="00A11AF6" w:rsidRDefault="009C2E18" w:rsidP="00417F7C">
            <w:pPr>
              <w:spacing w:after="0" w:line="240" w:lineRule="auto"/>
              <w:jc w:val="center"/>
              <w:rPr>
                <w:sz w:val="18"/>
                <w:szCs w:val="18"/>
              </w:rPr>
            </w:pPr>
            <w:r>
              <w:rPr>
                <w:sz w:val="16"/>
                <w:szCs w:val="16"/>
              </w:rPr>
              <w:t>N/A</w:t>
            </w:r>
          </w:p>
        </w:tc>
        <w:tc>
          <w:tcPr>
            <w:tcW w:w="783" w:type="dxa"/>
            <w:shd w:val="clear" w:color="auto" w:fill="C2D69B" w:themeFill="accent3" w:themeFillTint="99"/>
          </w:tcPr>
          <w:p w14:paraId="316444D2" w14:textId="77777777" w:rsidR="009C2E18" w:rsidRPr="00A11AF6" w:rsidRDefault="009C2E18" w:rsidP="00417F7C">
            <w:pPr>
              <w:spacing w:after="0" w:line="240" w:lineRule="auto"/>
              <w:jc w:val="center"/>
              <w:rPr>
                <w:sz w:val="18"/>
                <w:szCs w:val="18"/>
              </w:rPr>
            </w:pPr>
          </w:p>
        </w:tc>
        <w:tc>
          <w:tcPr>
            <w:tcW w:w="840" w:type="dxa"/>
            <w:shd w:val="clear" w:color="auto" w:fill="C2D69B" w:themeFill="accent3" w:themeFillTint="99"/>
          </w:tcPr>
          <w:p w14:paraId="6EB0F81D" w14:textId="77777777" w:rsidR="009C2E18" w:rsidRPr="00A11AF6" w:rsidRDefault="009C2E18" w:rsidP="00417F7C">
            <w:pPr>
              <w:spacing w:after="0" w:line="240" w:lineRule="auto"/>
              <w:jc w:val="center"/>
              <w:rPr>
                <w:sz w:val="18"/>
                <w:szCs w:val="18"/>
              </w:rPr>
            </w:pPr>
          </w:p>
        </w:tc>
        <w:tc>
          <w:tcPr>
            <w:tcW w:w="574" w:type="dxa"/>
            <w:shd w:val="clear" w:color="auto" w:fill="FFFFFF" w:themeFill="background1"/>
          </w:tcPr>
          <w:p w14:paraId="162B69D9" w14:textId="77777777" w:rsidR="009C2E18" w:rsidRPr="00A11AF6" w:rsidRDefault="009C2E18" w:rsidP="00417F7C">
            <w:pPr>
              <w:spacing w:after="0" w:line="240" w:lineRule="auto"/>
              <w:jc w:val="center"/>
              <w:rPr>
                <w:sz w:val="18"/>
                <w:szCs w:val="18"/>
              </w:rPr>
            </w:pPr>
            <w:r>
              <w:rPr>
                <w:sz w:val="16"/>
                <w:szCs w:val="16"/>
              </w:rPr>
              <w:t>N/A</w:t>
            </w:r>
          </w:p>
        </w:tc>
        <w:tc>
          <w:tcPr>
            <w:tcW w:w="742" w:type="dxa"/>
            <w:shd w:val="clear" w:color="auto" w:fill="D9D9D9" w:themeFill="background1" w:themeFillShade="D9"/>
          </w:tcPr>
          <w:p w14:paraId="1A88604F" w14:textId="77777777" w:rsidR="009C2E18" w:rsidRPr="00A11AF6" w:rsidRDefault="009C2E18" w:rsidP="00417F7C">
            <w:pPr>
              <w:spacing w:after="0" w:line="240" w:lineRule="auto"/>
              <w:jc w:val="center"/>
              <w:rPr>
                <w:sz w:val="18"/>
                <w:szCs w:val="18"/>
              </w:rPr>
            </w:pPr>
          </w:p>
        </w:tc>
        <w:tc>
          <w:tcPr>
            <w:tcW w:w="672" w:type="dxa"/>
            <w:shd w:val="clear" w:color="auto" w:fill="D9D9D9" w:themeFill="background1" w:themeFillShade="D9"/>
          </w:tcPr>
          <w:p w14:paraId="7CE36C32" w14:textId="77777777" w:rsidR="009C2E18" w:rsidRPr="00A11AF6" w:rsidRDefault="009C2E18" w:rsidP="00417F7C">
            <w:pPr>
              <w:spacing w:after="0" w:line="240" w:lineRule="auto"/>
              <w:jc w:val="center"/>
              <w:rPr>
                <w:sz w:val="18"/>
                <w:szCs w:val="18"/>
              </w:rPr>
            </w:pPr>
          </w:p>
        </w:tc>
        <w:tc>
          <w:tcPr>
            <w:tcW w:w="672" w:type="dxa"/>
            <w:shd w:val="clear" w:color="auto" w:fill="D9D9D9" w:themeFill="background1" w:themeFillShade="D9"/>
          </w:tcPr>
          <w:p w14:paraId="3BBAAE87" w14:textId="77777777" w:rsidR="009C2E18" w:rsidRPr="00A11AF6" w:rsidRDefault="009C2E18" w:rsidP="00417F7C">
            <w:pPr>
              <w:spacing w:after="0" w:line="240" w:lineRule="auto"/>
              <w:jc w:val="center"/>
              <w:rPr>
                <w:sz w:val="18"/>
                <w:szCs w:val="18"/>
              </w:rPr>
            </w:pPr>
          </w:p>
        </w:tc>
      </w:tr>
      <w:tr w:rsidR="009C2E18" w:rsidRPr="00287858" w14:paraId="193ED281" w14:textId="77777777" w:rsidTr="00417F7C">
        <w:trPr>
          <w:trHeight w:val="215"/>
        </w:trPr>
        <w:tc>
          <w:tcPr>
            <w:tcW w:w="1451" w:type="dxa"/>
            <w:tcMar>
              <w:left w:w="57" w:type="dxa"/>
              <w:right w:w="57" w:type="dxa"/>
            </w:tcMar>
          </w:tcPr>
          <w:p w14:paraId="69B7CBD2" w14:textId="77777777" w:rsidR="009C2E18" w:rsidRPr="00DE3187" w:rsidRDefault="009C2E18" w:rsidP="00417F7C">
            <w:pPr>
              <w:spacing w:after="0" w:line="240" w:lineRule="auto"/>
              <w:rPr>
                <w:b/>
                <w:sz w:val="18"/>
                <w:szCs w:val="18"/>
              </w:rPr>
            </w:pPr>
            <w:r w:rsidRPr="00DE3187">
              <w:rPr>
                <w:b/>
                <w:sz w:val="18"/>
                <w:szCs w:val="18"/>
              </w:rPr>
              <w:t>Fish movement</w:t>
            </w:r>
          </w:p>
        </w:tc>
        <w:tc>
          <w:tcPr>
            <w:tcW w:w="2394" w:type="dxa"/>
            <w:shd w:val="clear" w:color="auto" w:fill="auto"/>
          </w:tcPr>
          <w:p w14:paraId="4B13394A" w14:textId="77777777" w:rsidR="009C2E18" w:rsidRPr="00117F2C" w:rsidRDefault="009C2E18" w:rsidP="00417F7C">
            <w:pPr>
              <w:spacing w:after="0" w:line="240" w:lineRule="auto"/>
              <w:jc w:val="left"/>
              <w:rPr>
                <w:sz w:val="18"/>
                <w:szCs w:val="18"/>
              </w:rPr>
            </w:pPr>
            <w:r w:rsidRPr="00117F2C">
              <w:rPr>
                <w:sz w:val="18"/>
                <w:szCs w:val="18"/>
              </w:rPr>
              <w:t>Native fish movement</w:t>
            </w:r>
          </w:p>
        </w:tc>
        <w:tc>
          <w:tcPr>
            <w:tcW w:w="756" w:type="dxa"/>
            <w:shd w:val="clear" w:color="auto" w:fill="D9D9D9" w:themeFill="background1" w:themeFillShade="D9"/>
            <w:tcMar>
              <w:left w:w="57" w:type="dxa"/>
              <w:right w:w="57" w:type="dxa"/>
            </w:tcMar>
          </w:tcPr>
          <w:p w14:paraId="3B89AB58" w14:textId="77777777" w:rsidR="009C2E18" w:rsidRPr="00A11AF6" w:rsidRDefault="009C2E18" w:rsidP="00417F7C">
            <w:pPr>
              <w:spacing w:after="120" w:line="240" w:lineRule="auto"/>
              <w:jc w:val="center"/>
              <w:rPr>
                <w:sz w:val="16"/>
                <w:szCs w:val="16"/>
              </w:rPr>
            </w:pPr>
          </w:p>
        </w:tc>
        <w:tc>
          <w:tcPr>
            <w:tcW w:w="686" w:type="dxa"/>
            <w:shd w:val="clear" w:color="auto" w:fill="FFFFFF" w:themeFill="background1"/>
          </w:tcPr>
          <w:p w14:paraId="2B7F122E" w14:textId="77777777" w:rsidR="009C2E18" w:rsidRDefault="009C2E18" w:rsidP="00417F7C">
            <w:pPr>
              <w:spacing w:after="0" w:line="240" w:lineRule="auto"/>
              <w:jc w:val="center"/>
              <w:rPr>
                <w:sz w:val="16"/>
                <w:szCs w:val="16"/>
              </w:rPr>
            </w:pPr>
            <w:r>
              <w:rPr>
                <w:sz w:val="16"/>
                <w:szCs w:val="16"/>
              </w:rPr>
              <w:t>N/A</w:t>
            </w:r>
          </w:p>
        </w:tc>
        <w:tc>
          <w:tcPr>
            <w:tcW w:w="783" w:type="dxa"/>
            <w:shd w:val="clear" w:color="auto" w:fill="C2D69B" w:themeFill="accent3" w:themeFillTint="99"/>
          </w:tcPr>
          <w:p w14:paraId="44E945ED" w14:textId="77777777" w:rsidR="009C2E18" w:rsidRDefault="009C2E18" w:rsidP="00417F7C">
            <w:pPr>
              <w:spacing w:after="0" w:line="240" w:lineRule="auto"/>
              <w:jc w:val="center"/>
              <w:rPr>
                <w:sz w:val="16"/>
                <w:szCs w:val="16"/>
              </w:rPr>
            </w:pPr>
          </w:p>
        </w:tc>
        <w:tc>
          <w:tcPr>
            <w:tcW w:w="840" w:type="dxa"/>
            <w:shd w:val="clear" w:color="auto" w:fill="D9D9D9" w:themeFill="background1" w:themeFillShade="D9"/>
          </w:tcPr>
          <w:p w14:paraId="442C7F6C" w14:textId="77777777" w:rsidR="009C2E18" w:rsidRDefault="009C2E18" w:rsidP="00417F7C">
            <w:pPr>
              <w:spacing w:after="0" w:line="240" w:lineRule="auto"/>
              <w:jc w:val="center"/>
              <w:rPr>
                <w:sz w:val="16"/>
                <w:szCs w:val="16"/>
              </w:rPr>
            </w:pPr>
          </w:p>
        </w:tc>
        <w:tc>
          <w:tcPr>
            <w:tcW w:w="574" w:type="dxa"/>
            <w:shd w:val="clear" w:color="auto" w:fill="FFFFFF" w:themeFill="background1"/>
          </w:tcPr>
          <w:p w14:paraId="7A212268" w14:textId="77777777" w:rsidR="009C2E18" w:rsidRDefault="009C2E18" w:rsidP="00417F7C">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6431D741" w14:textId="77777777" w:rsidR="009C2E18" w:rsidRDefault="009C2E18" w:rsidP="00417F7C">
            <w:pPr>
              <w:spacing w:after="0" w:line="240" w:lineRule="auto"/>
              <w:jc w:val="center"/>
              <w:rPr>
                <w:sz w:val="16"/>
                <w:szCs w:val="16"/>
              </w:rPr>
            </w:pPr>
          </w:p>
        </w:tc>
        <w:tc>
          <w:tcPr>
            <w:tcW w:w="672" w:type="dxa"/>
            <w:shd w:val="clear" w:color="auto" w:fill="D9D9D9" w:themeFill="background1" w:themeFillShade="D9"/>
          </w:tcPr>
          <w:p w14:paraId="671BD2F8" w14:textId="77777777" w:rsidR="009C2E18" w:rsidRDefault="009C2E18" w:rsidP="00417F7C">
            <w:pPr>
              <w:spacing w:after="0" w:line="240" w:lineRule="auto"/>
              <w:jc w:val="center"/>
              <w:rPr>
                <w:sz w:val="16"/>
                <w:szCs w:val="16"/>
              </w:rPr>
            </w:pPr>
          </w:p>
        </w:tc>
        <w:tc>
          <w:tcPr>
            <w:tcW w:w="672" w:type="dxa"/>
            <w:shd w:val="clear" w:color="auto" w:fill="D9D9D9" w:themeFill="background1" w:themeFillShade="D9"/>
          </w:tcPr>
          <w:p w14:paraId="317965B0" w14:textId="77777777" w:rsidR="009C2E18" w:rsidRDefault="009C2E18" w:rsidP="00417F7C">
            <w:pPr>
              <w:spacing w:after="0" w:line="240" w:lineRule="auto"/>
              <w:jc w:val="center"/>
              <w:rPr>
                <w:sz w:val="16"/>
                <w:szCs w:val="16"/>
              </w:rPr>
            </w:pPr>
          </w:p>
        </w:tc>
      </w:tr>
      <w:tr w:rsidR="009C2E18" w:rsidRPr="00287858" w14:paraId="62452C64" w14:textId="77777777" w:rsidTr="00417F7C">
        <w:trPr>
          <w:trHeight w:val="390"/>
        </w:trPr>
        <w:tc>
          <w:tcPr>
            <w:tcW w:w="1451" w:type="dxa"/>
            <w:vMerge w:val="restart"/>
            <w:tcMar>
              <w:left w:w="57" w:type="dxa"/>
              <w:right w:w="57" w:type="dxa"/>
            </w:tcMar>
          </w:tcPr>
          <w:p w14:paraId="1A1E4FDE" w14:textId="77777777" w:rsidR="009C2E18" w:rsidRPr="00DE3187" w:rsidRDefault="009C2E18" w:rsidP="00417F7C">
            <w:pPr>
              <w:spacing w:after="0" w:line="240" w:lineRule="auto"/>
              <w:rPr>
                <w:b/>
                <w:sz w:val="18"/>
                <w:szCs w:val="18"/>
              </w:rPr>
            </w:pPr>
            <w:r w:rsidRPr="00DE3187">
              <w:rPr>
                <w:b/>
                <w:sz w:val="18"/>
                <w:szCs w:val="18"/>
              </w:rPr>
              <w:t>Fish spawning and reproduction</w:t>
            </w:r>
          </w:p>
        </w:tc>
        <w:tc>
          <w:tcPr>
            <w:tcW w:w="2394" w:type="dxa"/>
            <w:shd w:val="clear" w:color="auto" w:fill="auto"/>
          </w:tcPr>
          <w:p w14:paraId="17EAC98C" w14:textId="77777777" w:rsidR="009C2E18" w:rsidRPr="005B2913" w:rsidRDefault="009C2E18" w:rsidP="00417F7C">
            <w:pPr>
              <w:spacing w:after="0" w:line="240" w:lineRule="auto"/>
              <w:jc w:val="left"/>
              <w:rPr>
                <w:sz w:val="18"/>
                <w:szCs w:val="18"/>
              </w:rPr>
            </w:pPr>
            <w:r w:rsidRPr="005B2913">
              <w:rPr>
                <w:sz w:val="18"/>
                <w:szCs w:val="18"/>
              </w:rPr>
              <w:t>Larval abundance of 'Opportunistic' (e.g. small bodied fish) species</w:t>
            </w:r>
          </w:p>
        </w:tc>
        <w:tc>
          <w:tcPr>
            <w:tcW w:w="756" w:type="dxa"/>
            <w:shd w:val="clear" w:color="auto" w:fill="FFC000"/>
            <w:tcMar>
              <w:left w:w="57" w:type="dxa"/>
              <w:right w:w="57" w:type="dxa"/>
            </w:tcMar>
          </w:tcPr>
          <w:p w14:paraId="2542C7CB" w14:textId="77777777" w:rsidR="009C2E18" w:rsidRPr="00A11AF6" w:rsidRDefault="009C2E18" w:rsidP="00417F7C">
            <w:pPr>
              <w:spacing w:after="0" w:line="240" w:lineRule="auto"/>
              <w:jc w:val="center"/>
              <w:rPr>
                <w:sz w:val="16"/>
                <w:szCs w:val="16"/>
              </w:rPr>
            </w:pPr>
          </w:p>
        </w:tc>
        <w:tc>
          <w:tcPr>
            <w:tcW w:w="686" w:type="dxa"/>
            <w:shd w:val="clear" w:color="auto" w:fill="FFFFFF" w:themeFill="background1"/>
          </w:tcPr>
          <w:p w14:paraId="0DF7789D" w14:textId="77777777" w:rsidR="009C2E18" w:rsidRPr="00A11AF6" w:rsidRDefault="009C2E18" w:rsidP="00417F7C">
            <w:pPr>
              <w:spacing w:after="0" w:line="240" w:lineRule="auto"/>
              <w:jc w:val="center"/>
              <w:rPr>
                <w:sz w:val="16"/>
                <w:szCs w:val="16"/>
              </w:rPr>
            </w:pPr>
            <w:r>
              <w:rPr>
                <w:sz w:val="16"/>
                <w:szCs w:val="16"/>
              </w:rPr>
              <w:t>N/A</w:t>
            </w:r>
          </w:p>
        </w:tc>
        <w:tc>
          <w:tcPr>
            <w:tcW w:w="783" w:type="dxa"/>
            <w:shd w:val="clear" w:color="auto" w:fill="D9D9D9" w:themeFill="background1" w:themeFillShade="D9"/>
          </w:tcPr>
          <w:p w14:paraId="69DAC58C" w14:textId="77777777" w:rsidR="009C2E18" w:rsidRPr="00A11AF6" w:rsidRDefault="009C2E18" w:rsidP="00417F7C">
            <w:pPr>
              <w:spacing w:after="0" w:line="240" w:lineRule="auto"/>
              <w:jc w:val="center"/>
              <w:rPr>
                <w:sz w:val="16"/>
                <w:szCs w:val="16"/>
              </w:rPr>
            </w:pPr>
          </w:p>
        </w:tc>
        <w:tc>
          <w:tcPr>
            <w:tcW w:w="840" w:type="dxa"/>
            <w:shd w:val="clear" w:color="auto" w:fill="D9D9D9" w:themeFill="background1" w:themeFillShade="D9"/>
          </w:tcPr>
          <w:p w14:paraId="08D973A4" w14:textId="77777777" w:rsidR="009C2E18" w:rsidRPr="00A11AF6" w:rsidRDefault="009C2E18" w:rsidP="00417F7C">
            <w:pPr>
              <w:spacing w:after="0" w:line="240" w:lineRule="auto"/>
              <w:jc w:val="center"/>
              <w:rPr>
                <w:sz w:val="16"/>
                <w:szCs w:val="16"/>
              </w:rPr>
            </w:pPr>
          </w:p>
        </w:tc>
        <w:tc>
          <w:tcPr>
            <w:tcW w:w="574" w:type="dxa"/>
            <w:shd w:val="clear" w:color="auto" w:fill="FFFFFF" w:themeFill="background1"/>
          </w:tcPr>
          <w:p w14:paraId="1935FDA6" w14:textId="77777777" w:rsidR="009C2E18" w:rsidRPr="00A11AF6" w:rsidRDefault="009C2E18" w:rsidP="00417F7C">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47507D14"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75DB55CF"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7A77D577" w14:textId="77777777" w:rsidR="009C2E18" w:rsidRPr="00A11AF6" w:rsidRDefault="009C2E18" w:rsidP="00417F7C">
            <w:pPr>
              <w:spacing w:after="0" w:line="240" w:lineRule="auto"/>
              <w:jc w:val="center"/>
              <w:rPr>
                <w:sz w:val="16"/>
                <w:szCs w:val="16"/>
              </w:rPr>
            </w:pPr>
          </w:p>
        </w:tc>
      </w:tr>
      <w:tr w:rsidR="009C2E18" w:rsidRPr="00287858" w14:paraId="7E131AD0" w14:textId="77777777" w:rsidTr="00417F7C">
        <w:trPr>
          <w:trHeight w:val="389"/>
        </w:trPr>
        <w:tc>
          <w:tcPr>
            <w:tcW w:w="1451" w:type="dxa"/>
            <w:vMerge/>
            <w:tcMar>
              <w:left w:w="57" w:type="dxa"/>
              <w:right w:w="57" w:type="dxa"/>
            </w:tcMar>
          </w:tcPr>
          <w:p w14:paraId="12C4E367" w14:textId="77777777" w:rsidR="009C2E18" w:rsidRPr="00DE3187" w:rsidRDefault="009C2E18" w:rsidP="00417F7C">
            <w:pPr>
              <w:spacing w:after="0" w:line="240" w:lineRule="auto"/>
              <w:rPr>
                <w:b/>
                <w:sz w:val="18"/>
                <w:szCs w:val="18"/>
              </w:rPr>
            </w:pPr>
          </w:p>
        </w:tc>
        <w:tc>
          <w:tcPr>
            <w:tcW w:w="2394" w:type="dxa"/>
            <w:shd w:val="clear" w:color="auto" w:fill="auto"/>
          </w:tcPr>
          <w:p w14:paraId="2654AF8D" w14:textId="77777777" w:rsidR="009C2E18" w:rsidRPr="005B2913" w:rsidRDefault="009C2E18" w:rsidP="00417F7C">
            <w:pPr>
              <w:spacing w:after="0" w:line="240" w:lineRule="auto"/>
              <w:jc w:val="left"/>
              <w:rPr>
                <w:sz w:val="18"/>
                <w:szCs w:val="18"/>
              </w:rPr>
            </w:pPr>
            <w:r w:rsidRPr="005B2913">
              <w:rPr>
                <w:sz w:val="18"/>
                <w:szCs w:val="18"/>
              </w:rPr>
              <w:t>Larval abundance of ‘flow-dependent’ spawning species (e.g. golden and silver perch)</w:t>
            </w:r>
          </w:p>
        </w:tc>
        <w:tc>
          <w:tcPr>
            <w:tcW w:w="756" w:type="dxa"/>
            <w:shd w:val="clear" w:color="auto" w:fill="D9D9D9" w:themeFill="background1" w:themeFillShade="D9"/>
            <w:tcMar>
              <w:left w:w="57" w:type="dxa"/>
              <w:right w:w="57" w:type="dxa"/>
            </w:tcMar>
          </w:tcPr>
          <w:p w14:paraId="19DF727E" w14:textId="77777777" w:rsidR="009C2E18" w:rsidRPr="00A11AF6" w:rsidRDefault="009C2E18" w:rsidP="00417F7C">
            <w:pPr>
              <w:spacing w:after="0" w:line="240" w:lineRule="auto"/>
              <w:jc w:val="center"/>
              <w:rPr>
                <w:sz w:val="16"/>
                <w:szCs w:val="16"/>
              </w:rPr>
            </w:pPr>
          </w:p>
        </w:tc>
        <w:tc>
          <w:tcPr>
            <w:tcW w:w="686" w:type="dxa"/>
            <w:shd w:val="clear" w:color="auto" w:fill="FFFFFF" w:themeFill="background1"/>
          </w:tcPr>
          <w:p w14:paraId="2C37FD14" w14:textId="77777777" w:rsidR="009C2E18" w:rsidRPr="00A11AF6" w:rsidRDefault="009C2E18" w:rsidP="00417F7C">
            <w:pPr>
              <w:spacing w:after="0" w:line="240" w:lineRule="auto"/>
              <w:jc w:val="center"/>
              <w:rPr>
                <w:sz w:val="16"/>
                <w:szCs w:val="16"/>
              </w:rPr>
            </w:pPr>
            <w:r>
              <w:rPr>
                <w:sz w:val="16"/>
                <w:szCs w:val="16"/>
              </w:rPr>
              <w:t>N/A</w:t>
            </w:r>
          </w:p>
        </w:tc>
        <w:tc>
          <w:tcPr>
            <w:tcW w:w="783" w:type="dxa"/>
            <w:shd w:val="clear" w:color="auto" w:fill="D9D9D9" w:themeFill="background1" w:themeFillShade="D9"/>
          </w:tcPr>
          <w:p w14:paraId="7AF4AFAB" w14:textId="77777777" w:rsidR="009C2E18" w:rsidRPr="00A11AF6" w:rsidRDefault="009C2E18" w:rsidP="00417F7C">
            <w:pPr>
              <w:spacing w:after="0" w:line="240" w:lineRule="auto"/>
              <w:jc w:val="center"/>
              <w:rPr>
                <w:sz w:val="16"/>
                <w:szCs w:val="16"/>
              </w:rPr>
            </w:pPr>
          </w:p>
        </w:tc>
        <w:tc>
          <w:tcPr>
            <w:tcW w:w="840" w:type="dxa"/>
            <w:shd w:val="clear" w:color="auto" w:fill="D9D9D9" w:themeFill="background1" w:themeFillShade="D9"/>
          </w:tcPr>
          <w:p w14:paraId="1804374C" w14:textId="77777777" w:rsidR="009C2E18" w:rsidRPr="00A11AF6" w:rsidRDefault="009C2E18" w:rsidP="00417F7C">
            <w:pPr>
              <w:spacing w:after="0" w:line="240" w:lineRule="auto"/>
              <w:jc w:val="center"/>
              <w:rPr>
                <w:sz w:val="16"/>
                <w:szCs w:val="16"/>
              </w:rPr>
            </w:pPr>
          </w:p>
        </w:tc>
        <w:tc>
          <w:tcPr>
            <w:tcW w:w="574" w:type="dxa"/>
            <w:shd w:val="clear" w:color="auto" w:fill="FFFFFF" w:themeFill="background1"/>
          </w:tcPr>
          <w:p w14:paraId="74CA21F8" w14:textId="77777777" w:rsidR="009C2E18" w:rsidRPr="00A11AF6" w:rsidRDefault="009C2E18" w:rsidP="00417F7C">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09860C40"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7690AF1D"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279AF0C2" w14:textId="77777777" w:rsidR="009C2E18" w:rsidRPr="00A11AF6" w:rsidRDefault="009C2E18" w:rsidP="00417F7C">
            <w:pPr>
              <w:spacing w:after="0" w:line="240" w:lineRule="auto"/>
              <w:jc w:val="center"/>
              <w:rPr>
                <w:sz w:val="16"/>
                <w:szCs w:val="16"/>
              </w:rPr>
            </w:pPr>
          </w:p>
        </w:tc>
      </w:tr>
      <w:tr w:rsidR="009C2E18" w:rsidRPr="00287858" w14:paraId="5C93868D" w14:textId="77777777" w:rsidTr="00417F7C">
        <w:trPr>
          <w:trHeight w:val="389"/>
        </w:trPr>
        <w:tc>
          <w:tcPr>
            <w:tcW w:w="1451" w:type="dxa"/>
            <w:vMerge/>
            <w:tcMar>
              <w:left w:w="57" w:type="dxa"/>
              <w:right w:w="57" w:type="dxa"/>
            </w:tcMar>
          </w:tcPr>
          <w:p w14:paraId="3DF8A3AF" w14:textId="77777777" w:rsidR="009C2E18" w:rsidRPr="00DE3187" w:rsidRDefault="009C2E18" w:rsidP="00417F7C">
            <w:pPr>
              <w:spacing w:after="0" w:line="240" w:lineRule="auto"/>
              <w:rPr>
                <w:b/>
                <w:sz w:val="18"/>
                <w:szCs w:val="18"/>
              </w:rPr>
            </w:pPr>
          </w:p>
        </w:tc>
        <w:tc>
          <w:tcPr>
            <w:tcW w:w="2394" w:type="dxa"/>
            <w:shd w:val="clear" w:color="auto" w:fill="auto"/>
          </w:tcPr>
          <w:p w14:paraId="06AC4FD0" w14:textId="77777777" w:rsidR="009C2E18" w:rsidRPr="005B2913" w:rsidRDefault="009C2E18" w:rsidP="00417F7C">
            <w:pPr>
              <w:spacing w:after="0" w:line="240" w:lineRule="auto"/>
              <w:jc w:val="left"/>
              <w:rPr>
                <w:sz w:val="18"/>
                <w:szCs w:val="18"/>
              </w:rPr>
            </w:pPr>
            <w:r w:rsidRPr="005B2913">
              <w:rPr>
                <w:sz w:val="18"/>
                <w:szCs w:val="18"/>
              </w:rPr>
              <w:t>Larval abundance of Murray cod</w:t>
            </w:r>
          </w:p>
        </w:tc>
        <w:tc>
          <w:tcPr>
            <w:tcW w:w="756" w:type="dxa"/>
            <w:shd w:val="clear" w:color="auto" w:fill="D9D9D9" w:themeFill="background1" w:themeFillShade="D9"/>
            <w:tcMar>
              <w:left w:w="57" w:type="dxa"/>
              <w:right w:w="57" w:type="dxa"/>
            </w:tcMar>
          </w:tcPr>
          <w:p w14:paraId="1B7E8CDF" w14:textId="77777777" w:rsidR="009C2E18" w:rsidRPr="00A11AF6" w:rsidRDefault="009C2E18" w:rsidP="00417F7C">
            <w:pPr>
              <w:spacing w:after="0" w:line="240" w:lineRule="auto"/>
              <w:jc w:val="center"/>
              <w:rPr>
                <w:sz w:val="16"/>
                <w:szCs w:val="16"/>
              </w:rPr>
            </w:pPr>
          </w:p>
        </w:tc>
        <w:tc>
          <w:tcPr>
            <w:tcW w:w="686" w:type="dxa"/>
            <w:shd w:val="clear" w:color="auto" w:fill="FFFFFF" w:themeFill="background1"/>
          </w:tcPr>
          <w:p w14:paraId="60EF043A" w14:textId="77777777" w:rsidR="009C2E18" w:rsidRPr="00A11AF6" w:rsidRDefault="009C2E18" w:rsidP="00417F7C">
            <w:pPr>
              <w:spacing w:after="0" w:line="240" w:lineRule="auto"/>
              <w:jc w:val="center"/>
              <w:rPr>
                <w:sz w:val="16"/>
                <w:szCs w:val="16"/>
              </w:rPr>
            </w:pPr>
            <w:r>
              <w:rPr>
                <w:sz w:val="16"/>
                <w:szCs w:val="16"/>
              </w:rPr>
              <w:t>N/A</w:t>
            </w:r>
          </w:p>
        </w:tc>
        <w:tc>
          <w:tcPr>
            <w:tcW w:w="783" w:type="dxa"/>
            <w:shd w:val="clear" w:color="auto" w:fill="D9D9D9" w:themeFill="background1" w:themeFillShade="D9"/>
          </w:tcPr>
          <w:p w14:paraId="4C820E45" w14:textId="77777777" w:rsidR="009C2E18" w:rsidRPr="00A11AF6" w:rsidRDefault="009C2E18" w:rsidP="00417F7C">
            <w:pPr>
              <w:spacing w:after="0" w:line="240" w:lineRule="auto"/>
              <w:jc w:val="center"/>
              <w:rPr>
                <w:sz w:val="16"/>
                <w:szCs w:val="16"/>
              </w:rPr>
            </w:pPr>
          </w:p>
        </w:tc>
        <w:tc>
          <w:tcPr>
            <w:tcW w:w="840" w:type="dxa"/>
            <w:shd w:val="clear" w:color="auto" w:fill="D9D9D9" w:themeFill="background1" w:themeFillShade="D9"/>
          </w:tcPr>
          <w:p w14:paraId="346A47CE" w14:textId="77777777" w:rsidR="009C2E18" w:rsidRPr="00A11AF6" w:rsidRDefault="009C2E18" w:rsidP="00417F7C">
            <w:pPr>
              <w:spacing w:after="0" w:line="240" w:lineRule="auto"/>
              <w:jc w:val="center"/>
              <w:rPr>
                <w:sz w:val="16"/>
                <w:szCs w:val="16"/>
              </w:rPr>
            </w:pPr>
          </w:p>
        </w:tc>
        <w:tc>
          <w:tcPr>
            <w:tcW w:w="574" w:type="dxa"/>
            <w:shd w:val="clear" w:color="auto" w:fill="FFFFFF" w:themeFill="background1"/>
          </w:tcPr>
          <w:p w14:paraId="6C518266" w14:textId="77777777" w:rsidR="009C2E18" w:rsidRPr="00A11AF6" w:rsidRDefault="009C2E18" w:rsidP="00417F7C">
            <w:pPr>
              <w:spacing w:after="0" w:line="240" w:lineRule="auto"/>
              <w:jc w:val="center"/>
              <w:rPr>
                <w:sz w:val="16"/>
                <w:szCs w:val="16"/>
              </w:rPr>
            </w:pPr>
            <w:r>
              <w:rPr>
                <w:sz w:val="16"/>
                <w:szCs w:val="16"/>
              </w:rPr>
              <w:t>N/A</w:t>
            </w:r>
          </w:p>
        </w:tc>
        <w:tc>
          <w:tcPr>
            <w:tcW w:w="742" w:type="dxa"/>
            <w:shd w:val="clear" w:color="auto" w:fill="D9D9D9" w:themeFill="background1" w:themeFillShade="D9"/>
          </w:tcPr>
          <w:p w14:paraId="0E0477B9"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5C71A0A3" w14:textId="77777777" w:rsidR="009C2E18" w:rsidRPr="00A11AF6" w:rsidRDefault="009C2E18" w:rsidP="00417F7C">
            <w:pPr>
              <w:spacing w:after="0" w:line="240" w:lineRule="auto"/>
              <w:jc w:val="center"/>
              <w:rPr>
                <w:sz w:val="16"/>
                <w:szCs w:val="16"/>
              </w:rPr>
            </w:pPr>
          </w:p>
        </w:tc>
        <w:tc>
          <w:tcPr>
            <w:tcW w:w="672" w:type="dxa"/>
            <w:shd w:val="clear" w:color="auto" w:fill="D9D9D9" w:themeFill="background1" w:themeFillShade="D9"/>
          </w:tcPr>
          <w:p w14:paraId="0E2C8268" w14:textId="77777777" w:rsidR="009C2E18" w:rsidRPr="00A11AF6" w:rsidRDefault="009C2E18" w:rsidP="00417F7C">
            <w:pPr>
              <w:spacing w:after="0" w:line="240" w:lineRule="auto"/>
              <w:jc w:val="center"/>
              <w:rPr>
                <w:sz w:val="16"/>
                <w:szCs w:val="16"/>
              </w:rPr>
            </w:pPr>
          </w:p>
        </w:tc>
      </w:tr>
      <w:tr w:rsidR="009C2E18" w:rsidRPr="00287858" w14:paraId="708D0E3E" w14:textId="77777777" w:rsidTr="00417F7C">
        <w:trPr>
          <w:trHeight w:val="353"/>
        </w:trPr>
        <w:tc>
          <w:tcPr>
            <w:tcW w:w="1451" w:type="dxa"/>
            <w:vMerge w:val="restart"/>
            <w:tcMar>
              <w:left w:w="57" w:type="dxa"/>
              <w:right w:w="57" w:type="dxa"/>
            </w:tcMar>
          </w:tcPr>
          <w:p w14:paraId="229DC6F6" w14:textId="77777777" w:rsidR="009C2E18" w:rsidRPr="00DE3187" w:rsidRDefault="009C2E18" w:rsidP="00417F7C">
            <w:pPr>
              <w:spacing w:after="0" w:line="240" w:lineRule="auto"/>
              <w:rPr>
                <w:b/>
                <w:sz w:val="18"/>
                <w:szCs w:val="18"/>
              </w:rPr>
            </w:pPr>
            <w:r w:rsidRPr="00DE3187">
              <w:rPr>
                <w:b/>
                <w:sz w:val="18"/>
                <w:szCs w:val="18"/>
              </w:rPr>
              <w:t>Fish recruitment</w:t>
            </w:r>
          </w:p>
        </w:tc>
        <w:tc>
          <w:tcPr>
            <w:tcW w:w="2394" w:type="dxa"/>
            <w:shd w:val="clear" w:color="auto" w:fill="auto"/>
          </w:tcPr>
          <w:p w14:paraId="19E688E3" w14:textId="77777777" w:rsidR="009C2E18" w:rsidRPr="005B2913" w:rsidRDefault="009C2E18" w:rsidP="00417F7C">
            <w:pPr>
              <w:spacing w:after="0" w:line="240" w:lineRule="auto"/>
              <w:jc w:val="left"/>
              <w:rPr>
                <w:sz w:val="18"/>
                <w:szCs w:val="18"/>
              </w:rPr>
            </w:pPr>
            <w:r w:rsidRPr="005B2913">
              <w:rPr>
                <w:sz w:val="18"/>
                <w:szCs w:val="18"/>
              </w:rPr>
              <w:t>Growth rate of young-of-year (YOY) and age-class 1 (1+) Murray cod</w:t>
            </w:r>
            <w:r>
              <w:rPr>
                <w:sz w:val="18"/>
                <w:szCs w:val="18"/>
              </w:rPr>
              <w:t>, golden perch and silver perch</w:t>
            </w:r>
          </w:p>
        </w:tc>
        <w:tc>
          <w:tcPr>
            <w:tcW w:w="756" w:type="dxa"/>
            <w:shd w:val="clear" w:color="auto" w:fill="D9D9D9" w:themeFill="background1" w:themeFillShade="D9"/>
            <w:tcMar>
              <w:left w:w="57" w:type="dxa"/>
              <w:right w:w="57" w:type="dxa"/>
            </w:tcMar>
          </w:tcPr>
          <w:p w14:paraId="3C1E24D0" w14:textId="77777777" w:rsidR="009C2E18" w:rsidRPr="00D07598" w:rsidRDefault="009C2E18" w:rsidP="00417F7C">
            <w:pPr>
              <w:spacing w:after="0" w:line="240" w:lineRule="auto"/>
              <w:jc w:val="center"/>
              <w:rPr>
                <w:b/>
                <w:sz w:val="16"/>
                <w:szCs w:val="16"/>
              </w:rPr>
            </w:pPr>
          </w:p>
        </w:tc>
        <w:tc>
          <w:tcPr>
            <w:tcW w:w="686" w:type="dxa"/>
            <w:shd w:val="clear" w:color="auto" w:fill="FFFFFF" w:themeFill="background1"/>
          </w:tcPr>
          <w:p w14:paraId="6B7709D0" w14:textId="77777777" w:rsidR="009C2E18" w:rsidRPr="00D07598" w:rsidRDefault="009C2E18" w:rsidP="00417F7C">
            <w:pPr>
              <w:spacing w:after="0" w:line="240" w:lineRule="auto"/>
              <w:jc w:val="center"/>
              <w:rPr>
                <w:b/>
                <w:sz w:val="16"/>
                <w:szCs w:val="16"/>
              </w:rPr>
            </w:pPr>
            <w:r>
              <w:rPr>
                <w:sz w:val="16"/>
                <w:szCs w:val="16"/>
              </w:rPr>
              <w:t>N/A</w:t>
            </w:r>
          </w:p>
        </w:tc>
        <w:tc>
          <w:tcPr>
            <w:tcW w:w="783" w:type="dxa"/>
            <w:shd w:val="clear" w:color="auto" w:fill="D9D9D9" w:themeFill="background1" w:themeFillShade="D9"/>
          </w:tcPr>
          <w:p w14:paraId="50C070FD" w14:textId="77777777" w:rsidR="009C2E18" w:rsidRPr="00D07598" w:rsidRDefault="009C2E18" w:rsidP="00417F7C">
            <w:pPr>
              <w:spacing w:after="0" w:line="240" w:lineRule="auto"/>
              <w:jc w:val="center"/>
              <w:rPr>
                <w:b/>
                <w:sz w:val="16"/>
                <w:szCs w:val="16"/>
              </w:rPr>
            </w:pPr>
          </w:p>
        </w:tc>
        <w:tc>
          <w:tcPr>
            <w:tcW w:w="840" w:type="dxa"/>
            <w:shd w:val="clear" w:color="auto" w:fill="D9D9D9" w:themeFill="background1" w:themeFillShade="D9"/>
          </w:tcPr>
          <w:p w14:paraId="01BB80A4" w14:textId="77777777" w:rsidR="009C2E18" w:rsidRPr="00D07598" w:rsidRDefault="009C2E18" w:rsidP="00417F7C">
            <w:pPr>
              <w:spacing w:after="0" w:line="240" w:lineRule="auto"/>
              <w:jc w:val="center"/>
              <w:rPr>
                <w:b/>
                <w:sz w:val="16"/>
                <w:szCs w:val="16"/>
              </w:rPr>
            </w:pPr>
          </w:p>
        </w:tc>
        <w:tc>
          <w:tcPr>
            <w:tcW w:w="574" w:type="dxa"/>
            <w:shd w:val="clear" w:color="auto" w:fill="FFFFFF" w:themeFill="background1"/>
          </w:tcPr>
          <w:p w14:paraId="1142C82E" w14:textId="77777777" w:rsidR="009C2E18" w:rsidRPr="00D07598" w:rsidRDefault="009C2E18" w:rsidP="00417F7C">
            <w:pPr>
              <w:spacing w:after="0" w:line="240" w:lineRule="auto"/>
              <w:jc w:val="center"/>
              <w:rPr>
                <w:b/>
                <w:sz w:val="16"/>
                <w:szCs w:val="16"/>
              </w:rPr>
            </w:pPr>
            <w:r>
              <w:rPr>
                <w:sz w:val="16"/>
                <w:szCs w:val="16"/>
              </w:rPr>
              <w:t>N/A</w:t>
            </w:r>
          </w:p>
        </w:tc>
        <w:tc>
          <w:tcPr>
            <w:tcW w:w="742" w:type="dxa"/>
            <w:shd w:val="clear" w:color="auto" w:fill="D9D9D9" w:themeFill="background1" w:themeFillShade="D9"/>
          </w:tcPr>
          <w:p w14:paraId="4A0653D2" w14:textId="77777777" w:rsidR="009C2E18" w:rsidRPr="00D07598" w:rsidRDefault="009C2E18" w:rsidP="00417F7C">
            <w:pPr>
              <w:spacing w:after="0" w:line="240" w:lineRule="auto"/>
              <w:jc w:val="center"/>
              <w:rPr>
                <w:b/>
                <w:sz w:val="16"/>
                <w:szCs w:val="16"/>
              </w:rPr>
            </w:pPr>
          </w:p>
        </w:tc>
        <w:tc>
          <w:tcPr>
            <w:tcW w:w="672" w:type="dxa"/>
            <w:shd w:val="clear" w:color="auto" w:fill="D9D9D9" w:themeFill="background1" w:themeFillShade="D9"/>
          </w:tcPr>
          <w:p w14:paraId="6FCA783A" w14:textId="77777777" w:rsidR="009C2E18" w:rsidRPr="00D07598" w:rsidRDefault="009C2E18" w:rsidP="00417F7C">
            <w:pPr>
              <w:spacing w:after="0" w:line="240" w:lineRule="auto"/>
              <w:jc w:val="center"/>
              <w:rPr>
                <w:b/>
                <w:sz w:val="16"/>
                <w:szCs w:val="16"/>
              </w:rPr>
            </w:pPr>
          </w:p>
        </w:tc>
        <w:tc>
          <w:tcPr>
            <w:tcW w:w="672" w:type="dxa"/>
            <w:shd w:val="clear" w:color="auto" w:fill="D9D9D9" w:themeFill="background1" w:themeFillShade="D9"/>
          </w:tcPr>
          <w:p w14:paraId="45733A36" w14:textId="77777777" w:rsidR="009C2E18" w:rsidRPr="00D07598" w:rsidRDefault="009C2E18" w:rsidP="00417F7C">
            <w:pPr>
              <w:spacing w:after="0" w:line="240" w:lineRule="auto"/>
              <w:jc w:val="center"/>
              <w:rPr>
                <w:b/>
                <w:sz w:val="16"/>
                <w:szCs w:val="16"/>
              </w:rPr>
            </w:pPr>
          </w:p>
        </w:tc>
      </w:tr>
      <w:tr w:rsidR="009C2E18" w:rsidRPr="00287858" w14:paraId="5562F158" w14:textId="77777777" w:rsidTr="00417F7C">
        <w:trPr>
          <w:trHeight w:val="390"/>
        </w:trPr>
        <w:tc>
          <w:tcPr>
            <w:tcW w:w="1451" w:type="dxa"/>
            <w:vMerge/>
            <w:tcMar>
              <w:left w:w="57" w:type="dxa"/>
              <w:right w:w="57" w:type="dxa"/>
            </w:tcMar>
          </w:tcPr>
          <w:p w14:paraId="6E685E8D" w14:textId="77777777" w:rsidR="009C2E18" w:rsidRDefault="009C2E18" w:rsidP="00417F7C">
            <w:pPr>
              <w:spacing w:after="0" w:line="240" w:lineRule="auto"/>
              <w:jc w:val="left"/>
              <w:rPr>
                <w:b/>
                <w:sz w:val="18"/>
                <w:szCs w:val="18"/>
              </w:rPr>
            </w:pPr>
          </w:p>
        </w:tc>
        <w:tc>
          <w:tcPr>
            <w:tcW w:w="2394" w:type="dxa"/>
            <w:shd w:val="clear" w:color="auto" w:fill="auto"/>
          </w:tcPr>
          <w:p w14:paraId="35003525" w14:textId="77777777" w:rsidR="009C2E18" w:rsidRPr="00660948" w:rsidRDefault="009C2E18" w:rsidP="00417F7C">
            <w:pPr>
              <w:spacing w:after="0" w:line="240" w:lineRule="auto"/>
              <w:jc w:val="left"/>
              <w:rPr>
                <w:sz w:val="18"/>
                <w:szCs w:val="18"/>
              </w:rPr>
            </w:pPr>
            <w:r>
              <w:rPr>
                <w:sz w:val="18"/>
                <w:szCs w:val="18"/>
              </w:rPr>
              <w:t>R</w:t>
            </w:r>
            <w:r w:rsidRPr="00660948">
              <w:rPr>
                <w:sz w:val="18"/>
                <w:szCs w:val="18"/>
              </w:rPr>
              <w:t>ecruitment</w:t>
            </w:r>
            <w:r>
              <w:rPr>
                <w:sz w:val="18"/>
                <w:szCs w:val="18"/>
              </w:rPr>
              <w:t xml:space="preserve"> of </w:t>
            </w:r>
            <w:r w:rsidRPr="00660948">
              <w:rPr>
                <w:sz w:val="18"/>
                <w:szCs w:val="18"/>
              </w:rPr>
              <w:t>young-of-year (YOY) and age-class 1 (1+) Murray cod</w:t>
            </w:r>
            <w:r>
              <w:rPr>
                <w:sz w:val="18"/>
                <w:szCs w:val="18"/>
              </w:rPr>
              <w:t xml:space="preserve"> golden perch and silver perch</w:t>
            </w:r>
          </w:p>
        </w:tc>
        <w:tc>
          <w:tcPr>
            <w:tcW w:w="756" w:type="dxa"/>
            <w:shd w:val="clear" w:color="auto" w:fill="D9D9D9" w:themeFill="background1" w:themeFillShade="D9"/>
            <w:tcMar>
              <w:left w:w="57" w:type="dxa"/>
              <w:right w:w="57" w:type="dxa"/>
            </w:tcMar>
          </w:tcPr>
          <w:p w14:paraId="640391E6" w14:textId="77777777" w:rsidR="009C2E18" w:rsidRPr="00D07598" w:rsidRDefault="009C2E18" w:rsidP="00417F7C">
            <w:pPr>
              <w:spacing w:after="120" w:line="240" w:lineRule="auto"/>
              <w:jc w:val="center"/>
              <w:rPr>
                <w:b/>
                <w:sz w:val="16"/>
                <w:szCs w:val="16"/>
              </w:rPr>
            </w:pPr>
          </w:p>
        </w:tc>
        <w:tc>
          <w:tcPr>
            <w:tcW w:w="686" w:type="dxa"/>
            <w:shd w:val="clear" w:color="auto" w:fill="FFFFFF" w:themeFill="background1"/>
          </w:tcPr>
          <w:p w14:paraId="78010D00" w14:textId="77777777" w:rsidR="009C2E18" w:rsidRPr="00D07598" w:rsidRDefault="009C2E18" w:rsidP="00417F7C">
            <w:pPr>
              <w:spacing w:after="0" w:line="240" w:lineRule="auto"/>
              <w:jc w:val="center"/>
              <w:rPr>
                <w:b/>
                <w:sz w:val="16"/>
                <w:szCs w:val="16"/>
              </w:rPr>
            </w:pPr>
            <w:r>
              <w:rPr>
                <w:sz w:val="16"/>
                <w:szCs w:val="16"/>
              </w:rPr>
              <w:t>N/A</w:t>
            </w:r>
          </w:p>
        </w:tc>
        <w:tc>
          <w:tcPr>
            <w:tcW w:w="783" w:type="dxa"/>
            <w:shd w:val="clear" w:color="auto" w:fill="C2D69B" w:themeFill="accent3" w:themeFillTint="99"/>
            <w:tcMar>
              <w:left w:w="28" w:type="dxa"/>
              <w:right w:w="28" w:type="dxa"/>
            </w:tcMar>
          </w:tcPr>
          <w:p w14:paraId="5B5CC125" w14:textId="77777777" w:rsidR="009C2E18" w:rsidRPr="0028328F" w:rsidRDefault="009C2E18" w:rsidP="00417F7C">
            <w:pPr>
              <w:spacing w:after="0" w:line="240" w:lineRule="auto"/>
              <w:jc w:val="center"/>
              <w:rPr>
                <w:sz w:val="16"/>
                <w:szCs w:val="16"/>
              </w:rPr>
            </w:pPr>
            <w:r w:rsidRPr="0028328F">
              <w:rPr>
                <w:sz w:val="16"/>
                <w:szCs w:val="16"/>
              </w:rPr>
              <w:t xml:space="preserve">Higher </w:t>
            </w:r>
            <w:r>
              <w:rPr>
                <w:sz w:val="16"/>
                <w:szCs w:val="16"/>
              </w:rPr>
              <w:t>silver perch recritment than zone 1 or 2</w:t>
            </w:r>
            <w:r w:rsidRPr="0028328F">
              <w:rPr>
                <w:sz w:val="16"/>
                <w:szCs w:val="16"/>
              </w:rPr>
              <w:t xml:space="preserve"> </w:t>
            </w:r>
          </w:p>
        </w:tc>
        <w:tc>
          <w:tcPr>
            <w:tcW w:w="840" w:type="dxa"/>
            <w:shd w:val="clear" w:color="auto" w:fill="C2D69B" w:themeFill="accent3" w:themeFillTint="99"/>
          </w:tcPr>
          <w:p w14:paraId="106A83EF" w14:textId="77777777" w:rsidR="009C2E18" w:rsidRPr="00D07598" w:rsidRDefault="009C2E18" w:rsidP="00417F7C">
            <w:pPr>
              <w:spacing w:after="0" w:line="240" w:lineRule="auto"/>
              <w:jc w:val="center"/>
              <w:rPr>
                <w:b/>
                <w:sz w:val="16"/>
                <w:szCs w:val="16"/>
              </w:rPr>
            </w:pPr>
            <w:r w:rsidRPr="0028328F">
              <w:rPr>
                <w:sz w:val="16"/>
                <w:szCs w:val="16"/>
              </w:rPr>
              <w:t xml:space="preserve">Higher </w:t>
            </w:r>
            <w:r>
              <w:rPr>
                <w:sz w:val="16"/>
                <w:szCs w:val="16"/>
              </w:rPr>
              <w:t>silver perch recritment than zone 1 or 2</w:t>
            </w:r>
          </w:p>
        </w:tc>
        <w:tc>
          <w:tcPr>
            <w:tcW w:w="574" w:type="dxa"/>
            <w:shd w:val="clear" w:color="auto" w:fill="FFFFFF" w:themeFill="background1"/>
          </w:tcPr>
          <w:p w14:paraId="615412FB" w14:textId="77777777" w:rsidR="009C2E18" w:rsidRPr="00D07598" w:rsidRDefault="009C2E18" w:rsidP="00417F7C">
            <w:pPr>
              <w:spacing w:after="0" w:line="240" w:lineRule="auto"/>
              <w:jc w:val="center"/>
              <w:rPr>
                <w:b/>
                <w:sz w:val="16"/>
                <w:szCs w:val="16"/>
              </w:rPr>
            </w:pPr>
            <w:r>
              <w:rPr>
                <w:sz w:val="16"/>
                <w:szCs w:val="16"/>
              </w:rPr>
              <w:t>N/A</w:t>
            </w:r>
          </w:p>
        </w:tc>
        <w:tc>
          <w:tcPr>
            <w:tcW w:w="742" w:type="dxa"/>
            <w:shd w:val="clear" w:color="auto" w:fill="D9D9D9" w:themeFill="background1" w:themeFillShade="D9"/>
          </w:tcPr>
          <w:p w14:paraId="716918FF" w14:textId="77777777" w:rsidR="009C2E18" w:rsidRPr="00D07598" w:rsidRDefault="009C2E18" w:rsidP="00417F7C">
            <w:pPr>
              <w:spacing w:after="0" w:line="240" w:lineRule="auto"/>
              <w:jc w:val="center"/>
              <w:rPr>
                <w:b/>
                <w:sz w:val="16"/>
                <w:szCs w:val="16"/>
              </w:rPr>
            </w:pPr>
          </w:p>
        </w:tc>
        <w:tc>
          <w:tcPr>
            <w:tcW w:w="672" w:type="dxa"/>
            <w:shd w:val="clear" w:color="auto" w:fill="D9D9D9" w:themeFill="background1" w:themeFillShade="D9"/>
          </w:tcPr>
          <w:p w14:paraId="67F0EB77" w14:textId="77777777" w:rsidR="009C2E18" w:rsidRPr="00D07598" w:rsidRDefault="009C2E18" w:rsidP="00417F7C">
            <w:pPr>
              <w:spacing w:after="0" w:line="240" w:lineRule="auto"/>
              <w:jc w:val="center"/>
              <w:rPr>
                <w:b/>
                <w:sz w:val="16"/>
                <w:szCs w:val="16"/>
              </w:rPr>
            </w:pPr>
          </w:p>
        </w:tc>
        <w:tc>
          <w:tcPr>
            <w:tcW w:w="672" w:type="dxa"/>
            <w:shd w:val="clear" w:color="auto" w:fill="D9D9D9" w:themeFill="background1" w:themeFillShade="D9"/>
          </w:tcPr>
          <w:p w14:paraId="208625C0" w14:textId="77777777" w:rsidR="009C2E18" w:rsidRPr="00D07598" w:rsidRDefault="009C2E18" w:rsidP="00417F7C">
            <w:pPr>
              <w:spacing w:after="0" w:line="240" w:lineRule="auto"/>
              <w:jc w:val="center"/>
              <w:rPr>
                <w:b/>
                <w:sz w:val="16"/>
                <w:szCs w:val="16"/>
              </w:rPr>
            </w:pPr>
          </w:p>
        </w:tc>
      </w:tr>
      <w:tr w:rsidR="009C2E18" w:rsidRPr="00287858" w14:paraId="36788BC8" w14:textId="77777777" w:rsidTr="00417F7C">
        <w:trPr>
          <w:trHeight w:val="284"/>
        </w:trPr>
        <w:tc>
          <w:tcPr>
            <w:tcW w:w="1451" w:type="dxa"/>
            <w:vMerge w:val="restart"/>
            <w:tcMar>
              <w:left w:w="57" w:type="dxa"/>
              <w:right w:w="57" w:type="dxa"/>
            </w:tcMar>
          </w:tcPr>
          <w:p w14:paraId="4FD19875" w14:textId="77777777" w:rsidR="009C2E18" w:rsidRPr="00DE3187" w:rsidRDefault="009C2E18" w:rsidP="00417F7C">
            <w:pPr>
              <w:spacing w:after="0" w:line="240" w:lineRule="auto"/>
              <w:jc w:val="left"/>
              <w:rPr>
                <w:b/>
                <w:sz w:val="18"/>
                <w:szCs w:val="18"/>
              </w:rPr>
            </w:pPr>
            <w:r>
              <w:rPr>
                <w:b/>
                <w:sz w:val="18"/>
                <w:szCs w:val="18"/>
              </w:rPr>
              <w:t>Fish community</w:t>
            </w:r>
          </w:p>
        </w:tc>
        <w:tc>
          <w:tcPr>
            <w:tcW w:w="2394" w:type="dxa"/>
            <w:shd w:val="clear" w:color="auto" w:fill="auto"/>
          </w:tcPr>
          <w:p w14:paraId="36D29207" w14:textId="77777777" w:rsidR="009C2E18" w:rsidRPr="00660948" w:rsidRDefault="009C2E18" w:rsidP="00417F7C">
            <w:pPr>
              <w:spacing w:after="0" w:line="240" w:lineRule="auto"/>
              <w:jc w:val="left"/>
              <w:rPr>
                <w:sz w:val="18"/>
                <w:szCs w:val="18"/>
              </w:rPr>
            </w:pPr>
            <w:r w:rsidRPr="0060345B">
              <w:rPr>
                <w:sz w:val="18"/>
                <w:szCs w:val="18"/>
              </w:rPr>
              <w:t>Fish condition</w:t>
            </w:r>
          </w:p>
        </w:tc>
        <w:tc>
          <w:tcPr>
            <w:tcW w:w="756" w:type="dxa"/>
            <w:shd w:val="clear" w:color="auto" w:fill="auto"/>
            <w:tcMar>
              <w:left w:w="57" w:type="dxa"/>
              <w:right w:w="57" w:type="dxa"/>
            </w:tcMar>
          </w:tcPr>
          <w:p w14:paraId="4738E1FF" w14:textId="77777777" w:rsidR="009C2E18" w:rsidRPr="00A11AF6" w:rsidRDefault="009C2E18" w:rsidP="00417F7C">
            <w:pPr>
              <w:spacing w:after="0" w:line="240" w:lineRule="auto"/>
              <w:jc w:val="center"/>
              <w:rPr>
                <w:sz w:val="16"/>
                <w:szCs w:val="16"/>
              </w:rPr>
            </w:pPr>
            <w:r>
              <w:rPr>
                <w:sz w:val="16"/>
                <w:szCs w:val="16"/>
              </w:rPr>
              <w:t>N/A</w:t>
            </w:r>
          </w:p>
        </w:tc>
        <w:tc>
          <w:tcPr>
            <w:tcW w:w="686" w:type="dxa"/>
          </w:tcPr>
          <w:p w14:paraId="6C42CA1A" w14:textId="77777777" w:rsidR="009C2E18" w:rsidRDefault="009C2E18" w:rsidP="00417F7C">
            <w:pPr>
              <w:spacing w:after="0" w:line="240" w:lineRule="auto"/>
              <w:jc w:val="center"/>
              <w:rPr>
                <w:sz w:val="16"/>
                <w:szCs w:val="16"/>
              </w:rPr>
            </w:pPr>
            <w:r>
              <w:rPr>
                <w:sz w:val="16"/>
                <w:szCs w:val="16"/>
              </w:rPr>
              <w:t>N/A</w:t>
            </w:r>
          </w:p>
        </w:tc>
        <w:tc>
          <w:tcPr>
            <w:tcW w:w="783" w:type="dxa"/>
          </w:tcPr>
          <w:p w14:paraId="595038D0" w14:textId="77777777" w:rsidR="009C2E18" w:rsidRDefault="009C2E18" w:rsidP="00417F7C">
            <w:pPr>
              <w:spacing w:after="0" w:line="240" w:lineRule="auto"/>
              <w:jc w:val="center"/>
              <w:rPr>
                <w:sz w:val="16"/>
                <w:szCs w:val="16"/>
              </w:rPr>
            </w:pPr>
            <w:r>
              <w:rPr>
                <w:sz w:val="16"/>
                <w:szCs w:val="16"/>
              </w:rPr>
              <w:t>N/A</w:t>
            </w:r>
          </w:p>
        </w:tc>
        <w:tc>
          <w:tcPr>
            <w:tcW w:w="840" w:type="dxa"/>
          </w:tcPr>
          <w:p w14:paraId="75A056A8" w14:textId="77777777" w:rsidR="009C2E18" w:rsidRDefault="009C2E18" w:rsidP="00417F7C">
            <w:pPr>
              <w:spacing w:after="0" w:line="240" w:lineRule="auto"/>
              <w:jc w:val="center"/>
              <w:rPr>
                <w:sz w:val="16"/>
                <w:szCs w:val="16"/>
              </w:rPr>
            </w:pPr>
            <w:r>
              <w:rPr>
                <w:sz w:val="16"/>
                <w:szCs w:val="16"/>
              </w:rPr>
              <w:t>N/A</w:t>
            </w:r>
          </w:p>
        </w:tc>
        <w:tc>
          <w:tcPr>
            <w:tcW w:w="574" w:type="dxa"/>
            <w:shd w:val="clear" w:color="auto" w:fill="FFFFFF" w:themeFill="background1"/>
          </w:tcPr>
          <w:p w14:paraId="232955BB" w14:textId="77777777" w:rsidR="009C2E18" w:rsidRDefault="009C2E18" w:rsidP="00417F7C">
            <w:pPr>
              <w:spacing w:after="0" w:line="240" w:lineRule="auto"/>
              <w:jc w:val="center"/>
              <w:rPr>
                <w:sz w:val="16"/>
                <w:szCs w:val="16"/>
              </w:rPr>
            </w:pPr>
            <w:r>
              <w:rPr>
                <w:sz w:val="16"/>
                <w:szCs w:val="16"/>
              </w:rPr>
              <w:t>N/A</w:t>
            </w:r>
          </w:p>
        </w:tc>
        <w:tc>
          <w:tcPr>
            <w:tcW w:w="742" w:type="dxa"/>
          </w:tcPr>
          <w:p w14:paraId="03CAB397" w14:textId="77777777" w:rsidR="009C2E18" w:rsidRDefault="009C2E18" w:rsidP="00417F7C">
            <w:pPr>
              <w:spacing w:after="0" w:line="240" w:lineRule="auto"/>
              <w:jc w:val="center"/>
              <w:rPr>
                <w:sz w:val="16"/>
                <w:szCs w:val="16"/>
              </w:rPr>
            </w:pPr>
            <w:r>
              <w:rPr>
                <w:sz w:val="16"/>
                <w:szCs w:val="16"/>
              </w:rPr>
              <w:t>N/A</w:t>
            </w:r>
          </w:p>
        </w:tc>
        <w:tc>
          <w:tcPr>
            <w:tcW w:w="672" w:type="dxa"/>
          </w:tcPr>
          <w:p w14:paraId="1258545E" w14:textId="77777777" w:rsidR="009C2E18" w:rsidRDefault="009C2E18" w:rsidP="00417F7C">
            <w:pPr>
              <w:spacing w:after="0" w:line="240" w:lineRule="auto"/>
              <w:jc w:val="center"/>
              <w:rPr>
                <w:sz w:val="16"/>
                <w:szCs w:val="16"/>
              </w:rPr>
            </w:pPr>
            <w:r>
              <w:rPr>
                <w:sz w:val="16"/>
                <w:szCs w:val="16"/>
              </w:rPr>
              <w:t>N/A</w:t>
            </w:r>
          </w:p>
        </w:tc>
        <w:tc>
          <w:tcPr>
            <w:tcW w:w="672" w:type="dxa"/>
          </w:tcPr>
          <w:p w14:paraId="61A94994" w14:textId="77777777" w:rsidR="009C2E18" w:rsidRDefault="009C2E18" w:rsidP="00417F7C">
            <w:pPr>
              <w:spacing w:after="0" w:line="240" w:lineRule="auto"/>
              <w:jc w:val="center"/>
              <w:rPr>
                <w:sz w:val="16"/>
                <w:szCs w:val="16"/>
              </w:rPr>
            </w:pPr>
            <w:r>
              <w:rPr>
                <w:sz w:val="16"/>
                <w:szCs w:val="16"/>
              </w:rPr>
              <w:t>N/A</w:t>
            </w:r>
          </w:p>
        </w:tc>
      </w:tr>
      <w:tr w:rsidR="009C2E18" w:rsidRPr="00287858" w14:paraId="50CDC3BA" w14:textId="77777777" w:rsidTr="00417F7C">
        <w:trPr>
          <w:trHeight w:val="284"/>
        </w:trPr>
        <w:tc>
          <w:tcPr>
            <w:tcW w:w="1451" w:type="dxa"/>
            <w:vMerge/>
            <w:tcMar>
              <w:left w:w="57" w:type="dxa"/>
              <w:right w:w="57" w:type="dxa"/>
            </w:tcMar>
          </w:tcPr>
          <w:p w14:paraId="49974967" w14:textId="77777777" w:rsidR="009C2E18" w:rsidRDefault="009C2E18" w:rsidP="00417F7C">
            <w:pPr>
              <w:spacing w:after="0" w:line="240" w:lineRule="auto"/>
              <w:jc w:val="left"/>
              <w:rPr>
                <w:b/>
                <w:sz w:val="18"/>
                <w:szCs w:val="18"/>
              </w:rPr>
            </w:pPr>
          </w:p>
        </w:tc>
        <w:tc>
          <w:tcPr>
            <w:tcW w:w="2394" w:type="dxa"/>
            <w:shd w:val="clear" w:color="auto" w:fill="auto"/>
          </w:tcPr>
          <w:p w14:paraId="4BE7D4C6" w14:textId="77777777" w:rsidR="009C2E18" w:rsidRPr="0060345B" w:rsidRDefault="009C2E18" w:rsidP="00417F7C">
            <w:pPr>
              <w:spacing w:after="0" w:line="240" w:lineRule="auto"/>
              <w:jc w:val="left"/>
              <w:rPr>
                <w:sz w:val="18"/>
                <w:szCs w:val="18"/>
              </w:rPr>
            </w:pPr>
            <w:r>
              <w:rPr>
                <w:sz w:val="18"/>
                <w:szCs w:val="18"/>
              </w:rPr>
              <w:t>Fish recovery</w:t>
            </w:r>
          </w:p>
        </w:tc>
        <w:tc>
          <w:tcPr>
            <w:tcW w:w="756" w:type="dxa"/>
            <w:shd w:val="clear" w:color="auto" w:fill="auto"/>
            <w:tcMar>
              <w:left w:w="57" w:type="dxa"/>
              <w:right w:w="57" w:type="dxa"/>
            </w:tcMar>
          </w:tcPr>
          <w:p w14:paraId="17DAA066" w14:textId="77777777" w:rsidR="009C2E18" w:rsidRDefault="009C2E18" w:rsidP="00417F7C">
            <w:pPr>
              <w:spacing w:after="0" w:line="240" w:lineRule="auto"/>
              <w:jc w:val="center"/>
              <w:rPr>
                <w:sz w:val="16"/>
                <w:szCs w:val="16"/>
              </w:rPr>
            </w:pPr>
            <w:r>
              <w:rPr>
                <w:sz w:val="16"/>
                <w:szCs w:val="16"/>
              </w:rPr>
              <w:t>N/A</w:t>
            </w:r>
          </w:p>
        </w:tc>
        <w:tc>
          <w:tcPr>
            <w:tcW w:w="686" w:type="dxa"/>
          </w:tcPr>
          <w:p w14:paraId="3948352F" w14:textId="77777777" w:rsidR="009C2E18" w:rsidRDefault="009C2E18" w:rsidP="00417F7C">
            <w:pPr>
              <w:spacing w:after="0" w:line="240" w:lineRule="auto"/>
              <w:jc w:val="center"/>
              <w:rPr>
                <w:sz w:val="16"/>
                <w:szCs w:val="16"/>
              </w:rPr>
            </w:pPr>
            <w:r>
              <w:rPr>
                <w:sz w:val="16"/>
                <w:szCs w:val="16"/>
              </w:rPr>
              <w:t>N/A</w:t>
            </w:r>
          </w:p>
        </w:tc>
        <w:tc>
          <w:tcPr>
            <w:tcW w:w="783" w:type="dxa"/>
          </w:tcPr>
          <w:p w14:paraId="222D1488" w14:textId="77777777" w:rsidR="009C2E18" w:rsidRDefault="009C2E18" w:rsidP="00417F7C">
            <w:pPr>
              <w:spacing w:after="0" w:line="240" w:lineRule="auto"/>
              <w:jc w:val="center"/>
              <w:rPr>
                <w:sz w:val="16"/>
                <w:szCs w:val="16"/>
              </w:rPr>
            </w:pPr>
            <w:r>
              <w:rPr>
                <w:sz w:val="16"/>
                <w:szCs w:val="16"/>
              </w:rPr>
              <w:t>N/A</w:t>
            </w:r>
          </w:p>
        </w:tc>
        <w:tc>
          <w:tcPr>
            <w:tcW w:w="840" w:type="dxa"/>
          </w:tcPr>
          <w:p w14:paraId="367971AF" w14:textId="77777777" w:rsidR="009C2E18" w:rsidRDefault="009C2E18" w:rsidP="00417F7C">
            <w:pPr>
              <w:spacing w:after="0" w:line="240" w:lineRule="auto"/>
              <w:jc w:val="center"/>
              <w:rPr>
                <w:sz w:val="16"/>
                <w:szCs w:val="16"/>
              </w:rPr>
            </w:pPr>
            <w:r>
              <w:rPr>
                <w:sz w:val="16"/>
                <w:szCs w:val="16"/>
              </w:rPr>
              <w:t>N/A</w:t>
            </w:r>
          </w:p>
        </w:tc>
        <w:tc>
          <w:tcPr>
            <w:tcW w:w="574" w:type="dxa"/>
            <w:shd w:val="clear" w:color="auto" w:fill="FFFFFF" w:themeFill="background1"/>
          </w:tcPr>
          <w:p w14:paraId="6C0B1CF7" w14:textId="77777777" w:rsidR="009C2E18" w:rsidRDefault="009C2E18" w:rsidP="00417F7C">
            <w:pPr>
              <w:spacing w:after="0" w:line="240" w:lineRule="auto"/>
              <w:jc w:val="center"/>
              <w:rPr>
                <w:sz w:val="16"/>
                <w:szCs w:val="16"/>
              </w:rPr>
            </w:pPr>
            <w:r>
              <w:rPr>
                <w:sz w:val="16"/>
                <w:szCs w:val="16"/>
              </w:rPr>
              <w:t>N/A</w:t>
            </w:r>
          </w:p>
        </w:tc>
        <w:tc>
          <w:tcPr>
            <w:tcW w:w="742" w:type="dxa"/>
          </w:tcPr>
          <w:p w14:paraId="01631A22" w14:textId="77777777" w:rsidR="009C2E18" w:rsidRDefault="009C2E18" w:rsidP="00417F7C">
            <w:pPr>
              <w:spacing w:after="0" w:line="240" w:lineRule="auto"/>
              <w:jc w:val="center"/>
              <w:rPr>
                <w:sz w:val="16"/>
                <w:szCs w:val="16"/>
              </w:rPr>
            </w:pPr>
            <w:r>
              <w:rPr>
                <w:sz w:val="16"/>
                <w:szCs w:val="16"/>
              </w:rPr>
              <w:t>N/A</w:t>
            </w:r>
          </w:p>
        </w:tc>
        <w:tc>
          <w:tcPr>
            <w:tcW w:w="672" w:type="dxa"/>
          </w:tcPr>
          <w:p w14:paraId="51EE3B21" w14:textId="77777777" w:rsidR="009C2E18" w:rsidRDefault="009C2E18" w:rsidP="00417F7C">
            <w:pPr>
              <w:spacing w:after="0" w:line="240" w:lineRule="auto"/>
              <w:jc w:val="center"/>
              <w:rPr>
                <w:sz w:val="16"/>
                <w:szCs w:val="16"/>
              </w:rPr>
            </w:pPr>
            <w:r>
              <w:rPr>
                <w:sz w:val="16"/>
                <w:szCs w:val="16"/>
              </w:rPr>
              <w:t>N/A</w:t>
            </w:r>
          </w:p>
        </w:tc>
        <w:tc>
          <w:tcPr>
            <w:tcW w:w="672" w:type="dxa"/>
          </w:tcPr>
          <w:p w14:paraId="3B5F4458" w14:textId="77777777" w:rsidR="009C2E18" w:rsidRDefault="009C2E18" w:rsidP="00417F7C">
            <w:pPr>
              <w:spacing w:after="0" w:line="240" w:lineRule="auto"/>
              <w:jc w:val="center"/>
              <w:rPr>
                <w:sz w:val="16"/>
                <w:szCs w:val="16"/>
              </w:rPr>
            </w:pPr>
            <w:r>
              <w:rPr>
                <w:sz w:val="16"/>
                <w:szCs w:val="16"/>
              </w:rPr>
              <w:t>N/A</w:t>
            </w:r>
          </w:p>
        </w:tc>
      </w:tr>
    </w:tbl>
    <w:p w14:paraId="3B4F8BC0" w14:textId="2B026CB9" w:rsidR="00C476D7" w:rsidRDefault="002631FA" w:rsidP="009C2E18">
      <w:pPr>
        <w:spacing w:after="0" w:line="240" w:lineRule="auto"/>
        <w:jc w:val="left"/>
        <w:rPr>
          <w:b/>
          <w:color w:val="4F6228" w:themeColor="accent3" w:themeShade="80"/>
        </w:rPr>
      </w:pPr>
      <w:r>
        <w:rPr>
          <w:b/>
          <w:color w:val="4F6228" w:themeColor="accent3" w:themeShade="80"/>
        </w:rPr>
        <w:br w:type="page"/>
      </w:r>
    </w:p>
    <w:p w14:paraId="3B4F8BC1" w14:textId="77777777" w:rsidR="00795B59" w:rsidRPr="00C770B1" w:rsidRDefault="00795B59" w:rsidP="00795B59">
      <w:pPr>
        <w:pStyle w:val="NoSpacing"/>
        <w:spacing w:line="360" w:lineRule="auto"/>
        <w:jc w:val="left"/>
        <w:rPr>
          <w:b/>
          <w:color w:val="4F6228" w:themeColor="accent3" w:themeShade="80"/>
          <w:sz w:val="24"/>
          <w:szCs w:val="24"/>
        </w:rPr>
      </w:pPr>
      <w:r w:rsidRPr="00C770B1">
        <w:rPr>
          <w:b/>
          <w:color w:val="4F6228" w:themeColor="accent3" w:themeShade="80"/>
          <w:sz w:val="24"/>
          <w:szCs w:val="24"/>
        </w:rPr>
        <w:lastRenderedPageBreak/>
        <w:t>Assessment of outcomes against the Commonwealth environmental watering objectives</w:t>
      </w:r>
    </w:p>
    <w:p w14:paraId="3B4F8BC2" w14:textId="77777777" w:rsidR="00795B59" w:rsidRDefault="00795B59" w:rsidP="00795B59">
      <w:pPr>
        <w:spacing w:after="240" w:line="320" w:lineRule="exact"/>
        <w:jc w:val="left"/>
      </w:pPr>
      <w:r>
        <w:t>An assessment of</w:t>
      </w:r>
      <w:r w:rsidRPr="001436D3">
        <w:t xml:space="preserve"> </w:t>
      </w:r>
      <w:r>
        <w:t xml:space="preserve">the outcomes against the </w:t>
      </w:r>
      <w:r w:rsidRPr="001436D3">
        <w:t xml:space="preserve">ecological objectives for </w:t>
      </w:r>
      <w:r w:rsidR="00DA0A46">
        <w:t>2015-16</w:t>
      </w:r>
      <w:r>
        <w:t xml:space="preserve"> in </w:t>
      </w:r>
      <w:r w:rsidRPr="001436D3">
        <w:t>the Edward-Wakool system outlined in</w:t>
      </w:r>
      <w:r w:rsidRPr="004E3F82">
        <w:rPr>
          <w:rFonts w:asciiTheme="minorHAnsi" w:hAnsiTheme="minorHAnsi"/>
        </w:rPr>
        <w:t xml:space="preserve"> the Water Use Minute </w:t>
      </w:r>
      <w:r w:rsidR="00DA0A46" w:rsidRPr="00DA0A46">
        <w:rPr>
          <w:rFonts w:asciiTheme="minorHAnsi" w:hAnsiTheme="minorHAnsi"/>
        </w:rPr>
        <w:t>1003</w:t>
      </w:r>
      <w:r w:rsidRPr="00DA0A46">
        <w:rPr>
          <w:rFonts w:asciiTheme="minorHAnsi" w:hAnsiTheme="minorHAnsi"/>
        </w:rPr>
        <w:t>8</w:t>
      </w:r>
      <w:r w:rsidR="00DA0A46">
        <w:rPr>
          <w:rFonts w:asciiTheme="minorHAnsi" w:hAnsiTheme="minorHAnsi"/>
        </w:rPr>
        <w:t xml:space="preserve"> (CEWO, 2015</w:t>
      </w:r>
      <w:r w:rsidRPr="004E3F82">
        <w:rPr>
          <w:rFonts w:asciiTheme="minorHAnsi" w:hAnsiTheme="minorHAnsi"/>
        </w:rPr>
        <w:t xml:space="preserve">) </w:t>
      </w:r>
      <w:r w:rsidR="00D07598">
        <w:t>is presented in Table 12</w:t>
      </w:r>
      <w:r w:rsidR="00DA0A46">
        <w:t>.2</w:t>
      </w:r>
      <w:r>
        <w:t>. Some of the watering objectives were achieved, some were not achieved</w:t>
      </w:r>
      <w:r w:rsidRPr="003F4225">
        <w:t xml:space="preserve"> </w:t>
      </w:r>
      <w:r>
        <w:t xml:space="preserve">and some were not assessed in </w:t>
      </w:r>
      <w:r w:rsidR="00DA0A46">
        <w:t>the Edward-Wakool system in 2015-16</w:t>
      </w:r>
      <w:r>
        <w:t xml:space="preserve">. </w:t>
      </w:r>
      <w:r w:rsidR="00DA0A46">
        <w:t>T</w:t>
      </w:r>
      <w:r>
        <w:t xml:space="preserve">he water quality and vegetation objectives were met. The lateral and longitudinal connectivity objectives were met at some sites, but not consistently throughout all zones. The objectives for reproduction and recruitment of native fish were not achieved by the Yallakool Creek </w:t>
      </w:r>
      <w:r w:rsidR="00DA0A46">
        <w:t xml:space="preserve">or Wakool River </w:t>
      </w:r>
      <w:r>
        <w:t>envir</w:t>
      </w:r>
      <w:r w:rsidR="00DA0A46">
        <w:t>onmental watering action in 2015-16</w:t>
      </w:r>
      <w:r>
        <w:t>.</w:t>
      </w:r>
    </w:p>
    <w:p w14:paraId="3B4F8BC3" w14:textId="765A8326" w:rsidR="00795B59" w:rsidRPr="004E3F82" w:rsidRDefault="00D07598" w:rsidP="00795B59">
      <w:pPr>
        <w:spacing w:after="0" w:line="240" w:lineRule="auto"/>
        <w:jc w:val="left"/>
        <w:rPr>
          <w:sz w:val="20"/>
        </w:rPr>
      </w:pPr>
      <w:r>
        <w:rPr>
          <w:b/>
          <w:sz w:val="20"/>
        </w:rPr>
        <w:t>Table12</w:t>
      </w:r>
      <w:r w:rsidR="00795B59">
        <w:rPr>
          <w:b/>
          <w:sz w:val="20"/>
        </w:rPr>
        <w:t>.2</w:t>
      </w:r>
      <w:r w:rsidR="00795B59" w:rsidRPr="004E3F82">
        <w:rPr>
          <w:b/>
          <w:sz w:val="20"/>
        </w:rPr>
        <w:t>.</w:t>
      </w:r>
      <w:r w:rsidR="00795B59" w:rsidRPr="004E3F82">
        <w:rPr>
          <w:sz w:val="20"/>
        </w:rPr>
        <w:t xml:space="preserve"> Assessment of outcomes of Commonwealth environmental watering in </w:t>
      </w:r>
      <w:r w:rsidR="00DA0A46">
        <w:rPr>
          <w:sz w:val="20"/>
        </w:rPr>
        <w:t>the Edward-Wakool system in 2015-16</w:t>
      </w:r>
      <w:r w:rsidR="00795B59" w:rsidRPr="004E3F82">
        <w:rPr>
          <w:sz w:val="20"/>
        </w:rPr>
        <w:t xml:space="preserve"> against the environmental watering objectives outlined in water use Minute </w:t>
      </w:r>
      <w:r w:rsidR="00DA0A46" w:rsidRPr="00DA0A46">
        <w:rPr>
          <w:sz w:val="20"/>
        </w:rPr>
        <w:t>1003</w:t>
      </w:r>
      <w:r w:rsidR="00795B59" w:rsidRPr="00DA0A46">
        <w:rPr>
          <w:sz w:val="20"/>
        </w:rPr>
        <w:t>8</w:t>
      </w:r>
      <w:r w:rsidR="00795B59" w:rsidRPr="004E3F82">
        <w:rPr>
          <w:sz w:val="20"/>
        </w:rPr>
        <w:t xml:space="preserve">. Green shading indicates positive response, red shading indicates negative response, </w:t>
      </w:r>
      <w:r w:rsidR="009E39A0">
        <w:rPr>
          <w:sz w:val="20"/>
        </w:rPr>
        <w:t xml:space="preserve">amber shading indicates mixed response, </w:t>
      </w:r>
      <w:r w:rsidR="00795B59" w:rsidRPr="004E3F82">
        <w:rPr>
          <w:sz w:val="20"/>
        </w:rPr>
        <w:t>grey shading indicates no detectable response (neither positive or negative) to environmental watering. White boxes indicate no evaluation was undertaken.</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52"/>
      </w:tblGrid>
      <w:tr w:rsidR="00795B59" w:rsidRPr="001436D3" w14:paraId="3B4F8BC6" w14:textId="77777777" w:rsidTr="000434F7">
        <w:tc>
          <w:tcPr>
            <w:tcW w:w="4928" w:type="dxa"/>
            <w:tcBorders>
              <w:top w:val="single" w:sz="4" w:space="0" w:color="auto"/>
              <w:left w:val="single" w:sz="4" w:space="0" w:color="auto"/>
              <w:bottom w:val="single" w:sz="4" w:space="0" w:color="auto"/>
              <w:right w:val="single" w:sz="4" w:space="0" w:color="auto"/>
            </w:tcBorders>
            <w:shd w:val="clear" w:color="auto" w:fill="auto"/>
          </w:tcPr>
          <w:p w14:paraId="3B4F8BC4" w14:textId="77777777" w:rsidR="00795B59" w:rsidRPr="005F605E" w:rsidRDefault="00795B59" w:rsidP="009C1A36">
            <w:pPr>
              <w:shd w:val="clear" w:color="auto" w:fill="FFFFFF"/>
              <w:tabs>
                <w:tab w:val="left" w:pos="426"/>
              </w:tabs>
              <w:spacing w:after="0" w:line="240" w:lineRule="auto"/>
              <w:jc w:val="left"/>
              <w:rPr>
                <w:b/>
              </w:rPr>
            </w:pPr>
            <w:r w:rsidRPr="005F605E">
              <w:rPr>
                <w:b/>
              </w:rPr>
              <w:t>Commonwealth environmental watering obje</w:t>
            </w:r>
            <w:r w:rsidR="00C73735">
              <w:rPr>
                <w:b/>
              </w:rPr>
              <w:t>ctive from Water Use Minute 1003</w:t>
            </w:r>
            <w:r w:rsidRPr="005F605E">
              <w:rPr>
                <w:b/>
              </w:rPr>
              <w:t>8</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B4F8BC5" w14:textId="77777777" w:rsidR="00795B59" w:rsidRPr="005F605E" w:rsidRDefault="00795B59" w:rsidP="009C1A36">
            <w:pPr>
              <w:shd w:val="clear" w:color="auto" w:fill="FFFFFF"/>
              <w:tabs>
                <w:tab w:val="left" w:pos="426"/>
              </w:tabs>
              <w:spacing w:after="0" w:line="240" w:lineRule="auto"/>
              <w:jc w:val="left"/>
              <w:rPr>
                <w:b/>
              </w:rPr>
            </w:pPr>
            <w:r w:rsidRPr="005F605E">
              <w:rPr>
                <w:b/>
              </w:rPr>
              <w:t>Objective achieved or not achieved</w:t>
            </w:r>
          </w:p>
        </w:tc>
      </w:tr>
      <w:tr w:rsidR="000434F7" w:rsidRPr="001436D3" w14:paraId="3B4F8BC9" w14:textId="77777777" w:rsidTr="00312313">
        <w:tc>
          <w:tcPr>
            <w:tcW w:w="4928" w:type="dxa"/>
            <w:vMerge w:val="restart"/>
            <w:tcBorders>
              <w:left w:val="single" w:sz="4" w:space="0" w:color="auto"/>
              <w:bottom w:val="single" w:sz="4" w:space="0" w:color="auto"/>
              <w:right w:val="single" w:sz="4" w:space="0" w:color="auto"/>
            </w:tcBorders>
          </w:tcPr>
          <w:p w14:paraId="3B4F8BC7" w14:textId="77777777" w:rsidR="000434F7" w:rsidRDefault="000434F7" w:rsidP="00312313">
            <w:pPr>
              <w:spacing w:after="0" w:line="276" w:lineRule="auto"/>
              <w:ind w:left="42"/>
              <w:jc w:val="left"/>
              <w:rPr>
                <w:lang w:eastAsia="en-AU"/>
              </w:rPr>
            </w:pPr>
            <w:r>
              <w:t>Maintain the diversity and condition of native fish and other native species including frogs and invertebrates through maintaining suitable habitat and providing/supporting opportunities to move, breed and recruit</w:t>
            </w: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C8" w14:textId="77777777" w:rsidR="000434F7" w:rsidRPr="00263049" w:rsidRDefault="000434F7" w:rsidP="009C1A36">
            <w:pPr>
              <w:spacing w:after="0" w:line="240" w:lineRule="auto"/>
              <w:jc w:val="left"/>
            </w:pPr>
            <w:r w:rsidRPr="000434F7">
              <w:t>Maintained diversity of native fish</w:t>
            </w:r>
          </w:p>
        </w:tc>
      </w:tr>
      <w:tr w:rsidR="000434F7" w:rsidRPr="001436D3" w14:paraId="3B4F8BCC" w14:textId="77777777" w:rsidTr="00312313">
        <w:tc>
          <w:tcPr>
            <w:tcW w:w="4928" w:type="dxa"/>
            <w:vMerge/>
            <w:tcBorders>
              <w:left w:val="single" w:sz="4" w:space="0" w:color="auto"/>
              <w:bottom w:val="single" w:sz="4" w:space="0" w:color="auto"/>
              <w:right w:val="single" w:sz="4" w:space="0" w:color="auto"/>
            </w:tcBorders>
          </w:tcPr>
          <w:p w14:paraId="3B4F8BCA" w14:textId="77777777" w:rsidR="000434F7" w:rsidRDefault="000434F7" w:rsidP="009C1A36">
            <w:pPr>
              <w:shd w:val="clear" w:color="auto" w:fill="FFFFFF"/>
              <w:tabs>
                <w:tab w:val="left" w:pos="426"/>
              </w:tabs>
              <w:spacing w:after="0" w:line="240" w:lineRule="auto"/>
              <w:jc w:val="left"/>
            </w:pP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14:paraId="3B4F8BCB" w14:textId="77777777" w:rsidR="000434F7" w:rsidRDefault="000434F7" w:rsidP="009C1A36">
            <w:pPr>
              <w:spacing w:after="0" w:line="240" w:lineRule="auto"/>
              <w:jc w:val="left"/>
            </w:pPr>
            <w:r w:rsidRPr="00263049">
              <w:t>Diversity and condition of frogs, turtles and invertebrates not assessed</w:t>
            </w:r>
          </w:p>
        </w:tc>
      </w:tr>
      <w:tr w:rsidR="000434F7" w:rsidRPr="001436D3" w14:paraId="3B4F8BCF" w14:textId="77777777" w:rsidTr="000434F7">
        <w:tc>
          <w:tcPr>
            <w:tcW w:w="4928" w:type="dxa"/>
            <w:vMerge/>
            <w:tcBorders>
              <w:left w:val="single" w:sz="4" w:space="0" w:color="auto"/>
              <w:bottom w:val="single" w:sz="4" w:space="0" w:color="auto"/>
              <w:right w:val="single" w:sz="4" w:space="0" w:color="auto"/>
            </w:tcBorders>
          </w:tcPr>
          <w:p w14:paraId="3B4F8BCD" w14:textId="77777777" w:rsidR="000434F7" w:rsidRDefault="000434F7" w:rsidP="009C1A36">
            <w:pPr>
              <w:shd w:val="clear" w:color="auto" w:fill="FFFFFF"/>
              <w:tabs>
                <w:tab w:val="left" w:pos="426"/>
              </w:tabs>
              <w:spacing w:after="0" w:line="240" w:lineRule="auto"/>
              <w:jc w:val="left"/>
            </w:pP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CE" w14:textId="20522169" w:rsidR="000434F7" w:rsidRDefault="000434F7" w:rsidP="00EE7DB0">
            <w:pPr>
              <w:spacing w:after="0" w:line="240" w:lineRule="auto"/>
              <w:jc w:val="left"/>
            </w:pPr>
            <w:r>
              <w:t xml:space="preserve">Opportunities </w:t>
            </w:r>
            <w:r w:rsidR="00E27335">
              <w:t>for local</w:t>
            </w:r>
            <w:r>
              <w:t xml:space="preserve"> move</w:t>
            </w:r>
            <w:r w:rsidR="00E27335">
              <w:t>ment</w:t>
            </w:r>
            <w:r>
              <w:t xml:space="preserve"> provided</w:t>
            </w:r>
            <w:r w:rsidR="00E27335">
              <w:t xml:space="preserve">, but </w:t>
            </w:r>
            <w:r w:rsidR="00EE7DB0">
              <w:t xml:space="preserve">operational constraint limits larger watering actions that may trigger </w:t>
            </w:r>
            <w:r w:rsidR="00E27335">
              <w:t>larger movements</w:t>
            </w:r>
          </w:p>
        </w:tc>
      </w:tr>
      <w:tr w:rsidR="00795B59" w:rsidRPr="001436D3" w14:paraId="3B4F8BD2" w14:textId="77777777" w:rsidTr="000434F7">
        <w:tc>
          <w:tcPr>
            <w:tcW w:w="4928" w:type="dxa"/>
            <w:vMerge/>
            <w:tcBorders>
              <w:left w:val="single" w:sz="4" w:space="0" w:color="auto"/>
              <w:bottom w:val="single" w:sz="4" w:space="0" w:color="auto"/>
              <w:right w:val="single" w:sz="4" w:space="0" w:color="auto"/>
            </w:tcBorders>
          </w:tcPr>
          <w:p w14:paraId="3B4F8BD0" w14:textId="77777777" w:rsidR="00795B59" w:rsidRDefault="00795B59" w:rsidP="009C1A36">
            <w:pPr>
              <w:shd w:val="clear" w:color="auto" w:fill="FFFFFF"/>
              <w:tabs>
                <w:tab w:val="left" w:pos="426"/>
              </w:tabs>
              <w:spacing w:after="0" w:line="240" w:lineRule="auto"/>
              <w:jc w:val="left"/>
            </w:pP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F8BD1" w14:textId="77777777" w:rsidR="00795B59" w:rsidRPr="00263049" w:rsidRDefault="000434F7" w:rsidP="009C1A36">
            <w:pPr>
              <w:spacing w:after="0" w:line="240" w:lineRule="auto"/>
              <w:jc w:val="left"/>
            </w:pPr>
            <w:r>
              <w:t>Improvement in spawning of native fish not observed</w:t>
            </w:r>
          </w:p>
        </w:tc>
      </w:tr>
      <w:tr w:rsidR="00795B59" w:rsidRPr="001436D3" w14:paraId="3B4F8BD5" w14:textId="77777777" w:rsidTr="009C1A36">
        <w:tc>
          <w:tcPr>
            <w:tcW w:w="4928" w:type="dxa"/>
            <w:tcBorders>
              <w:top w:val="single" w:sz="4" w:space="0" w:color="auto"/>
              <w:left w:val="single" w:sz="4" w:space="0" w:color="auto"/>
              <w:bottom w:val="single" w:sz="4" w:space="0" w:color="auto"/>
              <w:right w:val="single" w:sz="4" w:space="0" w:color="auto"/>
            </w:tcBorders>
          </w:tcPr>
          <w:p w14:paraId="3B4F8BD3" w14:textId="77777777" w:rsidR="00795B59" w:rsidRPr="001436D3" w:rsidRDefault="00760202" w:rsidP="009C1A36">
            <w:pPr>
              <w:shd w:val="clear" w:color="auto" w:fill="FFFFFF"/>
              <w:tabs>
                <w:tab w:val="left" w:pos="426"/>
              </w:tabs>
              <w:spacing w:after="0" w:line="240" w:lineRule="auto"/>
              <w:jc w:val="left"/>
            </w:pPr>
            <w:r>
              <w:t>Maintain</w:t>
            </w:r>
            <w:r w:rsidR="00795B59" w:rsidRPr="001436D3">
              <w:t xml:space="preserve"> habitat quality in ephemeral watercourses</w:t>
            </w:r>
          </w:p>
        </w:tc>
        <w:tc>
          <w:tcPr>
            <w:tcW w:w="4252" w:type="dxa"/>
            <w:tcBorders>
              <w:top w:val="single" w:sz="4" w:space="0" w:color="auto"/>
              <w:left w:val="single" w:sz="4" w:space="0" w:color="auto"/>
              <w:bottom w:val="single" w:sz="4" w:space="0" w:color="auto"/>
              <w:right w:val="single" w:sz="4" w:space="0" w:color="auto"/>
            </w:tcBorders>
          </w:tcPr>
          <w:p w14:paraId="3B4F8BD4" w14:textId="77777777" w:rsidR="00795B59" w:rsidRPr="00263049" w:rsidRDefault="00795B59" w:rsidP="009C1A36">
            <w:pPr>
              <w:shd w:val="clear" w:color="auto" w:fill="FFFFFF"/>
              <w:tabs>
                <w:tab w:val="left" w:pos="426"/>
              </w:tabs>
              <w:spacing w:after="0" w:line="240" w:lineRule="auto"/>
              <w:jc w:val="left"/>
            </w:pPr>
            <w:r w:rsidRPr="00263049">
              <w:t>Ephemeral watercourses not assessed</w:t>
            </w:r>
          </w:p>
        </w:tc>
      </w:tr>
      <w:tr w:rsidR="00795B59" w:rsidRPr="001436D3" w14:paraId="3B4F8BD8" w14:textId="77777777" w:rsidTr="009C1A36">
        <w:tc>
          <w:tcPr>
            <w:tcW w:w="4928" w:type="dxa"/>
            <w:vMerge w:val="restart"/>
            <w:tcBorders>
              <w:top w:val="single" w:sz="4" w:space="0" w:color="auto"/>
              <w:left w:val="single" w:sz="4" w:space="0" w:color="auto"/>
              <w:right w:val="single" w:sz="4" w:space="0" w:color="auto"/>
            </w:tcBorders>
          </w:tcPr>
          <w:p w14:paraId="3B4F8BD6" w14:textId="77777777" w:rsidR="00795B59" w:rsidRPr="001436D3" w:rsidRDefault="00795B59" w:rsidP="009C1A36">
            <w:pPr>
              <w:shd w:val="clear" w:color="auto" w:fill="FFFFFF"/>
              <w:tabs>
                <w:tab w:val="left" w:pos="426"/>
              </w:tabs>
              <w:spacing w:after="0" w:line="240" w:lineRule="auto"/>
              <w:jc w:val="left"/>
            </w:pPr>
            <w:r>
              <w:t>S</w:t>
            </w:r>
            <w:r w:rsidRPr="001436D3">
              <w:t>upport mobilisation, transport and dispersal of biotic and abiotic material (e.g. sediment, nutrients and organic matter) through longitudinal and lateral hydrological connectivity</w:t>
            </w:r>
          </w:p>
        </w:tc>
        <w:tc>
          <w:tcPr>
            <w:tcW w:w="4252" w:type="dxa"/>
            <w:tcBorders>
              <w:top w:val="single" w:sz="4" w:space="0" w:color="auto"/>
              <w:left w:val="single" w:sz="4" w:space="0" w:color="auto"/>
              <w:bottom w:val="single" w:sz="4" w:space="0" w:color="auto"/>
              <w:right w:val="single" w:sz="4" w:space="0" w:color="auto"/>
            </w:tcBorders>
          </w:tcPr>
          <w:p w14:paraId="3B4F8BD7" w14:textId="77777777" w:rsidR="00795B59" w:rsidRPr="00263049" w:rsidRDefault="00795B59" w:rsidP="009C1A36">
            <w:pPr>
              <w:shd w:val="clear" w:color="auto" w:fill="FFFFFF"/>
              <w:tabs>
                <w:tab w:val="left" w:pos="426"/>
              </w:tabs>
              <w:spacing w:after="0" w:line="240" w:lineRule="auto"/>
              <w:jc w:val="left"/>
            </w:pPr>
            <w:r w:rsidRPr="00263049">
              <w:t>Mobilisation, transport and dispersal not assessed</w:t>
            </w:r>
          </w:p>
        </w:tc>
      </w:tr>
      <w:tr w:rsidR="00760202" w:rsidRPr="001436D3" w14:paraId="3B4F8BDB" w14:textId="77777777" w:rsidTr="009C1A36">
        <w:tc>
          <w:tcPr>
            <w:tcW w:w="4928" w:type="dxa"/>
            <w:vMerge/>
            <w:tcBorders>
              <w:left w:val="single" w:sz="4" w:space="0" w:color="auto"/>
              <w:bottom w:val="single" w:sz="4" w:space="0" w:color="auto"/>
              <w:right w:val="single" w:sz="4" w:space="0" w:color="auto"/>
            </w:tcBorders>
          </w:tcPr>
          <w:p w14:paraId="3B4F8BD9" w14:textId="77777777" w:rsidR="00760202" w:rsidRDefault="00760202" w:rsidP="009C1A36">
            <w:pPr>
              <w:shd w:val="clear" w:color="auto" w:fill="FFFFFF"/>
              <w:tabs>
                <w:tab w:val="left" w:pos="426"/>
              </w:tabs>
              <w:spacing w:after="0" w:line="240" w:lineRule="auto"/>
              <w:jc w:val="left"/>
            </w:pP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DA" w14:textId="58842E83" w:rsidR="00760202" w:rsidRPr="00263049" w:rsidRDefault="00760202" w:rsidP="009C1A36">
            <w:pPr>
              <w:spacing w:after="0" w:line="240" w:lineRule="auto"/>
              <w:jc w:val="left"/>
            </w:pPr>
            <w:r w:rsidRPr="00263049">
              <w:t>Increased longitudinal connectivity</w:t>
            </w:r>
          </w:p>
        </w:tc>
      </w:tr>
      <w:tr w:rsidR="00795B59" w:rsidRPr="001436D3" w14:paraId="3B4F8BDE" w14:textId="77777777" w:rsidTr="009C1A36">
        <w:tc>
          <w:tcPr>
            <w:tcW w:w="4928" w:type="dxa"/>
            <w:vMerge/>
            <w:tcBorders>
              <w:left w:val="single" w:sz="4" w:space="0" w:color="auto"/>
              <w:bottom w:val="single" w:sz="4" w:space="0" w:color="auto"/>
              <w:right w:val="single" w:sz="4" w:space="0" w:color="auto"/>
            </w:tcBorders>
          </w:tcPr>
          <w:p w14:paraId="3B4F8BDC" w14:textId="77777777" w:rsidR="00795B59" w:rsidRDefault="00795B59" w:rsidP="009C1A36">
            <w:pPr>
              <w:shd w:val="clear" w:color="auto" w:fill="FFFFFF"/>
              <w:tabs>
                <w:tab w:val="left" w:pos="426"/>
              </w:tabs>
              <w:spacing w:after="0" w:line="240" w:lineRule="auto"/>
              <w:jc w:val="left"/>
            </w:pP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DD" w14:textId="5F3F3F42" w:rsidR="00795B59" w:rsidRPr="00263049" w:rsidRDefault="00EE7DB0" w:rsidP="00760202">
            <w:pPr>
              <w:spacing w:after="0" w:line="240" w:lineRule="auto"/>
              <w:jc w:val="left"/>
            </w:pPr>
            <w:r>
              <w:t>Some increase in</w:t>
            </w:r>
            <w:r w:rsidR="00795B59" w:rsidRPr="00263049">
              <w:t xml:space="preserve"> lateral connectivity at some sites</w:t>
            </w:r>
            <w:r w:rsidR="00760202">
              <w:t xml:space="preserve"> in zones 1, 3 and 4</w:t>
            </w:r>
          </w:p>
        </w:tc>
      </w:tr>
      <w:tr w:rsidR="00795B59" w:rsidRPr="001436D3" w14:paraId="3B4F8BE1" w14:textId="77777777" w:rsidTr="009C1A36">
        <w:tc>
          <w:tcPr>
            <w:tcW w:w="4928" w:type="dxa"/>
            <w:tcBorders>
              <w:top w:val="single" w:sz="4" w:space="0" w:color="auto"/>
              <w:left w:val="single" w:sz="4" w:space="0" w:color="auto"/>
              <w:bottom w:val="single" w:sz="4" w:space="0" w:color="auto"/>
              <w:right w:val="single" w:sz="4" w:space="0" w:color="auto"/>
            </w:tcBorders>
          </w:tcPr>
          <w:p w14:paraId="3B4F8BDF" w14:textId="77777777" w:rsidR="00795B59" w:rsidRPr="001436D3" w:rsidRDefault="00795B59" w:rsidP="009C1A36">
            <w:pPr>
              <w:shd w:val="clear" w:color="auto" w:fill="FFFFFF"/>
              <w:tabs>
                <w:tab w:val="left" w:pos="426"/>
              </w:tabs>
              <w:spacing w:after="0" w:line="240" w:lineRule="auto"/>
              <w:jc w:val="left"/>
            </w:pPr>
            <w:r>
              <w:t>S</w:t>
            </w:r>
            <w:r w:rsidRPr="001436D3">
              <w:t>upport inundation of low-lying wetlands/floodplains habitats within the system</w:t>
            </w: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E0" w14:textId="61F94548" w:rsidR="00795B59" w:rsidRPr="00263049" w:rsidRDefault="00795B59" w:rsidP="009C1A36">
            <w:pPr>
              <w:shd w:val="clear" w:color="auto" w:fill="C2D69B" w:themeFill="accent3" w:themeFillTint="99"/>
              <w:tabs>
                <w:tab w:val="left" w:pos="426"/>
              </w:tabs>
              <w:spacing w:after="0" w:line="240" w:lineRule="auto"/>
              <w:jc w:val="left"/>
            </w:pPr>
            <w:r w:rsidRPr="00263049">
              <w:t xml:space="preserve">Inundation of </w:t>
            </w:r>
            <w:r w:rsidR="00E27335">
              <w:t xml:space="preserve">some </w:t>
            </w:r>
            <w:r w:rsidRPr="00263049">
              <w:t>low lying in-channel features at some sites</w:t>
            </w:r>
            <w:r w:rsidR="00760202">
              <w:t xml:space="preserve"> in zones 1, 3 and 4</w:t>
            </w:r>
          </w:p>
        </w:tc>
      </w:tr>
      <w:tr w:rsidR="00795B59" w:rsidRPr="001436D3" w14:paraId="3B4F8BE4" w14:textId="77777777" w:rsidTr="009C1A36">
        <w:tc>
          <w:tcPr>
            <w:tcW w:w="4928" w:type="dxa"/>
            <w:tcBorders>
              <w:left w:val="single" w:sz="4" w:space="0" w:color="auto"/>
              <w:bottom w:val="single" w:sz="4" w:space="0" w:color="auto"/>
              <w:right w:val="single" w:sz="4" w:space="0" w:color="auto"/>
            </w:tcBorders>
          </w:tcPr>
          <w:p w14:paraId="3B4F8BE2" w14:textId="77777777" w:rsidR="00795B59" w:rsidRDefault="00760202" w:rsidP="009C1A36">
            <w:pPr>
              <w:shd w:val="clear" w:color="auto" w:fill="FFFFFF"/>
              <w:tabs>
                <w:tab w:val="left" w:pos="426"/>
              </w:tabs>
              <w:spacing w:after="0" w:line="240" w:lineRule="auto"/>
              <w:jc w:val="left"/>
            </w:pPr>
            <w:r>
              <w:t>M</w:t>
            </w:r>
            <w:r w:rsidRPr="001436D3">
              <w:t xml:space="preserve">aintain health of </w:t>
            </w:r>
            <w:r>
              <w:t xml:space="preserve">riparian and in-channel </w:t>
            </w:r>
            <w:r w:rsidRPr="001436D3">
              <w:t>native vegetation communities</w:t>
            </w: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E3" w14:textId="44E0BC89" w:rsidR="00795B59" w:rsidRPr="00263049" w:rsidRDefault="00795B59" w:rsidP="00BB7675">
            <w:pPr>
              <w:spacing w:after="0" w:line="240" w:lineRule="auto"/>
              <w:jc w:val="left"/>
            </w:pPr>
            <w:r w:rsidRPr="00263049">
              <w:t xml:space="preserve">Cover and </w:t>
            </w:r>
            <w:r w:rsidR="00BB7675">
              <w:t>taxonomic richness</w:t>
            </w:r>
            <w:r w:rsidRPr="00263049">
              <w:t xml:space="preserve"> of riverbank and aquatic vegetation was improved at most sites</w:t>
            </w:r>
            <w:r w:rsidR="00760202">
              <w:t xml:space="preserve"> in zones 1, 3 and 4</w:t>
            </w:r>
          </w:p>
        </w:tc>
      </w:tr>
      <w:tr w:rsidR="00795B59" w:rsidRPr="001436D3" w14:paraId="3B4F8BE7" w14:textId="77777777" w:rsidTr="009C1A36">
        <w:tc>
          <w:tcPr>
            <w:tcW w:w="4928" w:type="dxa"/>
            <w:tcBorders>
              <w:top w:val="single" w:sz="4" w:space="0" w:color="auto"/>
              <w:left w:val="single" w:sz="4" w:space="0" w:color="auto"/>
              <w:bottom w:val="single" w:sz="4" w:space="0" w:color="auto"/>
              <w:right w:val="single" w:sz="4" w:space="0" w:color="auto"/>
            </w:tcBorders>
          </w:tcPr>
          <w:p w14:paraId="3B4F8BE5" w14:textId="77777777" w:rsidR="00795B59" w:rsidRPr="001436D3" w:rsidRDefault="00795B59" w:rsidP="009C1A36">
            <w:pPr>
              <w:shd w:val="clear" w:color="auto" w:fill="FFFFFF"/>
              <w:tabs>
                <w:tab w:val="left" w:pos="426"/>
              </w:tabs>
              <w:spacing w:after="0" w:line="240" w:lineRule="auto"/>
              <w:jc w:val="left"/>
            </w:pPr>
            <w:r>
              <w:t>M</w:t>
            </w:r>
            <w:r w:rsidRPr="001436D3">
              <w:t>aintain/improve water quality within the system, particularly dissolved oxygen, salinity and pH</w:t>
            </w: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E6" w14:textId="77777777" w:rsidR="00795B59" w:rsidRPr="00263049" w:rsidRDefault="00795B59" w:rsidP="009C1A36">
            <w:pPr>
              <w:shd w:val="clear" w:color="auto" w:fill="C2D69B" w:themeFill="accent3" w:themeFillTint="99"/>
              <w:tabs>
                <w:tab w:val="left" w:pos="426"/>
              </w:tabs>
              <w:spacing w:after="0" w:line="240" w:lineRule="auto"/>
              <w:jc w:val="left"/>
            </w:pPr>
            <w:r w:rsidRPr="00263049">
              <w:t xml:space="preserve">Concentration of dissolved oxygen and rates of ecosystem respiration </w:t>
            </w:r>
            <w:r>
              <w:t xml:space="preserve">was </w:t>
            </w:r>
            <w:r w:rsidRPr="00263049">
              <w:t>maintained in reaches receiving environmental water</w:t>
            </w:r>
          </w:p>
        </w:tc>
      </w:tr>
      <w:tr w:rsidR="00795B59" w:rsidRPr="001436D3" w14:paraId="3B4F8BEA" w14:textId="77777777" w:rsidTr="009C1A36">
        <w:tc>
          <w:tcPr>
            <w:tcW w:w="4928" w:type="dxa"/>
            <w:vMerge w:val="restart"/>
            <w:tcBorders>
              <w:top w:val="single" w:sz="4" w:space="0" w:color="auto"/>
              <w:left w:val="single" w:sz="4" w:space="0" w:color="auto"/>
              <w:right w:val="single" w:sz="4" w:space="0" w:color="auto"/>
            </w:tcBorders>
          </w:tcPr>
          <w:p w14:paraId="3B4F8BE8" w14:textId="77777777" w:rsidR="00795B59" w:rsidRPr="001436D3" w:rsidRDefault="00795B59" w:rsidP="009C1A36">
            <w:pPr>
              <w:shd w:val="clear" w:color="auto" w:fill="FFFFFF"/>
              <w:tabs>
                <w:tab w:val="left" w:pos="426"/>
              </w:tabs>
              <w:spacing w:after="0" w:line="240" w:lineRule="auto"/>
              <w:jc w:val="left"/>
            </w:pPr>
            <w:r>
              <w:t>I</w:t>
            </w:r>
            <w:r w:rsidRPr="001436D3">
              <w:t>mprove ecosystem and population resilience through supporting ecological recovery and maintaining aquatic habitat</w:t>
            </w:r>
          </w:p>
        </w:tc>
        <w:tc>
          <w:tcPr>
            <w:tcW w:w="425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4F8BE9" w14:textId="186AA83C" w:rsidR="00795B59" w:rsidRPr="00263049" w:rsidRDefault="00795B59" w:rsidP="00EE7DB0">
            <w:pPr>
              <w:shd w:val="clear" w:color="auto" w:fill="C2D69B" w:themeFill="accent3" w:themeFillTint="99"/>
              <w:tabs>
                <w:tab w:val="left" w:pos="426"/>
              </w:tabs>
              <w:spacing w:after="0" w:line="240" w:lineRule="auto"/>
              <w:jc w:val="left"/>
            </w:pPr>
            <w:r w:rsidRPr="00263049">
              <w:t xml:space="preserve">Aquatic habitat (aquatic vegetation, slackwater) was maintained at sites </w:t>
            </w:r>
            <w:r w:rsidR="00760202">
              <w:t xml:space="preserve">in zones 1, 3 and 4 </w:t>
            </w:r>
          </w:p>
        </w:tc>
      </w:tr>
      <w:tr w:rsidR="00795B59" w:rsidRPr="001436D3" w14:paraId="3B4F8BED" w14:textId="77777777" w:rsidTr="00E27335">
        <w:tc>
          <w:tcPr>
            <w:tcW w:w="4928" w:type="dxa"/>
            <w:vMerge/>
            <w:tcBorders>
              <w:left w:val="single" w:sz="4" w:space="0" w:color="auto"/>
              <w:bottom w:val="single" w:sz="4" w:space="0" w:color="auto"/>
              <w:right w:val="single" w:sz="4" w:space="0" w:color="auto"/>
            </w:tcBorders>
          </w:tcPr>
          <w:p w14:paraId="3B4F8BEB" w14:textId="77777777" w:rsidR="00795B59" w:rsidRDefault="00795B59" w:rsidP="009C1A36">
            <w:pPr>
              <w:shd w:val="clear" w:color="auto" w:fill="FFFFFF"/>
              <w:tabs>
                <w:tab w:val="left" w:pos="426"/>
              </w:tabs>
              <w:spacing w:after="0" w:line="240" w:lineRule="auto"/>
              <w:jc w:val="left"/>
            </w:pPr>
          </w:p>
        </w:tc>
        <w:tc>
          <w:tcPr>
            <w:tcW w:w="425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3B4F8BEC" w14:textId="1EDBB531" w:rsidR="00795B59" w:rsidRPr="00263049" w:rsidRDefault="00E27335" w:rsidP="00EE7DB0">
            <w:pPr>
              <w:spacing w:after="0" w:line="240" w:lineRule="auto"/>
              <w:jc w:val="left"/>
            </w:pPr>
            <w:r>
              <w:t>Mixed response in hydraulic habitat - r</w:t>
            </w:r>
            <w:r w:rsidR="00795B59" w:rsidRPr="00263049">
              <w:t xml:space="preserve">educed area of slackwater in </w:t>
            </w:r>
            <w:r w:rsidR="00EE7DB0">
              <w:t>zone 1</w:t>
            </w:r>
            <w:r>
              <w:t xml:space="preserve"> but increased slackater in zones 3 and 4</w:t>
            </w:r>
          </w:p>
        </w:tc>
      </w:tr>
    </w:tbl>
    <w:p w14:paraId="3B4F8BEF" w14:textId="77777777" w:rsidR="00BB1AD5" w:rsidRDefault="00BB1AD5" w:rsidP="007B08D0">
      <w:pPr>
        <w:spacing w:after="240" w:line="320" w:lineRule="exact"/>
        <w:jc w:val="left"/>
      </w:pPr>
    </w:p>
    <w:p w14:paraId="3B4F8BF0" w14:textId="77777777" w:rsidR="004C4AE3" w:rsidRDefault="004C4AE3" w:rsidP="00417F7C">
      <w:pPr>
        <w:pStyle w:val="Heading1"/>
      </w:pPr>
      <w:bookmarkStart w:id="34" w:name="_Toc450199558"/>
      <w:bookmarkStart w:id="35" w:name="_Toc484078415"/>
      <w:r>
        <w:lastRenderedPageBreak/>
        <w:t>Recommendations for the adaptive management and future use of Commonwealth environmental water</w:t>
      </w:r>
      <w:bookmarkEnd w:id="34"/>
      <w:bookmarkEnd w:id="35"/>
    </w:p>
    <w:p w14:paraId="3B4F8BF1" w14:textId="77777777" w:rsidR="004C4AE3" w:rsidRDefault="004C4AE3" w:rsidP="005B2913">
      <w:pPr>
        <w:spacing w:after="240" w:line="280" w:lineRule="exact"/>
        <w:jc w:val="left"/>
      </w:pPr>
      <w:r>
        <w:t xml:space="preserve">During the 2015-16 watering year seven progress reports on Edward-Wakool LTIM monitoring </w:t>
      </w:r>
      <w:r w:rsidRPr="0030646A">
        <w:t>(Watts and Healy 2015, Watts et al. 2015a, Watts et al. 2016a; Watts and Howitt 2016a, b; Watts, Howitt and Abell 2016; Watts et al</w:t>
      </w:r>
      <w:r w:rsidR="004762DE">
        <w:t>.</w:t>
      </w:r>
      <w:r w:rsidRPr="0030646A">
        <w:t xml:space="preserve"> 2016b)</w:t>
      </w:r>
      <w:r>
        <w:t xml:space="preserve"> were provided to the CEWO to assist environmental watering actions and planning</w:t>
      </w:r>
      <w:r w:rsidRPr="0002655A">
        <w:t>.</w:t>
      </w:r>
      <w:r>
        <w:t xml:space="preserve"> These reports combined with regular meetings of the Edward Wakool Operations Advisory Group and feedback from local community representatives throughout 2015-16 have informed the planning of Commonwealth environmental water use in the Edward-Wakool system for 2016-17.</w:t>
      </w:r>
    </w:p>
    <w:p w14:paraId="3B4F8BF2" w14:textId="77777777" w:rsidR="004C4AE3" w:rsidRDefault="004C4AE3" w:rsidP="004C4AE3">
      <w:pPr>
        <w:spacing w:after="240" w:line="320" w:lineRule="exact"/>
        <w:jc w:val="left"/>
      </w:pPr>
      <w:r w:rsidRPr="00184499">
        <w:t xml:space="preserve">The </w:t>
      </w:r>
      <w:r>
        <w:t>eight</w:t>
      </w:r>
      <w:r w:rsidRPr="00184499">
        <w:t xml:space="preserve"> recommendations</w:t>
      </w:r>
      <w:r>
        <w:t xml:space="preserve"> below are underpinned by the 2015-16 Edward-Wakool monitoring and evaluation results and findings from previous monitoring and aim to improve the planning and delivery of Commonwealth environmental water over time. Where </w:t>
      </w:r>
      <w:r w:rsidRPr="00184499">
        <w:t xml:space="preserve">applicable, a note </w:t>
      </w:r>
      <w:r>
        <w:t>has been</w:t>
      </w:r>
      <w:r w:rsidRPr="00184499">
        <w:t xml:space="preserve"> included to indicate </w:t>
      </w:r>
      <w:r>
        <w:t>to what extent</w:t>
      </w:r>
      <w:r w:rsidRPr="00184499">
        <w:t xml:space="preserve"> the recommendation has </w:t>
      </w:r>
      <w:r>
        <w:t xml:space="preserve">already </w:t>
      </w:r>
      <w:r w:rsidRPr="00184499">
        <w:t>been applied (as of September 2016)</w:t>
      </w:r>
      <w:r>
        <w:t xml:space="preserve"> in the planning or use of Commonwealth environmental water in the Edward-Wakool system.</w:t>
      </w:r>
    </w:p>
    <w:p w14:paraId="3B4F8BF3" w14:textId="77777777" w:rsidR="004C4AE3" w:rsidRPr="00184499" w:rsidRDefault="004C4AE3" w:rsidP="005B2913">
      <w:pPr>
        <w:spacing w:after="120" w:line="280" w:lineRule="exact"/>
        <w:jc w:val="left"/>
      </w:pPr>
      <w:r w:rsidRPr="00184499">
        <w:t xml:space="preserve">In summary, the </w:t>
      </w:r>
      <w:r w:rsidR="005B2913">
        <w:t>eight</w:t>
      </w:r>
      <w:r w:rsidRPr="00184499">
        <w:t xml:space="preserve"> recommendations are to:</w:t>
      </w:r>
    </w:p>
    <w:p w14:paraId="3B4F8BF4" w14:textId="77777777" w:rsidR="004C4AE3" w:rsidRPr="00184499" w:rsidRDefault="004C4AE3" w:rsidP="00774B60">
      <w:pPr>
        <w:pStyle w:val="ListParagraph"/>
        <w:numPr>
          <w:ilvl w:val="0"/>
          <w:numId w:val="37"/>
        </w:numPr>
        <w:spacing w:after="120" w:line="280" w:lineRule="exact"/>
        <w:ind w:left="567" w:hanging="567"/>
        <w:jc w:val="left"/>
      </w:pPr>
      <w:r w:rsidRPr="00184499">
        <w:t xml:space="preserve">Undertake </w:t>
      </w:r>
      <w:r>
        <w:t xml:space="preserve">a </w:t>
      </w:r>
      <w:r w:rsidRPr="00184499">
        <w:t xml:space="preserve">comprehensive flows assessment for the </w:t>
      </w:r>
      <w:r>
        <w:t xml:space="preserve">tributaries </w:t>
      </w:r>
      <w:r w:rsidRPr="00184499">
        <w:t>of the Edward-Wakool system</w:t>
      </w:r>
      <w:r>
        <w:t xml:space="preserve"> </w:t>
      </w:r>
      <w:r w:rsidRPr="007D16D0">
        <w:t xml:space="preserve">to </w:t>
      </w:r>
      <w:r>
        <w:t>better inform</w:t>
      </w:r>
      <w:r w:rsidRPr="007D16D0">
        <w:t xml:space="preserve"> </w:t>
      </w:r>
      <w:r>
        <w:t xml:space="preserve">future </w:t>
      </w:r>
      <w:r w:rsidRPr="007D16D0">
        <w:t>decisions on environmental watering in this system</w:t>
      </w:r>
      <w:r w:rsidRPr="00184499">
        <w:t>.</w:t>
      </w:r>
    </w:p>
    <w:p w14:paraId="3B4F8BF5" w14:textId="6B8A8623" w:rsidR="004C4AE3" w:rsidRPr="00184499" w:rsidRDefault="004C4AE3" w:rsidP="00774B60">
      <w:pPr>
        <w:pStyle w:val="ListParagraph"/>
        <w:numPr>
          <w:ilvl w:val="0"/>
          <w:numId w:val="37"/>
        </w:numPr>
        <w:spacing w:after="120" w:line="280" w:lineRule="exact"/>
        <w:ind w:left="567" w:hanging="567"/>
        <w:jc w:val="left"/>
      </w:pPr>
      <w:r w:rsidRPr="00184499">
        <w:t xml:space="preserve">Trial the delivery of continuous base environmental flows during winter </w:t>
      </w:r>
      <w:r w:rsidR="00635215">
        <w:t xml:space="preserve">(no cease to flow) </w:t>
      </w:r>
      <w:r w:rsidRPr="00184499">
        <w:t>in the tributaries of the Edward-Wakool system to promote the temporal availability and continuity of instream habitat</w:t>
      </w:r>
      <w:r>
        <w:t xml:space="preserve"> </w:t>
      </w:r>
      <w:r w:rsidRPr="00274441">
        <w:t>to benefit fish and other aquatic animals and assist the recovery of submerged aquatic plants in the system.</w:t>
      </w:r>
    </w:p>
    <w:p w14:paraId="3B4F8BF6" w14:textId="77777777" w:rsidR="004C4AE3" w:rsidRDefault="004C4AE3" w:rsidP="00774B60">
      <w:pPr>
        <w:pStyle w:val="ListParagraph"/>
        <w:numPr>
          <w:ilvl w:val="0"/>
          <w:numId w:val="37"/>
        </w:numPr>
        <w:spacing w:after="120" w:line="280" w:lineRule="exact"/>
        <w:ind w:left="567" w:hanging="567"/>
        <w:jc w:val="left"/>
      </w:pPr>
      <w:r>
        <w:t>Tr</w:t>
      </w:r>
      <w:r w:rsidRPr="00184499">
        <w:t xml:space="preserve">ial </w:t>
      </w:r>
      <w:r>
        <w:t xml:space="preserve">the delivery </w:t>
      </w:r>
      <w:r w:rsidRPr="00184499">
        <w:t>of a short duration environmental</w:t>
      </w:r>
      <w:r>
        <w:t xml:space="preserve"> watering action in late winter or </w:t>
      </w:r>
      <w:r w:rsidRPr="00184499">
        <w:t xml:space="preserve">spring 2017 at a higher discharge than the current operational constraint of 600 </w:t>
      </w:r>
      <w:r w:rsidR="007478C0">
        <w:t>ML.d</w:t>
      </w:r>
      <w:r w:rsidR="007478C0" w:rsidRPr="007478C0">
        <w:rPr>
          <w:vertAlign w:val="superscript"/>
        </w:rPr>
        <w:t>-1</w:t>
      </w:r>
      <w:r w:rsidR="007478C0" w:rsidRPr="004F2656">
        <w:t xml:space="preserve"> </w:t>
      </w:r>
      <w:r w:rsidRPr="00184499">
        <w:t xml:space="preserve">(possibly up to 1000 to 1200 </w:t>
      </w:r>
      <w:r w:rsidR="007478C0">
        <w:t>ML.d</w:t>
      </w:r>
      <w:r w:rsidR="007478C0" w:rsidRPr="007478C0">
        <w:rPr>
          <w:vertAlign w:val="superscript"/>
        </w:rPr>
        <w:t>-1</w:t>
      </w:r>
      <w:r w:rsidRPr="00184499">
        <w:t>). This would facilitate a test of the hypo</w:t>
      </w:r>
      <w:r>
        <w:t xml:space="preserve">thesis that </w:t>
      </w:r>
      <w:r w:rsidRPr="00184499">
        <w:t>larger in-channel environmental watering action</w:t>
      </w:r>
      <w:r>
        <w:t>s</w:t>
      </w:r>
      <w:r w:rsidRPr="00184499">
        <w:t xml:space="preserve"> will </w:t>
      </w:r>
      <w:r>
        <w:t>increase</w:t>
      </w:r>
      <w:r w:rsidRPr="00184499">
        <w:t xml:space="preserve"> river productivity</w:t>
      </w:r>
      <w:r>
        <w:t>.</w:t>
      </w:r>
    </w:p>
    <w:p w14:paraId="3B4F8BF7" w14:textId="35853C1E" w:rsidR="004C4AE3" w:rsidRPr="00184499" w:rsidRDefault="004C4AE3" w:rsidP="00774B60">
      <w:pPr>
        <w:pStyle w:val="ListParagraph"/>
        <w:numPr>
          <w:ilvl w:val="0"/>
          <w:numId w:val="37"/>
        </w:numPr>
        <w:spacing w:after="120" w:line="280" w:lineRule="exact"/>
        <w:ind w:left="567" w:hanging="567"/>
        <w:jc w:val="left"/>
      </w:pPr>
      <w:r>
        <w:t>T</w:t>
      </w:r>
      <w:r w:rsidRPr="00184499">
        <w:t xml:space="preserve">rial </w:t>
      </w:r>
      <w:r>
        <w:t xml:space="preserve">the delivery of an </w:t>
      </w:r>
      <w:r w:rsidRPr="00184499">
        <w:t xml:space="preserve">environmental watering action in the Edward River </w:t>
      </w:r>
      <w:r w:rsidR="00F705D0">
        <w:t xml:space="preserve">downstream of Stevens Weir </w:t>
      </w:r>
      <w:r w:rsidRPr="00184499">
        <w:t>to target golden perch and silver perch spawning</w:t>
      </w:r>
      <w:r>
        <w:t>.</w:t>
      </w:r>
    </w:p>
    <w:p w14:paraId="3B4F8BF8" w14:textId="77777777" w:rsidR="004C4AE3" w:rsidRPr="00184499" w:rsidRDefault="004C4AE3" w:rsidP="00774B60">
      <w:pPr>
        <w:pStyle w:val="ListParagraph"/>
        <w:numPr>
          <w:ilvl w:val="0"/>
          <w:numId w:val="37"/>
        </w:numPr>
        <w:spacing w:after="120" w:line="280" w:lineRule="exact"/>
        <w:ind w:left="567" w:hanging="567"/>
        <w:jc w:val="left"/>
      </w:pPr>
      <w:r w:rsidRPr="00184499">
        <w:rPr>
          <w:rFonts w:cstheme="minorHAnsi"/>
          <w:szCs w:val="22"/>
        </w:rPr>
        <w:t xml:space="preserve">Avoid long periods of constant flows by </w:t>
      </w:r>
      <w:r w:rsidRPr="00184499">
        <w:t>introducing flow variability into environmental watering actions.</w:t>
      </w:r>
    </w:p>
    <w:p w14:paraId="3B4F8BF9" w14:textId="77777777" w:rsidR="004C4AE3" w:rsidRPr="00274441" w:rsidRDefault="004C4AE3" w:rsidP="00774B60">
      <w:pPr>
        <w:pStyle w:val="ListParagraph"/>
        <w:numPr>
          <w:ilvl w:val="0"/>
          <w:numId w:val="37"/>
        </w:numPr>
        <w:spacing w:after="120" w:line="280" w:lineRule="exact"/>
        <w:ind w:left="567" w:hanging="567"/>
        <w:jc w:val="left"/>
      </w:pPr>
      <w:r w:rsidRPr="00274441">
        <w:t>Continue to explore opportunities to increase the magnitude of environmental water delivered to the upper Wakool River to achieve ecosystem outcomes and at the same time facilitate learning about the system.</w:t>
      </w:r>
    </w:p>
    <w:p w14:paraId="3B4F8BFA" w14:textId="77777777" w:rsidR="004C4AE3" w:rsidRDefault="004C4AE3" w:rsidP="00774B60">
      <w:pPr>
        <w:pStyle w:val="ListParagraph"/>
        <w:numPr>
          <w:ilvl w:val="0"/>
          <w:numId w:val="37"/>
        </w:numPr>
        <w:spacing w:after="120" w:line="280" w:lineRule="exact"/>
        <w:ind w:left="567" w:hanging="567"/>
        <w:jc w:val="left"/>
      </w:pPr>
      <w:r w:rsidRPr="00184499">
        <w:t>Continue to include a water use option in planning that enables Commonwealth environmental water to be used to mitigate adverse water quality events in the Edward-Wakool system.</w:t>
      </w:r>
    </w:p>
    <w:p w14:paraId="3B4F8BFB" w14:textId="77777777" w:rsidR="004C4AE3" w:rsidRDefault="004C4AE3" w:rsidP="00774B60">
      <w:pPr>
        <w:pStyle w:val="ListParagraph"/>
        <w:numPr>
          <w:ilvl w:val="0"/>
          <w:numId w:val="37"/>
        </w:numPr>
        <w:spacing w:after="240" w:line="320" w:lineRule="exact"/>
        <w:ind w:left="567" w:hanging="567"/>
        <w:jc w:val="left"/>
      </w:pPr>
      <w:r>
        <w:lastRenderedPageBreak/>
        <w:t xml:space="preserve">Continue to include a water use option that </w:t>
      </w:r>
      <w:r w:rsidRPr="00184499">
        <w:t xml:space="preserve">enables Commonwealth environmental water to be used to mitigate </w:t>
      </w:r>
      <w:r>
        <w:t>rapid recessions due to rainfall rejection</w:t>
      </w:r>
      <w:r w:rsidRPr="00184499">
        <w:t xml:space="preserve"> in the Edward-Wakool system.</w:t>
      </w:r>
    </w:p>
    <w:p w14:paraId="3B4F8BFC" w14:textId="77777777" w:rsidR="004C4AE3" w:rsidRDefault="004C4AE3" w:rsidP="004C4AE3">
      <w:pPr>
        <w:pBdr>
          <w:top w:val="single" w:sz="4" w:space="1" w:color="auto"/>
          <w:left w:val="single" w:sz="4" w:space="4" w:color="auto"/>
          <w:bottom w:val="single" w:sz="4" w:space="1" w:color="auto"/>
          <w:right w:val="single" w:sz="4" w:space="4" w:color="auto"/>
        </w:pBdr>
        <w:shd w:val="clear" w:color="auto" w:fill="EAF1DD" w:themeFill="accent3" w:themeFillTint="33"/>
        <w:spacing w:after="240" w:line="320" w:lineRule="exact"/>
        <w:contextualSpacing/>
        <w:jc w:val="left"/>
        <w:rPr>
          <w:b/>
        </w:rPr>
      </w:pPr>
      <w:r>
        <w:rPr>
          <w:b/>
        </w:rPr>
        <w:t>Recommendation 1:</w:t>
      </w:r>
      <w:r w:rsidRPr="004B2CBE">
        <w:t xml:space="preserve"> </w:t>
      </w:r>
      <w:r w:rsidRPr="004B2CBE">
        <w:rPr>
          <w:b/>
        </w:rPr>
        <w:t>Undertake</w:t>
      </w:r>
      <w:r w:rsidRPr="007D16D0">
        <w:rPr>
          <w:b/>
        </w:rPr>
        <w:t xml:space="preserve"> </w:t>
      </w:r>
      <w:r>
        <w:rPr>
          <w:b/>
        </w:rPr>
        <w:t xml:space="preserve">a </w:t>
      </w:r>
      <w:r w:rsidRPr="007D16D0">
        <w:rPr>
          <w:b/>
        </w:rPr>
        <w:t xml:space="preserve">comprehensive flows assessment for the </w:t>
      </w:r>
      <w:r>
        <w:rPr>
          <w:b/>
        </w:rPr>
        <w:t xml:space="preserve">tributaries </w:t>
      </w:r>
      <w:r w:rsidRPr="007D16D0">
        <w:rPr>
          <w:b/>
        </w:rPr>
        <w:t xml:space="preserve">of the Edward-Wakool </w:t>
      </w:r>
      <w:r w:rsidRPr="00E631DD">
        <w:rPr>
          <w:b/>
        </w:rPr>
        <w:t xml:space="preserve">system to </w:t>
      </w:r>
      <w:r>
        <w:rPr>
          <w:b/>
        </w:rPr>
        <w:t xml:space="preserve">better </w:t>
      </w:r>
      <w:r w:rsidRPr="00E631DD">
        <w:rPr>
          <w:b/>
        </w:rPr>
        <w:t xml:space="preserve">inform </w:t>
      </w:r>
      <w:r>
        <w:rPr>
          <w:b/>
        </w:rPr>
        <w:t xml:space="preserve">future </w:t>
      </w:r>
      <w:r w:rsidRPr="00E631DD">
        <w:rPr>
          <w:b/>
        </w:rPr>
        <w:t>decisions on environmental watering in this system.</w:t>
      </w:r>
    </w:p>
    <w:p w14:paraId="3B4F8BFD" w14:textId="77777777" w:rsidR="004C4AE3" w:rsidRDefault="004C4AE3" w:rsidP="004C4AE3">
      <w:pPr>
        <w:spacing w:after="0" w:line="320" w:lineRule="exact"/>
        <w:jc w:val="left"/>
      </w:pPr>
    </w:p>
    <w:p w14:paraId="3B4F8BFE" w14:textId="47D63526" w:rsidR="004C4AE3" w:rsidRDefault="004C4AE3" w:rsidP="004C4AE3">
      <w:pPr>
        <w:spacing w:after="240" w:line="320" w:lineRule="exact"/>
        <w:jc w:val="left"/>
      </w:pPr>
      <w:r>
        <w:t xml:space="preserve">There is a need for a comprehensive flows assessment to be undertaken </w:t>
      </w:r>
      <w:r w:rsidRPr="007D16D0">
        <w:t xml:space="preserve">for </w:t>
      </w:r>
      <w:r>
        <w:t xml:space="preserve">the tributaries of the Edward-Wakool system </w:t>
      </w:r>
      <w:r w:rsidRPr="007D16D0">
        <w:t xml:space="preserve">to </w:t>
      </w:r>
      <w:r>
        <w:t>inform</w:t>
      </w:r>
      <w:r w:rsidRPr="007D16D0">
        <w:t xml:space="preserve"> </w:t>
      </w:r>
      <w:r>
        <w:t xml:space="preserve">future </w:t>
      </w:r>
      <w:r w:rsidRPr="007D16D0">
        <w:t>decisions on environmental water</w:t>
      </w:r>
      <w:r>
        <w:t xml:space="preserve"> planning and delivery</w:t>
      </w:r>
      <w:r w:rsidRPr="007D16D0">
        <w:t xml:space="preserve"> in this system.</w:t>
      </w:r>
      <w:r>
        <w:t xml:space="preserve"> A flows assessment</w:t>
      </w:r>
      <w:r w:rsidRPr="007D16D0">
        <w:t xml:space="preserve"> </w:t>
      </w:r>
      <w:r>
        <w:t xml:space="preserve">has been </w:t>
      </w:r>
      <w:r w:rsidRPr="007D16D0">
        <w:t>undertaken for the Edward River</w:t>
      </w:r>
      <w:r>
        <w:t xml:space="preserve"> (</w:t>
      </w:r>
      <w:r>
        <w:rPr>
          <w:szCs w:val="22"/>
        </w:rPr>
        <w:t>Green 2001</w:t>
      </w:r>
      <w:r w:rsidRPr="00CE463D">
        <w:rPr>
          <w:szCs w:val="22"/>
        </w:rPr>
        <w:t xml:space="preserve">; Hale </w:t>
      </w:r>
      <w:r w:rsidRPr="000D666F">
        <w:rPr>
          <w:szCs w:val="22"/>
        </w:rPr>
        <w:t>and SKM 2011</w:t>
      </w:r>
      <w:r w:rsidRPr="000D666F">
        <w:t xml:space="preserve">, </w:t>
      </w:r>
      <w:r>
        <w:t>Watts et al</w:t>
      </w:r>
      <w:r w:rsidR="004762DE">
        <w:t>.</w:t>
      </w:r>
      <w:r>
        <w:t xml:space="preserve"> 2015) but there are</w:t>
      </w:r>
      <w:r w:rsidRPr="007D16D0">
        <w:t xml:space="preserve"> currently </w:t>
      </w:r>
      <w:r>
        <w:t>no</w:t>
      </w:r>
      <w:r w:rsidRPr="007D16D0">
        <w:t xml:space="preserve"> hydrolog</w:t>
      </w:r>
      <w:r>
        <w:t>ical models available for</w:t>
      </w:r>
      <w:r w:rsidRPr="007D16D0">
        <w:t xml:space="preserve"> the smaller creeks and riv</w:t>
      </w:r>
      <w:r>
        <w:t>ers in the Edward-Wakool system. A</w:t>
      </w:r>
      <w:r w:rsidRPr="007D16D0">
        <w:t xml:space="preserve"> flows assessment </w:t>
      </w:r>
      <w:r>
        <w:t>for the tributaries would provide</w:t>
      </w:r>
      <w:r w:rsidRPr="007D16D0">
        <w:t xml:space="preserve"> </w:t>
      </w:r>
      <w:r>
        <w:t xml:space="preserve">information on factors </w:t>
      </w:r>
      <w:r w:rsidRPr="007D16D0">
        <w:t>such as natural rate</w:t>
      </w:r>
      <w:r>
        <w:t>s</w:t>
      </w:r>
      <w:r w:rsidRPr="007D16D0">
        <w:t xml:space="preserve"> of recession and rise in flows, short term and long term variability in changes to water height, timing and duration of instream pulses, and periods</w:t>
      </w:r>
      <w:r>
        <w:t xml:space="preserve"> of </w:t>
      </w:r>
      <w:r w:rsidRPr="007D16D0">
        <w:t>low flow</w:t>
      </w:r>
      <w:r>
        <w:t xml:space="preserve"> that would underpin future planning. This flows assessment would assist the planning</w:t>
      </w:r>
      <w:r w:rsidRPr="007D16D0">
        <w:t xml:space="preserve"> of </w:t>
      </w:r>
      <w:r>
        <w:t>environmental watering</w:t>
      </w:r>
      <w:r w:rsidRPr="007D16D0">
        <w:t xml:space="preserve"> to </w:t>
      </w:r>
      <w:r>
        <w:t>environmental</w:t>
      </w:r>
      <w:r w:rsidRPr="007D16D0">
        <w:t xml:space="preserve"> assets of the Edward-Wakool system </w:t>
      </w:r>
      <w:r>
        <w:t>and contribute to</w:t>
      </w:r>
      <w:r w:rsidRPr="007D16D0">
        <w:t xml:space="preserve"> decisions and operating guidelines for future environmental watering actions. The flows recommendations should not be </w:t>
      </w:r>
      <w:r>
        <w:t xml:space="preserve">targeted for </w:t>
      </w:r>
      <w:r w:rsidRPr="007D16D0">
        <w:t>single species</w:t>
      </w:r>
      <w:r w:rsidR="009E3703">
        <w:t xml:space="preserve"> or habitat type</w:t>
      </w:r>
      <w:r w:rsidRPr="007D16D0">
        <w:t xml:space="preserve">, but </w:t>
      </w:r>
      <w:r w:rsidR="00AC4E70">
        <w:t>aim</w:t>
      </w:r>
      <w:r>
        <w:t xml:space="preserve"> to </w:t>
      </w:r>
      <w:r w:rsidRPr="007D16D0">
        <w:t>maximise benefit</w:t>
      </w:r>
      <w:r>
        <w:t>s</w:t>
      </w:r>
      <w:r w:rsidRPr="007D16D0">
        <w:t xml:space="preserve"> for the whole ecosystem.</w:t>
      </w:r>
      <w:r>
        <w:t xml:space="preserve"> </w:t>
      </w:r>
    </w:p>
    <w:p w14:paraId="5FF1C846" w14:textId="7FC1D52F" w:rsidR="00445A8B" w:rsidRDefault="004C4AE3" w:rsidP="004C4AE3">
      <w:pPr>
        <w:spacing w:after="240" w:line="320" w:lineRule="exact"/>
        <w:jc w:val="left"/>
      </w:pPr>
      <w:r>
        <w:t>This recommendation was made in the 2013-14 Edward-Wakool short term monitoring report (Watts et al. 2014) and again in 2014-15 LTIM evaluation report (Watts et al</w:t>
      </w:r>
      <w:r w:rsidR="004762DE">
        <w:t>.</w:t>
      </w:r>
      <w:r>
        <w:t xml:space="preserve"> 2015) but has not yet been implemented. The lack of information for the smaller tributaries limits aspects of the planning and delivery of environmental water in this system, particularly decisions on rates of recession and variability of flows.</w:t>
      </w:r>
    </w:p>
    <w:p w14:paraId="4A1C58DF" w14:textId="66E72D50" w:rsidR="00AC4E70" w:rsidRDefault="00AC4E70">
      <w:pPr>
        <w:spacing w:after="0" w:line="240" w:lineRule="auto"/>
        <w:jc w:val="left"/>
      </w:pPr>
      <w:r>
        <w:br w:type="page"/>
      </w:r>
    </w:p>
    <w:p w14:paraId="3B4F8C00" w14:textId="0A6F5131" w:rsidR="004C4AE3" w:rsidRDefault="004C4AE3" w:rsidP="004C4AE3">
      <w:pPr>
        <w:pBdr>
          <w:top w:val="single" w:sz="4" w:space="1" w:color="auto"/>
          <w:left w:val="single" w:sz="4" w:space="4" w:color="auto"/>
          <w:bottom w:val="single" w:sz="4" w:space="1" w:color="auto"/>
          <w:right w:val="single" w:sz="4" w:space="4" w:color="auto"/>
        </w:pBdr>
        <w:shd w:val="clear" w:color="auto" w:fill="EAF1DD" w:themeFill="accent3" w:themeFillTint="33"/>
        <w:spacing w:after="240" w:line="320" w:lineRule="exact"/>
        <w:contextualSpacing/>
        <w:jc w:val="left"/>
        <w:rPr>
          <w:b/>
        </w:rPr>
      </w:pPr>
      <w:r>
        <w:rPr>
          <w:b/>
        </w:rPr>
        <w:lastRenderedPageBreak/>
        <w:t xml:space="preserve">Recommendation 2: Trial the delivery of continuous base environmental flows during winter </w:t>
      </w:r>
      <w:r w:rsidR="00635215">
        <w:rPr>
          <w:b/>
        </w:rPr>
        <w:t xml:space="preserve">(no cease to flow) </w:t>
      </w:r>
      <w:r>
        <w:rPr>
          <w:b/>
        </w:rPr>
        <w:t xml:space="preserve">in the tributaries of the Edward-Wakool system to promote the temporal availability and continuity of instream </w:t>
      </w:r>
      <w:r w:rsidRPr="004B4BF4">
        <w:rPr>
          <w:b/>
        </w:rPr>
        <w:t>habitat to benefit fish and other aquatic animals and assist the recovery of submerged aquatic plants in the system.</w:t>
      </w:r>
      <w:r>
        <w:t xml:space="preserve"> </w:t>
      </w:r>
    </w:p>
    <w:p w14:paraId="3B4F8C01" w14:textId="77777777" w:rsidR="004C4AE3" w:rsidRDefault="004C4AE3" w:rsidP="004C4AE3">
      <w:pPr>
        <w:spacing w:after="0" w:line="320" w:lineRule="exact"/>
        <w:jc w:val="left"/>
        <w:rPr>
          <w:szCs w:val="22"/>
        </w:rPr>
      </w:pPr>
    </w:p>
    <w:p w14:paraId="5B426BD1" w14:textId="0C0BB8A2" w:rsidR="000E3759" w:rsidRDefault="004C4AE3" w:rsidP="004C4AE3">
      <w:pPr>
        <w:spacing w:after="240" w:line="320" w:lineRule="exact"/>
        <w:jc w:val="left"/>
      </w:pPr>
      <w:r>
        <w:rPr>
          <w:szCs w:val="22"/>
        </w:rPr>
        <w:t xml:space="preserve">Natural </w:t>
      </w:r>
      <w:r>
        <w:t>flows in the Edward-Wakool system historically reflected strong seasonal patterns in rainfall, with high flows occurring typically from July to November (Green 2001; Hale and SKM 2011; Watts et al 2015b). Low flows would have naturally occurred in this sys</w:t>
      </w:r>
      <w:r w:rsidR="000732AD">
        <w:t xml:space="preserve">tem in summer and early autumn </w:t>
      </w:r>
      <w:r>
        <w:t xml:space="preserve">when fish and shrimp larvae are present. Under current operations it is not possible to deliver low flows to this system in summer due to the need to supply consumptive water. Under current river operations </w:t>
      </w:r>
      <w:r w:rsidRPr="00583C18">
        <w:t>the</w:t>
      </w:r>
      <w:r>
        <w:t xml:space="preserve"> regulators to the Wakool River and Y</w:t>
      </w:r>
      <w:r w:rsidRPr="00583C18">
        <w:t xml:space="preserve">allakool River </w:t>
      </w:r>
      <w:r>
        <w:t xml:space="preserve">are usually shut </w:t>
      </w:r>
      <w:r w:rsidRPr="00583C18">
        <w:t>durin</w:t>
      </w:r>
      <w:r>
        <w:t xml:space="preserve">g </w:t>
      </w:r>
      <w:r w:rsidR="00AC4E70">
        <w:t>c</w:t>
      </w:r>
      <w:r w:rsidRPr="00583C18">
        <w:t>early winter</w:t>
      </w:r>
      <w:r>
        <w:t xml:space="preserve"> and there is a period of no flow and some reaches of the river bed are dry</w:t>
      </w:r>
      <w:r w:rsidR="000E3759">
        <w:t xml:space="preserve"> (Figure 3.2)</w:t>
      </w:r>
      <w:r>
        <w:t>, with the exception of the larger deeper permanent pools.</w:t>
      </w:r>
    </w:p>
    <w:p w14:paraId="3B4F8C03" w14:textId="2C72CE7F" w:rsidR="004C4AE3" w:rsidRDefault="004C4AE3" w:rsidP="000732AD">
      <w:pPr>
        <w:spacing w:after="120" w:line="320" w:lineRule="exact"/>
        <w:jc w:val="left"/>
        <w:rPr>
          <w:rFonts w:cs="Calibri"/>
          <w:color w:val="000000" w:themeColor="text1"/>
        </w:rPr>
      </w:pPr>
      <w:r>
        <w:t>Telemetry has shown that during the winter cease to flow period Murray cod, golden perch and silver perch reside in the large permanent pools (Watts et al. 2013, 2014). This period of no flow may be detrimental for the survival and growth of some aquatic animals because they are forced to move to the permanent pools where they may be more vulnerable to predation or experience competition for food and habitat. Similarly, while some riv</w:t>
      </w:r>
      <w:r>
        <w:rPr>
          <w:rFonts w:cs="Calibri"/>
          <w:color w:val="000000" w:themeColor="text1"/>
        </w:rPr>
        <w:t xml:space="preserve">erbank and aquatic plants benefit from, or </w:t>
      </w:r>
      <w:r w:rsidRPr="0009058C">
        <w:rPr>
          <w:rFonts w:cs="Calibri"/>
          <w:color w:val="000000" w:themeColor="text1"/>
        </w:rPr>
        <w:t>tolerate</w:t>
      </w:r>
      <w:r>
        <w:rPr>
          <w:rFonts w:cs="Calibri"/>
          <w:color w:val="000000" w:themeColor="text1"/>
        </w:rPr>
        <w:t>,</w:t>
      </w:r>
      <w:r w:rsidRPr="0009058C">
        <w:rPr>
          <w:rFonts w:cs="Calibri"/>
          <w:color w:val="000000" w:themeColor="text1"/>
        </w:rPr>
        <w:t xml:space="preserve"> </w:t>
      </w:r>
      <w:r>
        <w:rPr>
          <w:rFonts w:cs="Calibri"/>
          <w:color w:val="000000" w:themeColor="text1"/>
        </w:rPr>
        <w:t xml:space="preserve">periods of </w:t>
      </w:r>
      <w:r w:rsidRPr="0009058C">
        <w:rPr>
          <w:rFonts w:cs="Calibri"/>
          <w:color w:val="000000" w:themeColor="text1"/>
        </w:rPr>
        <w:t xml:space="preserve">wetting and drying, </w:t>
      </w:r>
      <w:r>
        <w:rPr>
          <w:rFonts w:cs="Calibri"/>
          <w:color w:val="000000" w:themeColor="text1"/>
        </w:rPr>
        <w:t>some submerged aquatic plants can be disadvantaged by a cease to flow in winter</w:t>
      </w:r>
      <w:r w:rsidRPr="0009058C">
        <w:rPr>
          <w:rFonts w:cs="Calibri"/>
          <w:color w:val="000000" w:themeColor="text1"/>
        </w:rPr>
        <w:t xml:space="preserve">. </w:t>
      </w:r>
      <w:r>
        <w:rPr>
          <w:rFonts w:cs="Calibri"/>
          <w:color w:val="000000" w:themeColor="text1"/>
        </w:rPr>
        <w:t xml:space="preserve">Some aquatic plants can die in a week or so in winter if they are exposed to frost (Roberts and Marston 2011). Exposure during winter also makes roots of aquatic plants more susceptible to damage by wild pigs, and this has been observed to occur in the Edward-Wakool system. </w:t>
      </w:r>
      <w:r>
        <w:rPr>
          <w:rFonts w:asciiTheme="minorHAnsi" w:hAnsiTheme="minorHAnsi"/>
          <w:szCs w:val="22"/>
        </w:rPr>
        <w:t xml:space="preserve">Community members </w:t>
      </w:r>
      <w:r w:rsidRPr="00DF540C">
        <w:rPr>
          <w:rFonts w:asciiTheme="minorHAnsi" w:hAnsiTheme="minorHAnsi"/>
          <w:szCs w:val="22"/>
        </w:rPr>
        <w:t xml:space="preserve">report </w:t>
      </w:r>
      <w:r>
        <w:rPr>
          <w:rFonts w:asciiTheme="minorHAnsi" w:hAnsiTheme="minorHAnsi"/>
          <w:szCs w:val="22"/>
        </w:rPr>
        <w:t>there were</w:t>
      </w:r>
      <w:r w:rsidRPr="00DF540C">
        <w:rPr>
          <w:rFonts w:asciiTheme="minorHAnsi" w:hAnsiTheme="minorHAnsi"/>
          <w:szCs w:val="22"/>
        </w:rPr>
        <w:t xml:space="preserve"> beds of</w:t>
      </w:r>
      <w:r>
        <w:rPr>
          <w:rFonts w:asciiTheme="minorHAnsi" w:hAnsiTheme="minorHAnsi"/>
          <w:szCs w:val="22"/>
        </w:rPr>
        <w:t xml:space="preserve"> submerged aquatic plants, such as</w:t>
      </w:r>
      <w:r w:rsidRPr="00DF540C">
        <w:rPr>
          <w:rFonts w:asciiTheme="minorHAnsi" w:hAnsiTheme="minorHAnsi"/>
          <w:szCs w:val="22"/>
        </w:rPr>
        <w:t xml:space="preserve"> ribbon weed (</w:t>
      </w:r>
      <w:r w:rsidRPr="004B4BF4">
        <w:rPr>
          <w:rFonts w:asciiTheme="minorHAnsi" w:hAnsiTheme="minorHAnsi"/>
          <w:i/>
          <w:szCs w:val="22"/>
        </w:rPr>
        <w:t>Valisineria</w:t>
      </w:r>
      <w:r w:rsidRPr="00DF540C">
        <w:rPr>
          <w:rFonts w:asciiTheme="minorHAnsi" w:hAnsiTheme="minorHAnsi"/>
          <w:szCs w:val="22"/>
        </w:rPr>
        <w:t xml:space="preserve"> sp.)</w:t>
      </w:r>
      <w:r>
        <w:rPr>
          <w:rFonts w:asciiTheme="minorHAnsi" w:hAnsiTheme="minorHAnsi"/>
          <w:szCs w:val="22"/>
        </w:rPr>
        <w:t>,</w:t>
      </w:r>
      <w:r w:rsidRPr="00DF540C">
        <w:rPr>
          <w:rFonts w:asciiTheme="minorHAnsi" w:hAnsiTheme="minorHAnsi"/>
          <w:szCs w:val="22"/>
        </w:rPr>
        <w:t xml:space="preserve"> </w:t>
      </w:r>
      <w:r>
        <w:rPr>
          <w:rFonts w:asciiTheme="minorHAnsi" w:hAnsiTheme="minorHAnsi"/>
          <w:szCs w:val="22"/>
        </w:rPr>
        <w:t xml:space="preserve">in the rivers </w:t>
      </w:r>
      <w:r w:rsidRPr="00DF540C">
        <w:rPr>
          <w:rFonts w:asciiTheme="minorHAnsi" w:hAnsiTheme="minorHAnsi"/>
          <w:szCs w:val="22"/>
        </w:rPr>
        <w:t>of the Edward-Wakool system</w:t>
      </w:r>
      <w:r>
        <w:rPr>
          <w:rFonts w:asciiTheme="minorHAnsi" w:hAnsiTheme="minorHAnsi"/>
          <w:szCs w:val="22"/>
        </w:rPr>
        <w:t xml:space="preserve"> prior to the Millennium drought, but in 2010 after the break of the drought the submerged and amphibious plants were largely absent throughout the system. Aquatic plants in the Edward-Wakool system are still recovering from the effects of this drought and Commonwealth environmental water </w:t>
      </w:r>
      <w:r w:rsidR="00355F23">
        <w:rPr>
          <w:rFonts w:asciiTheme="minorHAnsi" w:hAnsiTheme="minorHAnsi"/>
          <w:szCs w:val="22"/>
        </w:rPr>
        <w:t xml:space="preserve">delivered during winter </w:t>
      </w:r>
      <w:r>
        <w:rPr>
          <w:rFonts w:asciiTheme="minorHAnsi" w:hAnsiTheme="minorHAnsi"/>
          <w:szCs w:val="22"/>
        </w:rPr>
        <w:t>could assist that recovery.</w:t>
      </w:r>
    </w:p>
    <w:p w14:paraId="3B4F8C04" w14:textId="0BA0B654" w:rsidR="004C4AE3" w:rsidRDefault="004C4AE3" w:rsidP="000732AD">
      <w:pPr>
        <w:spacing w:after="120" w:line="320" w:lineRule="exact"/>
        <w:jc w:val="left"/>
      </w:pPr>
      <w:r>
        <w:t xml:space="preserve">The recommendation is to trial the provision of continuous base flows in 2017 to promote the temporal availability and continuity of instream habitat to benefit fish and other aquatic animals and assist the recovery of submerged aquatic plants in the system. </w:t>
      </w:r>
      <w:r w:rsidR="00355F23">
        <w:t xml:space="preserve">A CEWO </w:t>
      </w:r>
      <w:r>
        <w:t>proposal to maintain a base environmental flow to the tributaries during winter</w:t>
      </w:r>
      <w:r w:rsidR="00355F23">
        <w:t xml:space="preserve"> 2017</w:t>
      </w:r>
      <w:r>
        <w:t xml:space="preserve"> </w:t>
      </w:r>
      <w:r w:rsidR="00355F23">
        <w:t>initially raised concern</w:t>
      </w:r>
      <w:r>
        <w:t xml:space="preserve"> from some stakeholders </w:t>
      </w:r>
      <w:r w:rsidR="00355F23">
        <w:t>who were</w:t>
      </w:r>
      <w:r>
        <w:t xml:space="preserve"> in favour of continuing the practice of including a period of riverbank drying during winter. However, the proposal to deliver base environmental flows in winter would not jeopardise this drying phase, because under base flows the majority of riverbank would continue to be exposed and experience a period of drying.</w:t>
      </w:r>
    </w:p>
    <w:p w14:paraId="3B4F8C05" w14:textId="47C9A0FB" w:rsidR="004C4AE3" w:rsidRDefault="004C4AE3" w:rsidP="000732AD">
      <w:pPr>
        <w:spacing w:after="120" w:line="320" w:lineRule="exact"/>
        <w:jc w:val="left"/>
      </w:pPr>
      <w:r>
        <w:lastRenderedPageBreak/>
        <w:t xml:space="preserve">There are operational challenges associated with the delivery of base flows during winter. At this time of the year Stevens Weir on the Edward River is usually open and the weir level is often not high enough to deliver water to the tributaries through the regulators. Options such as direct pumping to deliver environmental water to the upper Wakool River, Yallakool Creek and Colligen Creek should be explored and would be technically feasible because the </w:t>
      </w:r>
      <w:r w:rsidR="000732AD">
        <w:t>proposed</w:t>
      </w:r>
      <w:r>
        <w:t xml:space="preserve"> base flow to these tributaries is small. Pumps have been used effectively to deliver environmental water elsewhere in the Murray system (e.g. Hattah Lakes). Guided by catchment conditions and water availability, the winter operation of Stevens Weir could be alternated over a sequence of years and this would also provide more system wide variability. For example, in wetter years Stevens Weir could be maintained at a moderate level to enable low winter base flows to be delivered via regulators to the tributaries, whilst in drier years Stevens Weir could be opened to enable additional bank drying to occur in the weirpool and on these occasions base flows to the tributaries could be delivered by pumps.</w:t>
      </w:r>
    </w:p>
    <w:p w14:paraId="3B4F8C06" w14:textId="77777777" w:rsidR="004C4AE3" w:rsidRDefault="004C4AE3" w:rsidP="004C4AE3">
      <w:pPr>
        <w:spacing w:after="240" w:line="320" w:lineRule="exact"/>
        <w:jc w:val="left"/>
      </w:pPr>
      <w:r>
        <w:t>The LTIM Monitoring and Evaluation Plan for the Edward-Wakool system includes monitoring of riverbank and aquatic vegetation over the winter months but no other indicators are monitored in winter. If this flow trial were to be implemented additional monitoring may need to be required to assess the outcome of this watering action on other indicators.</w:t>
      </w:r>
    </w:p>
    <w:p w14:paraId="597D1B03" w14:textId="3C8A32F6" w:rsidR="00EA6EAB" w:rsidRDefault="00EA6EAB" w:rsidP="004C4AE3">
      <w:pPr>
        <w:spacing w:after="240" w:line="320" w:lineRule="exact"/>
        <w:jc w:val="left"/>
      </w:pPr>
      <w:r>
        <w:t>There is also a significant opportunity to expore how the provision of environmental flows during winter could be coordinated across multiple catchments. For example, winter environmental flows could be synchronised across the Murray</w:t>
      </w:r>
      <w:r w:rsidR="00AC4E70">
        <w:t xml:space="preserve"> system</w:t>
      </w:r>
      <w:r>
        <w:t xml:space="preserve"> (including Edward-Wakool), Murrumbidgee, Goulburn and possibly the Darling systems to not only achi</w:t>
      </w:r>
      <w:r w:rsidR="00C2075F">
        <w:t>e</w:t>
      </w:r>
      <w:r>
        <w:t>ve desired outcomes in those catchments but also contribute to outcomes in South Australia.</w:t>
      </w:r>
    </w:p>
    <w:p w14:paraId="3B4F8C07" w14:textId="77777777" w:rsidR="004C4AE3" w:rsidRPr="00AB52BD" w:rsidRDefault="004C4AE3" w:rsidP="000732AD">
      <w:pPr>
        <w:pBdr>
          <w:top w:val="single" w:sz="4" w:space="1" w:color="auto"/>
          <w:left w:val="single" w:sz="4" w:space="4" w:color="auto"/>
          <w:bottom w:val="single" w:sz="4" w:space="1" w:color="auto"/>
          <w:right w:val="single" w:sz="4" w:space="4" w:color="auto"/>
        </w:pBdr>
        <w:spacing w:after="120" w:line="320" w:lineRule="exact"/>
        <w:rPr>
          <w:szCs w:val="22"/>
        </w:rPr>
      </w:pPr>
      <w:r w:rsidRPr="00AB52BD">
        <w:rPr>
          <w:b/>
          <w:szCs w:val="22"/>
        </w:rPr>
        <w:t>Adaptive management:</w:t>
      </w:r>
      <w:r w:rsidRPr="00AB52BD">
        <w:rPr>
          <w:szCs w:val="22"/>
        </w:rPr>
        <w:t xml:space="preserve"> This recommendation is similar to recommendation number 4 made in the 2014-15 LTIM evaluation report (Watts et al</w:t>
      </w:r>
      <w:r w:rsidR="004762DE" w:rsidRPr="00AB52BD">
        <w:rPr>
          <w:szCs w:val="22"/>
        </w:rPr>
        <w:t>.</w:t>
      </w:r>
      <w:r w:rsidRPr="00AB52BD">
        <w:rPr>
          <w:szCs w:val="22"/>
        </w:rPr>
        <w:t xml:space="preserve"> 2015) but it has not yet been implemented. However, CEWO and NSW OEH have progressed this recommendation through the facilitation of discussions with various stakeholder groups (e.g. the Murray-Lower Darling EWAG and the Edward-Wakool Environmental Water Reference Group) regarding the implementation of this recommendation in the winter of 2017 </w:t>
      </w:r>
    </w:p>
    <w:p w14:paraId="2F3AEE90" w14:textId="77777777" w:rsidR="00AC4E70" w:rsidRDefault="00AC4E70">
      <w:pPr>
        <w:spacing w:after="0" w:line="240" w:lineRule="auto"/>
        <w:jc w:val="left"/>
      </w:pPr>
    </w:p>
    <w:p w14:paraId="3B4F8C08" w14:textId="32C4E844" w:rsidR="00AC4E70" w:rsidRDefault="00AC4E70">
      <w:pPr>
        <w:spacing w:after="0" w:line="240" w:lineRule="auto"/>
        <w:jc w:val="left"/>
      </w:pPr>
      <w:r>
        <w:br w:type="page"/>
      </w:r>
    </w:p>
    <w:p w14:paraId="3B4F8C09" w14:textId="77777777" w:rsidR="004C4AE3" w:rsidRPr="00F10534" w:rsidRDefault="004C4AE3" w:rsidP="004C4AE3">
      <w:pPr>
        <w:pBdr>
          <w:top w:val="single" w:sz="4" w:space="1" w:color="auto"/>
          <w:left w:val="single" w:sz="4" w:space="4" w:color="auto"/>
          <w:bottom w:val="single" w:sz="4" w:space="4" w:color="auto"/>
          <w:right w:val="single" w:sz="4" w:space="4" w:color="auto"/>
        </w:pBdr>
        <w:shd w:val="clear" w:color="auto" w:fill="EAF1DD" w:themeFill="accent3" w:themeFillTint="33"/>
        <w:spacing w:after="240" w:line="320" w:lineRule="exact"/>
        <w:contextualSpacing/>
        <w:jc w:val="left"/>
      </w:pPr>
      <w:r w:rsidRPr="00F10534">
        <w:rPr>
          <w:rFonts w:cstheme="minorHAnsi"/>
          <w:b/>
          <w:szCs w:val="22"/>
        </w:rPr>
        <w:lastRenderedPageBreak/>
        <w:t>Recommendation</w:t>
      </w:r>
      <w:r>
        <w:rPr>
          <w:rFonts w:cstheme="minorHAnsi"/>
          <w:b/>
          <w:szCs w:val="22"/>
        </w:rPr>
        <w:t xml:space="preserve"> 3: T</w:t>
      </w:r>
      <w:r>
        <w:rPr>
          <w:b/>
        </w:rPr>
        <w:t>rial</w:t>
      </w:r>
      <w:r w:rsidRPr="00367ECA">
        <w:rPr>
          <w:b/>
        </w:rPr>
        <w:t xml:space="preserve"> </w:t>
      </w:r>
      <w:r>
        <w:rPr>
          <w:b/>
        </w:rPr>
        <w:t>the delivery of</w:t>
      </w:r>
      <w:r w:rsidRPr="00367ECA">
        <w:rPr>
          <w:b/>
        </w:rPr>
        <w:t xml:space="preserve"> a </w:t>
      </w:r>
      <w:r>
        <w:rPr>
          <w:b/>
        </w:rPr>
        <w:t xml:space="preserve">short duration environmental watering action </w:t>
      </w:r>
      <w:r w:rsidRPr="00367ECA">
        <w:rPr>
          <w:b/>
        </w:rPr>
        <w:t xml:space="preserve">in </w:t>
      </w:r>
      <w:r>
        <w:rPr>
          <w:b/>
        </w:rPr>
        <w:t xml:space="preserve">late winter or </w:t>
      </w:r>
      <w:r w:rsidRPr="00367ECA">
        <w:rPr>
          <w:b/>
        </w:rPr>
        <w:t xml:space="preserve">spring </w:t>
      </w:r>
      <w:r>
        <w:rPr>
          <w:b/>
        </w:rPr>
        <w:t xml:space="preserve">2017 </w:t>
      </w:r>
      <w:r w:rsidRPr="00C76F3B">
        <w:rPr>
          <w:b/>
        </w:rPr>
        <w:t xml:space="preserve">at a higher discharge than the current </w:t>
      </w:r>
      <w:r>
        <w:rPr>
          <w:b/>
        </w:rPr>
        <w:t xml:space="preserve">operational </w:t>
      </w:r>
      <w:r w:rsidRPr="00C76F3B">
        <w:rPr>
          <w:b/>
        </w:rPr>
        <w:t xml:space="preserve">constraint of 600 </w:t>
      </w:r>
      <w:r w:rsidR="007478C0" w:rsidRPr="007478C0">
        <w:rPr>
          <w:b/>
        </w:rPr>
        <w:t>ML.d</w:t>
      </w:r>
      <w:r w:rsidR="007478C0" w:rsidRPr="007478C0">
        <w:rPr>
          <w:b/>
          <w:vertAlign w:val="superscript"/>
        </w:rPr>
        <w:t>-1</w:t>
      </w:r>
      <w:r w:rsidR="007478C0" w:rsidRPr="007478C0">
        <w:rPr>
          <w:b/>
        </w:rPr>
        <w:t xml:space="preserve"> </w:t>
      </w:r>
      <w:r w:rsidRPr="007478C0">
        <w:rPr>
          <w:b/>
        </w:rPr>
        <w:t xml:space="preserve">(possibly up to 1000 to 1200 </w:t>
      </w:r>
      <w:r w:rsidR="007478C0" w:rsidRPr="007478C0">
        <w:rPr>
          <w:b/>
        </w:rPr>
        <w:t>ML.d</w:t>
      </w:r>
      <w:r w:rsidR="007478C0" w:rsidRPr="007478C0">
        <w:rPr>
          <w:b/>
          <w:vertAlign w:val="superscript"/>
        </w:rPr>
        <w:t>-1</w:t>
      </w:r>
      <w:r w:rsidRPr="007478C0">
        <w:rPr>
          <w:b/>
        </w:rPr>
        <w:t>).</w:t>
      </w:r>
      <w:r>
        <w:rPr>
          <w:b/>
        </w:rPr>
        <w:t xml:space="preserve"> This would facilitate a</w:t>
      </w:r>
      <w:r w:rsidRPr="00367ECA">
        <w:rPr>
          <w:b/>
        </w:rPr>
        <w:t xml:space="preserve"> test </w:t>
      </w:r>
      <w:r>
        <w:rPr>
          <w:b/>
        </w:rPr>
        <w:t xml:space="preserve">of </w:t>
      </w:r>
      <w:r w:rsidRPr="00367ECA">
        <w:rPr>
          <w:b/>
        </w:rPr>
        <w:t xml:space="preserve">the hypothesis that larger </w:t>
      </w:r>
      <w:r>
        <w:rPr>
          <w:b/>
        </w:rPr>
        <w:t xml:space="preserve">in-channel environmental watering actions </w:t>
      </w:r>
      <w:r w:rsidRPr="00367ECA">
        <w:rPr>
          <w:b/>
        </w:rPr>
        <w:t xml:space="preserve">will </w:t>
      </w:r>
      <w:r>
        <w:rPr>
          <w:b/>
        </w:rPr>
        <w:t>increase</w:t>
      </w:r>
      <w:r w:rsidRPr="00367ECA">
        <w:rPr>
          <w:b/>
        </w:rPr>
        <w:t xml:space="preserve"> </w:t>
      </w:r>
      <w:r>
        <w:rPr>
          <w:b/>
        </w:rPr>
        <w:t xml:space="preserve">river </w:t>
      </w:r>
      <w:r w:rsidRPr="00367ECA">
        <w:rPr>
          <w:b/>
        </w:rPr>
        <w:t>productivity</w:t>
      </w:r>
      <w:r>
        <w:rPr>
          <w:b/>
        </w:rPr>
        <w:t>.</w:t>
      </w:r>
    </w:p>
    <w:p w14:paraId="3B4F8C0A" w14:textId="77777777" w:rsidR="004C4AE3" w:rsidRDefault="004C4AE3" w:rsidP="004C4AE3">
      <w:pPr>
        <w:spacing w:after="120" w:line="320" w:lineRule="exact"/>
        <w:jc w:val="left"/>
        <w:rPr>
          <w:rFonts w:cstheme="minorHAnsi"/>
          <w:szCs w:val="22"/>
        </w:rPr>
      </w:pPr>
    </w:p>
    <w:p w14:paraId="3B4F8C0B" w14:textId="77777777" w:rsidR="004C4AE3" w:rsidRDefault="004C4AE3" w:rsidP="004C4AE3">
      <w:pPr>
        <w:spacing w:after="240" w:line="320" w:lineRule="exact"/>
        <w:jc w:val="left"/>
        <w:rPr>
          <w:szCs w:val="22"/>
        </w:rPr>
      </w:pPr>
      <w:r>
        <w:rPr>
          <w:rFonts w:cstheme="minorHAnsi"/>
          <w:szCs w:val="22"/>
        </w:rPr>
        <w:t>T</w:t>
      </w:r>
      <w:r w:rsidRPr="00F10534">
        <w:rPr>
          <w:rFonts w:cstheme="minorHAnsi"/>
          <w:szCs w:val="22"/>
        </w:rPr>
        <w:t xml:space="preserve">he flow regime of the Edward-Wakool system has been </w:t>
      </w:r>
      <w:r w:rsidRPr="00F10534">
        <w:rPr>
          <w:szCs w:val="22"/>
        </w:rPr>
        <w:t xml:space="preserve">significantly altered by river regulation, with changes to the timing and volume of </w:t>
      </w:r>
      <w:r>
        <w:rPr>
          <w:szCs w:val="22"/>
        </w:rPr>
        <w:t>flows (see section 2</w:t>
      </w:r>
      <w:r w:rsidRPr="00F34310">
        <w:rPr>
          <w:szCs w:val="22"/>
        </w:rPr>
        <w:t>).</w:t>
      </w:r>
      <w:r>
        <w:rPr>
          <w:szCs w:val="22"/>
        </w:rPr>
        <w:t xml:space="preserve"> In the absence of river regulation higher flows would have </w:t>
      </w:r>
      <w:r>
        <w:t>typically occurred from July to November</w:t>
      </w:r>
      <w:r w:rsidRPr="00F10534">
        <w:rPr>
          <w:szCs w:val="22"/>
        </w:rPr>
        <w:t xml:space="preserve"> in </w:t>
      </w:r>
      <w:r>
        <w:rPr>
          <w:szCs w:val="22"/>
        </w:rPr>
        <w:t xml:space="preserve">winter and </w:t>
      </w:r>
      <w:r w:rsidRPr="00F10534">
        <w:rPr>
          <w:szCs w:val="22"/>
        </w:rPr>
        <w:t>spring</w:t>
      </w:r>
      <w:r>
        <w:rPr>
          <w:szCs w:val="22"/>
        </w:rPr>
        <w:t xml:space="preserve"> </w:t>
      </w:r>
      <w:r>
        <w:t>(Green 2001; Hale and SKM 2011; Watts et al</w:t>
      </w:r>
      <w:r w:rsidR="004762DE">
        <w:t>.</w:t>
      </w:r>
      <w:r>
        <w:t xml:space="preserve"> 2015)</w:t>
      </w:r>
      <w:r>
        <w:rPr>
          <w:szCs w:val="22"/>
        </w:rPr>
        <w:t xml:space="preserve">. </w:t>
      </w:r>
    </w:p>
    <w:p w14:paraId="3B4F8C0C" w14:textId="77777777" w:rsidR="004C4AE3" w:rsidRDefault="004C4AE3" w:rsidP="004C4AE3">
      <w:pPr>
        <w:spacing w:after="240" w:line="320" w:lineRule="exact"/>
        <w:jc w:val="left"/>
      </w:pPr>
      <w:r w:rsidRPr="00F10534">
        <w:rPr>
          <w:rFonts w:cstheme="minorHAnsi"/>
          <w:szCs w:val="22"/>
        </w:rPr>
        <w:t>Monitorin</w:t>
      </w:r>
      <w:r>
        <w:rPr>
          <w:rFonts w:cstheme="minorHAnsi"/>
          <w:szCs w:val="22"/>
        </w:rPr>
        <w:t>g undertaken in this system has</w:t>
      </w:r>
      <w:r w:rsidRPr="00F10534">
        <w:rPr>
          <w:rFonts w:cstheme="minorHAnsi"/>
          <w:szCs w:val="22"/>
        </w:rPr>
        <w:t xml:space="preserve"> shown that </w:t>
      </w:r>
      <w:r>
        <w:rPr>
          <w:rFonts w:cstheme="minorHAnsi"/>
          <w:szCs w:val="22"/>
        </w:rPr>
        <w:t xml:space="preserve">late winter/early spring unregulated flow pulses that occurred in July/August 2012 (max discharge 1913 </w:t>
      </w:r>
      <w:r w:rsidR="007478C0">
        <w:t>ML.d</w:t>
      </w:r>
      <w:r w:rsidR="007478C0" w:rsidRPr="007478C0">
        <w:rPr>
          <w:vertAlign w:val="superscript"/>
        </w:rPr>
        <w:t>-1</w:t>
      </w:r>
      <w:r w:rsidR="007478C0" w:rsidRPr="004F2656">
        <w:t xml:space="preserve"> </w:t>
      </w:r>
      <w:r>
        <w:rPr>
          <w:rFonts w:cstheme="minorHAnsi"/>
          <w:szCs w:val="22"/>
        </w:rPr>
        <w:t xml:space="preserve">in Yallakool Creek), August/September 2012 (max discharge 1360 </w:t>
      </w:r>
      <w:r w:rsidR="007478C0">
        <w:t>ML.d</w:t>
      </w:r>
      <w:r w:rsidR="007478C0" w:rsidRPr="007478C0">
        <w:rPr>
          <w:vertAlign w:val="superscript"/>
        </w:rPr>
        <w:t>-1</w:t>
      </w:r>
      <w:r w:rsidR="007478C0" w:rsidRPr="004F2656">
        <w:t xml:space="preserve"> </w:t>
      </w:r>
      <w:r>
        <w:rPr>
          <w:rFonts w:cstheme="minorHAnsi"/>
          <w:szCs w:val="22"/>
        </w:rPr>
        <w:t>Yallakool Creek) and August/September 2013</w:t>
      </w:r>
      <w:r w:rsidRPr="00F10534">
        <w:rPr>
          <w:rFonts w:cstheme="minorHAnsi"/>
          <w:szCs w:val="22"/>
        </w:rPr>
        <w:t xml:space="preserve"> </w:t>
      </w:r>
      <w:r>
        <w:rPr>
          <w:rFonts w:cstheme="minorHAnsi"/>
          <w:szCs w:val="22"/>
        </w:rPr>
        <w:t xml:space="preserve">(max discharge 1224 </w:t>
      </w:r>
      <w:r w:rsidR="007478C0">
        <w:t>ML.d</w:t>
      </w:r>
      <w:r w:rsidR="007478C0" w:rsidRPr="007478C0">
        <w:rPr>
          <w:vertAlign w:val="superscript"/>
        </w:rPr>
        <w:t>-1</w:t>
      </w:r>
      <w:r w:rsidR="007478C0" w:rsidRPr="004F2656">
        <w:t xml:space="preserve"> </w:t>
      </w:r>
      <w:r>
        <w:rPr>
          <w:rFonts w:cstheme="minorHAnsi"/>
          <w:szCs w:val="22"/>
        </w:rPr>
        <w:t xml:space="preserve">Yallakool Creek) </w:t>
      </w:r>
      <w:r w:rsidRPr="00F10534">
        <w:rPr>
          <w:rFonts w:cstheme="minorHAnsi"/>
          <w:szCs w:val="22"/>
        </w:rPr>
        <w:t xml:space="preserve">enabled fish to disperse from the refuge pool into new habitats (Watts et al. 2013, 2014). </w:t>
      </w:r>
      <w:r>
        <w:t>These</w:t>
      </w:r>
      <w:r w:rsidRPr="00F10534">
        <w:t xml:space="preserve"> </w:t>
      </w:r>
      <w:r>
        <w:t xml:space="preserve">short-duration (weeks) events in late winter and </w:t>
      </w:r>
      <w:r w:rsidRPr="00F10534">
        <w:t xml:space="preserve">early spring </w:t>
      </w:r>
      <w:r>
        <w:t>also brought</w:t>
      </w:r>
      <w:r w:rsidRPr="00F10534">
        <w:t xml:space="preserve"> carbon </w:t>
      </w:r>
      <w:r>
        <w:t>into</w:t>
      </w:r>
      <w:r w:rsidRPr="00F10534">
        <w:t xml:space="preserve"> the system from </w:t>
      </w:r>
      <w:r>
        <w:t xml:space="preserve">flooded </w:t>
      </w:r>
      <w:r w:rsidRPr="00F10534">
        <w:t xml:space="preserve">upstream </w:t>
      </w:r>
      <w:r>
        <w:t xml:space="preserve">forests </w:t>
      </w:r>
      <w:r w:rsidRPr="00F10534">
        <w:t>without causing adverse effects on dissolved oxygen</w:t>
      </w:r>
      <w:r>
        <w:t xml:space="preserve"> and water quality</w:t>
      </w:r>
      <w:r w:rsidRPr="00F10534">
        <w:t xml:space="preserve"> (Watts et al. 2013, 2014</w:t>
      </w:r>
      <w:r>
        <w:t>, section 4 this report</w:t>
      </w:r>
      <w:r w:rsidRPr="00F10534">
        <w:t>).</w:t>
      </w:r>
      <w:r w:rsidRPr="00F10534">
        <w:rPr>
          <w:rFonts w:cstheme="minorHAnsi"/>
          <w:szCs w:val="22"/>
        </w:rPr>
        <w:t xml:space="preserve"> </w:t>
      </w:r>
      <w:r>
        <w:t xml:space="preserve">Monitoring and evaluation of environmental watering in the Edward-Wakool system from 2011 to 2016 has also shown that environmental watering actions that are constrained to a maximum of 600 </w:t>
      </w:r>
      <w:r w:rsidR="007478C0">
        <w:t>ML.d</w:t>
      </w:r>
      <w:r w:rsidR="007478C0" w:rsidRPr="007478C0">
        <w:rPr>
          <w:vertAlign w:val="superscript"/>
        </w:rPr>
        <w:t>-1</w:t>
      </w:r>
      <w:r w:rsidR="007478C0" w:rsidRPr="004F2656">
        <w:t xml:space="preserve"> </w:t>
      </w:r>
      <w:r>
        <w:t>in the Wakool-Yallakool Creek system have not increased river productivity and have</w:t>
      </w:r>
      <w:r w:rsidRPr="0058366C">
        <w:t xml:space="preserve"> not trigger</w:t>
      </w:r>
      <w:r>
        <w:t>ed</w:t>
      </w:r>
      <w:r w:rsidRPr="0058366C">
        <w:t xml:space="preserve"> spawning of golden perch or silver perch (Watts et al. 2013, 2014</w:t>
      </w:r>
      <w:r>
        <w:t>, 2015, this report section 7</w:t>
      </w:r>
      <w:r w:rsidRPr="0058366C">
        <w:t>).</w:t>
      </w:r>
    </w:p>
    <w:p w14:paraId="3B4F8C0D" w14:textId="77777777" w:rsidR="004C4AE3" w:rsidRDefault="004C4AE3" w:rsidP="004C4AE3">
      <w:pPr>
        <w:spacing w:after="240" w:line="320" w:lineRule="exact"/>
        <w:jc w:val="left"/>
      </w:pPr>
      <w:r>
        <w:rPr>
          <w:rFonts w:cstheme="minorHAnsi"/>
          <w:szCs w:val="22"/>
        </w:rPr>
        <w:t>If a trial larger magnitude Commonwealth e</w:t>
      </w:r>
      <w:r w:rsidRPr="00F10534">
        <w:rPr>
          <w:rFonts w:cstheme="minorHAnsi"/>
          <w:szCs w:val="22"/>
        </w:rPr>
        <w:t>nvironmental water</w:t>
      </w:r>
      <w:r>
        <w:rPr>
          <w:rFonts w:cstheme="minorHAnsi"/>
          <w:szCs w:val="22"/>
        </w:rPr>
        <w:t>ing action</w:t>
      </w:r>
      <w:r w:rsidRPr="00F10534">
        <w:rPr>
          <w:rFonts w:cstheme="minorHAnsi"/>
          <w:szCs w:val="22"/>
        </w:rPr>
        <w:t xml:space="preserve"> </w:t>
      </w:r>
      <w:r>
        <w:rPr>
          <w:rFonts w:cstheme="minorHAnsi"/>
          <w:szCs w:val="22"/>
        </w:rPr>
        <w:t>was undertaken in late winter or spring, we would predict</w:t>
      </w:r>
      <w:r w:rsidRPr="00F10534">
        <w:rPr>
          <w:rFonts w:cstheme="minorHAnsi"/>
          <w:szCs w:val="22"/>
        </w:rPr>
        <w:t xml:space="preserve"> </w:t>
      </w:r>
      <w:r>
        <w:rPr>
          <w:rFonts w:cstheme="minorHAnsi"/>
          <w:szCs w:val="22"/>
        </w:rPr>
        <w:t xml:space="preserve">it would bring pulses of carbon into the system and </w:t>
      </w:r>
      <w:r w:rsidRPr="00F10534">
        <w:rPr>
          <w:rFonts w:cstheme="minorHAnsi"/>
          <w:szCs w:val="22"/>
        </w:rPr>
        <w:t xml:space="preserve">enhance </w:t>
      </w:r>
      <w:r>
        <w:rPr>
          <w:rFonts w:cstheme="minorHAnsi"/>
          <w:szCs w:val="22"/>
        </w:rPr>
        <w:t xml:space="preserve">opportunities for dispersal, growth and reproduction of fish. </w:t>
      </w:r>
      <w:r>
        <w:t xml:space="preserve">A short-duration flow trial in Wakool-Yallakool system at a higher discharge than the current operational constraint of 600 </w:t>
      </w:r>
      <w:r w:rsidR="007478C0">
        <w:t>ML.d</w:t>
      </w:r>
      <w:r w:rsidR="007478C0" w:rsidRPr="007478C0">
        <w:rPr>
          <w:vertAlign w:val="superscript"/>
        </w:rPr>
        <w:t>-1</w:t>
      </w:r>
      <w:r w:rsidR="007478C0" w:rsidRPr="004F2656">
        <w:t xml:space="preserve"> </w:t>
      </w:r>
      <w:r>
        <w:t>would also facilitate learning and improve future delivery of environmental water to this system. A trial in late winter or spring would minimise disruption to landholders farming activities. A flow trial would also facilitate on-ground validation of hydraulic modelling (see Watts et al</w:t>
      </w:r>
      <w:r w:rsidR="004762DE">
        <w:t>.</w:t>
      </w:r>
      <w:r>
        <w:t xml:space="preserve"> 2015) and facilitate discussion with landholders about third party impacts. Such a trial, involving the use of Commonwealth environmental water, would need the agreement of all potentially impacted landholders.</w:t>
      </w:r>
    </w:p>
    <w:p w14:paraId="3B4F8C0E" w14:textId="57AFA2FE" w:rsidR="004C4AE3" w:rsidRPr="00AB52BD" w:rsidRDefault="004C4AE3" w:rsidP="004C4AE3">
      <w:pPr>
        <w:pBdr>
          <w:top w:val="single" w:sz="4" w:space="1" w:color="auto"/>
          <w:left w:val="single" w:sz="4" w:space="4" w:color="auto"/>
          <w:bottom w:val="single" w:sz="4" w:space="1" w:color="auto"/>
          <w:right w:val="single" w:sz="4" w:space="4" w:color="auto"/>
        </w:pBdr>
        <w:spacing w:after="240" w:line="320" w:lineRule="exact"/>
        <w:jc w:val="left"/>
        <w:rPr>
          <w:szCs w:val="22"/>
        </w:rPr>
      </w:pPr>
      <w:r w:rsidRPr="00AB52BD">
        <w:rPr>
          <w:b/>
          <w:szCs w:val="22"/>
        </w:rPr>
        <w:t>Adaptive management:</w:t>
      </w:r>
      <w:r w:rsidRPr="00AB52BD">
        <w:rPr>
          <w:szCs w:val="22"/>
        </w:rPr>
        <w:t xml:space="preserve"> This recommendation is similar to recommendation number 7 made in the 2014-15 LTIM evaluation report (Watts et al</w:t>
      </w:r>
      <w:r w:rsidR="004762DE" w:rsidRPr="00AB52BD">
        <w:rPr>
          <w:szCs w:val="22"/>
        </w:rPr>
        <w:t>.</w:t>
      </w:r>
      <w:r w:rsidRPr="00AB52BD">
        <w:rPr>
          <w:szCs w:val="22"/>
        </w:rPr>
        <w:t xml:space="preserve"> 2015) but it has not yet been implemented. </w:t>
      </w:r>
      <w:r w:rsidR="00ED7B9B" w:rsidRPr="00AB52BD">
        <w:rPr>
          <w:szCs w:val="22"/>
        </w:rPr>
        <w:t>L</w:t>
      </w:r>
      <w:r w:rsidR="00D03E59" w:rsidRPr="00AB52BD">
        <w:rPr>
          <w:szCs w:val="22"/>
        </w:rPr>
        <w:t>andholders</w:t>
      </w:r>
      <w:r w:rsidRPr="00AB52BD">
        <w:rPr>
          <w:szCs w:val="22"/>
        </w:rPr>
        <w:t xml:space="preserve"> and NSW OEH </w:t>
      </w:r>
      <w:r w:rsidR="00ED7B9B" w:rsidRPr="00AB52BD">
        <w:rPr>
          <w:szCs w:val="22"/>
        </w:rPr>
        <w:t>are continuing  to</w:t>
      </w:r>
      <w:r w:rsidRPr="00AB52BD">
        <w:rPr>
          <w:szCs w:val="22"/>
        </w:rPr>
        <w:t xml:space="preserve"> progress </w:t>
      </w:r>
      <w:r w:rsidR="00ED7B9B" w:rsidRPr="00AB52BD">
        <w:rPr>
          <w:szCs w:val="22"/>
        </w:rPr>
        <w:t xml:space="preserve">a proposal to trial flows in the Edward-Wakool system above current operational constraints </w:t>
      </w:r>
      <w:r w:rsidRPr="00AB52BD">
        <w:rPr>
          <w:szCs w:val="22"/>
        </w:rPr>
        <w:t xml:space="preserve">through the facilitation of discussions with various stakeholder groups  regarding the implementation of this recommendation in the </w:t>
      </w:r>
      <w:r w:rsidR="0065206E" w:rsidRPr="00AB52BD">
        <w:rPr>
          <w:szCs w:val="22"/>
        </w:rPr>
        <w:t>future.</w:t>
      </w:r>
    </w:p>
    <w:p w14:paraId="3B4F8C0F" w14:textId="77777777" w:rsidR="004C4AE3" w:rsidRDefault="004C4AE3" w:rsidP="004C4AE3">
      <w:pPr>
        <w:spacing w:after="240" w:line="320" w:lineRule="exact"/>
        <w:jc w:val="left"/>
        <w:rPr>
          <w:rFonts w:cstheme="minorHAnsi"/>
          <w:szCs w:val="22"/>
        </w:rPr>
      </w:pPr>
    </w:p>
    <w:p w14:paraId="3B4F8C10" w14:textId="7411C574" w:rsidR="004C4AE3" w:rsidRPr="008A5FEB" w:rsidRDefault="004C4AE3" w:rsidP="000732AD">
      <w:pPr>
        <w:pBdr>
          <w:top w:val="single" w:sz="4" w:space="1" w:color="auto"/>
          <w:left w:val="single" w:sz="4" w:space="4" w:color="auto"/>
          <w:bottom w:val="single" w:sz="4" w:space="1" w:color="auto"/>
          <w:right w:val="single" w:sz="4" w:space="4" w:color="auto"/>
        </w:pBdr>
        <w:shd w:val="clear" w:color="auto" w:fill="EAF1DD" w:themeFill="accent3" w:themeFillTint="33"/>
        <w:spacing w:after="240" w:line="320" w:lineRule="exact"/>
        <w:contextualSpacing/>
        <w:jc w:val="left"/>
        <w:rPr>
          <w:b/>
        </w:rPr>
      </w:pPr>
      <w:r>
        <w:rPr>
          <w:b/>
        </w:rPr>
        <w:t>Recommendation 4</w:t>
      </w:r>
      <w:r w:rsidRPr="008A5FEB">
        <w:rPr>
          <w:b/>
        </w:rPr>
        <w:t xml:space="preserve">: </w:t>
      </w:r>
      <w:r>
        <w:rPr>
          <w:b/>
        </w:rPr>
        <w:t>Trial</w:t>
      </w:r>
      <w:r w:rsidRPr="008A5FEB">
        <w:rPr>
          <w:b/>
        </w:rPr>
        <w:t xml:space="preserve"> </w:t>
      </w:r>
      <w:r>
        <w:rPr>
          <w:b/>
        </w:rPr>
        <w:t xml:space="preserve">the delivery of an </w:t>
      </w:r>
      <w:r w:rsidRPr="008A5FEB">
        <w:rPr>
          <w:b/>
        </w:rPr>
        <w:t xml:space="preserve">environmental watering action in the Edward River </w:t>
      </w:r>
      <w:r w:rsidR="005A1D68">
        <w:rPr>
          <w:b/>
        </w:rPr>
        <w:t xml:space="preserve">downstream of Stevens Weir </w:t>
      </w:r>
      <w:r w:rsidRPr="008A5FEB">
        <w:rPr>
          <w:b/>
        </w:rPr>
        <w:t>to target golden perch and silver perch spawning</w:t>
      </w:r>
      <w:r>
        <w:rPr>
          <w:b/>
        </w:rPr>
        <w:t>.</w:t>
      </w:r>
    </w:p>
    <w:p w14:paraId="3B4F8C11" w14:textId="72A786F8" w:rsidR="004C4AE3" w:rsidRDefault="004C4AE3" w:rsidP="004C4AE3">
      <w:pPr>
        <w:pStyle w:val="NoSpacing"/>
        <w:spacing w:after="240" w:line="320" w:lineRule="exact"/>
        <w:jc w:val="left"/>
        <w:rPr>
          <w:szCs w:val="24"/>
        </w:rPr>
      </w:pPr>
      <w:r>
        <w:t xml:space="preserve">Golden perch and silver perch are long-lived, large-bodied fish species whose spawning, or magnitude of spawning, is thought to be associated with flow pulses. Flow-response studies suggest the importance of flow pulses for golden and silver perch spawning and </w:t>
      </w:r>
      <w:r w:rsidRPr="00434E9E">
        <w:t xml:space="preserve">recruitment (Mallen-Cooper and Stuart </w:t>
      </w:r>
      <w:r>
        <w:t>2003;</w:t>
      </w:r>
      <w:r w:rsidRPr="00434E9E">
        <w:t xml:space="preserve"> Roberts et al. </w:t>
      </w:r>
      <w:r>
        <w:t>2008;</w:t>
      </w:r>
      <w:r w:rsidRPr="00434E9E">
        <w:t xml:space="preserve"> Zampatti </w:t>
      </w:r>
      <w:r>
        <w:t>and Leigh 2013).</w:t>
      </w:r>
      <w:r w:rsidRPr="00434E9E">
        <w:t xml:space="preserve"> </w:t>
      </w:r>
      <w:r>
        <w:t>There has been no</w:t>
      </w:r>
      <w:r>
        <w:rPr>
          <w:szCs w:val="24"/>
        </w:rPr>
        <w:t xml:space="preserve"> </w:t>
      </w:r>
      <w:r w:rsidR="00A103ED">
        <w:rPr>
          <w:szCs w:val="24"/>
        </w:rPr>
        <w:t xml:space="preserve">environmental water used in the Edward Wakool </w:t>
      </w:r>
      <w:r w:rsidR="00A103ED">
        <w:t>targeting golden perch and silver perch spawning</w:t>
      </w:r>
      <w:r w:rsidR="00A103ED">
        <w:rPr>
          <w:szCs w:val="24"/>
        </w:rPr>
        <w:t xml:space="preserve"> </w:t>
      </w:r>
      <w:r w:rsidR="000E3759">
        <w:rPr>
          <w:szCs w:val="24"/>
        </w:rPr>
        <w:t>during the current LTIM proje</w:t>
      </w:r>
      <w:r w:rsidR="00A103ED">
        <w:rPr>
          <w:szCs w:val="24"/>
        </w:rPr>
        <w:t xml:space="preserve">ct, and nor is there any </w:t>
      </w:r>
      <w:r>
        <w:rPr>
          <w:szCs w:val="24"/>
        </w:rPr>
        <w:t>evidence to date that spawning in these species has occurred within the smaller tributaries of the Edward-Wakool system</w:t>
      </w:r>
      <w:r w:rsidR="00A103ED">
        <w:rPr>
          <w:szCs w:val="24"/>
        </w:rPr>
        <w:t>. H</w:t>
      </w:r>
      <w:r>
        <w:rPr>
          <w:szCs w:val="24"/>
        </w:rPr>
        <w:t>owever monitoring has shown that the Edward-Wakool system does support juveniles and adults of both species (Watts et al. 2014, 2015, this report section 7). Recent evidence suggests that golden perch (and likely silver perch) life-history operates over large spatial scales across the southern connected Murray-Darling Basin (Zampatti et al. 2014). The inter-connectedness of Edward-Wakool golden perch and silver perch populations will be addressed under the fish movement component of the Edward-Wakool LTIM project and through other concurrent collaborations. However, more information on if, and where, these species spawn within the Edward-Wakool system is required.</w:t>
      </w:r>
    </w:p>
    <w:p w14:paraId="3B4F8C12" w14:textId="77777777" w:rsidR="004C4AE3" w:rsidRDefault="004C4AE3" w:rsidP="004C4AE3">
      <w:pPr>
        <w:pStyle w:val="NoSpacing"/>
        <w:spacing w:after="240" w:line="320" w:lineRule="exact"/>
        <w:jc w:val="left"/>
      </w:pPr>
      <w:r>
        <w:t xml:space="preserve">Environmental watering actions in the Wakool-Yallakool system are currently constrained to a maximum of 600 </w:t>
      </w:r>
      <w:r w:rsidR="007478C0">
        <w:t>ML.d</w:t>
      </w:r>
      <w:r w:rsidR="007478C0" w:rsidRPr="007478C0">
        <w:rPr>
          <w:vertAlign w:val="superscript"/>
        </w:rPr>
        <w:t>-1</w:t>
      </w:r>
      <w:r w:rsidR="007478C0" w:rsidRPr="004F2656">
        <w:t xml:space="preserve"> </w:t>
      </w:r>
      <w:r>
        <w:t>and actions of this magnitude (whilst not targeting golden perch and silver perch spawning) have</w:t>
      </w:r>
      <w:r w:rsidRPr="0058366C">
        <w:t xml:space="preserve"> not trigger</w:t>
      </w:r>
      <w:r>
        <w:t>ed</w:t>
      </w:r>
      <w:r w:rsidRPr="0058366C">
        <w:t xml:space="preserve"> spawning </w:t>
      </w:r>
      <w:r>
        <w:t>in these species in this part of the system. The Edward River main-stem is a larger river and is similar to other larger river systems (e.g. Goulburn River) where golden perch have been observed to spawn in recent years (Koster et al. 2014). The Edward River can also receive higher flows than the Wakool-Yallakool system as it does not have the same operational constraints as the tributaries. We propose a trial environmental watering action and monitoring program be implemented in the Edward River downstream of Stevens Weir targeting perch recruitment. Stevens Weir could be operated to facilitate the delivery of a managed rise and fall in hydrograph, using results from other river systems or and available hydrological modelling for the Edward River to guide the development of a hydrograph during an environmental flow planning workshop.</w:t>
      </w:r>
    </w:p>
    <w:p w14:paraId="3B4F8C13" w14:textId="77777777" w:rsidR="004C4AE3" w:rsidRDefault="004C4AE3" w:rsidP="004C4AE3">
      <w:pPr>
        <w:spacing w:after="240" w:line="320" w:lineRule="exact"/>
        <w:jc w:val="left"/>
      </w:pPr>
      <w:r>
        <w:rPr>
          <w:rFonts w:cstheme="minorHAnsi"/>
          <w:szCs w:val="22"/>
        </w:rPr>
        <w:t>This recommendation is similar to recommendation number 8 of Watts et al</w:t>
      </w:r>
      <w:r w:rsidR="004762DE">
        <w:rPr>
          <w:rFonts w:cstheme="minorHAnsi"/>
          <w:szCs w:val="22"/>
        </w:rPr>
        <w:t>.</w:t>
      </w:r>
      <w:r>
        <w:rPr>
          <w:rFonts w:cstheme="minorHAnsi"/>
          <w:szCs w:val="22"/>
        </w:rPr>
        <w:t xml:space="preserve"> (2015) </w:t>
      </w:r>
      <w:r>
        <w:t>but has not yet been implemented. The current LTIM Monitoring and Evaluation Plan for the Edward-Wakool system does not include monitoring of fish reproduction in the Edward River, so if this trial were to be implemented additional monitoring is recommended in the Edward River to evaluate the effectiveness of this watering action.</w:t>
      </w:r>
    </w:p>
    <w:p w14:paraId="15494AF5" w14:textId="39561CB4" w:rsidR="00A103ED" w:rsidRPr="00AB52BD" w:rsidRDefault="00A103ED" w:rsidP="00A103ED">
      <w:pPr>
        <w:pBdr>
          <w:top w:val="single" w:sz="4" w:space="1" w:color="auto"/>
          <w:left w:val="single" w:sz="4" w:space="4" w:color="auto"/>
          <w:bottom w:val="single" w:sz="4" w:space="1" w:color="auto"/>
          <w:right w:val="single" w:sz="4" w:space="4" w:color="auto"/>
        </w:pBdr>
        <w:spacing w:after="0"/>
        <w:jc w:val="left"/>
        <w:rPr>
          <w:szCs w:val="22"/>
        </w:rPr>
      </w:pPr>
      <w:r w:rsidRPr="00AB52BD">
        <w:rPr>
          <w:b/>
          <w:szCs w:val="22"/>
        </w:rPr>
        <w:lastRenderedPageBreak/>
        <w:t xml:space="preserve">Adaptive management: </w:t>
      </w:r>
      <w:r w:rsidRPr="00AB52BD">
        <w:rPr>
          <w:szCs w:val="22"/>
        </w:rPr>
        <w:t xml:space="preserve">The </w:t>
      </w:r>
      <w:r w:rsidR="00957F50" w:rsidRPr="00AB52BD">
        <w:rPr>
          <w:szCs w:val="22"/>
        </w:rPr>
        <w:t>CEWO has proposed the provision of a perch spawning pulse during 2016</w:t>
      </w:r>
      <w:r w:rsidRPr="00AB52BD">
        <w:rPr>
          <w:szCs w:val="22"/>
        </w:rPr>
        <w:t>-1</w:t>
      </w:r>
      <w:r w:rsidR="00957F50" w:rsidRPr="00AB52BD">
        <w:rPr>
          <w:szCs w:val="22"/>
        </w:rPr>
        <w:t>7 targetting the refuge pool at the confluence of the Wakool River and Yallakool Creek</w:t>
      </w:r>
      <w:r w:rsidR="00635215" w:rsidRPr="00AB52BD">
        <w:rPr>
          <w:szCs w:val="22"/>
        </w:rPr>
        <w:t>, however this will be limited by the 600 MLd</w:t>
      </w:r>
      <w:r w:rsidR="00635215" w:rsidRPr="00AB52BD">
        <w:rPr>
          <w:szCs w:val="22"/>
          <w:vertAlign w:val="superscript"/>
        </w:rPr>
        <w:t>-1</w:t>
      </w:r>
      <w:r w:rsidR="00635215" w:rsidRPr="00AB52BD">
        <w:rPr>
          <w:szCs w:val="22"/>
        </w:rPr>
        <w:t xml:space="preserve"> operational constraint.</w:t>
      </w:r>
    </w:p>
    <w:p w14:paraId="37CD42F8" w14:textId="77777777" w:rsidR="00A103ED" w:rsidRDefault="00A103ED" w:rsidP="00A103ED">
      <w:pPr>
        <w:spacing w:after="120" w:line="240" w:lineRule="auto"/>
        <w:rPr>
          <w:szCs w:val="22"/>
        </w:rPr>
      </w:pPr>
      <w:r>
        <w:rPr>
          <w:b/>
        </w:rPr>
        <w:br w:type="page"/>
      </w:r>
    </w:p>
    <w:p w14:paraId="3B4F8C15" w14:textId="77777777" w:rsidR="004C4AE3" w:rsidRPr="002F6DA1" w:rsidRDefault="004C4AE3" w:rsidP="000732AD">
      <w:pPr>
        <w:pBdr>
          <w:top w:val="single" w:sz="4" w:space="1" w:color="auto"/>
          <w:left w:val="single" w:sz="4" w:space="4" w:color="auto"/>
          <w:bottom w:val="single" w:sz="4" w:space="1" w:color="auto"/>
          <w:right w:val="single" w:sz="4" w:space="4" w:color="auto"/>
        </w:pBdr>
        <w:shd w:val="clear" w:color="auto" w:fill="EAF1DD" w:themeFill="accent3" w:themeFillTint="33"/>
        <w:spacing w:after="120"/>
        <w:contextualSpacing/>
        <w:jc w:val="left"/>
      </w:pPr>
      <w:r w:rsidRPr="00B0403A">
        <w:rPr>
          <w:rFonts w:cstheme="minorHAnsi"/>
          <w:b/>
          <w:szCs w:val="22"/>
        </w:rPr>
        <w:lastRenderedPageBreak/>
        <w:t>Recom</w:t>
      </w:r>
      <w:r>
        <w:rPr>
          <w:rFonts w:cstheme="minorHAnsi"/>
          <w:b/>
          <w:szCs w:val="22"/>
        </w:rPr>
        <w:t>mendation 5:</w:t>
      </w:r>
      <w:r w:rsidRPr="00B0403A">
        <w:rPr>
          <w:rFonts w:cstheme="minorHAnsi"/>
          <w:b/>
          <w:szCs w:val="22"/>
        </w:rPr>
        <w:t xml:space="preserve"> </w:t>
      </w:r>
      <w:r>
        <w:rPr>
          <w:rFonts w:cstheme="minorHAnsi"/>
          <w:b/>
          <w:szCs w:val="22"/>
        </w:rPr>
        <w:t>A</w:t>
      </w:r>
      <w:r w:rsidRPr="00B0403A">
        <w:rPr>
          <w:rFonts w:cstheme="minorHAnsi"/>
          <w:b/>
          <w:szCs w:val="22"/>
        </w:rPr>
        <w:t xml:space="preserve">void long periods </w:t>
      </w:r>
      <w:r>
        <w:rPr>
          <w:rFonts w:cstheme="minorHAnsi"/>
          <w:b/>
          <w:szCs w:val="22"/>
        </w:rPr>
        <w:t xml:space="preserve">of constant flows by </w:t>
      </w:r>
      <w:r>
        <w:rPr>
          <w:b/>
        </w:rPr>
        <w:t>introducing</w:t>
      </w:r>
      <w:r w:rsidRPr="00B02767">
        <w:rPr>
          <w:b/>
        </w:rPr>
        <w:t xml:space="preserve"> flow variability into environmental watering actions</w:t>
      </w:r>
      <w:r>
        <w:t>.</w:t>
      </w:r>
    </w:p>
    <w:p w14:paraId="3B4F8C16" w14:textId="77777777" w:rsidR="004C4AE3" w:rsidRDefault="004C4AE3" w:rsidP="004C4AE3">
      <w:pPr>
        <w:spacing w:after="240" w:line="320" w:lineRule="exact"/>
        <w:jc w:val="left"/>
      </w:pPr>
    </w:p>
    <w:p w14:paraId="3B4F8C17" w14:textId="77777777" w:rsidR="004C4AE3" w:rsidRPr="00D95747" w:rsidRDefault="004C4AE3" w:rsidP="004C4AE3">
      <w:pPr>
        <w:spacing w:after="240" w:line="320" w:lineRule="exact"/>
        <w:jc w:val="left"/>
      </w:pPr>
      <w:r>
        <w:t>R</w:t>
      </w:r>
      <w:r w:rsidRPr="00B02767">
        <w:t>iver</w:t>
      </w:r>
      <w:r>
        <w:t>s</w:t>
      </w:r>
      <w:r w:rsidRPr="00B02767">
        <w:t xml:space="preserve"> </w:t>
      </w:r>
      <w:r>
        <w:t>in the Murray-Darling Basin have high variability in natural flows. L</w:t>
      </w:r>
      <w:r w:rsidRPr="00B02767">
        <w:t>ong per</w:t>
      </w:r>
      <w:r>
        <w:t>iods of constant flow have been shown to have detrimental effects on river productivity, river geomorphology and diversity. O</w:t>
      </w:r>
      <w:r w:rsidRPr="00B02767">
        <w:t>ne of the key recommendations of Thoms et al</w:t>
      </w:r>
      <w:r>
        <w:t>.</w:t>
      </w:r>
      <w:r w:rsidRPr="00B02767">
        <w:t xml:space="preserve"> (2000) </w:t>
      </w:r>
      <w:r>
        <w:t xml:space="preserve">report of the River Murray Scientific Panel on Environmental Flows was </w:t>
      </w:r>
      <w:r w:rsidRPr="00B02767">
        <w:t xml:space="preserve">that </w:t>
      </w:r>
      <w:r w:rsidRPr="00B02767">
        <w:rPr>
          <w:i/>
        </w:rPr>
        <w:t>“releases at consta</w:t>
      </w:r>
      <w:r>
        <w:rPr>
          <w:i/>
        </w:rPr>
        <w:t>nt discharge should be avoided</w:t>
      </w:r>
      <w:r w:rsidRPr="00B02767">
        <w:rPr>
          <w:i/>
        </w:rPr>
        <w:t>”.</w:t>
      </w:r>
      <w:r>
        <w:rPr>
          <w:i/>
        </w:rPr>
        <w:t xml:space="preserve"> </w:t>
      </w:r>
    </w:p>
    <w:p w14:paraId="3B4F8C18" w14:textId="77777777" w:rsidR="004C4AE3" w:rsidRDefault="004C4AE3" w:rsidP="004C4AE3">
      <w:pPr>
        <w:spacing w:after="240" w:line="320" w:lineRule="exact"/>
        <w:jc w:val="left"/>
      </w:pPr>
      <w:r>
        <w:t>One strategy to decrease the period of ‘constant’ discharge during environmental watering actions is to incorporate some of the</w:t>
      </w:r>
      <w:r w:rsidRPr="00B02767">
        <w:t xml:space="preserve"> natural levels of variability </w:t>
      </w:r>
      <w:r>
        <w:t>by setting bounds for the river operators to work within</w:t>
      </w:r>
      <w:r w:rsidRPr="00CF5D81">
        <w:t xml:space="preserve">. </w:t>
      </w:r>
      <w:r>
        <w:t xml:space="preserve">This recommendation is consistent with one of </w:t>
      </w:r>
      <w:r w:rsidRPr="00472521">
        <w:t>the key recommendations of Thoms et al</w:t>
      </w:r>
      <w:r>
        <w:t>. (2000).</w:t>
      </w:r>
    </w:p>
    <w:p w14:paraId="3B4F8C19" w14:textId="77777777" w:rsidR="004C4AE3" w:rsidRDefault="004C4AE3" w:rsidP="004C4AE3">
      <w:pPr>
        <w:spacing w:after="240" w:line="320" w:lineRule="exact"/>
        <w:jc w:val="left"/>
      </w:pPr>
      <w:r>
        <w:t>The implementation of this recommendation would be improved through the availability of hydrological models as discussed in recommendation 1, as the a</w:t>
      </w:r>
      <w:r w:rsidRPr="00CF5D81">
        <w:t>nalysis of historical flow events and modelled natural flow would provide a basis for establishing the extent of variability to be incorporated into environmental flow actions</w:t>
      </w:r>
      <w:r>
        <w:t xml:space="preserve">. The setting of bounds for river operators would be guided by an improved understanding of the </w:t>
      </w:r>
      <w:r w:rsidRPr="007D16D0">
        <w:t>natural rate</w:t>
      </w:r>
      <w:r>
        <w:t xml:space="preserve"> of recession and rise in flows and</w:t>
      </w:r>
      <w:r w:rsidRPr="007D16D0">
        <w:t xml:space="preserve"> short term and long term variability in changes to water height</w:t>
      </w:r>
      <w:r>
        <w:t>.</w:t>
      </w:r>
    </w:p>
    <w:p w14:paraId="3B4F8C1A" w14:textId="1C9D35E4" w:rsidR="004C4AE3" w:rsidRPr="00AB52BD" w:rsidRDefault="004C4AE3" w:rsidP="004C4AE3">
      <w:pPr>
        <w:pBdr>
          <w:top w:val="single" w:sz="4" w:space="1" w:color="auto"/>
          <w:left w:val="single" w:sz="4" w:space="4" w:color="auto"/>
          <w:bottom w:val="single" w:sz="4" w:space="1" w:color="auto"/>
          <w:right w:val="single" w:sz="4" w:space="4" w:color="auto"/>
        </w:pBdr>
        <w:spacing w:after="0"/>
        <w:jc w:val="left"/>
        <w:rPr>
          <w:szCs w:val="22"/>
        </w:rPr>
      </w:pPr>
      <w:r w:rsidRPr="00AB52BD">
        <w:rPr>
          <w:b/>
          <w:szCs w:val="22"/>
        </w:rPr>
        <w:t xml:space="preserve">Adaptive management: </w:t>
      </w:r>
      <w:r w:rsidR="007C7D5E" w:rsidRPr="00AB52BD">
        <w:rPr>
          <w:szCs w:val="22"/>
        </w:rPr>
        <w:t>This</w:t>
      </w:r>
      <w:r w:rsidRPr="00AB52BD">
        <w:rPr>
          <w:szCs w:val="22"/>
        </w:rPr>
        <w:t xml:space="preserve"> recommendation was applied in the 2015-16 use of Commonwealth environmental water in the Yallakool Creek, Wakool River and Colligen Creek-Niemur River watering actions. The River Operator (Water NSW) was provided with an ‘operating range’ during the period of the environmental watering action. These operating ranges would be better informed by a comprehensive flows assessment of the tributaries in this system.</w:t>
      </w:r>
      <w:r w:rsidR="00086885" w:rsidRPr="00AB52BD">
        <w:rPr>
          <w:szCs w:val="22"/>
        </w:rPr>
        <w:t xml:space="preserve"> Operating ranges, where applied</w:t>
      </w:r>
      <w:r w:rsidR="007C7D5E" w:rsidRPr="00AB52BD">
        <w:rPr>
          <w:szCs w:val="22"/>
        </w:rPr>
        <w:t xml:space="preserve">, </w:t>
      </w:r>
      <w:r w:rsidR="00086885" w:rsidRPr="00AB52BD">
        <w:rPr>
          <w:szCs w:val="22"/>
        </w:rPr>
        <w:t>need to compl</w:t>
      </w:r>
      <w:r w:rsidR="007C7D5E" w:rsidRPr="00AB52BD">
        <w:rPr>
          <w:szCs w:val="22"/>
        </w:rPr>
        <w:t>e</w:t>
      </w:r>
      <w:r w:rsidR="00086885" w:rsidRPr="00AB52BD">
        <w:rPr>
          <w:szCs w:val="22"/>
        </w:rPr>
        <w:t>ment flow requirements for the environmental outcome being targeted</w:t>
      </w:r>
      <w:r w:rsidR="007C7D5E" w:rsidRPr="00AB52BD">
        <w:rPr>
          <w:szCs w:val="22"/>
        </w:rPr>
        <w:t>.</w:t>
      </w:r>
    </w:p>
    <w:p w14:paraId="3B4F8C1B" w14:textId="77777777" w:rsidR="004C4AE3" w:rsidRDefault="004C4AE3" w:rsidP="004C4AE3">
      <w:pPr>
        <w:spacing w:after="120" w:line="240" w:lineRule="auto"/>
        <w:rPr>
          <w:szCs w:val="22"/>
        </w:rPr>
      </w:pPr>
      <w:r>
        <w:rPr>
          <w:b/>
        </w:rPr>
        <w:br w:type="page"/>
      </w:r>
    </w:p>
    <w:p w14:paraId="3B4F8C1C" w14:textId="77777777" w:rsidR="004C4AE3" w:rsidRPr="00093B6C" w:rsidRDefault="004C4AE3" w:rsidP="000732AD">
      <w:pPr>
        <w:pBdr>
          <w:top w:val="single" w:sz="4" w:space="1" w:color="auto"/>
          <w:left w:val="single" w:sz="4" w:space="4" w:color="auto"/>
          <w:bottom w:val="single" w:sz="4" w:space="0" w:color="auto"/>
          <w:right w:val="single" w:sz="4" w:space="4" w:color="auto"/>
        </w:pBdr>
        <w:shd w:val="clear" w:color="auto" w:fill="EAF1DD" w:themeFill="accent3" w:themeFillTint="33"/>
        <w:spacing w:after="240"/>
        <w:contextualSpacing/>
        <w:rPr>
          <w:b/>
        </w:rPr>
      </w:pPr>
      <w:r w:rsidRPr="00093B6C">
        <w:rPr>
          <w:b/>
        </w:rPr>
        <w:lastRenderedPageBreak/>
        <w:t>R</w:t>
      </w:r>
      <w:r w:rsidRPr="000732AD">
        <w:rPr>
          <w:b/>
          <w:shd w:val="clear" w:color="auto" w:fill="EAF1DD" w:themeFill="accent3" w:themeFillTint="33"/>
        </w:rPr>
        <w:t>ecommendation 6: Continue to explore opportunities to increase the magnitude of environmental water delivered to the upper Wakool River to achieve ecosystem outcomes and at the same time facilitate learning about the system.</w:t>
      </w:r>
    </w:p>
    <w:p w14:paraId="3B4F8C1D" w14:textId="77777777" w:rsidR="004C4AE3" w:rsidRPr="00AB52BD" w:rsidRDefault="004C4AE3" w:rsidP="004C4AE3">
      <w:pPr>
        <w:spacing w:after="120"/>
        <w:contextualSpacing/>
        <w:jc w:val="left"/>
        <w:rPr>
          <w:b/>
          <w:sz w:val="18"/>
          <w:szCs w:val="18"/>
          <w:highlight w:val="yellow"/>
        </w:rPr>
      </w:pPr>
    </w:p>
    <w:p w14:paraId="3B4F8C1F" w14:textId="5723A375" w:rsidR="004C4AE3" w:rsidRPr="00D37529" w:rsidRDefault="004C4AE3" w:rsidP="004C4AE3">
      <w:pPr>
        <w:spacing w:after="120"/>
        <w:jc w:val="left"/>
      </w:pPr>
      <w:r w:rsidRPr="003900D7">
        <w:t xml:space="preserve">Since 2011 </w:t>
      </w:r>
      <w:r>
        <w:t xml:space="preserve">the majority of </w:t>
      </w:r>
      <w:r w:rsidRPr="003900D7">
        <w:t>Commonwealth environmen</w:t>
      </w:r>
      <w:r>
        <w:t>tal water</w:t>
      </w:r>
      <w:r w:rsidR="000732AD">
        <w:t xml:space="preserve"> in </w:t>
      </w:r>
      <w:r w:rsidRPr="003900D7">
        <w:t xml:space="preserve">the Wakool-Yallakool system </w:t>
      </w:r>
      <w:r w:rsidR="000732AD">
        <w:t>has</w:t>
      </w:r>
      <w:r>
        <w:t xml:space="preserve"> been delivered </w:t>
      </w:r>
      <w:r w:rsidRPr="003900D7">
        <w:t xml:space="preserve">via Yallakool Creek, whereas over the same period the delivery of environmental water to the upper Wakool River has been very </w:t>
      </w:r>
      <w:r>
        <w:t>small</w:t>
      </w:r>
      <w:r w:rsidR="007C7D5E">
        <w:t xml:space="preserve"> due to the operational constraint at the confluence of Yallakool Creek and the Wakool River</w:t>
      </w:r>
      <w:r w:rsidRPr="003900D7">
        <w:t>.</w:t>
      </w:r>
      <w:r>
        <w:t xml:space="preserve"> The Commonwealth environmental water delivered to the upper Wakool system in 2015-16 (up to </w:t>
      </w:r>
      <w:r w:rsidR="007C7D5E">
        <w:t xml:space="preserve">total discharge of </w:t>
      </w:r>
      <w:r>
        <w:t>100 ML.d</w:t>
      </w:r>
      <w:r w:rsidRPr="00D37529">
        <w:rPr>
          <w:vertAlign w:val="superscript"/>
        </w:rPr>
        <w:t>-1</w:t>
      </w:r>
      <w:r>
        <w:t>) had minimal effect on the hydrological and ecological outcomes in that system.</w:t>
      </w:r>
      <w:r w:rsidR="00AB52BD">
        <w:t xml:space="preserve"> </w:t>
      </w:r>
      <w:r>
        <w:t>Hyd</w:t>
      </w:r>
      <w:r w:rsidR="000732AD">
        <w:t xml:space="preserve">raulic modelling </w:t>
      </w:r>
      <w:r w:rsidR="00F705D0">
        <w:t xml:space="preserve">has </w:t>
      </w:r>
      <w:r>
        <w:t xml:space="preserve">demonstrated that </w:t>
      </w:r>
      <w:r w:rsidR="000732AD">
        <w:t xml:space="preserve">the </w:t>
      </w:r>
      <w:r>
        <w:rPr>
          <w:rFonts w:asciiTheme="minorHAnsi" w:hAnsiTheme="minorHAnsi" w:cs="Calibri"/>
          <w:szCs w:val="22"/>
        </w:rPr>
        <w:t>relationship between discharge and wetted benthic area</w:t>
      </w:r>
      <w:r w:rsidR="000732AD">
        <w:rPr>
          <w:rFonts w:asciiTheme="minorHAnsi" w:hAnsiTheme="minorHAnsi" w:cs="Calibri"/>
          <w:szCs w:val="22"/>
        </w:rPr>
        <w:t xml:space="preserve"> is not linear</w:t>
      </w:r>
      <w:r w:rsidR="00F705D0">
        <w:rPr>
          <w:rFonts w:asciiTheme="minorHAnsi" w:hAnsiTheme="minorHAnsi" w:cs="Calibri"/>
          <w:szCs w:val="22"/>
        </w:rPr>
        <w:t xml:space="preserve"> in this system (</w:t>
      </w:r>
      <w:r w:rsidR="00F705D0">
        <w:t>Watts et al. 2015b)</w:t>
      </w:r>
      <w:r>
        <w:t xml:space="preserve">. </w:t>
      </w:r>
      <w:r w:rsidR="00F705D0">
        <w:t>T</w:t>
      </w:r>
      <w:r>
        <w:t xml:space="preserve">here is potential to considerably increase the wetted </w:t>
      </w:r>
      <w:r w:rsidRPr="00093B6C">
        <w:t xml:space="preserve">area in some reaches </w:t>
      </w:r>
      <w:r w:rsidR="007C7D5E">
        <w:t>of</w:t>
      </w:r>
      <w:r w:rsidRPr="00093B6C">
        <w:t xml:space="preserve"> the upper Wakool River if environmental water was delivered at a higher discharge than in 2015-16 but within the current operational constraint of 600 ML.d</w:t>
      </w:r>
      <w:r w:rsidRPr="00093B6C">
        <w:rPr>
          <w:vertAlign w:val="superscript"/>
        </w:rPr>
        <w:t>-1</w:t>
      </w:r>
      <w:r w:rsidRPr="00093B6C">
        <w:t>.</w:t>
      </w:r>
      <w:r>
        <w:t xml:space="preserve"> For example, the total wetted area for modelled reaches in the upper Wakool River increased by an average of 6.1% at discharge of 100 ML.d</w:t>
      </w:r>
      <w:r w:rsidRPr="00D37529">
        <w:rPr>
          <w:vertAlign w:val="superscript"/>
        </w:rPr>
        <w:t>-1</w:t>
      </w:r>
      <w:r w:rsidR="00F705D0">
        <w:t xml:space="preserve"> (when compared to discharge of 50 ML.d</w:t>
      </w:r>
      <w:r w:rsidR="00F705D0" w:rsidRPr="00C74FFF">
        <w:rPr>
          <w:vertAlign w:val="superscript"/>
        </w:rPr>
        <w:t>-1</w:t>
      </w:r>
      <w:r w:rsidR="00F705D0">
        <w:t xml:space="preserve">), </w:t>
      </w:r>
      <w:r>
        <w:t>whereas at 250 ML.d</w:t>
      </w:r>
      <w:r w:rsidRPr="00C10540">
        <w:rPr>
          <w:vertAlign w:val="superscript"/>
        </w:rPr>
        <w:t>-1</w:t>
      </w:r>
      <w:r>
        <w:rPr>
          <w:vertAlign w:val="superscript"/>
        </w:rPr>
        <w:t xml:space="preserve"> </w:t>
      </w:r>
      <w:r>
        <w:t>and 500 ML.d</w:t>
      </w:r>
      <w:r w:rsidRPr="00C74FFF">
        <w:rPr>
          <w:vertAlign w:val="superscript"/>
        </w:rPr>
        <w:t>-1</w:t>
      </w:r>
      <w:r>
        <w:t xml:space="preserve"> the average increase in wetted benthic area in the upper Wakool </w:t>
      </w:r>
      <w:r w:rsidR="00F705D0">
        <w:t xml:space="preserve">River </w:t>
      </w:r>
      <w:r>
        <w:t>increased by 20.2% and 45.5% respectively.</w:t>
      </w:r>
    </w:p>
    <w:p w14:paraId="3B4F8C20" w14:textId="1A10978A" w:rsidR="004C4AE3" w:rsidRPr="00937888" w:rsidRDefault="004C4AE3" w:rsidP="004C4AE3">
      <w:pPr>
        <w:spacing w:after="0"/>
        <w:contextualSpacing/>
        <w:jc w:val="left"/>
      </w:pPr>
      <w:r w:rsidRPr="00937888">
        <w:t>The current operati</w:t>
      </w:r>
      <w:r w:rsidR="00F705D0">
        <w:t xml:space="preserve">onal constraint in this system </w:t>
      </w:r>
      <w:r>
        <w:t>impedes</w:t>
      </w:r>
      <w:r w:rsidRPr="00937888">
        <w:t xml:space="preserve"> </w:t>
      </w:r>
      <w:r>
        <w:t xml:space="preserve">the </w:t>
      </w:r>
      <w:r w:rsidR="007C7D5E">
        <w:t xml:space="preserve">concurrent </w:t>
      </w:r>
      <w:r w:rsidRPr="00937888">
        <w:t>deliver</w:t>
      </w:r>
      <w:r>
        <w:t>y of</w:t>
      </w:r>
      <w:r w:rsidRPr="00937888">
        <w:t xml:space="preserve"> a </w:t>
      </w:r>
      <w:r>
        <w:t>significant</w:t>
      </w:r>
      <w:r w:rsidRPr="00937888">
        <w:t xml:space="preserve"> flow pulse to both Yallakool Creek and the upper Wakool River. Hydraulic modelling has shown that delivering more environmental water via the upper Wakool River has the potential to increase the outcomes in the system. </w:t>
      </w:r>
      <w:r>
        <w:t>Undertaking a trial whereby environmental water was delivered via</w:t>
      </w:r>
      <w:r w:rsidRPr="00937888">
        <w:t xml:space="preserve"> the upper Wakool River </w:t>
      </w:r>
      <w:r>
        <w:t xml:space="preserve">instead of Yallakool Creek </w:t>
      </w:r>
      <w:r w:rsidRPr="00937888">
        <w:t xml:space="preserve">would facilitate understanding of responses to flows in this system by disentangling the confounding factors of river and flow. If flow is a major contributor to the responses in this system then one would expect the positive vegetation and water quality responses observed in Yallakool Creek in 2013-14 (Watts et al. 2014), 2014-15 (Watts et al. 2015b) and 2015-16 (this report) to be observed in the upper Wakool River if it were to receive </w:t>
      </w:r>
      <w:r w:rsidR="007C7D5E">
        <w:t>a larger</w:t>
      </w:r>
      <w:r w:rsidRPr="00937888">
        <w:t xml:space="preserve"> environmental </w:t>
      </w:r>
      <w:r w:rsidR="007C7D5E">
        <w:t>flow</w:t>
      </w:r>
      <w:r w:rsidRPr="00937888">
        <w:t>.</w:t>
      </w:r>
    </w:p>
    <w:p w14:paraId="3B4F8C21" w14:textId="6203CAE5" w:rsidR="004C4AE3" w:rsidRPr="00AB52BD" w:rsidRDefault="004C4AE3" w:rsidP="004C4AE3">
      <w:pPr>
        <w:pBdr>
          <w:top w:val="single" w:sz="4" w:space="1" w:color="auto"/>
          <w:left w:val="single" w:sz="4" w:space="4" w:color="auto"/>
          <w:bottom w:val="single" w:sz="4" w:space="1" w:color="auto"/>
          <w:right w:val="single" w:sz="4" w:space="4" w:color="auto"/>
        </w:pBdr>
        <w:spacing w:after="240" w:line="320" w:lineRule="exact"/>
        <w:jc w:val="left"/>
        <w:rPr>
          <w:szCs w:val="22"/>
        </w:rPr>
      </w:pPr>
      <w:r w:rsidRPr="00AB52BD">
        <w:rPr>
          <w:b/>
          <w:szCs w:val="22"/>
        </w:rPr>
        <w:t>Adaptive management:</w:t>
      </w:r>
      <w:r w:rsidRPr="00AB52BD">
        <w:rPr>
          <w:szCs w:val="22"/>
        </w:rPr>
        <w:t xml:space="preserve"> The recommendation in the 2014-15 Edward-Wakool LTIM annual report to deliver water via the upper Wakool River was trialled in 2015-16, and a small volume of Commonwealth environmental water (up to 100 ML.d</w:t>
      </w:r>
      <w:r w:rsidRPr="00AB52BD">
        <w:rPr>
          <w:szCs w:val="22"/>
          <w:vertAlign w:val="superscript"/>
        </w:rPr>
        <w:t>-1</w:t>
      </w:r>
      <w:r w:rsidRPr="00AB52BD">
        <w:rPr>
          <w:szCs w:val="22"/>
        </w:rPr>
        <w:t xml:space="preserve">) was delivered to the upper Wakool River. However, this watering action did not produce the expected </w:t>
      </w:r>
      <w:r w:rsidRPr="00AB52BD">
        <w:rPr>
          <w:szCs w:val="22"/>
        </w:rPr>
        <w:lastRenderedPageBreak/>
        <w:t xml:space="preserve">outcomes. Trialling the delivery </w:t>
      </w:r>
      <w:r w:rsidR="000732AD" w:rsidRPr="00AB52BD">
        <w:rPr>
          <w:szCs w:val="22"/>
        </w:rPr>
        <w:t xml:space="preserve">of higher flows </w:t>
      </w:r>
      <w:r w:rsidRPr="00AB52BD">
        <w:rPr>
          <w:szCs w:val="22"/>
        </w:rPr>
        <w:t>via the upper Wakool may result in better outcomes</w:t>
      </w:r>
      <w:r w:rsidR="007C7D5E" w:rsidRPr="00AB52BD">
        <w:rPr>
          <w:szCs w:val="22"/>
        </w:rPr>
        <w:t>. This would be difficult to achieve with the current regulator, but could be achieved using a combination of the Wakool escape and Wakool regulator.</w:t>
      </w:r>
    </w:p>
    <w:p w14:paraId="3B4F8C23" w14:textId="77777777" w:rsidR="004C4AE3" w:rsidRPr="00DE14D9" w:rsidRDefault="004C4AE3" w:rsidP="000732AD">
      <w:pPr>
        <w:pBdr>
          <w:top w:val="single" w:sz="4" w:space="1" w:color="auto"/>
          <w:left w:val="single" w:sz="4" w:space="0" w:color="auto"/>
          <w:bottom w:val="single" w:sz="4" w:space="1" w:color="auto"/>
          <w:right w:val="single" w:sz="4" w:space="4" w:color="auto"/>
        </w:pBdr>
        <w:shd w:val="clear" w:color="auto" w:fill="EAF1DD" w:themeFill="accent3" w:themeFillTint="33"/>
        <w:spacing w:after="240" w:line="320" w:lineRule="exact"/>
        <w:jc w:val="left"/>
        <w:rPr>
          <w:b/>
        </w:rPr>
      </w:pPr>
      <w:r>
        <w:rPr>
          <w:b/>
        </w:rPr>
        <w:t>Recommendation 7:</w:t>
      </w:r>
      <w:r w:rsidRPr="00DE14D9">
        <w:rPr>
          <w:b/>
        </w:rPr>
        <w:t xml:space="preserve"> Continue to include a water use option in planning that enables Commonwealth environmental water to be used to mitigate adverse water quality events</w:t>
      </w:r>
      <w:r>
        <w:rPr>
          <w:b/>
        </w:rPr>
        <w:t xml:space="preserve"> in the Edward-Wakool system.</w:t>
      </w:r>
    </w:p>
    <w:p w14:paraId="3B4F8C24" w14:textId="77777777" w:rsidR="004C4AE3" w:rsidRDefault="004C4AE3" w:rsidP="004C4AE3">
      <w:pPr>
        <w:spacing w:after="240" w:line="320" w:lineRule="exact"/>
        <w:jc w:val="left"/>
        <w:rPr>
          <w:rFonts w:cstheme="minorHAnsi"/>
          <w:szCs w:val="22"/>
        </w:rPr>
      </w:pPr>
      <w:r w:rsidRPr="00DE14D9">
        <w:rPr>
          <w:rFonts w:cstheme="minorHAnsi"/>
          <w:szCs w:val="22"/>
        </w:rPr>
        <w:t xml:space="preserve">Commonwealth environmental water has been used on several occasions to mitigate the adverse outcomes of blackwater and other poor water quality events. Monitoring has demonstrated that these actions have been successful in maintaining water quality. Rapid action and coordination of information by the Edward-Wakool Environmental </w:t>
      </w:r>
      <w:r>
        <w:rPr>
          <w:rFonts w:cstheme="minorHAnsi"/>
          <w:szCs w:val="22"/>
        </w:rPr>
        <w:t>Operations</w:t>
      </w:r>
      <w:r w:rsidRPr="00DE14D9">
        <w:rPr>
          <w:rFonts w:cstheme="minorHAnsi"/>
          <w:szCs w:val="22"/>
        </w:rPr>
        <w:t xml:space="preserve"> Group and the Murray and Distri</w:t>
      </w:r>
      <w:r>
        <w:rPr>
          <w:rFonts w:cstheme="minorHAnsi"/>
          <w:szCs w:val="22"/>
        </w:rPr>
        <w:t>ct Dissolved Oxygen Group plays an essential role</w:t>
      </w:r>
      <w:r w:rsidRPr="00DE14D9">
        <w:rPr>
          <w:rFonts w:cstheme="minorHAnsi"/>
          <w:szCs w:val="22"/>
        </w:rPr>
        <w:t xml:space="preserve"> </w:t>
      </w:r>
      <w:r>
        <w:rPr>
          <w:rFonts w:cstheme="minorHAnsi"/>
          <w:szCs w:val="22"/>
        </w:rPr>
        <w:t>in</w:t>
      </w:r>
      <w:r w:rsidRPr="00DE14D9">
        <w:rPr>
          <w:rFonts w:cstheme="minorHAnsi"/>
          <w:szCs w:val="22"/>
        </w:rPr>
        <w:t xml:space="preserve"> </w:t>
      </w:r>
      <w:r>
        <w:rPr>
          <w:rFonts w:cstheme="minorHAnsi"/>
          <w:szCs w:val="22"/>
        </w:rPr>
        <w:t>informing management during these events</w:t>
      </w:r>
      <w:r w:rsidRPr="00DE14D9">
        <w:rPr>
          <w:rFonts w:cstheme="minorHAnsi"/>
          <w:szCs w:val="22"/>
        </w:rPr>
        <w:t>.</w:t>
      </w:r>
    </w:p>
    <w:p w14:paraId="3B4F8C25" w14:textId="77777777" w:rsidR="004C4AE3" w:rsidRDefault="004C4AE3" w:rsidP="004C4AE3">
      <w:pPr>
        <w:spacing w:after="240" w:line="320" w:lineRule="exact"/>
        <w:jc w:val="left"/>
        <w:rPr>
          <w:rFonts w:cstheme="minorHAnsi"/>
          <w:szCs w:val="22"/>
        </w:rPr>
      </w:pPr>
      <w:r>
        <w:rPr>
          <w:rFonts w:cstheme="minorHAnsi"/>
          <w:szCs w:val="22"/>
        </w:rPr>
        <w:t>Monitoring has shown that the choice of source for delivery environmental water to mitigate adverse water quality events is critical and on each event the quality of water from potential delivery points should be analysed to determine if it is appropriate for the proposed objective. For example, d</w:t>
      </w:r>
      <w:r w:rsidRPr="00743E1F">
        <w:rPr>
          <w:rFonts w:cstheme="minorHAnsi"/>
          <w:szCs w:val="22"/>
        </w:rPr>
        <w:t xml:space="preserve">uring a blackwater event in 2010 </w:t>
      </w:r>
      <w:r>
        <w:rPr>
          <w:rFonts w:cstheme="minorHAnsi"/>
          <w:szCs w:val="22"/>
        </w:rPr>
        <w:t xml:space="preserve">Commonwealth environmental </w:t>
      </w:r>
      <w:r w:rsidRPr="00743E1F">
        <w:rPr>
          <w:rFonts w:cstheme="minorHAnsi"/>
          <w:szCs w:val="22"/>
        </w:rPr>
        <w:t>water was released from three Mulwala Canal escapes to lessen the impact of hypoxia and create localised refugia with higher DO and lower organic carbon</w:t>
      </w:r>
      <w:r>
        <w:rPr>
          <w:rFonts w:cstheme="minorHAnsi"/>
          <w:szCs w:val="22"/>
        </w:rPr>
        <w:t xml:space="preserve"> (Whitworth et al. 2013; Watts et al</w:t>
      </w:r>
      <w:r w:rsidR="00115A7E">
        <w:rPr>
          <w:rFonts w:cstheme="minorHAnsi"/>
          <w:szCs w:val="22"/>
        </w:rPr>
        <w:t>.</w:t>
      </w:r>
      <w:r>
        <w:rPr>
          <w:rFonts w:cstheme="minorHAnsi"/>
          <w:szCs w:val="22"/>
        </w:rPr>
        <w:t xml:space="preserve"> in press), because this source water </w:t>
      </w:r>
      <w:r w:rsidRPr="00743E1F">
        <w:rPr>
          <w:rFonts w:cstheme="minorHAnsi"/>
          <w:szCs w:val="22"/>
        </w:rPr>
        <w:t xml:space="preserve">remained well oxygenated and had low DOC. </w:t>
      </w:r>
      <w:r>
        <w:rPr>
          <w:rFonts w:cstheme="minorHAnsi"/>
          <w:szCs w:val="22"/>
        </w:rPr>
        <w:t xml:space="preserve">Whereas </w:t>
      </w:r>
      <w:r w:rsidRPr="00743E1F">
        <w:rPr>
          <w:rFonts w:cstheme="minorHAnsi"/>
          <w:szCs w:val="22"/>
        </w:rPr>
        <w:t xml:space="preserve">In 2015-16 it was not possible for environmental water to be delivered from the </w:t>
      </w:r>
      <w:r>
        <w:rPr>
          <w:rFonts w:cstheme="minorHAnsi"/>
          <w:szCs w:val="22"/>
        </w:rPr>
        <w:t xml:space="preserve">Mulwala </w:t>
      </w:r>
      <w:r w:rsidRPr="00743E1F">
        <w:rPr>
          <w:rFonts w:cstheme="minorHAnsi"/>
          <w:szCs w:val="22"/>
        </w:rPr>
        <w:t xml:space="preserve">canal to mitigate the </w:t>
      </w:r>
      <w:r>
        <w:rPr>
          <w:rFonts w:cstheme="minorHAnsi"/>
          <w:szCs w:val="22"/>
        </w:rPr>
        <w:t xml:space="preserve">effects of a </w:t>
      </w:r>
      <w:r w:rsidRPr="00743E1F">
        <w:rPr>
          <w:rFonts w:cstheme="minorHAnsi"/>
          <w:szCs w:val="22"/>
        </w:rPr>
        <w:t xml:space="preserve">cyanobacterial bloom, because the canal water </w:t>
      </w:r>
      <w:r>
        <w:rPr>
          <w:rFonts w:cstheme="minorHAnsi"/>
          <w:szCs w:val="22"/>
        </w:rPr>
        <w:t>had very</w:t>
      </w:r>
      <w:r w:rsidRPr="00743E1F">
        <w:rPr>
          <w:rFonts w:cstheme="minorHAnsi"/>
          <w:szCs w:val="22"/>
        </w:rPr>
        <w:t xml:space="preserve"> high algal counts</w:t>
      </w:r>
      <w:r>
        <w:rPr>
          <w:rFonts w:cstheme="minorHAnsi"/>
          <w:szCs w:val="22"/>
        </w:rPr>
        <w:t xml:space="preserve"> (section 4 this report).</w:t>
      </w:r>
    </w:p>
    <w:tbl>
      <w:tblPr>
        <w:tblStyle w:val="TableGrid"/>
        <w:tblW w:w="0" w:type="auto"/>
        <w:tblLook w:val="04A0" w:firstRow="1" w:lastRow="0" w:firstColumn="1" w:lastColumn="0" w:noHBand="0" w:noVBand="1"/>
      </w:tblPr>
      <w:tblGrid>
        <w:gridCol w:w="8494"/>
      </w:tblGrid>
      <w:tr w:rsidR="004C4AE3" w14:paraId="3B4F8C27" w14:textId="77777777" w:rsidTr="004C4AE3">
        <w:tc>
          <w:tcPr>
            <w:tcW w:w="9016" w:type="dxa"/>
          </w:tcPr>
          <w:p w14:paraId="3B4F8C26" w14:textId="77777777" w:rsidR="004C4AE3" w:rsidRPr="00AB52BD" w:rsidRDefault="004C4AE3" w:rsidP="004C4AE3">
            <w:pPr>
              <w:spacing w:after="240" w:line="320" w:lineRule="exact"/>
              <w:contextualSpacing/>
              <w:jc w:val="left"/>
              <w:rPr>
                <w:rFonts w:cstheme="minorHAnsi"/>
                <w:szCs w:val="22"/>
              </w:rPr>
            </w:pPr>
            <w:r w:rsidRPr="00AB52BD">
              <w:rPr>
                <w:b/>
                <w:szCs w:val="22"/>
              </w:rPr>
              <w:t>Adaptive management:</w:t>
            </w:r>
            <w:r w:rsidRPr="00AB52BD">
              <w:rPr>
                <w:szCs w:val="22"/>
              </w:rPr>
              <w:t xml:space="preserve"> This recommendation was made in previous reports (Watts et al</w:t>
            </w:r>
            <w:r w:rsidR="00115A7E" w:rsidRPr="00AB52BD">
              <w:rPr>
                <w:szCs w:val="22"/>
              </w:rPr>
              <w:t>.</w:t>
            </w:r>
            <w:r w:rsidRPr="00AB52BD">
              <w:rPr>
                <w:szCs w:val="22"/>
              </w:rPr>
              <w:t xml:space="preserve"> 2014, 2015) and has been applied in the 2015-16 and 2016-17 planning for the use of Commonwealth environmental water in the Edward-Wakool River system. Contingency flows have continued to be made available to contribute to responses to hypoxic blackwater events or other poor water quality events should they occur.</w:t>
            </w:r>
          </w:p>
        </w:tc>
      </w:tr>
    </w:tbl>
    <w:p w14:paraId="3B4F8C28" w14:textId="77777777" w:rsidR="000732AD" w:rsidRDefault="000732AD" w:rsidP="004C4AE3">
      <w:pPr>
        <w:spacing w:after="120"/>
        <w:contextualSpacing/>
        <w:jc w:val="left"/>
        <w:rPr>
          <w:b/>
        </w:rPr>
      </w:pPr>
    </w:p>
    <w:p w14:paraId="3B4F8C29" w14:textId="77777777" w:rsidR="000732AD" w:rsidRDefault="000732AD">
      <w:pPr>
        <w:spacing w:after="0" w:line="240" w:lineRule="auto"/>
        <w:jc w:val="left"/>
        <w:rPr>
          <w:b/>
        </w:rPr>
      </w:pPr>
      <w:r>
        <w:rPr>
          <w:b/>
        </w:rPr>
        <w:br w:type="page"/>
      </w:r>
    </w:p>
    <w:p w14:paraId="3B4F8C2A" w14:textId="77777777" w:rsidR="004C4AE3" w:rsidRPr="00DE14D9" w:rsidRDefault="004C4AE3" w:rsidP="004C4AE3">
      <w:pPr>
        <w:spacing w:after="120"/>
        <w:contextualSpacing/>
        <w:jc w:val="left"/>
        <w:rPr>
          <w:b/>
        </w:rPr>
      </w:pPr>
    </w:p>
    <w:p w14:paraId="3B4F8C2B" w14:textId="2AEB2809" w:rsidR="004C4AE3" w:rsidRPr="00B90D45" w:rsidRDefault="004C4AE3" w:rsidP="000732AD">
      <w:pPr>
        <w:pBdr>
          <w:top w:val="single" w:sz="4" w:space="1" w:color="auto"/>
          <w:left w:val="single" w:sz="4" w:space="4" w:color="auto"/>
          <w:bottom w:val="single" w:sz="4" w:space="1" w:color="auto"/>
          <w:right w:val="single" w:sz="4" w:space="4" w:color="auto"/>
        </w:pBdr>
        <w:shd w:val="clear" w:color="auto" w:fill="EAF1DD" w:themeFill="accent3" w:themeFillTint="33"/>
        <w:spacing w:after="240" w:line="320" w:lineRule="exact"/>
        <w:jc w:val="left"/>
        <w:rPr>
          <w:b/>
        </w:rPr>
      </w:pPr>
      <w:r>
        <w:rPr>
          <w:b/>
        </w:rPr>
        <w:t>Recommendation 8</w:t>
      </w:r>
      <w:r w:rsidRPr="00B90D45">
        <w:rPr>
          <w:b/>
        </w:rPr>
        <w:t xml:space="preserve">: Continue to include a water use option that enables Commonwealth environmental water to be used to mitigate rapid recessions due to </w:t>
      </w:r>
      <w:r w:rsidR="00487D89">
        <w:rPr>
          <w:b/>
        </w:rPr>
        <w:t>river operations</w:t>
      </w:r>
      <w:r w:rsidRPr="00B90D45">
        <w:rPr>
          <w:b/>
        </w:rPr>
        <w:t xml:space="preserve"> in the Edward-Wakool system.</w:t>
      </w:r>
    </w:p>
    <w:p w14:paraId="3B4F8C2C" w14:textId="77777777" w:rsidR="004C4AE3" w:rsidRDefault="004C4AE3" w:rsidP="004C4AE3">
      <w:pPr>
        <w:autoSpaceDE w:val="0"/>
        <w:autoSpaceDN w:val="0"/>
        <w:adjustRightInd w:val="0"/>
        <w:spacing w:after="120" w:line="320" w:lineRule="exact"/>
        <w:ind w:right="-204"/>
        <w:jc w:val="left"/>
      </w:pPr>
      <w:r>
        <w:rPr>
          <w:szCs w:val="22"/>
        </w:rPr>
        <w:t>There is sometimes excess water in the system that needs to be managed by river operators. This water is sometimes diverted down the tributaries of the Edward-Wakool system and these flow events typically have fast rates of rise and recession. This type of river operation can cause bank erosion</w:t>
      </w:r>
      <w:r w:rsidRPr="003A1F25">
        <w:rPr>
          <w:szCs w:val="22"/>
        </w:rPr>
        <w:t xml:space="preserve"> and </w:t>
      </w:r>
      <w:r>
        <w:rPr>
          <w:szCs w:val="22"/>
        </w:rPr>
        <w:t xml:space="preserve">have </w:t>
      </w:r>
      <w:r w:rsidRPr="003A1F25">
        <w:rPr>
          <w:szCs w:val="22"/>
        </w:rPr>
        <w:t xml:space="preserve">negative impacts </w:t>
      </w:r>
      <w:r>
        <w:rPr>
          <w:szCs w:val="22"/>
        </w:rPr>
        <w:t>on</w:t>
      </w:r>
      <w:r w:rsidRPr="003A1F25">
        <w:rPr>
          <w:szCs w:val="22"/>
        </w:rPr>
        <w:t xml:space="preserve"> ecosystems</w:t>
      </w:r>
      <w:r>
        <w:rPr>
          <w:szCs w:val="22"/>
        </w:rPr>
        <w:t>.</w:t>
      </w:r>
      <w:r w:rsidRPr="003A1F25">
        <w:rPr>
          <w:szCs w:val="22"/>
        </w:rPr>
        <w:t xml:space="preserve"> While bank erosion and deposition are natural processes, the rate </w:t>
      </w:r>
      <w:r>
        <w:rPr>
          <w:szCs w:val="22"/>
        </w:rPr>
        <w:t>of erosion can be altered under rainfall rejection</w:t>
      </w:r>
      <w:r w:rsidRPr="003A1F25">
        <w:rPr>
          <w:szCs w:val="22"/>
        </w:rPr>
        <w:t xml:space="preserve"> flows. </w:t>
      </w:r>
      <w:r>
        <w:t xml:space="preserve">Commonwealth environmental water was used in </w:t>
      </w:r>
      <w:r w:rsidRPr="00F062E2">
        <w:t>2014-15</w:t>
      </w:r>
      <w:r>
        <w:t xml:space="preserve"> and 2015-16 to provide slower, more natural rates of recessions to high flow events (e.g. rain rejections and other operational flows).</w:t>
      </w:r>
    </w:p>
    <w:p w14:paraId="3B4F8C2D" w14:textId="77777777" w:rsidR="004C4AE3" w:rsidRDefault="004C4AE3" w:rsidP="004C4AE3">
      <w:pPr>
        <w:autoSpaceDE w:val="0"/>
        <w:autoSpaceDN w:val="0"/>
        <w:adjustRightInd w:val="0"/>
        <w:spacing w:after="120" w:line="320" w:lineRule="exact"/>
        <w:ind w:right="-204"/>
        <w:jc w:val="left"/>
        <w:rPr>
          <w:b/>
        </w:rPr>
      </w:pPr>
      <w:r>
        <w:t xml:space="preserve">The recommendation is that a water use option continue to be included in water planning to mitigate rapid recessions in the Edward-Wakool system and allow for the </w:t>
      </w:r>
      <w:r w:rsidRPr="003A1F25">
        <w:t>better management of rates of rise and fall of mana</w:t>
      </w:r>
      <w:r>
        <w:t>ged and unregulated flow events. A comprehensive flows assessment of the tributaries (recommendation 1)</w:t>
      </w:r>
      <w:r w:rsidRPr="003A1F25">
        <w:t xml:space="preserve"> </w:t>
      </w:r>
      <w:r>
        <w:t>would help inform decisions regarding</w:t>
      </w:r>
      <w:r w:rsidRPr="003A1F25">
        <w:t xml:space="preserve"> of rates of rise and fall.</w:t>
      </w:r>
    </w:p>
    <w:tbl>
      <w:tblPr>
        <w:tblStyle w:val="TableGrid"/>
        <w:tblW w:w="0" w:type="auto"/>
        <w:tblLook w:val="04A0" w:firstRow="1" w:lastRow="0" w:firstColumn="1" w:lastColumn="0" w:noHBand="0" w:noVBand="1"/>
      </w:tblPr>
      <w:tblGrid>
        <w:gridCol w:w="8494"/>
      </w:tblGrid>
      <w:tr w:rsidR="004C4AE3" w14:paraId="3B4F8C2F" w14:textId="77777777" w:rsidTr="004C4AE3">
        <w:tc>
          <w:tcPr>
            <w:tcW w:w="9016" w:type="dxa"/>
          </w:tcPr>
          <w:p w14:paraId="3B4F8C2E" w14:textId="77777777" w:rsidR="004C4AE3" w:rsidRDefault="004C4AE3" w:rsidP="004C4AE3">
            <w:pPr>
              <w:spacing w:after="240" w:line="320" w:lineRule="exact"/>
              <w:contextualSpacing/>
              <w:jc w:val="left"/>
              <w:rPr>
                <w:rFonts w:cstheme="minorHAnsi"/>
                <w:szCs w:val="22"/>
              </w:rPr>
            </w:pPr>
            <w:r w:rsidRPr="00B955EC">
              <w:rPr>
                <w:b/>
                <w:color w:val="000000" w:themeColor="text1"/>
              </w:rPr>
              <w:t>Adaptive management:</w:t>
            </w:r>
            <w:r w:rsidRPr="00B955EC">
              <w:rPr>
                <w:color w:val="000000" w:themeColor="text1"/>
              </w:rPr>
              <w:t xml:space="preserve"> This recommendation has been applied in the 2015-16 and 2016-17 planning for the use of Commonwealth environmental water in the Edward-Wakool River system.</w:t>
            </w:r>
          </w:p>
        </w:tc>
      </w:tr>
    </w:tbl>
    <w:p w14:paraId="3B4F8C30" w14:textId="77777777" w:rsidR="004C4AE3" w:rsidRPr="00407266" w:rsidRDefault="004C4AE3" w:rsidP="004C4AE3">
      <w:pPr>
        <w:spacing w:after="120" w:line="240" w:lineRule="auto"/>
        <w:rPr>
          <w:szCs w:val="22"/>
        </w:rPr>
      </w:pPr>
    </w:p>
    <w:p w14:paraId="3B4F8C31" w14:textId="77777777" w:rsidR="00797636" w:rsidRDefault="00797636">
      <w:pPr>
        <w:spacing w:after="0" w:line="240" w:lineRule="auto"/>
        <w:jc w:val="left"/>
        <w:rPr>
          <w:highlight w:val="yellow"/>
        </w:rPr>
      </w:pPr>
    </w:p>
    <w:p w14:paraId="3B4F8C32" w14:textId="77777777" w:rsidR="00797636" w:rsidRPr="00797636" w:rsidRDefault="00797636" w:rsidP="00797636">
      <w:pPr>
        <w:spacing w:after="0"/>
        <w:jc w:val="left"/>
        <w:rPr>
          <w:highlight w:val="yellow"/>
        </w:rPr>
      </w:pPr>
    </w:p>
    <w:p w14:paraId="3B4F8C33" w14:textId="77777777" w:rsidR="00B263A7" w:rsidRDefault="00B263A7">
      <w:pPr>
        <w:spacing w:after="0" w:line="240" w:lineRule="auto"/>
        <w:jc w:val="left"/>
      </w:pPr>
      <w:r>
        <w:br w:type="page"/>
      </w:r>
    </w:p>
    <w:p w14:paraId="3B4F8C34" w14:textId="77777777" w:rsidR="00B263A7" w:rsidRDefault="00B263A7" w:rsidP="00417F7C">
      <w:pPr>
        <w:pStyle w:val="Heading1"/>
      </w:pPr>
      <w:bookmarkStart w:id="36" w:name="_Toc484078416"/>
      <w:r>
        <w:lastRenderedPageBreak/>
        <w:t>Acknowledgements</w:t>
      </w:r>
      <w:bookmarkEnd w:id="36"/>
    </w:p>
    <w:p w14:paraId="3B4F8C35" w14:textId="77777777" w:rsidR="00B263A7" w:rsidRPr="00B263A7" w:rsidRDefault="00B263A7" w:rsidP="00DC5601">
      <w:pPr>
        <w:spacing w:after="240" w:line="320" w:lineRule="exact"/>
        <w:jc w:val="left"/>
        <w:rPr>
          <w:color w:val="000000"/>
          <w:szCs w:val="22"/>
          <w:lang w:eastAsia="en-AU"/>
        </w:rPr>
      </w:pPr>
      <w:r w:rsidRPr="00B263A7">
        <w:rPr>
          <w:color w:val="000000"/>
          <w:szCs w:val="22"/>
        </w:rPr>
        <w:t xml:space="preserve">The authors of this </w:t>
      </w:r>
      <w:r w:rsidRPr="00B263A7">
        <w:rPr>
          <w:szCs w:val="22"/>
        </w:rPr>
        <w:t>report as well as the Commonwealth Environmental Water Office respectfully acknowledge the traditional owners, their Elders past and present, their Nations of the Murray-Darling Basin, and their cultural, social, environmental, spiritual and economic</w:t>
      </w:r>
      <w:r w:rsidRPr="00B263A7">
        <w:rPr>
          <w:color w:val="000000"/>
          <w:szCs w:val="22"/>
        </w:rPr>
        <w:t xml:space="preserve"> connection to their lands and waters.</w:t>
      </w:r>
    </w:p>
    <w:p w14:paraId="3B4F8C36" w14:textId="77777777" w:rsidR="00217915" w:rsidRPr="00B60A33" w:rsidRDefault="00217915" w:rsidP="00217915">
      <w:pPr>
        <w:pStyle w:val="NoSpacing"/>
        <w:spacing w:after="240" w:line="320" w:lineRule="exact"/>
        <w:jc w:val="left"/>
      </w:pPr>
      <w:r w:rsidRPr="002E3B49">
        <w:t xml:space="preserve">We extend our thanks </w:t>
      </w:r>
      <w:r>
        <w:t xml:space="preserve">to the Wakool River Association, the Colligen and Niemur </w:t>
      </w:r>
      <w:r>
        <w:rPr>
          <w:rFonts w:ascii="Arial" w:hAnsi="Arial" w:cs="Arial"/>
          <w:sz w:val="20"/>
        </w:rPr>
        <w:t xml:space="preserve">Group, </w:t>
      </w:r>
      <w:r>
        <w:t xml:space="preserve">the Edward-Wakool Angling Association </w:t>
      </w:r>
      <w:r w:rsidRPr="002E3B49">
        <w:t xml:space="preserve">and landholders in the Edward-Wakool river system for their keen interest in this project </w:t>
      </w:r>
      <w:r>
        <w:t xml:space="preserve">and </w:t>
      </w:r>
      <w:r w:rsidRPr="002E3B49">
        <w:t xml:space="preserve">for </w:t>
      </w:r>
      <w:r>
        <w:t>providing</w:t>
      </w:r>
      <w:r w:rsidRPr="002E3B49">
        <w:t xml:space="preserve"> access to </w:t>
      </w:r>
      <w:r>
        <w:t>monitoring sites on their properties</w:t>
      </w:r>
      <w:r w:rsidRPr="002E3B49">
        <w:t xml:space="preserve">. </w:t>
      </w:r>
      <w:r w:rsidRPr="00616460">
        <w:t>We particularly thank James Abell and Chris Smith who undertook the majority of the field work. Assistance with fi</w:t>
      </w:r>
      <w:r w:rsidRPr="000D666F">
        <w:t xml:space="preserve">eldwork and/or laboratory work was undertaken by </w:t>
      </w:r>
      <w:r w:rsidRPr="00DC5601">
        <w:t xml:space="preserve">James Abell, </w:t>
      </w:r>
      <w:r w:rsidR="0077301B">
        <w:t xml:space="preserve">Tyson Arapali, </w:t>
      </w:r>
      <w:r w:rsidR="00312313">
        <w:t xml:space="preserve">Tom Butterfield, </w:t>
      </w:r>
      <w:r w:rsidRPr="00DC5601">
        <w:t xml:space="preserve">Rob Cook, Jonathon Doyle, </w:t>
      </w:r>
      <w:r w:rsidR="0077301B">
        <w:t xml:space="preserve">Claire Flakelar, </w:t>
      </w:r>
      <w:r w:rsidR="00312313">
        <w:t xml:space="preserve">Peter Graham, Brad Leach, Sean Lethlean, </w:t>
      </w:r>
      <w:r w:rsidRPr="00DC5601">
        <w:t xml:space="preserve">Xiaoying Liu, </w:t>
      </w:r>
      <w:r w:rsidR="00312313">
        <w:t>Tim McGarry, Gary Mclean, Glen</w:t>
      </w:r>
      <w:r w:rsidRPr="00DC5601">
        <w:t xml:space="preserve"> Miller, Kate Martin, </w:t>
      </w:r>
      <w:r w:rsidR="00312313">
        <w:t xml:space="preserve">Nick O’Brien, </w:t>
      </w:r>
      <w:r w:rsidRPr="00DC5601">
        <w:t xml:space="preserve">Rohan Rehwinkel, Chris Smith, </w:t>
      </w:r>
      <w:r w:rsidR="0077301B">
        <w:t xml:space="preserve">Crystall Swarbrick, </w:t>
      </w:r>
      <w:r w:rsidRPr="00DC5601">
        <w:t>Amelia Walcott, Lachlan Webster, and Ian Wooden.</w:t>
      </w:r>
      <w:r w:rsidRPr="000D666F">
        <w:t xml:space="preserve"> </w:t>
      </w:r>
      <w:r w:rsidRPr="00EF7FBC">
        <w:t xml:space="preserve">Maps were prepared by Simon McDonald and Deanna Duffy (Charles Sturt University Spatial Analysis Unit), Rod </w:t>
      </w:r>
      <w:r w:rsidRPr="000D666F">
        <w:t xml:space="preserve">Martin (NSW DPI) and Ian Wooden (NSW DPI). Tina Hines at the Monash University Water Studies Centre processed carbon and nutrient samples. Fish sampling was carried out under NSW Fisheries license </w:t>
      </w:r>
      <w:r w:rsidRPr="006B588C">
        <w:t xml:space="preserve">(P11/0003-1.0) and approved by the CSU Animal Care and Ethics Committee (10/101). </w:t>
      </w:r>
      <w:r w:rsidR="00312313" w:rsidRPr="006B588C">
        <w:t>DPI Fisheries</w:t>
      </w:r>
      <w:r w:rsidR="00312313">
        <w:t xml:space="preserve"> sampling was conducted under Fisheries NSW Animal Care and Ethics permit 14/10. </w:t>
      </w:r>
      <w:r w:rsidRPr="000D666F">
        <w:t>This project</w:t>
      </w:r>
      <w:r w:rsidRPr="00EF7FBC">
        <w:t xml:space="preserve"> was funded by the Commonwealth Environmental Water Office with in-kind contributions</w:t>
      </w:r>
      <w:r w:rsidR="00DC5601">
        <w:t xml:space="preserve"> from Charles Sturt University</w:t>
      </w:r>
      <w:r w:rsidRPr="00EF7FBC">
        <w:t>, NSW Department of Primary Industries, Monash University and NSW Office of Environment and Heritage.</w:t>
      </w:r>
    </w:p>
    <w:p w14:paraId="3B4F8C37" w14:textId="77777777" w:rsidR="00C73735" w:rsidRPr="00DC5601" w:rsidRDefault="00C73735" w:rsidP="00DC5601">
      <w:pPr>
        <w:rPr>
          <w:noProof/>
          <w:lang w:val="en-US" w:eastAsia="en-AU"/>
        </w:rPr>
      </w:pPr>
    </w:p>
    <w:p w14:paraId="3B4F8C38" w14:textId="77777777" w:rsidR="00520FFB" w:rsidRDefault="004D403B" w:rsidP="00417F7C">
      <w:pPr>
        <w:pStyle w:val="Heading1"/>
      </w:pPr>
      <w:bookmarkStart w:id="37" w:name="_Toc484078417"/>
      <w:r>
        <w:t>R</w:t>
      </w:r>
      <w:r w:rsidR="003C6775">
        <w:t>eferences</w:t>
      </w:r>
      <w:bookmarkEnd w:id="37"/>
    </w:p>
    <w:p w14:paraId="3B4F8C39" w14:textId="77777777" w:rsidR="00470187" w:rsidRDefault="00470187" w:rsidP="002B3297">
      <w:pPr>
        <w:spacing w:after="240" w:line="320" w:lineRule="exact"/>
        <w:ind w:left="284" w:hanging="284"/>
        <w:jc w:val="left"/>
        <w:rPr>
          <w:rFonts w:asciiTheme="minorHAnsi" w:hAnsiTheme="minorHAnsi"/>
          <w:lang w:eastAsia="en-AU"/>
        </w:rPr>
      </w:pPr>
      <w:r w:rsidRPr="00470187">
        <w:rPr>
          <w:rFonts w:asciiTheme="minorHAnsi" w:hAnsiTheme="minorHAnsi"/>
          <w:lang w:eastAsia="en-AU"/>
        </w:rPr>
        <w:t xml:space="preserve">Chiew FHS, Potter NJ, Vaze J et al. (2014) Observed hydrologic non-stationarity in far south-eastern </w:t>
      </w:r>
      <w:r w:rsidRPr="00EF49CE">
        <w:rPr>
          <w:rFonts w:asciiTheme="minorHAnsi" w:hAnsiTheme="minorHAnsi"/>
          <w:lang w:eastAsia="en-AU"/>
        </w:rPr>
        <w:t>Australia: implications for modelling and prediction. Stochastic Environmen</w:t>
      </w:r>
      <w:r w:rsidR="002B3297">
        <w:rPr>
          <w:rFonts w:asciiTheme="minorHAnsi" w:hAnsiTheme="minorHAnsi"/>
          <w:lang w:eastAsia="en-AU"/>
        </w:rPr>
        <w:t xml:space="preserve">tal Research Risk Assessment </w:t>
      </w:r>
      <w:r w:rsidR="002B3297" w:rsidRPr="002B3297">
        <w:rPr>
          <w:rFonts w:asciiTheme="minorHAnsi" w:hAnsiTheme="minorHAnsi"/>
          <w:b/>
          <w:lang w:eastAsia="en-AU"/>
        </w:rPr>
        <w:t>28</w:t>
      </w:r>
      <w:r w:rsidR="002B3297">
        <w:rPr>
          <w:rFonts w:asciiTheme="minorHAnsi" w:hAnsiTheme="minorHAnsi"/>
          <w:lang w:eastAsia="en-AU"/>
        </w:rPr>
        <w:t>,</w:t>
      </w:r>
      <w:r w:rsidRPr="00EF49CE">
        <w:rPr>
          <w:rFonts w:asciiTheme="minorHAnsi" w:hAnsiTheme="minorHAnsi"/>
          <w:lang w:eastAsia="en-AU"/>
        </w:rPr>
        <w:t>3-15</w:t>
      </w:r>
    </w:p>
    <w:p w14:paraId="3B4F8C3A" w14:textId="77777777" w:rsidR="00EA0242" w:rsidRDefault="00EA0242" w:rsidP="002B3297">
      <w:pPr>
        <w:spacing w:after="240" w:line="320" w:lineRule="exact"/>
        <w:ind w:left="284" w:hanging="284"/>
        <w:jc w:val="left"/>
        <w:rPr>
          <w:rFonts w:asciiTheme="minorHAnsi" w:hAnsiTheme="minorHAnsi"/>
          <w:lang w:eastAsia="en-AU"/>
        </w:rPr>
      </w:pPr>
      <w:r>
        <w:rPr>
          <w:rFonts w:asciiTheme="minorHAnsi" w:hAnsiTheme="minorHAnsi"/>
          <w:lang w:eastAsia="en-AU"/>
        </w:rPr>
        <w:t>Commonwealth Environmental Water Office (2015) Integrated planning for the use, carryover and trade of Commonwealth environmental water: Mid-Murray region 2015-16. Commonwealth Environmental Water Office.</w:t>
      </w:r>
    </w:p>
    <w:p w14:paraId="3B4F8C3B" w14:textId="77777777" w:rsidR="00900EF2" w:rsidRDefault="00900EF2" w:rsidP="002B3297">
      <w:pPr>
        <w:spacing w:after="240" w:line="320" w:lineRule="exact"/>
        <w:ind w:left="284" w:hanging="284"/>
        <w:jc w:val="left"/>
        <w:rPr>
          <w:rFonts w:asciiTheme="minorHAnsi" w:hAnsiTheme="minorHAnsi"/>
          <w:lang w:eastAsia="en-AU"/>
        </w:rPr>
      </w:pPr>
      <w:r>
        <w:rPr>
          <w:rFonts w:asciiTheme="minorHAnsi" w:hAnsiTheme="minorHAnsi"/>
          <w:lang w:eastAsia="en-AU"/>
        </w:rPr>
        <w:t xml:space="preserve">Commonwealth Environmental Water Office (2016) Watering </w:t>
      </w:r>
      <w:r w:rsidR="00EA0242">
        <w:rPr>
          <w:rFonts w:asciiTheme="minorHAnsi" w:hAnsiTheme="minorHAnsi"/>
          <w:lang w:eastAsia="en-AU"/>
        </w:rPr>
        <w:t>Acquittal</w:t>
      </w:r>
      <w:r>
        <w:rPr>
          <w:rFonts w:asciiTheme="minorHAnsi" w:hAnsiTheme="minorHAnsi"/>
          <w:lang w:eastAsia="en-AU"/>
        </w:rPr>
        <w:t xml:space="preserve"> report – Edward-Wakool System 2015-16. Commonwealth Environmental Water Office.</w:t>
      </w:r>
    </w:p>
    <w:p w14:paraId="3B4F8C3C" w14:textId="77777777" w:rsidR="001547FE" w:rsidRPr="001547FE" w:rsidRDefault="001547FE" w:rsidP="002B3297">
      <w:pPr>
        <w:spacing w:after="240" w:line="320" w:lineRule="exact"/>
        <w:ind w:left="284" w:hanging="284"/>
        <w:jc w:val="left"/>
        <w:rPr>
          <w:rFonts w:asciiTheme="minorHAnsi" w:hAnsiTheme="minorHAnsi"/>
          <w:lang w:eastAsia="en-AU"/>
        </w:rPr>
      </w:pPr>
      <w:r w:rsidRPr="001547FE">
        <w:rPr>
          <w:rFonts w:asciiTheme="minorHAnsi" w:hAnsiTheme="minorHAnsi"/>
          <w:lang w:eastAsia="en-AU"/>
        </w:rPr>
        <w:t>Green, D. (2001) The Edward-Wakool System: River Regulation and Environmental Flows. Department of Land and Water Conservation. Unpublished Report.</w:t>
      </w:r>
    </w:p>
    <w:p w14:paraId="3B4F8C3D" w14:textId="77777777" w:rsidR="001547FE" w:rsidRPr="001547FE" w:rsidRDefault="001547FE" w:rsidP="002B3297">
      <w:pPr>
        <w:spacing w:after="240" w:line="320" w:lineRule="exact"/>
        <w:ind w:left="284" w:hanging="284"/>
        <w:jc w:val="left"/>
        <w:rPr>
          <w:rFonts w:asciiTheme="minorHAnsi" w:hAnsiTheme="minorHAnsi"/>
          <w:lang w:eastAsia="en-AU"/>
        </w:rPr>
      </w:pPr>
      <w:r w:rsidRPr="001547FE">
        <w:rPr>
          <w:rFonts w:asciiTheme="minorHAnsi" w:hAnsiTheme="minorHAnsi"/>
          <w:lang w:eastAsia="en-AU"/>
        </w:rPr>
        <w:lastRenderedPageBreak/>
        <w:t>Hale and SKM (2011) Environmental Water Delivery: Edward-Wakool. Prepared for Commonwealth Environmental Water, Department of Sustainability, Environment, Water, Population and Communities.</w:t>
      </w:r>
    </w:p>
    <w:p w14:paraId="3B4F8C3E" w14:textId="77777777" w:rsidR="00956AE4" w:rsidRPr="00956AE4" w:rsidRDefault="00956AE4" w:rsidP="002B3297">
      <w:pPr>
        <w:spacing w:after="240" w:line="320" w:lineRule="exact"/>
        <w:ind w:left="284" w:hanging="284"/>
        <w:jc w:val="left"/>
        <w:rPr>
          <w:rFonts w:asciiTheme="minorHAnsi" w:hAnsiTheme="minorHAnsi"/>
          <w:lang w:eastAsia="en-AU"/>
        </w:rPr>
      </w:pPr>
      <w:r w:rsidRPr="00956AE4">
        <w:rPr>
          <w:rFonts w:asciiTheme="minorHAnsi" w:hAnsiTheme="minorHAnsi"/>
          <w:lang w:eastAsia="en-AU"/>
        </w:rPr>
        <w:t>King A</w:t>
      </w:r>
      <w:r>
        <w:rPr>
          <w:rFonts w:asciiTheme="minorHAnsi" w:hAnsiTheme="minorHAnsi"/>
          <w:lang w:eastAsia="en-AU"/>
        </w:rPr>
        <w:t>.</w:t>
      </w:r>
      <w:r w:rsidRPr="00956AE4">
        <w:rPr>
          <w:rFonts w:asciiTheme="minorHAnsi" w:hAnsiTheme="minorHAnsi"/>
          <w:lang w:eastAsia="en-AU"/>
        </w:rPr>
        <w:t>J</w:t>
      </w:r>
      <w:r>
        <w:rPr>
          <w:rFonts w:asciiTheme="minorHAnsi" w:hAnsiTheme="minorHAnsi"/>
          <w:lang w:eastAsia="en-AU"/>
        </w:rPr>
        <w:t>.</w:t>
      </w:r>
      <w:r w:rsidRPr="00956AE4">
        <w:rPr>
          <w:rFonts w:asciiTheme="minorHAnsi" w:hAnsiTheme="minorHAnsi"/>
          <w:lang w:eastAsia="en-AU"/>
        </w:rPr>
        <w:t>, Tonkin Z</w:t>
      </w:r>
      <w:r>
        <w:rPr>
          <w:rFonts w:asciiTheme="minorHAnsi" w:hAnsiTheme="minorHAnsi"/>
          <w:lang w:eastAsia="en-AU"/>
        </w:rPr>
        <w:t>.</w:t>
      </w:r>
      <w:r w:rsidRPr="00956AE4">
        <w:rPr>
          <w:rFonts w:asciiTheme="minorHAnsi" w:hAnsiTheme="minorHAnsi"/>
          <w:lang w:eastAsia="en-AU"/>
        </w:rPr>
        <w:t>, Lieshcke J</w:t>
      </w:r>
      <w:r>
        <w:rPr>
          <w:rFonts w:asciiTheme="minorHAnsi" w:hAnsiTheme="minorHAnsi"/>
          <w:lang w:eastAsia="en-AU"/>
        </w:rPr>
        <w:t>.</w:t>
      </w:r>
      <w:r w:rsidRPr="00956AE4">
        <w:rPr>
          <w:rFonts w:asciiTheme="minorHAnsi" w:hAnsiTheme="minorHAnsi"/>
          <w:lang w:eastAsia="en-AU"/>
        </w:rPr>
        <w:t xml:space="preserve"> (2012) Short-term effects of a prolonged blackwater event on aquatic fauna in the Murray River, Australia: considerations for future events. </w:t>
      </w:r>
      <w:r w:rsidRPr="00956AE4">
        <w:rPr>
          <w:rFonts w:asciiTheme="minorHAnsi" w:hAnsiTheme="minorHAnsi"/>
          <w:i/>
          <w:lang w:eastAsia="en-AU"/>
        </w:rPr>
        <w:t>Marine and Freshwater Research</w:t>
      </w:r>
      <w:r>
        <w:rPr>
          <w:rFonts w:asciiTheme="minorHAnsi" w:hAnsiTheme="minorHAnsi"/>
          <w:lang w:eastAsia="en-AU"/>
        </w:rPr>
        <w:t xml:space="preserve"> </w:t>
      </w:r>
      <w:r w:rsidRPr="00956AE4">
        <w:rPr>
          <w:rFonts w:asciiTheme="minorHAnsi" w:hAnsiTheme="minorHAnsi"/>
          <w:b/>
          <w:lang w:eastAsia="en-AU"/>
        </w:rPr>
        <w:t>63</w:t>
      </w:r>
      <w:r>
        <w:rPr>
          <w:rFonts w:asciiTheme="minorHAnsi" w:hAnsiTheme="minorHAnsi"/>
          <w:lang w:eastAsia="en-AU"/>
        </w:rPr>
        <w:t>,</w:t>
      </w:r>
      <w:r w:rsidRPr="00956AE4">
        <w:rPr>
          <w:rFonts w:asciiTheme="minorHAnsi" w:hAnsiTheme="minorHAnsi"/>
          <w:lang w:eastAsia="en-AU"/>
        </w:rPr>
        <w:t xml:space="preserve"> 576–586</w:t>
      </w:r>
    </w:p>
    <w:p w14:paraId="3B4F8C3F" w14:textId="77777777" w:rsidR="006B588C" w:rsidRPr="006B588C" w:rsidRDefault="006B588C" w:rsidP="002B3297">
      <w:pPr>
        <w:spacing w:after="240" w:line="320" w:lineRule="exact"/>
        <w:ind w:left="284" w:hanging="284"/>
        <w:jc w:val="left"/>
        <w:rPr>
          <w:bCs/>
          <w:szCs w:val="22"/>
        </w:rPr>
      </w:pPr>
      <w:r w:rsidRPr="006B588C">
        <w:rPr>
          <w:bCs/>
          <w:szCs w:val="22"/>
        </w:rPr>
        <w:t>Koster W</w:t>
      </w:r>
      <w:r>
        <w:rPr>
          <w:bCs/>
          <w:szCs w:val="22"/>
        </w:rPr>
        <w:t>.</w:t>
      </w:r>
      <w:r w:rsidRPr="006B588C">
        <w:rPr>
          <w:bCs/>
          <w:szCs w:val="22"/>
        </w:rPr>
        <w:t>M</w:t>
      </w:r>
      <w:r>
        <w:rPr>
          <w:bCs/>
          <w:szCs w:val="22"/>
        </w:rPr>
        <w:t>.</w:t>
      </w:r>
      <w:r w:rsidRPr="006B588C">
        <w:rPr>
          <w:bCs/>
          <w:szCs w:val="22"/>
        </w:rPr>
        <w:t>, Dawson D</w:t>
      </w:r>
      <w:r>
        <w:rPr>
          <w:bCs/>
          <w:szCs w:val="22"/>
        </w:rPr>
        <w:t>.</w:t>
      </w:r>
      <w:r w:rsidRPr="006B588C">
        <w:rPr>
          <w:bCs/>
          <w:szCs w:val="22"/>
        </w:rPr>
        <w:t>R</w:t>
      </w:r>
      <w:r>
        <w:rPr>
          <w:bCs/>
          <w:szCs w:val="22"/>
        </w:rPr>
        <w:t>.</w:t>
      </w:r>
      <w:r w:rsidRPr="006B588C">
        <w:rPr>
          <w:bCs/>
          <w:szCs w:val="22"/>
        </w:rPr>
        <w:t>, O’Mahony D</w:t>
      </w:r>
      <w:r>
        <w:rPr>
          <w:bCs/>
          <w:szCs w:val="22"/>
        </w:rPr>
        <w:t>.</w:t>
      </w:r>
      <w:r w:rsidRPr="006B588C">
        <w:rPr>
          <w:bCs/>
          <w:szCs w:val="22"/>
        </w:rPr>
        <w:t>J</w:t>
      </w:r>
      <w:r>
        <w:rPr>
          <w:bCs/>
          <w:szCs w:val="22"/>
        </w:rPr>
        <w:t>.</w:t>
      </w:r>
      <w:r w:rsidRPr="006B588C">
        <w:rPr>
          <w:bCs/>
          <w:szCs w:val="22"/>
        </w:rPr>
        <w:t>, Moloney P</w:t>
      </w:r>
      <w:r>
        <w:rPr>
          <w:bCs/>
          <w:szCs w:val="22"/>
        </w:rPr>
        <w:t>.</w:t>
      </w:r>
      <w:r w:rsidRPr="006B588C">
        <w:rPr>
          <w:bCs/>
          <w:szCs w:val="22"/>
        </w:rPr>
        <w:t>D</w:t>
      </w:r>
      <w:r>
        <w:rPr>
          <w:bCs/>
          <w:szCs w:val="22"/>
        </w:rPr>
        <w:t>.</w:t>
      </w:r>
      <w:r w:rsidRPr="006B588C">
        <w:rPr>
          <w:bCs/>
          <w:szCs w:val="22"/>
        </w:rPr>
        <w:t>, Crook D</w:t>
      </w:r>
      <w:r>
        <w:rPr>
          <w:bCs/>
          <w:szCs w:val="22"/>
        </w:rPr>
        <w:t>.</w:t>
      </w:r>
      <w:r w:rsidRPr="006B588C">
        <w:rPr>
          <w:bCs/>
          <w:szCs w:val="22"/>
        </w:rPr>
        <w:t>A</w:t>
      </w:r>
      <w:r>
        <w:rPr>
          <w:bCs/>
          <w:szCs w:val="22"/>
        </w:rPr>
        <w:t>.</w:t>
      </w:r>
      <w:r w:rsidRPr="006B588C">
        <w:rPr>
          <w:bCs/>
          <w:szCs w:val="22"/>
        </w:rPr>
        <w:t xml:space="preserve"> (2014) Timing, Frequency and Environmental Conditions Associated with Mainstem–Tributary Movement by a Lowland River Fish, Golden Perch (</w:t>
      </w:r>
      <w:r w:rsidRPr="006B588C">
        <w:rPr>
          <w:bCs/>
          <w:i/>
          <w:szCs w:val="22"/>
        </w:rPr>
        <w:t>Macquaria ambigua</w:t>
      </w:r>
      <w:r w:rsidRPr="006B588C">
        <w:rPr>
          <w:bCs/>
          <w:szCs w:val="22"/>
        </w:rPr>
        <w:t>). PLoS ONE 9(5): e96044. doi:10.1371/journal.pone.0096044</w:t>
      </w:r>
    </w:p>
    <w:p w14:paraId="3B4F8C40" w14:textId="77777777" w:rsidR="00F90BDC" w:rsidRPr="00F90BDC" w:rsidRDefault="00F90BDC" w:rsidP="002B3297">
      <w:pPr>
        <w:spacing w:after="240" w:line="320" w:lineRule="exact"/>
        <w:ind w:left="284" w:hanging="284"/>
        <w:jc w:val="left"/>
        <w:rPr>
          <w:rFonts w:asciiTheme="minorHAnsi" w:hAnsiTheme="minorHAnsi" w:cs="Cambria"/>
          <w:lang w:val="en-US"/>
        </w:rPr>
      </w:pPr>
      <w:r w:rsidRPr="00956AE4">
        <w:rPr>
          <w:rFonts w:asciiTheme="minorHAnsi" w:hAnsiTheme="minorHAnsi"/>
          <w:lang w:eastAsia="en-AU"/>
        </w:rPr>
        <w:t>Lamberti, G. A., and A. D. Steinman</w:t>
      </w:r>
      <w:r w:rsidRPr="00F90BDC">
        <w:rPr>
          <w:rFonts w:asciiTheme="minorHAnsi" w:hAnsiTheme="minorHAnsi" w:cs="Cambria"/>
          <w:lang w:val="en-US"/>
        </w:rPr>
        <w:t xml:space="preserve">. </w:t>
      </w:r>
      <w:r w:rsidR="00956AE4">
        <w:rPr>
          <w:rFonts w:asciiTheme="minorHAnsi" w:hAnsiTheme="minorHAnsi" w:cs="Cambria"/>
          <w:lang w:val="en-US"/>
        </w:rPr>
        <w:t>(</w:t>
      </w:r>
      <w:r w:rsidRPr="00F90BDC">
        <w:rPr>
          <w:rFonts w:asciiTheme="minorHAnsi" w:hAnsiTheme="minorHAnsi" w:cs="Cambria"/>
          <w:lang w:val="en-US"/>
        </w:rPr>
        <w:t>1997</w:t>
      </w:r>
      <w:r w:rsidR="00956AE4">
        <w:rPr>
          <w:rFonts w:asciiTheme="minorHAnsi" w:hAnsiTheme="minorHAnsi" w:cs="Cambria"/>
          <w:lang w:val="en-US"/>
        </w:rPr>
        <w:t>)</w:t>
      </w:r>
      <w:r w:rsidRPr="00F90BDC">
        <w:rPr>
          <w:rFonts w:asciiTheme="minorHAnsi" w:hAnsiTheme="minorHAnsi" w:cs="Cambria"/>
          <w:lang w:val="en-US"/>
        </w:rPr>
        <w:t xml:space="preserve"> A Comparison of Primary Production in Stream Ecosystems. </w:t>
      </w:r>
      <w:r w:rsidRPr="002B3297">
        <w:rPr>
          <w:rFonts w:asciiTheme="minorHAnsi" w:hAnsiTheme="minorHAnsi" w:cs="Cambria"/>
          <w:i/>
          <w:lang w:val="en-US"/>
        </w:rPr>
        <w:t>Journal of the North American Benthological Society</w:t>
      </w:r>
      <w:r w:rsidR="002B3297">
        <w:rPr>
          <w:rFonts w:asciiTheme="minorHAnsi" w:hAnsiTheme="minorHAnsi" w:cs="Cambria"/>
          <w:lang w:val="en-US"/>
        </w:rPr>
        <w:t xml:space="preserve"> </w:t>
      </w:r>
      <w:r w:rsidR="002B3297" w:rsidRPr="002B3297">
        <w:rPr>
          <w:rFonts w:asciiTheme="minorHAnsi" w:hAnsiTheme="minorHAnsi" w:cs="Cambria"/>
          <w:b/>
          <w:lang w:val="en-US"/>
        </w:rPr>
        <w:t>16</w:t>
      </w:r>
      <w:r w:rsidR="002B3297">
        <w:rPr>
          <w:rFonts w:asciiTheme="minorHAnsi" w:hAnsiTheme="minorHAnsi" w:cs="Cambria"/>
          <w:lang w:val="en-US"/>
        </w:rPr>
        <w:t xml:space="preserve">, </w:t>
      </w:r>
      <w:r w:rsidRPr="00F90BDC">
        <w:rPr>
          <w:rFonts w:asciiTheme="minorHAnsi" w:hAnsiTheme="minorHAnsi" w:cs="Cambria"/>
          <w:lang w:val="en-US"/>
        </w:rPr>
        <w:t>95.</w:t>
      </w:r>
    </w:p>
    <w:p w14:paraId="3B4F8C41" w14:textId="77777777" w:rsidR="008C5088" w:rsidRPr="00C909E6" w:rsidRDefault="008C5088" w:rsidP="002B32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567" w:hanging="567"/>
        <w:jc w:val="left"/>
        <w:rPr>
          <w:rFonts w:asciiTheme="minorHAnsi" w:hAnsiTheme="minorHAnsi" w:cs="Cambria"/>
          <w:lang w:val="en-US"/>
        </w:rPr>
      </w:pPr>
      <w:r w:rsidRPr="00C909E6">
        <w:rPr>
          <w:rFonts w:asciiTheme="minorHAnsi" w:hAnsiTheme="minorHAnsi" w:cs="Cambria"/>
          <w:lang w:val="en-US"/>
        </w:rPr>
        <w:t xml:space="preserve">Maheshwari, B. L., K. F. Walker, and T. A. McMahon. 1995. Effects of regulation on the flow regime of the river Murray, Australia. </w:t>
      </w:r>
      <w:r w:rsidRPr="006C0327">
        <w:rPr>
          <w:rFonts w:asciiTheme="minorHAnsi" w:hAnsiTheme="minorHAnsi" w:cs="Cambria"/>
          <w:i/>
          <w:lang w:val="en-US"/>
        </w:rPr>
        <w:t>Regulated Rivers Research and Management</w:t>
      </w:r>
      <w:r w:rsidR="006C0327">
        <w:rPr>
          <w:rFonts w:asciiTheme="minorHAnsi" w:hAnsiTheme="minorHAnsi" w:cs="Cambria"/>
          <w:lang w:val="en-US"/>
        </w:rPr>
        <w:t xml:space="preserve"> </w:t>
      </w:r>
      <w:r w:rsidR="006C0327" w:rsidRPr="006C0327">
        <w:rPr>
          <w:rFonts w:asciiTheme="minorHAnsi" w:hAnsiTheme="minorHAnsi" w:cs="Cambria"/>
          <w:b/>
          <w:lang w:val="en-US"/>
        </w:rPr>
        <w:t>10</w:t>
      </w:r>
      <w:r w:rsidR="006C0327">
        <w:rPr>
          <w:rFonts w:asciiTheme="minorHAnsi" w:hAnsiTheme="minorHAnsi" w:cs="Cambria"/>
          <w:lang w:val="en-US"/>
        </w:rPr>
        <w:t xml:space="preserve">, </w:t>
      </w:r>
      <w:r w:rsidRPr="00C909E6">
        <w:rPr>
          <w:rFonts w:asciiTheme="minorHAnsi" w:hAnsiTheme="minorHAnsi" w:cs="Cambria"/>
          <w:lang w:val="en-US"/>
        </w:rPr>
        <w:t>15–38.</w:t>
      </w:r>
    </w:p>
    <w:p w14:paraId="3B4F8C42" w14:textId="77777777" w:rsidR="00470187" w:rsidRDefault="00470187" w:rsidP="002B3297">
      <w:pPr>
        <w:spacing w:after="240" w:line="320" w:lineRule="exact"/>
        <w:ind w:left="284" w:hanging="284"/>
        <w:jc w:val="left"/>
        <w:rPr>
          <w:rFonts w:asciiTheme="minorHAnsi" w:hAnsiTheme="minorHAnsi"/>
        </w:rPr>
      </w:pPr>
      <w:r w:rsidRPr="00EF49CE">
        <w:rPr>
          <w:rFonts w:asciiTheme="minorHAnsi" w:hAnsiTheme="minorHAnsi"/>
        </w:rPr>
        <w:t>Murray Darling Basin Authority (2011) Murray–Darling Basin Authority Annual Report 2010–11. MDBA publication No. 218/11. MDBA, Canberra</w:t>
      </w:r>
    </w:p>
    <w:p w14:paraId="3B4F8C43" w14:textId="77777777" w:rsidR="00EA0242" w:rsidRPr="003F1849" w:rsidRDefault="00EA0242" w:rsidP="002B3297">
      <w:pPr>
        <w:spacing w:after="240" w:line="320" w:lineRule="exact"/>
        <w:ind w:left="284" w:hanging="284"/>
        <w:jc w:val="left"/>
        <w:rPr>
          <w:rFonts w:asciiTheme="minorHAnsi" w:hAnsiTheme="minorHAnsi"/>
          <w:szCs w:val="22"/>
        </w:rPr>
      </w:pPr>
      <w:r w:rsidRPr="00EA0242">
        <w:rPr>
          <w:rFonts w:asciiTheme="minorHAnsi" w:hAnsiTheme="minorHAnsi" w:cs="Century Gothic"/>
          <w:szCs w:val="22"/>
          <w:lang w:eastAsia="en-AU"/>
        </w:rPr>
        <w:t xml:space="preserve">Murray-Darling Basin Authority (2015), </w:t>
      </w:r>
      <w:r w:rsidRPr="00EA0242">
        <w:rPr>
          <w:rFonts w:asciiTheme="minorHAnsi" w:hAnsiTheme="minorHAnsi" w:cs="Century Gothic,Italic"/>
          <w:i/>
          <w:iCs/>
          <w:szCs w:val="22"/>
          <w:lang w:eastAsia="en-AU"/>
        </w:rPr>
        <w:t>Basin environmental watering outlook for 2015–16</w:t>
      </w:r>
      <w:r w:rsidR="003F1849">
        <w:rPr>
          <w:rFonts w:asciiTheme="minorHAnsi" w:hAnsiTheme="minorHAnsi" w:cs="Century Gothic,Italic"/>
          <w:iCs/>
          <w:szCs w:val="22"/>
          <w:lang w:eastAsia="en-AU"/>
        </w:rPr>
        <w:t>, MDBA Canberra.</w:t>
      </w:r>
    </w:p>
    <w:p w14:paraId="3B4F8C44" w14:textId="77777777" w:rsidR="006C0327" w:rsidRPr="006C0327" w:rsidRDefault="006C0327" w:rsidP="002B3297">
      <w:pPr>
        <w:spacing w:after="240" w:line="320" w:lineRule="exact"/>
        <w:ind w:left="284" w:hanging="284"/>
        <w:jc w:val="left"/>
        <w:rPr>
          <w:rFonts w:asciiTheme="minorHAnsi" w:hAnsiTheme="minorHAnsi"/>
        </w:rPr>
      </w:pPr>
      <w:r w:rsidRPr="006C0327">
        <w:rPr>
          <w:rFonts w:asciiTheme="minorHAnsi" w:hAnsiTheme="minorHAnsi"/>
        </w:rPr>
        <w:t>Rowland, S. 2004. Overview of the history, fishery, biology and aquaculture of Murray cod (</w:t>
      </w:r>
      <w:r w:rsidRPr="006C0327">
        <w:rPr>
          <w:rFonts w:asciiTheme="minorHAnsi" w:hAnsiTheme="minorHAnsi"/>
          <w:i/>
        </w:rPr>
        <w:t>Maccullochella peelii peelii</w:t>
      </w:r>
      <w:r w:rsidRPr="006C0327">
        <w:rPr>
          <w:rFonts w:asciiTheme="minorHAnsi" w:hAnsiTheme="minorHAnsi"/>
        </w:rPr>
        <w:t>). Workshop on Management of Murray cod in the Murray-Darling Basin, Canberra. P 38-61.</w:t>
      </w:r>
    </w:p>
    <w:p w14:paraId="3B4F8C45" w14:textId="77777777" w:rsidR="00786A66" w:rsidRPr="00D36D67" w:rsidRDefault="00786A66" w:rsidP="002B3297">
      <w:pPr>
        <w:spacing w:after="240" w:line="320" w:lineRule="exact"/>
        <w:ind w:left="284" w:hanging="284"/>
        <w:jc w:val="left"/>
        <w:rPr>
          <w:rFonts w:cs="Calibri"/>
          <w:bCs/>
        </w:rPr>
      </w:pPr>
      <w:r>
        <w:rPr>
          <w:rFonts w:cs="Calibri"/>
          <w:bCs/>
        </w:rPr>
        <w:t>Song</w:t>
      </w:r>
      <w:r w:rsidRPr="003475D6">
        <w:rPr>
          <w:rFonts w:cs="Calibri"/>
          <w:bCs/>
        </w:rPr>
        <w:t xml:space="preserve"> C., Dod</w:t>
      </w:r>
      <w:r>
        <w:rPr>
          <w:rFonts w:cs="Calibri"/>
          <w:bCs/>
        </w:rPr>
        <w:t>ds W.K., Trentman M.</w:t>
      </w:r>
      <w:r w:rsidRPr="003475D6">
        <w:rPr>
          <w:rFonts w:cs="Calibri"/>
          <w:bCs/>
        </w:rPr>
        <w:t>T.</w:t>
      </w:r>
      <w:r>
        <w:rPr>
          <w:rFonts w:cs="Calibri"/>
          <w:bCs/>
        </w:rPr>
        <w:t>, Rüegg J. &amp; Ballantyne, F. (2016)</w:t>
      </w:r>
      <w:r w:rsidRPr="003475D6">
        <w:rPr>
          <w:rFonts w:cs="Calibri"/>
          <w:bCs/>
        </w:rPr>
        <w:t xml:space="preserve"> Methods of approximation influence aquatic ecosystem metabolism estimates</w:t>
      </w:r>
      <w:r w:rsidRPr="000A05C9">
        <w:rPr>
          <w:rFonts w:cs="Calibri"/>
          <w:bCs/>
          <w:i/>
        </w:rPr>
        <w:t>. Limnology &amp; Oceanography. Methods</w:t>
      </w:r>
      <w:r>
        <w:rPr>
          <w:rFonts w:cs="Calibri"/>
          <w:bCs/>
        </w:rPr>
        <w:t>,</w:t>
      </w:r>
      <w:r w:rsidRPr="003475D6">
        <w:rPr>
          <w:rFonts w:cs="Calibri"/>
          <w:bCs/>
        </w:rPr>
        <w:t xml:space="preserve"> doi:10.1002/lom3.10112</w:t>
      </w:r>
      <w:r>
        <w:rPr>
          <w:rFonts w:cs="Calibri"/>
          <w:bCs/>
        </w:rPr>
        <w:t xml:space="preserve"> </w:t>
      </w:r>
    </w:p>
    <w:p w14:paraId="3B4F8C46" w14:textId="77777777" w:rsidR="00470187" w:rsidRDefault="00470187" w:rsidP="002B3297">
      <w:pPr>
        <w:spacing w:after="240" w:line="320" w:lineRule="exact"/>
        <w:ind w:left="284" w:hanging="284"/>
        <w:jc w:val="left"/>
        <w:rPr>
          <w:rFonts w:asciiTheme="minorHAnsi" w:eastAsia="Times New Roman" w:hAnsiTheme="minorHAnsi"/>
          <w:lang w:eastAsia="en-AU"/>
        </w:rPr>
      </w:pPr>
      <w:r w:rsidRPr="00EF49CE">
        <w:rPr>
          <w:rFonts w:asciiTheme="minorHAnsi" w:eastAsia="Times New Roman" w:hAnsiTheme="minorHAnsi"/>
          <w:lang w:eastAsia="en-AU"/>
        </w:rPr>
        <w:t xml:space="preserve">van Dijk AIJM, Beck HE, Crosbie RS, de Jeu RAM, Liu YY, Podger GM, Timbal B, Viney NR (2013) The Millennium Drought in southeast Australia (2001–2009): Natural and human causes and implications for water resources, ecosystems, economy, and society. </w:t>
      </w:r>
      <w:r w:rsidRPr="002B3297">
        <w:rPr>
          <w:rFonts w:asciiTheme="minorHAnsi" w:eastAsia="Times New Roman" w:hAnsiTheme="minorHAnsi"/>
          <w:i/>
          <w:lang w:eastAsia="en-AU"/>
        </w:rPr>
        <w:t>Water Resources Res</w:t>
      </w:r>
      <w:r w:rsidR="002B3297">
        <w:rPr>
          <w:rFonts w:asciiTheme="minorHAnsi" w:eastAsia="Times New Roman" w:hAnsiTheme="minorHAnsi"/>
          <w:lang w:eastAsia="en-AU"/>
        </w:rPr>
        <w:t xml:space="preserve"> </w:t>
      </w:r>
      <w:r w:rsidR="002B3297" w:rsidRPr="002B3297">
        <w:rPr>
          <w:rFonts w:asciiTheme="minorHAnsi" w:eastAsia="Times New Roman" w:hAnsiTheme="minorHAnsi"/>
          <w:b/>
          <w:lang w:eastAsia="en-AU"/>
        </w:rPr>
        <w:t>49</w:t>
      </w:r>
      <w:r w:rsidR="002B3297">
        <w:rPr>
          <w:rFonts w:asciiTheme="minorHAnsi" w:eastAsia="Times New Roman" w:hAnsiTheme="minorHAnsi"/>
          <w:lang w:eastAsia="en-AU"/>
        </w:rPr>
        <w:t xml:space="preserve">, </w:t>
      </w:r>
      <w:r w:rsidRPr="00EF49CE">
        <w:rPr>
          <w:rFonts w:asciiTheme="minorHAnsi" w:eastAsia="Times New Roman" w:hAnsiTheme="minorHAnsi"/>
          <w:lang w:eastAsia="en-AU"/>
        </w:rPr>
        <w:t>doi:10.1002/wrcr.20123.</w:t>
      </w:r>
    </w:p>
    <w:p w14:paraId="3B4F8C47" w14:textId="77777777" w:rsidR="008463E8" w:rsidRPr="006B588C" w:rsidRDefault="008463E8" w:rsidP="002B3297">
      <w:pPr>
        <w:spacing w:after="240" w:line="320" w:lineRule="exact"/>
        <w:ind w:left="284" w:hanging="284"/>
        <w:jc w:val="left"/>
        <w:rPr>
          <w:bCs/>
          <w:szCs w:val="22"/>
        </w:rPr>
      </w:pPr>
      <w:r w:rsidRPr="006B588C">
        <w:rPr>
          <w:bCs/>
          <w:szCs w:val="22"/>
        </w:rPr>
        <w:t>Watts, R.J. and Healy S. (2015). Long term intervention monitoring project, Edward-Wakool River System Selected Area, Progress Report number 5, September 2015. Charles Sturt University, Institute for Land, Water and Society. Prepared for the Commonwealth Environmental Water Office.</w:t>
      </w:r>
      <w:r>
        <w:rPr>
          <w:bCs/>
          <w:szCs w:val="22"/>
        </w:rPr>
        <w:t xml:space="preserve"> </w:t>
      </w:r>
      <w:r w:rsidRPr="008463E8">
        <w:rPr>
          <w:bCs/>
          <w:szCs w:val="22"/>
        </w:rPr>
        <w:t>https://www.csu.edu.au/research/ilws/research/sra-sustainable-water/edward-wakool-research-project#horizontalTab5</w:t>
      </w:r>
    </w:p>
    <w:p w14:paraId="3B4F8C48" w14:textId="77777777" w:rsidR="008463E8" w:rsidRPr="006B588C" w:rsidRDefault="008463E8" w:rsidP="002B3297">
      <w:pPr>
        <w:spacing w:after="240" w:line="320" w:lineRule="exact"/>
        <w:ind w:left="284" w:hanging="284"/>
        <w:jc w:val="left"/>
        <w:rPr>
          <w:bCs/>
          <w:szCs w:val="22"/>
        </w:rPr>
      </w:pPr>
      <w:r w:rsidRPr="006B588C">
        <w:rPr>
          <w:bCs/>
          <w:szCs w:val="22"/>
        </w:rPr>
        <w:lastRenderedPageBreak/>
        <w:t>Watts R</w:t>
      </w:r>
      <w:r>
        <w:rPr>
          <w:bCs/>
          <w:szCs w:val="22"/>
        </w:rPr>
        <w:t>.</w:t>
      </w:r>
      <w:r w:rsidRPr="006B588C">
        <w:rPr>
          <w:bCs/>
          <w:szCs w:val="22"/>
        </w:rPr>
        <w:t xml:space="preserve"> and Howitt J</w:t>
      </w:r>
      <w:r>
        <w:rPr>
          <w:bCs/>
          <w:szCs w:val="22"/>
        </w:rPr>
        <w:t>.</w:t>
      </w:r>
      <w:r w:rsidRPr="006B588C">
        <w:rPr>
          <w:bCs/>
          <w:szCs w:val="22"/>
        </w:rPr>
        <w:t xml:space="preserve"> (2016) Update #1 on water quality monitoring in the Edward-Wakool system. Institute for Land, Water and Society </w:t>
      </w:r>
      <w:r w:rsidRPr="008463E8">
        <w:rPr>
          <w:bCs/>
          <w:szCs w:val="22"/>
        </w:rPr>
        <w:t>https://www.csu.edu.au/research/ilws/research/sra-sustainable-water/edward-wakool-research-project#horizontalTab5</w:t>
      </w:r>
    </w:p>
    <w:p w14:paraId="3B4F8C49" w14:textId="77777777" w:rsidR="008463E8" w:rsidRPr="006B588C" w:rsidRDefault="008463E8" w:rsidP="002B3297">
      <w:pPr>
        <w:spacing w:after="240" w:line="320" w:lineRule="exact"/>
        <w:ind w:left="284" w:hanging="284"/>
        <w:jc w:val="left"/>
        <w:rPr>
          <w:bCs/>
          <w:szCs w:val="22"/>
        </w:rPr>
      </w:pPr>
      <w:r w:rsidRPr="006B588C">
        <w:rPr>
          <w:bCs/>
          <w:szCs w:val="22"/>
        </w:rPr>
        <w:t>Watts R</w:t>
      </w:r>
      <w:r>
        <w:rPr>
          <w:bCs/>
          <w:szCs w:val="22"/>
        </w:rPr>
        <w:t>.</w:t>
      </w:r>
      <w:r w:rsidRPr="006B588C">
        <w:rPr>
          <w:bCs/>
          <w:szCs w:val="22"/>
        </w:rPr>
        <w:t xml:space="preserve"> and Howitt J</w:t>
      </w:r>
      <w:r>
        <w:rPr>
          <w:bCs/>
          <w:szCs w:val="22"/>
        </w:rPr>
        <w:t>.</w:t>
      </w:r>
      <w:r w:rsidRPr="006B588C">
        <w:rPr>
          <w:bCs/>
          <w:szCs w:val="22"/>
        </w:rPr>
        <w:t xml:space="preserve"> (2016b) Update #2 on water quality monitoring in the Edward-Wakool system. Institute for Land, Water and Society </w:t>
      </w:r>
      <w:r w:rsidRPr="008463E8">
        <w:rPr>
          <w:bCs/>
          <w:szCs w:val="22"/>
        </w:rPr>
        <w:t>https://www.csu.edu.au/research/ilws/research/sra-sustainable-water/edward-wakool-research-project#horizontalTab5</w:t>
      </w:r>
    </w:p>
    <w:p w14:paraId="3B4F8C4A" w14:textId="77777777" w:rsidR="008463E8" w:rsidRPr="006B588C" w:rsidRDefault="008463E8" w:rsidP="002B3297">
      <w:pPr>
        <w:spacing w:after="240" w:line="320" w:lineRule="exact"/>
        <w:ind w:left="284" w:hanging="284"/>
        <w:jc w:val="left"/>
        <w:rPr>
          <w:bCs/>
          <w:szCs w:val="22"/>
        </w:rPr>
      </w:pPr>
      <w:r w:rsidRPr="006B588C">
        <w:rPr>
          <w:bCs/>
          <w:szCs w:val="22"/>
        </w:rPr>
        <w:t>Watts R</w:t>
      </w:r>
      <w:r>
        <w:rPr>
          <w:bCs/>
          <w:szCs w:val="22"/>
        </w:rPr>
        <w:t>.</w:t>
      </w:r>
      <w:r w:rsidRPr="006B588C">
        <w:rPr>
          <w:bCs/>
          <w:szCs w:val="22"/>
        </w:rPr>
        <w:t>, Howitt J</w:t>
      </w:r>
      <w:r>
        <w:rPr>
          <w:bCs/>
          <w:szCs w:val="22"/>
        </w:rPr>
        <w:t>.</w:t>
      </w:r>
      <w:r w:rsidRPr="006B588C">
        <w:rPr>
          <w:bCs/>
          <w:szCs w:val="22"/>
        </w:rPr>
        <w:t xml:space="preserve"> and Abell J</w:t>
      </w:r>
      <w:r>
        <w:rPr>
          <w:bCs/>
          <w:szCs w:val="22"/>
        </w:rPr>
        <w:t>.</w:t>
      </w:r>
      <w:r w:rsidRPr="006B588C">
        <w:rPr>
          <w:bCs/>
          <w:szCs w:val="22"/>
        </w:rPr>
        <w:t xml:space="preserve"> (2016) Monitoring of the algal bloom in the Edward-Wakool system, update #3. Institute for Land, Water and Society</w:t>
      </w:r>
      <w:r>
        <w:rPr>
          <w:bCs/>
          <w:szCs w:val="22"/>
        </w:rPr>
        <w:t xml:space="preserve"> </w:t>
      </w:r>
      <w:r w:rsidRPr="008463E8">
        <w:rPr>
          <w:bCs/>
          <w:szCs w:val="22"/>
        </w:rPr>
        <w:t>https://www.csu.edu.au/research/ilws/research/sra-sustainable-water/edward-wakool-research-project#horizontalTab5</w:t>
      </w:r>
    </w:p>
    <w:p w14:paraId="3B4F8C4B" w14:textId="77777777" w:rsidR="008463E8" w:rsidRPr="006B588C" w:rsidRDefault="008463E8" w:rsidP="002B3297">
      <w:pPr>
        <w:spacing w:after="240" w:line="320" w:lineRule="exact"/>
        <w:ind w:left="284" w:hanging="284"/>
        <w:jc w:val="left"/>
        <w:rPr>
          <w:bCs/>
          <w:szCs w:val="22"/>
        </w:rPr>
      </w:pPr>
      <w:r w:rsidRPr="006B588C">
        <w:rPr>
          <w:bCs/>
          <w:szCs w:val="22"/>
        </w:rPr>
        <w:t>Watts R</w:t>
      </w:r>
      <w:r>
        <w:rPr>
          <w:bCs/>
          <w:szCs w:val="22"/>
        </w:rPr>
        <w:t>.</w:t>
      </w:r>
      <w:r w:rsidRPr="006B588C">
        <w:rPr>
          <w:bCs/>
          <w:szCs w:val="22"/>
        </w:rPr>
        <w:t>J</w:t>
      </w:r>
      <w:r>
        <w:rPr>
          <w:bCs/>
          <w:szCs w:val="22"/>
        </w:rPr>
        <w:t>.</w:t>
      </w:r>
      <w:r w:rsidRPr="006B588C">
        <w:rPr>
          <w:bCs/>
          <w:szCs w:val="22"/>
        </w:rPr>
        <w:t>, Howitt J</w:t>
      </w:r>
      <w:r>
        <w:rPr>
          <w:bCs/>
          <w:szCs w:val="22"/>
        </w:rPr>
        <w:t>.</w:t>
      </w:r>
      <w:r w:rsidRPr="006B588C">
        <w:rPr>
          <w:bCs/>
          <w:szCs w:val="22"/>
        </w:rPr>
        <w:t>A</w:t>
      </w:r>
      <w:r>
        <w:rPr>
          <w:bCs/>
          <w:szCs w:val="22"/>
        </w:rPr>
        <w:t>.</w:t>
      </w:r>
      <w:r w:rsidRPr="006B588C">
        <w:rPr>
          <w:bCs/>
          <w:szCs w:val="22"/>
        </w:rPr>
        <w:t>, McCasker N</w:t>
      </w:r>
      <w:r>
        <w:rPr>
          <w:bCs/>
          <w:szCs w:val="22"/>
        </w:rPr>
        <w:t>.</w:t>
      </w:r>
      <w:r w:rsidRPr="006B588C">
        <w:rPr>
          <w:bCs/>
          <w:szCs w:val="22"/>
        </w:rPr>
        <w:t>, Abell J</w:t>
      </w:r>
      <w:r>
        <w:rPr>
          <w:bCs/>
          <w:szCs w:val="22"/>
        </w:rPr>
        <w:t>.</w:t>
      </w:r>
      <w:r w:rsidRPr="006B588C">
        <w:rPr>
          <w:bCs/>
          <w:szCs w:val="22"/>
        </w:rPr>
        <w:t xml:space="preserve"> and Liu X</w:t>
      </w:r>
      <w:r>
        <w:rPr>
          <w:bCs/>
          <w:szCs w:val="22"/>
        </w:rPr>
        <w:t>.</w:t>
      </w:r>
      <w:r w:rsidRPr="006B588C">
        <w:rPr>
          <w:bCs/>
          <w:szCs w:val="22"/>
        </w:rPr>
        <w:t xml:space="preserve"> (2016b) Monitoring of the algal bloom in the Edward-Wakool system 2016, Update number 4. Institute for Land, Water and Society, Charles Sturt University, Prepared for Commonwealth Environmental Water.</w:t>
      </w:r>
      <w:r>
        <w:rPr>
          <w:bCs/>
          <w:szCs w:val="22"/>
        </w:rPr>
        <w:t xml:space="preserve"> </w:t>
      </w:r>
      <w:r w:rsidRPr="008463E8">
        <w:rPr>
          <w:bCs/>
          <w:szCs w:val="22"/>
        </w:rPr>
        <w:t>https://www.csu.edu.au/research/ilws/research/sra-sustainable-water/edward-wakool-research-project#horizontalTab5</w:t>
      </w:r>
    </w:p>
    <w:p w14:paraId="3B4F8C4C" w14:textId="77777777" w:rsidR="008463E8" w:rsidRPr="006B588C" w:rsidRDefault="008463E8" w:rsidP="002B3297">
      <w:pPr>
        <w:spacing w:after="240" w:line="320" w:lineRule="exact"/>
        <w:ind w:left="284" w:hanging="284"/>
        <w:jc w:val="left"/>
        <w:rPr>
          <w:bCs/>
          <w:szCs w:val="22"/>
        </w:rPr>
      </w:pPr>
      <w:r w:rsidRPr="006B588C">
        <w:rPr>
          <w:bCs/>
          <w:szCs w:val="22"/>
        </w:rPr>
        <w:t xml:space="preserve">Watts RJ, Kopf RK, McCasker N, Howitt JA, Conallin J, Wooden I, and Baumgartner L (in press) Environmental flows from irrigation canal escapes increase dissolved oxygen and prevent fish mortality during a large hypoxic blackwater event. </w:t>
      </w:r>
      <w:r w:rsidRPr="002B3297">
        <w:rPr>
          <w:bCs/>
          <w:i/>
          <w:szCs w:val="22"/>
        </w:rPr>
        <w:t>Environmental Management</w:t>
      </w:r>
    </w:p>
    <w:p w14:paraId="3B4F8C4D" w14:textId="1B4530C3" w:rsidR="008463E8" w:rsidRDefault="008463E8" w:rsidP="002B3297">
      <w:pPr>
        <w:spacing w:after="240" w:line="320" w:lineRule="exact"/>
        <w:ind w:left="284" w:hanging="284"/>
        <w:jc w:val="left"/>
        <w:rPr>
          <w:bCs/>
          <w:szCs w:val="22"/>
        </w:rPr>
      </w:pPr>
      <w:r w:rsidRPr="006B588C">
        <w:rPr>
          <w:bCs/>
          <w:szCs w:val="22"/>
        </w:rPr>
        <w:t>Watts, R.J., McCasker, N., Healy S., Howitt, J., and Abell, J. (2015a). Long term intervention monitoring project, Edward-Wakool River System Selected Area, Progress Report number 6, December 2015. Charles Sturt University, Institute for Land, Water and Society. Prepared for the Commonwealth Environmental Water Office.</w:t>
      </w:r>
      <w:r>
        <w:rPr>
          <w:bCs/>
          <w:szCs w:val="22"/>
        </w:rPr>
        <w:t xml:space="preserve"> </w:t>
      </w:r>
      <w:hyperlink r:id="rId61" w:anchor="horizontalTab5" w:history="1">
        <w:r w:rsidR="00502DE6" w:rsidRPr="00097E1A">
          <w:rPr>
            <w:rStyle w:val="Hyperlink"/>
            <w:bCs/>
            <w:szCs w:val="22"/>
          </w:rPr>
          <w:t>https://www.csu.edu.au/research/ilws/research/sra-sustainable-water/edward-wakool-research-project#horizontalTab5</w:t>
        </w:r>
      </w:hyperlink>
    </w:p>
    <w:p w14:paraId="10953D5D" w14:textId="0F17B6AB" w:rsidR="00502DE6" w:rsidRPr="001B7EC3" w:rsidRDefault="00502DE6" w:rsidP="00891C83">
      <w:pPr>
        <w:spacing w:line="240" w:lineRule="auto"/>
        <w:ind w:left="284" w:right="-1" w:hanging="284"/>
      </w:pPr>
      <w:r>
        <w:rPr>
          <w:bCs/>
          <w:szCs w:val="22"/>
        </w:rPr>
        <w:t>Watts</w:t>
      </w:r>
      <w:r w:rsidRPr="00A83656">
        <w:rPr>
          <w:bCs/>
          <w:szCs w:val="22"/>
        </w:rPr>
        <w:t xml:space="preserve"> R.J.</w:t>
      </w:r>
      <w:r>
        <w:rPr>
          <w:bCs/>
          <w:szCs w:val="22"/>
        </w:rPr>
        <w:t>, McCasker</w:t>
      </w:r>
      <w:r w:rsidRPr="00A83656">
        <w:rPr>
          <w:bCs/>
          <w:szCs w:val="22"/>
        </w:rPr>
        <w:t xml:space="preserve"> N., </w:t>
      </w:r>
      <w:r>
        <w:rPr>
          <w:bCs/>
          <w:szCs w:val="22"/>
        </w:rPr>
        <w:t>Thiem</w:t>
      </w:r>
      <w:r w:rsidRPr="00A83656">
        <w:rPr>
          <w:bCs/>
          <w:szCs w:val="22"/>
        </w:rPr>
        <w:t xml:space="preserve"> J.</w:t>
      </w:r>
      <w:r w:rsidRPr="00A83656">
        <w:rPr>
          <w:bCs/>
          <w:szCs w:val="22"/>
          <w:vertAlign w:val="superscript"/>
        </w:rPr>
        <w:t xml:space="preserve"> </w:t>
      </w:r>
      <w:r w:rsidRPr="00A83656">
        <w:rPr>
          <w:bCs/>
          <w:szCs w:val="22"/>
        </w:rPr>
        <w:t xml:space="preserve">, </w:t>
      </w:r>
      <w:r>
        <w:rPr>
          <w:bCs/>
          <w:szCs w:val="22"/>
        </w:rPr>
        <w:t>Howitt</w:t>
      </w:r>
      <w:r w:rsidRPr="00A83656">
        <w:rPr>
          <w:bCs/>
          <w:szCs w:val="22"/>
        </w:rPr>
        <w:t xml:space="preserve"> J.A., </w:t>
      </w:r>
      <w:r>
        <w:rPr>
          <w:bCs/>
          <w:szCs w:val="22"/>
        </w:rPr>
        <w:t>Grace</w:t>
      </w:r>
      <w:r w:rsidRPr="00A83656">
        <w:rPr>
          <w:bCs/>
          <w:szCs w:val="22"/>
        </w:rPr>
        <w:t xml:space="preserve"> M.</w:t>
      </w:r>
      <w:r>
        <w:rPr>
          <w:bCs/>
          <w:szCs w:val="22"/>
        </w:rPr>
        <w:t>, Healy</w:t>
      </w:r>
      <w:r w:rsidRPr="00A83656">
        <w:rPr>
          <w:bCs/>
          <w:szCs w:val="22"/>
        </w:rPr>
        <w:t xml:space="preserve"> S., K</w:t>
      </w:r>
      <w:r>
        <w:rPr>
          <w:bCs/>
          <w:szCs w:val="22"/>
        </w:rPr>
        <w:t>opf</w:t>
      </w:r>
      <w:r w:rsidRPr="00A83656">
        <w:rPr>
          <w:bCs/>
          <w:szCs w:val="22"/>
        </w:rPr>
        <w:t xml:space="preserve"> R.K., </w:t>
      </w:r>
      <w:r>
        <w:rPr>
          <w:bCs/>
          <w:szCs w:val="22"/>
        </w:rPr>
        <w:t>Dyer</w:t>
      </w:r>
      <w:r w:rsidRPr="00A83656">
        <w:rPr>
          <w:bCs/>
          <w:szCs w:val="22"/>
        </w:rPr>
        <w:t xml:space="preserve"> J.G.</w:t>
      </w:r>
      <w:r>
        <w:rPr>
          <w:bCs/>
          <w:szCs w:val="22"/>
        </w:rPr>
        <w:t>, Conallin</w:t>
      </w:r>
      <w:r w:rsidRPr="00A83656">
        <w:rPr>
          <w:bCs/>
          <w:szCs w:val="22"/>
        </w:rPr>
        <w:t xml:space="preserve"> A.</w:t>
      </w:r>
      <w:r>
        <w:rPr>
          <w:bCs/>
          <w:szCs w:val="22"/>
        </w:rPr>
        <w:t xml:space="preserve">, </w:t>
      </w:r>
      <w:r w:rsidRPr="00A83656">
        <w:rPr>
          <w:bCs/>
          <w:szCs w:val="22"/>
        </w:rPr>
        <w:t>Wooden I., Baumgartner L.</w:t>
      </w:r>
      <w:r>
        <w:rPr>
          <w:bCs/>
          <w:szCs w:val="22"/>
        </w:rPr>
        <w:t>, Bowen P. (2014</w:t>
      </w:r>
      <w:r w:rsidRPr="001B7EC3">
        <w:rPr>
          <w:bCs/>
          <w:szCs w:val="22"/>
        </w:rPr>
        <w:t xml:space="preserve">). Monitoring the ecosystem responses to Commonwealth environmental water delivered to the </w:t>
      </w:r>
      <w:r>
        <w:rPr>
          <w:bCs/>
          <w:szCs w:val="22"/>
        </w:rPr>
        <w:t>Edward-Wakool river system, 2013-14</w:t>
      </w:r>
      <w:r w:rsidRPr="001B7EC3">
        <w:rPr>
          <w:bCs/>
          <w:szCs w:val="22"/>
        </w:rPr>
        <w:t>. Institute for Land, Water and Society, Charles S</w:t>
      </w:r>
      <w:r>
        <w:rPr>
          <w:bCs/>
          <w:szCs w:val="22"/>
        </w:rPr>
        <w:t>turt University, Final Report</w:t>
      </w:r>
      <w:r w:rsidRPr="001B7EC3">
        <w:rPr>
          <w:bCs/>
          <w:szCs w:val="22"/>
        </w:rPr>
        <w:t xml:space="preserve">. Prepared for </w:t>
      </w:r>
      <w:r w:rsidRPr="001B7EC3">
        <w:t>Co</w:t>
      </w:r>
      <w:r>
        <w:t>mmonwealth Environmental Water.</w:t>
      </w:r>
    </w:p>
    <w:p w14:paraId="3B4F8C4E" w14:textId="77777777" w:rsidR="00DC5601" w:rsidRPr="00BB1AD5" w:rsidRDefault="00DC5601" w:rsidP="002B3297">
      <w:pPr>
        <w:spacing w:after="240" w:line="320" w:lineRule="exact"/>
        <w:ind w:left="284" w:hanging="284"/>
        <w:jc w:val="left"/>
        <w:rPr>
          <w:szCs w:val="22"/>
        </w:rPr>
      </w:pPr>
      <w:r w:rsidRPr="00BB1AD5">
        <w:rPr>
          <w:bCs/>
          <w:szCs w:val="22"/>
        </w:rPr>
        <w:t>Watts R., McCasker N., Thiem J., Howitt J., Grace M., Kopf R., Healy S. &amp; Bond N. (2015</w:t>
      </w:r>
      <w:r w:rsidR="00BB1AD5">
        <w:rPr>
          <w:bCs/>
          <w:szCs w:val="22"/>
        </w:rPr>
        <w:t>b</w:t>
      </w:r>
      <w:r w:rsidRPr="00BB1AD5">
        <w:rPr>
          <w:bCs/>
          <w:szCs w:val="22"/>
        </w:rPr>
        <w:t xml:space="preserve">) </w:t>
      </w:r>
      <w:r w:rsidRPr="00BB1AD5">
        <w:rPr>
          <w:bCs/>
          <w:i/>
          <w:szCs w:val="22"/>
        </w:rPr>
        <w:t>Commonwealth Environmental Water Office Long Term Intervention Monitoring Project: Edward-Wakool Selected Area Technical Report, 2014-15</w:t>
      </w:r>
      <w:r w:rsidRPr="00BB1AD5">
        <w:rPr>
          <w:bCs/>
          <w:szCs w:val="22"/>
        </w:rPr>
        <w:t xml:space="preserve">. Prepared for </w:t>
      </w:r>
      <w:r w:rsidRPr="00BB1AD5">
        <w:rPr>
          <w:szCs w:val="22"/>
        </w:rPr>
        <w:t xml:space="preserve">Commonwealth Environmental Water Office. </w:t>
      </w:r>
    </w:p>
    <w:p w14:paraId="3B4F8C4F" w14:textId="77777777" w:rsidR="008463E8" w:rsidRPr="006B588C" w:rsidRDefault="008463E8" w:rsidP="002B3297">
      <w:pPr>
        <w:spacing w:after="240" w:line="320" w:lineRule="exact"/>
        <w:ind w:left="284" w:hanging="284"/>
        <w:jc w:val="left"/>
        <w:rPr>
          <w:bCs/>
          <w:szCs w:val="22"/>
        </w:rPr>
      </w:pPr>
      <w:r w:rsidRPr="006B588C">
        <w:rPr>
          <w:bCs/>
          <w:szCs w:val="22"/>
        </w:rPr>
        <w:lastRenderedPageBreak/>
        <w:t>Watts, R.J., Thiem, J., Howitt, J., McCasker, N., Kopf, R., Healy S and Abell, J. (2016a). Long term intervention monitoring project, Edward-Wakool River System Selected Area, Progress Report number 7, March 2016. Charles Sturt University, Institute for Land, Water and Society. Prepared for the Commonwealth Environmental Water Office.</w:t>
      </w:r>
      <w:r>
        <w:rPr>
          <w:bCs/>
          <w:szCs w:val="22"/>
        </w:rPr>
        <w:t xml:space="preserve"> </w:t>
      </w:r>
      <w:r w:rsidRPr="008463E8">
        <w:rPr>
          <w:bCs/>
          <w:szCs w:val="22"/>
        </w:rPr>
        <w:t>https://www.csu.edu.au/research/ilws/research/sra-sustainable-water/edward-wakool-research-project#horizontalTab5</w:t>
      </w:r>
    </w:p>
    <w:p w14:paraId="3B4F8C50" w14:textId="77777777" w:rsidR="008463E8" w:rsidRDefault="00470187" w:rsidP="002B3297">
      <w:pPr>
        <w:spacing w:after="240" w:line="320" w:lineRule="exact"/>
        <w:ind w:left="284" w:hanging="284"/>
        <w:jc w:val="left"/>
        <w:rPr>
          <w:bCs/>
          <w:szCs w:val="22"/>
        </w:rPr>
      </w:pPr>
      <w:r w:rsidRPr="00BB1AD5">
        <w:rPr>
          <w:rFonts w:asciiTheme="minorHAnsi" w:eastAsia="Times New Roman" w:hAnsiTheme="minorHAnsi"/>
          <w:szCs w:val="22"/>
          <w:lang w:eastAsia="en-AU"/>
        </w:rPr>
        <w:t>Whitworth KL, Baldwin DS, Kerr JL (2012) Drought,</w:t>
      </w:r>
      <w:r w:rsidRPr="00EF49CE">
        <w:rPr>
          <w:rFonts w:asciiTheme="minorHAnsi" w:eastAsia="Times New Roman" w:hAnsiTheme="minorHAnsi"/>
          <w:lang w:eastAsia="en-AU"/>
        </w:rPr>
        <w:t xml:space="preserve"> floods and water quality: drivers of a severe hypoxic blackwater event in a major river system (the southern Murray–Darling Basin, Australia). </w:t>
      </w:r>
      <w:r w:rsidRPr="002B3297">
        <w:rPr>
          <w:rFonts w:asciiTheme="minorHAnsi" w:eastAsia="Times New Roman" w:hAnsiTheme="minorHAnsi"/>
          <w:i/>
          <w:iCs/>
          <w:lang w:eastAsia="en-AU"/>
        </w:rPr>
        <w:t>Journal of Hydrology</w:t>
      </w:r>
      <w:r w:rsidR="002B3297">
        <w:rPr>
          <w:rFonts w:asciiTheme="minorHAnsi" w:eastAsia="Times New Roman" w:hAnsiTheme="minorHAnsi"/>
          <w:lang w:eastAsia="en-AU"/>
        </w:rPr>
        <w:t xml:space="preserve"> </w:t>
      </w:r>
      <w:r w:rsidR="002B3297" w:rsidRPr="002B3297">
        <w:rPr>
          <w:rFonts w:asciiTheme="minorHAnsi" w:eastAsia="Times New Roman" w:hAnsiTheme="minorHAnsi"/>
          <w:b/>
          <w:lang w:eastAsia="en-AU"/>
        </w:rPr>
        <w:t>450</w:t>
      </w:r>
      <w:r w:rsidR="002B3297">
        <w:rPr>
          <w:rFonts w:asciiTheme="minorHAnsi" w:eastAsia="Times New Roman" w:hAnsiTheme="minorHAnsi"/>
          <w:lang w:eastAsia="en-AU"/>
        </w:rPr>
        <w:t xml:space="preserve">, </w:t>
      </w:r>
      <w:r w:rsidRPr="00EF49CE">
        <w:rPr>
          <w:rFonts w:asciiTheme="minorHAnsi" w:eastAsia="Times New Roman" w:hAnsiTheme="minorHAnsi"/>
          <w:lang w:eastAsia="en-AU"/>
        </w:rPr>
        <w:t>190-198.</w:t>
      </w:r>
      <w:r w:rsidR="008463E8" w:rsidRPr="008463E8">
        <w:rPr>
          <w:bCs/>
          <w:szCs w:val="22"/>
        </w:rPr>
        <w:t xml:space="preserve"> </w:t>
      </w:r>
    </w:p>
    <w:p w14:paraId="3B4F8C51" w14:textId="77777777" w:rsidR="008463E8" w:rsidRPr="006B588C" w:rsidRDefault="008463E8" w:rsidP="002B3297">
      <w:pPr>
        <w:spacing w:after="240" w:line="320" w:lineRule="exact"/>
        <w:ind w:left="284" w:hanging="284"/>
        <w:jc w:val="left"/>
        <w:rPr>
          <w:bCs/>
          <w:szCs w:val="22"/>
        </w:rPr>
      </w:pPr>
      <w:r w:rsidRPr="006B588C">
        <w:rPr>
          <w:bCs/>
          <w:szCs w:val="22"/>
        </w:rPr>
        <w:t>Whitworth KL, Kerr JL, Mosley LM, Conallin J, Hardwick L, Baldwin DS (2013) Options for managing hypoxic blackwater in river systems: case studies and framewo</w:t>
      </w:r>
      <w:r w:rsidR="002B3297">
        <w:rPr>
          <w:bCs/>
          <w:szCs w:val="22"/>
        </w:rPr>
        <w:t xml:space="preserve">rk. </w:t>
      </w:r>
      <w:r w:rsidR="002B3297" w:rsidRPr="002B3297">
        <w:rPr>
          <w:bCs/>
          <w:i/>
          <w:szCs w:val="22"/>
        </w:rPr>
        <w:t xml:space="preserve">Environmental Management </w:t>
      </w:r>
      <w:r w:rsidR="002B3297" w:rsidRPr="002B3297">
        <w:rPr>
          <w:b/>
          <w:bCs/>
          <w:szCs w:val="22"/>
        </w:rPr>
        <w:t>52</w:t>
      </w:r>
      <w:r w:rsidR="002B3297">
        <w:rPr>
          <w:bCs/>
          <w:szCs w:val="22"/>
        </w:rPr>
        <w:t>,</w:t>
      </w:r>
      <w:r w:rsidRPr="006B588C">
        <w:rPr>
          <w:bCs/>
          <w:szCs w:val="22"/>
        </w:rPr>
        <w:t xml:space="preserve"> 837-850.</w:t>
      </w:r>
    </w:p>
    <w:p w14:paraId="3B4F8C52" w14:textId="77777777" w:rsidR="006B588C" w:rsidRPr="008463E8" w:rsidRDefault="006B588C" w:rsidP="008463E8">
      <w:pPr>
        <w:spacing w:after="240" w:line="320" w:lineRule="exact"/>
        <w:ind w:left="284" w:hanging="284"/>
        <w:jc w:val="left"/>
        <w:rPr>
          <w:bCs/>
          <w:szCs w:val="22"/>
        </w:rPr>
        <w:sectPr w:rsidR="006B588C" w:rsidRPr="008463E8" w:rsidSect="0088257B">
          <w:footerReference w:type="default" r:id="rId62"/>
          <w:pgSz w:w="11906" w:h="16838"/>
          <w:pgMar w:top="1440" w:right="1701" w:bottom="1440" w:left="1701" w:header="709" w:footer="709" w:gutter="0"/>
          <w:cols w:space="708"/>
          <w:docGrid w:linePitch="360"/>
        </w:sectPr>
      </w:pPr>
    </w:p>
    <w:p w14:paraId="3B4F8C53" w14:textId="77777777" w:rsidR="008E6212" w:rsidRPr="00A03B26" w:rsidRDefault="008E6212" w:rsidP="00417F7C">
      <w:pPr>
        <w:pStyle w:val="Heading1"/>
      </w:pPr>
      <w:bookmarkStart w:id="38" w:name="_Toc484078418"/>
      <w:r w:rsidRPr="00A03B26">
        <w:lastRenderedPageBreak/>
        <w:t>Appendix A: Water Quality &amp; Carbon</w:t>
      </w:r>
      <w:bookmarkEnd w:id="38"/>
    </w:p>
    <w:p w14:paraId="3B4F8C54" w14:textId="77777777" w:rsidR="00312313" w:rsidRDefault="00312313" w:rsidP="008E6212">
      <w:pPr>
        <w:tabs>
          <w:tab w:val="left" w:pos="9071"/>
        </w:tabs>
        <w:spacing w:after="240"/>
        <w:ind w:right="-1"/>
        <w:jc w:val="left"/>
        <w:rPr>
          <w:b/>
          <w:color w:val="4F6228" w:themeColor="accent3" w:themeShade="80"/>
          <w:sz w:val="24"/>
          <w:szCs w:val="24"/>
        </w:rPr>
      </w:pPr>
    </w:p>
    <w:p w14:paraId="3B4F8C55" w14:textId="77777777" w:rsidR="008E6212" w:rsidRPr="00F13819" w:rsidRDefault="008E6212" w:rsidP="008E6212">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t xml:space="preserve">A.1   </w:t>
      </w:r>
      <w:r w:rsidRPr="00F13819">
        <w:rPr>
          <w:b/>
          <w:color w:val="4F6228" w:themeColor="accent3" w:themeShade="80"/>
          <w:sz w:val="24"/>
          <w:szCs w:val="24"/>
        </w:rPr>
        <w:t>Background</w:t>
      </w:r>
    </w:p>
    <w:p w14:paraId="3B4F8C56" w14:textId="77777777" w:rsidR="008E6212" w:rsidRDefault="008E6212" w:rsidP="008E6212">
      <w:pPr>
        <w:tabs>
          <w:tab w:val="left" w:pos="9071"/>
        </w:tabs>
        <w:spacing w:after="240" w:line="320" w:lineRule="exact"/>
        <w:ind w:right="-1"/>
        <w:jc w:val="left"/>
      </w:pPr>
      <w:r>
        <w:t xml:space="preserve">Flow plays an important role in the maintenance of water quality in lowland rivers and water quality parameters will often respond to changes in flow regimes very quickly. High flow events can result in exchange of carbon and nutrients between the river and the floodplain, or previously disconnected areas of the channel </w:t>
      </w:r>
      <w:r w:rsidR="000B5FD7">
        <w:fldChar w:fldCharType="begin">
          <w:fldData xml:space="preserve">PEVuZE5vdGU+PENpdGU+PEF1dGhvcj5CYWxkd2luPC9BdXRob3I+PFllYXI+MTk5OTwvWWVhcj48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</w:fldData>
        </w:fldChar>
      </w:r>
      <w:r>
        <w:instrText xml:space="preserve"> ADDIN EN.CITE </w:instrText>
      </w:r>
      <w:r w:rsidR="000B5FD7">
        <w:fldChar w:fldCharType="begin">
          <w:fldData xml:space="preserve">PEVuZE5vdGU+PENpdGU+PEF1dGhvcj5CYWxkd2luPC9BdXRob3I+PFllYXI+MTk5OTwvWWVhcj48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</w:fldData>
        </w:fldChar>
      </w:r>
      <w:r>
        <w:instrText xml:space="preserve"> ADDIN EN.CITE.DATA </w:instrText>
      </w:r>
      <w:r w:rsidR="000B5FD7">
        <w:fldChar w:fldCharType="end"/>
      </w:r>
      <w:r w:rsidR="000B5FD7">
        <w:fldChar w:fldCharType="separate"/>
      </w:r>
      <w:r>
        <w:rPr>
          <w:noProof/>
        </w:rPr>
        <w:t>(Baldwin 1999; Baldwin and Mitchell 2000; Robertson, Burns</w:t>
      </w:r>
      <w:r w:rsidRPr="00913094">
        <w:rPr>
          <w:i/>
          <w:noProof/>
        </w:rPr>
        <w:t xml:space="preserve"> </w:t>
      </w:r>
      <w:r w:rsidRPr="00115A7E">
        <w:rPr>
          <w:noProof/>
        </w:rPr>
        <w:t>et al.</w:t>
      </w:r>
      <w:r>
        <w:rPr>
          <w:noProof/>
        </w:rPr>
        <w:t xml:space="preserve"> 2016)</w:t>
      </w:r>
      <w:r w:rsidR="000B5FD7">
        <w:fldChar w:fldCharType="end"/>
      </w:r>
      <w:r>
        <w:t xml:space="preserve"> and environmental flows have a key role to play i</w:t>
      </w:r>
      <w:r w:rsidR="0077301B">
        <w:t>n restoring carbon exchange that</w:t>
      </w:r>
      <w:r>
        <w:t xml:space="preserve"> has been lost due to extensive river regulation and modification of channel and bank features </w:t>
      </w:r>
      <w:r w:rsidR="000B5FD7">
        <w:fldChar w:fldCharType="begin"/>
      </w:r>
      <w:r>
        <w:instrText xml:space="preserve"> ADDIN EN.CITE &lt;EndNote&gt;&lt;Cite&gt;&lt;Author&gt;Baldwin&lt;/Author&gt;&lt;Year&gt;2016&lt;/Year&gt;&lt;RecNum&gt;1819&lt;/RecNum&gt;&lt;DisplayText&gt;(Baldwin, Colloff&lt;style face="italic"&gt; et al.&lt;/style&gt; 2016)&lt;/DisplayText&gt;&lt;record&gt;&lt;rec-number&gt;1819&lt;/rec-number&gt;&lt;foreign-keys&gt;&lt;key app="EN" db-id="s29ddxw9p900s9ef22lv2wprd9wr9rtp20ps" timestamp="1470634986"&gt;1819&lt;/key&gt;&lt;/foreign-keys&gt;&lt;ref-type name="Journal Article"&gt;17&lt;/ref-type&gt;&lt;contributors&gt;&lt;authors&gt;&lt;author&gt;Baldwin, Darren S.&lt;/author&gt;&lt;author&gt;Colloff, Matthew J.&lt;/author&gt;&lt;author&gt;Mitrovic, Simon M.&lt;/author&gt;&lt;author&gt;Bond, Nick R.&lt;/author&gt;&lt;author&gt;Wolfenden, Ben&lt;/author&gt;&lt;/authors&gt;&lt;/contributors&gt;&lt;titles&gt;&lt;title&gt;Restoring dissolved organic carbon subsidies from floodplains to lowland river food webs: a role for environmental flows?&lt;/title&gt;&lt;secondary-title&gt;Marine and Freshwater Research&lt;/secondary-title&gt;&lt;/titles&gt;&lt;periodical&gt;&lt;full-title&gt;Marine and Freshwater Research&lt;/full-title&gt;&lt;/periodical&gt;&lt;keywords&gt;&lt;keyword&gt;bioenergetics modelling, C, levee, Murray–Darling Basin.&lt;/keyword&gt;&lt;/keywords&gt;&lt;dates&gt;&lt;year&gt;2016&lt;/year&gt;&lt;/dates&gt;&lt;urls&gt;&lt;related-urls&gt;&lt;url&gt;http://dx.doi.org/10.1071/MF15382&lt;/url&gt;&lt;/related-urls&gt;&lt;/urls&gt;&lt;/record&gt;&lt;/Cite&gt;&lt;/EndNote&gt;</w:instrText>
      </w:r>
      <w:r w:rsidR="000B5FD7">
        <w:fldChar w:fldCharType="separate"/>
      </w:r>
      <w:r>
        <w:rPr>
          <w:noProof/>
        </w:rPr>
        <w:t>(Baldwin, Colloff</w:t>
      </w:r>
      <w:r w:rsidRPr="00913094">
        <w:rPr>
          <w:i/>
          <w:noProof/>
        </w:rPr>
        <w:t xml:space="preserve"> </w:t>
      </w:r>
      <w:r w:rsidR="00115A7E" w:rsidRPr="00115A7E">
        <w:rPr>
          <w:noProof/>
        </w:rPr>
        <w:t>et al.</w:t>
      </w:r>
      <w:r w:rsidR="00115A7E">
        <w:rPr>
          <w:noProof/>
        </w:rPr>
        <w:t xml:space="preserve"> </w:t>
      </w:r>
      <w:r>
        <w:rPr>
          <w:noProof/>
        </w:rPr>
        <w:t>2016)</w:t>
      </w:r>
      <w:r w:rsidR="000B5FD7">
        <w:fldChar w:fldCharType="end"/>
      </w:r>
      <w:r>
        <w:t>. In other instances increased flow may result in lowered concentrations of key water quality parameters as a result of dilution, depending on the source of the water and its immediate history of co</w:t>
      </w:r>
      <w:r w:rsidR="0077301B">
        <w:t xml:space="preserve">nnectivity with the catchment. </w:t>
      </w:r>
      <w:r>
        <w:t xml:space="preserve">Whether changes in flow have positive or negative impacts on water quality depends on the initial water quality as well as the specific flow conditions, time of year and other catchment effects. </w:t>
      </w:r>
      <w:r w:rsidRPr="00D50F65">
        <w:t xml:space="preserve"> </w:t>
      </w:r>
      <w:r w:rsidRPr="00EE08C6">
        <w:t xml:space="preserve">Dissolved oxygen and temperature are affected by flow through changes in water volume, depth, turbulence and through indirect processes, such as alterations in rates of bacterial metabolism and photosynthesis. </w:t>
      </w:r>
    </w:p>
    <w:p w14:paraId="3B4F8C57" w14:textId="77777777" w:rsidR="008E6212" w:rsidRDefault="008E6212" w:rsidP="008E6212">
      <w:pPr>
        <w:spacing w:after="240" w:line="320" w:lineRule="exact"/>
        <w:jc w:val="left"/>
      </w:pPr>
      <w:r w:rsidRPr="004372F5">
        <w:t>Australian riverine ecosystems can be heavily reliant on both algal and terrestrial dissolved organic matter for microbial productivity and can be limited by dissolved organic carbon concentrations</w:t>
      </w:r>
      <w:r>
        <w:t xml:space="preserve"> </w:t>
      </w:r>
      <w:r w:rsidR="000B5FD7">
        <w:fldChar w:fldCharType="begin">
          <w:fldData xml:space="preserve">PEVuZE5vdGU+PENpdGU+PEF1dGhvcj5IYWR3ZW48L0F1dGhvcj48WWVhcj4yMDEwPC9ZZWFyPjxS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</w:fldData>
        </w:fldChar>
      </w:r>
      <w:r>
        <w:instrText xml:space="preserve"> ADDIN EN.CITE </w:instrText>
      </w:r>
      <w:r w:rsidR="000B5FD7">
        <w:fldChar w:fldCharType="begin">
          <w:fldData xml:space="preserve">PEVuZE5vdGU+PENpdGU+PEF1dGhvcj5IYWR3ZW48L0F1dGhvcj48WWVhcj4yMDEwPC9ZZWFyPjxS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</w:fldData>
        </w:fldChar>
      </w:r>
      <w:r>
        <w:instrText xml:space="preserve"> ADDIN EN.CITE.DATA </w:instrText>
      </w:r>
      <w:r w:rsidR="000B5FD7">
        <w:fldChar w:fldCharType="end"/>
      </w:r>
      <w:r w:rsidR="000B5FD7">
        <w:fldChar w:fldCharType="separate"/>
      </w:r>
      <w:r>
        <w:rPr>
          <w:noProof/>
        </w:rPr>
        <w:t>(Hadwen, Fellows</w:t>
      </w:r>
      <w:r w:rsidR="00115A7E" w:rsidRPr="00913094">
        <w:rPr>
          <w:i/>
          <w:noProof/>
        </w:rPr>
        <w:t xml:space="preserve"> </w:t>
      </w:r>
      <w:r w:rsidR="00115A7E" w:rsidRPr="00115A7E">
        <w:rPr>
          <w:noProof/>
        </w:rPr>
        <w:t>et al.</w:t>
      </w:r>
      <w:r>
        <w:rPr>
          <w:noProof/>
        </w:rPr>
        <w:t xml:space="preserve"> 2010)</w:t>
      </w:r>
      <w:r w:rsidR="000B5FD7">
        <w:fldChar w:fldCharType="end"/>
      </w:r>
      <w:r>
        <w:t xml:space="preserve">. Aquatic environments naturally have quite variable dissolved organic matter concentrations and there are no optimal concentrations or trigger values provided for organic matter </w:t>
      </w:r>
      <w:r w:rsidR="000B5FD7">
        <w:fldChar w:fldCharType="begin"/>
      </w:r>
      <w:r>
        <w:instrText xml:space="preserve"> ADDIN EN.CITE &lt;EndNote&gt;&lt;Cite&gt;&lt;Author&gt;ANZECC&lt;/Author&gt;&lt;Year&gt;2000&lt;/Year&gt;&lt;RecNum&gt;649&lt;/RecNum&gt;&lt;DisplayText&gt;(ANZECC 2000)&lt;/DisplayText&gt;&lt;record&gt;&lt;rec-number&gt;649&lt;/rec-number&gt;&lt;foreign-keys&gt;&lt;key app="EN" db-id="s29ddxw9p900s9ef22lv2wprd9wr9rtp20ps" timestamp="0"&gt;649&lt;/key&gt;&lt;/foreign-keys&gt;&lt;ref-type name="Report"&gt;27&lt;/ref-type&gt;&lt;contributors&gt;&lt;authors&gt;&lt;author&gt;ANZECC,&lt;/author&gt;&lt;/authors&gt;&lt;tertiary-authors&gt;&lt;author&gt;Australian and New Zealand Environment and Conservation Council &amp;amp; Agriculture and Resource Management Council of Australia and New Zealand,&lt;/author&gt;&lt;/tertiary-authors&gt;&lt;/contributors&gt;&lt;titles&gt;&lt;title&gt;National Water Quality Management Strategy: Australian and New Zealand guidelines for fresh and marine water quality.  &lt;/title&gt;&lt;/titles&gt;&lt;dates&gt;&lt;year&gt;2000&lt;/year&gt;&lt;/dates&gt;&lt;pub-location&gt;Canberra&lt;/pub-location&gt;&lt;publisher&gt;Australian and New Zealand Environment and Conservation Council &amp;amp; Agriculture and Resource Management Council of Australia and New Zealand,&lt;/publisher&gt;&lt;label&gt;8000a&lt;/label&gt;&lt;urls&gt;&lt;/urls&gt;&lt;/record&gt;&lt;/Cite&gt;&lt;/EndNote&gt;</w:instrText>
      </w:r>
      <w:r w:rsidR="000B5FD7">
        <w:fldChar w:fldCharType="separate"/>
      </w:r>
      <w:r>
        <w:rPr>
          <w:noProof/>
        </w:rPr>
        <w:t>(ANZECC 2000)</w:t>
      </w:r>
      <w:r w:rsidR="000B5FD7">
        <w:fldChar w:fldCharType="end"/>
      </w:r>
      <w:r>
        <w:t>.</w:t>
      </w:r>
      <w:r w:rsidRPr="004372F5">
        <w:t xml:space="preserve"> </w:t>
      </w:r>
    </w:p>
    <w:p w14:paraId="3B4F8C58" w14:textId="77777777" w:rsidR="008E6212" w:rsidRPr="004372F5" w:rsidRDefault="006000CC" w:rsidP="008E6212">
      <w:pPr>
        <w:spacing w:after="240" w:line="320" w:lineRule="exact"/>
        <w:jc w:val="left"/>
      </w:pPr>
      <w:r>
        <w:t>Dissolved</w:t>
      </w:r>
      <w:r w:rsidR="008E6212">
        <w:t xml:space="preserve"> organic matter </w:t>
      </w:r>
      <w:r>
        <w:t xml:space="preserve">composition in </w:t>
      </w:r>
      <w:r w:rsidR="008E6212">
        <w:t>river</w:t>
      </w:r>
      <w:r>
        <w:t>s includes</w:t>
      </w:r>
      <w:r w:rsidR="008E6212">
        <w:t xml:space="preserve"> a complex mixture of compounds with very different properties and variable availability to the microbial population. Nonhumic substances include relatively simple compounds belonging to recognised groups such as carbohydrates, proteins, peptides, fats and other low molecular weight organic compounds.  However, the much larger molecules that make up the category of humic substances (including humic and fulvic acids) can dominate in many waters and in contrast are poorly characterised (Choudhry 1984). Humic substances are predominantly derived from the processing of plant residues and can involve complex chains and aromatic rings which contribute to their strong yellow-brown colour. </w:t>
      </w:r>
      <w:r w:rsidR="008E6212" w:rsidRPr="004372F5">
        <w:t>Microbial communities do not respond to all types of organic matter in the same way</w:t>
      </w:r>
      <w:r w:rsidR="008E6212">
        <w:t xml:space="preserve"> </w:t>
      </w:r>
      <w:r w:rsidR="000B5FD7">
        <w:fldChar w:fldCharType="begin">
          <w:fldData xml:space="preserve">PEVuZE5vdGU+PENpdGU+PEF1dGhvcj5CYWxkd2luPC9BdXRob3I+PFllYXI+MTk5OTwvWWVhcj48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</w:fldData>
        </w:fldChar>
      </w:r>
      <w:r w:rsidR="008E6212">
        <w:instrText xml:space="preserve"> ADDIN EN.CITE </w:instrText>
      </w:r>
      <w:r w:rsidR="000B5FD7">
        <w:fldChar w:fldCharType="begin">
          <w:fldData xml:space="preserve">PEVuZE5vdGU+PENpdGU+PEF1dGhvcj5CYWxkd2luPC9BdXRob3I+PFllYXI+MTk5OTwvWWVhcj48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</w:fldData>
        </w:fldChar>
      </w:r>
      <w:r w:rsidR="008E6212">
        <w:instrText xml:space="preserve"> ADDIN EN.CITE.DATA </w:instrText>
      </w:r>
      <w:r w:rsidR="000B5FD7">
        <w:fldChar w:fldCharType="end"/>
      </w:r>
      <w:r w:rsidR="000B5FD7">
        <w:fldChar w:fldCharType="separate"/>
      </w:r>
      <w:r w:rsidR="008E6212">
        <w:rPr>
          <w:noProof/>
        </w:rPr>
        <w:t>(Baldwin 1999; O'Connell, Baldwin</w:t>
      </w:r>
      <w:r w:rsidR="008E6212" w:rsidRPr="00FF2617">
        <w:rPr>
          <w:i/>
          <w:noProof/>
        </w:rPr>
        <w:t xml:space="preserve"> </w:t>
      </w:r>
      <w:r w:rsidR="00115A7E" w:rsidRPr="00115A7E">
        <w:rPr>
          <w:noProof/>
        </w:rPr>
        <w:t>et al.</w:t>
      </w:r>
      <w:r w:rsidR="008E6212">
        <w:rPr>
          <w:noProof/>
        </w:rPr>
        <w:t xml:space="preserve"> 2000; Howitt, Baldwin</w:t>
      </w:r>
      <w:r w:rsidR="008E6212" w:rsidRPr="00FF2617">
        <w:rPr>
          <w:i/>
          <w:noProof/>
        </w:rPr>
        <w:t xml:space="preserve"> </w:t>
      </w:r>
      <w:r w:rsidR="00115A7E" w:rsidRPr="00115A7E">
        <w:rPr>
          <w:noProof/>
        </w:rPr>
        <w:t>et al.</w:t>
      </w:r>
      <w:r w:rsidR="008E6212">
        <w:rPr>
          <w:noProof/>
        </w:rPr>
        <w:t xml:space="preserve"> 2008)</w:t>
      </w:r>
      <w:r w:rsidR="000B5FD7">
        <w:fldChar w:fldCharType="end"/>
      </w:r>
      <w:r w:rsidR="008E6212" w:rsidRPr="004372F5">
        <w:t xml:space="preserve"> although it has been shown that bacterial communities can respond to changes in organic carbon source quite rapidly</w:t>
      </w:r>
      <w:r w:rsidR="008E6212">
        <w:t xml:space="preserve"> </w:t>
      </w:r>
      <w:r w:rsidR="000B5FD7">
        <w:fldChar w:fldCharType="begin"/>
      </w:r>
      <w:r w:rsidR="008E6212">
        <w:instrText xml:space="preserve"> ADDIN EN.CITE &lt;EndNote&gt;&lt;Cite&gt;&lt;Author&gt;Wehr&lt;/Author&gt;&lt;Year&gt;1999&lt;/Year&gt;&lt;RecNum&gt;78&lt;/RecNum&gt;&lt;DisplayText&gt;(Wehr, Peterson&lt;style face="italic"&gt; et al.&lt;/style&gt; 1999)&lt;/DisplayText&gt;&lt;record&gt;&lt;rec-number&gt;78&lt;/rec-number&gt;&lt;foreign-keys&gt;&lt;key app="EN" db-id="s29ddxw9p900s9ef22lv2wprd9wr9rtp20ps" timestamp="0"&gt;78&lt;/key&gt;&lt;/foreign-keys&gt;&lt;ref-type name="Journal Article"&gt;17&lt;/ref-type&gt;&lt;contributors&gt;&lt;authors&gt;&lt;author&gt;Wehr, J. D.&lt;/author&gt;&lt;author&gt;Peterson, J.&lt;/author&gt;&lt;author&gt;Findlay, S.&lt;/author&gt;&lt;/authors&gt;&lt;/contributors&gt;&lt;titles&gt;&lt;title&gt;Influence of three contrasting detrital carbon sources on planktonic bacterial metabolism in a mesotrophic lake&lt;/title&gt;&lt;secondary-title&gt;Microbial Ecology&lt;/secondary-title&gt;&lt;/titles&gt;&lt;periodical&gt;&lt;full-title&gt;Microbial Ecology&lt;/full-title&gt;&lt;/periodical&gt;&lt;pages&gt;23-35&lt;/pages&gt;&lt;volume&gt;37&lt;/volume&gt;&lt;dates&gt;&lt;year&gt;1999&lt;/year&gt;&lt;/dates&gt;&lt;label&gt;2002&lt;/label&gt;&lt;urls&gt;&lt;/urls&gt;&lt;/record&gt;&lt;/Cite&gt;&lt;/EndNote&gt;</w:instrText>
      </w:r>
      <w:r w:rsidR="000B5FD7">
        <w:fldChar w:fldCharType="separate"/>
      </w:r>
      <w:r w:rsidR="008E6212">
        <w:rPr>
          <w:noProof/>
        </w:rPr>
        <w:t>(Wehr, Peterson</w:t>
      </w:r>
      <w:r w:rsidR="008E6212" w:rsidRPr="00FF2617">
        <w:rPr>
          <w:i/>
          <w:noProof/>
        </w:rPr>
        <w:t xml:space="preserve"> </w:t>
      </w:r>
      <w:r w:rsidR="00115A7E" w:rsidRPr="00115A7E">
        <w:rPr>
          <w:noProof/>
        </w:rPr>
        <w:t>et al.</w:t>
      </w:r>
      <w:r w:rsidR="008E6212">
        <w:rPr>
          <w:noProof/>
        </w:rPr>
        <w:t xml:space="preserve"> 1999)</w:t>
      </w:r>
      <w:r w:rsidR="000B5FD7">
        <w:fldChar w:fldCharType="end"/>
      </w:r>
      <w:r w:rsidR="008E6212" w:rsidRPr="004372F5">
        <w:t>. The very large, complex type of organic matter referred to as humic substances has been shown to be less available to bacterial communities than simpler non-humic carbon</w:t>
      </w:r>
      <w:r w:rsidR="008E6212">
        <w:t xml:space="preserve"> </w:t>
      </w:r>
      <w:r w:rsidR="000B5FD7">
        <w:fldChar w:fldCharType="begin"/>
      </w:r>
      <w:r w:rsidR="008E6212">
        <w:instrText xml:space="preserve"> ADDIN EN.CITE &lt;EndNote&gt;&lt;Cite&gt;&lt;Author&gt;Moran&lt;/Author&gt;&lt;Year&gt;1990&lt;/Year&gt;&lt;RecNum&gt;85&lt;/RecNum&gt;&lt;DisplayText&gt;(Moran and Hodson 1990)&lt;/DisplayText&gt;&lt;record&gt;&lt;rec-number&gt;85&lt;/rec-number&gt;&lt;foreign-keys&gt;&lt;key app="EN" db-id="s29ddxw9p900s9ef22lv2wprd9wr9rtp20ps" timestamp="0"&gt;85&lt;/key&gt;&lt;/foreign-keys&gt;&lt;ref-type name="Journal Article"&gt;17&lt;/ref-type&gt;&lt;contributors&gt;&lt;authors&gt;&lt;author&gt;Moran, Mary Ann&lt;/author&gt;&lt;author&gt;Hodson, Robert E.&lt;/author&gt;&lt;/authors&gt;&lt;/contributors&gt;&lt;titles&gt;&lt;title&gt;Bacterial production on humic and nonhumic components of dissolved organic carbon&lt;/title&gt;&lt;secondary-title&gt;Limnology and Oceanography&lt;/secondary-title&gt;&lt;/titles&gt;&lt;periodical&gt;&lt;full-title&gt;Limnology and Oceanography&lt;/full-title&gt;&lt;/periodical&gt;&lt;pages&gt;1744-1756&lt;/pages&gt;&lt;volume&gt;35&lt;/volume&gt;&lt;number&gt;8&lt;/number&gt;&lt;keywords&gt;&lt;keyword&gt;General-DOM&lt;/keyword&gt;&lt;/keywords&gt;&lt;dates&gt;&lt;year&gt;1990&lt;/year&gt;&lt;/dates&gt;&lt;label&gt;2009&lt;/label&gt;&lt;urls&gt;&lt;/urls&gt;&lt;/record&gt;&lt;/Cite&gt;&lt;/EndNote&gt;</w:instrText>
      </w:r>
      <w:r w:rsidR="000B5FD7">
        <w:fldChar w:fldCharType="separate"/>
      </w:r>
      <w:r w:rsidR="008E6212">
        <w:rPr>
          <w:noProof/>
        </w:rPr>
        <w:t>(Moran and Hodson 1990)</w:t>
      </w:r>
      <w:r w:rsidR="000B5FD7">
        <w:fldChar w:fldCharType="end"/>
      </w:r>
      <w:r w:rsidR="008E6212" w:rsidRPr="004372F5">
        <w:t xml:space="preserve"> although this can be altered over time </w:t>
      </w:r>
      <w:r w:rsidR="008E6212" w:rsidRPr="004372F5">
        <w:lastRenderedPageBreak/>
        <w:t>with exposure to ultraviolet light</w:t>
      </w:r>
      <w:r w:rsidR="008E6212">
        <w:t xml:space="preserve"> </w:t>
      </w:r>
      <w:r w:rsidR="000B5FD7">
        <w:fldChar w:fldCharType="begin">
          <w:fldData xml:space="preserve">PEVuZE5vdGU+PENpdGU+PEF1dGhvcj5Ib3dpdHQ8L0F1dGhvcj48WWVhcj4yMDA4PC9ZZWFyPjxS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</w:fldData>
        </w:fldChar>
      </w:r>
      <w:r w:rsidR="008E6212">
        <w:instrText xml:space="preserve"> ADDIN EN.CITE </w:instrText>
      </w:r>
      <w:r w:rsidR="000B5FD7">
        <w:fldChar w:fldCharType="begin">
          <w:fldData xml:space="preserve">PEVuZE5vdGU+PENpdGU+PEF1dGhvcj5Ib3dpdHQ8L0F1dGhvcj48WWVhcj4yMDA4PC9ZZWFyPjxS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</w:fldData>
        </w:fldChar>
      </w:r>
      <w:r w:rsidR="008E6212">
        <w:instrText xml:space="preserve"> ADDIN EN.CITE.DATA </w:instrText>
      </w:r>
      <w:r w:rsidR="000B5FD7">
        <w:fldChar w:fldCharType="end"/>
      </w:r>
      <w:r w:rsidR="000B5FD7">
        <w:fldChar w:fldCharType="separate"/>
      </w:r>
      <w:r w:rsidR="008E6212">
        <w:rPr>
          <w:noProof/>
        </w:rPr>
        <w:t>(Moran and Zepp 1997; Howitt, Baldwin</w:t>
      </w:r>
      <w:r w:rsidR="008E6212" w:rsidRPr="00FF2617">
        <w:rPr>
          <w:i/>
          <w:noProof/>
        </w:rPr>
        <w:t xml:space="preserve"> </w:t>
      </w:r>
      <w:r w:rsidR="00115A7E" w:rsidRPr="00115A7E">
        <w:rPr>
          <w:noProof/>
        </w:rPr>
        <w:t>et al.</w:t>
      </w:r>
      <w:r w:rsidR="008E6212">
        <w:rPr>
          <w:noProof/>
        </w:rPr>
        <w:t xml:space="preserve"> 2008)</w:t>
      </w:r>
      <w:r w:rsidR="000B5FD7">
        <w:fldChar w:fldCharType="end"/>
      </w:r>
      <w:r w:rsidR="008E6212" w:rsidRPr="004372F5">
        <w:t xml:space="preserve">. </w:t>
      </w:r>
      <w:r w:rsidR="008E6212">
        <w:t xml:space="preserve">These differences in microbial response to different types of organic matter mean that it is important to consider not just the total amount of dissolved organic matter in the rivers but to monitor changes in the type of organic matter present. </w:t>
      </w:r>
      <w:r w:rsidR="008E6212" w:rsidRPr="004372F5">
        <w:t xml:space="preserve">Both absorbance and fluorescence spectra are used to examine the organic matter in this study. As a general guide, absorbance at longer wavelengths indicates larger, more complex organic matter </w:t>
      </w:r>
      <w:r w:rsidR="000B5FD7" w:rsidRPr="004372F5">
        <w:fldChar w:fldCharType="begin"/>
      </w:r>
      <w:r w:rsidR="008E6212">
        <w:instrText xml:space="preserve"> ADDIN EN.CITE &lt;EndNote&gt;&lt;Cite&gt;&lt;Author&gt;Bertilsson&lt;/Author&gt;&lt;Year&gt;1999&lt;/Year&gt;&lt;RecNum&gt;310&lt;/RecNum&gt;&lt;DisplayText&gt;(Bertilsson and Bergh 1999)&lt;/DisplayText&gt;&lt;record&gt;&lt;rec-number&gt;310&lt;/rec-number&gt;&lt;foreign-keys&gt;&lt;key app="EN" db-id="s29ddxw9p900s9ef22lv2wprd9wr9rtp20ps" timestamp="0"&gt;310&lt;/key&gt;&lt;/foreign-keys&gt;&lt;ref-type name="Journal Article"&gt;17&lt;/ref-type&gt;&lt;contributors&gt;&lt;authors&gt;&lt;author&gt;Bertilsson, Stefan&lt;/author&gt;&lt;author&gt;Bergh, Susanne&lt;/author&gt;&lt;/authors&gt;&lt;/contributors&gt;&lt;titles&gt;&lt;title&gt;Photochemical reactivity of XAD-4 and XAD-8 adsorbable dissolved organic compounds from humic waters&lt;/title&gt;&lt;secondary-title&gt;Chemosphere&lt;/secondary-title&gt;&lt;/titles&gt;&lt;periodical&gt;&lt;full-title&gt;Chemosphere&lt;/full-title&gt;&lt;/periodical&gt;&lt;pages&gt;2289-2300&lt;/pages&gt;&lt;volume&gt;39&lt;/volume&gt;&lt;number&gt;13&lt;/number&gt;&lt;dates&gt;&lt;year&gt;1999&lt;/year&gt;&lt;/dates&gt;&lt;label&gt;1099&lt;/label&gt;&lt;urls&gt;&lt;/urls&gt;&lt;/record&gt;&lt;/Cite&gt;&lt;/EndNote&gt;</w:instrText>
      </w:r>
      <w:r w:rsidR="000B5FD7" w:rsidRPr="004372F5">
        <w:fldChar w:fldCharType="separate"/>
      </w:r>
      <w:r w:rsidR="008E6212">
        <w:rPr>
          <w:noProof/>
        </w:rPr>
        <w:t>(Bertilsson and Bergh 1999)</w:t>
      </w:r>
      <w:r w:rsidR="000B5FD7" w:rsidRPr="004372F5">
        <w:fldChar w:fldCharType="end"/>
      </w:r>
      <w:r w:rsidR="008E6212" w:rsidRPr="004372F5">
        <w:t>.  Absorbance at a particular wavelength may be increased by increasing concentration of organic matter or a change in the type of organic matter.</w:t>
      </w:r>
    </w:p>
    <w:p w14:paraId="3B4F8C59" w14:textId="6E74A510" w:rsidR="008E6212" w:rsidRDefault="008E6212" w:rsidP="008E6212">
      <w:pPr>
        <w:tabs>
          <w:tab w:val="left" w:pos="9071"/>
        </w:tabs>
        <w:spacing w:after="240" w:line="320" w:lineRule="exact"/>
        <w:ind w:right="-1"/>
        <w:jc w:val="left"/>
        <w:rPr>
          <w:rStyle w:val="named-content"/>
        </w:rPr>
      </w:pPr>
      <w:r>
        <w:t>In February-June 2016 the sites included in this study were impacted by a bloom of the cyanobacteria C</w:t>
      </w:r>
      <w:r w:rsidRPr="007C4BDA">
        <w:rPr>
          <w:i/>
        </w:rPr>
        <w:t>hrysosporum ovalisporum</w:t>
      </w:r>
      <w:r>
        <w:rPr>
          <w:i/>
        </w:rPr>
        <w:t xml:space="preserve"> </w:t>
      </w:r>
      <w:r>
        <w:t>(</w:t>
      </w:r>
      <w:r w:rsidRPr="005C3264">
        <w:rPr>
          <w:rFonts w:asciiTheme="minorHAnsi" w:hAnsiTheme="minorHAnsi"/>
          <w:szCs w:val="22"/>
        </w:rPr>
        <w:t>formerly</w:t>
      </w:r>
      <w:r>
        <w:rPr>
          <w:rFonts w:asciiTheme="minorHAnsi" w:hAnsiTheme="minorHAnsi"/>
          <w:szCs w:val="22"/>
        </w:rPr>
        <w:t xml:space="preserve"> known as</w:t>
      </w:r>
      <w:r w:rsidRPr="005C3264">
        <w:rPr>
          <w:rFonts w:asciiTheme="minorHAnsi" w:hAnsiTheme="minorHAnsi"/>
          <w:szCs w:val="22"/>
        </w:rPr>
        <w:t xml:space="preserve"> </w:t>
      </w:r>
      <w:r w:rsidRPr="005C3264">
        <w:rPr>
          <w:rFonts w:asciiTheme="minorHAnsi" w:eastAsiaTheme="minorHAnsi" w:hAnsiTheme="minorHAnsi" w:cs="Segoe UI"/>
          <w:i/>
          <w:szCs w:val="22"/>
        </w:rPr>
        <w:t>Aphanizomenon ovalissporum</w:t>
      </w:r>
      <w:r>
        <w:rPr>
          <w:rFonts w:asciiTheme="minorHAnsi" w:eastAsiaTheme="minorHAnsi" w:hAnsiTheme="minorHAnsi" w:cs="Segoe UI"/>
          <w:szCs w:val="22"/>
        </w:rPr>
        <w:t xml:space="preserve">) as part of a much larger bloom impacting the Murray from Lake Hume to the Mildura region. While this species is known in Australia </w:t>
      </w:r>
      <w:r w:rsidR="000B5FD7">
        <w:rPr>
          <w:rFonts w:asciiTheme="minorHAnsi" w:eastAsiaTheme="minorHAnsi" w:hAnsiTheme="minorHAnsi" w:cs="Segoe UI"/>
          <w:szCs w:val="22"/>
        </w:rPr>
        <w:fldChar w:fldCharType="begin">
          <w:fldData xml:space="preserve">PEVuZE5vdGU+PENpdGU+PEF1dGhvcj5GZXJndXNzb248L0F1dGhvcj48WWVhcj4yMDAzPC9ZZWFy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=
</w:fldData>
        </w:fldChar>
      </w:r>
      <w:r>
        <w:rPr>
          <w:rFonts w:asciiTheme="minorHAnsi" w:eastAsiaTheme="minorHAnsi" w:hAnsiTheme="minorHAnsi" w:cs="Segoe UI"/>
          <w:szCs w:val="22"/>
        </w:rPr>
        <w:instrText xml:space="preserve"> ADDIN EN.CITE </w:instrText>
      </w:r>
      <w:r w:rsidR="000B5FD7">
        <w:rPr>
          <w:rFonts w:asciiTheme="minorHAnsi" w:eastAsiaTheme="minorHAnsi" w:hAnsiTheme="minorHAnsi" w:cs="Segoe UI"/>
          <w:szCs w:val="22"/>
        </w:rPr>
        <w:fldChar w:fldCharType="begin">
          <w:fldData xml:space="preserve">PEVuZE5vdGU+PENpdGU+PEF1dGhvcj5GZXJndXNzb248L0F1dGhvcj48WWVhcj4yMDAzPC9ZZWFy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=
</w:fldData>
        </w:fldChar>
      </w:r>
      <w:r>
        <w:rPr>
          <w:rFonts w:asciiTheme="minorHAnsi" w:eastAsiaTheme="minorHAnsi" w:hAnsiTheme="minorHAnsi" w:cs="Segoe UI"/>
          <w:szCs w:val="22"/>
        </w:rPr>
        <w:instrText xml:space="preserve"> ADDIN EN.CITE.DATA </w:instrText>
      </w:r>
      <w:r w:rsidR="000B5FD7">
        <w:rPr>
          <w:rFonts w:asciiTheme="minorHAnsi" w:eastAsiaTheme="minorHAnsi" w:hAnsiTheme="minorHAnsi" w:cs="Segoe UI"/>
          <w:szCs w:val="22"/>
        </w:rPr>
      </w:r>
      <w:r w:rsidR="000B5FD7">
        <w:rPr>
          <w:rFonts w:asciiTheme="minorHAnsi" w:eastAsiaTheme="minorHAnsi" w:hAnsiTheme="minorHAnsi" w:cs="Segoe UI"/>
          <w:szCs w:val="22"/>
        </w:rPr>
        <w:fldChar w:fldCharType="end"/>
      </w:r>
      <w:r w:rsidR="000B5FD7">
        <w:rPr>
          <w:rFonts w:asciiTheme="minorHAnsi" w:eastAsiaTheme="minorHAnsi" w:hAnsiTheme="minorHAnsi" w:cs="Segoe UI"/>
          <w:szCs w:val="22"/>
        </w:rPr>
      </w:r>
      <w:r w:rsidR="000B5FD7">
        <w:rPr>
          <w:rFonts w:asciiTheme="minorHAnsi" w:eastAsiaTheme="minorHAnsi" w:hAnsiTheme="minorHAnsi" w:cs="Segoe UI"/>
          <w:szCs w:val="22"/>
        </w:rPr>
        <w:fldChar w:fldCharType="separate"/>
      </w:r>
      <w:r>
        <w:rPr>
          <w:rFonts w:asciiTheme="minorHAnsi" w:eastAsiaTheme="minorHAnsi" w:hAnsiTheme="minorHAnsi" w:cs="Segoe UI"/>
          <w:noProof/>
          <w:szCs w:val="22"/>
        </w:rPr>
        <w:t>(Shaw, Sukenik</w:t>
      </w:r>
      <w:r w:rsidRPr="00FF2617">
        <w:rPr>
          <w:rFonts w:asciiTheme="minorHAnsi" w:eastAsiaTheme="minorHAnsi" w:hAnsiTheme="minorHAnsi" w:cs="Segoe UI"/>
          <w:i/>
          <w:noProof/>
          <w:szCs w:val="22"/>
        </w:rPr>
        <w:t xml:space="preserve"> </w:t>
      </w:r>
      <w:r w:rsidR="00115A7E" w:rsidRPr="00115A7E">
        <w:rPr>
          <w:noProof/>
        </w:rPr>
        <w:t>et al.</w:t>
      </w:r>
      <w:r>
        <w:rPr>
          <w:rFonts w:asciiTheme="minorHAnsi" w:eastAsiaTheme="minorHAnsi" w:hAnsiTheme="minorHAnsi" w:cs="Segoe UI"/>
          <w:noProof/>
          <w:szCs w:val="22"/>
        </w:rPr>
        <w:t xml:space="preserve"> 1999; Fergusson and Saint 2003)</w:t>
      </w:r>
      <w:r w:rsidR="000B5FD7">
        <w:rPr>
          <w:rFonts w:asciiTheme="minorHAnsi" w:eastAsiaTheme="minorHAnsi" w:hAnsiTheme="minorHAnsi" w:cs="Segoe UI"/>
          <w:szCs w:val="22"/>
        </w:rPr>
        <w:fldChar w:fldCharType="end"/>
      </w:r>
      <w:r>
        <w:rPr>
          <w:rFonts w:asciiTheme="minorHAnsi" w:eastAsiaTheme="minorHAnsi" w:hAnsiTheme="minorHAnsi" w:cs="Segoe UI"/>
          <w:szCs w:val="22"/>
        </w:rPr>
        <w:t xml:space="preserve"> it is an unusual species to dominate a bloom in Australia and previous studies in the Murray River have focused on </w:t>
      </w:r>
      <w:r w:rsidRPr="00380E8D">
        <w:rPr>
          <w:rFonts w:asciiTheme="minorHAnsi" w:eastAsiaTheme="minorHAnsi" w:hAnsiTheme="minorHAnsi" w:cs="Segoe UI"/>
          <w:i/>
          <w:szCs w:val="22"/>
        </w:rPr>
        <w:t>Anabaena</w:t>
      </w:r>
      <w:r>
        <w:rPr>
          <w:rFonts w:asciiTheme="minorHAnsi" w:eastAsiaTheme="minorHAnsi" w:hAnsiTheme="minorHAnsi" w:cs="Segoe UI"/>
          <w:szCs w:val="22"/>
        </w:rPr>
        <w:t xml:space="preserve"> species </w:t>
      </w:r>
      <w:r w:rsidR="000B5FD7">
        <w:rPr>
          <w:rFonts w:asciiTheme="minorHAnsi" w:eastAsiaTheme="minorHAnsi" w:hAnsiTheme="minorHAnsi" w:cs="Segoe UI"/>
          <w:szCs w:val="22"/>
        </w:rPr>
        <w:fldChar w:fldCharType="begin"/>
      </w:r>
      <w:r>
        <w:rPr>
          <w:rFonts w:asciiTheme="minorHAnsi" w:eastAsiaTheme="minorHAnsi" w:hAnsiTheme="minorHAnsi" w:cs="Segoe UI"/>
          <w:szCs w:val="22"/>
        </w:rPr>
        <w:instrText xml:space="preserve"> ADDIN EN.CITE &lt;EndNote&gt;&lt;Cite&gt;&lt;Author&gt;Maier&lt;/Author&gt;&lt;Year&gt;1997&lt;/Year&gt;&lt;RecNum&gt;1889&lt;/RecNum&gt;&lt;DisplayText&gt;(Maier and Dandy 1997; Baker 1999)&lt;/DisplayText&gt;&lt;record&gt;&lt;rec-number&gt;1889&lt;/rec-number&gt;&lt;foreign-keys&gt;&lt;key app="EN" db-id="s29ddxw9p900s9ef22lv2wprd9wr9rtp20ps" timestamp="1471065636"&gt;1889&lt;/key&gt;&lt;/foreign-keys&gt;&lt;ref-type name="Journal Article"&gt;17&lt;/ref-type&gt;&lt;contributors&gt;&lt;authors&gt;&lt;author&gt;Maier, H. R.&lt;/author&gt;&lt;author&gt;Dandy, G. C.&lt;/author&gt;&lt;/authors&gt;&lt;/contributors&gt;&lt;titles&gt;&lt;title&gt;11th Biennial Conference on Modelling and SimulationModelling cyanobacteria (blue-green algae) in the River Murray using artificial neural networks&lt;/title&gt;&lt;secondary-title&gt;Mathematics and Computers in Simulation&lt;/secondary-title&gt;&lt;/titles&gt;&lt;periodical&gt;&lt;full-title&gt;Mathematics and Computers in Simulation&lt;/full-title&gt;&lt;/periodical&gt;&lt;pages&gt;377-386&lt;/pages&gt;&lt;volume&gt;43&lt;/volume&gt;&lt;number&gt;3&lt;/number&gt;&lt;dates&gt;&lt;year&gt;1997&lt;/year&gt;&lt;pub-dates&gt;&lt;date&gt;1997/03/01&lt;/date&gt;&lt;/pub-dates&gt;&lt;/dates&gt;&lt;isbn&gt;0378-4754&lt;/isbn&gt;&lt;urls&gt;&lt;related-urls&gt;&lt;url&gt;http://www.sciencedirect.com/science/article/pii/S0378475497000220&lt;/url&gt;&lt;/related-urls&gt;&lt;/urls&gt;&lt;electronic-resource-num&gt;http://dx.doi.org/10.1016/S0378-4754(97)00022-0&lt;/electronic-resource-num&gt;&lt;/record&gt;&lt;/Cite&gt;&lt;Cite&gt;&lt;Author&gt;Baker&lt;/Author&gt;&lt;Year&gt;1999&lt;/Year&gt;&lt;RecNum&gt;1890&lt;/RecNum&gt;&lt;record&gt;&lt;rec-number&gt;1890&lt;/rec-number&gt;&lt;foreign-keys&gt;&lt;key app="EN" db-id="s29ddxw9p900s9ef22lv2wprd9wr9rtp20ps" timestamp="1471065751"&gt;1890&lt;/key&gt;&lt;/foreign-keys&gt;&lt;ref-type name="Journal Article"&gt;17&lt;/ref-type&gt;&lt;contributors&gt;&lt;authors&gt;&lt;author&gt;Baker, Peter D.&lt;/author&gt;&lt;/authors&gt;&lt;/contributors&gt;&lt;titles&gt;&lt;title&gt;Role of akinetes in the development of cyanobacterial populations in the lower Murray River, Australia&lt;/title&gt;&lt;secondary-title&gt;Marine and Freshwater Research&lt;/secondary-title&gt;&lt;/titles&gt;&lt;periodical&gt;&lt;full-title&gt;Marine and Freshwater Research&lt;/full-title&gt;&lt;/periodical&gt;&lt;pages&gt;265-279&lt;/pages&gt;&lt;volume&gt;50&lt;/volume&gt;&lt;number&gt;3&lt;/number&gt;&lt;dates&gt;&lt;year&gt;1999&lt;/year&gt;&lt;/dates&gt;&lt;urls&gt;&lt;related-urls&gt;&lt;url&gt;http://www.publish.csiro.au/paper/MF98090&lt;/url&gt;&lt;/related-urls&gt;&lt;/urls&gt;&lt;/record&gt;&lt;/Cite&gt;&lt;/EndNote&gt;</w:instrText>
      </w:r>
      <w:r w:rsidR="000B5FD7">
        <w:rPr>
          <w:rFonts w:asciiTheme="minorHAnsi" w:eastAsiaTheme="minorHAnsi" w:hAnsiTheme="minorHAnsi" w:cs="Segoe UI"/>
          <w:szCs w:val="22"/>
        </w:rPr>
        <w:fldChar w:fldCharType="separate"/>
      </w:r>
      <w:r>
        <w:rPr>
          <w:rFonts w:asciiTheme="minorHAnsi" w:eastAsiaTheme="minorHAnsi" w:hAnsiTheme="minorHAnsi" w:cs="Segoe UI"/>
          <w:noProof/>
          <w:szCs w:val="22"/>
        </w:rPr>
        <w:t>(Maier and Dandy 1997; Baker 1999)</w:t>
      </w:r>
      <w:r w:rsidR="000B5FD7">
        <w:rPr>
          <w:rFonts w:asciiTheme="minorHAnsi" w:eastAsiaTheme="minorHAnsi" w:hAnsiTheme="minorHAnsi" w:cs="Segoe UI"/>
          <w:szCs w:val="22"/>
        </w:rPr>
        <w:fldChar w:fldCharType="end"/>
      </w:r>
      <w:r>
        <w:rPr>
          <w:rFonts w:asciiTheme="minorHAnsi" w:eastAsiaTheme="minorHAnsi" w:hAnsiTheme="minorHAnsi" w:cs="Segoe UI"/>
          <w:szCs w:val="22"/>
        </w:rPr>
        <w:t xml:space="preserve"> which have dominated a number of large previous outbreaks </w:t>
      </w:r>
      <w:r w:rsidR="000B5FD7">
        <w:rPr>
          <w:rFonts w:asciiTheme="minorHAnsi" w:eastAsiaTheme="minorHAnsi" w:hAnsiTheme="minorHAnsi" w:cs="Segoe UI"/>
          <w:szCs w:val="22"/>
        </w:rPr>
        <w:fldChar w:fldCharType="begin"/>
      </w:r>
      <w:r>
        <w:rPr>
          <w:rFonts w:asciiTheme="minorHAnsi" w:eastAsiaTheme="minorHAnsi" w:hAnsiTheme="minorHAnsi" w:cs="Segoe UI"/>
          <w:szCs w:val="22"/>
        </w:rPr>
        <w:instrText xml:space="preserve"> ADDIN EN.CITE &lt;EndNote&gt;&lt;Cite&gt;&lt;Author&gt;Maier&lt;/Author&gt;&lt;Year&gt;2001&lt;/Year&gt;&lt;RecNum&gt;1891&lt;/RecNum&gt;&lt;DisplayText&gt;(Maier, Burch&lt;style face="italic"&gt; et al.&lt;/style&gt; 2001)&lt;/DisplayText&gt;&lt;record&gt;&lt;rec-number&gt;1891&lt;/rec-number&gt;&lt;foreign-keys&gt;&lt;key app="EN" db-id="s29ddxw9p900s9ef22lv2wprd9wr9rtp20ps" timestamp="1471065874"&gt;1891&lt;/key&gt;&lt;/foreign-keys&gt;&lt;ref-type name="Journal Article"&gt;17&lt;/ref-type&gt;&lt;contributors&gt;&lt;authors&gt;&lt;author&gt;Maier, Holger R.&lt;/author&gt;&lt;author&gt;Burch, Michael D.&lt;/author&gt;&lt;author&gt;Bormans, Myriam&lt;/author&gt;&lt;/authors&gt;&lt;/contributors&gt;&lt;titles&gt;&lt;title&gt;Flow management strategies to control blooms of the cyanobacterium, Anabaena circinalis, in the River Murray at Morgan, South Australia&lt;/title&gt;&lt;secondary-title&gt;Regulated Rivers: Research &amp;amp; Management&lt;/secondary-title&gt;&lt;/titles&gt;&lt;periodical&gt;&lt;full-title&gt;Regulated Rivers: Research &amp;amp; Management&lt;/full-title&gt;&lt;/periodical&gt;&lt;pages&gt;637-650&lt;/pages&gt;&lt;volume&gt;17&lt;/volume&gt;&lt;number&gt;6&lt;/number&gt;&lt;keywords&gt;&lt;keyword&gt;Anabeana circinalis&lt;/keyword&gt;&lt;keyword&gt;cyanobacterial bloom&lt;/keyword&gt;&lt;keyword&gt;flow management&lt;/keyword&gt;&lt;keyword&gt;River Murray&lt;/keyword&gt;&lt;keyword&gt;rivers&lt;/keyword&gt;&lt;keyword&gt;thermal stratification&lt;/keyword&gt;&lt;keyword&gt;wind speed&lt;/keyword&gt;&lt;/keywords&gt;&lt;dates&gt;&lt;year&gt;2001&lt;/year&gt;&lt;/dates&gt;&lt;publisher&gt;John Wiley &amp;amp; Sons, Ltd.&lt;/publisher&gt;&lt;isbn&gt;1099-1646&lt;/isbn&gt;&lt;urls&gt;&lt;related-urls&gt;&lt;url&gt;http://dx.doi.org/10.1002/rrr.623&lt;/url&gt;&lt;/related-urls&gt;&lt;/urls&gt;&lt;electronic-resource-num&gt;10.1002/rrr.623&lt;/electronic-resource-num&gt;&lt;/record&gt;&lt;/Cite&gt;&lt;/EndNote&gt;</w:instrText>
      </w:r>
      <w:r w:rsidR="000B5FD7">
        <w:rPr>
          <w:rFonts w:asciiTheme="minorHAnsi" w:eastAsiaTheme="minorHAnsi" w:hAnsiTheme="minorHAnsi" w:cs="Segoe UI"/>
          <w:szCs w:val="22"/>
        </w:rPr>
        <w:fldChar w:fldCharType="separate"/>
      </w:r>
      <w:r>
        <w:rPr>
          <w:rFonts w:asciiTheme="minorHAnsi" w:eastAsiaTheme="minorHAnsi" w:hAnsiTheme="minorHAnsi" w:cs="Segoe UI"/>
          <w:noProof/>
          <w:szCs w:val="22"/>
        </w:rPr>
        <w:t>(Maier, Burch</w:t>
      </w:r>
      <w:r w:rsidRPr="00FF2617">
        <w:rPr>
          <w:rFonts w:asciiTheme="minorHAnsi" w:eastAsiaTheme="minorHAnsi" w:hAnsiTheme="minorHAnsi" w:cs="Segoe UI"/>
          <w:i/>
          <w:noProof/>
          <w:szCs w:val="22"/>
        </w:rPr>
        <w:t xml:space="preserve"> </w:t>
      </w:r>
      <w:r w:rsidR="00115A7E" w:rsidRPr="00115A7E">
        <w:rPr>
          <w:noProof/>
        </w:rPr>
        <w:t>et al.</w:t>
      </w:r>
      <w:r w:rsidR="00115A7E">
        <w:rPr>
          <w:noProof/>
        </w:rPr>
        <w:t xml:space="preserve"> </w:t>
      </w:r>
      <w:r>
        <w:rPr>
          <w:rFonts w:asciiTheme="minorHAnsi" w:eastAsiaTheme="minorHAnsi" w:hAnsiTheme="minorHAnsi" w:cs="Segoe UI"/>
          <w:noProof/>
          <w:szCs w:val="22"/>
        </w:rPr>
        <w:t>2001)</w:t>
      </w:r>
      <w:r w:rsidR="000B5FD7">
        <w:rPr>
          <w:rFonts w:asciiTheme="minorHAnsi" w:eastAsiaTheme="minorHAnsi" w:hAnsiTheme="minorHAnsi" w:cs="Segoe UI"/>
          <w:szCs w:val="22"/>
        </w:rPr>
        <w:fldChar w:fldCharType="end"/>
      </w:r>
      <w:r>
        <w:rPr>
          <w:rFonts w:asciiTheme="minorHAnsi" w:eastAsiaTheme="minorHAnsi" w:hAnsiTheme="minorHAnsi" w:cs="Segoe UI"/>
          <w:szCs w:val="22"/>
        </w:rPr>
        <w:t xml:space="preserve">, although very widespread blooms such as occurred in 2009 have involved a mix of species such as </w:t>
      </w:r>
      <w:r w:rsidRPr="006000CC">
        <w:rPr>
          <w:rStyle w:val="named-content"/>
          <w:i/>
        </w:rPr>
        <w:t>Anabaena circinalis</w:t>
      </w:r>
      <w:r>
        <w:t xml:space="preserve">, </w:t>
      </w:r>
      <w:r>
        <w:rPr>
          <w:rStyle w:val="Emphasis"/>
        </w:rPr>
        <w:t>Microcystis flos-aquae</w:t>
      </w:r>
      <w:r>
        <w:t xml:space="preserve">, and </w:t>
      </w:r>
      <w:r w:rsidRPr="006000CC">
        <w:rPr>
          <w:rStyle w:val="named-content"/>
          <w:i/>
        </w:rPr>
        <w:t>Cylindrospermopsis raciborskii</w:t>
      </w:r>
      <w:r>
        <w:rPr>
          <w:rStyle w:val="named-content"/>
        </w:rPr>
        <w:t xml:space="preserve"> </w:t>
      </w:r>
      <w:r w:rsidR="000B5FD7">
        <w:rPr>
          <w:rStyle w:val="named-content"/>
        </w:rPr>
        <w:fldChar w:fldCharType="begin"/>
      </w:r>
      <w:r>
        <w:rPr>
          <w:rStyle w:val="named-content"/>
        </w:rPr>
        <w:instrText xml:space="preserve"> ADDIN EN.CITE &lt;EndNote&gt;&lt;Cite&gt;&lt;Author&gt;Al-Tebrineh&lt;/Author&gt;&lt;Year&gt;2012&lt;/Year&gt;&lt;RecNum&gt;1892&lt;/RecNum&gt;&lt;DisplayText&gt;(Al-Tebrineh, Merrick&lt;style face="italic"&gt; et al.&lt;/style&gt; 2012)&lt;/DisplayText&gt;&lt;record&gt;&lt;rec-number&gt;1892&lt;/rec-number&gt;&lt;foreign-keys&gt;&lt;key app="EN" db-id="s29ddxw9p900s9ef22lv2wprd9wr9rtp20ps" timestamp="1471066042"&gt;1892&lt;/key&gt;&lt;/foreign-keys&gt;&lt;ref-type name="Journal Article"&gt;17&lt;/ref-type&gt;&lt;contributors&gt;&lt;authors&gt;&lt;author&gt;Al-Tebrineh, Jamal&lt;/author&gt;&lt;author&gt;Merrick, Chester&lt;/author&gt;&lt;author&gt;Ryan, David&lt;/author&gt;&lt;author&gt;Humpage, Andrew&lt;/author&gt;&lt;author&gt;Bowling, Lee&lt;/author&gt;&lt;author&gt;Neilan, Brett A.&lt;/author&gt;&lt;/authors&gt;&lt;/contributors&gt;&lt;titles&gt;&lt;title&gt;Community composition, toxigenicity, and environmental conditions during a cyanobacterial bloom occurring along 1,100 kilometers of the Murray River&lt;/title&gt;&lt;secondary-title&gt;Applied and environmental microbiology&lt;/secondary-title&gt;&lt;/titles&gt;&lt;periodical&gt;&lt;full-title&gt;Applied And Environmental Microbiology&lt;/full-title&gt;&lt;abbr-1&gt;Appl. Environ. Microbiol.&lt;/abbr-1&gt;&lt;/periodical&gt;&lt;pages&gt;263-272&lt;/pages&gt;&lt;volume&gt;78&lt;/volume&gt;&lt;number&gt;1&lt;/number&gt;&lt;dates&gt;&lt;year&gt;2012&lt;/year&gt;&lt;/dates&gt;&lt;publisher&gt;Am Soc Microbiol&lt;/publisher&gt;&lt;isbn&gt;0099-2240&lt;/isbn&gt;&lt;urls&gt;&lt;/urls&gt;&lt;/record&gt;&lt;/Cite&gt;&lt;/EndNote&gt;</w:instrText>
      </w:r>
      <w:r w:rsidR="000B5FD7">
        <w:rPr>
          <w:rStyle w:val="named-content"/>
        </w:rPr>
        <w:fldChar w:fldCharType="separate"/>
      </w:r>
      <w:r>
        <w:rPr>
          <w:rStyle w:val="named-content"/>
          <w:noProof/>
        </w:rPr>
        <w:t>(Al-Tebrineh, Merrick</w:t>
      </w:r>
      <w:r w:rsidRPr="00FF2617">
        <w:rPr>
          <w:rStyle w:val="named-content"/>
          <w:noProof/>
        </w:rPr>
        <w:t xml:space="preserve"> et al.</w:t>
      </w:r>
      <w:r>
        <w:rPr>
          <w:rStyle w:val="named-content"/>
          <w:noProof/>
        </w:rPr>
        <w:t xml:space="preserve"> 2012)</w:t>
      </w:r>
      <w:r w:rsidR="000B5FD7">
        <w:rPr>
          <w:rStyle w:val="named-content"/>
        </w:rPr>
        <w:fldChar w:fldCharType="end"/>
      </w:r>
      <w:r>
        <w:rPr>
          <w:rStyle w:val="named-content"/>
        </w:rPr>
        <w:t xml:space="preserve">. </w:t>
      </w:r>
      <w:r w:rsidRPr="006000CC">
        <w:rPr>
          <w:rStyle w:val="named-content"/>
          <w:i/>
        </w:rPr>
        <w:t>C. ovalisporum</w:t>
      </w:r>
      <w:r>
        <w:rPr>
          <w:rStyle w:val="named-content"/>
        </w:rPr>
        <w:t xml:space="preserve"> is identified as a species capable of producing toxins, although the presence of toxins within any given bloom will be affected by factors such as temperature, light and nutrient availability </w:t>
      </w:r>
      <w:r w:rsidR="000B5FD7">
        <w:rPr>
          <w:rStyle w:val="named-content"/>
        </w:rPr>
        <w:fldChar w:fldCharType="begin"/>
      </w:r>
      <w:r>
        <w:rPr>
          <w:rStyle w:val="named-content"/>
        </w:rPr>
        <w:instrText xml:space="preserve"> ADDIN EN.CITE &lt;EndNote&gt;&lt;Cite&gt;&lt;Author&gt;Cirés&lt;/Author&gt;&lt;Year&gt;2016&lt;/Year&gt;&lt;RecNum&gt;1821&lt;/RecNum&gt;&lt;DisplayText&gt;(Cirés and Ballot 2016)&lt;/DisplayText&gt;&lt;record&gt;&lt;rec-number&gt;1821&lt;/rec-number&gt;&lt;foreign-keys&gt;&lt;key app="EN" db-id="s29ddxw9p900s9ef22lv2wprd9wr9rtp20ps" timestamp="1471056468"&gt;1821&lt;/key&gt;&lt;/foreign-keys&gt;&lt;ref-type name="Journal Article"&gt;17&lt;/ref-type&gt;&lt;contributors&gt;&lt;authors&gt;&lt;author&gt;Cirés, S.&lt;/author&gt;&lt;author&gt;Ballot, A.&lt;/author&gt;&lt;/authors&gt;&lt;/contributors&gt;&lt;auth-address&gt;Departamento de Biología, Universidad Autónoma de Madrid, Darwin, 2, Madrid, Spain&amp;#xD;College of Marine and Environmental Sciences, James Cook University, Townsville, QLD, Australia&amp;#xD;Norwegian Institute for Water Research (NIVA), Gaustadalléen 21, Oslo, Norway&lt;/auth-address&gt;&lt;titles&gt;&lt;title&gt;A review of the phylogeny, ecology and toxin production of bloom-forming Aphanizomenon spp. and related species within the Nostocales (cyanobacteria)&lt;/title&gt;&lt;secondary-title&gt;Harmful Algae&lt;/secondary-title&gt;&lt;alt-title&gt;Harmful Algae&lt;/alt-title&gt;&lt;/titles&gt;&lt;periodical&gt;&lt;full-title&gt;Harmful Algae&lt;/full-title&gt;&lt;abbr-1&gt;Harmful Algae&lt;/abbr-1&gt;&lt;/periodical&gt;&lt;alt-periodical&gt;&lt;full-title&gt;Harmful Algae&lt;/full-title&gt;&lt;abbr-1&gt;Harmful Algae&lt;/abbr-1&gt;&lt;/alt-periodical&gt;&lt;pages&gt;21-43&lt;/pages&gt;&lt;volume&gt;54&lt;/volume&gt;&lt;keywords&gt;&lt;keyword&gt;Aphanizomenon&lt;/keyword&gt;&lt;keyword&gt;Chrysosporum&lt;/keyword&gt;&lt;keyword&gt;Cuspidothrix&lt;/keyword&gt;&lt;keyword&gt;Cyanotoxin&lt;/keyword&gt;&lt;keyword&gt;Invasive&lt;/keyword&gt;&lt;keyword&gt;Sphaerospermopsis&lt;/keyword&gt;&lt;/keywords&gt;&lt;dates&gt;&lt;year&gt;2016&lt;/year&gt;&lt;/dates&gt;&lt;publisher&gt;Elsevier&lt;/publisher&gt;&lt;isbn&gt;15689883 (ISSN)&lt;/isbn&gt;&lt;work-type&gt;Review&lt;/work-type&gt;&lt;urls&gt;&lt;related-urls&gt;&lt;url&gt;https://www.scopus.com/inward/record.uri?eid=2-s2.0-84979740894&amp;amp;partnerID=40&amp;amp;md5=555b0437926c2e06c6aeda04f3a73317&lt;/url&gt;&lt;/related-urls&gt;&lt;/urls&gt;&lt;electronic-resource-num&gt;10.1016/j.hal.2015.09.007&lt;/electronic-resource-num&gt;&lt;remote-database-name&gt;Scopus&lt;/remote-database-name&gt;&lt;language&gt;English&lt;/language&gt;&lt;/record&gt;&lt;/Cite&gt;&lt;/EndNote&gt;</w:instrText>
      </w:r>
      <w:r w:rsidR="000B5FD7">
        <w:rPr>
          <w:rStyle w:val="named-content"/>
        </w:rPr>
        <w:fldChar w:fldCharType="separate"/>
      </w:r>
      <w:r>
        <w:rPr>
          <w:rStyle w:val="named-content"/>
          <w:noProof/>
        </w:rPr>
        <w:t>(Cirés and Ballot 2016)</w:t>
      </w:r>
      <w:r w:rsidR="000B5FD7">
        <w:rPr>
          <w:rStyle w:val="named-content"/>
        </w:rPr>
        <w:fldChar w:fldCharType="end"/>
      </w:r>
      <w:r>
        <w:rPr>
          <w:rStyle w:val="named-content"/>
        </w:rPr>
        <w:t xml:space="preserve">. The species is also identified as potentially invasive (especially under warming climate scenarios) having a preference for warm water temperatures, efficient phosphorus scavenging mechanisms to compete for nutrients in a phosphorus limited environment, can fix nitrogen from the atmosphere and has been reported from sites in the Middle East, Mediterranean , Africa and North America </w:t>
      </w:r>
      <w:r w:rsidR="000B5FD7">
        <w:rPr>
          <w:rStyle w:val="named-content"/>
        </w:rPr>
        <w:fldChar w:fldCharType="begin"/>
      </w:r>
      <w:r>
        <w:rPr>
          <w:rStyle w:val="named-content"/>
        </w:rPr>
        <w:instrText xml:space="preserve"> ADDIN EN.CITE &lt;EndNote&gt;&lt;Cite&gt;&lt;Author&gt;Cirés&lt;/Author&gt;&lt;Year&gt;2016&lt;/Year&gt;&lt;RecNum&gt;1821&lt;/RecNum&gt;&lt;DisplayText&gt;(Cirés and Ballot 2016)&lt;/DisplayText&gt;&lt;record&gt;&lt;rec-number&gt;1821&lt;/rec-number&gt;&lt;foreign-keys&gt;&lt;key app="EN" db-id="s29ddxw9p900s9ef22lv2wprd9wr9rtp20ps" timestamp="1471056468"&gt;1821&lt;/key&gt;&lt;/foreign-keys&gt;&lt;ref-type name="Journal Article"&gt;17&lt;/ref-type&gt;&lt;contributors&gt;&lt;authors&gt;&lt;author&gt;Cirés, S.&lt;/author&gt;&lt;author&gt;Ballot, A.&lt;/author&gt;&lt;/authors&gt;&lt;/contributors&gt;&lt;auth-address&gt;Departamento de Biología, Universidad Autónoma de Madrid, Darwin, 2, Madrid, Spain&amp;#xD;College of Marine and Environmental Sciences, James Cook University, Townsville, QLD, Australia&amp;#xD;Norwegian Institute for Water Research (NIVA), Gaustadalléen 21, Oslo, Norway&lt;/auth-address&gt;&lt;titles&gt;&lt;title&gt;A review of the phylogeny, ecology and toxin production of bloom-forming Aphanizomenon spp. and related species within the Nostocales (cyanobacteria)&lt;/title&gt;&lt;secondary-title&gt;Harmful Algae&lt;/secondary-title&gt;&lt;alt-title&gt;Harmful Algae&lt;/alt-title&gt;&lt;/titles&gt;&lt;periodical&gt;&lt;full-title&gt;Harmful Algae&lt;/full-title&gt;&lt;abbr-1&gt;Harmful Algae&lt;/abbr-1&gt;&lt;/periodical&gt;&lt;alt-periodical&gt;&lt;full-title&gt;Harmful Algae&lt;/full-title&gt;&lt;abbr-1&gt;Harmful Algae&lt;/abbr-1&gt;&lt;/alt-periodical&gt;&lt;pages&gt;21-43&lt;/pages&gt;&lt;volume&gt;54&lt;/volume&gt;&lt;keywords&gt;&lt;keyword&gt;Aphanizomenon&lt;/keyword&gt;&lt;keyword&gt;Chrysosporum&lt;/keyword&gt;&lt;keyword&gt;Cuspidothrix&lt;/keyword&gt;&lt;keyword&gt;Cyanotoxin&lt;/keyword&gt;&lt;keyword&gt;Invasive&lt;/keyword&gt;&lt;keyword&gt;Sphaerospermopsis&lt;/keyword&gt;&lt;/keywords&gt;&lt;dates&gt;&lt;year&gt;2016&lt;/year&gt;&lt;/dates&gt;&lt;publisher&gt;Elsevier&lt;/publisher&gt;&lt;isbn&gt;15689883 (ISSN)&lt;/isbn&gt;&lt;work-type&gt;Review&lt;/work-type&gt;&lt;urls&gt;&lt;related-urls&gt;&lt;url&gt;https://www.scopus.com/inward/record.uri?eid=2-s2.0-84979740894&amp;amp;partnerID=40&amp;amp;md5=555b0437926c2e06c6aeda04f3a73317&lt;/url&gt;&lt;/related-urls&gt;&lt;/urls&gt;&lt;electronic-resource-num&gt;10.1016/j.hal.2015.09.007&lt;/electronic-resource-num&gt;&lt;remote-database-name&gt;Scopus&lt;/remote-database-name&gt;&lt;language&gt;English&lt;/language&gt;&lt;/record&gt;&lt;/Cite&gt;&lt;/EndNote&gt;</w:instrText>
      </w:r>
      <w:r w:rsidR="000B5FD7">
        <w:rPr>
          <w:rStyle w:val="named-content"/>
        </w:rPr>
        <w:fldChar w:fldCharType="separate"/>
      </w:r>
      <w:r>
        <w:rPr>
          <w:rStyle w:val="named-content"/>
          <w:noProof/>
        </w:rPr>
        <w:t>(Cirés and Ballot 2016)</w:t>
      </w:r>
      <w:r w:rsidR="000B5FD7">
        <w:rPr>
          <w:rStyle w:val="named-content"/>
        </w:rPr>
        <w:fldChar w:fldCharType="end"/>
      </w:r>
      <w:r>
        <w:rPr>
          <w:rStyle w:val="named-content"/>
        </w:rPr>
        <w:t>. The onset of the bloom triggered additional funding</w:t>
      </w:r>
      <w:r w:rsidR="00967EA0">
        <w:rPr>
          <w:rStyle w:val="named-content"/>
        </w:rPr>
        <w:t xml:space="preserve"> under the existing LTIM Edward-Wakool project</w:t>
      </w:r>
      <w:r>
        <w:rPr>
          <w:rStyle w:val="named-content"/>
        </w:rPr>
        <w:t xml:space="preserve"> that had been set aside for an adverse water quality event, and in addition to the regular monthly water quality sampling, this chapter includes data from 12 weeks of weekly monitoring (March-May) with additional sites included on the Colligen Creek, Niemur River and on the Wakool River at Gee Gee Bridge.</w:t>
      </w:r>
    </w:p>
    <w:p w14:paraId="3B4F8C5A" w14:textId="77777777" w:rsidR="008E6212" w:rsidRDefault="008E6212" w:rsidP="008E6212">
      <w:pPr>
        <w:tabs>
          <w:tab w:val="left" w:pos="9071"/>
        </w:tabs>
        <w:spacing w:after="240" w:line="320" w:lineRule="exact"/>
        <w:ind w:right="-1"/>
        <w:jc w:val="left"/>
      </w:pPr>
      <w:r w:rsidRPr="00FC01C7">
        <w:t>This project aims to assess changes to water quality in response to alterations in flow and to consider changes in both the quantity and type of organic matter present in the system. S</w:t>
      </w:r>
      <w:r>
        <w:t>pecifically, this work will be addressing the questions below.</w:t>
      </w:r>
    </w:p>
    <w:p w14:paraId="3B4F8C5B" w14:textId="77777777" w:rsidR="008E6212" w:rsidRDefault="008E6212" w:rsidP="008E6212">
      <w:pPr>
        <w:tabs>
          <w:tab w:val="left" w:pos="9071"/>
        </w:tabs>
        <w:spacing w:after="240" w:line="320" w:lineRule="exact"/>
        <w:jc w:val="left"/>
        <w:rPr>
          <w:b/>
          <w:color w:val="4F6228" w:themeColor="accent3" w:themeShade="80"/>
          <w:sz w:val="24"/>
          <w:szCs w:val="24"/>
        </w:rPr>
      </w:pPr>
    </w:p>
    <w:p w14:paraId="3B4F8C5C" w14:textId="77777777" w:rsidR="008E6212" w:rsidRDefault="008E6212" w:rsidP="008E6212">
      <w:pPr>
        <w:spacing w:after="0" w:line="240" w:lineRule="auto"/>
        <w:jc w:val="left"/>
        <w:rPr>
          <w:b/>
          <w:color w:val="4F6228" w:themeColor="accent3" w:themeShade="80"/>
          <w:sz w:val="24"/>
          <w:szCs w:val="24"/>
        </w:rPr>
      </w:pPr>
      <w:r>
        <w:rPr>
          <w:b/>
          <w:color w:val="4F6228" w:themeColor="accent3" w:themeShade="80"/>
          <w:sz w:val="24"/>
          <w:szCs w:val="24"/>
        </w:rPr>
        <w:br w:type="page"/>
      </w:r>
    </w:p>
    <w:p w14:paraId="3B4F8C5D" w14:textId="77777777" w:rsidR="008E6212" w:rsidRPr="003B580C" w:rsidRDefault="008E6212" w:rsidP="008E6212">
      <w:pPr>
        <w:tabs>
          <w:tab w:val="left" w:pos="9071"/>
        </w:tabs>
        <w:spacing w:after="240" w:line="320" w:lineRule="exact"/>
        <w:jc w:val="left"/>
        <w:rPr>
          <w:b/>
          <w:color w:val="4F6228" w:themeColor="accent3" w:themeShade="80"/>
          <w:sz w:val="24"/>
          <w:szCs w:val="24"/>
        </w:rPr>
      </w:pPr>
      <w:r>
        <w:rPr>
          <w:b/>
          <w:color w:val="4F6228" w:themeColor="accent3" w:themeShade="80"/>
          <w:sz w:val="24"/>
          <w:szCs w:val="24"/>
        </w:rPr>
        <w:lastRenderedPageBreak/>
        <w:t xml:space="preserve">A.2    </w:t>
      </w:r>
      <w:r w:rsidRPr="003B580C">
        <w:rPr>
          <w:b/>
          <w:color w:val="4F6228" w:themeColor="accent3" w:themeShade="80"/>
          <w:sz w:val="24"/>
          <w:szCs w:val="24"/>
        </w:rPr>
        <w:t>Selected Area Questions</w:t>
      </w:r>
    </w:p>
    <w:p w14:paraId="3B4F8C5E" w14:textId="77777777" w:rsidR="008E6212" w:rsidRDefault="008E6212" w:rsidP="008E6212">
      <w:pPr>
        <w:spacing w:after="240" w:line="320" w:lineRule="exact"/>
        <w:jc w:val="left"/>
        <w:rPr>
          <w:rFonts w:cs="Calibri"/>
        </w:rPr>
      </w:pPr>
      <w:r>
        <w:rPr>
          <w:rFonts w:cs="Calibri"/>
        </w:rPr>
        <w:t xml:space="preserve">As described above, the relationship between flow and water quality is complex and can be influenced by how changes in flow influence wetted benthic area, water depth, rate of flow and connectivity to the floodplain.  Water quality parameters may be affected in different ways due to the direct effects of changes in flow, or due to interactions between the parameters.  In order to obtain an understanding of the impact of environmental water deliveries to the Edward-Wakool system on the water quality in the Wakool River and Yallakool Creek we monitor a number of parameters in each site through a combination of continuous logging, spot readings on site and sample collection for laboratory analysis. Water quality will generally respond very rapidly to changes in flow but trends may also develop over a longer period, so the questions below are considered on a 1-5 year basis. We anticipate that in-channel flows will generally only have very small impacts on the organic matter and nutrient concentrations in the river but that dissolved oxygen may respond more directly to changes in flow. </w:t>
      </w:r>
    </w:p>
    <w:p w14:paraId="3B4F8C5F" w14:textId="77777777" w:rsidR="008E6212" w:rsidRPr="003B580C" w:rsidRDefault="008E6212" w:rsidP="00764D83">
      <w:pPr>
        <w:pStyle w:val="ListParagraph"/>
        <w:numPr>
          <w:ilvl w:val="0"/>
          <w:numId w:val="17"/>
        </w:numPr>
        <w:spacing w:after="120" w:line="320" w:lineRule="exact"/>
        <w:ind w:left="357" w:hanging="357"/>
        <w:jc w:val="left"/>
        <w:rPr>
          <w:rFonts w:cs="Calibri"/>
        </w:rPr>
      </w:pPr>
      <w:r w:rsidRPr="003B580C">
        <w:rPr>
          <w:rFonts w:cs="Calibri"/>
          <w:i/>
        </w:rPr>
        <w:t>What did Commonwealth environmental water contribute to temperature regimes?</w:t>
      </w:r>
    </w:p>
    <w:p w14:paraId="3B4F8C60" w14:textId="77777777" w:rsidR="008E6212" w:rsidRPr="003B580C" w:rsidRDefault="008E6212" w:rsidP="00764D83">
      <w:pPr>
        <w:pStyle w:val="ListParagraph"/>
        <w:numPr>
          <w:ilvl w:val="0"/>
          <w:numId w:val="17"/>
        </w:numPr>
        <w:spacing w:after="120" w:line="320" w:lineRule="exact"/>
        <w:ind w:left="357" w:hanging="357"/>
        <w:jc w:val="left"/>
        <w:rPr>
          <w:rFonts w:cs="Calibri"/>
        </w:rPr>
      </w:pPr>
      <w:r w:rsidRPr="003B580C">
        <w:rPr>
          <w:rFonts w:cs="Calibri"/>
          <w:i/>
        </w:rPr>
        <w:t>What did Commonwealth environmental water contribute to dissolved oxygen concentrations?</w:t>
      </w:r>
    </w:p>
    <w:p w14:paraId="3B4F8C61" w14:textId="77777777" w:rsidR="008E6212" w:rsidRPr="003B580C" w:rsidRDefault="008E6212" w:rsidP="00764D83">
      <w:pPr>
        <w:pStyle w:val="ListParagraph"/>
        <w:numPr>
          <w:ilvl w:val="0"/>
          <w:numId w:val="17"/>
        </w:numPr>
        <w:spacing w:after="120" w:line="320" w:lineRule="exact"/>
        <w:ind w:left="357" w:hanging="357"/>
        <w:jc w:val="left"/>
        <w:rPr>
          <w:rFonts w:cs="Calibri"/>
        </w:rPr>
      </w:pPr>
      <w:r w:rsidRPr="003B580C">
        <w:rPr>
          <w:rFonts w:cs="Calibri"/>
          <w:i/>
        </w:rPr>
        <w:t xml:space="preserve">What did </w:t>
      </w:r>
      <w:r w:rsidRPr="003B580C">
        <w:rPr>
          <w:rFonts w:cs="Calibri"/>
          <w:i/>
          <w:szCs w:val="22"/>
        </w:rPr>
        <w:t>Commonwealth environmental water contribute to nutrient concentrations?</w:t>
      </w:r>
    </w:p>
    <w:p w14:paraId="3B4F8C62" w14:textId="77777777" w:rsidR="008E6212" w:rsidRPr="003B580C" w:rsidRDefault="008E6212" w:rsidP="00764D83">
      <w:pPr>
        <w:pStyle w:val="ListParagraph"/>
        <w:numPr>
          <w:ilvl w:val="0"/>
          <w:numId w:val="17"/>
        </w:numPr>
        <w:spacing w:after="120" w:line="320" w:lineRule="exact"/>
        <w:ind w:left="357" w:hanging="357"/>
        <w:jc w:val="left"/>
        <w:rPr>
          <w:rFonts w:cs="Calibri"/>
        </w:rPr>
      </w:pPr>
      <w:r w:rsidRPr="003B580C">
        <w:rPr>
          <w:rFonts w:cs="Calibri"/>
          <w:i/>
          <w:szCs w:val="22"/>
        </w:rPr>
        <w:t>What did Commonwealth environmental water contribute to modification of the type and amount of dissolved organic matter through reconnection with previously dry or disconnected in-channel habitat?</w:t>
      </w:r>
    </w:p>
    <w:p w14:paraId="3B4F8C63" w14:textId="77777777" w:rsidR="008E6212" w:rsidRPr="003B580C" w:rsidRDefault="008E6212" w:rsidP="00764D83">
      <w:pPr>
        <w:pStyle w:val="ListParagraph"/>
        <w:numPr>
          <w:ilvl w:val="0"/>
          <w:numId w:val="17"/>
        </w:numPr>
        <w:spacing w:after="240" w:line="320" w:lineRule="exact"/>
        <w:ind w:left="360"/>
        <w:jc w:val="left"/>
        <w:rPr>
          <w:rFonts w:cs="Calibri"/>
        </w:rPr>
      </w:pPr>
      <w:r w:rsidRPr="003B580C">
        <w:rPr>
          <w:i/>
          <w:szCs w:val="22"/>
        </w:rPr>
        <w:t>What did Commonwealth environmental water contribute to reducing the impact of blackwater in the system?</w:t>
      </w:r>
    </w:p>
    <w:p w14:paraId="3B4F8C64" w14:textId="77777777" w:rsidR="008E6212" w:rsidRPr="00995C4E" w:rsidRDefault="008E6212" w:rsidP="008E6212">
      <w:pPr>
        <w:spacing w:after="240" w:line="320" w:lineRule="exact"/>
        <w:jc w:val="left"/>
        <w:rPr>
          <w:rFonts w:cs="Calibri"/>
          <w:b/>
        </w:rPr>
      </w:pPr>
      <w:r w:rsidRPr="00995C4E">
        <w:rPr>
          <w:b/>
        </w:rPr>
        <w:t>Additional questions for extended algal monitoring</w:t>
      </w:r>
    </w:p>
    <w:p w14:paraId="3B4F8C65" w14:textId="77777777" w:rsidR="008E6212" w:rsidRPr="003B580C" w:rsidRDefault="008E6212" w:rsidP="00764D83">
      <w:pPr>
        <w:pStyle w:val="ListParagraph"/>
        <w:numPr>
          <w:ilvl w:val="0"/>
          <w:numId w:val="26"/>
        </w:numPr>
        <w:spacing w:after="120" w:line="320" w:lineRule="exact"/>
        <w:ind w:hanging="357"/>
        <w:jc w:val="left"/>
        <w:rPr>
          <w:rFonts w:cs="Calibri"/>
        </w:rPr>
      </w:pPr>
      <w:r w:rsidRPr="003B580C">
        <w:rPr>
          <w:i/>
        </w:rPr>
        <w:t>Did Commonwealth environmental water contribute to the bloom conditions in the Edward Wakool system?</w:t>
      </w:r>
    </w:p>
    <w:p w14:paraId="3B4F8C66" w14:textId="77777777" w:rsidR="008E6212" w:rsidRDefault="008E6212" w:rsidP="00764D83">
      <w:pPr>
        <w:pStyle w:val="ListParagraph"/>
        <w:numPr>
          <w:ilvl w:val="0"/>
          <w:numId w:val="18"/>
        </w:numPr>
        <w:tabs>
          <w:tab w:val="left" w:pos="9071"/>
        </w:tabs>
        <w:spacing w:after="240" w:line="320" w:lineRule="exact"/>
        <w:ind w:left="363"/>
        <w:jc w:val="left"/>
        <w:rPr>
          <w:i/>
        </w:rPr>
      </w:pPr>
      <w:r w:rsidRPr="00F030DC">
        <w:rPr>
          <w:i/>
        </w:rPr>
        <w:t>How did the algal bloom impact water quality in the Edward-Wakool system?</w:t>
      </w:r>
    </w:p>
    <w:p w14:paraId="3B4F8C67" w14:textId="77777777" w:rsidR="008E6212" w:rsidRPr="00995C4E" w:rsidRDefault="008E6212" w:rsidP="008E6212">
      <w:pPr>
        <w:tabs>
          <w:tab w:val="left" w:pos="9071"/>
        </w:tabs>
        <w:spacing w:after="240" w:line="320" w:lineRule="exact"/>
        <w:jc w:val="left"/>
        <w:rPr>
          <w:i/>
        </w:rPr>
      </w:pPr>
    </w:p>
    <w:p w14:paraId="3B4F8C68" w14:textId="77777777" w:rsidR="008E6212" w:rsidRPr="00F13819" w:rsidRDefault="008E6212" w:rsidP="008E6212">
      <w:pPr>
        <w:tabs>
          <w:tab w:val="left" w:pos="9071"/>
        </w:tabs>
        <w:spacing w:after="240" w:line="320" w:lineRule="exact"/>
        <w:ind w:right="-1"/>
        <w:jc w:val="left"/>
        <w:rPr>
          <w:b/>
          <w:color w:val="4F6228" w:themeColor="accent3" w:themeShade="80"/>
          <w:sz w:val="24"/>
          <w:szCs w:val="24"/>
        </w:rPr>
      </w:pPr>
      <w:r>
        <w:rPr>
          <w:b/>
          <w:color w:val="4F6228" w:themeColor="accent3" w:themeShade="80"/>
          <w:sz w:val="24"/>
          <w:szCs w:val="24"/>
        </w:rPr>
        <w:t xml:space="preserve">A.3   </w:t>
      </w:r>
      <w:r w:rsidRPr="00F13819">
        <w:rPr>
          <w:b/>
          <w:color w:val="4F6228" w:themeColor="accent3" w:themeShade="80"/>
          <w:sz w:val="24"/>
          <w:szCs w:val="24"/>
        </w:rPr>
        <w:t>Methods</w:t>
      </w:r>
    </w:p>
    <w:p w14:paraId="3B4F8C69" w14:textId="77777777" w:rsidR="008E6212" w:rsidRPr="00DA3E0D" w:rsidRDefault="008E6212" w:rsidP="008E6212">
      <w:pPr>
        <w:spacing w:after="240" w:line="320" w:lineRule="exact"/>
        <w:jc w:val="left"/>
      </w:pPr>
      <w:r w:rsidRPr="00DA3E0D">
        <w:t xml:space="preserve">Water temperature and dissolved oxygen were logged every ten minutes </w:t>
      </w:r>
      <w:r>
        <w:t>with two loggers located in each of zones 1, 3 and 4 and one logger in zone 2.</w:t>
      </w:r>
      <w:r w:rsidRPr="00DA3E0D">
        <w:t xml:space="preserve"> Data were downloaded and loggers calibrated approximately once per month</w:t>
      </w:r>
      <w:r>
        <w:t xml:space="preserve"> depending on access to survey site (e.g. high rainfall may prevent access).</w:t>
      </w:r>
      <w:r w:rsidRPr="00DA3E0D">
        <w:t xml:space="preserve"> Light and depth loggers were also deployed and data </w:t>
      </w:r>
      <w:r>
        <w:t>were</w:t>
      </w:r>
      <w:r w:rsidRPr="00DA3E0D">
        <w:t xml:space="preserve"> downloaded on a monthly basis.</w:t>
      </w:r>
      <w:r>
        <w:t xml:space="preserve"> The data collected by the loggers was used to calculate daily </w:t>
      </w:r>
      <w:r w:rsidRPr="00BA2F8A">
        <w:t xml:space="preserve">average temperature and dissolved oxygen concentrations for each of the </w:t>
      </w:r>
      <w:r w:rsidRPr="00BA2F8A">
        <w:lastRenderedPageBreak/>
        <w:t>rivers from</w:t>
      </w:r>
      <w:r>
        <w:t xml:space="preserve"> August 2015 to May 2016. Gaps in dissolved oxygen </w:t>
      </w:r>
      <w:r w:rsidRPr="00BA2F8A">
        <w:t xml:space="preserve">data </w:t>
      </w:r>
      <w:r>
        <w:t>were</w:t>
      </w:r>
      <w:r w:rsidRPr="00BA2F8A">
        <w:t xml:space="preserve"> the resu</w:t>
      </w:r>
      <w:r>
        <w:t>lt of problems with the loggers or due to routine maintenance</w:t>
      </w:r>
      <w:r w:rsidRPr="00BA2F8A">
        <w:t>.</w:t>
      </w:r>
    </w:p>
    <w:p w14:paraId="3B4F8C6A" w14:textId="77777777" w:rsidR="005A2FCB" w:rsidRDefault="0077231D" w:rsidP="008E6212">
      <w:pPr>
        <w:spacing w:after="240" w:line="320" w:lineRule="exact"/>
        <w:jc w:val="left"/>
      </w:pPr>
      <w:r>
        <w:t>From August to May w</w:t>
      </w:r>
      <w:r w:rsidR="008E6212" w:rsidRPr="00DA3E0D">
        <w:t xml:space="preserve">ater samples were collected </w:t>
      </w:r>
      <w:r>
        <w:t xml:space="preserve">once per month </w:t>
      </w:r>
      <w:r w:rsidR="008E6212" w:rsidRPr="00DA3E0D">
        <w:t xml:space="preserve">from </w:t>
      </w:r>
      <w:r w:rsidR="008E6212">
        <w:t>two sites within each zone, and from Stevens Weir on the Edwar</w:t>
      </w:r>
      <w:r w:rsidR="005A2FCB">
        <w:t>d River and the Mulwala Canal,</w:t>
      </w:r>
      <w:r w:rsidR="005A2FCB" w:rsidRPr="005A2FCB">
        <w:t xml:space="preserve"> </w:t>
      </w:r>
      <w:r w:rsidR="005A2FCB">
        <w:t xml:space="preserve">plus a site on the Wakool River at Gee Gee Bridge to monitor downstream effects. </w:t>
      </w:r>
      <w:r>
        <w:t xml:space="preserve">Over </w:t>
      </w:r>
      <w:r w:rsidR="005A2FCB">
        <w:t>a thirteen week period</w:t>
      </w:r>
      <w:r>
        <w:t xml:space="preserve"> between March and May </w:t>
      </w:r>
      <w:r w:rsidR="005A2FCB">
        <w:t xml:space="preserve">additional </w:t>
      </w:r>
      <w:r w:rsidR="008E6212">
        <w:t xml:space="preserve">samples were collected </w:t>
      </w:r>
      <w:r>
        <w:t xml:space="preserve">weekly from all of these sites </w:t>
      </w:r>
      <w:r w:rsidR="005A2FCB">
        <w:t xml:space="preserve">plus </w:t>
      </w:r>
      <w:r w:rsidR="008E6212">
        <w:t xml:space="preserve">sites on Colligen Creek and </w:t>
      </w:r>
      <w:r w:rsidR="005A2FCB">
        <w:t xml:space="preserve">the </w:t>
      </w:r>
      <w:r w:rsidR="008E6212">
        <w:t xml:space="preserve">Niemur River were added during the algal monitoring period. </w:t>
      </w:r>
      <w:r w:rsidR="005A2FCB">
        <w:t>On all sample dates w</w:t>
      </w:r>
      <w:r w:rsidR="005A2FCB" w:rsidRPr="00DA3E0D">
        <w:t>ater quality parameters (temperature (</w:t>
      </w:r>
      <w:r w:rsidR="005A2FCB" w:rsidRPr="00DA3E0D">
        <w:rPr>
          <w:vertAlign w:val="superscript"/>
        </w:rPr>
        <w:t>o</w:t>
      </w:r>
      <w:r w:rsidR="005A2FCB" w:rsidRPr="00DA3E0D">
        <w:t xml:space="preserve">C), </w:t>
      </w:r>
      <w:r w:rsidR="005A2FCB">
        <w:t>electrical</w:t>
      </w:r>
      <w:r w:rsidR="005A2FCB" w:rsidRPr="00DA3E0D">
        <w:t xml:space="preserve"> conductivity (mS/cm), dissolved oxygen (%), pH, and turbidity (NTU)) were measured as spot recordings.</w:t>
      </w:r>
      <w:r w:rsidR="005A2FCB">
        <w:t xml:space="preserve"> </w:t>
      </w:r>
    </w:p>
    <w:p w14:paraId="3B4F8C6B" w14:textId="77777777" w:rsidR="008E6212" w:rsidRPr="00DA3E0D" w:rsidRDefault="005A2FCB" w:rsidP="005A2FCB">
      <w:pPr>
        <w:spacing w:after="0" w:line="320" w:lineRule="exact"/>
        <w:jc w:val="left"/>
      </w:pPr>
      <w:r>
        <w:t>Water s</w:t>
      </w:r>
      <w:r w:rsidR="008E6212">
        <w:t xml:space="preserve">amples were processed according </w:t>
      </w:r>
      <w:r w:rsidR="008E6212" w:rsidRPr="00DA3E0D">
        <w:t>to</w:t>
      </w:r>
      <w:r w:rsidR="008E6212">
        <w:t xml:space="preserve"> the methods detailed in Watts et al. (2014) to</w:t>
      </w:r>
      <w:r w:rsidR="008E6212" w:rsidRPr="00DA3E0D">
        <w:t xml:space="preserve"> </w:t>
      </w:r>
      <w:r w:rsidR="008E6212">
        <w:t>measure</w:t>
      </w:r>
      <w:r w:rsidR="008E6212" w:rsidRPr="00DA3E0D">
        <w:t>:</w:t>
      </w:r>
    </w:p>
    <w:p w14:paraId="3B4F8C6C" w14:textId="77777777" w:rsidR="008E6212" w:rsidRPr="00DA3E0D" w:rsidRDefault="008E6212" w:rsidP="005A2FCB">
      <w:pPr>
        <w:pStyle w:val="ListParagraph"/>
        <w:numPr>
          <w:ilvl w:val="0"/>
          <w:numId w:val="16"/>
        </w:numPr>
        <w:spacing w:after="0" w:line="320" w:lineRule="exact"/>
        <w:ind w:left="714" w:hanging="357"/>
        <w:jc w:val="left"/>
      </w:pPr>
      <w:r w:rsidRPr="00DA3E0D">
        <w:t>Dissolved Organic Carbon (DOC)</w:t>
      </w:r>
      <w:r>
        <w:t xml:space="preserve"> </w:t>
      </w:r>
    </w:p>
    <w:p w14:paraId="3B4F8C6D" w14:textId="77777777" w:rsidR="008E6212" w:rsidRDefault="008E6212" w:rsidP="005A2FCB">
      <w:pPr>
        <w:pStyle w:val="ListParagraph"/>
        <w:numPr>
          <w:ilvl w:val="0"/>
          <w:numId w:val="16"/>
        </w:numPr>
        <w:spacing w:after="0" w:line="320" w:lineRule="exact"/>
        <w:ind w:left="714" w:hanging="357"/>
        <w:jc w:val="left"/>
      </w:pPr>
      <w:r w:rsidRPr="00DA3E0D">
        <w:t>Nutrients (Ammonia (NH</w:t>
      </w:r>
      <w:r>
        <w:rPr>
          <w:vertAlign w:val="subscript"/>
        </w:rPr>
        <w:t>4</w:t>
      </w:r>
      <w:r w:rsidRPr="004E7BE0">
        <w:rPr>
          <w:vertAlign w:val="superscript"/>
        </w:rPr>
        <w:t>+</w:t>
      </w:r>
      <w:r w:rsidRPr="00DA3E0D">
        <w:t xml:space="preserve">), filtered reactive phosphorus (FRP), dissolved nitrate + nitrite (NOx), Total </w:t>
      </w:r>
      <w:r>
        <w:t>N</w:t>
      </w:r>
      <w:r w:rsidRPr="00DA3E0D">
        <w:t xml:space="preserve">itrogen (TN) and Total </w:t>
      </w:r>
      <w:r>
        <w:t>P</w:t>
      </w:r>
      <w:r w:rsidRPr="00DA3E0D">
        <w:t>hosphorus (TP))</w:t>
      </w:r>
    </w:p>
    <w:p w14:paraId="3B4F8C6E" w14:textId="77777777" w:rsidR="008E6212" w:rsidRPr="00DA3E0D" w:rsidRDefault="008E6212" w:rsidP="00764D83">
      <w:pPr>
        <w:pStyle w:val="ListParagraph"/>
        <w:numPr>
          <w:ilvl w:val="0"/>
          <w:numId w:val="16"/>
        </w:numPr>
        <w:spacing w:after="240" w:line="320" w:lineRule="exact"/>
        <w:ind w:left="714" w:hanging="357"/>
        <w:jc w:val="left"/>
      </w:pPr>
      <w:r>
        <w:t>Absorbance and fluorescence spectroscopy for organic matter characterisation.</w:t>
      </w:r>
    </w:p>
    <w:p w14:paraId="3B4F8C6F" w14:textId="77777777" w:rsidR="008E6212" w:rsidRDefault="008E6212" w:rsidP="008E6212">
      <w:pPr>
        <w:spacing w:after="240" w:line="320" w:lineRule="exact"/>
        <w:jc w:val="left"/>
      </w:pPr>
      <w:r>
        <w:t xml:space="preserve">Water samples were filtered through a 0.2 </w:t>
      </w:r>
      <w:r w:rsidRPr="009C638D">
        <w:rPr>
          <w:rFonts w:ascii="Symbol" w:hAnsi="Symbol"/>
        </w:rPr>
        <w:t></w:t>
      </w:r>
      <w:r w:rsidRPr="009C638D">
        <w:t>m</w:t>
      </w:r>
      <w:r>
        <w:t xml:space="preserve"> pore-sized membrane at the time of sampling and then stored on ice until returned to the laboratory. DOC and nutrient samples were frozen and sent to Monash University for analysis. Carbon characterisation samples were sent to CSU Wagga Wagga and analysed within a day of returning from the field. Samples for algal counts and biovolume were sent </w:t>
      </w:r>
      <w:r w:rsidRPr="00007B41">
        <w:t>to ALS</w:t>
      </w:r>
      <w:r>
        <w:t xml:space="preserve"> Environmental (Canberra) for analysis. All samples for 7/3/16 and half the samples for 14/3/16 were analysed for counts and species only. As the bloom was dominated by cyanophytes (&gt;98% in most samples), counts and biovolumes were highly correlated and missing biovolume data was calculated from count data using the regression:</w:t>
      </w:r>
    </w:p>
    <w:p w14:paraId="3B4F8C70" w14:textId="77777777" w:rsidR="008E6212" w:rsidRPr="007D318D" w:rsidRDefault="008E6212" w:rsidP="008E6212">
      <w:pPr>
        <w:spacing w:after="240" w:line="320" w:lineRule="exact"/>
        <w:jc w:val="center"/>
      </w:pPr>
      <w:r>
        <w:t>Biovolume = 4.739 x 10</w:t>
      </w:r>
      <w:r>
        <w:rPr>
          <w:vertAlign w:val="superscript"/>
        </w:rPr>
        <w:t>5</w:t>
      </w:r>
      <w:r>
        <w:t xml:space="preserve"> counts – 0.993 (R</w:t>
      </w:r>
      <w:r>
        <w:rPr>
          <w:vertAlign w:val="superscript"/>
        </w:rPr>
        <w:t>2</w:t>
      </w:r>
      <w:r>
        <w:t xml:space="preserve"> = 0.994)</w:t>
      </w:r>
    </w:p>
    <w:p w14:paraId="3B4F8C71" w14:textId="77777777" w:rsidR="008E6212" w:rsidRDefault="008E6212" w:rsidP="008E6212">
      <w:pPr>
        <w:spacing w:after="240" w:line="320" w:lineRule="exact"/>
        <w:jc w:val="left"/>
      </w:pPr>
      <w:r>
        <w:t>Absorbance scans were collected using a Varian Cary 4000 instrument across a wavelength range of 550 nm to 200 nm (green through to ultraviolet) with a 1 nm step size.</w:t>
      </w:r>
      <w:r w:rsidRPr="0086355D">
        <w:t xml:space="preserve">  Absorbance is a measure of light absorbed by the sample and is a logarithmic scale. An absorbance of 1 indicates that only 10% of the light of that wavelength is transmitted through the sample.</w:t>
      </w:r>
      <w:r>
        <w:t xml:space="preserve"> </w:t>
      </w:r>
      <w:r w:rsidRPr="00194FC7">
        <w:t>Fluorescence scans were collected using a Varian Eclipse spectrofluorometer scanning both emission and excitation wavelengths to give an excitation-emissio</w:t>
      </w:r>
      <w:r>
        <w:t>n matrix</w:t>
      </w:r>
      <w:r w:rsidRPr="00194FC7">
        <w:t>. Excitation wavelengths were scanned from 200 to 400 nm with a 10 nm step size and for each excitation wavelength, emission of light at 90</w:t>
      </w:r>
      <w:r w:rsidRPr="00194FC7">
        <w:rPr>
          <w:vertAlign w:val="superscript"/>
        </w:rPr>
        <w:t>O</w:t>
      </w:r>
      <w:r w:rsidRPr="00194FC7">
        <w:t xml:space="preserve"> to the source was recorded from 200 nm to 550 nm with a 1 nm step size. Fluorescence results were corrected for sample absorption and plotted as contour plots </w:t>
      </w:r>
      <w:r w:rsidR="000B5FD7" w:rsidRPr="00194FC7">
        <w:fldChar w:fldCharType="begin"/>
      </w:r>
      <w:r>
        <w:instrText xml:space="preserve"> ADDIN EN.CITE &lt;EndNote&gt;&lt;Cite&gt;&lt;Author&gt;Howitt&lt;/Author&gt;&lt;Year&gt;2008&lt;/Year&gt;&lt;RecNum&gt;1538&lt;/RecNum&gt;&lt;DisplayText&gt;(Howitt, Baldwin&lt;style face="italic"&gt; et al.&lt;/style&gt; 2008)&lt;/DisplayText&gt;&lt;record&gt;&lt;rec-number&gt;1538&lt;/rec-number&gt;&lt;foreign-keys&gt;&lt;key app="EN" db-id="s29ddxw9p900s9ef22lv2wprd9wr9rtp20ps" timestamp="1302562383"&gt;1538&lt;/key&gt;&lt;/foreign-keys&gt;&lt;ref-type name="Journal Article"&gt;17&lt;/ref-type&gt;&lt;contributors&gt;&lt;authors&gt;&lt;author&gt;Howitt, J. A.&lt;/author&gt;&lt;author&gt;Baldwin, D. S.&lt;/author&gt;&lt;author&gt;Rees, G. N.&lt;/author&gt;&lt;author&gt;Hart, B. T.&lt;/author&gt;&lt;/authors&gt;&lt;/contributors&gt;&lt;auth-address&gt;Howitt, JA&amp;#xD;Murray Darling Freshwater Res Ctr, POB 991, Wodonga, Vic 3689, Australia&amp;#xD;Murray Darling Freshwater Res Ctr, Wodonga, Vic 3689, Australia&amp;#xD;Monash Univ, Water Studies Ctr, Clayton, Vic 3800, Australia&amp;#xD;Deakin Univ, Sch Life &amp;amp; Environm Sci, Warrnambool, Vic 3280, Australia&lt;/auth-address&gt;&lt;titles&gt;&lt;title&gt;Photodegradation, interaction with iron oxides and bioavailability of dissolved organic matter from forested floodplain sources&lt;/title&gt;&lt;secondary-title&gt;Marine and Freshwater Research&lt;/secondary-title&gt;&lt;/titles&gt;&lt;periodical&gt;&lt;full-title&gt;Marine and Freshwater Research&lt;/full-title&gt;&lt;/periodical&gt;&lt;pages&gt;780-791&lt;/pages&gt;&lt;volume&gt;59&lt;/volume&gt;&lt;number&gt;9&lt;/number&gt;&lt;keywords&gt;&lt;keyword&gt;aquatic carbon cycle&lt;/keyword&gt;&lt;keyword&gt;excitation-emission matrix (eem)&lt;/keyword&gt;&lt;keyword&gt;humic substances&lt;/keyword&gt;&lt;keyword&gt;murray river&lt;/keyword&gt;&lt;keyword&gt;emission matrix characterization&lt;/keyword&gt;&lt;keyword&gt;humic substances&lt;/keyword&gt;&lt;keyword&gt;fluorescence excitation&lt;/keyword&gt;&lt;keyword&gt;water-quality&lt;/keyword&gt;&lt;keyword&gt;surface waters&lt;/keyword&gt;&lt;keyword&gt;fulvic-acid&lt;/keyword&gt;&lt;keyword&gt;lake water&lt;/keyword&gt;&lt;keyword&gt;carbon&lt;/keyword&gt;&lt;keyword&gt;marine&lt;/keyword&gt;&lt;keyword&gt;river&lt;/keyword&gt;&lt;/keywords&gt;&lt;dates&gt;&lt;year&gt;2008&lt;/year&gt;&lt;/dates&gt;&lt;isbn&gt;1323-1650&lt;/isbn&gt;&lt;accession-num&gt;ISI:000259790800004&lt;/accession-num&gt;&lt;urls&gt;&lt;related-urls&gt;&lt;url&gt;&amp;lt;Go to ISI&amp;gt;://000259790800004&lt;/url&gt;&lt;/related-urls&gt;&lt;/urls&gt;&lt;electronic-resource-num&gt;Doi 10.1071/Mf07225&lt;/electronic-resource-num&gt;&lt;language&gt;English&lt;/language&gt;&lt;/record&gt;&lt;/Cite&gt;&lt;/EndNote&gt;</w:instrText>
      </w:r>
      <w:r w:rsidR="000B5FD7" w:rsidRPr="00194FC7">
        <w:fldChar w:fldCharType="separate"/>
      </w:r>
      <w:r>
        <w:rPr>
          <w:noProof/>
        </w:rPr>
        <w:t>(Howitt</w:t>
      </w:r>
      <w:r w:rsidRPr="00FF2617">
        <w:rPr>
          <w:i/>
          <w:noProof/>
        </w:rPr>
        <w:t xml:space="preserve"> </w:t>
      </w:r>
      <w:r w:rsidR="00115A7E" w:rsidRPr="00115A7E">
        <w:rPr>
          <w:noProof/>
        </w:rPr>
        <w:t>et al.</w:t>
      </w:r>
      <w:r>
        <w:rPr>
          <w:noProof/>
        </w:rPr>
        <w:t xml:space="preserve"> 2008)</w:t>
      </w:r>
      <w:r w:rsidR="000B5FD7" w:rsidRPr="00194FC7">
        <w:fldChar w:fldCharType="end"/>
      </w:r>
      <w:r w:rsidRPr="00194FC7">
        <w:t>. To correct for drift in the instrument zero position, each contour plot was scaled by subtracting the average emission intensity across the range 200-210</w:t>
      </w:r>
      <w:r>
        <w:t xml:space="preserve"> </w:t>
      </w:r>
      <w:r w:rsidRPr="00194FC7">
        <w:t xml:space="preserve">nm for an excitation of 250 nm from all </w:t>
      </w:r>
      <w:r w:rsidRPr="00194FC7">
        <w:lastRenderedPageBreak/>
        <w:t xml:space="preserve">fluorescence intensities (effectively setting this region of the contour plot to zero on all plots). </w:t>
      </w:r>
    </w:p>
    <w:p w14:paraId="3B4F8C72" w14:textId="77777777" w:rsidR="008E6212" w:rsidRDefault="008E6212" w:rsidP="008E6212">
      <w:pPr>
        <w:spacing w:after="240" w:line="320" w:lineRule="exact"/>
        <w:jc w:val="left"/>
      </w:pPr>
      <w:r>
        <w:t>An example of a fluorescence contour plot is shown in Figure A.1</w:t>
      </w:r>
      <w:r w:rsidRPr="00D177E5">
        <w:t>.</w:t>
      </w:r>
      <w:r>
        <w:t xml:space="preserve"> </w:t>
      </w:r>
      <w:r w:rsidRPr="00194FC7">
        <w:t xml:space="preserve">The </w:t>
      </w:r>
      <w:r>
        <w:t xml:space="preserve">contour </w:t>
      </w:r>
      <w:r w:rsidRPr="00194FC7">
        <w:t>plots have the excitation wavelength (light shone into the sample) on the y-axis. On the x-axis is the emission wavelength (light given off by the sample). The intensity of the fluorescence (how much light is given off, corrected for absorbance by the sample) is represented by the colours of the contour plot, with more intense fluorescence represented by the blue end of the scale. The two blue diagonal lines are artefacts of the technique and will be present in all samples- key data is found between these two lines.</w:t>
      </w:r>
    </w:p>
    <w:p w14:paraId="3B4F8C73" w14:textId="77777777" w:rsidR="008E6212" w:rsidRDefault="008E6212" w:rsidP="008E6212">
      <w:pPr>
        <w:spacing w:after="240" w:line="320" w:lineRule="exact"/>
        <w:jc w:val="left"/>
      </w:pPr>
    </w:p>
    <w:p w14:paraId="3B4F8C74" w14:textId="77777777" w:rsidR="008E6212" w:rsidRDefault="008E6212" w:rsidP="008E6212">
      <w:pPr>
        <w:spacing w:after="0" w:line="240" w:lineRule="auto"/>
        <w:jc w:val="center"/>
      </w:pPr>
      <w:r>
        <w:rPr>
          <w:noProof/>
          <w:lang w:eastAsia="en-AU"/>
        </w:rPr>
        <w:drawing>
          <wp:inline distT="0" distB="0" distL="0" distR="0" wp14:anchorId="3B4F960E" wp14:editId="3B4F960F">
            <wp:extent cx="3657600" cy="3433207"/>
            <wp:effectExtent l="0" t="0" r="0" b="0"/>
            <wp:docPr id="36" name="Picture 1" descr="C:\Documents and Settings\jhowitt\Local Settings\Temporary Internet Files\Content.Word\Fluorescence graph for 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howitt\Local Settings\Temporary Internet Files\Content.Word\Fluorescence graph for methods.jpg"/>
                    <pic:cNvPicPr>
                      <a:picLocks noChangeAspect="1" noChangeArrowheads="1"/>
                    </pic:cNvPicPr>
                  </pic:nvPicPr>
                  <pic:blipFill>
                    <a:blip r:embed="rId63" cstate="print"/>
                    <a:srcRect t="6686" b="27023"/>
                    <a:stretch>
                      <a:fillRect/>
                    </a:stretch>
                  </pic:blipFill>
                  <pic:spPr bwMode="auto">
                    <a:xfrm>
                      <a:off x="0" y="0"/>
                      <a:ext cx="3670965" cy="3445752"/>
                    </a:xfrm>
                    <a:prstGeom prst="rect">
                      <a:avLst/>
                    </a:prstGeom>
                    <a:noFill/>
                    <a:ln w="9525">
                      <a:noFill/>
                      <a:miter lim="800000"/>
                      <a:headEnd/>
                      <a:tailEnd/>
                    </a:ln>
                  </pic:spPr>
                </pic:pic>
              </a:graphicData>
            </a:graphic>
          </wp:inline>
        </w:drawing>
      </w:r>
    </w:p>
    <w:p w14:paraId="3B4F8C75" w14:textId="77777777" w:rsidR="008E6212" w:rsidRPr="00AB40C6" w:rsidRDefault="008E6212" w:rsidP="008E6212">
      <w:pPr>
        <w:spacing w:after="240" w:line="240" w:lineRule="auto"/>
        <w:ind w:right="-142"/>
        <w:jc w:val="left"/>
        <w:rPr>
          <w:color w:val="1F497D"/>
          <w:sz w:val="20"/>
        </w:rPr>
      </w:pPr>
      <w:r>
        <w:rPr>
          <w:b/>
          <w:color w:val="000000"/>
          <w:sz w:val="20"/>
        </w:rPr>
        <w:t>Figure A</w:t>
      </w:r>
      <w:r w:rsidRPr="00D177E5">
        <w:rPr>
          <w:b/>
          <w:color w:val="000000"/>
          <w:sz w:val="20"/>
        </w:rPr>
        <w:t>.</w:t>
      </w:r>
      <w:r>
        <w:rPr>
          <w:b/>
          <w:color w:val="000000"/>
          <w:sz w:val="20"/>
        </w:rPr>
        <w:t>1</w:t>
      </w:r>
      <w:r w:rsidRPr="00D177E5">
        <w:rPr>
          <w:color w:val="000000"/>
          <w:sz w:val="20"/>
        </w:rPr>
        <w:t>.</w:t>
      </w:r>
      <w:r w:rsidRPr="00C8226D">
        <w:rPr>
          <w:color w:val="1F497D"/>
          <w:sz w:val="20"/>
        </w:rPr>
        <w:t xml:space="preserve"> </w:t>
      </w:r>
      <w:r w:rsidRPr="00C8226D">
        <w:rPr>
          <w:color w:val="000000"/>
          <w:sz w:val="20"/>
        </w:rPr>
        <w:t>Sample excitation emission contour plot indicating key features of the data. (Watts et al. 201</w:t>
      </w:r>
      <w:r>
        <w:rPr>
          <w:color w:val="000000"/>
          <w:sz w:val="20"/>
        </w:rPr>
        <w:t>3</w:t>
      </w:r>
      <w:r>
        <w:rPr>
          <w:color w:val="1F497D"/>
          <w:sz w:val="20"/>
        </w:rPr>
        <w:t>)</w:t>
      </w:r>
    </w:p>
    <w:p w14:paraId="3B4F8C76" w14:textId="77777777" w:rsidR="008E6212" w:rsidRDefault="008E6212" w:rsidP="008E6212">
      <w:pPr>
        <w:spacing w:after="240" w:line="324" w:lineRule="exact"/>
        <w:jc w:val="left"/>
        <w:rPr>
          <w:b/>
        </w:rPr>
      </w:pPr>
      <w:r>
        <w:rPr>
          <w:bCs/>
        </w:rPr>
        <w:t>The monitoring results were assessed against</w:t>
      </w:r>
      <w:r w:rsidRPr="00EA195A">
        <w:rPr>
          <w:bCs/>
        </w:rPr>
        <w:t xml:space="preserve"> </w:t>
      </w:r>
      <w:r>
        <w:rPr>
          <w:bCs/>
        </w:rPr>
        <w:t xml:space="preserve">the lowland river trigger levels for aquatic ecosystems in south-east Australia from the </w:t>
      </w:r>
      <w:r w:rsidRPr="00EA195A">
        <w:rPr>
          <w:bCs/>
        </w:rPr>
        <w:t xml:space="preserve">ANZECC </w:t>
      </w:r>
      <w:r>
        <w:rPr>
          <w:bCs/>
        </w:rPr>
        <w:t>(2000) water quality guidelines</w:t>
      </w:r>
      <w:r w:rsidRPr="00EA195A">
        <w:rPr>
          <w:bCs/>
        </w:rPr>
        <w:t xml:space="preserve">. </w:t>
      </w:r>
      <w:r>
        <w:rPr>
          <w:bCs/>
        </w:rPr>
        <w:t xml:space="preserve">If the concentration of a particular water quality parameter exceeds the trigger level or falls outside of the acceptable range, the guidelines are written with the intention that further investigation of the ecosystem is ‘triggered’ to establish whether the concentrations are causing ecological harm. Systems may vary in their sensitivity to various parameters and therefore exceeding a </w:t>
      </w:r>
      <w:r w:rsidRPr="00EA195A">
        <w:rPr>
          <w:bCs/>
        </w:rPr>
        <w:t xml:space="preserve">trigger level is not an absolute indicator of ecological harm. The ANZECC water quality guidelines do not provide trigger levels for total organic carbon and dissolved organic carbon, and this reflects the expectation that there will be large variation in the ‘normal’ concentrations of organic carbon between ecosystems and also in the chemical and biological reactivity of the mixture of organic compounds making </w:t>
      </w:r>
      <w:r w:rsidRPr="00EA195A">
        <w:rPr>
          <w:bCs/>
        </w:rPr>
        <w:lastRenderedPageBreak/>
        <w:t>up the DOC and TOC at a particular site. Given the variable make-up of organic carbon, and the possible range of ecological responses to this mixture, a trigger level for this parameter would not be appropriate. However, trigger levels are provided for a number of nutrients and these are discussed below.</w:t>
      </w:r>
      <w:r>
        <w:rPr>
          <w:bCs/>
        </w:rPr>
        <w:t xml:space="preserve"> </w:t>
      </w:r>
    </w:p>
    <w:p w14:paraId="3B4F8C77" w14:textId="77777777" w:rsidR="008E6212" w:rsidRPr="00F13819" w:rsidRDefault="008E6212" w:rsidP="008E6212">
      <w:pPr>
        <w:spacing w:after="240"/>
        <w:jc w:val="left"/>
        <w:rPr>
          <w:b/>
          <w:color w:val="4F6228" w:themeColor="accent3" w:themeShade="80"/>
          <w:sz w:val="24"/>
          <w:szCs w:val="24"/>
        </w:rPr>
      </w:pPr>
      <w:r>
        <w:rPr>
          <w:b/>
          <w:color w:val="4F6228" w:themeColor="accent3" w:themeShade="80"/>
          <w:sz w:val="24"/>
          <w:szCs w:val="24"/>
        </w:rPr>
        <w:t xml:space="preserve">A.4   </w:t>
      </w:r>
      <w:r w:rsidRPr="00F13819">
        <w:rPr>
          <w:b/>
          <w:color w:val="4F6228" w:themeColor="accent3" w:themeShade="80"/>
          <w:sz w:val="24"/>
          <w:szCs w:val="24"/>
        </w:rPr>
        <w:t>Results</w:t>
      </w:r>
    </w:p>
    <w:p w14:paraId="3B4F8C78" w14:textId="77777777" w:rsidR="008E6212" w:rsidRDefault="008E6212" w:rsidP="008E6212">
      <w:pPr>
        <w:spacing w:after="240" w:line="324" w:lineRule="exact"/>
        <w:jc w:val="left"/>
        <w:rPr>
          <w:i/>
        </w:rPr>
      </w:pPr>
      <w:r w:rsidRPr="0069753A">
        <w:rPr>
          <w:i/>
        </w:rPr>
        <w:t>Basic Water Quality Parameters</w:t>
      </w:r>
    </w:p>
    <w:p w14:paraId="3B4F8C79" w14:textId="77777777" w:rsidR="008E6212" w:rsidRDefault="008E6212" w:rsidP="008E6212">
      <w:pPr>
        <w:spacing w:after="240" w:line="324" w:lineRule="exact"/>
        <w:jc w:val="left"/>
      </w:pPr>
      <w:r w:rsidRPr="00776D33">
        <w:t>The water temperature was</w:t>
      </w:r>
      <w:r>
        <w:t xml:space="preserve"> very consistent between sites, as was observed in 2014-15 (Figure A.2), indicating that this parameter is influenced predominantly by seasonal rather than site-specific factors. A persistent heatwave in northeast Victoria and southern NSW exceeded any previous event for March and in this region maximum air temperatures were 10-12 degrees above average during the first 9 days of the month and minimum temperatures were 6-8 degrees above average </w:t>
      </w:r>
      <w:r w:rsidR="000B5FD7">
        <w:fldChar w:fldCharType="begin"/>
      </w:r>
      <w:r>
        <w:instrText xml:space="preserve"> ADDIN EN.CITE &lt;EndNote&gt;&lt;Cite&gt;&lt;Author&gt;Bureau of Meteorology&lt;/Author&gt;&lt;Year&gt;2016&lt;/Year&gt;&lt;RecNum&gt;1894&lt;/RecNum&gt;&lt;DisplayText&gt;(Bureau of Meteorology 2016)&lt;/DisplayText&gt;&lt;record&gt;&lt;rec-number&gt;1894&lt;/rec-number&gt;&lt;foreign-keys&gt;&lt;key app="EN" db-id="s29ddxw9p900s9ef22lv2wprd9wr9rtp20ps" timestamp="1471086495"&gt;1894&lt;/key&gt;&lt;/foreign-keys&gt;&lt;ref-type name="Report"&gt;27&lt;/ref-type&gt;&lt;contributors&gt;&lt;authors&gt;&lt;author&gt;Bureau of Meteorology,&lt;/author&gt;&lt;/authors&gt;&lt;/contributors&gt;&lt;titles&gt;&lt;title&gt;Special Climate Statement 55- prolonged March heatwave affects many parts of Australia&lt;/title&gt;&lt;/titles&gt;&lt;pages&gt;28&lt;/pages&gt;&lt;dates&gt;&lt;year&gt;2016&lt;/year&gt;&lt;/dates&gt;&lt;pub-location&gt;Melbourne&lt;/pub-location&gt;&lt;publisher&gt;Bureau of Meteorology&lt;/publisher&gt;&lt;isbn&gt;55&lt;/isbn&gt;&lt;urls&gt;&lt;/urls&gt;&lt;/record&gt;&lt;/Cite&gt;&lt;/EndNote&gt;</w:instrText>
      </w:r>
      <w:r w:rsidR="000B5FD7">
        <w:fldChar w:fldCharType="separate"/>
      </w:r>
      <w:r>
        <w:rPr>
          <w:noProof/>
        </w:rPr>
        <w:t>(Bureau of Meteorology 2016)</w:t>
      </w:r>
      <w:r w:rsidR="000B5FD7">
        <w:fldChar w:fldCharType="end"/>
      </w:r>
      <w:r>
        <w:t xml:space="preserve">. Overall during the month of March there was a 3-4 degree mean temperature anomaly throughout the Murray region. The prolonged heatwave conditions in March resulted in an extended period of high water temperatures at all sites, with maximum water temperatures (loggers and spot measurements) exceeding 30 </w:t>
      </w:r>
      <w:r>
        <w:rPr>
          <w:vertAlign w:val="superscript"/>
        </w:rPr>
        <w:t>o</w:t>
      </w:r>
      <w:r>
        <w:t xml:space="preserve">C into March. Water temperatures in the high-mid teens extended throughout April. </w:t>
      </w:r>
    </w:p>
    <w:p w14:paraId="3B4F8C7A" w14:textId="6B9C6F05" w:rsidR="008E6212" w:rsidRDefault="008E6212" w:rsidP="008E6212">
      <w:pPr>
        <w:spacing w:after="240" w:line="324" w:lineRule="exact"/>
        <w:contextualSpacing/>
        <w:jc w:val="left"/>
        <w:rPr>
          <w:szCs w:val="22"/>
        </w:rPr>
      </w:pPr>
      <w:r w:rsidRPr="00AA5290">
        <w:rPr>
          <w:szCs w:val="22"/>
        </w:rPr>
        <w:t>The average daily dissolv</w:t>
      </w:r>
      <w:r>
        <w:rPr>
          <w:szCs w:val="22"/>
        </w:rPr>
        <w:t xml:space="preserve">ed oxygen </w:t>
      </w:r>
      <w:r w:rsidR="006000CC">
        <w:rPr>
          <w:szCs w:val="22"/>
        </w:rPr>
        <w:t xml:space="preserve">concentration </w:t>
      </w:r>
      <w:r>
        <w:rPr>
          <w:szCs w:val="22"/>
        </w:rPr>
        <w:t>is shown in Figure A.3</w:t>
      </w:r>
      <w:r w:rsidRPr="00AA5290">
        <w:rPr>
          <w:szCs w:val="22"/>
        </w:rPr>
        <w:t xml:space="preserve"> as both concentration (mg/L) and as a percentage of the saturated value at that temperature. </w:t>
      </w:r>
      <w:r>
        <w:rPr>
          <w:szCs w:val="22"/>
        </w:rPr>
        <w:t xml:space="preserve"> The Yallakool Creek Environmental Watering Action </w:t>
      </w:r>
      <w:r w:rsidR="0077301B">
        <w:rPr>
          <w:szCs w:val="22"/>
        </w:rPr>
        <w:t>occurred</w:t>
      </w:r>
      <w:r w:rsidR="006000CC">
        <w:rPr>
          <w:szCs w:val="22"/>
        </w:rPr>
        <w:t xml:space="preserve"> </w:t>
      </w:r>
      <w:r w:rsidRPr="00AA5290">
        <w:rPr>
          <w:szCs w:val="22"/>
        </w:rPr>
        <w:t>from 5</w:t>
      </w:r>
      <w:r w:rsidRPr="00AA5290">
        <w:rPr>
          <w:szCs w:val="22"/>
          <w:vertAlign w:val="superscript"/>
        </w:rPr>
        <w:t>th</w:t>
      </w:r>
      <w:r w:rsidRPr="00AA5290">
        <w:rPr>
          <w:szCs w:val="22"/>
        </w:rPr>
        <w:t xml:space="preserve"> September to 30</w:t>
      </w:r>
      <w:r w:rsidRPr="00AA5290">
        <w:rPr>
          <w:szCs w:val="22"/>
          <w:vertAlign w:val="superscript"/>
        </w:rPr>
        <w:t>th</w:t>
      </w:r>
      <w:r w:rsidRPr="00AA5290">
        <w:rPr>
          <w:szCs w:val="22"/>
        </w:rPr>
        <w:t xml:space="preserve"> January</w:t>
      </w:r>
      <w:r>
        <w:rPr>
          <w:szCs w:val="22"/>
        </w:rPr>
        <w:t xml:space="preserve"> and resulted in much higher flows in Zones 1, 3 and 4 than in Zone 2, where a much smaller watering action occurred. The River Murray multi-site watering action contributed flows</w:t>
      </w:r>
      <w:r w:rsidR="00967EA0">
        <w:rPr>
          <w:szCs w:val="22"/>
        </w:rPr>
        <w:t xml:space="preserve"> to Edward-Wakool specific watering actions</w:t>
      </w:r>
      <w:r>
        <w:rPr>
          <w:szCs w:val="22"/>
        </w:rPr>
        <w:t xml:space="preserve"> from </w:t>
      </w:r>
      <w:r w:rsidRPr="00AA5290">
        <w:rPr>
          <w:szCs w:val="22"/>
        </w:rPr>
        <w:t>5</w:t>
      </w:r>
      <w:r w:rsidRPr="00AA5290">
        <w:rPr>
          <w:szCs w:val="22"/>
          <w:vertAlign w:val="superscript"/>
        </w:rPr>
        <w:t>th</w:t>
      </w:r>
      <w:r w:rsidRPr="00AA5290">
        <w:rPr>
          <w:szCs w:val="22"/>
        </w:rPr>
        <w:t xml:space="preserve"> September to 10</w:t>
      </w:r>
      <w:r w:rsidRPr="00AA5290">
        <w:rPr>
          <w:szCs w:val="22"/>
          <w:vertAlign w:val="superscript"/>
        </w:rPr>
        <w:t>th</w:t>
      </w:r>
      <w:r w:rsidRPr="00AA5290">
        <w:rPr>
          <w:szCs w:val="22"/>
        </w:rPr>
        <w:t xml:space="preserve"> November </w:t>
      </w:r>
      <w:r>
        <w:rPr>
          <w:szCs w:val="22"/>
        </w:rPr>
        <w:t xml:space="preserve">with water exiting the </w:t>
      </w:r>
      <w:r w:rsidRPr="00AA5290">
        <w:rPr>
          <w:szCs w:val="22"/>
        </w:rPr>
        <w:t xml:space="preserve">Barmah-Millewa </w:t>
      </w:r>
      <w:r>
        <w:rPr>
          <w:szCs w:val="22"/>
        </w:rPr>
        <w:t xml:space="preserve">Forests. Oxygen saturation results in zones 1, 3 and 4 indicate that there </w:t>
      </w:r>
      <w:r w:rsidR="0077301B">
        <w:rPr>
          <w:szCs w:val="22"/>
        </w:rPr>
        <w:t>were</w:t>
      </w:r>
      <w:r>
        <w:rPr>
          <w:szCs w:val="22"/>
        </w:rPr>
        <w:t xml:space="preserve"> no detrimental effects of hypoxic water entering the study zones after contact with the Barmah-Millewa floodplain and wetting of the floodplain during these cooler months did not result in hypoxic blackwater in the downstream rivers (likely due to a combination of low temperatures and dilution). Similar to 2014-15 the lower flows in Zone 2 resulted in less DO in the water with concentrations dropping below 5 mg/L regularly between mid-October and January. Sharp increases in DO occurred at each site between mid-February and early March, indicating the onset of bloom conditions and the influence of high rates of photosynthesis. This occurred slightly later in Zone 2 and Zone 4 than at the other sites. During the period of the bloom supersaturation of DO was common (in excess of 150% during daily peaks) but no hypoxia was observed at the end of the bloom, indicating a gradual decline of the population rather than rapid collapse. Commonwealth environmental water was not required to provide a flushing flow for management of DO concentrations during the bloom.</w:t>
      </w:r>
    </w:p>
    <w:p w14:paraId="3B4F8C7B" w14:textId="77777777" w:rsidR="008E6212" w:rsidRDefault="00945A47" w:rsidP="008E6212">
      <w:pPr>
        <w:spacing w:after="0" w:line="240" w:lineRule="auto"/>
        <w:jc w:val="center"/>
        <w:rPr>
          <w:sz w:val="20"/>
        </w:rPr>
      </w:pPr>
      <w:r>
        <w:rPr>
          <w:noProof/>
          <w:sz w:val="20"/>
          <w:lang w:eastAsia="en-AU"/>
        </w:rPr>
        <w:lastRenderedPageBreak/>
        <w:drawing>
          <wp:inline distT="0" distB="0" distL="0" distR="0" wp14:anchorId="3B4F9610" wp14:editId="356F0151">
            <wp:extent cx="5400040" cy="63023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_LOGGERS_bothyears.png"/>
                    <pic:cNvPicPr/>
                  </pic:nvPicPr>
                  <pic:blipFill>
                    <a:blip r:embed="rId64" cstate="email">
                      <a:extLst>
                        <a:ext uri="{28A0092B-C50C-407E-A947-70E740481C1C}">
                          <a14:useLocalDpi xmlns:a14="http://schemas.microsoft.com/office/drawing/2010/main"/>
                        </a:ext>
                      </a:extLst>
                    </a:blip>
                    <a:stretch>
                      <a:fillRect/>
                    </a:stretch>
                  </pic:blipFill>
                  <pic:spPr>
                    <a:xfrm>
                      <a:off x="0" y="0"/>
                      <a:ext cx="5400040" cy="6302375"/>
                    </a:xfrm>
                    <a:prstGeom prst="rect">
                      <a:avLst/>
                    </a:prstGeom>
                  </pic:spPr>
                </pic:pic>
              </a:graphicData>
            </a:graphic>
          </wp:inline>
        </w:drawing>
      </w:r>
    </w:p>
    <w:p w14:paraId="3B4F8C7C" w14:textId="70A72166" w:rsidR="008E6212" w:rsidRDefault="008E6212" w:rsidP="00741D16">
      <w:pPr>
        <w:spacing w:after="0" w:line="240" w:lineRule="auto"/>
        <w:jc w:val="left"/>
        <w:rPr>
          <w:sz w:val="20"/>
        </w:rPr>
      </w:pPr>
      <w:r>
        <w:rPr>
          <w:b/>
          <w:sz w:val="20"/>
        </w:rPr>
        <w:t>Figure A.2</w:t>
      </w:r>
      <w:r w:rsidR="00945A47">
        <w:rPr>
          <w:b/>
          <w:sz w:val="20"/>
        </w:rPr>
        <w:t>.</w:t>
      </w:r>
      <w:r w:rsidR="00175472">
        <w:rPr>
          <w:sz w:val="20"/>
        </w:rPr>
        <w:t xml:space="preserve"> </w:t>
      </w:r>
      <w:r>
        <w:rPr>
          <w:sz w:val="20"/>
        </w:rPr>
        <w:t>Mean daily water temperature during the 2015-16 season (above) with the 2014-15 season for comparison (below)</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C7D" w14:textId="77777777" w:rsidR="008E6212" w:rsidRPr="00AA5290" w:rsidRDefault="008E6212" w:rsidP="008E6212">
      <w:pPr>
        <w:spacing w:after="240" w:line="324" w:lineRule="exact"/>
        <w:contextualSpacing/>
        <w:jc w:val="left"/>
        <w:rPr>
          <w:szCs w:val="22"/>
        </w:rPr>
      </w:pPr>
    </w:p>
    <w:p w14:paraId="3B4F8C7E" w14:textId="77777777" w:rsidR="008E6212" w:rsidRDefault="008E6212" w:rsidP="008E6212">
      <w:pPr>
        <w:spacing w:after="240"/>
        <w:jc w:val="center"/>
      </w:pPr>
      <w:r w:rsidRPr="002F353C">
        <w:rPr>
          <w:noProof/>
          <w:lang w:eastAsia="en-AU"/>
        </w:rPr>
        <w:lastRenderedPageBreak/>
        <w:drawing>
          <wp:inline distT="0" distB="0" distL="0" distR="0" wp14:anchorId="3B4F9612" wp14:editId="006CC6D1">
            <wp:extent cx="5731510" cy="3722006"/>
            <wp:effectExtent l="0" t="0" r="2540" b="0"/>
            <wp:docPr id="30" name="Picture 30" descr="D:\Users\jhowitt\Documents\Research projects\Wakool\LTIM\2015-16\third draft figures\DRAFT_DO_mgL_p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howitt\Documents\Research projects\Wakool\LTIM\2015-16\third draft figures\DRAFT_DO_mgL_perc.pn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31510" cy="3722006"/>
                    </a:xfrm>
                    <a:prstGeom prst="rect">
                      <a:avLst/>
                    </a:prstGeom>
                    <a:noFill/>
                    <a:ln>
                      <a:noFill/>
                    </a:ln>
                  </pic:spPr>
                </pic:pic>
              </a:graphicData>
            </a:graphic>
          </wp:inline>
        </w:drawing>
      </w:r>
    </w:p>
    <w:p w14:paraId="3B4F8C7F" w14:textId="33A352E3" w:rsidR="008E6212" w:rsidRPr="00E34F3B" w:rsidRDefault="008E6212" w:rsidP="00741D16">
      <w:pPr>
        <w:spacing w:after="240" w:line="240" w:lineRule="auto"/>
        <w:jc w:val="left"/>
        <w:rPr>
          <w:sz w:val="20"/>
        </w:rPr>
      </w:pPr>
      <w:r>
        <w:rPr>
          <w:b/>
          <w:sz w:val="20"/>
        </w:rPr>
        <w:t>Figure A.</w:t>
      </w:r>
      <w:r w:rsidR="00945A47">
        <w:rPr>
          <w:b/>
          <w:sz w:val="20"/>
        </w:rPr>
        <w:t>3.</w:t>
      </w:r>
      <w:r w:rsidRPr="00E34F3B">
        <w:rPr>
          <w:sz w:val="20"/>
        </w:rPr>
        <w:t xml:space="preserve"> </w:t>
      </w:r>
      <w:r>
        <w:rPr>
          <w:sz w:val="20"/>
        </w:rPr>
        <w:t xml:space="preserve"> </w:t>
      </w:r>
      <w:r w:rsidRPr="00E34F3B">
        <w:rPr>
          <w:sz w:val="20"/>
        </w:rPr>
        <w:t>Average daily dissolved oxygen from loggers at each site in 2014-15 and 2015-16.</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C80" w14:textId="77777777" w:rsidR="008E6212" w:rsidRDefault="008E6212" w:rsidP="008E6212">
      <w:pPr>
        <w:spacing w:after="240" w:line="324" w:lineRule="exact"/>
        <w:jc w:val="left"/>
      </w:pPr>
    </w:p>
    <w:p w14:paraId="3B4F8C81" w14:textId="77777777" w:rsidR="008E6212" w:rsidRPr="00E34F3B" w:rsidRDefault="008E6212" w:rsidP="008E6212">
      <w:pPr>
        <w:spacing w:after="240" w:line="324" w:lineRule="exact"/>
        <w:jc w:val="left"/>
      </w:pPr>
      <w:r w:rsidRPr="009F6E36">
        <w:t>The salinity is low throughout the system, as shown by the electrical condu</w:t>
      </w:r>
      <w:r>
        <w:t>ctivity measurements (Figure A.4</w:t>
      </w:r>
      <w:r w:rsidRPr="009F6E36">
        <w:t xml:space="preserve">). The increase in EC in Zone 2 from January-June </w:t>
      </w:r>
      <w:r>
        <w:t xml:space="preserve">(Figure A.5) </w:t>
      </w:r>
      <w:r w:rsidRPr="009F6E36">
        <w:t xml:space="preserve">is unconnected to the cyanobacteria bloom and </w:t>
      </w:r>
      <w:r w:rsidR="002B3297">
        <w:t>suggests there is</w:t>
      </w:r>
      <w:r w:rsidRPr="009F6E36">
        <w:t xml:space="preserve"> groundwater intrusion into the river under the low flow conditions prevalent over this period. The increased salinity is not problematic and simply reflects an additional source of water.</w:t>
      </w:r>
    </w:p>
    <w:p w14:paraId="3B4F8C82" w14:textId="77777777" w:rsidR="008E6212" w:rsidRDefault="008E6212" w:rsidP="008E6212">
      <w:pPr>
        <w:spacing w:after="240" w:line="324" w:lineRule="exact"/>
        <w:jc w:val="left"/>
      </w:pPr>
    </w:p>
    <w:p w14:paraId="3B4F8C83" w14:textId="77777777" w:rsidR="008E6212" w:rsidRDefault="008E6212" w:rsidP="008E6212">
      <w:pPr>
        <w:spacing w:after="0" w:line="240" w:lineRule="auto"/>
        <w:jc w:val="left"/>
      </w:pPr>
      <w:r>
        <w:rPr>
          <w:noProof/>
          <w:lang w:eastAsia="en-AU"/>
        </w:rPr>
        <w:lastRenderedPageBreak/>
        <w:drawing>
          <wp:inline distT="0" distB="0" distL="0" distR="0" wp14:anchorId="3B4F9614" wp14:editId="2804326A">
            <wp:extent cx="5123734" cy="712800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_PH_TURB_BOTH_years.png"/>
                    <pic:cNvPicPr/>
                  </pic:nvPicPr>
                  <pic:blipFill rotWithShape="1">
                    <a:blip r:embed="rId66" cstate="email">
                      <a:extLst>
                        <a:ext uri="{28A0092B-C50C-407E-A947-70E740481C1C}">
                          <a14:useLocalDpi xmlns:a14="http://schemas.microsoft.com/office/drawing/2010/main"/>
                        </a:ext>
                      </a:extLst>
                    </a:blip>
                    <a:srcRect r="4147"/>
                    <a:stretch/>
                  </pic:blipFill>
                  <pic:spPr bwMode="auto">
                    <a:xfrm>
                      <a:off x="0" y="0"/>
                      <a:ext cx="5123734" cy="7128000"/>
                    </a:xfrm>
                    <a:prstGeom prst="rect">
                      <a:avLst/>
                    </a:prstGeom>
                    <a:ln>
                      <a:noFill/>
                    </a:ln>
                    <a:extLst>
                      <a:ext uri="{53640926-AAD7-44D8-BBD7-CCE9431645EC}">
                        <a14:shadowObscured xmlns:a14="http://schemas.microsoft.com/office/drawing/2010/main"/>
                      </a:ext>
                    </a:extLst>
                  </pic:spPr>
                </pic:pic>
              </a:graphicData>
            </a:graphic>
          </wp:inline>
        </w:drawing>
      </w:r>
    </w:p>
    <w:p w14:paraId="3B4F8C84" w14:textId="2CD801D3" w:rsidR="008E6212" w:rsidRPr="00E34F3B" w:rsidRDefault="008E6212" w:rsidP="00175472">
      <w:pPr>
        <w:spacing w:after="240" w:line="240" w:lineRule="auto"/>
        <w:jc w:val="left"/>
        <w:rPr>
          <w:sz w:val="20"/>
        </w:rPr>
      </w:pPr>
      <w:r>
        <w:rPr>
          <w:b/>
          <w:sz w:val="20"/>
        </w:rPr>
        <w:t>Figure A.4</w:t>
      </w:r>
      <w:r w:rsidR="00945A47">
        <w:rPr>
          <w:b/>
          <w:sz w:val="20"/>
        </w:rPr>
        <w:t>.</w:t>
      </w:r>
      <w:r w:rsidRPr="00E34F3B">
        <w:rPr>
          <w:sz w:val="20"/>
        </w:rPr>
        <w:t xml:space="preserve"> Spot measurements of electrical conductivity, turbidity and pH at each of the four study zones and in the source waters for 2014-15 and 2015-16. Dotted lines represent the ANZECC (2000) trigger levels (for pH upper and lower trigger levels are given).</w:t>
      </w:r>
      <w:r w:rsidR="00741D16">
        <w:rPr>
          <w:sz w:val="20"/>
        </w:rPr>
        <w:t xml:space="preserve"> </w:t>
      </w:r>
      <w:r w:rsidR="00741D16" w:rsidRPr="00741D16">
        <w:rPr>
          <w:sz w:val="20"/>
        </w:rPr>
        <w:t>Note: cyanobacteria were present in bloom concentrations from late-February to the end of May 2016</w:t>
      </w:r>
      <w:r w:rsidR="00741D16">
        <w:rPr>
          <w:sz w:val="20"/>
        </w:rPr>
        <w:t>.</w:t>
      </w:r>
      <w:r w:rsidRPr="00E34F3B">
        <w:rPr>
          <w:sz w:val="20"/>
        </w:rPr>
        <w:br w:type="page"/>
      </w:r>
    </w:p>
    <w:p w14:paraId="3B4F8C85" w14:textId="77777777" w:rsidR="008E6212" w:rsidRDefault="008E6212" w:rsidP="008E6212">
      <w:pPr>
        <w:spacing w:after="240"/>
        <w:jc w:val="left"/>
      </w:pPr>
      <w:r w:rsidRPr="002F353C">
        <w:rPr>
          <w:noProof/>
          <w:lang w:eastAsia="en-AU"/>
        </w:rPr>
        <w:lastRenderedPageBreak/>
        <w:drawing>
          <wp:inline distT="0" distB="0" distL="0" distR="0" wp14:anchorId="3B4F9616" wp14:editId="51CCFE69">
            <wp:extent cx="5343525" cy="7480935"/>
            <wp:effectExtent l="0" t="0" r="9525" b="5715"/>
            <wp:docPr id="448" name="Picture 448" descr="D:\Users\jhowitt\Documents\Research projects\Wakool\LTIM\2015-16\third draft figures\DRAFT_BG_HO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howitt\Documents\Research projects\Wakool\LTIM\2015-16\third draft figures\DRAFT_BG_HORIBA.pn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346512" cy="7485117"/>
                    </a:xfrm>
                    <a:prstGeom prst="rect">
                      <a:avLst/>
                    </a:prstGeom>
                    <a:noFill/>
                    <a:ln>
                      <a:noFill/>
                    </a:ln>
                  </pic:spPr>
                </pic:pic>
              </a:graphicData>
            </a:graphic>
          </wp:inline>
        </w:drawing>
      </w:r>
    </w:p>
    <w:p w14:paraId="3B4F8C86" w14:textId="7FA6E8E0" w:rsidR="008E6212" w:rsidRPr="00E34F3B" w:rsidRDefault="008E6212" w:rsidP="00741D16">
      <w:pPr>
        <w:spacing w:after="240" w:line="240" w:lineRule="auto"/>
        <w:jc w:val="left"/>
        <w:rPr>
          <w:sz w:val="20"/>
        </w:rPr>
      </w:pPr>
      <w:r>
        <w:rPr>
          <w:b/>
          <w:sz w:val="20"/>
        </w:rPr>
        <w:t>Figure A.5</w:t>
      </w:r>
      <w:r w:rsidR="00945A47">
        <w:rPr>
          <w:b/>
          <w:sz w:val="20"/>
        </w:rPr>
        <w:t>.</w:t>
      </w:r>
      <w:r>
        <w:rPr>
          <w:b/>
          <w:sz w:val="20"/>
        </w:rPr>
        <w:t xml:space="preserve"> </w:t>
      </w:r>
      <w:r w:rsidRPr="00E34F3B">
        <w:rPr>
          <w:sz w:val="20"/>
        </w:rPr>
        <w:t>Weekly spot water quality results for all sites during the cyanobacteria bloom.</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C87" w14:textId="77777777" w:rsidR="008E6212" w:rsidRDefault="008E6212" w:rsidP="008E6212">
      <w:pPr>
        <w:spacing w:after="240" w:line="324" w:lineRule="exact"/>
        <w:jc w:val="left"/>
      </w:pPr>
    </w:p>
    <w:p w14:paraId="3B4F8C88" w14:textId="77777777" w:rsidR="008E6212" w:rsidRDefault="008E6212" w:rsidP="008E6212">
      <w:pPr>
        <w:spacing w:after="240" w:line="320" w:lineRule="exact"/>
        <w:jc w:val="left"/>
      </w:pPr>
      <w:r>
        <w:t xml:space="preserve">The turbidity of both the Wakool and Yallakool Rivers is generally above the ANZECC (2000) trigger levels but through August-January was consistent with 2014-15 (Figure A.4) </w:t>
      </w:r>
      <w:r>
        <w:lastRenderedPageBreak/>
        <w:t>and was not impacted by the use of Commonwealth environmental water. The lower turbidity in the weir is to be expected due to settling of particles in the weir pool and shows that there was not an increase in turbidity associated with water having contacted the Barmah-Millewa forests. Turbidity measurements in mid-February are consistent between sites and do not indicate increased particulates (e.g. algal cells) at this time, however the measurements on the 29/02/2016 (Figure A.5) indicate that algal biomass was increasing in all zones except Zone 4, which had also increased by the following week.  From March onwards the turbidity is controlled by the presence of the cyanobacteria bloom. Turbidity measurements in the canal indicate an earlier decline in cyanobacteria than at the other sites with a clear decrease between 18/4/2016 and 25/4/2016. There are no results for the canal on the last two sampling dates as the canal had been emptied into the rivers by this time.</w:t>
      </w:r>
    </w:p>
    <w:p w14:paraId="3B4F8C89" w14:textId="77777777" w:rsidR="008E6212" w:rsidRPr="004D59B9" w:rsidRDefault="008E6212" w:rsidP="008E6212">
      <w:pPr>
        <w:spacing w:after="240" w:line="320" w:lineRule="exact"/>
        <w:jc w:val="left"/>
      </w:pPr>
      <w:r w:rsidRPr="004D59B9">
        <w:t xml:space="preserve">The pH of the water in all study zones remained within the ANZECC (2000) guidelines during August-February </w:t>
      </w:r>
      <w:r>
        <w:t xml:space="preserve">(Figure A.4) </w:t>
      </w:r>
      <w:r w:rsidRPr="004D59B9">
        <w:t>and was not impacted by the use of Commonwealth environmental water.  Photosynthesis can change the pH of a water body as dissolved CO</w:t>
      </w:r>
      <w:r w:rsidRPr="004D59B9">
        <w:rPr>
          <w:vertAlign w:val="subscript"/>
        </w:rPr>
        <w:t>2</w:t>
      </w:r>
      <w:r w:rsidRPr="004D59B9">
        <w:t xml:space="preserve"> behaves as an acid in water, and uptake of CO</w:t>
      </w:r>
      <w:r w:rsidRPr="004D59B9">
        <w:rPr>
          <w:vertAlign w:val="subscript"/>
        </w:rPr>
        <w:t>2</w:t>
      </w:r>
      <w:r w:rsidRPr="004D59B9">
        <w:t xml:space="preserve"> by cells during photosynthesis will increase the pH. At night when only respiration is occurring, the production of CO</w:t>
      </w:r>
      <w:r w:rsidRPr="004D59B9">
        <w:rPr>
          <w:vertAlign w:val="subscript"/>
        </w:rPr>
        <w:t>2</w:t>
      </w:r>
      <w:r w:rsidRPr="004D59B9">
        <w:t xml:space="preserve"> will decrease the pH. The extent of the diurnal range and the median pH will be altered by the amount of algal biomass, and during bloom conditions pH may be strongly influenced by the time of day the measurements were made, so care should be taken when comparing between sites during bloom conditions </w:t>
      </w:r>
      <w:r>
        <w:t xml:space="preserve">(Figure A.5) </w:t>
      </w:r>
      <w:r w:rsidRPr="004D59B9">
        <w:t>as measurements may have been made at different times during the day. The overall effect of the bloom was to increase pH measurements as photosynthetic processes dominated the mechanisms controlling acidity in the water.  The pH began to decline back towards the normal range in early May, and slightly earlier than the decrease in turbidity, suggesting rates of photosynthesis declined prior to the decrease in biomass.</w:t>
      </w:r>
      <w:r>
        <w:t xml:space="preserve"> A decrease in pH in the canal is observed on 25/4/2016, matching the drop in turbidity at this time and suggesting the onset of bloom collapse.</w:t>
      </w:r>
    </w:p>
    <w:p w14:paraId="3B4F8C8A" w14:textId="77777777" w:rsidR="008E6212" w:rsidRDefault="008E6212" w:rsidP="008E6212">
      <w:pPr>
        <w:spacing w:after="240"/>
        <w:jc w:val="left"/>
        <w:rPr>
          <w:i/>
        </w:rPr>
      </w:pPr>
    </w:p>
    <w:p w14:paraId="3B4F8C8B" w14:textId="77777777" w:rsidR="008E6212" w:rsidRPr="006F449C" w:rsidRDefault="008E6212" w:rsidP="008E6212">
      <w:pPr>
        <w:spacing w:after="240"/>
        <w:jc w:val="left"/>
        <w:rPr>
          <w:i/>
        </w:rPr>
      </w:pPr>
      <w:r>
        <w:rPr>
          <w:i/>
        </w:rPr>
        <w:t>Algal Biovolume</w:t>
      </w:r>
    </w:p>
    <w:p w14:paraId="3B4F8C8C" w14:textId="77777777" w:rsidR="008E6212" w:rsidRDefault="008E6212" w:rsidP="008E6212">
      <w:pPr>
        <w:spacing w:after="240" w:line="324" w:lineRule="exact"/>
        <w:jc w:val="left"/>
        <w:rPr>
          <w:color w:val="000000"/>
          <w:szCs w:val="22"/>
        </w:rPr>
      </w:pPr>
      <w:r>
        <w:rPr>
          <w:color w:val="000000"/>
          <w:szCs w:val="22"/>
        </w:rPr>
        <w:t xml:space="preserve">Field teams reported visible signs of cyanobacteria blooms in the study zones during the week of 22/02/2016. Visual assessments suggested that at that time Zone 4 appeared unaffected while Zone 3 was starting to show a green tint and further upstream bloom conditions appeared to be establishing. Algal biomass for the broader system is shown in Figure A.6, for selected study sites in Figure A.7 and detailed results for all sites are given in Table A.1. </w:t>
      </w:r>
    </w:p>
    <w:p w14:paraId="3B4F8C8D" w14:textId="77777777" w:rsidR="008E6212" w:rsidRDefault="008E6212" w:rsidP="008E6212">
      <w:pPr>
        <w:spacing w:after="0"/>
        <w:jc w:val="center"/>
      </w:pPr>
      <w:r w:rsidRPr="00C05591">
        <w:rPr>
          <w:noProof/>
          <w:lang w:eastAsia="en-AU"/>
        </w:rPr>
        <w:lastRenderedPageBreak/>
        <w:drawing>
          <wp:inline distT="0" distB="0" distL="0" distR="0" wp14:anchorId="3B4F9618" wp14:editId="532DB80E">
            <wp:extent cx="4867275" cy="3141345"/>
            <wp:effectExtent l="0" t="0" r="0" b="1905"/>
            <wp:docPr id="18" name="Picture 18" descr="D:\Users\jhowitt\Documents\Research projects\Wakool\LTIM\2015-16\comparative biovolu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howitt\Documents\Research projects\Wakool\LTIM\2015-16\comparative biovolume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899315" cy="3162024"/>
                    </a:xfrm>
                    <a:prstGeom prst="rect">
                      <a:avLst/>
                    </a:prstGeom>
                    <a:noFill/>
                    <a:ln>
                      <a:noFill/>
                    </a:ln>
                  </pic:spPr>
                </pic:pic>
              </a:graphicData>
            </a:graphic>
          </wp:inline>
        </w:drawing>
      </w:r>
    </w:p>
    <w:p w14:paraId="3B4F8C8E" w14:textId="77777777" w:rsidR="008E6212" w:rsidRDefault="008E6212" w:rsidP="00175472">
      <w:pPr>
        <w:spacing w:after="240" w:line="240" w:lineRule="auto"/>
        <w:jc w:val="left"/>
        <w:rPr>
          <w:sz w:val="20"/>
        </w:rPr>
      </w:pPr>
      <w:r>
        <w:rPr>
          <w:b/>
          <w:sz w:val="20"/>
        </w:rPr>
        <w:t>Figure A.6</w:t>
      </w:r>
      <w:r>
        <w:rPr>
          <w:sz w:val="20"/>
        </w:rPr>
        <w:t xml:space="preserve"> </w:t>
      </w:r>
      <w:r w:rsidRPr="00185B6E">
        <w:rPr>
          <w:sz w:val="20"/>
        </w:rPr>
        <w:t>Total cyanobacteria biovolumes at selected sites in the Murray River (dotted lines) and Edward Wakool (solid lines). Data care of Murray Regional Algal Coordinating Committee.</w:t>
      </w:r>
    </w:p>
    <w:p w14:paraId="3B4F8C8F" w14:textId="77777777" w:rsidR="008E6212" w:rsidRDefault="008E6212" w:rsidP="008E6212">
      <w:pPr>
        <w:spacing w:after="240" w:line="324" w:lineRule="exact"/>
        <w:jc w:val="left"/>
        <w:rPr>
          <w:sz w:val="20"/>
        </w:rPr>
      </w:pPr>
    </w:p>
    <w:p w14:paraId="3B4F8C90" w14:textId="77777777" w:rsidR="008E6212" w:rsidRDefault="008E6212" w:rsidP="008E6212">
      <w:pPr>
        <w:spacing w:after="240"/>
        <w:jc w:val="center"/>
      </w:pPr>
      <w:r w:rsidRPr="00CC638D">
        <w:rPr>
          <w:noProof/>
          <w:lang w:eastAsia="en-AU"/>
        </w:rPr>
        <w:drawing>
          <wp:inline distT="0" distB="0" distL="0" distR="0" wp14:anchorId="3B4F961A" wp14:editId="7EAD2C7B">
            <wp:extent cx="4295775" cy="3356074"/>
            <wp:effectExtent l="0" t="0" r="0" b="0"/>
            <wp:docPr id="449" name="Picture 449" descr="D:\Users\jhowitt\Documents\Research projects\Wakool\LTIM\2015-16\Algal biovolume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howitt\Documents\Research projects\Wakool\LTIM\2015-16\Algal biovolume complete.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335349" cy="3386991"/>
                    </a:xfrm>
                    <a:prstGeom prst="rect">
                      <a:avLst/>
                    </a:prstGeom>
                    <a:noFill/>
                    <a:ln>
                      <a:noFill/>
                    </a:ln>
                  </pic:spPr>
                </pic:pic>
              </a:graphicData>
            </a:graphic>
          </wp:inline>
        </w:drawing>
      </w:r>
    </w:p>
    <w:p w14:paraId="3B4F8C91" w14:textId="77777777" w:rsidR="008E6212" w:rsidRPr="00185B6E" w:rsidRDefault="008E6212" w:rsidP="00175472">
      <w:pPr>
        <w:spacing w:after="240" w:line="240" w:lineRule="auto"/>
        <w:jc w:val="left"/>
        <w:rPr>
          <w:sz w:val="20"/>
        </w:rPr>
        <w:sectPr w:rsidR="008E6212" w:rsidRPr="00185B6E" w:rsidSect="0088257B">
          <w:pgSz w:w="11906" w:h="16838"/>
          <w:pgMar w:top="1440" w:right="1701" w:bottom="1440" w:left="1701" w:header="709" w:footer="709" w:gutter="0"/>
          <w:cols w:space="708"/>
          <w:docGrid w:linePitch="360"/>
        </w:sectPr>
      </w:pPr>
      <w:r>
        <w:rPr>
          <w:b/>
          <w:sz w:val="20"/>
        </w:rPr>
        <w:t>Figure A.7</w:t>
      </w:r>
      <w:r w:rsidRPr="00185B6E">
        <w:rPr>
          <w:sz w:val="20"/>
        </w:rPr>
        <w:t xml:space="preserve"> Biovolumes of cyanobacteria at selected sites over time illustrating the high variability between weeks and the early collapse of the bloom in the canal.</w:t>
      </w:r>
    </w:p>
    <w:p w14:paraId="3B4F8C92" w14:textId="77777777" w:rsidR="008E6212" w:rsidRDefault="008E6212" w:rsidP="008E6212">
      <w:pPr>
        <w:spacing w:after="240" w:line="324" w:lineRule="exact"/>
        <w:contextualSpacing/>
        <w:jc w:val="left"/>
        <w:rPr>
          <w:rFonts w:asciiTheme="minorHAnsi" w:hAnsiTheme="minorHAnsi"/>
          <w:sz w:val="20"/>
        </w:rPr>
      </w:pPr>
      <w:r w:rsidRPr="00185B6E">
        <w:rPr>
          <w:rFonts w:asciiTheme="minorHAnsi" w:hAnsiTheme="minorHAnsi"/>
          <w:b/>
          <w:sz w:val="20"/>
        </w:rPr>
        <w:lastRenderedPageBreak/>
        <w:t>Ta</w:t>
      </w:r>
      <w:r>
        <w:rPr>
          <w:rFonts w:asciiTheme="minorHAnsi" w:hAnsiTheme="minorHAnsi"/>
          <w:b/>
          <w:sz w:val="20"/>
        </w:rPr>
        <w:t>ble A</w:t>
      </w:r>
      <w:r w:rsidRPr="00185B6E">
        <w:rPr>
          <w:rFonts w:asciiTheme="minorHAnsi" w:hAnsiTheme="minorHAnsi"/>
          <w:b/>
          <w:sz w:val="20"/>
        </w:rPr>
        <w:t>.1</w:t>
      </w:r>
      <w:r w:rsidR="00045C8E">
        <w:rPr>
          <w:rFonts w:asciiTheme="minorHAnsi" w:hAnsiTheme="minorHAnsi"/>
          <w:b/>
          <w:sz w:val="20"/>
        </w:rPr>
        <w:t>.</w:t>
      </w:r>
      <w:r w:rsidRPr="00185B6E">
        <w:rPr>
          <w:rFonts w:asciiTheme="minorHAnsi" w:hAnsiTheme="minorHAnsi"/>
          <w:sz w:val="20"/>
        </w:rPr>
        <w:t xml:space="preserve"> Cyanobacteria biovolume (mm</w:t>
      </w:r>
      <w:r w:rsidRPr="00185B6E">
        <w:rPr>
          <w:rFonts w:asciiTheme="minorHAnsi" w:hAnsiTheme="minorHAnsi"/>
          <w:sz w:val="20"/>
          <w:vertAlign w:val="superscript"/>
        </w:rPr>
        <w:t>3</w:t>
      </w:r>
      <w:r w:rsidRPr="00185B6E">
        <w:rPr>
          <w:rFonts w:asciiTheme="minorHAnsi" w:hAnsiTheme="minorHAnsi"/>
          <w:sz w:val="20"/>
        </w:rPr>
        <w:t>/L) at all study sites during the intensive monitoring period (data for 7/3/2016 and some sites on 14/3/2016 have been calculated from counts-reported as whole numbers). Cell shading indicates alert level where red &gt;4, amber 0.4-4 and green &lt;0.4 mm</w:t>
      </w:r>
      <w:r w:rsidRPr="00185B6E">
        <w:rPr>
          <w:rFonts w:asciiTheme="minorHAnsi" w:hAnsiTheme="minorHAnsi"/>
          <w:sz w:val="20"/>
          <w:vertAlign w:val="superscript"/>
        </w:rPr>
        <w:t>3</w:t>
      </w:r>
      <w:r w:rsidRPr="00185B6E">
        <w:rPr>
          <w:rFonts w:asciiTheme="minorHAnsi" w:hAnsiTheme="minorHAnsi"/>
          <w:sz w:val="20"/>
        </w:rPr>
        <w:t>/L.</w:t>
      </w:r>
      <w:r w:rsidR="002B3297">
        <w:rPr>
          <w:rFonts w:asciiTheme="minorHAnsi" w:hAnsiTheme="minorHAnsi"/>
          <w:sz w:val="20"/>
        </w:rPr>
        <w:t xml:space="preserve"> Darker red indicates 5 times the red alert level (&gt;20 </w:t>
      </w:r>
      <w:r w:rsidR="002B3297" w:rsidRPr="00185B6E">
        <w:rPr>
          <w:rFonts w:asciiTheme="minorHAnsi" w:hAnsiTheme="minorHAnsi"/>
          <w:sz w:val="20"/>
        </w:rPr>
        <w:t>mm</w:t>
      </w:r>
      <w:r w:rsidR="002B3297" w:rsidRPr="00185B6E">
        <w:rPr>
          <w:rFonts w:asciiTheme="minorHAnsi" w:hAnsiTheme="minorHAnsi"/>
          <w:sz w:val="20"/>
          <w:vertAlign w:val="superscript"/>
        </w:rPr>
        <w:t>3</w:t>
      </w:r>
      <w:r w:rsidR="002B3297" w:rsidRPr="00185B6E">
        <w:rPr>
          <w:rFonts w:asciiTheme="minorHAnsi" w:hAnsiTheme="minorHAnsi"/>
          <w:sz w:val="20"/>
        </w:rPr>
        <w:t>/L</w:t>
      </w:r>
      <w:r w:rsidR="002B3297">
        <w:rPr>
          <w:rFonts w:asciiTheme="minorHAnsi" w:hAnsiTheme="minorHAnsi"/>
          <w:sz w:val="20"/>
        </w:rPr>
        <w:t>).</w:t>
      </w:r>
    </w:p>
    <w:p w14:paraId="3B4F8C93" w14:textId="77777777" w:rsidR="008E6212" w:rsidRPr="00185B6E" w:rsidRDefault="008E6212" w:rsidP="008E6212">
      <w:pPr>
        <w:spacing w:after="240" w:line="324" w:lineRule="exact"/>
        <w:contextualSpacing/>
        <w:jc w:val="left"/>
        <w:rPr>
          <w:rFonts w:asciiTheme="minorHAnsi" w:hAnsi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766"/>
        <w:gridCol w:w="877"/>
        <w:gridCol w:w="877"/>
        <w:gridCol w:w="877"/>
        <w:gridCol w:w="715"/>
        <w:gridCol w:w="826"/>
        <w:gridCol w:w="826"/>
        <w:gridCol w:w="826"/>
        <w:gridCol w:w="788"/>
        <w:gridCol w:w="788"/>
        <w:gridCol w:w="900"/>
        <w:gridCol w:w="900"/>
      </w:tblGrid>
      <w:tr w:rsidR="008E6212" w:rsidRPr="00A26255" w14:paraId="3B4F8CA1" w14:textId="77777777" w:rsidTr="009C1A36">
        <w:trPr>
          <w:trHeight w:val="300"/>
        </w:trPr>
        <w:tc>
          <w:tcPr>
            <w:tcW w:w="0" w:type="auto"/>
            <w:shd w:val="clear" w:color="auto" w:fill="auto"/>
            <w:noWrap/>
            <w:vAlign w:val="bottom"/>
            <w:hideMark/>
          </w:tcPr>
          <w:p w14:paraId="3B4F8C94"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S</w:t>
            </w:r>
            <w:r w:rsidRPr="00A26255">
              <w:rPr>
                <w:rFonts w:eastAsia="Times New Roman"/>
                <w:color w:val="000000"/>
                <w:szCs w:val="22"/>
                <w:lang w:eastAsia="en-AU"/>
              </w:rPr>
              <w:t>ite</w:t>
            </w:r>
          </w:p>
        </w:tc>
        <w:tc>
          <w:tcPr>
            <w:tcW w:w="0" w:type="auto"/>
            <w:shd w:val="clear" w:color="auto" w:fill="auto"/>
            <w:noWrap/>
            <w:vAlign w:val="bottom"/>
            <w:hideMark/>
          </w:tcPr>
          <w:p w14:paraId="3B4F8C9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7-Mar</w:t>
            </w:r>
          </w:p>
        </w:tc>
        <w:tc>
          <w:tcPr>
            <w:tcW w:w="0" w:type="auto"/>
            <w:shd w:val="clear" w:color="auto" w:fill="auto"/>
            <w:noWrap/>
            <w:vAlign w:val="bottom"/>
            <w:hideMark/>
          </w:tcPr>
          <w:p w14:paraId="3B4F8C9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14-Mar</w:t>
            </w:r>
          </w:p>
        </w:tc>
        <w:tc>
          <w:tcPr>
            <w:tcW w:w="0" w:type="auto"/>
            <w:shd w:val="clear" w:color="auto" w:fill="auto"/>
            <w:noWrap/>
            <w:vAlign w:val="bottom"/>
            <w:hideMark/>
          </w:tcPr>
          <w:p w14:paraId="3B4F8C9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21-Mar</w:t>
            </w:r>
          </w:p>
        </w:tc>
        <w:tc>
          <w:tcPr>
            <w:tcW w:w="0" w:type="auto"/>
            <w:shd w:val="clear" w:color="auto" w:fill="auto"/>
            <w:noWrap/>
            <w:vAlign w:val="bottom"/>
            <w:hideMark/>
          </w:tcPr>
          <w:p w14:paraId="3B4F8C9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28-Mar</w:t>
            </w:r>
          </w:p>
        </w:tc>
        <w:tc>
          <w:tcPr>
            <w:tcW w:w="0" w:type="auto"/>
            <w:shd w:val="clear" w:color="auto" w:fill="auto"/>
            <w:noWrap/>
            <w:vAlign w:val="bottom"/>
            <w:hideMark/>
          </w:tcPr>
          <w:p w14:paraId="3B4F8C9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4-Apr</w:t>
            </w:r>
          </w:p>
        </w:tc>
        <w:tc>
          <w:tcPr>
            <w:tcW w:w="0" w:type="auto"/>
            <w:shd w:val="clear" w:color="auto" w:fill="auto"/>
            <w:noWrap/>
            <w:vAlign w:val="bottom"/>
            <w:hideMark/>
          </w:tcPr>
          <w:p w14:paraId="3B4F8C9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11-Apr</w:t>
            </w:r>
          </w:p>
        </w:tc>
        <w:tc>
          <w:tcPr>
            <w:tcW w:w="0" w:type="auto"/>
            <w:shd w:val="clear" w:color="auto" w:fill="auto"/>
            <w:noWrap/>
            <w:vAlign w:val="bottom"/>
            <w:hideMark/>
          </w:tcPr>
          <w:p w14:paraId="3B4F8C9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18-Apr</w:t>
            </w:r>
          </w:p>
        </w:tc>
        <w:tc>
          <w:tcPr>
            <w:tcW w:w="0" w:type="auto"/>
            <w:shd w:val="clear" w:color="auto" w:fill="auto"/>
            <w:noWrap/>
            <w:vAlign w:val="bottom"/>
            <w:hideMark/>
          </w:tcPr>
          <w:p w14:paraId="3B4F8C9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25-Apr</w:t>
            </w:r>
          </w:p>
        </w:tc>
        <w:tc>
          <w:tcPr>
            <w:tcW w:w="0" w:type="auto"/>
            <w:shd w:val="clear" w:color="auto" w:fill="auto"/>
            <w:noWrap/>
            <w:vAlign w:val="bottom"/>
            <w:hideMark/>
          </w:tcPr>
          <w:p w14:paraId="3B4F8C9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2-May</w:t>
            </w:r>
          </w:p>
        </w:tc>
        <w:tc>
          <w:tcPr>
            <w:tcW w:w="0" w:type="auto"/>
            <w:shd w:val="clear" w:color="auto" w:fill="auto"/>
            <w:noWrap/>
            <w:vAlign w:val="bottom"/>
            <w:hideMark/>
          </w:tcPr>
          <w:p w14:paraId="3B4F8C9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9-May</w:t>
            </w:r>
          </w:p>
        </w:tc>
        <w:tc>
          <w:tcPr>
            <w:tcW w:w="0" w:type="auto"/>
            <w:shd w:val="clear" w:color="auto" w:fill="auto"/>
            <w:noWrap/>
            <w:vAlign w:val="bottom"/>
            <w:hideMark/>
          </w:tcPr>
          <w:p w14:paraId="3B4F8C9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16-May</w:t>
            </w:r>
          </w:p>
        </w:tc>
        <w:tc>
          <w:tcPr>
            <w:tcW w:w="0" w:type="auto"/>
            <w:shd w:val="clear" w:color="auto" w:fill="auto"/>
            <w:noWrap/>
            <w:vAlign w:val="bottom"/>
            <w:hideMark/>
          </w:tcPr>
          <w:p w14:paraId="3B4F8CA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24-May</w:t>
            </w:r>
          </w:p>
        </w:tc>
      </w:tr>
      <w:tr w:rsidR="008E6212" w:rsidRPr="00A26255" w14:paraId="3B4F8CAF" w14:textId="77777777" w:rsidTr="0077301B">
        <w:trPr>
          <w:trHeight w:val="300"/>
        </w:trPr>
        <w:tc>
          <w:tcPr>
            <w:tcW w:w="0" w:type="auto"/>
            <w:shd w:val="clear" w:color="auto" w:fill="auto"/>
            <w:noWrap/>
            <w:vAlign w:val="bottom"/>
            <w:hideMark/>
          </w:tcPr>
          <w:p w14:paraId="3B4F8CA2"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1 </w:t>
            </w:r>
            <w:r>
              <w:rPr>
                <w:rFonts w:eastAsia="Times New Roman"/>
                <w:color w:val="000000"/>
                <w:szCs w:val="22"/>
                <w:lang w:eastAsia="en-AU"/>
              </w:rPr>
              <w:t>upstream</w:t>
            </w:r>
          </w:p>
        </w:tc>
        <w:tc>
          <w:tcPr>
            <w:tcW w:w="0" w:type="auto"/>
            <w:shd w:val="clear" w:color="auto" w:fill="F68582"/>
            <w:noWrap/>
            <w:vAlign w:val="bottom"/>
            <w:hideMark/>
          </w:tcPr>
          <w:p w14:paraId="3B4F8CA3"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16</w:t>
            </w:r>
          </w:p>
        </w:tc>
        <w:tc>
          <w:tcPr>
            <w:tcW w:w="0" w:type="auto"/>
            <w:shd w:val="clear" w:color="auto" w:fill="F14541"/>
            <w:noWrap/>
            <w:vAlign w:val="bottom"/>
            <w:hideMark/>
          </w:tcPr>
          <w:p w14:paraId="3B4F8CA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29.3</w:t>
            </w:r>
          </w:p>
        </w:tc>
        <w:tc>
          <w:tcPr>
            <w:tcW w:w="0" w:type="auto"/>
            <w:shd w:val="clear" w:color="auto" w:fill="F14541"/>
            <w:noWrap/>
            <w:vAlign w:val="bottom"/>
            <w:hideMark/>
          </w:tcPr>
          <w:p w14:paraId="3B4F8CA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31.1</w:t>
            </w:r>
          </w:p>
        </w:tc>
        <w:tc>
          <w:tcPr>
            <w:tcW w:w="0" w:type="auto"/>
            <w:shd w:val="clear" w:color="auto" w:fill="F14541"/>
            <w:noWrap/>
            <w:vAlign w:val="bottom"/>
            <w:hideMark/>
          </w:tcPr>
          <w:p w14:paraId="3B4F8CA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24.4</w:t>
            </w:r>
          </w:p>
        </w:tc>
        <w:tc>
          <w:tcPr>
            <w:tcW w:w="0" w:type="auto"/>
            <w:shd w:val="clear" w:color="auto" w:fill="F14541"/>
            <w:noWrap/>
            <w:vAlign w:val="bottom"/>
            <w:hideMark/>
          </w:tcPr>
          <w:p w14:paraId="3B4F8CA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33.2</w:t>
            </w:r>
          </w:p>
        </w:tc>
        <w:tc>
          <w:tcPr>
            <w:tcW w:w="0" w:type="auto"/>
            <w:shd w:val="clear" w:color="auto" w:fill="F14541"/>
            <w:noWrap/>
            <w:vAlign w:val="bottom"/>
            <w:hideMark/>
          </w:tcPr>
          <w:p w14:paraId="3B4F8CA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40.1</w:t>
            </w:r>
          </w:p>
        </w:tc>
        <w:tc>
          <w:tcPr>
            <w:tcW w:w="0" w:type="auto"/>
            <w:shd w:val="clear" w:color="auto" w:fill="F14541"/>
            <w:noWrap/>
            <w:vAlign w:val="bottom"/>
            <w:hideMark/>
          </w:tcPr>
          <w:p w14:paraId="3B4F8CA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36.1</w:t>
            </w:r>
          </w:p>
        </w:tc>
        <w:tc>
          <w:tcPr>
            <w:tcW w:w="0" w:type="auto"/>
            <w:shd w:val="clear" w:color="auto" w:fill="F14541"/>
            <w:noWrap/>
            <w:vAlign w:val="bottom"/>
            <w:hideMark/>
          </w:tcPr>
          <w:p w14:paraId="3B4F8CA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32.7</w:t>
            </w:r>
          </w:p>
        </w:tc>
        <w:tc>
          <w:tcPr>
            <w:tcW w:w="0" w:type="auto"/>
            <w:shd w:val="clear" w:color="auto" w:fill="F68582"/>
            <w:noWrap/>
            <w:vAlign w:val="bottom"/>
            <w:hideMark/>
          </w:tcPr>
          <w:p w14:paraId="3B4F8CA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13.5</w:t>
            </w:r>
          </w:p>
        </w:tc>
        <w:tc>
          <w:tcPr>
            <w:tcW w:w="0" w:type="auto"/>
            <w:shd w:val="clear" w:color="auto" w:fill="F14541"/>
            <w:noWrap/>
            <w:vAlign w:val="bottom"/>
            <w:hideMark/>
          </w:tcPr>
          <w:p w14:paraId="3B4F8CA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31.5</w:t>
            </w:r>
          </w:p>
        </w:tc>
        <w:tc>
          <w:tcPr>
            <w:tcW w:w="0" w:type="auto"/>
            <w:shd w:val="clear" w:color="auto" w:fill="F68582"/>
            <w:noWrap/>
            <w:vAlign w:val="bottom"/>
            <w:hideMark/>
          </w:tcPr>
          <w:p w14:paraId="3B4F8CA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17.3</w:t>
            </w:r>
          </w:p>
        </w:tc>
        <w:tc>
          <w:tcPr>
            <w:tcW w:w="0" w:type="auto"/>
            <w:shd w:val="clear" w:color="auto" w:fill="C2D69B" w:themeFill="accent3" w:themeFillTint="99"/>
            <w:noWrap/>
            <w:vAlign w:val="bottom"/>
            <w:hideMark/>
          </w:tcPr>
          <w:p w14:paraId="3B4F8CA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0.28</w:t>
            </w:r>
          </w:p>
        </w:tc>
      </w:tr>
      <w:tr w:rsidR="008E6212" w:rsidRPr="00A26255" w14:paraId="3B4F8CBD" w14:textId="77777777" w:rsidTr="0077301B">
        <w:trPr>
          <w:trHeight w:val="300"/>
        </w:trPr>
        <w:tc>
          <w:tcPr>
            <w:tcW w:w="0" w:type="auto"/>
            <w:shd w:val="clear" w:color="auto" w:fill="auto"/>
            <w:noWrap/>
            <w:vAlign w:val="bottom"/>
            <w:hideMark/>
          </w:tcPr>
          <w:p w14:paraId="3B4F8CB0"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1 </w:t>
            </w:r>
            <w:r>
              <w:rPr>
                <w:rFonts w:eastAsia="Times New Roman"/>
                <w:color w:val="000000"/>
                <w:szCs w:val="22"/>
                <w:lang w:eastAsia="en-AU"/>
              </w:rPr>
              <w:t>downstream</w:t>
            </w:r>
          </w:p>
        </w:tc>
        <w:tc>
          <w:tcPr>
            <w:tcW w:w="0" w:type="auto"/>
            <w:shd w:val="clear" w:color="auto" w:fill="F68582"/>
            <w:noWrap/>
            <w:vAlign w:val="bottom"/>
            <w:hideMark/>
          </w:tcPr>
          <w:p w14:paraId="3B4F8CB1"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9</w:t>
            </w:r>
          </w:p>
        </w:tc>
        <w:tc>
          <w:tcPr>
            <w:tcW w:w="0" w:type="auto"/>
            <w:shd w:val="clear" w:color="auto" w:fill="F14541"/>
            <w:noWrap/>
            <w:vAlign w:val="bottom"/>
            <w:hideMark/>
          </w:tcPr>
          <w:p w14:paraId="3B4F8CB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56</w:t>
            </w:r>
          </w:p>
        </w:tc>
        <w:tc>
          <w:tcPr>
            <w:tcW w:w="0" w:type="auto"/>
            <w:shd w:val="clear" w:color="auto" w:fill="F14541"/>
            <w:noWrap/>
            <w:vAlign w:val="bottom"/>
            <w:hideMark/>
          </w:tcPr>
          <w:p w14:paraId="3B4F8CB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59.3</w:t>
            </w:r>
          </w:p>
        </w:tc>
        <w:tc>
          <w:tcPr>
            <w:tcW w:w="0" w:type="auto"/>
            <w:shd w:val="clear" w:color="auto" w:fill="F14541"/>
            <w:noWrap/>
            <w:vAlign w:val="bottom"/>
            <w:hideMark/>
          </w:tcPr>
          <w:p w14:paraId="3B4F8CB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33.3</w:t>
            </w:r>
          </w:p>
        </w:tc>
        <w:tc>
          <w:tcPr>
            <w:tcW w:w="0" w:type="auto"/>
            <w:shd w:val="clear" w:color="auto" w:fill="F14541"/>
            <w:noWrap/>
            <w:vAlign w:val="bottom"/>
            <w:hideMark/>
          </w:tcPr>
          <w:p w14:paraId="3B4F8CB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19.8</w:t>
            </w:r>
          </w:p>
        </w:tc>
        <w:tc>
          <w:tcPr>
            <w:tcW w:w="0" w:type="auto"/>
            <w:shd w:val="clear" w:color="auto" w:fill="F14541"/>
            <w:noWrap/>
            <w:vAlign w:val="bottom"/>
            <w:hideMark/>
          </w:tcPr>
          <w:p w14:paraId="3B4F8CB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19.2</w:t>
            </w:r>
          </w:p>
        </w:tc>
        <w:tc>
          <w:tcPr>
            <w:tcW w:w="0" w:type="auto"/>
            <w:shd w:val="clear" w:color="auto" w:fill="F14541"/>
            <w:noWrap/>
            <w:vAlign w:val="bottom"/>
            <w:hideMark/>
          </w:tcPr>
          <w:p w14:paraId="3B4F8CB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36.9</w:t>
            </w:r>
          </w:p>
        </w:tc>
        <w:tc>
          <w:tcPr>
            <w:tcW w:w="0" w:type="auto"/>
            <w:shd w:val="clear" w:color="auto" w:fill="F14541"/>
            <w:noWrap/>
            <w:vAlign w:val="bottom"/>
            <w:hideMark/>
          </w:tcPr>
          <w:p w14:paraId="3B4F8CB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28.1</w:t>
            </w:r>
          </w:p>
        </w:tc>
        <w:tc>
          <w:tcPr>
            <w:tcW w:w="0" w:type="auto"/>
            <w:shd w:val="clear" w:color="auto" w:fill="F68582"/>
            <w:noWrap/>
            <w:vAlign w:val="bottom"/>
            <w:hideMark/>
          </w:tcPr>
          <w:p w14:paraId="3B4F8CB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18.8</w:t>
            </w:r>
          </w:p>
        </w:tc>
        <w:tc>
          <w:tcPr>
            <w:tcW w:w="0" w:type="auto"/>
            <w:shd w:val="clear" w:color="auto" w:fill="F14541"/>
            <w:noWrap/>
            <w:vAlign w:val="bottom"/>
            <w:hideMark/>
          </w:tcPr>
          <w:p w14:paraId="3B4F8CB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35.3</w:t>
            </w:r>
          </w:p>
        </w:tc>
        <w:tc>
          <w:tcPr>
            <w:tcW w:w="0" w:type="auto"/>
            <w:shd w:val="clear" w:color="auto" w:fill="F68582"/>
            <w:noWrap/>
            <w:vAlign w:val="bottom"/>
            <w:hideMark/>
          </w:tcPr>
          <w:p w14:paraId="3B4F8CB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16.5</w:t>
            </w:r>
          </w:p>
        </w:tc>
        <w:tc>
          <w:tcPr>
            <w:tcW w:w="0" w:type="auto"/>
            <w:shd w:val="clear" w:color="auto" w:fill="FFC000"/>
            <w:noWrap/>
            <w:vAlign w:val="bottom"/>
            <w:hideMark/>
          </w:tcPr>
          <w:p w14:paraId="3B4F8CB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1.66</w:t>
            </w:r>
          </w:p>
        </w:tc>
      </w:tr>
      <w:tr w:rsidR="008E6212" w:rsidRPr="00A26255" w14:paraId="3B4F8CCB" w14:textId="77777777" w:rsidTr="0077301B">
        <w:trPr>
          <w:trHeight w:val="315"/>
        </w:trPr>
        <w:tc>
          <w:tcPr>
            <w:tcW w:w="0" w:type="auto"/>
            <w:shd w:val="clear" w:color="auto" w:fill="auto"/>
            <w:noWrap/>
            <w:vAlign w:val="bottom"/>
            <w:hideMark/>
          </w:tcPr>
          <w:p w14:paraId="3B4F8CBE"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2 </w:t>
            </w:r>
            <w:r>
              <w:rPr>
                <w:rFonts w:eastAsia="Times New Roman"/>
                <w:color w:val="000000"/>
                <w:szCs w:val="22"/>
                <w:lang w:eastAsia="en-AU"/>
              </w:rPr>
              <w:t>upstream</w:t>
            </w:r>
          </w:p>
        </w:tc>
        <w:tc>
          <w:tcPr>
            <w:tcW w:w="0" w:type="auto"/>
            <w:shd w:val="clear" w:color="auto" w:fill="F14541"/>
            <w:noWrap/>
            <w:vAlign w:val="bottom"/>
            <w:hideMark/>
          </w:tcPr>
          <w:p w14:paraId="3B4F8CBF"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95</w:t>
            </w:r>
          </w:p>
        </w:tc>
        <w:tc>
          <w:tcPr>
            <w:tcW w:w="0" w:type="auto"/>
            <w:shd w:val="clear" w:color="auto" w:fill="F14541"/>
            <w:noWrap/>
            <w:vAlign w:val="bottom"/>
            <w:hideMark/>
          </w:tcPr>
          <w:p w14:paraId="3B4F8CC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28.9</w:t>
            </w:r>
          </w:p>
        </w:tc>
        <w:tc>
          <w:tcPr>
            <w:tcW w:w="0" w:type="auto"/>
            <w:shd w:val="clear" w:color="auto" w:fill="F14541"/>
            <w:noWrap/>
            <w:vAlign w:val="bottom"/>
            <w:hideMark/>
          </w:tcPr>
          <w:p w14:paraId="3B4F8CC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21.8</w:t>
            </w:r>
          </w:p>
        </w:tc>
        <w:tc>
          <w:tcPr>
            <w:tcW w:w="0" w:type="auto"/>
            <w:shd w:val="clear" w:color="auto" w:fill="F14541"/>
            <w:noWrap/>
            <w:vAlign w:val="bottom"/>
            <w:hideMark/>
          </w:tcPr>
          <w:p w14:paraId="3B4F8CC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44.9</w:t>
            </w:r>
          </w:p>
        </w:tc>
        <w:tc>
          <w:tcPr>
            <w:tcW w:w="0" w:type="auto"/>
            <w:shd w:val="clear" w:color="auto" w:fill="F14541"/>
            <w:noWrap/>
            <w:vAlign w:val="bottom"/>
            <w:hideMark/>
          </w:tcPr>
          <w:p w14:paraId="3B4F8CC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46.0</w:t>
            </w:r>
          </w:p>
        </w:tc>
        <w:tc>
          <w:tcPr>
            <w:tcW w:w="0" w:type="auto"/>
            <w:shd w:val="clear" w:color="auto" w:fill="F14541"/>
            <w:noWrap/>
            <w:vAlign w:val="bottom"/>
            <w:hideMark/>
          </w:tcPr>
          <w:p w14:paraId="3B4F8CC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42.6</w:t>
            </w:r>
          </w:p>
        </w:tc>
        <w:tc>
          <w:tcPr>
            <w:tcW w:w="0" w:type="auto"/>
            <w:shd w:val="clear" w:color="auto" w:fill="F14541"/>
            <w:noWrap/>
            <w:vAlign w:val="bottom"/>
            <w:hideMark/>
          </w:tcPr>
          <w:p w14:paraId="3B4F8CC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34.6</w:t>
            </w:r>
          </w:p>
        </w:tc>
        <w:tc>
          <w:tcPr>
            <w:tcW w:w="0" w:type="auto"/>
            <w:shd w:val="clear" w:color="auto" w:fill="F14541"/>
            <w:noWrap/>
            <w:vAlign w:val="bottom"/>
            <w:hideMark/>
          </w:tcPr>
          <w:p w14:paraId="3B4F8CC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35.8</w:t>
            </w:r>
          </w:p>
        </w:tc>
        <w:tc>
          <w:tcPr>
            <w:tcW w:w="0" w:type="auto"/>
            <w:shd w:val="clear" w:color="auto" w:fill="auto"/>
            <w:noWrap/>
            <w:vAlign w:val="bottom"/>
            <w:hideMark/>
          </w:tcPr>
          <w:p w14:paraId="3B4F8CC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w:t>
            </w:r>
          </w:p>
        </w:tc>
        <w:tc>
          <w:tcPr>
            <w:tcW w:w="0" w:type="auto"/>
            <w:shd w:val="clear" w:color="auto" w:fill="F68582"/>
            <w:noWrap/>
            <w:vAlign w:val="bottom"/>
            <w:hideMark/>
          </w:tcPr>
          <w:p w14:paraId="3B4F8CC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19.7</w:t>
            </w:r>
          </w:p>
        </w:tc>
        <w:tc>
          <w:tcPr>
            <w:tcW w:w="0" w:type="auto"/>
            <w:shd w:val="clear" w:color="auto" w:fill="F68582"/>
            <w:noWrap/>
            <w:vAlign w:val="bottom"/>
            <w:hideMark/>
          </w:tcPr>
          <w:p w14:paraId="3B4F8CC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13.4</w:t>
            </w:r>
          </w:p>
        </w:tc>
        <w:tc>
          <w:tcPr>
            <w:tcW w:w="0" w:type="auto"/>
            <w:shd w:val="clear" w:color="auto" w:fill="FFC000"/>
            <w:noWrap/>
            <w:vAlign w:val="bottom"/>
            <w:hideMark/>
          </w:tcPr>
          <w:p w14:paraId="3B4F8CC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1.61</w:t>
            </w:r>
          </w:p>
        </w:tc>
      </w:tr>
      <w:tr w:rsidR="008E6212" w:rsidRPr="00A26255" w14:paraId="3B4F8CD9" w14:textId="77777777" w:rsidTr="0077301B">
        <w:trPr>
          <w:trHeight w:val="300"/>
        </w:trPr>
        <w:tc>
          <w:tcPr>
            <w:tcW w:w="0" w:type="auto"/>
            <w:shd w:val="clear" w:color="auto" w:fill="auto"/>
            <w:noWrap/>
            <w:vAlign w:val="bottom"/>
            <w:hideMark/>
          </w:tcPr>
          <w:p w14:paraId="3B4F8CCC"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2 </w:t>
            </w:r>
            <w:r>
              <w:rPr>
                <w:rFonts w:eastAsia="Times New Roman"/>
                <w:color w:val="000000"/>
                <w:szCs w:val="22"/>
                <w:lang w:eastAsia="en-AU"/>
              </w:rPr>
              <w:t>downstream</w:t>
            </w:r>
          </w:p>
        </w:tc>
        <w:tc>
          <w:tcPr>
            <w:tcW w:w="0" w:type="auto"/>
            <w:shd w:val="clear" w:color="auto" w:fill="F68582"/>
            <w:noWrap/>
            <w:vAlign w:val="bottom"/>
            <w:hideMark/>
          </w:tcPr>
          <w:p w14:paraId="3B4F8CCD"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15</w:t>
            </w:r>
          </w:p>
        </w:tc>
        <w:tc>
          <w:tcPr>
            <w:tcW w:w="0" w:type="auto"/>
            <w:shd w:val="clear" w:color="auto" w:fill="F14541"/>
            <w:noWrap/>
            <w:vAlign w:val="bottom"/>
            <w:hideMark/>
          </w:tcPr>
          <w:p w14:paraId="3B4F8CC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76</w:t>
            </w:r>
          </w:p>
        </w:tc>
        <w:tc>
          <w:tcPr>
            <w:tcW w:w="0" w:type="auto"/>
            <w:shd w:val="clear" w:color="auto" w:fill="F68582"/>
            <w:noWrap/>
            <w:vAlign w:val="bottom"/>
            <w:hideMark/>
          </w:tcPr>
          <w:p w14:paraId="3B4F8CC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18.9</w:t>
            </w:r>
          </w:p>
        </w:tc>
        <w:tc>
          <w:tcPr>
            <w:tcW w:w="0" w:type="auto"/>
            <w:shd w:val="clear" w:color="auto" w:fill="F14541"/>
            <w:noWrap/>
            <w:vAlign w:val="bottom"/>
            <w:hideMark/>
          </w:tcPr>
          <w:p w14:paraId="3B4F8CD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52.9</w:t>
            </w:r>
          </w:p>
        </w:tc>
        <w:tc>
          <w:tcPr>
            <w:tcW w:w="0" w:type="auto"/>
            <w:shd w:val="clear" w:color="auto" w:fill="F14541"/>
            <w:noWrap/>
            <w:vAlign w:val="bottom"/>
            <w:hideMark/>
          </w:tcPr>
          <w:p w14:paraId="3B4F8CD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31.2</w:t>
            </w:r>
          </w:p>
        </w:tc>
        <w:tc>
          <w:tcPr>
            <w:tcW w:w="0" w:type="auto"/>
            <w:shd w:val="clear" w:color="auto" w:fill="F14541"/>
            <w:noWrap/>
            <w:vAlign w:val="bottom"/>
            <w:hideMark/>
          </w:tcPr>
          <w:p w14:paraId="3B4F8CD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23.1</w:t>
            </w:r>
          </w:p>
        </w:tc>
        <w:tc>
          <w:tcPr>
            <w:tcW w:w="0" w:type="auto"/>
            <w:shd w:val="clear" w:color="auto" w:fill="F14541"/>
            <w:noWrap/>
            <w:vAlign w:val="bottom"/>
            <w:hideMark/>
          </w:tcPr>
          <w:p w14:paraId="3B4F8CD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44.3</w:t>
            </w:r>
          </w:p>
        </w:tc>
        <w:tc>
          <w:tcPr>
            <w:tcW w:w="0" w:type="auto"/>
            <w:shd w:val="clear" w:color="auto" w:fill="F14541"/>
            <w:noWrap/>
            <w:vAlign w:val="bottom"/>
            <w:hideMark/>
          </w:tcPr>
          <w:p w14:paraId="3B4F8CD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42.2</w:t>
            </w:r>
          </w:p>
        </w:tc>
        <w:tc>
          <w:tcPr>
            <w:tcW w:w="0" w:type="auto"/>
            <w:shd w:val="clear" w:color="auto" w:fill="F14541"/>
            <w:noWrap/>
            <w:vAlign w:val="bottom"/>
            <w:hideMark/>
          </w:tcPr>
          <w:p w14:paraId="3B4F8CD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60.4</w:t>
            </w:r>
          </w:p>
        </w:tc>
        <w:tc>
          <w:tcPr>
            <w:tcW w:w="0" w:type="auto"/>
            <w:shd w:val="clear" w:color="auto" w:fill="F68582"/>
            <w:noWrap/>
            <w:vAlign w:val="bottom"/>
            <w:hideMark/>
          </w:tcPr>
          <w:p w14:paraId="3B4F8CD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4.73</w:t>
            </w:r>
          </w:p>
        </w:tc>
        <w:tc>
          <w:tcPr>
            <w:tcW w:w="0" w:type="auto"/>
            <w:shd w:val="clear" w:color="auto" w:fill="F14541"/>
            <w:noWrap/>
            <w:vAlign w:val="bottom"/>
            <w:hideMark/>
          </w:tcPr>
          <w:p w14:paraId="3B4F8CD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22</w:t>
            </w:r>
          </w:p>
        </w:tc>
        <w:tc>
          <w:tcPr>
            <w:tcW w:w="0" w:type="auto"/>
            <w:shd w:val="clear" w:color="auto" w:fill="FFC000"/>
            <w:noWrap/>
            <w:vAlign w:val="bottom"/>
            <w:hideMark/>
          </w:tcPr>
          <w:p w14:paraId="3B4F8CD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3.03</w:t>
            </w:r>
          </w:p>
        </w:tc>
      </w:tr>
      <w:tr w:rsidR="008E6212" w:rsidRPr="00A26255" w14:paraId="3B4F8CE7" w14:textId="77777777" w:rsidTr="0077301B">
        <w:trPr>
          <w:trHeight w:val="300"/>
        </w:trPr>
        <w:tc>
          <w:tcPr>
            <w:tcW w:w="0" w:type="auto"/>
            <w:shd w:val="clear" w:color="auto" w:fill="auto"/>
            <w:noWrap/>
            <w:vAlign w:val="bottom"/>
            <w:hideMark/>
          </w:tcPr>
          <w:p w14:paraId="3B4F8CDA"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3 </w:t>
            </w:r>
            <w:r>
              <w:rPr>
                <w:rFonts w:eastAsia="Times New Roman"/>
                <w:color w:val="000000"/>
                <w:szCs w:val="22"/>
                <w:lang w:eastAsia="en-AU"/>
              </w:rPr>
              <w:t>upstream</w:t>
            </w:r>
          </w:p>
        </w:tc>
        <w:tc>
          <w:tcPr>
            <w:tcW w:w="0" w:type="auto"/>
            <w:shd w:val="clear" w:color="auto" w:fill="F14541"/>
            <w:noWrap/>
            <w:vAlign w:val="bottom"/>
            <w:hideMark/>
          </w:tcPr>
          <w:p w14:paraId="3B4F8CDB"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66</w:t>
            </w:r>
          </w:p>
        </w:tc>
        <w:tc>
          <w:tcPr>
            <w:tcW w:w="0" w:type="auto"/>
            <w:shd w:val="clear" w:color="auto" w:fill="F14541"/>
            <w:noWrap/>
            <w:vAlign w:val="bottom"/>
            <w:hideMark/>
          </w:tcPr>
          <w:p w14:paraId="3B4F8CD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30.7</w:t>
            </w:r>
          </w:p>
        </w:tc>
        <w:tc>
          <w:tcPr>
            <w:tcW w:w="0" w:type="auto"/>
            <w:shd w:val="clear" w:color="auto" w:fill="F14541"/>
            <w:noWrap/>
            <w:vAlign w:val="bottom"/>
            <w:hideMark/>
          </w:tcPr>
          <w:p w14:paraId="3B4F8CD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50.7</w:t>
            </w:r>
          </w:p>
        </w:tc>
        <w:tc>
          <w:tcPr>
            <w:tcW w:w="0" w:type="auto"/>
            <w:shd w:val="clear" w:color="auto" w:fill="F14541"/>
            <w:noWrap/>
            <w:vAlign w:val="bottom"/>
            <w:hideMark/>
          </w:tcPr>
          <w:p w14:paraId="3B4F8CD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17.5</w:t>
            </w:r>
          </w:p>
        </w:tc>
        <w:tc>
          <w:tcPr>
            <w:tcW w:w="0" w:type="auto"/>
            <w:shd w:val="clear" w:color="auto" w:fill="F14541"/>
            <w:noWrap/>
            <w:vAlign w:val="bottom"/>
            <w:hideMark/>
          </w:tcPr>
          <w:p w14:paraId="3B4F8CD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45.7</w:t>
            </w:r>
          </w:p>
        </w:tc>
        <w:tc>
          <w:tcPr>
            <w:tcW w:w="0" w:type="auto"/>
            <w:shd w:val="clear" w:color="auto" w:fill="F14541"/>
            <w:noWrap/>
            <w:vAlign w:val="bottom"/>
            <w:hideMark/>
          </w:tcPr>
          <w:p w14:paraId="3B4F8CE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36</w:t>
            </w:r>
          </w:p>
        </w:tc>
        <w:tc>
          <w:tcPr>
            <w:tcW w:w="0" w:type="auto"/>
            <w:shd w:val="clear" w:color="auto" w:fill="F14541"/>
            <w:noWrap/>
            <w:vAlign w:val="bottom"/>
            <w:hideMark/>
          </w:tcPr>
          <w:p w14:paraId="3B4F8CE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33.3</w:t>
            </w:r>
          </w:p>
        </w:tc>
        <w:tc>
          <w:tcPr>
            <w:tcW w:w="0" w:type="auto"/>
            <w:shd w:val="clear" w:color="auto" w:fill="F14541"/>
            <w:noWrap/>
            <w:vAlign w:val="bottom"/>
            <w:hideMark/>
          </w:tcPr>
          <w:p w14:paraId="3B4F8CE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65.4</w:t>
            </w:r>
          </w:p>
        </w:tc>
        <w:tc>
          <w:tcPr>
            <w:tcW w:w="0" w:type="auto"/>
            <w:shd w:val="clear" w:color="auto" w:fill="F14541"/>
            <w:noWrap/>
            <w:vAlign w:val="bottom"/>
            <w:hideMark/>
          </w:tcPr>
          <w:p w14:paraId="3B4F8CE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31.4</w:t>
            </w:r>
          </w:p>
        </w:tc>
        <w:tc>
          <w:tcPr>
            <w:tcW w:w="0" w:type="auto"/>
            <w:shd w:val="clear" w:color="auto" w:fill="F14541"/>
            <w:noWrap/>
            <w:vAlign w:val="bottom"/>
            <w:hideMark/>
          </w:tcPr>
          <w:p w14:paraId="3B4F8CE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27.7</w:t>
            </w:r>
          </w:p>
        </w:tc>
        <w:tc>
          <w:tcPr>
            <w:tcW w:w="0" w:type="auto"/>
            <w:shd w:val="clear" w:color="auto" w:fill="F68582"/>
            <w:noWrap/>
            <w:vAlign w:val="bottom"/>
            <w:hideMark/>
          </w:tcPr>
          <w:p w14:paraId="3B4F8CE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14.9</w:t>
            </w:r>
          </w:p>
        </w:tc>
        <w:tc>
          <w:tcPr>
            <w:tcW w:w="0" w:type="auto"/>
            <w:shd w:val="clear" w:color="auto" w:fill="FFC000"/>
            <w:noWrap/>
            <w:vAlign w:val="bottom"/>
            <w:hideMark/>
          </w:tcPr>
          <w:p w14:paraId="3B4F8CE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1.77</w:t>
            </w:r>
          </w:p>
        </w:tc>
      </w:tr>
      <w:tr w:rsidR="008E6212" w:rsidRPr="00A26255" w14:paraId="3B4F8CF5" w14:textId="77777777" w:rsidTr="0077301B">
        <w:trPr>
          <w:trHeight w:val="300"/>
        </w:trPr>
        <w:tc>
          <w:tcPr>
            <w:tcW w:w="0" w:type="auto"/>
            <w:shd w:val="clear" w:color="auto" w:fill="auto"/>
            <w:noWrap/>
            <w:vAlign w:val="bottom"/>
            <w:hideMark/>
          </w:tcPr>
          <w:p w14:paraId="3B4F8CE8"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3 </w:t>
            </w:r>
            <w:r>
              <w:rPr>
                <w:rFonts w:eastAsia="Times New Roman"/>
                <w:color w:val="000000"/>
                <w:szCs w:val="22"/>
                <w:lang w:eastAsia="en-AU"/>
              </w:rPr>
              <w:t>downstream</w:t>
            </w:r>
          </w:p>
        </w:tc>
        <w:tc>
          <w:tcPr>
            <w:tcW w:w="0" w:type="auto"/>
            <w:shd w:val="clear" w:color="auto" w:fill="F68582"/>
            <w:noWrap/>
            <w:vAlign w:val="bottom"/>
            <w:hideMark/>
          </w:tcPr>
          <w:p w14:paraId="3B4F8CE9"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19</w:t>
            </w:r>
          </w:p>
        </w:tc>
        <w:tc>
          <w:tcPr>
            <w:tcW w:w="0" w:type="auto"/>
            <w:shd w:val="clear" w:color="auto" w:fill="F14541"/>
            <w:noWrap/>
            <w:vAlign w:val="bottom"/>
            <w:hideMark/>
          </w:tcPr>
          <w:p w14:paraId="3B4F8CE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26.1</w:t>
            </w:r>
          </w:p>
        </w:tc>
        <w:tc>
          <w:tcPr>
            <w:tcW w:w="0" w:type="auto"/>
            <w:shd w:val="clear" w:color="auto" w:fill="F14541"/>
            <w:noWrap/>
            <w:vAlign w:val="bottom"/>
            <w:hideMark/>
          </w:tcPr>
          <w:p w14:paraId="3B4F8CE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41.7</w:t>
            </w:r>
          </w:p>
        </w:tc>
        <w:tc>
          <w:tcPr>
            <w:tcW w:w="0" w:type="auto"/>
            <w:shd w:val="clear" w:color="auto" w:fill="F14541"/>
            <w:noWrap/>
            <w:vAlign w:val="bottom"/>
            <w:hideMark/>
          </w:tcPr>
          <w:p w14:paraId="3B4F8CE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33.9</w:t>
            </w:r>
          </w:p>
        </w:tc>
        <w:tc>
          <w:tcPr>
            <w:tcW w:w="0" w:type="auto"/>
            <w:shd w:val="clear" w:color="auto" w:fill="F14541"/>
            <w:noWrap/>
            <w:vAlign w:val="bottom"/>
            <w:hideMark/>
          </w:tcPr>
          <w:p w14:paraId="3B4F8CE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31.8</w:t>
            </w:r>
          </w:p>
        </w:tc>
        <w:tc>
          <w:tcPr>
            <w:tcW w:w="0" w:type="auto"/>
            <w:shd w:val="clear" w:color="auto" w:fill="F14541"/>
            <w:noWrap/>
            <w:vAlign w:val="bottom"/>
            <w:hideMark/>
          </w:tcPr>
          <w:p w14:paraId="3B4F8CE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41.1</w:t>
            </w:r>
          </w:p>
        </w:tc>
        <w:tc>
          <w:tcPr>
            <w:tcW w:w="0" w:type="auto"/>
            <w:shd w:val="clear" w:color="auto" w:fill="F14541"/>
            <w:noWrap/>
            <w:vAlign w:val="bottom"/>
            <w:hideMark/>
          </w:tcPr>
          <w:p w14:paraId="3B4F8CE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33.3</w:t>
            </w:r>
          </w:p>
        </w:tc>
        <w:tc>
          <w:tcPr>
            <w:tcW w:w="0" w:type="auto"/>
            <w:shd w:val="clear" w:color="auto" w:fill="F14541"/>
            <w:noWrap/>
            <w:vAlign w:val="bottom"/>
            <w:hideMark/>
          </w:tcPr>
          <w:p w14:paraId="3B4F8CF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35</w:t>
            </w:r>
          </w:p>
        </w:tc>
        <w:tc>
          <w:tcPr>
            <w:tcW w:w="0" w:type="auto"/>
            <w:shd w:val="clear" w:color="auto" w:fill="F14541"/>
            <w:noWrap/>
            <w:vAlign w:val="bottom"/>
            <w:hideMark/>
          </w:tcPr>
          <w:p w14:paraId="3B4F8CF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40</w:t>
            </w:r>
          </w:p>
        </w:tc>
        <w:tc>
          <w:tcPr>
            <w:tcW w:w="0" w:type="auto"/>
            <w:shd w:val="clear" w:color="auto" w:fill="F14541"/>
            <w:noWrap/>
            <w:vAlign w:val="bottom"/>
            <w:hideMark/>
          </w:tcPr>
          <w:p w14:paraId="3B4F8CF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23.3</w:t>
            </w:r>
          </w:p>
        </w:tc>
        <w:tc>
          <w:tcPr>
            <w:tcW w:w="0" w:type="auto"/>
            <w:shd w:val="clear" w:color="auto" w:fill="F14541"/>
            <w:noWrap/>
            <w:vAlign w:val="bottom"/>
            <w:hideMark/>
          </w:tcPr>
          <w:p w14:paraId="3B4F8CF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24.9</w:t>
            </w:r>
          </w:p>
        </w:tc>
        <w:tc>
          <w:tcPr>
            <w:tcW w:w="0" w:type="auto"/>
            <w:shd w:val="clear" w:color="auto" w:fill="FFC000"/>
            <w:noWrap/>
            <w:vAlign w:val="bottom"/>
            <w:hideMark/>
          </w:tcPr>
          <w:p w14:paraId="3B4F8CF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1.78</w:t>
            </w:r>
          </w:p>
        </w:tc>
      </w:tr>
      <w:tr w:rsidR="008E6212" w:rsidRPr="00A26255" w14:paraId="3B4F8D03" w14:textId="77777777" w:rsidTr="0077301B">
        <w:trPr>
          <w:trHeight w:val="300"/>
        </w:trPr>
        <w:tc>
          <w:tcPr>
            <w:tcW w:w="0" w:type="auto"/>
            <w:shd w:val="clear" w:color="auto" w:fill="auto"/>
            <w:noWrap/>
            <w:vAlign w:val="bottom"/>
            <w:hideMark/>
          </w:tcPr>
          <w:p w14:paraId="3B4F8CF6"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4 </w:t>
            </w:r>
            <w:r>
              <w:rPr>
                <w:rFonts w:eastAsia="Times New Roman"/>
                <w:color w:val="000000"/>
                <w:szCs w:val="22"/>
                <w:lang w:eastAsia="en-AU"/>
              </w:rPr>
              <w:t>upstream</w:t>
            </w:r>
          </w:p>
        </w:tc>
        <w:tc>
          <w:tcPr>
            <w:tcW w:w="0" w:type="auto"/>
            <w:shd w:val="clear" w:color="auto" w:fill="F68582"/>
            <w:noWrap/>
            <w:vAlign w:val="bottom"/>
            <w:hideMark/>
          </w:tcPr>
          <w:p w14:paraId="3B4F8CF7"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53</w:t>
            </w:r>
          </w:p>
        </w:tc>
        <w:tc>
          <w:tcPr>
            <w:tcW w:w="0" w:type="auto"/>
            <w:shd w:val="clear" w:color="auto" w:fill="F14541"/>
            <w:noWrap/>
            <w:vAlign w:val="bottom"/>
            <w:hideMark/>
          </w:tcPr>
          <w:p w14:paraId="3B4F8CF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46.3</w:t>
            </w:r>
          </w:p>
        </w:tc>
        <w:tc>
          <w:tcPr>
            <w:tcW w:w="0" w:type="auto"/>
            <w:shd w:val="clear" w:color="auto" w:fill="F14541"/>
            <w:noWrap/>
            <w:vAlign w:val="bottom"/>
            <w:hideMark/>
          </w:tcPr>
          <w:p w14:paraId="3B4F8CF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24.3</w:t>
            </w:r>
          </w:p>
        </w:tc>
        <w:tc>
          <w:tcPr>
            <w:tcW w:w="0" w:type="auto"/>
            <w:shd w:val="clear" w:color="auto" w:fill="F14541"/>
            <w:noWrap/>
            <w:vAlign w:val="bottom"/>
            <w:hideMark/>
          </w:tcPr>
          <w:p w14:paraId="3B4F8CF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43.0</w:t>
            </w:r>
          </w:p>
        </w:tc>
        <w:tc>
          <w:tcPr>
            <w:tcW w:w="0" w:type="auto"/>
            <w:shd w:val="clear" w:color="auto" w:fill="F14541"/>
            <w:noWrap/>
            <w:vAlign w:val="bottom"/>
            <w:hideMark/>
          </w:tcPr>
          <w:p w14:paraId="3B4F8CF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36.8</w:t>
            </w:r>
          </w:p>
        </w:tc>
        <w:tc>
          <w:tcPr>
            <w:tcW w:w="0" w:type="auto"/>
            <w:shd w:val="clear" w:color="auto" w:fill="F14541"/>
            <w:noWrap/>
            <w:vAlign w:val="bottom"/>
            <w:hideMark/>
          </w:tcPr>
          <w:p w14:paraId="3B4F8CF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52.8</w:t>
            </w:r>
          </w:p>
        </w:tc>
        <w:tc>
          <w:tcPr>
            <w:tcW w:w="0" w:type="auto"/>
            <w:shd w:val="clear" w:color="auto" w:fill="F14541"/>
            <w:noWrap/>
            <w:vAlign w:val="bottom"/>
            <w:hideMark/>
          </w:tcPr>
          <w:p w14:paraId="3B4F8CF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32.2</w:t>
            </w:r>
          </w:p>
        </w:tc>
        <w:tc>
          <w:tcPr>
            <w:tcW w:w="0" w:type="auto"/>
            <w:shd w:val="clear" w:color="auto" w:fill="F14541"/>
            <w:noWrap/>
            <w:vAlign w:val="bottom"/>
            <w:hideMark/>
          </w:tcPr>
          <w:p w14:paraId="3B4F8CF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40</w:t>
            </w:r>
          </w:p>
        </w:tc>
        <w:tc>
          <w:tcPr>
            <w:tcW w:w="0" w:type="auto"/>
            <w:shd w:val="clear" w:color="auto" w:fill="F14541"/>
            <w:noWrap/>
            <w:vAlign w:val="bottom"/>
            <w:hideMark/>
          </w:tcPr>
          <w:p w14:paraId="3B4F8CF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39.1</w:t>
            </w:r>
          </w:p>
        </w:tc>
        <w:tc>
          <w:tcPr>
            <w:tcW w:w="0" w:type="auto"/>
            <w:shd w:val="clear" w:color="auto" w:fill="F14541"/>
            <w:noWrap/>
            <w:vAlign w:val="bottom"/>
            <w:hideMark/>
          </w:tcPr>
          <w:p w14:paraId="3B4F8D0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27.2</w:t>
            </w:r>
          </w:p>
        </w:tc>
        <w:tc>
          <w:tcPr>
            <w:tcW w:w="0" w:type="auto"/>
            <w:shd w:val="clear" w:color="auto" w:fill="F14541"/>
            <w:noWrap/>
            <w:vAlign w:val="bottom"/>
            <w:hideMark/>
          </w:tcPr>
          <w:p w14:paraId="3B4F8D0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27.8</w:t>
            </w:r>
          </w:p>
        </w:tc>
        <w:tc>
          <w:tcPr>
            <w:tcW w:w="0" w:type="auto"/>
            <w:shd w:val="clear" w:color="auto" w:fill="FFC000"/>
            <w:noWrap/>
            <w:vAlign w:val="bottom"/>
            <w:hideMark/>
          </w:tcPr>
          <w:p w14:paraId="3B4F8D02"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0.81</w:t>
            </w:r>
          </w:p>
        </w:tc>
      </w:tr>
      <w:tr w:rsidR="008E6212" w:rsidRPr="00A26255" w14:paraId="3B4F8D11" w14:textId="77777777" w:rsidTr="009C1A36">
        <w:trPr>
          <w:trHeight w:val="300"/>
        </w:trPr>
        <w:tc>
          <w:tcPr>
            <w:tcW w:w="0" w:type="auto"/>
            <w:shd w:val="clear" w:color="auto" w:fill="auto"/>
            <w:noWrap/>
            <w:vAlign w:val="bottom"/>
            <w:hideMark/>
          </w:tcPr>
          <w:p w14:paraId="3B4F8D04" w14:textId="77777777" w:rsidR="008E6212" w:rsidRPr="00A26255" w:rsidRDefault="008E6212" w:rsidP="009C1A36">
            <w:pPr>
              <w:spacing w:after="0"/>
              <w:jc w:val="left"/>
              <w:rPr>
                <w:rFonts w:eastAsia="Times New Roman"/>
                <w:color w:val="000000"/>
                <w:szCs w:val="22"/>
                <w:lang w:eastAsia="en-AU"/>
              </w:rPr>
            </w:pPr>
            <w:r>
              <w:rPr>
                <w:rFonts w:eastAsia="Times New Roman"/>
                <w:color w:val="000000"/>
                <w:szCs w:val="22"/>
                <w:lang w:eastAsia="en-AU"/>
              </w:rPr>
              <w:t>Z</w:t>
            </w:r>
            <w:r w:rsidRPr="00A26255">
              <w:rPr>
                <w:rFonts w:eastAsia="Times New Roman"/>
                <w:color w:val="000000"/>
                <w:szCs w:val="22"/>
                <w:lang w:eastAsia="en-AU"/>
              </w:rPr>
              <w:t xml:space="preserve">one 4 </w:t>
            </w:r>
            <w:r>
              <w:rPr>
                <w:rFonts w:eastAsia="Times New Roman"/>
                <w:color w:val="000000"/>
                <w:szCs w:val="22"/>
                <w:lang w:eastAsia="en-AU"/>
              </w:rPr>
              <w:t>downstream</w:t>
            </w:r>
          </w:p>
        </w:tc>
        <w:tc>
          <w:tcPr>
            <w:tcW w:w="0" w:type="auto"/>
            <w:shd w:val="clear" w:color="auto" w:fill="F68582"/>
            <w:noWrap/>
            <w:vAlign w:val="bottom"/>
            <w:hideMark/>
          </w:tcPr>
          <w:p w14:paraId="3B4F8D05" w14:textId="77777777" w:rsidR="008E6212" w:rsidRPr="00A26255" w:rsidRDefault="008E6212" w:rsidP="009C1A36">
            <w:pPr>
              <w:spacing w:after="0"/>
              <w:jc w:val="left"/>
              <w:rPr>
                <w:rFonts w:eastAsia="Times New Roman"/>
                <w:szCs w:val="22"/>
                <w:lang w:eastAsia="en-AU"/>
              </w:rPr>
            </w:pPr>
            <w:r w:rsidRPr="00A26255">
              <w:rPr>
                <w:rFonts w:eastAsia="Times New Roman"/>
                <w:szCs w:val="22"/>
                <w:lang w:eastAsia="en-AU"/>
              </w:rPr>
              <w:t>32</w:t>
            </w:r>
          </w:p>
        </w:tc>
        <w:tc>
          <w:tcPr>
            <w:tcW w:w="0" w:type="auto"/>
            <w:shd w:val="clear" w:color="auto" w:fill="F14541"/>
            <w:noWrap/>
            <w:vAlign w:val="bottom"/>
            <w:hideMark/>
          </w:tcPr>
          <w:p w14:paraId="3B4F8D0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54.0</w:t>
            </w:r>
          </w:p>
        </w:tc>
        <w:tc>
          <w:tcPr>
            <w:tcW w:w="0" w:type="auto"/>
            <w:shd w:val="clear" w:color="auto" w:fill="F14541"/>
            <w:noWrap/>
            <w:vAlign w:val="bottom"/>
            <w:hideMark/>
          </w:tcPr>
          <w:p w14:paraId="3B4F8D0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65.6</w:t>
            </w:r>
          </w:p>
        </w:tc>
        <w:tc>
          <w:tcPr>
            <w:tcW w:w="0" w:type="auto"/>
            <w:shd w:val="clear" w:color="auto" w:fill="F14541"/>
            <w:noWrap/>
            <w:vAlign w:val="bottom"/>
            <w:hideMark/>
          </w:tcPr>
          <w:p w14:paraId="3B4F8D0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55.8</w:t>
            </w:r>
          </w:p>
        </w:tc>
        <w:tc>
          <w:tcPr>
            <w:tcW w:w="0" w:type="auto"/>
            <w:shd w:val="clear" w:color="auto" w:fill="F14541"/>
            <w:noWrap/>
            <w:vAlign w:val="bottom"/>
            <w:hideMark/>
          </w:tcPr>
          <w:p w14:paraId="3B4F8D0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40.6</w:t>
            </w:r>
          </w:p>
        </w:tc>
        <w:tc>
          <w:tcPr>
            <w:tcW w:w="0" w:type="auto"/>
            <w:shd w:val="clear" w:color="auto" w:fill="F14541"/>
            <w:noWrap/>
            <w:vAlign w:val="bottom"/>
            <w:hideMark/>
          </w:tcPr>
          <w:p w14:paraId="3B4F8D0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24.6</w:t>
            </w:r>
          </w:p>
        </w:tc>
        <w:tc>
          <w:tcPr>
            <w:tcW w:w="0" w:type="auto"/>
            <w:shd w:val="clear" w:color="auto" w:fill="F14541"/>
            <w:noWrap/>
            <w:vAlign w:val="bottom"/>
            <w:hideMark/>
          </w:tcPr>
          <w:p w14:paraId="3B4F8D0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23.5</w:t>
            </w:r>
          </w:p>
        </w:tc>
        <w:tc>
          <w:tcPr>
            <w:tcW w:w="0" w:type="auto"/>
            <w:shd w:val="clear" w:color="auto" w:fill="F14541"/>
            <w:noWrap/>
            <w:vAlign w:val="bottom"/>
            <w:hideMark/>
          </w:tcPr>
          <w:p w14:paraId="3B4F8D0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39</w:t>
            </w:r>
          </w:p>
        </w:tc>
        <w:tc>
          <w:tcPr>
            <w:tcW w:w="0" w:type="auto"/>
            <w:shd w:val="clear" w:color="auto" w:fill="F14541"/>
            <w:noWrap/>
            <w:vAlign w:val="bottom"/>
            <w:hideMark/>
          </w:tcPr>
          <w:p w14:paraId="3B4F8D0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42.2</w:t>
            </w:r>
          </w:p>
        </w:tc>
        <w:tc>
          <w:tcPr>
            <w:tcW w:w="0" w:type="auto"/>
            <w:shd w:val="clear" w:color="auto" w:fill="F14541"/>
            <w:noWrap/>
            <w:vAlign w:val="bottom"/>
            <w:hideMark/>
          </w:tcPr>
          <w:p w14:paraId="3B4F8D0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37.3</w:t>
            </w:r>
          </w:p>
        </w:tc>
        <w:tc>
          <w:tcPr>
            <w:tcW w:w="0" w:type="auto"/>
            <w:shd w:val="clear" w:color="auto" w:fill="F14541"/>
            <w:noWrap/>
            <w:vAlign w:val="bottom"/>
            <w:hideMark/>
          </w:tcPr>
          <w:p w14:paraId="3B4F8D0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60.2</w:t>
            </w:r>
          </w:p>
        </w:tc>
        <w:tc>
          <w:tcPr>
            <w:tcW w:w="0" w:type="auto"/>
            <w:shd w:val="clear" w:color="auto" w:fill="F68582"/>
            <w:noWrap/>
            <w:vAlign w:val="bottom"/>
            <w:hideMark/>
          </w:tcPr>
          <w:p w14:paraId="3B4F8D1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13.6</w:t>
            </w:r>
          </w:p>
        </w:tc>
      </w:tr>
      <w:tr w:rsidR="008E6212" w:rsidRPr="00A26255" w14:paraId="3B4F8D1F" w14:textId="77777777" w:rsidTr="0077301B">
        <w:trPr>
          <w:trHeight w:val="300"/>
        </w:trPr>
        <w:tc>
          <w:tcPr>
            <w:tcW w:w="0" w:type="auto"/>
            <w:shd w:val="clear" w:color="auto" w:fill="auto"/>
            <w:noWrap/>
            <w:vAlign w:val="bottom"/>
            <w:hideMark/>
          </w:tcPr>
          <w:p w14:paraId="3B4F8D1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Gee Gee</w:t>
            </w:r>
          </w:p>
        </w:tc>
        <w:tc>
          <w:tcPr>
            <w:tcW w:w="0" w:type="auto"/>
            <w:shd w:val="clear" w:color="auto" w:fill="FFC000"/>
            <w:noWrap/>
            <w:vAlign w:val="bottom"/>
            <w:hideMark/>
          </w:tcPr>
          <w:p w14:paraId="3B4F8D1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w:t>
            </w:r>
          </w:p>
        </w:tc>
        <w:tc>
          <w:tcPr>
            <w:tcW w:w="0" w:type="auto"/>
            <w:shd w:val="clear" w:color="auto" w:fill="FFC000"/>
            <w:noWrap/>
            <w:vAlign w:val="bottom"/>
            <w:hideMark/>
          </w:tcPr>
          <w:p w14:paraId="3B4F8D1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w:t>
            </w:r>
          </w:p>
        </w:tc>
        <w:tc>
          <w:tcPr>
            <w:tcW w:w="0" w:type="auto"/>
            <w:shd w:val="clear" w:color="auto" w:fill="F14541"/>
            <w:noWrap/>
            <w:vAlign w:val="bottom"/>
            <w:hideMark/>
          </w:tcPr>
          <w:p w14:paraId="3B4F8D1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31.0</w:t>
            </w:r>
          </w:p>
        </w:tc>
        <w:tc>
          <w:tcPr>
            <w:tcW w:w="0" w:type="auto"/>
            <w:shd w:val="clear" w:color="auto" w:fill="F14541"/>
            <w:noWrap/>
            <w:vAlign w:val="bottom"/>
            <w:hideMark/>
          </w:tcPr>
          <w:p w14:paraId="3B4F8D1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47.8</w:t>
            </w:r>
          </w:p>
        </w:tc>
        <w:tc>
          <w:tcPr>
            <w:tcW w:w="0" w:type="auto"/>
            <w:shd w:val="clear" w:color="auto" w:fill="F14541"/>
            <w:noWrap/>
            <w:vAlign w:val="bottom"/>
            <w:hideMark/>
          </w:tcPr>
          <w:p w14:paraId="3B4F8D1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24.2</w:t>
            </w:r>
          </w:p>
        </w:tc>
        <w:tc>
          <w:tcPr>
            <w:tcW w:w="0" w:type="auto"/>
            <w:shd w:val="clear" w:color="auto" w:fill="F14541"/>
            <w:noWrap/>
            <w:vAlign w:val="bottom"/>
            <w:hideMark/>
          </w:tcPr>
          <w:p w14:paraId="3B4F8D1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79.5</w:t>
            </w:r>
          </w:p>
        </w:tc>
        <w:tc>
          <w:tcPr>
            <w:tcW w:w="0" w:type="auto"/>
            <w:shd w:val="clear" w:color="auto" w:fill="F14541"/>
            <w:noWrap/>
            <w:vAlign w:val="bottom"/>
            <w:hideMark/>
          </w:tcPr>
          <w:p w14:paraId="3B4F8D1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39.8</w:t>
            </w:r>
          </w:p>
        </w:tc>
        <w:tc>
          <w:tcPr>
            <w:tcW w:w="0" w:type="auto"/>
            <w:shd w:val="clear" w:color="auto" w:fill="F14541"/>
            <w:noWrap/>
            <w:vAlign w:val="bottom"/>
            <w:hideMark/>
          </w:tcPr>
          <w:p w14:paraId="3B4F8D1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50.4</w:t>
            </w:r>
          </w:p>
        </w:tc>
        <w:tc>
          <w:tcPr>
            <w:tcW w:w="0" w:type="auto"/>
            <w:shd w:val="clear" w:color="auto" w:fill="F14541"/>
            <w:noWrap/>
            <w:vAlign w:val="bottom"/>
            <w:hideMark/>
          </w:tcPr>
          <w:p w14:paraId="3B4F8D1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41.8</w:t>
            </w:r>
          </w:p>
        </w:tc>
        <w:tc>
          <w:tcPr>
            <w:tcW w:w="0" w:type="auto"/>
            <w:shd w:val="clear" w:color="auto" w:fill="F14541"/>
            <w:noWrap/>
            <w:vAlign w:val="bottom"/>
            <w:hideMark/>
          </w:tcPr>
          <w:p w14:paraId="3B4F8D1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71.6</w:t>
            </w:r>
          </w:p>
        </w:tc>
        <w:tc>
          <w:tcPr>
            <w:tcW w:w="0" w:type="auto"/>
            <w:shd w:val="clear" w:color="auto" w:fill="F14541"/>
            <w:noWrap/>
            <w:vAlign w:val="bottom"/>
            <w:hideMark/>
          </w:tcPr>
          <w:p w14:paraId="3B4F8D1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70.2</w:t>
            </w:r>
          </w:p>
        </w:tc>
        <w:tc>
          <w:tcPr>
            <w:tcW w:w="0" w:type="auto"/>
            <w:shd w:val="clear" w:color="auto" w:fill="FFC000"/>
            <w:noWrap/>
            <w:vAlign w:val="bottom"/>
            <w:hideMark/>
          </w:tcPr>
          <w:p w14:paraId="3B4F8D1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2.42</w:t>
            </w:r>
          </w:p>
        </w:tc>
      </w:tr>
      <w:tr w:rsidR="008E6212" w:rsidRPr="00A26255" w14:paraId="3B4F8D2D" w14:textId="77777777" w:rsidTr="0077301B">
        <w:trPr>
          <w:trHeight w:val="300"/>
        </w:trPr>
        <w:tc>
          <w:tcPr>
            <w:tcW w:w="0" w:type="auto"/>
            <w:shd w:val="clear" w:color="auto" w:fill="auto"/>
            <w:noWrap/>
            <w:vAlign w:val="bottom"/>
            <w:hideMark/>
          </w:tcPr>
          <w:p w14:paraId="3B4F8D2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Niemur</w:t>
            </w:r>
          </w:p>
        </w:tc>
        <w:tc>
          <w:tcPr>
            <w:tcW w:w="0" w:type="auto"/>
            <w:shd w:val="clear" w:color="auto" w:fill="auto"/>
            <w:noWrap/>
            <w:vAlign w:val="bottom"/>
            <w:hideMark/>
          </w:tcPr>
          <w:p w14:paraId="3B4F8D2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w:t>
            </w:r>
          </w:p>
        </w:tc>
        <w:tc>
          <w:tcPr>
            <w:tcW w:w="0" w:type="auto"/>
            <w:shd w:val="clear" w:color="auto" w:fill="FFC000"/>
            <w:noWrap/>
            <w:vAlign w:val="bottom"/>
            <w:hideMark/>
          </w:tcPr>
          <w:p w14:paraId="3B4F8D2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0.6</w:t>
            </w:r>
          </w:p>
        </w:tc>
        <w:tc>
          <w:tcPr>
            <w:tcW w:w="0" w:type="auto"/>
            <w:shd w:val="clear" w:color="auto" w:fill="F68582"/>
            <w:noWrap/>
            <w:vAlign w:val="bottom"/>
            <w:hideMark/>
          </w:tcPr>
          <w:p w14:paraId="3B4F8D2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17.6</w:t>
            </w:r>
          </w:p>
        </w:tc>
        <w:tc>
          <w:tcPr>
            <w:tcW w:w="0" w:type="auto"/>
            <w:shd w:val="clear" w:color="auto" w:fill="F14541"/>
            <w:noWrap/>
            <w:vAlign w:val="bottom"/>
            <w:hideMark/>
          </w:tcPr>
          <w:p w14:paraId="3B4F8D2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85.2</w:t>
            </w:r>
          </w:p>
        </w:tc>
        <w:tc>
          <w:tcPr>
            <w:tcW w:w="0" w:type="auto"/>
            <w:shd w:val="clear" w:color="auto" w:fill="F14541"/>
            <w:noWrap/>
            <w:vAlign w:val="bottom"/>
            <w:hideMark/>
          </w:tcPr>
          <w:p w14:paraId="3B4F8D2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24.2</w:t>
            </w:r>
          </w:p>
        </w:tc>
        <w:tc>
          <w:tcPr>
            <w:tcW w:w="0" w:type="auto"/>
            <w:shd w:val="clear" w:color="auto" w:fill="F14541"/>
            <w:noWrap/>
            <w:vAlign w:val="bottom"/>
            <w:hideMark/>
          </w:tcPr>
          <w:p w14:paraId="3B4F8D2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22.8</w:t>
            </w:r>
          </w:p>
        </w:tc>
        <w:tc>
          <w:tcPr>
            <w:tcW w:w="0" w:type="auto"/>
            <w:shd w:val="clear" w:color="auto" w:fill="F68582"/>
            <w:noWrap/>
            <w:vAlign w:val="bottom"/>
            <w:hideMark/>
          </w:tcPr>
          <w:p w14:paraId="3B4F8D2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19.1</w:t>
            </w:r>
          </w:p>
        </w:tc>
        <w:tc>
          <w:tcPr>
            <w:tcW w:w="0" w:type="auto"/>
            <w:shd w:val="clear" w:color="auto" w:fill="F14541"/>
            <w:noWrap/>
            <w:vAlign w:val="bottom"/>
            <w:hideMark/>
          </w:tcPr>
          <w:p w14:paraId="3B4F8D2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38.2</w:t>
            </w:r>
          </w:p>
        </w:tc>
        <w:tc>
          <w:tcPr>
            <w:tcW w:w="0" w:type="auto"/>
            <w:shd w:val="clear" w:color="auto" w:fill="F14541"/>
            <w:noWrap/>
            <w:vAlign w:val="bottom"/>
            <w:hideMark/>
          </w:tcPr>
          <w:p w14:paraId="3B4F8D2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52.2</w:t>
            </w:r>
          </w:p>
        </w:tc>
        <w:tc>
          <w:tcPr>
            <w:tcW w:w="0" w:type="auto"/>
            <w:shd w:val="clear" w:color="auto" w:fill="F14541"/>
            <w:noWrap/>
            <w:vAlign w:val="bottom"/>
            <w:hideMark/>
          </w:tcPr>
          <w:p w14:paraId="3B4F8D2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62.8</w:t>
            </w:r>
          </w:p>
        </w:tc>
        <w:tc>
          <w:tcPr>
            <w:tcW w:w="0" w:type="auto"/>
            <w:shd w:val="clear" w:color="auto" w:fill="F14541"/>
            <w:noWrap/>
            <w:vAlign w:val="bottom"/>
            <w:hideMark/>
          </w:tcPr>
          <w:p w14:paraId="3B4F8D2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68.6</w:t>
            </w:r>
          </w:p>
        </w:tc>
        <w:tc>
          <w:tcPr>
            <w:tcW w:w="0" w:type="auto"/>
            <w:shd w:val="clear" w:color="auto" w:fill="FFC000"/>
            <w:noWrap/>
            <w:vAlign w:val="bottom"/>
            <w:hideMark/>
          </w:tcPr>
          <w:p w14:paraId="3B4F8D2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0.56</w:t>
            </w:r>
          </w:p>
        </w:tc>
      </w:tr>
      <w:tr w:rsidR="008E6212" w:rsidRPr="00A26255" w14:paraId="3B4F8D3B" w14:textId="77777777" w:rsidTr="0077301B">
        <w:trPr>
          <w:trHeight w:val="300"/>
        </w:trPr>
        <w:tc>
          <w:tcPr>
            <w:tcW w:w="0" w:type="auto"/>
            <w:shd w:val="clear" w:color="auto" w:fill="auto"/>
            <w:noWrap/>
            <w:vAlign w:val="bottom"/>
            <w:hideMark/>
          </w:tcPr>
          <w:p w14:paraId="3B4F8D2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xml:space="preserve">Colligen Creek </w:t>
            </w:r>
            <w:r>
              <w:rPr>
                <w:rFonts w:eastAsia="Times New Roman"/>
                <w:color w:val="000000"/>
                <w:szCs w:val="22"/>
                <w:lang w:eastAsia="en-AU"/>
              </w:rPr>
              <w:t>upstream</w:t>
            </w:r>
          </w:p>
        </w:tc>
        <w:tc>
          <w:tcPr>
            <w:tcW w:w="0" w:type="auto"/>
            <w:shd w:val="clear" w:color="auto" w:fill="FFC000"/>
            <w:noWrap/>
            <w:vAlign w:val="bottom"/>
            <w:hideMark/>
          </w:tcPr>
          <w:p w14:paraId="3B4F8D2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w:t>
            </w:r>
          </w:p>
        </w:tc>
        <w:tc>
          <w:tcPr>
            <w:tcW w:w="0" w:type="auto"/>
            <w:shd w:val="clear" w:color="auto" w:fill="F68582"/>
            <w:noWrap/>
            <w:vAlign w:val="bottom"/>
            <w:hideMark/>
          </w:tcPr>
          <w:p w14:paraId="3B4F8D3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16.5</w:t>
            </w:r>
          </w:p>
        </w:tc>
        <w:tc>
          <w:tcPr>
            <w:tcW w:w="0" w:type="auto"/>
            <w:shd w:val="clear" w:color="auto" w:fill="F14541"/>
            <w:noWrap/>
            <w:vAlign w:val="bottom"/>
            <w:hideMark/>
          </w:tcPr>
          <w:p w14:paraId="3B4F8D3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30.0</w:t>
            </w:r>
          </w:p>
        </w:tc>
        <w:tc>
          <w:tcPr>
            <w:tcW w:w="0" w:type="auto"/>
            <w:shd w:val="clear" w:color="auto" w:fill="F14541"/>
            <w:noWrap/>
            <w:vAlign w:val="bottom"/>
            <w:hideMark/>
          </w:tcPr>
          <w:p w14:paraId="3B4F8D3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20.6</w:t>
            </w:r>
          </w:p>
        </w:tc>
        <w:tc>
          <w:tcPr>
            <w:tcW w:w="0" w:type="auto"/>
            <w:shd w:val="clear" w:color="auto" w:fill="F14541"/>
            <w:noWrap/>
            <w:vAlign w:val="bottom"/>
            <w:hideMark/>
          </w:tcPr>
          <w:p w14:paraId="3B4F8D3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35.7</w:t>
            </w:r>
          </w:p>
        </w:tc>
        <w:tc>
          <w:tcPr>
            <w:tcW w:w="0" w:type="auto"/>
            <w:shd w:val="clear" w:color="auto" w:fill="F14541"/>
            <w:noWrap/>
            <w:vAlign w:val="bottom"/>
            <w:hideMark/>
          </w:tcPr>
          <w:p w14:paraId="3B4F8D3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35.2</w:t>
            </w:r>
          </w:p>
        </w:tc>
        <w:tc>
          <w:tcPr>
            <w:tcW w:w="0" w:type="auto"/>
            <w:shd w:val="clear" w:color="auto" w:fill="F14541"/>
            <w:noWrap/>
            <w:vAlign w:val="bottom"/>
            <w:hideMark/>
          </w:tcPr>
          <w:p w14:paraId="3B4F8D3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30.6</w:t>
            </w:r>
          </w:p>
        </w:tc>
        <w:tc>
          <w:tcPr>
            <w:tcW w:w="0" w:type="auto"/>
            <w:shd w:val="clear" w:color="auto" w:fill="F14541"/>
            <w:noWrap/>
            <w:vAlign w:val="bottom"/>
            <w:hideMark/>
          </w:tcPr>
          <w:p w14:paraId="3B4F8D3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36.2</w:t>
            </w:r>
          </w:p>
        </w:tc>
        <w:tc>
          <w:tcPr>
            <w:tcW w:w="0" w:type="auto"/>
            <w:shd w:val="clear" w:color="auto" w:fill="F14541"/>
            <w:noWrap/>
            <w:vAlign w:val="bottom"/>
            <w:hideMark/>
          </w:tcPr>
          <w:p w14:paraId="3B4F8D3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28.1</w:t>
            </w:r>
          </w:p>
        </w:tc>
        <w:tc>
          <w:tcPr>
            <w:tcW w:w="0" w:type="auto"/>
            <w:shd w:val="clear" w:color="auto" w:fill="F68582"/>
            <w:noWrap/>
            <w:vAlign w:val="bottom"/>
            <w:hideMark/>
          </w:tcPr>
          <w:p w14:paraId="3B4F8D3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16.7</w:t>
            </w:r>
          </w:p>
        </w:tc>
        <w:tc>
          <w:tcPr>
            <w:tcW w:w="0" w:type="auto"/>
            <w:shd w:val="clear" w:color="auto" w:fill="F68582"/>
            <w:noWrap/>
            <w:vAlign w:val="bottom"/>
            <w:hideMark/>
          </w:tcPr>
          <w:p w14:paraId="3B4F8D3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7.29</w:t>
            </w:r>
          </w:p>
        </w:tc>
        <w:tc>
          <w:tcPr>
            <w:tcW w:w="0" w:type="auto"/>
            <w:shd w:val="clear" w:color="auto" w:fill="FFC000"/>
            <w:noWrap/>
            <w:vAlign w:val="bottom"/>
            <w:hideMark/>
          </w:tcPr>
          <w:p w14:paraId="3B4F8D3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2.58</w:t>
            </w:r>
          </w:p>
        </w:tc>
      </w:tr>
      <w:tr w:rsidR="008E6212" w:rsidRPr="00A26255" w14:paraId="3B4F8D49" w14:textId="77777777" w:rsidTr="009C1A36">
        <w:trPr>
          <w:trHeight w:val="300"/>
        </w:trPr>
        <w:tc>
          <w:tcPr>
            <w:tcW w:w="0" w:type="auto"/>
            <w:shd w:val="clear" w:color="auto" w:fill="auto"/>
            <w:noWrap/>
            <w:vAlign w:val="bottom"/>
            <w:hideMark/>
          </w:tcPr>
          <w:p w14:paraId="3B4F8D3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xml:space="preserve">Colligen Creek </w:t>
            </w:r>
            <w:r>
              <w:rPr>
                <w:rFonts w:eastAsia="Times New Roman"/>
                <w:color w:val="000000"/>
                <w:szCs w:val="22"/>
                <w:lang w:eastAsia="en-AU"/>
              </w:rPr>
              <w:t>downstream</w:t>
            </w:r>
          </w:p>
        </w:tc>
        <w:tc>
          <w:tcPr>
            <w:tcW w:w="0" w:type="auto"/>
            <w:shd w:val="clear" w:color="auto" w:fill="F14541"/>
            <w:noWrap/>
            <w:vAlign w:val="bottom"/>
            <w:hideMark/>
          </w:tcPr>
          <w:p w14:paraId="3B4F8D3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91</w:t>
            </w:r>
          </w:p>
        </w:tc>
        <w:tc>
          <w:tcPr>
            <w:tcW w:w="0" w:type="auto"/>
            <w:shd w:val="clear" w:color="auto" w:fill="F14541"/>
            <w:noWrap/>
            <w:vAlign w:val="bottom"/>
            <w:hideMark/>
          </w:tcPr>
          <w:p w14:paraId="3B4F8D3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30.2</w:t>
            </w:r>
          </w:p>
        </w:tc>
        <w:tc>
          <w:tcPr>
            <w:tcW w:w="0" w:type="auto"/>
            <w:shd w:val="clear" w:color="auto" w:fill="F68582"/>
            <w:noWrap/>
            <w:vAlign w:val="bottom"/>
            <w:hideMark/>
          </w:tcPr>
          <w:p w14:paraId="3B4F8D3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14.8</w:t>
            </w:r>
          </w:p>
        </w:tc>
        <w:tc>
          <w:tcPr>
            <w:tcW w:w="0" w:type="auto"/>
            <w:shd w:val="clear" w:color="auto" w:fill="F68582"/>
            <w:noWrap/>
            <w:vAlign w:val="bottom"/>
            <w:hideMark/>
          </w:tcPr>
          <w:p w14:paraId="3B4F8D4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13.4</w:t>
            </w:r>
          </w:p>
        </w:tc>
        <w:tc>
          <w:tcPr>
            <w:tcW w:w="0" w:type="auto"/>
            <w:shd w:val="clear" w:color="auto" w:fill="F14541"/>
            <w:noWrap/>
            <w:vAlign w:val="bottom"/>
            <w:hideMark/>
          </w:tcPr>
          <w:p w14:paraId="3B4F8D4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36.1</w:t>
            </w:r>
          </w:p>
        </w:tc>
        <w:tc>
          <w:tcPr>
            <w:tcW w:w="0" w:type="auto"/>
            <w:shd w:val="clear" w:color="auto" w:fill="F14541"/>
            <w:noWrap/>
            <w:vAlign w:val="bottom"/>
            <w:hideMark/>
          </w:tcPr>
          <w:p w14:paraId="3B4F8D4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32.6</w:t>
            </w:r>
          </w:p>
        </w:tc>
        <w:tc>
          <w:tcPr>
            <w:tcW w:w="0" w:type="auto"/>
            <w:shd w:val="clear" w:color="auto" w:fill="F14541"/>
            <w:noWrap/>
            <w:vAlign w:val="bottom"/>
            <w:hideMark/>
          </w:tcPr>
          <w:p w14:paraId="3B4F8D4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33.8</w:t>
            </w:r>
          </w:p>
        </w:tc>
        <w:tc>
          <w:tcPr>
            <w:tcW w:w="0" w:type="auto"/>
            <w:shd w:val="clear" w:color="auto" w:fill="F14541"/>
            <w:noWrap/>
            <w:vAlign w:val="bottom"/>
            <w:hideMark/>
          </w:tcPr>
          <w:p w14:paraId="3B4F8D4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58.6</w:t>
            </w:r>
          </w:p>
        </w:tc>
        <w:tc>
          <w:tcPr>
            <w:tcW w:w="0" w:type="auto"/>
            <w:shd w:val="clear" w:color="auto" w:fill="F14541"/>
            <w:noWrap/>
            <w:vAlign w:val="bottom"/>
            <w:hideMark/>
          </w:tcPr>
          <w:p w14:paraId="3B4F8D4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40.1</w:t>
            </w:r>
          </w:p>
        </w:tc>
        <w:tc>
          <w:tcPr>
            <w:tcW w:w="0" w:type="auto"/>
            <w:shd w:val="clear" w:color="auto" w:fill="F14541"/>
            <w:noWrap/>
            <w:vAlign w:val="bottom"/>
            <w:hideMark/>
          </w:tcPr>
          <w:p w14:paraId="3B4F8D4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34.5</w:t>
            </w:r>
          </w:p>
        </w:tc>
        <w:tc>
          <w:tcPr>
            <w:tcW w:w="0" w:type="auto"/>
            <w:shd w:val="clear" w:color="auto" w:fill="F68582"/>
            <w:noWrap/>
            <w:vAlign w:val="bottom"/>
            <w:hideMark/>
          </w:tcPr>
          <w:p w14:paraId="3B4F8D47"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7.87</w:t>
            </w:r>
          </w:p>
        </w:tc>
        <w:tc>
          <w:tcPr>
            <w:tcW w:w="0" w:type="auto"/>
            <w:shd w:val="clear" w:color="auto" w:fill="auto"/>
            <w:noWrap/>
            <w:vAlign w:val="bottom"/>
            <w:hideMark/>
          </w:tcPr>
          <w:p w14:paraId="3B4F8D48" w14:textId="77777777" w:rsidR="008E6212" w:rsidRPr="00A26255" w:rsidRDefault="008E6212" w:rsidP="009C1A36">
            <w:pPr>
              <w:spacing w:after="0"/>
              <w:jc w:val="left"/>
              <w:rPr>
                <w:rFonts w:eastAsia="Times New Roman"/>
                <w:color w:val="000000"/>
                <w:szCs w:val="22"/>
                <w:lang w:eastAsia="en-AU"/>
              </w:rPr>
            </w:pPr>
          </w:p>
        </w:tc>
      </w:tr>
      <w:tr w:rsidR="008E6212" w:rsidRPr="00A26255" w14:paraId="3B4F8D57" w14:textId="77777777" w:rsidTr="0077301B">
        <w:trPr>
          <w:trHeight w:val="300"/>
        </w:trPr>
        <w:tc>
          <w:tcPr>
            <w:tcW w:w="0" w:type="auto"/>
            <w:shd w:val="clear" w:color="auto" w:fill="auto"/>
            <w:noWrap/>
            <w:vAlign w:val="bottom"/>
            <w:hideMark/>
          </w:tcPr>
          <w:p w14:paraId="3B4F8D4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Weir</w:t>
            </w:r>
          </w:p>
        </w:tc>
        <w:tc>
          <w:tcPr>
            <w:tcW w:w="0" w:type="auto"/>
            <w:shd w:val="clear" w:color="auto" w:fill="F68582"/>
            <w:noWrap/>
            <w:vAlign w:val="bottom"/>
            <w:hideMark/>
          </w:tcPr>
          <w:p w14:paraId="3B4F8D4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w:t>
            </w:r>
          </w:p>
        </w:tc>
        <w:tc>
          <w:tcPr>
            <w:tcW w:w="0" w:type="auto"/>
            <w:shd w:val="clear" w:color="auto" w:fill="F14541"/>
            <w:noWrap/>
            <w:vAlign w:val="bottom"/>
            <w:hideMark/>
          </w:tcPr>
          <w:p w14:paraId="3B4F8D4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41</w:t>
            </w:r>
          </w:p>
        </w:tc>
        <w:tc>
          <w:tcPr>
            <w:tcW w:w="0" w:type="auto"/>
            <w:shd w:val="clear" w:color="auto" w:fill="F14541"/>
            <w:noWrap/>
            <w:vAlign w:val="bottom"/>
            <w:hideMark/>
          </w:tcPr>
          <w:p w14:paraId="3B4F8D4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33.4</w:t>
            </w:r>
          </w:p>
        </w:tc>
        <w:tc>
          <w:tcPr>
            <w:tcW w:w="0" w:type="auto"/>
            <w:shd w:val="clear" w:color="auto" w:fill="F14541"/>
            <w:noWrap/>
            <w:vAlign w:val="bottom"/>
            <w:hideMark/>
          </w:tcPr>
          <w:p w14:paraId="3B4F8D4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54.6</w:t>
            </w:r>
          </w:p>
        </w:tc>
        <w:tc>
          <w:tcPr>
            <w:tcW w:w="0" w:type="auto"/>
            <w:shd w:val="clear" w:color="auto" w:fill="F14541"/>
            <w:noWrap/>
            <w:vAlign w:val="bottom"/>
            <w:hideMark/>
          </w:tcPr>
          <w:p w14:paraId="3B4F8D4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28.8</w:t>
            </w:r>
          </w:p>
        </w:tc>
        <w:tc>
          <w:tcPr>
            <w:tcW w:w="0" w:type="auto"/>
            <w:shd w:val="clear" w:color="auto" w:fill="F68582"/>
            <w:noWrap/>
            <w:vAlign w:val="bottom"/>
            <w:hideMark/>
          </w:tcPr>
          <w:p w14:paraId="3B4F8D5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15.5</w:t>
            </w:r>
          </w:p>
        </w:tc>
        <w:tc>
          <w:tcPr>
            <w:tcW w:w="0" w:type="auto"/>
            <w:shd w:val="clear" w:color="auto" w:fill="F14541"/>
            <w:noWrap/>
            <w:vAlign w:val="bottom"/>
            <w:hideMark/>
          </w:tcPr>
          <w:p w14:paraId="3B4F8D5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24.2</w:t>
            </w:r>
          </w:p>
        </w:tc>
        <w:tc>
          <w:tcPr>
            <w:tcW w:w="0" w:type="auto"/>
            <w:shd w:val="clear" w:color="auto" w:fill="F14541"/>
            <w:noWrap/>
            <w:vAlign w:val="bottom"/>
            <w:hideMark/>
          </w:tcPr>
          <w:p w14:paraId="3B4F8D5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33.7</w:t>
            </w:r>
          </w:p>
        </w:tc>
        <w:tc>
          <w:tcPr>
            <w:tcW w:w="0" w:type="auto"/>
            <w:shd w:val="clear" w:color="auto" w:fill="F14541"/>
            <w:noWrap/>
            <w:vAlign w:val="bottom"/>
            <w:hideMark/>
          </w:tcPr>
          <w:p w14:paraId="3B4F8D5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45.3</w:t>
            </w:r>
          </w:p>
        </w:tc>
        <w:tc>
          <w:tcPr>
            <w:tcW w:w="0" w:type="auto"/>
            <w:shd w:val="clear" w:color="auto" w:fill="F14541"/>
            <w:noWrap/>
            <w:vAlign w:val="bottom"/>
            <w:hideMark/>
          </w:tcPr>
          <w:p w14:paraId="3B4F8D5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21</w:t>
            </w:r>
          </w:p>
        </w:tc>
        <w:tc>
          <w:tcPr>
            <w:tcW w:w="0" w:type="auto"/>
            <w:shd w:val="clear" w:color="auto" w:fill="F68582"/>
            <w:noWrap/>
            <w:vAlign w:val="bottom"/>
            <w:hideMark/>
          </w:tcPr>
          <w:p w14:paraId="3B4F8D55"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10.1</w:t>
            </w:r>
          </w:p>
        </w:tc>
        <w:tc>
          <w:tcPr>
            <w:tcW w:w="0" w:type="auto"/>
            <w:shd w:val="clear" w:color="auto" w:fill="FFC000"/>
            <w:noWrap/>
            <w:vAlign w:val="bottom"/>
            <w:hideMark/>
          </w:tcPr>
          <w:p w14:paraId="3B4F8D56"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1.39</w:t>
            </w:r>
          </w:p>
        </w:tc>
      </w:tr>
      <w:tr w:rsidR="008E6212" w:rsidRPr="00A26255" w14:paraId="3B4F8D65" w14:textId="77777777" w:rsidTr="009C1A36">
        <w:trPr>
          <w:trHeight w:val="300"/>
        </w:trPr>
        <w:tc>
          <w:tcPr>
            <w:tcW w:w="0" w:type="auto"/>
            <w:shd w:val="clear" w:color="auto" w:fill="auto"/>
            <w:noWrap/>
            <w:vAlign w:val="bottom"/>
            <w:hideMark/>
          </w:tcPr>
          <w:p w14:paraId="3B4F8D58"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Canal</w:t>
            </w:r>
          </w:p>
        </w:tc>
        <w:tc>
          <w:tcPr>
            <w:tcW w:w="0" w:type="auto"/>
            <w:shd w:val="clear" w:color="auto" w:fill="F14541"/>
            <w:noWrap/>
            <w:vAlign w:val="bottom"/>
            <w:hideMark/>
          </w:tcPr>
          <w:p w14:paraId="3B4F8D59"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20</w:t>
            </w:r>
          </w:p>
        </w:tc>
        <w:tc>
          <w:tcPr>
            <w:tcW w:w="0" w:type="auto"/>
            <w:shd w:val="clear" w:color="auto" w:fill="F14541"/>
            <w:noWrap/>
            <w:vAlign w:val="bottom"/>
            <w:hideMark/>
          </w:tcPr>
          <w:p w14:paraId="3B4F8D5A"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80</w:t>
            </w:r>
          </w:p>
        </w:tc>
        <w:tc>
          <w:tcPr>
            <w:tcW w:w="0" w:type="auto"/>
            <w:shd w:val="clear" w:color="auto" w:fill="auto"/>
            <w:noWrap/>
            <w:vAlign w:val="bottom"/>
            <w:hideMark/>
          </w:tcPr>
          <w:p w14:paraId="3B4F8D5B"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w:t>
            </w:r>
          </w:p>
        </w:tc>
        <w:tc>
          <w:tcPr>
            <w:tcW w:w="0" w:type="auto"/>
            <w:shd w:val="clear" w:color="auto" w:fill="F14541"/>
            <w:noWrap/>
            <w:vAlign w:val="bottom"/>
            <w:hideMark/>
          </w:tcPr>
          <w:p w14:paraId="3B4F8D5C"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43.6</w:t>
            </w:r>
          </w:p>
        </w:tc>
        <w:tc>
          <w:tcPr>
            <w:tcW w:w="0" w:type="auto"/>
            <w:shd w:val="clear" w:color="auto" w:fill="F14541"/>
            <w:noWrap/>
            <w:vAlign w:val="bottom"/>
            <w:hideMark/>
          </w:tcPr>
          <w:p w14:paraId="3B4F8D5D"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47.3</w:t>
            </w:r>
          </w:p>
        </w:tc>
        <w:tc>
          <w:tcPr>
            <w:tcW w:w="0" w:type="auto"/>
            <w:shd w:val="clear" w:color="auto" w:fill="F14541"/>
            <w:noWrap/>
            <w:vAlign w:val="bottom"/>
            <w:hideMark/>
          </w:tcPr>
          <w:p w14:paraId="3B4F8D5E"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46.4</w:t>
            </w:r>
          </w:p>
        </w:tc>
        <w:tc>
          <w:tcPr>
            <w:tcW w:w="0" w:type="auto"/>
            <w:shd w:val="clear" w:color="auto" w:fill="F14541"/>
            <w:noWrap/>
            <w:vAlign w:val="bottom"/>
            <w:hideMark/>
          </w:tcPr>
          <w:p w14:paraId="3B4F8D5F"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33.8</w:t>
            </w:r>
          </w:p>
        </w:tc>
        <w:tc>
          <w:tcPr>
            <w:tcW w:w="0" w:type="auto"/>
            <w:shd w:val="clear" w:color="auto" w:fill="F68582"/>
            <w:noWrap/>
            <w:vAlign w:val="bottom"/>
            <w:hideMark/>
          </w:tcPr>
          <w:p w14:paraId="3B4F8D60"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17.5</w:t>
            </w:r>
          </w:p>
        </w:tc>
        <w:tc>
          <w:tcPr>
            <w:tcW w:w="0" w:type="auto"/>
            <w:shd w:val="clear" w:color="auto" w:fill="F68582"/>
            <w:noWrap/>
            <w:vAlign w:val="bottom"/>
            <w:hideMark/>
          </w:tcPr>
          <w:p w14:paraId="3B4F8D61"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16.3</w:t>
            </w:r>
          </w:p>
        </w:tc>
        <w:tc>
          <w:tcPr>
            <w:tcW w:w="0" w:type="auto"/>
            <w:shd w:val="clear" w:color="auto" w:fill="F68582"/>
            <w:noWrap/>
            <w:vAlign w:val="bottom"/>
            <w:hideMark/>
          </w:tcPr>
          <w:p w14:paraId="3B4F8D62"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9.69</w:t>
            </w:r>
          </w:p>
        </w:tc>
        <w:tc>
          <w:tcPr>
            <w:tcW w:w="0" w:type="auto"/>
            <w:shd w:val="clear" w:color="auto" w:fill="auto"/>
            <w:noWrap/>
            <w:vAlign w:val="bottom"/>
            <w:hideMark/>
          </w:tcPr>
          <w:p w14:paraId="3B4F8D63"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w:t>
            </w:r>
          </w:p>
        </w:tc>
        <w:tc>
          <w:tcPr>
            <w:tcW w:w="0" w:type="auto"/>
            <w:shd w:val="clear" w:color="auto" w:fill="auto"/>
            <w:noWrap/>
            <w:vAlign w:val="bottom"/>
            <w:hideMark/>
          </w:tcPr>
          <w:p w14:paraId="3B4F8D64" w14:textId="77777777" w:rsidR="008E6212" w:rsidRPr="00A26255" w:rsidRDefault="008E6212" w:rsidP="009C1A36">
            <w:pPr>
              <w:spacing w:after="0"/>
              <w:jc w:val="left"/>
              <w:rPr>
                <w:rFonts w:eastAsia="Times New Roman"/>
                <w:color w:val="000000"/>
                <w:szCs w:val="22"/>
                <w:lang w:eastAsia="en-AU"/>
              </w:rPr>
            </w:pPr>
            <w:r w:rsidRPr="00A26255">
              <w:rPr>
                <w:rFonts w:eastAsia="Times New Roman"/>
                <w:color w:val="000000"/>
                <w:szCs w:val="22"/>
                <w:lang w:eastAsia="en-AU"/>
              </w:rPr>
              <w:t> </w:t>
            </w:r>
          </w:p>
        </w:tc>
      </w:tr>
    </w:tbl>
    <w:p w14:paraId="3B4F8D66" w14:textId="77777777" w:rsidR="008E6212" w:rsidRDefault="008E6212" w:rsidP="008E6212">
      <w:pPr>
        <w:spacing w:after="240"/>
        <w:jc w:val="left"/>
      </w:pPr>
    </w:p>
    <w:p w14:paraId="3B4F8D67" w14:textId="77777777" w:rsidR="008E6212" w:rsidRDefault="008E6212" w:rsidP="008E6212">
      <w:pPr>
        <w:spacing w:after="240"/>
        <w:jc w:val="left"/>
      </w:pPr>
    </w:p>
    <w:p w14:paraId="3B4F8D68" w14:textId="77777777" w:rsidR="008E6212" w:rsidRDefault="008E6212" w:rsidP="008E6212">
      <w:pPr>
        <w:spacing w:after="240"/>
        <w:jc w:val="left"/>
        <w:sectPr w:rsidR="008E6212" w:rsidSect="009C1A36">
          <w:pgSz w:w="16838" w:h="11906" w:orient="landscape"/>
          <w:pgMar w:top="1440" w:right="1985" w:bottom="1440" w:left="1985" w:header="709" w:footer="709" w:gutter="0"/>
          <w:cols w:space="708"/>
          <w:docGrid w:linePitch="360"/>
        </w:sectPr>
      </w:pPr>
    </w:p>
    <w:p w14:paraId="3B4F8D69" w14:textId="77777777" w:rsidR="008E6212" w:rsidRPr="00E83BE2" w:rsidRDefault="008E6212" w:rsidP="008E6212">
      <w:pPr>
        <w:spacing w:after="240" w:line="324" w:lineRule="exact"/>
        <w:jc w:val="left"/>
      </w:pPr>
      <w:r>
        <w:lastRenderedPageBreak/>
        <w:t>The bloom of C</w:t>
      </w:r>
      <w:r w:rsidRPr="007C4BDA">
        <w:rPr>
          <w:i/>
        </w:rPr>
        <w:t>hrysosporum ovalisporum</w:t>
      </w:r>
      <w:r>
        <w:t xml:space="preserve"> was widespread in the Murray River and once established persisted through to winter at many sites (Figure A.6). The bloom is believed to have originated upstream (likely Hume Dam) and seeded through the system from there, although at many sites sampling was sparse prior to the bloom appearing. By late February Red Alert levels (&gt; 4 mm</w:t>
      </w:r>
      <w:r>
        <w:rPr>
          <w:vertAlign w:val="superscript"/>
        </w:rPr>
        <w:t>3</w:t>
      </w:r>
      <w:r>
        <w:t>/L) were widespread and included the Murray at Corowa, Tocumwal and Echuca and the Edward River at Deniliquin. It is evident from Figure A.6 that once established, the bloom was growing independently in the Edward-Wakool system and not simply flushing through from upstream, as biovolumes in this system considerably exceeded those in the source waters, or equivalent distances downstream on the Murray (e.g. Echuca). Biovolumes decreased dramatically with the combination of rainfall and cold overnight temperatures in late May but the cyanobacteria persisted well into June, especially in the Edward River at Deniliquin, and while below the red alert levels at all sites, non-zero counts are still being recorded at some sites through winter (e.g. 0.61 mm</w:t>
      </w:r>
      <w:r>
        <w:rPr>
          <w:vertAlign w:val="superscript"/>
        </w:rPr>
        <w:t>3</w:t>
      </w:r>
      <w:r>
        <w:t>/L in the Edward River at Moulamein and 0.43 mm</w:t>
      </w:r>
      <w:r>
        <w:rPr>
          <w:vertAlign w:val="superscript"/>
        </w:rPr>
        <w:t>3</w:t>
      </w:r>
      <w:r>
        <w:t>/L in the Wakool River at Kyalite in mid July- MRACC).</w:t>
      </w:r>
    </w:p>
    <w:p w14:paraId="196898D2" w14:textId="1C0BE696" w:rsidR="00DB6425" w:rsidRDefault="008E6212" w:rsidP="00DB6425">
      <w:pPr>
        <w:spacing w:after="240" w:line="324" w:lineRule="exact"/>
        <w:jc w:val="left"/>
      </w:pPr>
      <w:r>
        <w:t>Within the study zones the bloom was well established at the time of first data collection (7/03/2016) at all sites except Gee Gee Bridge on the Wakool River and the Niemur</w:t>
      </w:r>
      <w:r w:rsidR="00DB6425">
        <w:t xml:space="preserve"> River</w:t>
      </w:r>
      <w:r>
        <w:t>, where the cyanbacteria were present but below Red Alert levels (Figure A.7 and Table A.1). Note that the biovolumes may be quite variable at sites within zones, as well as between zones on a given sampling date.  This will reflect both site conditions and the variability of cell densities (potentially even at quite small scales). Increases in cell densities were seen at most sites between the 7</w:t>
      </w:r>
      <w:r w:rsidRPr="00EB20BF">
        <w:rPr>
          <w:vertAlign w:val="superscript"/>
        </w:rPr>
        <w:t>th</w:t>
      </w:r>
      <w:r>
        <w:t xml:space="preserve"> and 14</w:t>
      </w:r>
      <w:r w:rsidRPr="00EB20BF">
        <w:rPr>
          <w:vertAlign w:val="superscript"/>
        </w:rPr>
        <w:t>th</w:t>
      </w:r>
      <w:r>
        <w:t xml:space="preserve"> of March (note this was a period of very high temperatures). A similar increase at the Gee Gee and Niemur sites was seen the following week.  The bloom persisted at most sites through to May (with a dip in early April) with almost all sites falling to the Amber alert range by the 24</w:t>
      </w:r>
      <w:r w:rsidRPr="00F878C8">
        <w:rPr>
          <w:vertAlign w:val="superscript"/>
        </w:rPr>
        <w:t>th</w:t>
      </w:r>
      <w:r>
        <w:t xml:space="preserve"> May. The bloom behaviour in the canal was different to the other sites, with steady declines observed from the 18/4/2016 onwards, until the emptying of the canal after </w:t>
      </w:r>
      <w:r w:rsidR="00741D16">
        <w:t>09</w:t>
      </w:r>
      <w:r>
        <w:t>/05/2016. This is believed to be a case of bloom collapse rather than the bloom flushing through the canal and will be discussed further below. It is important to note that the presence of the bloom in both the Canal and the Weir meant that both sources of water for the Wakool and Yallakool were impacted by the bloom and dilution flows were not an option during this event. While increased flows may have introduced some turbulence into the system, the likelihood of this being advantageous vs the risk of simply spreading the bloom downstream faster meant that in the absence of extreme DO concentrations the use of Commonwealth environmental water in this way would not have been advisable during this event.</w:t>
      </w:r>
      <w:r w:rsidR="00741D16">
        <w:t xml:space="preserve"> </w:t>
      </w:r>
      <w:r w:rsidR="00DB6425">
        <w:t xml:space="preserve"> </w:t>
      </w:r>
    </w:p>
    <w:p w14:paraId="3B4F8D6A" w14:textId="6A175C20" w:rsidR="008E6212" w:rsidRDefault="008E6212" w:rsidP="008E6212">
      <w:pPr>
        <w:spacing w:after="240" w:line="324" w:lineRule="exact"/>
        <w:jc w:val="left"/>
      </w:pPr>
    </w:p>
    <w:p w14:paraId="3B4F8D6B" w14:textId="77777777" w:rsidR="008E6212" w:rsidRDefault="008E6212" w:rsidP="008E6212">
      <w:pPr>
        <w:spacing w:after="0" w:line="240" w:lineRule="auto"/>
        <w:jc w:val="left"/>
        <w:rPr>
          <w:i/>
        </w:rPr>
      </w:pPr>
      <w:r>
        <w:rPr>
          <w:i/>
        </w:rPr>
        <w:br w:type="page"/>
      </w:r>
    </w:p>
    <w:p w14:paraId="3B4F8D6C" w14:textId="77777777" w:rsidR="008E6212" w:rsidRDefault="008E6212" w:rsidP="008E6212">
      <w:pPr>
        <w:spacing w:after="240" w:line="324" w:lineRule="exact"/>
        <w:jc w:val="left"/>
      </w:pPr>
      <w:r>
        <w:rPr>
          <w:i/>
        </w:rPr>
        <w:lastRenderedPageBreak/>
        <w:t>Dissolved Organic Carbon</w:t>
      </w:r>
    </w:p>
    <w:p w14:paraId="3B4F8D6D" w14:textId="77777777" w:rsidR="008E6212" w:rsidRDefault="008E6212" w:rsidP="008E6212">
      <w:pPr>
        <w:spacing w:after="240" w:line="324" w:lineRule="exact"/>
        <w:jc w:val="left"/>
      </w:pPr>
      <w:r>
        <w:t>The dissolved organic carbon (DOC) in the study zones and source water is shown in Figure A.8, with all study sites shown in detail for the bloom period in Figure A.</w:t>
      </w:r>
      <w:r w:rsidR="0077301B">
        <w:t>9</w:t>
      </w:r>
      <w:r>
        <w:t xml:space="preserve">. Total organic carbon was also monitored during April and May to assess the overall impact of the bloom on </w:t>
      </w:r>
      <w:r w:rsidR="0077301B">
        <w:t>carbon in the system (Figure A.9</w:t>
      </w:r>
      <w:r>
        <w:t>). The carbon in these rivers is normally predominantly in the dissolved form with a low particulate fraction, but the additional biomass during the bloom changed the distribution of carbon between these two fractions.</w:t>
      </w:r>
    </w:p>
    <w:p w14:paraId="174E7075" w14:textId="6751B847" w:rsidR="00DB6425" w:rsidRDefault="008E6212" w:rsidP="00DB6425">
      <w:pPr>
        <w:spacing w:after="240" w:line="324" w:lineRule="exact"/>
        <w:jc w:val="left"/>
        <w:rPr>
          <w:color w:val="1F497D"/>
          <w:szCs w:val="22"/>
        </w:rPr>
      </w:pPr>
      <w:r>
        <w:t xml:space="preserve">Between August and February the concentration of DOC remained within the range observed during 2014-15 (Figure A.8), however, the influence of the multisite watering event can still be clearly seen in the data with a rise in DOC observed in September and peak in early October for the Weir and upstream sites (Zone 1 and upstream in Zone 2) and slightly later peaks in Zone 3 and 4 as the water which had been in contact with the Barmah-Millewa floodplain made its way down the system. </w:t>
      </w:r>
      <w:r w:rsidR="00DB6425" w:rsidRPr="00DB6425">
        <w:rPr>
          <w:color w:val="000000" w:themeColor="text1"/>
          <w:szCs w:val="22"/>
        </w:rPr>
        <w:t xml:space="preserve">In-channel </w:t>
      </w:r>
      <w:r w:rsidR="00DB6425">
        <w:rPr>
          <w:color w:val="000000" w:themeColor="text1"/>
          <w:szCs w:val="22"/>
        </w:rPr>
        <w:t xml:space="preserve">environmental </w:t>
      </w:r>
      <w:r w:rsidR="00DB6425" w:rsidRPr="00DB6425">
        <w:rPr>
          <w:color w:val="000000" w:themeColor="text1"/>
          <w:szCs w:val="22"/>
        </w:rPr>
        <w:t xml:space="preserve">watering actions in </w:t>
      </w:r>
      <w:r w:rsidR="00DB6425">
        <w:rPr>
          <w:color w:val="000000" w:themeColor="text1"/>
          <w:szCs w:val="22"/>
        </w:rPr>
        <w:t xml:space="preserve">Yallakool Creek and the Wakool River in </w:t>
      </w:r>
      <w:r w:rsidR="00DB6425" w:rsidRPr="00DB6425">
        <w:rPr>
          <w:color w:val="000000" w:themeColor="text1"/>
          <w:szCs w:val="22"/>
        </w:rPr>
        <w:t xml:space="preserve">previous years have not substantially </w:t>
      </w:r>
      <w:r w:rsidR="00DB6425">
        <w:rPr>
          <w:color w:val="000000" w:themeColor="text1"/>
          <w:szCs w:val="22"/>
        </w:rPr>
        <w:t>increased</w:t>
      </w:r>
      <w:r w:rsidR="00DB6425" w:rsidRPr="00DB6425">
        <w:rPr>
          <w:color w:val="000000" w:themeColor="text1"/>
          <w:szCs w:val="22"/>
        </w:rPr>
        <w:t xml:space="preserve"> the amount of DOC available to support ecosystem productivity. Upstream inputs such as those seen in Figure A.8 may be important sources of carbon to the system within the current flow constraints, and future flow events that aim to reproduce this effect will require arrangements to combine flows greater than 15-18,000 ML/day at Yarrawonga and the use of return flows from the Barmah-Millewa Forest into the Edward Wakool system. Care should be taken to ensure that these flows do not occur when warm water temperatures increase the risk of hypoxic blackwater.</w:t>
      </w:r>
    </w:p>
    <w:p w14:paraId="3B4F8D6E" w14:textId="77777777" w:rsidR="008E6212" w:rsidRDefault="008E6212" w:rsidP="008E6212">
      <w:pPr>
        <w:spacing w:after="240" w:line="324" w:lineRule="exact"/>
        <w:jc w:val="left"/>
      </w:pPr>
      <w:r>
        <w:t xml:space="preserve">The influence of this water had ended by December for the upstream sites (DOC similar to the Canal where the water bypasses the Barmah floodplain) and all sites were quite similar by January, prior to the onset of the bloom conditions. Input of DOC to the river system is required to support microbial productivity, however, it is not expected to be a contributing factor to the bloom, both due to the effect having ended prior to the bloom, and the fact that cyanobacteria are photosynthetic organisms and capable of producing their own organic </w:t>
      </w:r>
      <w:r w:rsidR="0077301B">
        <w:t>carbon</w:t>
      </w:r>
      <w:r>
        <w:t xml:space="preserve">, rather than relying on DOC as an energy source. </w:t>
      </w:r>
    </w:p>
    <w:p w14:paraId="3B4F8D6F" w14:textId="77777777" w:rsidR="008E6212" w:rsidRDefault="008E6212" w:rsidP="008E6212">
      <w:pPr>
        <w:spacing w:after="240" w:line="324" w:lineRule="exact"/>
        <w:jc w:val="left"/>
      </w:pPr>
      <w:r w:rsidRPr="000E0DDD">
        <w:rPr>
          <w:noProof/>
          <w:lang w:eastAsia="en-AU"/>
        </w:rPr>
        <w:drawing>
          <wp:anchor distT="0" distB="0" distL="114300" distR="114300" simplePos="0" relativeHeight="251651584" behindDoc="0" locked="0" layoutInCell="1" allowOverlap="1" wp14:anchorId="3B4F961C" wp14:editId="274CAFF0">
            <wp:simplePos x="0" y="0"/>
            <wp:positionH relativeFrom="margin">
              <wp:align>center</wp:align>
            </wp:positionH>
            <wp:positionV relativeFrom="paragraph">
              <wp:posOffset>232410</wp:posOffset>
            </wp:positionV>
            <wp:extent cx="5534025" cy="2395855"/>
            <wp:effectExtent l="0" t="0" r="9525" b="4445"/>
            <wp:wrapTopAndBottom/>
            <wp:docPr id="15" name="Picture 15" descr="D:\Users\jhowitt\Documents\Research projects\Wakool\LTIM\2015-16\third draft figures\update\DRAFT_DOC_all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howitt\Documents\Research projects\Wakool\LTIM\2015-16\third draft figures\update\DRAFT_DOC_allyears.pn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534025" cy="2395855"/>
                    </a:xfrm>
                    <a:prstGeom prst="rect">
                      <a:avLst/>
                    </a:prstGeom>
                    <a:noFill/>
                    <a:ln>
                      <a:noFill/>
                    </a:ln>
                  </pic:spPr>
                </pic:pic>
              </a:graphicData>
            </a:graphic>
          </wp:anchor>
        </w:drawing>
      </w:r>
    </w:p>
    <w:p w14:paraId="3B4F8D70" w14:textId="77777777" w:rsidR="008E6212" w:rsidRDefault="008E6212" w:rsidP="008E6212">
      <w:pPr>
        <w:spacing w:after="240" w:line="324" w:lineRule="exact"/>
        <w:jc w:val="left"/>
      </w:pPr>
    </w:p>
    <w:p w14:paraId="3B4F8D71" w14:textId="17F6840B" w:rsidR="008E6212" w:rsidRPr="00007169" w:rsidRDefault="008E6212" w:rsidP="00175472">
      <w:pPr>
        <w:spacing w:after="240" w:line="240" w:lineRule="auto"/>
        <w:jc w:val="left"/>
      </w:pPr>
      <w:r>
        <w:rPr>
          <w:b/>
          <w:sz w:val="20"/>
        </w:rPr>
        <w:t>Figure A.8</w:t>
      </w:r>
      <w:r w:rsidR="00945A47">
        <w:rPr>
          <w:b/>
          <w:sz w:val="20"/>
        </w:rPr>
        <w:t>.</w:t>
      </w:r>
      <w:r w:rsidRPr="003C5CB8">
        <w:rPr>
          <w:sz w:val="20"/>
        </w:rPr>
        <w:t xml:space="preserve"> Dissolved organic carbon in source water and study zones during 2014-15 and 2015-16.</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D72" w14:textId="77777777" w:rsidR="008E6212" w:rsidRDefault="008E6212" w:rsidP="008E6212">
      <w:pPr>
        <w:spacing w:after="240" w:line="324" w:lineRule="exact"/>
        <w:jc w:val="left"/>
      </w:pPr>
    </w:p>
    <w:p w14:paraId="3B4F8D73" w14:textId="77777777" w:rsidR="008E6212" w:rsidRDefault="008E6212" w:rsidP="008E6212">
      <w:pPr>
        <w:spacing w:after="240" w:line="324" w:lineRule="exact"/>
        <w:jc w:val="left"/>
      </w:pPr>
      <w:r>
        <w:t>The input of DOC by the bloom can be clearly seen in Figure A.8, with a sharp rise in DOC in early March. The detailed DOC results for all sites is shown in Figure A.9 for the whole bloom period.  Note that there is a lag between the onset of bloom conditions and the increase in DOC, as during the early phases of the bloom the carbon being produced will be contained within the cells of the cyanobacteria and it is only later that extra-cellular exudates and materials released as cells die will start to appear in the dissolved fraction.  This impact of the death of cells can be seen in the data for the Canal, where bloom collapse commenced on the 18/4/2016. Total organic carbon peaked at this site on the 11</w:t>
      </w:r>
      <w:r w:rsidRPr="00185A19">
        <w:rPr>
          <w:vertAlign w:val="superscript"/>
        </w:rPr>
        <w:t>th</w:t>
      </w:r>
      <w:r>
        <w:t xml:space="preserve">, and then a steady decline occurred after this date, however DOC peaked the following week, as the degradation of the bloom resulted in the release of dissolved organic compounds into the water, and then the DOC also declined after this period. During the bloom in the region of 50% of the TOC was particulate matter, indicating the proportion of carbon found within cells suspended in the water column. At the end of the bloom this carbon will have been distributed between the DOC in the water column, the sediments (in the form of settled particles) and incorporated into other biomass in the system. </w:t>
      </w:r>
    </w:p>
    <w:p w14:paraId="3B4F8D74" w14:textId="77777777" w:rsidR="008E6212" w:rsidRDefault="008E6212" w:rsidP="008E6212">
      <w:pPr>
        <w:spacing w:after="240" w:line="324" w:lineRule="exact"/>
        <w:jc w:val="left"/>
      </w:pPr>
    </w:p>
    <w:p w14:paraId="3B4F8D75" w14:textId="77777777" w:rsidR="008E6212" w:rsidRDefault="008E6212" w:rsidP="008E6212">
      <w:pPr>
        <w:spacing w:after="0"/>
        <w:jc w:val="center"/>
        <w:rPr>
          <w:i/>
        </w:rPr>
      </w:pPr>
      <w:r w:rsidRPr="002F353C">
        <w:rPr>
          <w:i/>
          <w:noProof/>
          <w:lang w:eastAsia="en-AU"/>
        </w:rPr>
        <w:lastRenderedPageBreak/>
        <w:drawing>
          <wp:inline distT="0" distB="0" distL="0" distR="0" wp14:anchorId="3B4F961E" wp14:editId="2F43AEC6">
            <wp:extent cx="4143375" cy="4417570"/>
            <wp:effectExtent l="0" t="0" r="0" b="2540"/>
            <wp:docPr id="10" name="Picture 10" descr="D:\Users\jhowitt\Documents\Research projects\Wakool\LTIM\2015-16\third draft figures\DRAFT_BG_DOC_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howitt\Documents\Research projects\Wakool\LTIM\2015-16\third draft figures\DRAFT_BG_DOC_TOC.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156314" cy="4431366"/>
                    </a:xfrm>
                    <a:prstGeom prst="rect">
                      <a:avLst/>
                    </a:prstGeom>
                    <a:noFill/>
                    <a:ln>
                      <a:noFill/>
                    </a:ln>
                  </pic:spPr>
                </pic:pic>
              </a:graphicData>
            </a:graphic>
          </wp:inline>
        </w:drawing>
      </w:r>
    </w:p>
    <w:p w14:paraId="3B4F8D76" w14:textId="673467EB" w:rsidR="008E6212" w:rsidRPr="003C5CB8" w:rsidRDefault="008E6212" w:rsidP="00175472">
      <w:pPr>
        <w:spacing w:after="240" w:line="240" w:lineRule="auto"/>
        <w:jc w:val="left"/>
        <w:rPr>
          <w:sz w:val="20"/>
        </w:rPr>
      </w:pPr>
      <w:r w:rsidRPr="00185B6E">
        <w:rPr>
          <w:b/>
          <w:sz w:val="20"/>
        </w:rPr>
        <w:t>F</w:t>
      </w:r>
      <w:r>
        <w:rPr>
          <w:b/>
          <w:sz w:val="20"/>
        </w:rPr>
        <w:t>igure A.</w:t>
      </w:r>
      <w:r w:rsidR="00945A47">
        <w:rPr>
          <w:b/>
          <w:sz w:val="20"/>
        </w:rPr>
        <w:t>9.</w:t>
      </w:r>
      <w:r>
        <w:rPr>
          <w:b/>
          <w:sz w:val="20"/>
        </w:rPr>
        <w:t xml:space="preserve"> </w:t>
      </w:r>
      <w:r w:rsidRPr="003C5CB8">
        <w:rPr>
          <w:sz w:val="20"/>
        </w:rPr>
        <w:t>Dissolved Organic Carbon (top) and Total Organic Carbon (bottom) for all sites during the cyanobacteria bloom</w:t>
      </w:r>
      <w:r w:rsidR="00741D16">
        <w:rPr>
          <w:sz w:val="20"/>
        </w:rPr>
        <w:t xml:space="preserve">. </w:t>
      </w:r>
    </w:p>
    <w:p w14:paraId="3B4F8D77" w14:textId="77777777" w:rsidR="008E6212" w:rsidRDefault="008E6212" w:rsidP="008E6212">
      <w:pPr>
        <w:spacing w:after="240" w:line="324" w:lineRule="exact"/>
        <w:jc w:val="left"/>
        <w:rPr>
          <w:i/>
        </w:rPr>
      </w:pPr>
      <w:r>
        <w:rPr>
          <w:i/>
        </w:rPr>
        <w:t>Nutrients</w:t>
      </w:r>
    </w:p>
    <w:p w14:paraId="3B4F8D78" w14:textId="5E6F10AA" w:rsidR="008E6212" w:rsidRDefault="008E6212" w:rsidP="008E6212">
      <w:pPr>
        <w:spacing w:after="240" w:line="324" w:lineRule="exact"/>
        <w:jc w:val="left"/>
      </w:pPr>
      <w:r>
        <w:t xml:space="preserve">The nutrient behaviour in the Edward Wakool system was complex in 2015-16 in comparison with that </w:t>
      </w:r>
      <w:r w:rsidR="006B4F6C">
        <w:t>observed</w:t>
      </w:r>
      <w:r w:rsidR="00BF41AD">
        <w:t xml:space="preserve"> </w:t>
      </w:r>
      <w:r>
        <w:t xml:space="preserve">in 2014-15, influenced predominantly by the bloom of cyanobacteria (Figures A.10- A.14). </w:t>
      </w:r>
    </w:p>
    <w:p w14:paraId="77B66D98" w14:textId="77777777" w:rsidR="00A86712" w:rsidRDefault="008E6212" w:rsidP="008E6212">
      <w:pPr>
        <w:spacing w:after="240" w:line="324" w:lineRule="exact"/>
        <w:jc w:val="left"/>
      </w:pPr>
      <w:r>
        <w:t xml:space="preserve">Figure A.10 clearly shows that the nitrogen profiles of the study zones were not impacted by the use of Commonwealth environmental water or the water from the multi-site watering having been in contact with the Barmah-Millewa forest. Any nitrogen inputs from that event have been removed by the system upstream of these sampling sites. Throughout August-February the Total Nitrogen remains around the ANZECC (2000) trigger level, as occurred in the previous year and is normal for this system. Bioavailable forms of nitrogen remain low and well below the trigger levels. Nitrogen concentrations however, are increased dramatically during the bloom period (Figure A.11). Note that TN has increased at the bloom impacted sites by 29/2/2016 but has not increased at the downstream site in Zone 2, Zone 4 or Gee Gee Bridge, consistent with the pH and turbidity data (Figure A.5) indicating that these sites were not yet experiencing bloom conditions. </w:t>
      </w:r>
    </w:p>
    <w:p w14:paraId="0E0FF156" w14:textId="77777777" w:rsidR="00A86712" w:rsidRDefault="008E6212" w:rsidP="008E6212">
      <w:pPr>
        <w:spacing w:after="240" w:line="324" w:lineRule="exact"/>
        <w:jc w:val="left"/>
      </w:pPr>
      <w:r>
        <w:lastRenderedPageBreak/>
        <w:t xml:space="preserve">On 7/03/2016 Zone 2 and Zone 4 had experienced the onset of bloom conditions (Table A.1) but pH, turbidity and TN data suggest that the impact of the bloom was still lower at the downstream sites of Zone 2 and Zone 4. Substantial increases in TN the following week correspond with large increases in biovolume at these sites.  </w:t>
      </w:r>
    </w:p>
    <w:p w14:paraId="5F84EBDE" w14:textId="77777777" w:rsidR="00A86712" w:rsidRDefault="008E6212" w:rsidP="008E6212">
      <w:pPr>
        <w:spacing w:after="240" w:line="324" w:lineRule="exact"/>
        <w:jc w:val="left"/>
      </w:pPr>
      <w:r>
        <w:t xml:space="preserve">A closer examination of the relationship between TN and the presence of cyanobacteria (Figure A.12) for three key sites also shows that at Gee Gee Bridge and the Niemur, where cyanobacteria were present but below bloom levels at the start of the algal monitoring period, the TN did not increase until the rapid increase in cyanobacteria growth also commenced. In the case of these two sites the nutrient increased slightly faster than the biomass, however the combination of upstream influences and nitrogen fixation at the site make the relationship difficult to tease apart.  </w:t>
      </w:r>
    </w:p>
    <w:p w14:paraId="3B4F8D79" w14:textId="09597D1E" w:rsidR="008E6212" w:rsidRPr="00A52587" w:rsidRDefault="008E6212" w:rsidP="008E6212">
      <w:pPr>
        <w:spacing w:after="240" w:line="324" w:lineRule="exact"/>
        <w:jc w:val="left"/>
      </w:pPr>
      <w:r>
        <w:t>It is likely that the majority of the TN increase is associated with algal biomass (note the increase in bioavailable nitrogen in the water column is much later) and that the nitrogen fixing abilities of this species of cyanobacteria are likely to explain the majority of the increase. Bioavailable nitrogen remained below the ANZECC (2000) trigger level at most sites for majority of the bloom period (Figure A.11) with a dramatic increase in ammonia at some sites and NO</w:t>
      </w:r>
      <w:r>
        <w:rPr>
          <w:vertAlign w:val="subscript"/>
        </w:rPr>
        <w:t>x</w:t>
      </w:r>
      <w:r>
        <w:t xml:space="preserve"> at most sites as the degradation of the bloom released nitrogen from cells into the water column. Note the dramatic spike in ammonia in the canal (Figure A.11) corresponds to bloom collapse and a decrease in TN (Figure A.12). With the decline of the bloom some of the additional nitrogen was released into the water column, some will have been transported downstream and a significant portion will have been incorporated into the sediments and other biomass within the system. </w:t>
      </w:r>
    </w:p>
    <w:p w14:paraId="3B4F8D7A" w14:textId="77777777" w:rsidR="008E6212" w:rsidRDefault="008E6212" w:rsidP="00175472">
      <w:pPr>
        <w:spacing w:after="120" w:line="240" w:lineRule="auto"/>
        <w:jc w:val="left"/>
        <w:rPr>
          <w:i/>
        </w:rPr>
      </w:pPr>
      <w:r>
        <w:rPr>
          <w:i/>
          <w:noProof/>
          <w:lang w:eastAsia="en-AU"/>
        </w:rPr>
        <w:lastRenderedPageBreak/>
        <w:drawing>
          <wp:inline distT="0" distB="0" distL="0" distR="0" wp14:anchorId="3B4F9620" wp14:editId="7A233987">
            <wp:extent cx="5724525" cy="763718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26013" cy="7639172"/>
                    </a:xfrm>
                    <a:prstGeom prst="rect">
                      <a:avLst/>
                    </a:prstGeom>
                    <a:noFill/>
                  </pic:spPr>
                </pic:pic>
              </a:graphicData>
            </a:graphic>
          </wp:inline>
        </w:drawing>
      </w:r>
    </w:p>
    <w:p w14:paraId="3B4F8D7B" w14:textId="3476B948" w:rsidR="008E6212" w:rsidRPr="00185B6E" w:rsidRDefault="008E6212" w:rsidP="00175472">
      <w:pPr>
        <w:spacing w:after="240" w:line="240" w:lineRule="auto"/>
        <w:jc w:val="left"/>
        <w:rPr>
          <w:sz w:val="20"/>
        </w:rPr>
      </w:pPr>
      <w:r>
        <w:rPr>
          <w:b/>
          <w:sz w:val="20"/>
        </w:rPr>
        <w:t>Figure A</w:t>
      </w:r>
      <w:r w:rsidRPr="00185B6E">
        <w:rPr>
          <w:b/>
          <w:sz w:val="20"/>
        </w:rPr>
        <w:t>.1</w:t>
      </w:r>
      <w:r>
        <w:rPr>
          <w:b/>
          <w:sz w:val="20"/>
        </w:rPr>
        <w:t>0</w:t>
      </w:r>
      <w:r w:rsidR="00945A47">
        <w:rPr>
          <w:b/>
          <w:sz w:val="20"/>
        </w:rPr>
        <w:t>.</w:t>
      </w:r>
      <w:r w:rsidRPr="00185B6E">
        <w:rPr>
          <w:sz w:val="20"/>
        </w:rPr>
        <w:t xml:space="preserve"> Total Nitrogen, nitrate + nitrite (NO</w:t>
      </w:r>
      <w:r w:rsidRPr="00185B6E">
        <w:rPr>
          <w:sz w:val="20"/>
          <w:vertAlign w:val="subscript"/>
        </w:rPr>
        <w:t>x</w:t>
      </w:r>
      <w:r w:rsidRPr="00185B6E">
        <w:rPr>
          <w:sz w:val="20"/>
        </w:rPr>
        <w:t>) and ammonia (NH</w:t>
      </w:r>
      <w:r w:rsidRPr="00185B6E">
        <w:rPr>
          <w:sz w:val="20"/>
          <w:vertAlign w:val="subscript"/>
        </w:rPr>
        <w:t>3</w:t>
      </w:r>
      <w:r w:rsidRPr="00185B6E">
        <w:rPr>
          <w:sz w:val="20"/>
        </w:rPr>
        <w:t>) for study zones during 201</w:t>
      </w:r>
      <w:r>
        <w:rPr>
          <w:sz w:val="20"/>
        </w:rPr>
        <w:t>4-15 (left) and 2015-16 (right)</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D7C" w14:textId="77777777" w:rsidR="008E6212" w:rsidRDefault="008E6212" w:rsidP="008E6212">
      <w:pPr>
        <w:spacing w:after="240"/>
        <w:jc w:val="left"/>
        <w:rPr>
          <w:i/>
        </w:rPr>
      </w:pPr>
      <w:r w:rsidRPr="00B66446">
        <w:rPr>
          <w:i/>
          <w:noProof/>
          <w:lang w:eastAsia="en-AU"/>
        </w:rPr>
        <w:lastRenderedPageBreak/>
        <w:drawing>
          <wp:inline distT="0" distB="0" distL="0" distR="0" wp14:anchorId="3B4F9622" wp14:editId="0AB24216">
            <wp:extent cx="5368018" cy="7515225"/>
            <wp:effectExtent l="0" t="0" r="4445" b="0"/>
            <wp:docPr id="451" name="Picture 451" descr="D:\Users\jhowitt\Documents\Research projects\Wakool\LTIM\2015-16\third draft figures\DRAFT_BG_TN_and_NOX_N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howitt\Documents\Research projects\Wakool\LTIM\2015-16\third draft figures\DRAFT_BG_TN_and_NOX_NH3.pn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370061" cy="7518085"/>
                    </a:xfrm>
                    <a:prstGeom prst="rect">
                      <a:avLst/>
                    </a:prstGeom>
                    <a:noFill/>
                    <a:ln>
                      <a:noFill/>
                    </a:ln>
                  </pic:spPr>
                </pic:pic>
              </a:graphicData>
            </a:graphic>
          </wp:inline>
        </w:drawing>
      </w:r>
    </w:p>
    <w:p w14:paraId="3B4F8D7D" w14:textId="77777777" w:rsidR="008E6212" w:rsidRPr="00185B6E" w:rsidRDefault="008E6212" w:rsidP="008E6212">
      <w:pPr>
        <w:spacing w:after="240"/>
        <w:jc w:val="left"/>
        <w:rPr>
          <w:sz w:val="20"/>
        </w:rPr>
      </w:pPr>
      <w:r>
        <w:rPr>
          <w:b/>
          <w:sz w:val="20"/>
        </w:rPr>
        <w:t>Figure A</w:t>
      </w:r>
      <w:r w:rsidRPr="00185B6E">
        <w:rPr>
          <w:b/>
          <w:sz w:val="20"/>
        </w:rPr>
        <w:t>.1</w:t>
      </w:r>
      <w:r>
        <w:rPr>
          <w:b/>
          <w:sz w:val="20"/>
        </w:rPr>
        <w:t>1</w:t>
      </w:r>
      <w:r w:rsidR="00945A47">
        <w:rPr>
          <w:b/>
          <w:sz w:val="20"/>
        </w:rPr>
        <w:t>.</w:t>
      </w:r>
      <w:r w:rsidRPr="00185B6E">
        <w:rPr>
          <w:sz w:val="20"/>
        </w:rPr>
        <w:t xml:space="preserve"> Total Nitrogen, nitrate + nitrite and ammonia for all sites during the algal monitoring period.</w:t>
      </w:r>
    </w:p>
    <w:p w14:paraId="3B4F8D7E" w14:textId="77777777" w:rsidR="008E6212" w:rsidRDefault="00945A47" w:rsidP="008E6212">
      <w:pPr>
        <w:spacing w:after="0" w:line="240" w:lineRule="auto"/>
        <w:jc w:val="left"/>
        <w:rPr>
          <w:i/>
        </w:rPr>
      </w:pPr>
      <w:r>
        <w:rPr>
          <w:i/>
          <w:noProof/>
          <w:lang w:eastAsia="en-AU"/>
        </w:rPr>
        <w:lastRenderedPageBreak/>
        <w:drawing>
          <wp:inline distT="0" distB="0" distL="0" distR="0" wp14:anchorId="3B4F9624" wp14:editId="3B4F9625">
            <wp:extent cx="5039360" cy="2056765"/>
            <wp:effectExtent l="0" t="0" r="889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utrients vs counts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39360" cy="2056765"/>
                    </a:xfrm>
                    <a:prstGeom prst="rect">
                      <a:avLst/>
                    </a:prstGeom>
                  </pic:spPr>
                </pic:pic>
              </a:graphicData>
            </a:graphic>
          </wp:inline>
        </w:drawing>
      </w:r>
    </w:p>
    <w:p w14:paraId="3B4F8D7F" w14:textId="77777777" w:rsidR="008E6212" w:rsidRPr="00185B6E" w:rsidRDefault="008E6212" w:rsidP="008E6212">
      <w:pPr>
        <w:spacing w:after="120" w:line="240" w:lineRule="auto"/>
        <w:jc w:val="left"/>
        <w:rPr>
          <w:sz w:val="20"/>
        </w:rPr>
      </w:pPr>
      <w:r>
        <w:rPr>
          <w:b/>
          <w:sz w:val="20"/>
        </w:rPr>
        <w:t>Figure A</w:t>
      </w:r>
      <w:r w:rsidRPr="00185B6E">
        <w:rPr>
          <w:b/>
          <w:sz w:val="20"/>
        </w:rPr>
        <w:t>.1</w:t>
      </w:r>
      <w:r>
        <w:rPr>
          <w:b/>
          <w:sz w:val="20"/>
        </w:rPr>
        <w:t>2</w:t>
      </w:r>
      <w:r w:rsidR="00945A47">
        <w:rPr>
          <w:b/>
          <w:sz w:val="20"/>
        </w:rPr>
        <w:t>.</w:t>
      </w:r>
      <w:r>
        <w:rPr>
          <w:b/>
          <w:sz w:val="20"/>
        </w:rPr>
        <w:t xml:space="preserve"> </w:t>
      </w:r>
      <w:r w:rsidRPr="00185B6E">
        <w:rPr>
          <w:sz w:val="20"/>
        </w:rPr>
        <w:t>Comparison of Total Nitrogen (left axis) and cyanobacteria counts (right axis) and Total Phosphorus with cyanobacteria counts for selected sites, showing the nutrients increasing and decreasing with the progression of the bloom.</w:t>
      </w:r>
    </w:p>
    <w:p w14:paraId="3B4F8D80" w14:textId="77777777" w:rsidR="008E6212" w:rsidRDefault="008E6212" w:rsidP="008E6212">
      <w:pPr>
        <w:spacing w:after="240"/>
        <w:jc w:val="left"/>
      </w:pPr>
    </w:p>
    <w:p w14:paraId="3B4F8D81" w14:textId="77777777" w:rsidR="008E6212" w:rsidRPr="005E0C02" w:rsidRDefault="008E6212" w:rsidP="008E6212">
      <w:pPr>
        <w:spacing w:after="120" w:line="240" w:lineRule="auto"/>
        <w:jc w:val="left"/>
      </w:pPr>
      <w:r>
        <w:rPr>
          <w:noProof/>
          <w:lang w:eastAsia="en-AU"/>
        </w:rPr>
        <w:drawing>
          <wp:inline distT="0" distB="0" distL="0" distR="0" wp14:anchorId="3B4F9626" wp14:editId="12A36373">
            <wp:extent cx="5324475" cy="46181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331193" cy="4624018"/>
                    </a:xfrm>
                    <a:prstGeom prst="rect">
                      <a:avLst/>
                    </a:prstGeom>
                    <a:noFill/>
                  </pic:spPr>
                </pic:pic>
              </a:graphicData>
            </a:graphic>
          </wp:inline>
        </w:drawing>
      </w:r>
    </w:p>
    <w:p w14:paraId="3B4F8D82" w14:textId="549C36BD" w:rsidR="008E6212" w:rsidRDefault="008E6212" w:rsidP="008E6212">
      <w:pPr>
        <w:spacing w:after="240" w:line="240" w:lineRule="auto"/>
        <w:jc w:val="left"/>
        <w:rPr>
          <w:sz w:val="20"/>
        </w:rPr>
      </w:pPr>
      <w:r w:rsidRPr="00185B6E">
        <w:rPr>
          <w:b/>
          <w:sz w:val="20"/>
        </w:rPr>
        <w:t xml:space="preserve">Figure </w:t>
      </w:r>
      <w:r>
        <w:rPr>
          <w:b/>
          <w:sz w:val="20"/>
        </w:rPr>
        <w:t>A.13</w:t>
      </w:r>
      <w:r w:rsidR="00945A47">
        <w:rPr>
          <w:b/>
          <w:sz w:val="20"/>
        </w:rPr>
        <w:t>.</w:t>
      </w:r>
      <w:r w:rsidRPr="00185B6E">
        <w:rPr>
          <w:sz w:val="20"/>
        </w:rPr>
        <w:t xml:space="preserve"> Total Phosphorus and Filterable Reactive Phosphorus in study zones during 2014-15 and 2015-16.</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D83" w14:textId="77777777" w:rsidR="008E6212" w:rsidRDefault="008E6212" w:rsidP="008E6212">
      <w:pPr>
        <w:spacing w:after="240"/>
        <w:jc w:val="left"/>
        <w:rPr>
          <w:i/>
        </w:rPr>
      </w:pPr>
      <w:r w:rsidRPr="00B66446">
        <w:rPr>
          <w:i/>
          <w:noProof/>
          <w:lang w:eastAsia="en-AU"/>
        </w:rPr>
        <w:lastRenderedPageBreak/>
        <w:drawing>
          <wp:inline distT="0" distB="0" distL="0" distR="0" wp14:anchorId="3B4F9628" wp14:editId="0A088297">
            <wp:extent cx="5351228" cy="5705355"/>
            <wp:effectExtent l="0" t="0" r="1905" b="0"/>
            <wp:docPr id="453" name="Picture 453" descr="D:\Users\jhowitt\Documents\Research projects\Wakool\LTIM\2015-16\third draft figures\DRAFT_BG_TP_and_F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jhowitt\Documents\Research projects\Wakool\LTIM\2015-16\third draft figures\DRAFT_BG_TP_and_FRP.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5375358" cy="5731082"/>
                    </a:xfrm>
                    <a:prstGeom prst="rect">
                      <a:avLst/>
                    </a:prstGeom>
                    <a:noFill/>
                    <a:ln>
                      <a:noFill/>
                    </a:ln>
                  </pic:spPr>
                </pic:pic>
              </a:graphicData>
            </a:graphic>
          </wp:inline>
        </w:drawing>
      </w:r>
    </w:p>
    <w:p w14:paraId="3B4F8D84" w14:textId="77777777" w:rsidR="008E6212" w:rsidRPr="00185B6E" w:rsidRDefault="008E6212" w:rsidP="008E6212">
      <w:pPr>
        <w:spacing w:after="240" w:line="324" w:lineRule="exact"/>
        <w:jc w:val="left"/>
        <w:rPr>
          <w:sz w:val="20"/>
        </w:rPr>
      </w:pPr>
      <w:r>
        <w:rPr>
          <w:b/>
          <w:sz w:val="20"/>
        </w:rPr>
        <w:t>Figure A</w:t>
      </w:r>
      <w:r w:rsidRPr="00185B6E">
        <w:rPr>
          <w:b/>
          <w:sz w:val="20"/>
        </w:rPr>
        <w:t>.1</w:t>
      </w:r>
      <w:r>
        <w:rPr>
          <w:b/>
          <w:sz w:val="20"/>
        </w:rPr>
        <w:t>4</w:t>
      </w:r>
      <w:r w:rsidR="00945A47">
        <w:rPr>
          <w:b/>
          <w:sz w:val="20"/>
        </w:rPr>
        <w:t>.</w:t>
      </w:r>
      <w:r w:rsidRPr="00185B6E">
        <w:rPr>
          <w:sz w:val="20"/>
        </w:rPr>
        <w:t xml:space="preserve"> Total Phosphorus and Filterable Reactive Phosphorus during the algal monitoring period for all sites.</w:t>
      </w:r>
    </w:p>
    <w:p w14:paraId="3B4F8D85" w14:textId="77777777" w:rsidR="008E6212" w:rsidRDefault="008E6212" w:rsidP="008E6212">
      <w:pPr>
        <w:spacing w:after="240" w:line="324" w:lineRule="exact"/>
        <w:jc w:val="left"/>
      </w:pPr>
    </w:p>
    <w:p w14:paraId="3B4F8D86" w14:textId="77777777" w:rsidR="008E6212" w:rsidRDefault="008E6212" w:rsidP="008E6212">
      <w:pPr>
        <w:spacing w:after="240" w:line="320" w:lineRule="exact"/>
        <w:jc w:val="left"/>
      </w:pPr>
      <w:r>
        <w:t>Phosphorus followed a similar pattern to nitrogen (Figure A.12-A.14), although the impact of the bloom conditions resulted in a much smaller change in TP concentrations as, while the cyanobacteria is an efficient phosphorus scavenger from within aquatic environments, the ability to fix nitrogen from the atmosphere effectively allows for importation of that nutrient from outside the aquatic ecosystem. Increases and decreases in TP during the bloom conditions likely reflect the incorporation of P into the biomass keeping material in the water column which may normally settle out in association with particles. Readily bioavailable forms of P remained low throughout the field season and were not impacted by either Commonwealth environmental water or the cyanobacteria bloom.</w:t>
      </w:r>
    </w:p>
    <w:p w14:paraId="3B4F8D87" w14:textId="77777777" w:rsidR="008E6212" w:rsidRPr="00832463" w:rsidRDefault="008E6212" w:rsidP="008E6212">
      <w:pPr>
        <w:spacing w:after="240" w:line="320" w:lineRule="exact"/>
        <w:jc w:val="left"/>
      </w:pPr>
      <w:r>
        <w:lastRenderedPageBreak/>
        <w:t>The influence of the bloom in driving the TN and TP concentrations, rather than a flush of nutrients from upstream driving the bloom is also supported by cases where the downstream sites have higher nutrient concentrations than the sites upstream of them (compare Niemur to Colligen Creek throughout the bloom period and Zone 4 downstream with other Zones in mid March, Figure A.11 and A.14).</w:t>
      </w:r>
    </w:p>
    <w:p w14:paraId="3B4F8D88" w14:textId="77777777" w:rsidR="008E6212" w:rsidRPr="00062980" w:rsidRDefault="008E6212" w:rsidP="008E6212">
      <w:pPr>
        <w:spacing w:after="240" w:line="320" w:lineRule="exact"/>
        <w:jc w:val="left"/>
      </w:pPr>
    </w:p>
    <w:p w14:paraId="3B4F8D89" w14:textId="77777777" w:rsidR="008E6212" w:rsidRPr="008B2035" w:rsidRDefault="008E6212" w:rsidP="008E6212">
      <w:pPr>
        <w:spacing w:after="240" w:line="320" w:lineRule="exact"/>
        <w:jc w:val="left"/>
        <w:rPr>
          <w:i/>
        </w:rPr>
      </w:pPr>
      <w:r w:rsidRPr="008B2035">
        <w:rPr>
          <w:i/>
        </w:rPr>
        <w:t>Carbon Characterisation</w:t>
      </w:r>
    </w:p>
    <w:p w14:paraId="3B4F8D8A" w14:textId="77777777" w:rsidR="008E6212" w:rsidRDefault="008E6212" w:rsidP="008E6212">
      <w:pPr>
        <w:spacing w:after="240" w:line="320" w:lineRule="exact"/>
        <w:jc w:val="left"/>
      </w:pPr>
      <w:r>
        <w:t>The use of spectroscopic analysis provides key information on how the composition of the dissolved organic carbon changed over the course of the 2015-16 field season and how the algal bloom not only increased the amount of DOC (as was shown in Figures A.8 and A.9) but made important modifications to the types of molecules dominating the carbon dissolved in these rivers.</w:t>
      </w:r>
    </w:p>
    <w:p w14:paraId="3B4F8D8B" w14:textId="77777777" w:rsidR="008E6212" w:rsidRDefault="008E6212" w:rsidP="008E6212">
      <w:pPr>
        <w:spacing w:after="240" w:line="320" w:lineRule="exact"/>
        <w:jc w:val="left"/>
      </w:pPr>
      <w:r>
        <w:t xml:space="preserve">Absorbance scans of filtered water samples indicate the proportion of ultraviolet or visible light absorbed at each wavelength (measured on a logarithmic scale).  Figure A.15 shows the absorbance scans for source water and all four zones in August-December 2015. In August it is clear that all sites are quite similar in both the amount and mixture of dissolved organic carbon (scans are similar in both height and shape). In September the influence of the multi-site watering event can be seen beginning to enter the system but this influence has not yet reached Zone 4 or the downstream sampling site in Zone 2 (where low flow rates result in changes in water quality taking longer to make their way down the zone). By the end of October all zones have very similar carbon profiles, matching those of the source water from the weir, while the difference between these and the </w:t>
      </w:r>
      <w:r w:rsidR="0077301B">
        <w:t>canal</w:t>
      </w:r>
      <w:r>
        <w:t xml:space="preserve"> show the influence of contact with the floodplain.  The increase in absorbance across a range of wavelengths suggests DOC of a wide variety of molecular sizes has been added to the system. In November and December the influence of the watering decreases with the effect lingering in Zone 2 (downstream) and Zone 4 and the broader peak around 250 nm suggesting that larger molecules still persist in this system (likely humic and fulvic acids).  </w:t>
      </w:r>
    </w:p>
    <w:p w14:paraId="3B4F8D8C" w14:textId="77777777" w:rsidR="008E6212" w:rsidRDefault="008E6212" w:rsidP="008E6212">
      <w:pPr>
        <w:spacing w:after="240" w:line="324" w:lineRule="exact"/>
        <w:jc w:val="left"/>
      </w:pPr>
    </w:p>
    <w:p w14:paraId="3B4F8D8D" w14:textId="77777777" w:rsidR="008E6212" w:rsidRDefault="008E6212" w:rsidP="008E6212">
      <w:pPr>
        <w:spacing w:after="240"/>
        <w:jc w:val="left"/>
        <w:rPr>
          <w:b/>
          <w:sz w:val="20"/>
        </w:rPr>
      </w:pPr>
      <w:r w:rsidRPr="00C218FC">
        <w:rPr>
          <w:noProof/>
          <w:lang w:eastAsia="en-AU"/>
        </w:rPr>
        <w:lastRenderedPageBreak/>
        <w:drawing>
          <wp:inline distT="0" distB="0" distL="0" distR="0" wp14:anchorId="3B4F962A" wp14:editId="20AD17ED">
            <wp:extent cx="5477830" cy="6991350"/>
            <wp:effectExtent l="0" t="0" r="8890" b="0"/>
            <wp:docPr id="454" name="Picture 454" descr="D:\Users\jhowitt\Documents\Research projects\Wakool\LTIM\2015-16\absorbance\Absorbance August Dec upda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howitt\Documents\Research projects\Wakool\LTIM\2015-16\absorbance\Absorbance August Dec updated2.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482204" cy="6996933"/>
                    </a:xfrm>
                    <a:prstGeom prst="rect">
                      <a:avLst/>
                    </a:prstGeom>
                    <a:noFill/>
                    <a:ln>
                      <a:noFill/>
                    </a:ln>
                  </pic:spPr>
                </pic:pic>
              </a:graphicData>
            </a:graphic>
          </wp:inline>
        </w:drawing>
      </w:r>
    </w:p>
    <w:p w14:paraId="3B4F8D8E" w14:textId="77777777" w:rsidR="008E6212" w:rsidRPr="00185B6E" w:rsidRDefault="008E6212" w:rsidP="008E6212">
      <w:pPr>
        <w:spacing w:after="240"/>
        <w:jc w:val="left"/>
        <w:rPr>
          <w:sz w:val="20"/>
        </w:rPr>
      </w:pPr>
      <w:r>
        <w:rPr>
          <w:b/>
          <w:sz w:val="20"/>
        </w:rPr>
        <w:t>Figure A</w:t>
      </w:r>
      <w:r w:rsidRPr="00185B6E">
        <w:rPr>
          <w:b/>
          <w:sz w:val="20"/>
        </w:rPr>
        <w:t>.1</w:t>
      </w:r>
      <w:r>
        <w:rPr>
          <w:b/>
          <w:sz w:val="20"/>
        </w:rPr>
        <w:t>5</w:t>
      </w:r>
      <w:r w:rsidR="00945A47">
        <w:rPr>
          <w:b/>
          <w:sz w:val="20"/>
        </w:rPr>
        <w:t>.</w:t>
      </w:r>
      <w:r w:rsidRPr="00185B6E">
        <w:rPr>
          <w:sz w:val="20"/>
        </w:rPr>
        <w:t xml:space="preserve"> Absorbance scans for source water and study zones from August-December 2015.</w:t>
      </w:r>
    </w:p>
    <w:p w14:paraId="3B4F8D8F" w14:textId="77777777" w:rsidR="008E6212" w:rsidRDefault="008E6212" w:rsidP="008E6212">
      <w:pPr>
        <w:spacing w:after="240"/>
        <w:jc w:val="left"/>
      </w:pPr>
    </w:p>
    <w:p w14:paraId="3B4F8D90" w14:textId="77777777" w:rsidR="008E6212" w:rsidRDefault="008E6212" w:rsidP="008E6212">
      <w:pPr>
        <w:spacing w:after="240"/>
        <w:jc w:val="left"/>
      </w:pPr>
      <w:r w:rsidRPr="00FC7AF5">
        <w:rPr>
          <w:noProof/>
          <w:lang w:eastAsia="en-AU"/>
        </w:rPr>
        <w:lastRenderedPageBreak/>
        <w:drawing>
          <wp:inline distT="0" distB="0" distL="0" distR="0" wp14:anchorId="3B4F962C" wp14:editId="5F6F02D1">
            <wp:extent cx="5496878" cy="6934200"/>
            <wp:effectExtent l="0" t="0" r="8890" b="0"/>
            <wp:docPr id="455" name="Picture 455" descr="D:\Users\jhowitt\Documents\Research projects\Wakool\LTIM\2015-16\absorbance\Selected absorbance Jan-M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howitt\Documents\Research projects\Wakool\LTIM\2015-16\absorbance\Selected absorbance Jan-May3.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498540" cy="6936297"/>
                    </a:xfrm>
                    <a:prstGeom prst="rect">
                      <a:avLst/>
                    </a:prstGeom>
                    <a:noFill/>
                    <a:ln>
                      <a:noFill/>
                    </a:ln>
                  </pic:spPr>
                </pic:pic>
              </a:graphicData>
            </a:graphic>
          </wp:inline>
        </w:drawing>
      </w:r>
    </w:p>
    <w:p w14:paraId="3B4F8D91" w14:textId="2899D1FC" w:rsidR="008E6212" w:rsidRPr="00185B6E" w:rsidRDefault="008E6212" w:rsidP="00741D16">
      <w:pPr>
        <w:spacing w:after="240" w:line="240" w:lineRule="auto"/>
        <w:jc w:val="left"/>
        <w:rPr>
          <w:sz w:val="20"/>
        </w:rPr>
      </w:pPr>
      <w:r>
        <w:rPr>
          <w:b/>
          <w:sz w:val="20"/>
        </w:rPr>
        <w:t>Figure A</w:t>
      </w:r>
      <w:r w:rsidRPr="00185B6E">
        <w:rPr>
          <w:b/>
          <w:sz w:val="20"/>
        </w:rPr>
        <w:t>.1</w:t>
      </w:r>
      <w:r>
        <w:rPr>
          <w:b/>
          <w:sz w:val="20"/>
        </w:rPr>
        <w:t>6</w:t>
      </w:r>
      <w:r w:rsidR="00945A47">
        <w:rPr>
          <w:b/>
          <w:sz w:val="20"/>
        </w:rPr>
        <w:t>.</w:t>
      </w:r>
      <w:r w:rsidRPr="00185B6E">
        <w:rPr>
          <w:sz w:val="20"/>
        </w:rPr>
        <w:t xml:space="preserve"> Absorbance scans for all study sites on selected dates from January-May 2016.</w:t>
      </w:r>
      <w:r w:rsidR="00741D16">
        <w:rPr>
          <w:sz w:val="20"/>
        </w:rPr>
        <w:t xml:space="preserve"> </w:t>
      </w:r>
    </w:p>
    <w:p w14:paraId="3B4F8D92" w14:textId="77777777" w:rsidR="008E6212" w:rsidRDefault="008E6212" w:rsidP="008E6212">
      <w:pPr>
        <w:spacing w:after="240" w:line="324" w:lineRule="exact"/>
        <w:jc w:val="left"/>
      </w:pPr>
    </w:p>
    <w:p w14:paraId="3B4F8D93" w14:textId="77777777" w:rsidR="008E6212" w:rsidRDefault="008E6212" w:rsidP="008E6212">
      <w:pPr>
        <w:spacing w:after="0" w:line="240" w:lineRule="auto"/>
        <w:jc w:val="left"/>
      </w:pPr>
      <w:r>
        <w:br w:type="page"/>
      </w:r>
    </w:p>
    <w:p w14:paraId="3B4F8D94" w14:textId="77777777" w:rsidR="008E6212" w:rsidRDefault="008E6212" w:rsidP="008E6212">
      <w:pPr>
        <w:spacing w:after="240" w:line="324" w:lineRule="exact"/>
        <w:jc w:val="left"/>
      </w:pPr>
      <w:r>
        <w:lastRenderedPageBreak/>
        <w:t xml:space="preserve">Representative absorbance scans for January-May are shown in Figure A.16. Scans in January and February are broadly consistent with what would be expected in this system in summer under normal in-channel flow conditions. Note that the scans for 15/02/2016 are not all exactly the same shape, suggesting that the mixture of organic molecules differs between sites. The more upstream sites are flatter in the 250 nm region and then steeper towards the left of the graph, which may suggest an increased proportion of smaller molecules. The scans from March and mid-April are much more uniform and the absorbances lower than would have been expected from similar amounts of DOC in the spring. In late April the canal scan suggests a major input of DOC relative to the other sites (this was two weeks after the actual spike in DOC in the canal). At the end of May some sites have very steep scan profiles, suggesting a dominance of small molecules (e.g. Zone 2 upstream), but the height of the absorbance scans would be interpreted to imply that the amount of DOC had remained fairly consistent throughout March-May when it is know that the DOC concentration varied considerably over this period.  The amount of light absorbed by a molecule of organic matter varies with the size of the molecule, bonding (presence of double bonds and ring structures) and other structural and water chemistry effects.  </w:t>
      </w:r>
    </w:p>
    <w:p w14:paraId="3B4F8D95" w14:textId="200798E0" w:rsidR="008E6212" w:rsidRDefault="008E6212" w:rsidP="008E6212">
      <w:pPr>
        <w:spacing w:after="240" w:line="324" w:lineRule="exact"/>
        <w:jc w:val="left"/>
      </w:pPr>
      <w:r>
        <w:t xml:space="preserve">The relationship between absorbance and DOC has been used </w:t>
      </w:r>
      <w:r w:rsidR="00E50AD5">
        <w:t>in the Edward-Wakool system</w:t>
      </w:r>
      <w:r>
        <w:t xml:space="preserve"> as an early warning of high carbon loads (absorbance results are available much more quickly than DOC analyses), and clearly during the multi-site watering the absorbance scans were responsive to changes in DOC.  Figure A.17 examines the relationship between absorbance and DOC at two wavelengths in the ultraviolet spectrum. 250 nm (or 254 nm) is often used as a marker of DOC, although establishing a calibration in one catchment is not suitable for predicting DOC concentration in another </w:t>
      </w:r>
      <w:r w:rsidR="000B5FD7">
        <w:fldChar w:fldCharType="begin"/>
      </w:r>
      <w:r>
        <w:instrText xml:space="preserve"> ADDIN EN.CITE &lt;EndNote&gt;&lt;Cite&gt;&lt;Author&gt;Baldwin&lt;/Author&gt;&lt;Year&gt;2015&lt;/Year&gt;&lt;RecNum&gt;1689&lt;/RecNum&gt;&lt;DisplayText&gt;(Baldwin and Valo 2015)&lt;/DisplayText&gt;&lt;record&gt;&lt;rec-number&gt;1689&lt;/rec-number&gt;&lt;foreign-keys&gt;&lt;key app="EN" db-id="s29ddxw9p900s9ef22lv2wprd9wr9rtp20ps" timestamp="1422828095"&gt;1689&lt;/key&gt;&lt;/foreign-keys&gt;&lt;ref-type name="Journal Article"&gt;17&lt;/ref-type&gt;&lt;contributors&gt;&lt;authors&gt;&lt;author&gt;Baldwin, Darren S.&lt;/author&gt;&lt;author&gt;Valo, William&lt;/author&gt;&lt;/authors&gt;&lt;/contributors&gt;&lt;titles&gt;&lt;title&gt;Exploring the relationship between the optical properties of water and the quality and quantity of dissolved organic carbon in aquatic ecosystems: strong correlations do not always mean strong predictive power&lt;/title&gt;&lt;secondary-title&gt;Environmental Science: Processes &amp;amp; Impacts&lt;/secondary-title&gt;&lt;/titles&gt;&lt;periodical&gt;&lt;full-title&gt;Environmental Science: Processes &amp;amp; Impacts&lt;/full-title&gt;&lt;/periodical&gt;&lt;dates&gt;&lt;year&gt;2015&lt;/year&gt;&lt;/dates&gt;&lt;publisher&gt;The Royal Society of Chemistry&lt;/publisher&gt;&lt;isbn&gt;2050-7887&lt;/isbn&gt;&lt;work-type&gt;10.1039/C4EM00473F&lt;/work-type&gt;&lt;urls&gt;&lt;related-urls&gt;&lt;url&gt;http://dx.doi.org/10.1039/C4EM00473F&lt;/url&gt;&lt;/related-urls&gt;&lt;/urls&gt;&lt;electronic-resource-num&gt;10.1039/C4EM00473F&lt;/electronic-resource-num&gt;&lt;/record&gt;&lt;/Cite&gt;&lt;/EndNote&gt;</w:instrText>
      </w:r>
      <w:r w:rsidR="000B5FD7">
        <w:fldChar w:fldCharType="separate"/>
      </w:r>
      <w:r>
        <w:rPr>
          <w:noProof/>
        </w:rPr>
        <w:t>(Baldwin and Valo 2015)</w:t>
      </w:r>
      <w:r w:rsidR="000B5FD7">
        <w:fldChar w:fldCharType="end"/>
      </w:r>
      <w:r>
        <w:t>. In this field season we have two dominant sources of DOC- floodplain organic matter from upstream (dominant in August-January) and algal DOC (dominant in March-May). Data from mid-February is plotted separately to check for early influence of algal carbon before full bloom conditions. While there is a reasonable amount of scatter in the August-January data (shown in red) there is a clear trend to increased absorbance with increased DOC at both 200 nm and 250 nm. Absorbance at 200 nm is generally more affected by scatter and interference so 250 nm is usually considered a better indicator of DOC. During this period an increase of 2 mg C/L would increase the absorbance at 200 nm by 0.12 and at 250 nm by 0.06. However, during the bloom there is considerably greater scatter in the trend and an increase of 2 mg C/L would be expected to increase absorbance at 200 nm by only 0.03 and at 250 nm by 0.01. In other words, the technique is 4 times more sensitive to floodplain dominated carbon at 200 nm and 6 times more sensitive at 250 nm. This indicates two things- the difference in sensitivity between the wavelengths indicates that the algal carbon is heavily dominated by small molecules with rela</w:t>
      </w:r>
      <w:r>
        <w:lastRenderedPageBreak/>
        <w:t>tively simple structure that absorb only weakly, and that under these circumstances absorbance spectroscopy is a poor early warning technique for high carbon loading in the river.</w:t>
      </w:r>
    </w:p>
    <w:p w14:paraId="3B4F8D96" w14:textId="77777777" w:rsidR="008E6212" w:rsidRPr="00A55D31" w:rsidRDefault="008E6212" w:rsidP="008E6212">
      <w:pPr>
        <w:spacing w:after="240" w:line="240" w:lineRule="auto"/>
        <w:jc w:val="left"/>
      </w:pPr>
      <w:r w:rsidRPr="00ED7843">
        <w:rPr>
          <w:noProof/>
          <w:lang w:eastAsia="en-AU"/>
        </w:rPr>
        <w:drawing>
          <wp:inline distT="0" distB="0" distL="0" distR="0" wp14:anchorId="3B4F962E" wp14:editId="4FF43A4F">
            <wp:extent cx="5591175" cy="2355673"/>
            <wp:effectExtent l="0" t="0" r="0" b="6985"/>
            <wp:docPr id="456" name="Picture 456" descr="D:\Users\jhowitt\Documents\Research projects\Wakool\LTIM\2015-16\absorbance\ABs vs D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jhowitt\Documents\Research projects\Wakool\LTIM\2015-16\absorbance\ABs vs DOC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5597250" cy="2358232"/>
                    </a:xfrm>
                    <a:prstGeom prst="rect">
                      <a:avLst/>
                    </a:prstGeom>
                    <a:noFill/>
                    <a:ln>
                      <a:noFill/>
                    </a:ln>
                  </pic:spPr>
                </pic:pic>
              </a:graphicData>
            </a:graphic>
          </wp:inline>
        </w:drawing>
      </w:r>
      <w:r>
        <w:rPr>
          <w:b/>
          <w:sz w:val="20"/>
        </w:rPr>
        <w:t>Figure A</w:t>
      </w:r>
      <w:r w:rsidRPr="00185B6E">
        <w:rPr>
          <w:b/>
          <w:sz w:val="20"/>
        </w:rPr>
        <w:t>.1</w:t>
      </w:r>
      <w:r>
        <w:rPr>
          <w:b/>
          <w:sz w:val="20"/>
        </w:rPr>
        <w:t>7</w:t>
      </w:r>
      <w:r w:rsidR="00945A47">
        <w:rPr>
          <w:sz w:val="20"/>
        </w:rPr>
        <w:t>.</w:t>
      </w:r>
      <w:r>
        <w:rPr>
          <w:sz w:val="20"/>
        </w:rPr>
        <w:t xml:space="preserve"> </w:t>
      </w:r>
      <w:r w:rsidRPr="00185B6E">
        <w:rPr>
          <w:sz w:val="20"/>
        </w:rPr>
        <w:t>Relationship between absorbance and dissolved organic carbon concentration at 200 nm and 250 nm showing the dramatic difference in the optical properties of the organic matter during the bloom of cyanobacteria.</w:t>
      </w:r>
    </w:p>
    <w:p w14:paraId="3B4F8D97" w14:textId="77777777" w:rsidR="008E6212" w:rsidRDefault="008E6212" w:rsidP="008E6212">
      <w:pPr>
        <w:spacing w:after="240"/>
        <w:jc w:val="left"/>
      </w:pPr>
    </w:p>
    <w:p w14:paraId="3B4F8D98" w14:textId="77777777" w:rsidR="008E6212" w:rsidRPr="00185B6E" w:rsidRDefault="008E6212" w:rsidP="008E6212">
      <w:pPr>
        <w:spacing w:after="240" w:line="324" w:lineRule="exact"/>
        <w:jc w:val="left"/>
        <w:rPr>
          <w:i/>
        </w:rPr>
      </w:pPr>
      <w:r w:rsidRPr="00185B6E">
        <w:rPr>
          <w:i/>
        </w:rPr>
        <w:t>Fluorescence</w:t>
      </w:r>
    </w:p>
    <w:p w14:paraId="3B4F8D99" w14:textId="77777777" w:rsidR="008E6212" w:rsidRDefault="008E6212" w:rsidP="008E6212">
      <w:pPr>
        <w:spacing w:after="240" w:line="324" w:lineRule="exact"/>
        <w:jc w:val="left"/>
      </w:pPr>
      <w:r>
        <w:t xml:space="preserve">In August the fluorescence of water samples was low and sites were very similar to each other (data not shown). In September the downstream sites were unchanged (see Gee Gee Bridge in Figure A.18 as a representative sample). Water from the weir and as far downstream as Zone 3 (except the downstream site in Zone 2) was showing small increases in fluorescence in the humic and fulvic acid regions (bands of emissions around 450 nm), suggesting a small amount of organic matter from the floodplain upstream had been introduced into the system. The broad nature of these peaks suggest a range of molecular sizes contributing to these peaks. Weak fluorescence was also present in the aromatic protein region (Excitation 250 nm, Emission 300 nm). Note that while increased fluorescence is seen in Zone 3, it is not present at the downstream site in Zone 2, indicating faster transit of the water through the Yallakool Creek. </w:t>
      </w:r>
    </w:p>
    <w:p w14:paraId="3B4F8D9A" w14:textId="77777777" w:rsidR="008E6212" w:rsidRDefault="008E6212" w:rsidP="008E6212">
      <w:pPr>
        <w:spacing w:after="240" w:line="324" w:lineRule="exact"/>
        <w:jc w:val="left"/>
      </w:pPr>
      <w:r>
        <w:t xml:space="preserve">Fluorescence scans in early October (Figure A.19) clearly show the influence of the multi-site watering, although the effect is less at the downstream end of Zone 4 and minimal at Gee Gee Bridge. The aromatic protein region of the scans is relatively unchanged compared to water in the canal, however the humic and fulvic regions have strong fluorescence, indicating that the carbon exported from the Barmah-Millewa floodplain is dominated by these large complex molecules (smaller molecules may have been consumed further upstream in the system). Late October (Figure A.20) shows a weakening influence of these molecules and the fluorescence is fairly consistent although still slightly lower at the downstream sites. By the end of November (Figure A.21) there is a weak </w:t>
      </w:r>
      <w:r>
        <w:lastRenderedPageBreak/>
        <w:t>persistence of humic and fulvic fluorescence at downstream zones and at the downstream site of Zone 2, suggesting that complex organic matter is retained longer at this site due to low flows and that water quality in Zone 3 is influenced more strongly by that entering from Zone 1 (due to the higher flow from this zone).</w:t>
      </w:r>
    </w:p>
    <w:p w14:paraId="3B4F8D9B" w14:textId="77777777" w:rsidR="008E6212" w:rsidRDefault="008E6212" w:rsidP="008E6212">
      <w:pPr>
        <w:spacing w:after="240" w:line="324" w:lineRule="exact"/>
        <w:jc w:val="left"/>
      </w:pPr>
      <w:r>
        <w:t>By the 20</w:t>
      </w:r>
      <w:r w:rsidRPr="008A7672">
        <w:rPr>
          <w:vertAlign w:val="superscript"/>
        </w:rPr>
        <w:t>th</w:t>
      </w:r>
      <w:r>
        <w:t xml:space="preserve"> of December the fluorescence at most sites was similar and lower than was observed in November. The weir and canal and Yallakool upstream sites were similar to the base levels observed in August and the other sites remained slightly higher, with the downstream site in Zone 2 having marginally higher fluorescence than the other downstream sites (data not shown). In January the pattern was consistent with December, with fluorescence further lowered at all sites.</w:t>
      </w:r>
    </w:p>
    <w:p w14:paraId="3B4F8D9C" w14:textId="77777777" w:rsidR="008E6212" w:rsidRPr="00FF7A9A" w:rsidRDefault="008E6212" w:rsidP="008E6212">
      <w:pPr>
        <w:pStyle w:val="CommentText"/>
        <w:spacing w:after="240" w:line="324" w:lineRule="exact"/>
        <w:jc w:val="left"/>
        <w:rPr>
          <w:rFonts w:asciiTheme="minorHAnsi" w:hAnsiTheme="minorHAnsi"/>
          <w:sz w:val="22"/>
          <w:szCs w:val="22"/>
        </w:rPr>
      </w:pPr>
      <w:r>
        <w:rPr>
          <w:rFonts w:asciiTheme="minorHAnsi" w:hAnsiTheme="minorHAnsi"/>
          <w:sz w:val="22"/>
          <w:szCs w:val="22"/>
        </w:rPr>
        <w:t>Figure A.22</w:t>
      </w:r>
      <w:r w:rsidRPr="00FF7A9A">
        <w:rPr>
          <w:rFonts w:asciiTheme="minorHAnsi" w:hAnsiTheme="minorHAnsi"/>
          <w:sz w:val="22"/>
          <w:szCs w:val="22"/>
        </w:rPr>
        <w:t xml:space="preserve"> shows fluorescence scans for key sampling sites on selected dates throughout the period of intensive monitoring of the bloom of cyanobacteria. Sampling sites and dates are selected based on DOC results to cover the broadest range in DOC over this period. Similar to the trend in the absorbance spectroscopy, the difference in fluorescence measured across these samples is much lower than would normally be expected, reinforcing the evidence for a dramatic shift in the type of organic matter to small molecules that do not fluoresce. Based on DOC concentration the downstream site in Zone 2 should have been separating from other sites throughout March, with a peak on the 28/3/2016, however only very subtle differences are present.</w:t>
      </w:r>
      <w:r>
        <w:rPr>
          <w:rFonts w:asciiTheme="minorHAnsi" w:hAnsiTheme="minorHAnsi"/>
          <w:sz w:val="22"/>
          <w:szCs w:val="22"/>
        </w:rPr>
        <w:t xml:space="preserve"> On 25/4/2016 the fluorescence properties of water from the canal was dramatically different to other sites, but consistent with the absorbance results. This result may be indicative of changes is DOC chemistry occurring as part of the degradation process of the bloom, which was well underway at that time, but the effect was only found on one sampling occasion.  On the same date a peak in fluorescence was observed at the Niemur, suggesting input of larger but relatively bioavailable carbon. Neither of these results correlate with the amount of DOC at the sites relative to the other sites sampled that day, but indicate a transient change in the type of organic matter present.</w:t>
      </w:r>
    </w:p>
    <w:p w14:paraId="3B4F8D9D" w14:textId="77777777" w:rsidR="008E6212" w:rsidRDefault="008E6212" w:rsidP="008E6212">
      <w:pPr>
        <w:spacing w:after="240"/>
        <w:jc w:val="left"/>
      </w:pPr>
    </w:p>
    <w:p w14:paraId="3B4F8D9E" w14:textId="77777777" w:rsidR="008E6212" w:rsidRPr="00A55D31" w:rsidRDefault="008E6212" w:rsidP="00175472">
      <w:pPr>
        <w:spacing w:after="240" w:line="240" w:lineRule="auto"/>
        <w:jc w:val="left"/>
        <w:rPr>
          <w:b/>
          <w:sz w:val="20"/>
        </w:rPr>
      </w:pPr>
      <w:r w:rsidRPr="009A1927">
        <w:rPr>
          <w:noProof/>
          <w:lang w:eastAsia="en-AU"/>
        </w:rPr>
        <w:lastRenderedPageBreak/>
        <w:drawing>
          <wp:inline distT="0" distB="0" distL="0" distR="0" wp14:anchorId="3B4F9630" wp14:editId="1BF1EC45">
            <wp:extent cx="5536565" cy="7429500"/>
            <wp:effectExtent l="0" t="0" r="6985" b="0"/>
            <wp:docPr id="457" name="Picture 457" descr="D:\Users\jhowitt\Documents\Research projects\Wakool\LTIM\2015-16\15-16 Fluoro\Report figures\Septemb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jhowitt\Documents\Research projects\Wakool\LTIM\2015-16\15-16 Fluoro\Report figures\September 2.JPG"/>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b="4989"/>
                    <a:stretch/>
                  </pic:blipFill>
                  <pic:spPr bwMode="auto">
                    <a:xfrm>
                      <a:off x="0" y="0"/>
                      <a:ext cx="5538399" cy="7431961"/>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Figure A</w:t>
      </w:r>
      <w:r w:rsidRPr="00C82224">
        <w:rPr>
          <w:b/>
          <w:sz w:val="20"/>
        </w:rPr>
        <w:t>.1</w:t>
      </w:r>
      <w:r>
        <w:rPr>
          <w:b/>
          <w:sz w:val="20"/>
        </w:rPr>
        <w:t>8</w:t>
      </w:r>
      <w:r w:rsidR="00945A47">
        <w:rPr>
          <w:b/>
          <w:sz w:val="20"/>
        </w:rPr>
        <w:t>.</w:t>
      </w:r>
      <w:r w:rsidRPr="00C82224">
        <w:rPr>
          <w:sz w:val="20"/>
        </w:rPr>
        <w:t xml:space="preserve"> Fluorescence in source water and study zones 4/09/2015. Gee Gee Bridge is included to track the downstream influence of the water.</w:t>
      </w:r>
    </w:p>
    <w:p w14:paraId="3B4F8D9F" w14:textId="77777777" w:rsidR="008E6212" w:rsidRPr="00C82224" w:rsidRDefault="008E6212" w:rsidP="008E6212">
      <w:pPr>
        <w:spacing w:after="240"/>
        <w:jc w:val="left"/>
      </w:pPr>
      <w:r w:rsidRPr="00F02200">
        <w:rPr>
          <w:noProof/>
          <w:lang w:eastAsia="en-AU"/>
        </w:rPr>
        <w:lastRenderedPageBreak/>
        <w:drawing>
          <wp:inline distT="0" distB="0" distL="0" distR="0" wp14:anchorId="3B4F9632" wp14:editId="341ACC9A">
            <wp:extent cx="5590540" cy="7458075"/>
            <wp:effectExtent l="0" t="0" r="0" b="9525"/>
            <wp:docPr id="458" name="Picture 458" descr="D:\Users\jhowitt\Documents\Research projects\Wakool\LTIM\2015-16\15-16 Fluoro\Report figures\Oct 3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jhowitt\Documents\Research projects\Wakool\LTIM\2015-16\15-16 Fluoro\Report figures\Oct 3rd 2.JP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b="5545"/>
                    <a:stretch/>
                  </pic:blipFill>
                  <pic:spPr bwMode="auto">
                    <a:xfrm>
                      <a:off x="0" y="0"/>
                      <a:ext cx="5592070" cy="7460116"/>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Figure A.19</w:t>
      </w:r>
      <w:r w:rsidR="00945A47">
        <w:rPr>
          <w:b/>
          <w:sz w:val="20"/>
        </w:rPr>
        <w:t>.</w:t>
      </w:r>
      <w:r w:rsidRPr="00C82224">
        <w:rPr>
          <w:sz w:val="20"/>
        </w:rPr>
        <w:t xml:space="preserve"> Fluorescence in study zones and sources 3/10/2015</w:t>
      </w:r>
    </w:p>
    <w:p w14:paraId="3B4F8DA0" w14:textId="77777777" w:rsidR="008E6212" w:rsidRPr="00C82224" w:rsidRDefault="008E6212" w:rsidP="008E6212">
      <w:pPr>
        <w:spacing w:after="240"/>
        <w:jc w:val="left"/>
      </w:pPr>
      <w:r w:rsidRPr="00B24F91">
        <w:rPr>
          <w:noProof/>
          <w:lang w:eastAsia="en-AU"/>
        </w:rPr>
        <w:lastRenderedPageBreak/>
        <w:drawing>
          <wp:inline distT="0" distB="0" distL="0" distR="0" wp14:anchorId="3B4F9634" wp14:editId="69C057D4">
            <wp:extent cx="5678170" cy="7572375"/>
            <wp:effectExtent l="0" t="0" r="0" b="9525"/>
            <wp:docPr id="459" name="Picture 459" descr="D:\Users\jhowitt\Documents\Research projects\Wakool\LTIM\2015-16\15-16 Fluoro\Report figures\Oct 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jhowitt\Documents\Research projects\Wakool\LTIM\2015-16\15-16 Fluoro\Report figures\Oct 30 2.JPG"/>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b="5577"/>
                    <a:stretch/>
                  </pic:blipFill>
                  <pic:spPr bwMode="auto">
                    <a:xfrm>
                      <a:off x="0" y="0"/>
                      <a:ext cx="5679972" cy="7574778"/>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Figure A</w:t>
      </w:r>
      <w:r w:rsidRPr="00C82224">
        <w:rPr>
          <w:b/>
          <w:sz w:val="20"/>
        </w:rPr>
        <w:t>.2</w:t>
      </w:r>
      <w:r>
        <w:rPr>
          <w:b/>
          <w:sz w:val="20"/>
        </w:rPr>
        <w:t>0</w:t>
      </w:r>
      <w:r w:rsidR="00945A47">
        <w:rPr>
          <w:b/>
          <w:sz w:val="20"/>
        </w:rPr>
        <w:t>.</w:t>
      </w:r>
      <w:r w:rsidRPr="00C82224">
        <w:rPr>
          <w:sz w:val="20"/>
        </w:rPr>
        <w:t xml:space="preserve"> Fluorescence in study zones and source water 30/10/2015</w:t>
      </w:r>
    </w:p>
    <w:p w14:paraId="3B4F8DA1" w14:textId="77777777" w:rsidR="008E6212" w:rsidRDefault="008E6212" w:rsidP="008E6212">
      <w:pPr>
        <w:spacing w:after="240"/>
        <w:jc w:val="left"/>
      </w:pPr>
      <w:r w:rsidRPr="006E2F7C">
        <w:rPr>
          <w:noProof/>
          <w:lang w:eastAsia="en-AU"/>
        </w:rPr>
        <w:lastRenderedPageBreak/>
        <w:drawing>
          <wp:inline distT="0" distB="0" distL="0" distR="0" wp14:anchorId="3B4F9636" wp14:editId="372B173C">
            <wp:extent cx="5610860" cy="7505700"/>
            <wp:effectExtent l="0" t="0" r="8890" b="0"/>
            <wp:docPr id="460" name="Picture 460" descr="D:\Users\jhowitt\Documents\Research projects\Wakool\LTIM\2015-16\15-16 Fluoro\Report figures\Nov 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jhowitt\Documents\Research projects\Wakool\LTIM\2015-16\15-16 Fluoro\Report figures\Nov 27 2.JPG"/>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b="5285"/>
                    <a:stretch/>
                  </pic:blipFill>
                  <pic:spPr bwMode="auto">
                    <a:xfrm>
                      <a:off x="0" y="0"/>
                      <a:ext cx="5613817" cy="7509656"/>
                    </a:xfrm>
                    <a:prstGeom prst="rect">
                      <a:avLst/>
                    </a:prstGeom>
                    <a:noFill/>
                    <a:ln>
                      <a:noFill/>
                    </a:ln>
                    <a:extLst>
                      <a:ext uri="{53640926-AAD7-44D8-BBD7-CCE9431645EC}">
                        <a14:shadowObscured xmlns:a14="http://schemas.microsoft.com/office/drawing/2010/main"/>
                      </a:ext>
                    </a:extLst>
                  </pic:spPr>
                </pic:pic>
              </a:graphicData>
            </a:graphic>
          </wp:inline>
        </w:drawing>
      </w:r>
      <w:r>
        <w:rPr>
          <w:b/>
          <w:sz w:val="20"/>
        </w:rPr>
        <w:t>Figure A</w:t>
      </w:r>
      <w:r w:rsidRPr="00C82224">
        <w:rPr>
          <w:b/>
          <w:sz w:val="20"/>
        </w:rPr>
        <w:t>.2</w:t>
      </w:r>
      <w:r>
        <w:rPr>
          <w:b/>
          <w:sz w:val="20"/>
        </w:rPr>
        <w:t>1</w:t>
      </w:r>
      <w:r w:rsidR="00945A47">
        <w:rPr>
          <w:b/>
          <w:sz w:val="20"/>
        </w:rPr>
        <w:t>.</w:t>
      </w:r>
      <w:r w:rsidRPr="00C82224">
        <w:rPr>
          <w:sz w:val="20"/>
        </w:rPr>
        <w:t xml:space="preserve"> Fluorescence in study zones and sources 22/11/2015.</w:t>
      </w:r>
    </w:p>
    <w:p w14:paraId="3B4F8DA2" w14:textId="77777777" w:rsidR="008E6212" w:rsidRDefault="008E6212" w:rsidP="008E6212">
      <w:pPr>
        <w:spacing w:after="240"/>
        <w:jc w:val="left"/>
      </w:pPr>
      <w:r w:rsidRPr="00697567">
        <w:rPr>
          <w:noProof/>
          <w:lang w:eastAsia="en-AU"/>
        </w:rPr>
        <w:lastRenderedPageBreak/>
        <w:drawing>
          <wp:inline distT="0" distB="0" distL="0" distR="0" wp14:anchorId="3B4F9638" wp14:editId="4D5AC8C3">
            <wp:extent cx="5731133" cy="7962900"/>
            <wp:effectExtent l="0" t="0" r="3175" b="0"/>
            <wp:docPr id="35" name="Picture 35" descr="D:\Users\jhowitt\Documents\Research projects\Wakool\LTIM\2015-16\15-16 Fluoro\Report figures\Algal flu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jhowitt\Documents\Research projects\Wakool\LTIM\2015-16\15-16 Fluoro\Report figures\Algal fluoro.JPG"/>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b="1593"/>
                    <a:stretch/>
                  </pic:blipFill>
                  <pic:spPr bwMode="auto">
                    <a:xfrm>
                      <a:off x="0" y="0"/>
                      <a:ext cx="5731510" cy="7963424"/>
                    </a:xfrm>
                    <a:prstGeom prst="rect">
                      <a:avLst/>
                    </a:prstGeom>
                    <a:noFill/>
                    <a:ln>
                      <a:noFill/>
                    </a:ln>
                    <a:extLst>
                      <a:ext uri="{53640926-AAD7-44D8-BBD7-CCE9431645EC}">
                        <a14:shadowObscured xmlns:a14="http://schemas.microsoft.com/office/drawing/2010/main"/>
                      </a:ext>
                    </a:extLst>
                  </pic:spPr>
                </pic:pic>
              </a:graphicData>
            </a:graphic>
          </wp:inline>
        </w:drawing>
      </w:r>
    </w:p>
    <w:p w14:paraId="3B4F8DA3" w14:textId="5F20E6A9" w:rsidR="008E6212" w:rsidRPr="00C82224" w:rsidRDefault="008E6212" w:rsidP="00175472">
      <w:pPr>
        <w:spacing w:after="240" w:line="240" w:lineRule="auto"/>
        <w:jc w:val="left"/>
        <w:rPr>
          <w:sz w:val="20"/>
        </w:rPr>
      </w:pPr>
      <w:r>
        <w:rPr>
          <w:b/>
          <w:sz w:val="20"/>
        </w:rPr>
        <w:t>Figure A</w:t>
      </w:r>
      <w:r w:rsidRPr="00C82224">
        <w:rPr>
          <w:b/>
          <w:sz w:val="20"/>
        </w:rPr>
        <w:t>.2</w:t>
      </w:r>
      <w:r w:rsidR="006000CC">
        <w:rPr>
          <w:b/>
          <w:sz w:val="20"/>
        </w:rPr>
        <w:t>2</w:t>
      </w:r>
      <w:r w:rsidR="00945A47">
        <w:rPr>
          <w:b/>
          <w:sz w:val="20"/>
        </w:rPr>
        <w:t>.</w:t>
      </w:r>
      <w:r>
        <w:rPr>
          <w:b/>
          <w:sz w:val="20"/>
        </w:rPr>
        <w:t xml:space="preserve"> </w:t>
      </w:r>
      <w:r w:rsidRPr="00C82224">
        <w:rPr>
          <w:sz w:val="20"/>
        </w:rPr>
        <w:t>Fluorescence at selected sampling sites for six sampling dates across the algal bloom.</w:t>
      </w:r>
      <w:r w:rsidR="00741D16">
        <w:rPr>
          <w:sz w:val="20"/>
        </w:rPr>
        <w:t xml:space="preserve"> </w:t>
      </w:r>
      <w:r w:rsidR="00741D16" w:rsidRPr="00741D16">
        <w:rPr>
          <w:sz w:val="20"/>
        </w:rPr>
        <w:t>Note: cyanobacteria were present in bloom concentrations from late-February to the end of May 2016</w:t>
      </w:r>
      <w:r w:rsidR="00741D16">
        <w:rPr>
          <w:sz w:val="20"/>
        </w:rPr>
        <w:t>.</w:t>
      </w:r>
    </w:p>
    <w:p w14:paraId="3B4F8DA4" w14:textId="77777777" w:rsidR="008E6212" w:rsidRPr="009B3A38" w:rsidRDefault="008E6212" w:rsidP="008E6212">
      <w:pPr>
        <w:spacing w:after="240" w:line="324" w:lineRule="exact"/>
        <w:jc w:val="left"/>
        <w:rPr>
          <w:b/>
          <w:color w:val="4F6228" w:themeColor="accent3" w:themeShade="80"/>
          <w:sz w:val="24"/>
          <w:szCs w:val="24"/>
        </w:rPr>
      </w:pPr>
      <w:r>
        <w:rPr>
          <w:b/>
          <w:color w:val="4F6228" w:themeColor="accent3" w:themeShade="80"/>
          <w:sz w:val="24"/>
          <w:szCs w:val="24"/>
        </w:rPr>
        <w:t>A</w:t>
      </w:r>
      <w:r w:rsidRPr="009B3A38">
        <w:rPr>
          <w:b/>
          <w:color w:val="4F6228" w:themeColor="accent3" w:themeShade="80"/>
          <w:sz w:val="24"/>
          <w:szCs w:val="24"/>
        </w:rPr>
        <w:t xml:space="preserve">.5 </w:t>
      </w:r>
      <w:r>
        <w:rPr>
          <w:b/>
          <w:color w:val="4F6228" w:themeColor="accent3" w:themeShade="80"/>
          <w:sz w:val="24"/>
          <w:szCs w:val="24"/>
        </w:rPr>
        <w:t xml:space="preserve">  </w:t>
      </w:r>
      <w:r w:rsidRPr="009B3A38">
        <w:rPr>
          <w:b/>
          <w:color w:val="4F6228" w:themeColor="accent3" w:themeShade="80"/>
          <w:sz w:val="24"/>
          <w:szCs w:val="24"/>
        </w:rPr>
        <w:t xml:space="preserve">Discussion </w:t>
      </w:r>
    </w:p>
    <w:p w14:paraId="3B4F8DA5" w14:textId="77777777" w:rsidR="008E6212" w:rsidRPr="00A55D31" w:rsidRDefault="008E6212" w:rsidP="008E6212">
      <w:pPr>
        <w:spacing w:after="240" w:line="324" w:lineRule="exact"/>
        <w:jc w:val="left"/>
        <w:rPr>
          <w:rFonts w:cs="Calibri"/>
        </w:rPr>
      </w:pPr>
      <w:r>
        <w:rPr>
          <w:rFonts w:cs="Calibri"/>
        </w:rPr>
        <w:lastRenderedPageBreak/>
        <w:t>Returning to the key questions associated with the impact of the Environmental watering actions on the Edward Wakool system as a whole, it is clear that the impact on water quality parameters was variable and in most cases very small.</w:t>
      </w:r>
    </w:p>
    <w:p w14:paraId="3B4F8DA6" w14:textId="77777777" w:rsidR="008E6212" w:rsidRDefault="008E6212" w:rsidP="008E6212">
      <w:pPr>
        <w:tabs>
          <w:tab w:val="left" w:pos="0"/>
        </w:tabs>
        <w:spacing w:after="0" w:line="324" w:lineRule="exact"/>
        <w:jc w:val="left"/>
        <w:rPr>
          <w:rFonts w:cs="Calibri"/>
          <w:i/>
        </w:rPr>
      </w:pPr>
      <w:r w:rsidRPr="00FD136A">
        <w:rPr>
          <w:rFonts w:cs="Calibri"/>
          <w:i/>
        </w:rPr>
        <w:t>What did Commonwealth environmental water contribute to temperature regimes?</w:t>
      </w:r>
    </w:p>
    <w:p w14:paraId="3B4F8DA7" w14:textId="77777777" w:rsidR="008E6212" w:rsidRDefault="008E6212" w:rsidP="008E6212">
      <w:pPr>
        <w:tabs>
          <w:tab w:val="left" w:pos="0"/>
        </w:tabs>
        <w:spacing w:after="240" w:line="324" w:lineRule="exact"/>
        <w:jc w:val="left"/>
        <w:rPr>
          <w:rFonts w:cs="Calibri"/>
        </w:rPr>
      </w:pPr>
      <w:r>
        <w:rPr>
          <w:rFonts w:cs="Calibri"/>
        </w:rPr>
        <w:t>Commonwealth environmental water did not influence temperature regimes in this system.</w:t>
      </w:r>
    </w:p>
    <w:p w14:paraId="3B4F8DA8" w14:textId="77777777" w:rsidR="008E6212" w:rsidRDefault="008E6212" w:rsidP="008E6212">
      <w:pPr>
        <w:tabs>
          <w:tab w:val="left" w:pos="0"/>
        </w:tabs>
        <w:spacing w:after="0" w:line="324" w:lineRule="exact"/>
        <w:jc w:val="left"/>
        <w:rPr>
          <w:rFonts w:cs="Calibri"/>
        </w:rPr>
      </w:pPr>
      <w:r w:rsidRPr="00FD136A">
        <w:rPr>
          <w:rFonts w:cs="Calibri"/>
          <w:i/>
        </w:rPr>
        <w:t>What did Commonwealth environmental water contribute to dissolved oxygen concentrations?</w:t>
      </w:r>
    </w:p>
    <w:p w14:paraId="3B4F8DA9" w14:textId="77777777" w:rsidR="008E6212" w:rsidRDefault="008E6212" w:rsidP="008E6212">
      <w:pPr>
        <w:tabs>
          <w:tab w:val="left" w:pos="0"/>
        </w:tabs>
        <w:spacing w:after="240" w:line="324" w:lineRule="exact"/>
        <w:jc w:val="left"/>
        <w:rPr>
          <w:rFonts w:cs="Calibri"/>
        </w:rPr>
      </w:pPr>
      <w:r>
        <w:rPr>
          <w:rFonts w:cs="Calibri"/>
        </w:rPr>
        <w:t>Consistent with 2014-15, the Wakool River in Zone 2, which received less environmental water (low flows) had lower dissolved oxygen concentrations in spring and early summer than the other zones receiving larger volumes of Commonwealth environmental water. The environmental water contributes to maintenance of dissolved oxygen in Zones 1, 3 and 4.</w:t>
      </w:r>
    </w:p>
    <w:p w14:paraId="3B4F8DAA" w14:textId="77777777" w:rsidR="008E6212" w:rsidRPr="00A55D31" w:rsidRDefault="008E6212" w:rsidP="008E6212">
      <w:pPr>
        <w:tabs>
          <w:tab w:val="left" w:pos="0"/>
        </w:tabs>
        <w:spacing w:after="0" w:line="324" w:lineRule="exact"/>
        <w:jc w:val="left"/>
        <w:rPr>
          <w:rFonts w:cs="Calibri"/>
        </w:rPr>
      </w:pPr>
      <w:r w:rsidRPr="005C64B3">
        <w:rPr>
          <w:rFonts w:cs="Calibri"/>
          <w:i/>
        </w:rPr>
        <w:t>What did Commonwealth environmental water contribute to nutrient concentrations?</w:t>
      </w:r>
    </w:p>
    <w:p w14:paraId="3B4F8DAB" w14:textId="77777777" w:rsidR="008E6212" w:rsidRPr="00E46434" w:rsidRDefault="008E6212" w:rsidP="008E6212">
      <w:pPr>
        <w:tabs>
          <w:tab w:val="left" w:pos="0"/>
        </w:tabs>
        <w:spacing w:after="240" w:line="324" w:lineRule="exact"/>
        <w:jc w:val="left"/>
        <w:rPr>
          <w:rFonts w:cs="Calibri"/>
        </w:rPr>
      </w:pPr>
      <w:r w:rsidRPr="00E46434">
        <w:rPr>
          <w:rFonts w:cs="Calibri"/>
        </w:rPr>
        <w:t>Commonwealth environmental water did not influence nutrient concentrations in 2015-16.</w:t>
      </w:r>
    </w:p>
    <w:p w14:paraId="3B4F8DAC" w14:textId="77777777" w:rsidR="008E6212" w:rsidRDefault="008E6212" w:rsidP="008E6212">
      <w:pPr>
        <w:pStyle w:val="ListBullet"/>
        <w:tabs>
          <w:tab w:val="left" w:pos="0"/>
        </w:tabs>
        <w:spacing w:after="0" w:line="324" w:lineRule="exact"/>
        <w:contextualSpacing w:val="0"/>
        <w:jc w:val="left"/>
        <w:rPr>
          <w:rFonts w:cs="Calibri"/>
          <w:i/>
          <w:sz w:val="22"/>
          <w:szCs w:val="22"/>
        </w:rPr>
      </w:pPr>
      <w:r w:rsidRPr="00572C5D">
        <w:rPr>
          <w:rFonts w:cs="Calibri"/>
          <w:i/>
          <w:sz w:val="22"/>
          <w:szCs w:val="22"/>
        </w:rPr>
        <w:t>What did Commonwealth environmental water contribute to modification of the type and amount of dissolved organic matter through reconnection with previously dry or disconnected in-channel habitat?</w:t>
      </w:r>
    </w:p>
    <w:p w14:paraId="3B4F8DAD" w14:textId="77777777" w:rsidR="008E6212" w:rsidRPr="00A55D31" w:rsidRDefault="008E6212" w:rsidP="008E6212">
      <w:pPr>
        <w:pStyle w:val="ListBullet"/>
        <w:tabs>
          <w:tab w:val="left" w:pos="0"/>
        </w:tabs>
        <w:spacing w:after="240" w:line="324" w:lineRule="exact"/>
        <w:contextualSpacing w:val="0"/>
        <w:jc w:val="left"/>
        <w:rPr>
          <w:rFonts w:cs="Calibri"/>
          <w:i/>
          <w:sz w:val="22"/>
          <w:szCs w:val="22"/>
        </w:rPr>
      </w:pPr>
      <w:r>
        <w:rPr>
          <w:rFonts w:cs="Calibri"/>
          <w:sz w:val="22"/>
          <w:szCs w:val="22"/>
        </w:rPr>
        <w:t>Commonwealth environmental water, through the combination of the multi-site watering action and the flows directed specifically at the Yallakool Creek and Wakool River, contributed to the introduction of small amounts of floodplain carbon from upstream in the Barmah-Millewa forest. The organic matter profile over this period reflected input of large, complex humic and fulvic acids which passed through the system from September to December.</w:t>
      </w:r>
    </w:p>
    <w:p w14:paraId="3B4F8DAE" w14:textId="77777777" w:rsidR="008E6212" w:rsidRPr="00572C5D" w:rsidRDefault="008E6212" w:rsidP="008E6212">
      <w:pPr>
        <w:pStyle w:val="ListBullet"/>
        <w:tabs>
          <w:tab w:val="left" w:pos="0"/>
        </w:tabs>
        <w:spacing w:after="240" w:line="324" w:lineRule="exact"/>
        <w:jc w:val="left"/>
        <w:rPr>
          <w:i/>
          <w:sz w:val="22"/>
          <w:szCs w:val="22"/>
        </w:rPr>
      </w:pPr>
      <w:r w:rsidRPr="00572C5D">
        <w:rPr>
          <w:i/>
          <w:sz w:val="22"/>
          <w:szCs w:val="22"/>
        </w:rPr>
        <w:t>What did Commonwealth environmental water contribute to reducing the impact of blackwater in the system?</w:t>
      </w:r>
    </w:p>
    <w:p w14:paraId="3B4F8DAF" w14:textId="77777777" w:rsidR="008E6212" w:rsidRDefault="008E6212" w:rsidP="008E6212">
      <w:pPr>
        <w:pStyle w:val="ListBullet"/>
        <w:tabs>
          <w:tab w:val="left" w:pos="0"/>
        </w:tabs>
        <w:spacing w:after="240" w:line="324" w:lineRule="exact"/>
        <w:jc w:val="left"/>
        <w:rPr>
          <w:sz w:val="22"/>
          <w:szCs w:val="22"/>
        </w:rPr>
      </w:pPr>
      <w:r>
        <w:rPr>
          <w:sz w:val="22"/>
          <w:szCs w:val="22"/>
        </w:rPr>
        <w:t>The timing of the flows through the Barmah-Millewa forest was early enough in the season that carbon inputs were achieved by Commonwealth environmental water without causing blackwater in the Edward-Wakool system. Dilution flows from the canal were not required.</w:t>
      </w:r>
    </w:p>
    <w:p w14:paraId="3B4F8DB0" w14:textId="77777777" w:rsidR="008E6212" w:rsidRDefault="008E6212" w:rsidP="008E6212">
      <w:pPr>
        <w:spacing w:after="0" w:line="240" w:lineRule="auto"/>
        <w:jc w:val="left"/>
      </w:pPr>
      <w:r>
        <w:br w:type="page"/>
      </w:r>
    </w:p>
    <w:p w14:paraId="3B4F8DB1" w14:textId="77777777" w:rsidR="008E6212" w:rsidRPr="00562C7F" w:rsidRDefault="008E6212" w:rsidP="008E6212">
      <w:pPr>
        <w:tabs>
          <w:tab w:val="left" w:pos="9071"/>
        </w:tabs>
        <w:spacing w:after="0" w:line="324" w:lineRule="exact"/>
        <w:jc w:val="left"/>
        <w:rPr>
          <w:b/>
        </w:rPr>
      </w:pPr>
      <w:r w:rsidRPr="00562C7F">
        <w:rPr>
          <w:b/>
        </w:rPr>
        <w:lastRenderedPageBreak/>
        <w:t>Additional questions for extended algal monitoring</w:t>
      </w:r>
    </w:p>
    <w:p w14:paraId="3B4F8DB2" w14:textId="77777777" w:rsidR="008E6212" w:rsidRDefault="008E6212" w:rsidP="008E6212">
      <w:pPr>
        <w:tabs>
          <w:tab w:val="left" w:pos="9071"/>
        </w:tabs>
        <w:spacing w:after="0" w:line="324" w:lineRule="exact"/>
        <w:jc w:val="left"/>
        <w:rPr>
          <w:i/>
        </w:rPr>
      </w:pPr>
      <w:r>
        <w:rPr>
          <w:i/>
        </w:rPr>
        <w:tab/>
      </w:r>
      <w:r w:rsidRPr="00080A4B">
        <w:rPr>
          <w:i/>
        </w:rPr>
        <w:t>Did Commonwealth environmental water contribute to the bloom conditions in the Edward Wakool system?</w:t>
      </w:r>
    </w:p>
    <w:p w14:paraId="3B4F8DB3" w14:textId="77777777" w:rsidR="008E6212" w:rsidRDefault="008E6212" w:rsidP="008E6212">
      <w:pPr>
        <w:tabs>
          <w:tab w:val="left" w:pos="9071"/>
        </w:tabs>
        <w:spacing w:after="0" w:line="324" w:lineRule="exact"/>
        <w:jc w:val="left"/>
        <w:rPr>
          <w:i/>
        </w:rPr>
      </w:pPr>
      <w:r>
        <w:t xml:space="preserve">Commonwealth environmental water did not create conditions responsible for the onset of the bloom of cyanobacteria in February 2016. Nutrient profiles in the system were in the usual range prior to the onset of the bloom, and the bloom was initiated much further upstream than the floodplain connections created by Commonwealth Environmental Water. </w:t>
      </w:r>
      <w:r>
        <w:rPr>
          <w:i/>
        </w:rPr>
        <w:tab/>
      </w:r>
    </w:p>
    <w:p w14:paraId="3B4F8DB4" w14:textId="77777777" w:rsidR="008E6212" w:rsidRDefault="008E6212" w:rsidP="008E6212">
      <w:pPr>
        <w:tabs>
          <w:tab w:val="left" w:pos="9071"/>
        </w:tabs>
        <w:spacing w:after="0" w:line="324" w:lineRule="exact"/>
        <w:jc w:val="left"/>
      </w:pPr>
      <w:r w:rsidRPr="00080A4B">
        <w:rPr>
          <w:i/>
        </w:rPr>
        <w:t>How did the algal bloom impact water quality in the Edward-Wakool system?</w:t>
      </w:r>
    </w:p>
    <w:p w14:paraId="3B4F8DB5" w14:textId="77777777" w:rsidR="008E6212" w:rsidRPr="00165B28" w:rsidRDefault="008E6212" w:rsidP="008E6212">
      <w:pPr>
        <w:tabs>
          <w:tab w:val="left" w:pos="9071"/>
        </w:tabs>
        <w:spacing w:after="0" w:line="324" w:lineRule="exact"/>
        <w:jc w:val="left"/>
      </w:pPr>
      <w:r>
        <w:t>The algal bloom was the dominant factor determining water quality during March-May 2016. The algal bloom caused an increase in Total Nitrogen and Total Phosphorus in the water column through efficient nitrogen fixation from the atmosphere and phosphorus scavenging from the aquatic environment. It dramatically changed the organic matter profile with a shift to much higher proportions of particulate organic matter and the dissolved organic matter became dominated by small molecules that absorb and fluoresce light only very weakly. Average dissolved oxygen shifted to supersaturated concentrations and pH moved into the basic region, both with wide diurnal fluctuations during the peak of the bloom, transitioning back into the normal ranges as the bloom slowly degraded in the cold weather. Turbidity was dominated by algal cells during the bloom, limiting the light available for other species.</w:t>
      </w:r>
    </w:p>
    <w:p w14:paraId="3B4F8DB6" w14:textId="77777777" w:rsidR="008E6212" w:rsidRDefault="008E6212" w:rsidP="008E6212">
      <w:pPr>
        <w:spacing w:after="240"/>
        <w:jc w:val="left"/>
        <w:rPr>
          <w:rFonts w:eastAsia="Times New Roman"/>
          <w:b/>
          <w:smallCaps/>
          <w:noProof/>
          <w:color w:val="4F6228"/>
          <w:spacing w:val="5"/>
          <w:sz w:val="36"/>
          <w:szCs w:val="36"/>
          <w:lang w:val="en-US" w:eastAsia="en-AU"/>
        </w:rPr>
      </w:pPr>
      <w:r>
        <w:br w:type="page"/>
      </w:r>
    </w:p>
    <w:p w14:paraId="3B4F8DB7" w14:textId="77777777" w:rsidR="008E6212" w:rsidRPr="00A03B26" w:rsidRDefault="008E6212" w:rsidP="00417F7C">
      <w:pPr>
        <w:pStyle w:val="Heading1"/>
      </w:pPr>
      <w:bookmarkStart w:id="39" w:name="_Toc484078419"/>
      <w:r w:rsidRPr="00A03B26">
        <w:lastRenderedPageBreak/>
        <w:t>Appendix B: Stream Metabolism</w:t>
      </w:r>
      <w:bookmarkEnd w:id="39"/>
    </w:p>
    <w:p w14:paraId="3B4F8DB8" w14:textId="77777777" w:rsidR="008E6212" w:rsidRDefault="008E6212" w:rsidP="008E6212">
      <w:pPr>
        <w:jc w:val="left"/>
        <w:rPr>
          <w:b/>
          <w:color w:val="4F6228" w:themeColor="accent3" w:themeShade="80"/>
          <w:sz w:val="24"/>
          <w:szCs w:val="24"/>
        </w:rPr>
      </w:pPr>
    </w:p>
    <w:p w14:paraId="3B4F8DB9" w14:textId="77777777" w:rsidR="008E6212" w:rsidRDefault="008E6212" w:rsidP="008E6212">
      <w:pPr>
        <w:jc w:val="left"/>
        <w:rPr>
          <w:lang w:val="en-US"/>
        </w:rPr>
      </w:pPr>
      <w:r>
        <w:rPr>
          <w:b/>
          <w:color w:val="4F6228" w:themeColor="accent3" w:themeShade="80"/>
          <w:sz w:val="24"/>
          <w:szCs w:val="24"/>
        </w:rPr>
        <w:t xml:space="preserve">B.1   Background   </w:t>
      </w:r>
    </w:p>
    <w:p w14:paraId="3B4F8DBA" w14:textId="77777777" w:rsidR="008E6212" w:rsidRDefault="008E6212" w:rsidP="008E6212">
      <w:pPr>
        <w:spacing w:after="240" w:line="324" w:lineRule="exact"/>
        <w:jc w:val="left"/>
        <w:rPr>
          <w:lang w:val="en-US"/>
        </w:rPr>
      </w:pPr>
      <w:r>
        <w:rPr>
          <w:lang w:val="en-US"/>
        </w:rPr>
        <w:t xml:space="preserve">Whole stream metabolism measures the production and consumption of dissolved oxygen gas (‘DO’) by the key ecological processes of photosynthesis and respiration (Odum 1956). Healthy aquatic ecosystems need both processes to generate new biomass (which becomes food for organisms higher up the food chain) and to break down plant and animal detritus to recycle nutrients to enable growth to occur. Hence metabolism assesses the energy base underpinning aquatic foodwebs. The relationships between these processes are </w:t>
      </w:r>
      <w:r w:rsidRPr="00C418B1">
        <w:rPr>
          <w:lang w:val="en-US"/>
        </w:rPr>
        <w:t xml:space="preserve">shown in Figure </w:t>
      </w:r>
      <w:r>
        <w:rPr>
          <w:lang w:val="en-US"/>
        </w:rPr>
        <w:t>B.1</w:t>
      </w:r>
      <w:r w:rsidRPr="00C418B1">
        <w:rPr>
          <w:lang w:val="en-US"/>
        </w:rPr>
        <w:t>.</w:t>
      </w:r>
    </w:p>
    <w:p w14:paraId="3B4F8DBB" w14:textId="77777777" w:rsidR="008E6212" w:rsidRDefault="008E6212" w:rsidP="008E6212">
      <w:pPr>
        <w:spacing w:after="120" w:line="240" w:lineRule="auto"/>
        <w:jc w:val="center"/>
        <w:rPr>
          <w:lang w:val="en-US"/>
        </w:rPr>
      </w:pPr>
      <w:r>
        <w:rPr>
          <w:noProof/>
          <w:lang w:eastAsia="en-AU"/>
        </w:rPr>
        <w:drawing>
          <wp:inline distT="0" distB="0" distL="0" distR="0" wp14:anchorId="3B4F963A" wp14:editId="09E490DE">
            <wp:extent cx="4979796" cy="2556000"/>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979796" cy="2556000"/>
                    </a:xfrm>
                    <a:prstGeom prst="rect">
                      <a:avLst/>
                    </a:prstGeom>
                    <a:noFill/>
                    <a:ln w="9525">
                      <a:noFill/>
                      <a:miter lim="800000"/>
                      <a:headEnd/>
                      <a:tailEnd/>
                    </a:ln>
                  </pic:spPr>
                </pic:pic>
              </a:graphicData>
            </a:graphic>
          </wp:inline>
        </w:drawing>
      </w:r>
    </w:p>
    <w:p w14:paraId="3B4F8DBC" w14:textId="77777777" w:rsidR="008E6212" w:rsidRDefault="008E6212" w:rsidP="008E6212">
      <w:pPr>
        <w:spacing w:after="240" w:line="240" w:lineRule="auto"/>
        <w:jc w:val="left"/>
        <w:rPr>
          <w:sz w:val="20"/>
          <w:lang w:val="en-US"/>
        </w:rPr>
      </w:pPr>
      <w:r>
        <w:rPr>
          <w:b/>
          <w:sz w:val="20"/>
          <w:lang w:val="en-US"/>
        </w:rPr>
        <w:t>Figure B</w:t>
      </w:r>
      <w:r w:rsidRPr="007575C7">
        <w:rPr>
          <w:b/>
          <w:sz w:val="20"/>
          <w:lang w:val="en-US"/>
        </w:rPr>
        <w:t>.1.</w:t>
      </w:r>
      <w:r>
        <w:rPr>
          <w:sz w:val="20"/>
          <w:lang w:val="en-US"/>
        </w:rPr>
        <w:t xml:space="preserve"> Relationships between photosynthesis, respiration, organic matter, dissolved gases and nutrients</w:t>
      </w:r>
    </w:p>
    <w:p w14:paraId="3B4F8DBD" w14:textId="77777777" w:rsidR="008E6212" w:rsidRDefault="008E6212" w:rsidP="008E6212">
      <w:pPr>
        <w:spacing w:after="240" w:line="320" w:lineRule="exact"/>
        <w:jc w:val="left"/>
        <w:rPr>
          <w:lang w:val="en-US"/>
        </w:rPr>
      </w:pPr>
      <w:r>
        <w:rPr>
          <w:lang w:val="en-US"/>
        </w:rPr>
        <w:t>Metabolism is expressed as the increase (photosynthesis) or decrease (respiration) of DO concentration over a given time frame; most commonly expressed as (change in) milligrams of dissolved oxygen per litre per day (mg O</w:t>
      </w:r>
      <w:r>
        <w:rPr>
          <w:vertAlign w:val="subscript"/>
          <w:lang w:val="en-US"/>
        </w:rPr>
        <w:t>2</w:t>
      </w:r>
      <w:r>
        <w:rPr>
          <w:lang w:val="en-US"/>
        </w:rPr>
        <w:t>/L/Day). Typical rates of primary production and ecosystem respiration range over two orders of magnitude, from around 0.2 to 20 mg O</w:t>
      </w:r>
      <w:r>
        <w:rPr>
          <w:vertAlign w:val="subscript"/>
          <w:lang w:val="en-US"/>
        </w:rPr>
        <w:t>2</w:t>
      </w:r>
      <w:r>
        <w:rPr>
          <w:lang w:val="en-US"/>
        </w:rPr>
        <w:t xml:space="preserve">/L/Day with most measurements falling between </w:t>
      </w:r>
      <w:r w:rsidRPr="004830B0">
        <w:rPr>
          <w:lang w:val="en-US"/>
        </w:rPr>
        <w:t>2–20 mg O</w:t>
      </w:r>
      <w:r w:rsidRPr="004830B0">
        <w:rPr>
          <w:vertAlign w:val="subscript"/>
          <w:lang w:val="en-US"/>
        </w:rPr>
        <w:t>2</w:t>
      </w:r>
      <w:r w:rsidRPr="004830B0">
        <w:rPr>
          <w:lang w:val="en-US"/>
        </w:rPr>
        <w:t>/L/</w:t>
      </w:r>
      <w:r>
        <w:rPr>
          <w:lang w:val="en-US"/>
        </w:rPr>
        <w:t>D</w:t>
      </w:r>
      <w:r w:rsidRPr="004830B0">
        <w:rPr>
          <w:lang w:val="en-US"/>
        </w:rPr>
        <w:t>ay (Bernot et al. 2010; Marcarelli et al. 2011)</w:t>
      </w:r>
      <w:r>
        <w:rPr>
          <w:lang w:val="en-US"/>
        </w:rPr>
        <w:t xml:space="preserve">. </w:t>
      </w:r>
    </w:p>
    <w:p w14:paraId="3B4F8DBE" w14:textId="77777777" w:rsidR="008E6212" w:rsidRDefault="008E6212" w:rsidP="008E6212">
      <w:pPr>
        <w:spacing w:after="240" w:line="320" w:lineRule="exact"/>
        <w:jc w:val="left"/>
        <w:rPr>
          <w:lang w:val="en-US"/>
        </w:rPr>
      </w:pPr>
      <w:r>
        <w:rPr>
          <w:lang w:val="en-US"/>
        </w:rPr>
        <w:t xml:space="preserve">If process rates are too low, this </w:t>
      </w:r>
      <w:r w:rsidR="00192F1A">
        <w:rPr>
          <w:lang w:val="en-US"/>
        </w:rPr>
        <w:t>may</w:t>
      </w:r>
      <w:r>
        <w:rPr>
          <w:lang w:val="en-US"/>
        </w:rPr>
        <w:t xml:space="preserve"> limit the amount of food resources (bacteria, algae and water plants) for consumers. This limitation will then constrain populations of larger organisms including fish and amphibians. Rates </w:t>
      </w:r>
      <w:r w:rsidRPr="001F0AFB">
        <w:rPr>
          <w:lang w:val="en-US"/>
        </w:rPr>
        <w:t>are</w:t>
      </w:r>
      <w:r>
        <w:rPr>
          <w:lang w:val="en-US"/>
        </w:rPr>
        <w:t xml:space="preserve"> expected to vary on a seasonal basis as warmer temperatures and more direct, and longer hours of, sunlight contribute to en</w:t>
      </w:r>
      <w:r>
        <w:rPr>
          <w:lang w:val="en-US"/>
        </w:rPr>
        <w:lastRenderedPageBreak/>
        <w:t>hancing primary production during summer and into early autumn. Warmer temperatures and a supply of organic carbon usually result in higher rates of ecosystem respiration (Roberts et al. 2007).</w:t>
      </w:r>
    </w:p>
    <w:p w14:paraId="3B4F8DBF" w14:textId="77777777" w:rsidR="008E6212" w:rsidRDefault="008E6212" w:rsidP="008E6212">
      <w:pPr>
        <w:spacing w:after="240" w:line="320" w:lineRule="exact"/>
        <w:jc w:val="left"/>
        <w:rPr>
          <w:lang w:val="en-US"/>
        </w:rPr>
      </w:pPr>
      <w:r>
        <w:rPr>
          <w:lang w:val="en-US"/>
        </w:rPr>
        <w:t xml:space="preserve">In general, there is </w:t>
      </w:r>
      <w:r w:rsidR="00192F1A">
        <w:rPr>
          <w:lang w:val="en-US"/>
        </w:rPr>
        <w:t xml:space="preserve">also </w:t>
      </w:r>
      <w:r>
        <w:rPr>
          <w:lang w:val="en-US"/>
        </w:rPr>
        <w:t>concern when process rates are too high. Greatly elevated primary production rates usually equate to algal bloom conditions (or excessive growth of plants, including duckweed and azolla), which may block sunlight penetration, killing other submerged plants, produce algal toxins and large diel DO swings -  overnight, elevated respiration rates can drive the DO to the point of anoxia (no dissolved oxygen in the water). When an algal bloom collapses, the large biomass of labile organic material is respired</w:t>
      </w:r>
      <w:r w:rsidR="00192F1A">
        <w:rPr>
          <w:lang w:val="en-US"/>
        </w:rPr>
        <w:t xml:space="preserve"> by bacteria</w:t>
      </w:r>
      <w:r>
        <w:rPr>
          <w:lang w:val="en-US"/>
        </w:rPr>
        <w:t>, often resulting in extended anoxia. Very low (or no) DO in the water can result in fish kills and unpleasant odors. Bloom collapse often coincides with release of algal toxins; hence the water becomes unusable for stock and domestic purposes as well.</w:t>
      </w:r>
    </w:p>
    <w:p w14:paraId="3B4F8DC0" w14:textId="77777777" w:rsidR="008E6212" w:rsidRDefault="008E6212" w:rsidP="008E6212">
      <w:pPr>
        <w:spacing w:after="240" w:line="320" w:lineRule="exact"/>
        <w:jc w:val="left"/>
        <w:rPr>
          <w:lang w:val="en-US"/>
        </w:rPr>
      </w:pPr>
      <w:r>
        <w:rPr>
          <w:lang w:val="en-US"/>
        </w:rPr>
        <w:t>Sustainable rates of primary production will primarily depend on the characteristics of the aquatic ecosystem. Streams with naturally higher concentrations of nutrients (e.g. arising from the geology), especially those with very open canopies (hence a lot of sunlight access to the water) will have much higher natural rates of primary production than forested streams, where rates might be extremely low due to heavy shading and low concentrations</w:t>
      </w:r>
      <w:r w:rsidR="00192F1A">
        <w:rPr>
          <w:lang w:val="en-US"/>
        </w:rPr>
        <w:t xml:space="preserve"> of nutrients</w:t>
      </w:r>
      <w:r>
        <w:rPr>
          <w:lang w:val="en-US"/>
        </w:rPr>
        <w:t>. Habitat availability, climate and many other factors also influence food web structure and function. Uehlinger (2000) demonstrated that freshes with sufficient stream power to cause scouring can ‘reset’ primary production to very low rates which are then maintained until biomass of primary producers is re-established</w:t>
      </w:r>
      <w:r w:rsidRPr="008078C8">
        <w:rPr>
          <w:lang w:val="en-US"/>
        </w:rPr>
        <w:t>. These scouring freshes are normally found in high gradient streams and are considered unlikely to occur in lowland streams such as those in the Edward-Wakool system.</w:t>
      </w:r>
      <w:r w:rsidR="00192F1A">
        <w:rPr>
          <w:lang w:val="en-US"/>
        </w:rPr>
        <w:t xml:space="preserve"> However </w:t>
      </w:r>
      <w:r w:rsidR="00192F1A">
        <w:t>in lowland systems flow variability may drive wetting and drying of biofilms, and this can strongly influence rates of primary production (Ryder 2004; Ryder et al</w:t>
      </w:r>
      <w:r w:rsidR="00115A7E">
        <w:t>.</w:t>
      </w:r>
      <w:r w:rsidR="00192F1A">
        <w:t xml:space="preserve"> 2006).</w:t>
      </w:r>
    </w:p>
    <w:p w14:paraId="3B4F8DC1" w14:textId="77777777" w:rsidR="008E6212" w:rsidRPr="007575C7" w:rsidRDefault="008E6212" w:rsidP="008E6212">
      <w:pPr>
        <w:tabs>
          <w:tab w:val="left" w:pos="9071"/>
        </w:tabs>
        <w:spacing w:after="240" w:line="324" w:lineRule="exact"/>
        <w:jc w:val="left"/>
        <w:rPr>
          <w:b/>
          <w:color w:val="4F6228" w:themeColor="accent3" w:themeShade="80"/>
          <w:sz w:val="24"/>
          <w:szCs w:val="24"/>
        </w:rPr>
      </w:pPr>
      <w:r>
        <w:rPr>
          <w:b/>
          <w:color w:val="4F6228" w:themeColor="accent3" w:themeShade="80"/>
          <w:sz w:val="24"/>
          <w:szCs w:val="24"/>
        </w:rPr>
        <w:t>B.2   Selected-area questions</w:t>
      </w:r>
    </w:p>
    <w:p w14:paraId="3B4F8DC2" w14:textId="77777777" w:rsidR="008E6212" w:rsidRDefault="008E6212" w:rsidP="008E6212">
      <w:pPr>
        <w:widowControl w:val="0"/>
        <w:spacing w:after="240" w:line="320" w:lineRule="exact"/>
        <w:jc w:val="left"/>
        <w:rPr>
          <w:rFonts w:cstheme="minorHAnsi"/>
        </w:rPr>
      </w:pPr>
      <w:r w:rsidRPr="005E73F2">
        <w:rPr>
          <w:rFonts w:cstheme="minorHAnsi"/>
        </w:rPr>
        <w:t>Evaluation of the response of stream metabolism to Commonwealth environmental watering is being undertaken in the Edward-Wakool River system at the i) Selected Area scale (Watts et al. 2014</w:t>
      </w:r>
      <w:r w:rsidRPr="00B50C3C">
        <w:rPr>
          <w:rFonts w:cstheme="minorHAnsi"/>
        </w:rPr>
        <w:t>b</w:t>
      </w:r>
      <w:r w:rsidRPr="005E73F2">
        <w:rPr>
          <w:rFonts w:cstheme="minorHAnsi"/>
        </w:rPr>
        <w:t>), and ii) Basin scale (Hale et al. 2014)</w:t>
      </w:r>
      <w:r>
        <w:rPr>
          <w:rFonts w:cstheme="minorHAnsi"/>
        </w:rPr>
        <w:t xml:space="preserve">. </w:t>
      </w:r>
      <w:r w:rsidRPr="005E73F2">
        <w:rPr>
          <w:rFonts w:cstheme="minorHAnsi"/>
        </w:rPr>
        <w:t>The Basin Scale evaluation involves the integration of multiple datasets from a number of different catchments, and this will be undertaken by the Murray-Darling Freshwater Research Centre and evaluated in a separate report</w:t>
      </w:r>
      <w:r>
        <w:rPr>
          <w:rFonts w:cstheme="minorHAnsi"/>
        </w:rPr>
        <w:t xml:space="preserve">. The first two questions below relate to the Basin Scale. </w:t>
      </w:r>
      <w:r w:rsidRPr="005E73F2">
        <w:rPr>
          <w:rFonts w:cstheme="minorHAnsi"/>
        </w:rPr>
        <w:t>This Edward-Wakool selected area report will evaluate short-term response questions</w:t>
      </w:r>
      <w:r>
        <w:rPr>
          <w:rFonts w:cstheme="minorHAnsi"/>
        </w:rPr>
        <w:t xml:space="preserve"> (Questions 3 and 4 below)</w:t>
      </w:r>
      <w:r w:rsidRPr="005E73F2">
        <w:rPr>
          <w:rFonts w:cstheme="minorHAnsi"/>
        </w:rPr>
        <w:t xml:space="preserve"> specific to the Commonwealth environmental watering action in the Yall</w:t>
      </w:r>
      <w:r w:rsidR="008E56CC">
        <w:rPr>
          <w:rFonts w:cstheme="minorHAnsi"/>
        </w:rPr>
        <w:t>akool Creek-Wakool River in 2015-16</w:t>
      </w:r>
      <w:r w:rsidRPr="005E73F2">
        <w:rPr>
          <w:rFonts w:cstheme="minorHAnsi"/>
        </w:rPr>
        <w:t>.</w:t>
      </w:r>
      <w:r>
        <w:rPr>
          <w:rFonts w:cstheme="minorHAnsi"/>
        </w:rPr>
        <w:t xml:space="preserve"> These questions arise from the importance of new organic (plant) matter, created through photosynthesis, supplying essential energy to the foodweb and the critical role of respiration in breaking down organic detritus and therefore resupplying nutrients to enable such growth to occur.</w:t>
      </w:r>
    </w:p>
    <w:p w14:paraId="3B4F8DC3" w14:textId="77777777" w:rsidR="008E6212" w:rsidRPr="006C3E6B" w:rsidRDefault="008E6212" w:rsidP="008E6212">
      <w:pPr>
        <w:widowControl w:val="0"/>
        <w:spacing w:after="120" w:line="320" w:lineRule="exact"/>
        <w:jc w:val="left"/>
        <w:rPr>
          <w:rFonts w:cstheme="minorHAnsi"/>
          <w:i/>
          <w:iCs/>
        </w:rPr>
      </w:pPr>
      <w:r w:rsidRPr="006C3E6B">
        <w:rPr>
          <w:rFonts w:cstheme="minorHAnsi"/>
          <w:i/>
          <w:iCs/>
        </w:rPr>
        <w:lastRenderedPageBreak/>
        <w:t>Q1. What did Commonwealth environmental water contribute to patterns and rates of decomposition?</w:t>
      </w:r>
    </w:p>
    <w:p w14:paraId="3B4F8DC4" w14:textId="77777777" w:rsidR="008E6212" w:rsidRPr="006C3E6B" w:rsidRDefault="008E6212" w:rsidP="008E6212">
      <w:pPr>
        <w:widowControl w:val="0"/>
        <w:spacing w:after="120" w:line="320" w:lineRule="exact"/>
        <w:jc w:val="left"/>
        <w:rPr>
          <w:rFonts w:cstheme="minorHAnsi"/>
          <w:i/>
          <w:iCs/>
        </w:rPr>
      </w:pPr>
      <w:r w:rsidRPr="006C3E6B">
        <w:rPr>
          <w:rFonts w:cstheme="minorHAnsi"/>
          <w:i/>
          <w:iCs/>
        </w:rPr>
        <w:t>Q2. What did Commonwealth environmental water contribute to patterns and rates of primary productivity?</w:t>
      </w:r>
    </w:p>
    <w:p w14:paraId="3B4F8DC5" w14:textId="77777777" w:rsidR="008E6212" w:rsidRPr="006C3E6B" w:rsidRDefault="008E6212" w:rsidP="008E6212">
      <w:pPr>
        <w:widowControl w:val="0"/>
        <w:spacing w:after="240" w:line="324" w:lineRule="exact"/>
        <w:jc w:val="left"/>
        <w:rPr>
          <w:rFonts w:cstheme="minorHAnsi"/>
          <w:i/>
          <w:iCs/>
        </w:rPr>
      </w:pPr>
      <w:r w:rsidRPr="006C3E6B">
        <w:rPr>
          <w:rFonts w:cstheme="minorHAnsi"/>
          <w:i/>
          <w:iCs/>
        </w:rPr>
        <w:t>Q3. How does the timing and magnitude of Commonwealth environmental water delivery affect rates of gross primary productivity and ecosystem respiration in the Edward- Wakool River system?</w:t>
      </w:r>
    </w:p>
    <w:p w14:paraId="3B4F8DC6" w14:textId="77777777" w:rsidR="008E6212" w:rsidRPr="00AA1654" w:rsidRDefault="008E6212" w:rsidP="00175472">
      <w:pPr>
        <w:widowControl w:val="0"/>
        <w:spacing w:after="120" w:line="320" w:lineRule="exact"/>
        <w:jc w:val="left"/>
        <w:rPr>
          <w:rFonts w:cstheme="minorHAnsi"/>
        </w:rPr>
      </w:pPr>
      <w:r>
        <w:rPr>
          <w:rFonts w:cstheme="minorHAnsi"/>
        </w:rPr>
        <w:t>The following hypotheses were developed, partially based on earlier previous work in the Yallakool Creek – Wakool River system (Watts et al. 2014b), to directly explore these evaluation questions</w:t>
      </w:r>
      <w:r w:rsidRPr="00AA1654">
        <w:rPr>
          <w:rFonts w:cstheme="minorHAnsi"/>
        </w:rPr>
        <w:t>:</w:t>
      </w:r>
    </w:p>
    <w:p w14:paraId="3B4F8DC7" w14:textId="77777777" w:rsidR="008E6212" w:rsidRPr="00AA1654" w:rsidRDefault="008E6212" w:rsidP="00175472">
      <w:pPr>
        <w:widowControl w:val="0"/>
        <w:numPr>
          <w:ilvl w:val="0"/>
          <w:numId w:val="24"/>
        </w:numPr>
        <w:spacing w:after="120" w:line="320" w:lineRule="exact"/>
        <w:ind w:left="567" w:hanging="567"/>
        <w:jc w:val="left"/>
        <w:rPr>
          <w:rFonts w:cstheme="minorHAnsi"/>
        </w:rPr>
      </w:pPr>
      <w:r w:rsidRPr="00AA1654">
        <w:rPr>
          <w:rFonts w:cstheme="minorHAnsi"/>
        </w:rPr>
        <w:t xml:space="preserve">Under extended ‘cease to flow’ conditions of </w:t>
      </w:r>
      <w:r>
        <w:rPr>
          <w:rFonts w:cstheme="minorHAnsi"/>
        </w:rPr>
        <w:t>several weeks or more</w:t>
      </w:r>
      <w:r w:rsidRPr="00AA1654">
        <w:rPr>
          <w:rFonts w:cstheme="minorHAnsi"/>
        </w:rPr>
        <w:t>, the responses of GPP and ER will greatly depend on the available nutrient supplies and the time of year. High nutrients and warm conditions may lead to very high rates associated with excessive phytoplankton growth.</w:t>
      </w:r>
      <w:r>
        <w:rPr>
          <w:rFonts w:cstheme="minorHAnsi"/>
        </w:rPr>
        <w:t xml:space="preserve"> (Q1, Q2, Q3)</w:t>
      </w:r>
    </w:p>
    <w:p w14:paraId="3B4F8DC8" w14:textId="77777777" w:rsidR="008E6212" w:rsidRPr="00AA1654" w:rsidRDefault="008E6212" w:rsidP="00175472">
      <w:pPr>
        <w:widowControl w:val="0"/>
        <w:numPr>
          <w:ilvl w:val="0"/>
          <w:numId w:val="24"/>
        </w:numPr>
        <w:spacing w:after="120" w:line="320" w:lineRule="exact"/>
        <w:ind w:left="567" w:hanging="567"/>
        <w:jc w:val="left"/>
        <w:rPr>
          <w:rFonts w:cstheme="minorHAnsi"/>
        </w:rPr>
      </w:pPr>
      <w:r w:rsidRPr="00AA1654">
        <w:rPr>
          <w:rFonts w:cstheme="minorHAnsi"/>
        </w:rPr>
        <w:t>Under normal ‘base’ flow, rates of GPP and ER will be constrained to the low-moderate range, typically 1-3 mg O</w:t>
      </w:r>
      <w:r w:rsidRPr="008E56CC">
        <w:rPr>
          <w:rFonts w:cstheme="minorHAnsi"/>
          <w:vertAlign w:val="subscript"/>
        </w:rPr>
        <w:t>2</w:t>
      </w:r>
      <w:r w:rsidRPr="00AA1654">
        <w:rPr>
          <w:rFonts w:cstheme="minorHAnsi"/>
        </w:rPr>
        <w:t>/L/Day.</w:t>
      </w:r>
      <w:r>
        <w:rPr>
          <w:rFonts w:cstheme="minorHAnsi"/>
        </w:rPr>
        <w:t xml:space="preserve"> (Q3)</w:t>
      </w:r>
    </w:p>
    <w:p w14:paraId="3B4F8DC9" w14:textId="77777777" w:rsidR="008E6212" w:rsidRPr="00AA1654" w:rsidRDefault="008E6212" w:rsidP="00175472">
      <w:pPr>
        <w:widowControl w:val="0"/>
        <w:numPr>
          <w:ilvl w:val="0"/>
          <w:numId w:val="24"/>
        </w:numPr>
        <w:spacing w:after="120" w:line="320" w:lineRule="exact"/>
        <w:ind w:left="567" w:hanging="567"/>
        <w:jc w:val="left"/>
        <w:rPr>
          <w:rFonts w:cstheme="minorHAnsi"/>
        </w:rPr>
      </w:pPr>
      <w:r w:rsidRPr="00AA1654">
        <w:rPr>
          <w:rFonts w:cstheme="minorHAnsi"/>
        </w:rPr>
        <w:t>With in-stream freshes, rates of GPP and ER will increase slightly to 3-5 mg O</w:t>
      </w:r>
      <w:r w:rsidRPr="00F12A22">
        <w:rPr>
          <w:rFonts w:cstheme="minorHAnsi"/>
          <w:vertAlign w:val="subscript"/>
        </w:rPr>
        <w:t>2</w:t>
      </w:r>
      <w:r w:rsidRPr="00AA1654">
        <w:rPr>
          <w:rFonts w:cstheme="minorHAnsi"/>
        </w:rPr>
        <w:t>/L/Day. Larger increases will occur if significant backwater areas are reconnected to the main channel due to enhanced nutrient delivery.</w:t>
      </w:r>
      <w:r>
        <w:rPr>
          <w:rFonts w:cstheme="minorHAnsi"/>
        </w:rPr>
        <w:t xml:space="preserve"> (Q3)</w:t>
      </w:r>
    </w:p>
    <w:p w14:paraId="3B4F8DCA" w14:textId="77777777" w:rsidR="008E6212" w:rsidRPr="00AA1654" w:rsidRDefault="008E6212" w:rsidP="00175472">
      <w:pPr>
        <w:widowControl w:val="0"/>
        <w:numPr>
          <w:ilvl w:val="0"/>
          <w:numId w:val="24"/>
        </w:numPr>
        <w:spacing w:after="120" w:line="320" w:lineRule="exact"/>
        <w:ind w:left="567" w:hanging="567"/>
        <w:jc w:val="left"/>
        <w:rPr>
          <w:rFonts w:cstheme="minorHAnsi"/>
        </w:rPr>
      </w:pPr>
      <w:r w:rsidRPr="00AA1654">
        <w:rPr>
          <w:rFonts w:cstheme="minorHAnsi"/>
        </w:rPr>
        <w:t xml:space="preserve">Inundation and reconnection of backwater areas to the main channel during high flows will result in elevated rates of GPP and ER. </w:t>
      </w:r>
      <w:r>
        <w:rPr>
          <w:rFonts w:cstheme="minorHAnsi"/>
        </w:rPr>
        <w:t>(Q1, Q2, Q3)</w:t>
      </w:r>
    </w:p>
    <w:p w14:paraId="3B4F8DCB" w14:textId="77777777" w:rsidR="008E6212" w:rsidRPr="007575C7" w:rsidRDefault="008E6212" w:rsidP="00764D83">
      <w:pPr>
        <w:widowControl w:val="0"/>
        <w:numPr>
          <w:ilvl w:val="0"/>
          <w:numId w:val="24"/>
        </w:numPr>
        <w:spacing w:after="240" w:line="324" w:lineRule="exact"/>
        <w:ind w:left="567" w:right="-1" w:hanging="567"/>
        <w:jc w:val="left"/>
        <w:rPr>
          <w:rFonts w:cstheme="minorHAnsi"/>
        </w:rPr>
      </w:pPr>
      <w:r w:rsidRPr="00AA1654">
        <w:rPr>
          <w:rFonts w:cstheme="minorHAnsi"/>
        </w:rPr>
        <w:t>Primary production in the Edward-Wakool system will be limited by low phosphorus concentrations.</w:t>
      </w:r>
      <w:r w:rsidRPr="00D441B7">
        <w:rPr>
          <w:rFonts w:cstheme="minorHAnsi"/>
          <w:sz w:val="23"/>
          <w:szCs w:val="23"/>
        </w:rPr>
        <w:t xml:space="preserve"> </w:t>
      </w:r>
      <w:r>
        <w:rPr>
          <w:rFonts w:cstheme="minorHAnsi"/>
        </w:rPr>
        <w:t>(Q3)</w:t>
      </w:r>
    </w:p>
    <w:p w14:paraId="3B4F8DCC" w14:textId="77777777" w:rsidR="008E6212" w:rsidRPr="007575C7" w:rsidRDefault="008E6212" w:rsidP="008E6212">
      <w:pPr>
        <w:tabs>
          <w:tab w:val="left" w:pos="9071"/>
        </w:tabs>
        <w:spacing w:after="240" w:line="324" w:lineRule="exact"/>
        <w:ind w:right="-1"/>
        <w:jc w:val="left"/>
        <w:rPr>
          <w:b/>
          <w:color w:val="4F6228" w:themeColor="accent3" w:themeShade="80"/>
          <w:sz w:val="24"/>
          <w:szCs w:val="24"/>
        </w:rPr>
      </w:pPr>
      <w:r>
        <w:rPr>
          <w:b/>
          <w:color w:val="4F6228" w:themeColor="accent3" w:themeShade="80"/>
          <w:sz w:val="24"/>
          <w:szCs w:val="24"/>
        </w:rPr>
        <w:t>B</w:t>
      </w:r>
      <w:r w:rsidRPr="007575C7">
        <w:rPr>
          <w:b/>
          <w:color w:val="4F6228" w:themeColor="accent3" w:themeShade="80"/>
          <w:sz w:val="24"/>
          <w:szCs w:val="24"/>
        </w:rPr>
        <w:t xml:space="preserve">.3 </w:t>
      </w:r>
      <w:r>
        <w:rPr>
          <w:b/>
          <w:color w:val="4F6228" w:themeColor="accent3" w:themeShade="80"/>
          <w:sz w:val="24"/>
          <w:szCs w:val="24"/>
        </w:rPr>
        <w:t xml:space="preserve">  </w:t>
      </w:r>
      <w:r w:rsidRPr="007575C7">
        <w:rPr>
          <w:b/>
          <w:color w:val="4F6228" w:themeColor="accent3" w:themeShade="80"/>
          <w:sz w:val="24"/>
          <w:szCs w:val="24"/>
        </w:rPr>
        <w:t>Methods</w:t>
      </w:r>
    </w:p>
    <w:p w14:paraId="3B4F8DCD" w14:textId="77777777" w:rsidR="00724469" w:rsidRDefault="008E6212" w:rsidP="00724469">
      <w:pPr>
        <w:tabs>
          <w:tab w:val="left" w:pos="9071"/>
        </w:tabs>
        <w:spacing w:after="240" w:line="320" w:lineRule="exact"/>
        <w:ind w:right="-1"/>
        <w:jc w:val="left"/>
      </w:pPr>
      <w:r>
        <w:t>The stream metabolism measurements were performed in accordance with the LTIM Standard Operating Procedure (Hale et al. 2014).</w:t>
      </w:r>
      <w:r w:rsidR="00724469">
        <w:t xml:space="preserve"> </w:t>
      </w:r>
      <w:r w:rsidR="00E16129">
        <w:t>At</w:t>
      </w:r>
      <w:r>
        <w:t xml:space="preserve"> least one logger placed in </w:t>
      </w:r>
      <w:r w:rsidRPr="00DA3E0D">
        <w:t xml:space="preserve">each of four </w:t>
      </w:r>
      <w:r>
        <w:t xml:space="preserve">study zones; in zones 1, 3 and 4, loggers were placed at the top and bottom end of these zones. </w:t>
      </w:r>
      <w:r w:rsidR="00E16129" w:rsidRPr="00DA3E0D">
        <w:t>Water temperature and dissolved oxygen were logged every ten minutes</w:t>
      </w:r>
      <w:r w:rsidR="00E16129">
        <w:t xml:space="preserve"> </w:t>
      </w:r>
      <w:r w:rsidR="00E16129">
        <w:rPr>
          <w:bCs/>
        </w:rPr>
        <w:t xml:space="preserve">from mid-August 2015 until early April 2016. </w:t>
      </w:r>
      <w:r w:rsidRPr="00DA3E0D">
        <w:t>Data were downloaded and loggers calibrated approximately once per month</w:t>
      </w:r>
      <w:r>
        <w:t>, and more frequently (often fortnightly) during summer time to avoid problems found in previous years with probe biofouling. Downloading also depended upon depending on access.</w:t>
      </w:r>
      <w:r w:rsidRPr="00DA3E0D">
        <w:t xml:space="preserve"> Light and depth loggers were also deployed and data </w:t>
      </w:r>
      <w:r>
        <w:t>were</w:t>
      </w:r>
      <w:r w:rsidRPr="00DA3E0D">
        <w:t xml:space="preserve"> downloaded on a</w:t>
      </w:r>
      <w:r>
        <w:t>n approximately</w:t>
      </w:r>
      <w:r w:rsidRPr="00DA3E0D">
        <w:t xml:space="preserve"> monthly basis.</w:t>
      </w:r>
      <w:r>
        <w:t xml:space="preserve"> The data collected by the loggers was also used to calculate daily average temperature</w:t>
      </w:r>
      <w:r w:rsidRPr="00BA2F8A">
        <w:t xml:space="preserve"> and dissolved oxygen concentrations (</w:t>
      </w:r>
      <w:r>
        <w:t xml:space="preserve">see </w:t>
      </w:r>
      <w:r w:rsidR="0077301B">
        <w:t>Appendix</w:t>
      </w:r>
      <w:r>
        <w:t xml:space="preserve"> A</w:t>
      </w:r>
      <w:r w:rsidRPr="00BA2F8A">
        <w:t xml:space="preserve">) for each of the </w:t>
      </w:r>
      <w:r>
        <w:t>zones</w:t>
      </w:r>
      <w:r w:rsidRPr="00BA2F8A">
        <w:t xml:space="preserve"> from</w:t>
      </w:r>
      <w:r>
        <w:t xml:space="preserve"> mid-August 2015 to early April 2016. </w:t>
      </w:r>
      <w:r w:rsidR="00724469">
        <w:t>W</w:t>
      </w:r>
      <w:r w:rsidR="00724469" w:rsidRPr="00DA3E0D">
        <w:t>ater quality parameters (temperature (</w:t>
      </w:r>
      <w:r w:rsidR="00724469" w:rsidRPr="00DA3E0D">
        <w:rPr>
          <w:vertAlign w:val="superscript"/>
        </w:rPr>
        <w:t>o</w:t>
      </w:r>
      <w:r w:rsidR="00724469" w:rsidRPr="00DA3E0D">
        <w:t xml:space="preserve">C), </w:t>
      </w:r>
      <w:r w:rsidR="00724469">
        <w:t>electrical</w:t>
      </w:r>
      <w:r w:rsidR="00724469" w:rsidRPr="00DA3E0D">
        <w:t xml:space="preserve"> conductivity (mS/cm), dissolved oxygen (%), pH, and turbidity (NTU)) were measured as spot recordings fortnightly at two sites within each </w:t>
      </w:r>
      <w:r w:rsidR="00724469">
        <w:t>Zone (and one in Zone 2)</w:t>
      </w:r>
      <w:r w:rsidR="00724469" w:rsidRPr="00DA3E0D">
        <w:t>.</w:t>
      </w:r>
    </w:p>
    <w:p w14:paraId="3B4F8DCE" w14:textId="77777777" w:rsidR="008E56CC" w:rsidRDefault="008E56CC" w:rsidP="008E6212">
      <w:pPr>
        <w:spacing w:after="240" w:line="320" w:lineRule="exact"/>
        <w:jc w:val="left"/>
        <w:rPr>
          <w:iCs/>
        </w:rPr>
      </w:pPr>
      <w:r>
        <w:lastRenderedPageBreak/>
        <w:t xml:space="preserve">After discussions at the LTIM annual forum in July 2016, it was decided that an updated version of the BASE model (BASEv2) would be used for analysing the 2015-16 metabolism data. This change was a result of the paper published by Song et al. (2016) which showed that our BASE model could be improved by changing from stepwise progression and fitting using each data point to </w:t>
      </w:r>
      <w:r w:rsidRPr="008E56CC">
        <w:t xml:space="preserve">integrated (whole data set) fitting and progression suing modelled data. Thus, </w:t>
      </w:r>
      <w:r w:rsidRPr="008E56CC">
        <w:rPr>
          <w:iCs/>
        </w:rPr>
        <w:t>the 2014-15 and 2015-16 rates have been determined using related, but different models. Extensive testing of both models (BASE and BASEv2) on the same data sets indicate that the latter typically produces estimates of GPP and ER that are around 5% higher than the model used in 2014-15. Hence parameter estimates across both years are not directly comparable. However, differences of 5% are considered small and almost within the ‘noise’ of daily parameter estimation.</w:t>
      </w:r>
    </w:p>
    <w:p w14:paraId="3B4F8DCF" w14:textId="77777777" w:rsidR="008E6212" w:rsidRPr="00AD3F89" w:rsidRDefault="008E6212" w:rsidP="008E6212">
      <w:pPr>
        <w:spacing w:after="240" w:line="320" w:lineRule="exact"/>
        <w:jc w:val="left"/>
      </w:pPr>
      <w:r w:rsidRPr="00AD3F89">
        <w:t>Acceptance criteria for inclusion of daily results</w:t>
      </w:r>
      <w:r>
        <w:t xml:space="preserve"> </w:t>
      </w:r>
      <w:r w:rsidRPr="00AD3F89">
        <w:t xml:space="preserve">from the BASE model </w:t>
      </w:r>
      <w:r w:rsidR="00115A7E">
        <w:t>(Grace et al.</w:t>
      </w:r>
      <w:r>
        <w:t xml:space="preserve"> </w:t>
      </w:r>
      <w:r w:rsidRPr="00F21554">
        <w:t xml:space="preserve">2015) in the data analysis presented here were established at the </w:t>
      </w:r>
      <w:r w:rsidR="008E56CC">
        <w:t>2015 Annual LTIM Workshop</w:t>
      </w:r>
      <w:r w:rsidRPr="00F21554">
        <w:t>. T</w:t>
      </w:r>
      <w:r w:rsidRPr="00AD3F89">
        <w:t>hese criteria were that the fitted model for a day must have both an r</w:t>
      </w:r>
      <w:r w:rsidRPr="00AD3F89">
        <w:rPr>
          <w:vertAlign w:val="superscript"/>
        </w:rPr>
        <w:t>2</w:t>
      </w:r>
      <w:r w:rsidRPr="00AD3F89">
        <w:t xml:space="preserve"> value of at least 0.90 </w:t>
      </w:r>
      <w:r w:rsidRPr="00AD3F89">
        <w:rPr>
          <w:i/>
          <w:iCs/>
        </w:rPr>
        <w:t>and</w:t>
      </w:r>
      <w:r w:rsidRPr="00AD3F89">
        <w:t xml:space="preserve"> a coefficient of variation for the GPP parameter of &lt; 50%.</w:t>
      </w:r>
      <w:r>
        <w:t xml:space="preserve"> With BASEv2 an additional criterion was also used which stipulated the model fit parameter PPfit must be in the range 0.1 to 0.9. Values of PPfit outside this range indicated that the ’best fit’ to the data was still an implausible model.</w:t>
      </w:r>
    </w:p>
    <w:p w14:paraId="3B4F8DD0" w14:textId="77777777" w:rsidR="008E6212" w:rsidRPr="00F21554" w:rsidRDefault="008E6212" w:rsidP="008E6212">
      <w:pPr>
        <w:spacing w:after="240" w:line="324" w:lineRule="exact"/>
        <w:jc w:val="left"/>
        <w:rPr>
          <w:b/>
          <w:color w:val="4F6228" w:themeColor="accent3" w:themeShade="80"/>
          <w:sz w:val="24"/>
          <w:szCs w:val="24"/>
        </w:rPr>
      </w:pPr>
      <w:r>
        <w:rPr>
          <w:b/>
          <w:color w:val="4F6228" w:themeColor="accent3" w:themeShade="80"/>
          <w:sz w:val="24"/>
          <w:szCs w:val="24"/>
        </w:rPr>
        <w:t>B</w:t>
      </w:r>
      <w:r w:rsidRPr="00F21554">
        <w:rPr>
          <w:b/>
          <w:color w:val="4F6228" w:themeColor="accent3" w:themeShade="80"/>
          <w:sz w:val="24"/>
          <w:szCs w:val="24"/>
        </w:rPr>
        <w:t xml:space="preserve">.4 </w:t>
      </w:r>
      <w:r>
        <w:rPr>
          <w:b/>
          <w:color w:val="4F6228" w:themeColor="accent3" w:themeShade="80"/>
          <w:sz w:val="24"/>
          <w:szCs w:val="24"/>
        </w:rPr>
        <w:t xml:space="preserve">  </w:t>
      </w:r>
      <w:r w:rsidRPr="00F21554">
        <w:rPr>
          <w:b/>
          <w:color w:val="4F6228" w:themeColor="accent3" w:themeShade="80"/>
          <w:sz w:val="24"/>
          <w:szCs w:val="24"/>
        </w:rPr>
        <w:t>Results</w:t>
      </w:r>
    </w:p>
    <w:p w14:paraId="3B4F8DD1" w14:textId="77777777" w:rsidR="008E6212" w:rsidRDefault="008E6212" w:rsidP="008E6212">
      <w:pPr>
        <w:spacing w:after="240" w:line="324" w:lineRule="exact"/>
        <w:jc w:val="left"/>
        <w:rPr>
          <w:bCs/>
        </w:rPr>
      </w:pPr>
      <w:r>
        <w:rPr>
          <w:bCs/>
        </w:rPr>
        <w:t>Regular maintenance and occasional problems with some loggers meant that there were less than the maximum 232 daily results for each site</w:t>
      </w:r>
      <w:r w:rsidR="00724469">
        <w:rPr>
          <w:bCs/>
        </w:rPr>
        <w:t xml:space="preserve"> (Table B.1)</w:t>
      </w:r>
      <w:r>
        <w:rPr>
          <w:bCs/>
        </w:rPr>
        <w:t xml:space="preserve">. </w:t>
      </w:r>
      <w:r w:rsidRPr="00286550">
        <w:rPr>
          <w:bCs/>
        </w:rPr>
        <w:t xml:space="preserve">Using the acceptance criteria for each day’s diel DO curve, the acceptance rate ranged from </w:t>
      </w:r>
      <w:r>
        <w:rPr>
          <w:bCs/>
        </w:rPr>
        <w:t>67</w:t>
      </w:r>
      <w:r w:rsidRPr="00286550">
        <w:rPr>
          <w:bCs/>
        </w:rPr>
        <w:t xml:space="preserve">% of all days </w:t>
      </w:r>
      <w:r>
        <w:rPr>
          <w:bCs/>
        </w:rPr>
        <w:t xml:space="preserve">with data available </w:t>
      </w:r>
      <w:r w:rsidRPr="00286550">
        <w:rPr>
          <w:bCs/>
        </w:rPr>
        <w:t>(1</w:t>
      </w:r>
      <w:r>
        <w:rPr>
          <w:bCs/>
        </w:rPr>
        <w:t>44</w:t>
      </w:r>
      <w:r w:rsidRPr="00286550">
        <w:rPr>
          <w:bCs/>
        </w:rPr>
        <w:t xml:space="preserve"> from 2</w:t>
      </w:r>
      <w:r>
        <w:rPr>
          <w:bCs/>
        </w:rPr>
        <w:t>16</w:t>
      </w:r>
      <w:r w:rsidRPr="00286550">
        <w:rPr>
          <w:bCs/>
        </w:rPr>
        <w:t xml:space="preserve">) for Zone 2 </w:t>
      </w:r>
      <w:r>
        <w:rPr>
          <w:bCs/>
        </w:rPr>
        <w:t>Downstream</w:t>
      </w:r>
      <w:r w:rsidRPr="00286550">
        <w:rPr>
          <w:bCs/>
        </w:rPr>
        <w:t xml:space="preserve">, down to </w:t>
      </w:r>
      <w:r>
        <w:rPr>
          <w:bCs/>
        </w:rPr>
        <w:t>14</w:t>
      </w:r>
      <w:r w:rsidRPr="00286550">
        <w:rPr>
          <w:bCs/>
        </w:rPr>
        <w:t>% (</w:t>
      </w:r>
      <w:r>
        <w:rPr>
          <w:bCs/>
        </w:rPr>
        <w:t>31</w:t>
      </w:r>
      <w:r w:rsidRPr="00286550">
        <w:rPr>
          <w:bCs/>
        </w:rPr>
        <w:t xml:space="preserve"> of </w:t>
      </w:r>
      <w:r>
        <w:rPr>
          <w:bCs/>
        </w:rPr>
        <w:t>215</w:t>
      </w:r>
      <w:r w:rsidRPr="00286550">
        <w:rPr>
          <w:bCs/>
        </w:rPr>
        <w:t xml:space="preserve">) at Zone </w:t>
      </w:r>
      <w:r>
        <w:rPr>
          <w:bCs/>
        </w:rPr>
        <w:t>3</w:t>
      </w:r>
      <w:r w:rsidRPr="00286550">
        <w:rPr>
          <w:bCs/>
        </w:rPr>
        <w:t xml:space="preserve"> </w:t>
      </w:r>
      <w:r>
        <w:rPr>
          <w:bCs/>
        </w:rPr>
        <w:t>Upstream</w:t>
      </w:r>
      <w:r w:rsidR="00724469">
        <w:rPr>
          <w:bCs/>
        </w:rPr>
        <w:t xml:space="preserve"> (</w:t>
      </w:r>
      <w:r>
        <w:rPr>
          <w:bCs/>
        </w:rPr>
        <w:t>Table B.1</w:t>
      </w:r>
      <w:r w:rsidR="00724469">
        <w:rPr>
          <w:bCs/>
        </w:rPr>
        <w:t>)</w:t>
      </w:r>
      <w:r>
        <w:rPr>
          <w:bCs/>
        </w:rPr>
        <w:t>.</w:t>
      </w:r>
    </w:p>
    <w:p w14:paraId="3B4F8DD2" w14:textId="77777777" w:rsidR="00B7596C" w:rsidRDefault="00B7596C">
      <w:pPr>
        <w:spacing w:after="0" w:line="240" w:lineRule="auto"/>
        <w:jc w:val="left"/>
        <w:rPr>
          <w:b/>
          <w:color w:val="000000" w:themeColor="text1"/>
          <w:sz w:val="20"/>
          <w:lang w:val="en-US"/>
        </w:rPr>
      </w:pPr>
    </w:p>
    <w:p w14:paraId="3B4F8DD3" w14:textId="77777777" w:rsidR="008E6212" w:rsidRDefault="008E6212" w:rsidP="008E6212">
      <w:pPr>
        <w:spacing w:after="120" w:line="240" w:lineRule="auto"/>
        <w:rPr>
          <w:color w:val="000000" w:themeColor="text1"/>
          <w:sz w:val="20"/>
          <w:lang w:val="en-US"/>
        </w:rPr>
      </w:pPr>
      <w:r>
        <w:rPr>
          <w:b/>
          <w:color w:val="000000" w:themeColor="text1"/>
          <w:sz w:val="20"/>
          <w:lang w:val="en-US"/>
        </w:rPr>
        <w:t>T</w:t>
      </w:r>
      <w:r w:rsidRPr="00A00D76">
        <w:rPr>
          <w:b/>
          <w:color w:val="000000" w:themeColor="text1"/>
          <w:sz w:val="20"/>
          <w:lang w:val="en-US"/>
        </w:rPr>
        <w:t xml:space="preserve">able </w:t>
      </w:r>
      <w:r>
        <w:rPr>
          <w:b/>
          <w:color w:val="000000" w:themeColor="text1"/>
          <w:sz w:val="20"/>
          <w:lang w:val="en-US"/>
        </w:rPr>
        <w:t>B.1</w:t>
      </w:r>
      <w:r>
        <w:rPr>
          <w:color w:val="000000" w:themeColor="text1"/>
          <w:sz w:val="20"/>
          <w:lang w:val="en-US"/>
        </w:rPr>
        <w:t xml:space="preserve">   Summary of data availability for the seven data logger sites, August 2015 - April 2016.</w:t>
      </w:r>
    </w:p>
    <w:tbl>
      <w:tblPr>
        <w:tblStyle w:val="TableGrid"/>
        <w:tblW w:w="7800" w:type="dxa"/>
        <w:tblLook w:val="04A0" w:firstRow="1" w:lastRow="0" w:firstColumn="1" w:lastColumn="0" w:noHBand="0" w:noVBand="1"/>
      </w:tblPr>
      <w:tblGrid>
        <w:gridCol w:w="2410"/>
        <w:gridCol w:w="1413"/>
        <w:gridCol w:w="1142"/>
        <w:gridCol w:w="1417"/>
        <w:gridCol w:w="1418"/>
      </w:tblGrid>
      <w:tr w:rsidR="008E6212" w:rsidRPr="0064288D" w14:paraId="3B4F8DDA" w14:textId="77777777" w:rsidTr="00B7596C">
        <w:trPr>
          <w:trHeight w:val="288"/>
        </w:trPr>
        <w:tc>
          <w:tcPr>
            <w:tcW w:w="2410" w:type="dxa"/>
            <w:shd w:val="clear" w:color="auto" w:fill="D6E3BC" w:themeFill="accent3" w:themeFillTint="66"/>
            <w:noWrap/>
            <w:hideMark/>
          </w:tcPr>
          <w:p w14:paraId="3B4F8DD4" w14:textId="77777777" w:rsidR="008E6212" w:rsidRPr="0064288D" w:rsidRDefault="008E6212" w:rsidP="009C1A36">
            <w:pPr>
              <w:spacing w:after="0" w:line="240" w:lineRule="auto"/>
              <w:jc w:val="center"/>
              <w:rPr>
                <w:color w:val="000000"/>
                <w:szCs w:val="22"/>
                <w:lang w:eastAsia="zh-CN"/>
              </w:rPr>
            </w:pPr>
            <w:r>
              <w:rPr>
                <w:color w:val="000000"/>
                <w:szCs w:val="22"/>
                <w:lang w:eastAsia="zh-CN"/>
              </w:rPr>
              <w:t xml:space="preserve">Hydrological </w:t>
            </w:r>
            <w:r w:rsidRPr="0064288D">
              <w:rPr>
                <w:color w:val="000000"/>
                <w:szCs w:val="22"/>
                <w:lang w:eastAsia="zh-CN"/>
              </w:rPr>
              <w:t>Zone</w:t>
            </w:r>
          </w:p>
        </w:tc>
        <w:tc>
          <w:tcPr>
            <w:tcW w:w="1413" w:type="dxa"/>
            <w:shd w:val="clear" w:color="auto" w:fill="D6E3BC" w:themeFill="accent3" w:themeFillTint="66"/>
            <w:noWrap/>
            <w:hideMark/>
          </w:tcPr>
          <w:p w14:paraId="3B4F8DD5"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Site</w:t>
            </w:r>
          </w:p>
        </w:tc>
        <w:tc>
          <w:tcPr>
            <w:tcW w:w="1142" w:type="dxa"/>
            <w:shd w:val="clear" w:color="auto" w:fill="D6E3BC" w:themeFill="accent3" w:themeFillTint="66"/>
            <w:noWrap/>
            <w:hideMark/>
          </w:tcPr>
          <w:p w14:paraId="3B4F8DD6"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 xml:space="preserve">Total Number of Days </w:t>
            </w:r>
          </w:p>
        </w:tc>
        <w:tc>
          <w:tcPr>
            <w:tcW w:w="1417" w:type="dxa"/>
            <w:shd w:val="clear" w:color="auto" w:fill="D6E3BC" w:themeFill="accent3" w:themeFillTint="66"/>
            <w:noWrap/>
            <w:hideMark/>
          </w:tcPr>
          <w:p w14:paraId="3B4F8DD7"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Days with Acceptable Data</w:t>
            </w:r>
          </w:p>
        </w:tc>
        <w:tc>
          <w:tcPr>
            <w:tcW w:w="1418" w:type="dxa"/>
            <w:shd w:val="clear" w:color="auto" w:fill="D6E3BC" w:themeFill="accent3" w:themeFillTint="66"/>
            <w:noWrap/>
            <w:hideMark/>
          </w:tcPr>
          <w:p w14:paraId="3B4F8DD8" w14:textId="77777777" w:rsidR="008E6212" w:rsidRDefault="008E6212" w:rsidP="009C1A36">
            <w:pPr>
              <w:spacing w:after="0" w:line="240" w:lineRule="auto"/>
              <w:jc w:val="center"/>
              <w:rPr>
                <w:color w:val="000000"/>
                <w:szCs w:val="22"/>
                <w:lang w:eastAsia="zh-CN"/>
              </w:rPr>
            </w:pPr>
            <w:r w:rsidRPr="0064288D">
              <w:rPr>
                <w:color w:val="000000"/>
                <w:szCs w:val="22"/>
                <w:lang w:eastAsia="zh-CN"/>
              </w:rPr>
              <w:t xml:space="preserve">% of </w:t>
            </w:r>
          </w:p>
          <w:p w14:paraId="3B4F8DD9"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Acceptable Days</w:t>
            </w:r>
          </w:p>
        </w:tc>
      </w:tr>
      <w:tr w:rsidR="008E6212" w:rsidRPr="0064288D" w14:paraId="3B4F8DE0" w14:textId="77777777" w:rsidTr="009C1A36">
        <w:trPr>
          <w:trHeight w:val="288"/>
        </w:trPr>
        <w:tc>
          <w:tcPr>
            <w:tcW w:w="2410" w:type="dxa"/>
            <w:vMerge w:val="restart"/>
            <w:noWrap/>
            <w:vAlign w:val="center"/>
            <w:hideMark/>
          </w:tcPr>
          <w:p w14:paraId="3B4F8DDB" w14:textId="77777777" w:rsidR="008E6212" w:rsidRPr="0064288D" w:rsidRDefault="008E6212" w:rsidP="009C1A36">
            <w:pPr>
              <w:spacing w:after="0" w:line="240" w:lineRule="auto"/>
              <w:jc w:val="left"/>
              <w:rPr>
                <w:color w:val="000000"/>
                <w:szCs w:val="22"/>
                <w:lang w:eastAsia="zh-CN"/>
              </w:rPr>
            </w:pPr>
            <w:r>
              <w:rPr>
                <w:color w:val="000000"/>
                <w:szCs w:val="22"/>
                <w:lang w:eastAsia="zh-CN"/>
              </w:rPr>
              <w:t xml:space="preserve">Zone </w:t>
            </w:r>
            <w:r w:rsidRPr="0064288D">
              <w:rPr>
                <w:color w:val="000000"/>
                <w:szCs w:val="22"/>
                <w:lang w:eastAsia="zh-CN"/>
              </w:rPr>
              <w:t>1</w:t>
            </w:r>
            <w:r>
              <w:rPr>
                <w:color w:val="000000"/>
                <w:szCs w:val="22"/>
                <w:lang w:eastAsia="zh-CN"/>
              </w:rPr>
              <w:t xml:space="preserve"> Yallakool Ck</w:t>
            </w:r>
          </w:p>
        </w:tc>
        <w:tc>
          <w:tcPr>
            <w:tcW w:w="1413" w:type="dxa"/>
            <w:noWrap/>
            <w:hideMark/>
          </w:tcPr>
          <w:p w14:paraId="3B4F8DDC"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Upstream</w:t>
            </w:r>
          </w:p>
        </w:tc>
        <w:tc>
          <w:tcPr>
            <w:tcW w:w="1142" w:type="dxa"/>
            <w:noWrap/>
            <w:hideMark/>
          </w:tcPr>
          <w:p w14:paraId="3B4F8DDD"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219</w:t>
            </w:r>
          </w:p>
        </w:tc>
        <w:tc>
          <w:tcPr>
            <w:tcW w:w="1417" w:type="dxa"/>
            <w:noWrap/>
            <w:hideMark/>
          </w:tcPr>
          <w:p w14:paraId="3B4F8DDE"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130</w:t>
            </w:r>
          </w:p>
        </w:tc>
        <w:tc>
          <w:tcPr>
            <w:tcW w:w="1418" w:type="dxa"/>
            <w:noWrap/>
            <w:hideMark/>
          </w:tcPr>
          <w:p w14:paraId="3B4F8DDF"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59</w:t>
            </w:r>
          </w:p>
        </w:tc>
      </w:tr>
      <w:tr w:rsidR="008E6212" w:rsidRPr="0064288D" w14:paraId="3B4F8DE6" w14:textId="77777777" w:rsidTr="009C1A36">
        <w:trPr>
          <w:trHeight w:val="288"/>
        </w:trPr>
        <w:tc>
          <w:tcPr>
            <w:tcW w:w="2410" w:type="dxa"/>
            <w:vMerge/>
            <w:noWrap/>
            <w:vAlign w:val="center"/>
            <w:hideMark/>
          </w:tcPr>
          <w:p w14:paraId="3B4F8DE1" w14:textId="77777777" w:rsidR="008E6212" w:rsidRPr="0064288D" w:rsidRDefault="008E6212" w:rsidP="009C1A36">
            <w:pPr>
              <w:spacing w:after="0" w:line="240" w:lineRule="auto"/>
              <w:jc w:val="left"/>
              <w:rPr>
                <w:color w:val="000000"/>
                <w:szCs w:val="22"/>
                <w:lang w:eastAsia="zh-CN"/>
              </w:rPr>
            </w:pPr>
          </w:p>
        </w:tc>
        <w:tc>
          <w:tcPr>
            <w:tcW w:w="1413" w:type="dxa"/>
            <w:noWrap/>
            <w:hideMark/>
          </w:tcPr>
          <w:p w14:paraId="3B4F8DE2"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Downstream</w:t>
            </w:r>
          </w:p>
        </w:tc>
        <w:tc>
          <w:tcPr>
            <w:tcW w:w="1142" w:type="dxa"/>
            <w:noWrap/>
            <w:hideMark/>
          </w:tcPr>
          <w:p w14:paraId="3B4F8DE3"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219</w:t>
            </w:r>
          </w:p>
        </w:tc>
        <w:tc>
          <w:tcPr>
            <w:tcW w:w="1417" w:type="dxa"/>
            <w:noWrap/>
            <w:hideMark/>
          </w:tcPr>
          <w:p w14:paraId="3B4F8DE4"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136</w:t>
            </w:r>
          </w:p>
        </w:tc>
        <w:tc>
          <w:tcPr>
            <w:tcW w:w="1418" w:type="dxa"/>
            <w:noWrap/>
            <w:hideMark/>
          </w:tcPr>
          <w:p w14:paraId="3B4F8DE5"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62</w:t>
            </w:r>
          </w:p>
        </w:tc>
      </w:tr>
      <w:tr w:rsidR="008E6212" w:rsidRPr="0064288D" w14:paraId="3B4F8DEC" w14:textId="77777777" w:rsidTr="009C1A36">
        <w:trPr>
          <w:trHeight w:val="288"/>
        </w:trPr>
        <w:tc>
          <w:tcPr>
            <w:tcW w:w="2410" w:type="dxa"/>
            <w:noWrap/>
            <w:vAlign w:val="center"/>
            <w:hideMark/>
          </w:tcPr>
          <w:p w14:paraId="3B4F8DE7" w14:textId="77777777" w:rsidR="008E6212" w:rsidRPr="0064288D" w:rsidRDefault="008E6212" w:rsidP="009C1A36">
            <w:pPr>
              <w:spacing w:after="0" w:line="240" w:lineRule="auto"/>
              <w:jc w:val="left"/>
              <w:rPr>
                <w:color w:val="000000"/>
                <w:szCs w:val="22"/>
                <w:lang w:eastAsia="zh-CN"/>
              </w:rPr>
            </w:pPr>
            <w:r>
              <w:rPr>
                <w:color w:val="000000"/>
                <w:szCs w:val="22"/>
                <w:lang w:eastAsia="zh-CN"/>
              </w:rPr>
              <w:t xml:space="preserve">Zone </w:t>
            </w:r>
            <w:r w:rsidRPr="0064288D">
              <w:rPr>
                <w:color w:val="000000"/>
                <w:szCs w:val="22"/>
                <w:lang w:eastAsia="zh-CN"/>
              </w:rPr>
              <w:t>2</w:t>
            </w:r>
            <w:r>
              <w:rPr>
                <w:color w:val="000000"/>
                <w:szCs w:val="22"/>
                <w:lang w:eastAsia="zh-CN"/>
              </w:rPr>
              <w:t xml:space="preserve"> Wakool River</w:t>
            </w:r>
          </w:p>
        </w:tc>
        <w:tc>
          <w:tcPr>
            <w:tcW w:w="1413" w:type="dxa"/>
            <w:noWrap/>
            <w:hideMark/>
          </w:tcPr>
          <w:p w14:paraId="3B4F8DE8"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Downstream</w:t>
            </w:r>
          </w:p>
        </w:tc>
        <w:tc>
          <w:tcPr>
            <w:tcW w:w="1142" w:type="dxa"/>
            <w:noWrap/>
            <w:hideMark/>
          </w:tcPr>
          <w:p w14:paraId="3B4F8DE9"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216</w:t>
            </w:r>
          </w:p>
        </w:tc>
        <w:tc>
          <w:tcPr>
            <w:tcW w:w="1417" w:type="dxa"/>
            <w:noWrap/>
            <w:hideMark/>
          </w:tcPr>
          <w:p w14:paraId="3B4F8DEA"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144</w:t>
            </w:r>
          </w:p>
        </w:tc>
        <w:tc>
          <w:tcPr>
            <w:tcW w:w="1418" w:type="dxa"/>
            <w:noWrap/>
            <w:hideMark/>
          </w:tcPr>
          <w:p w14:paraId="3B4F8DEB"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67</w:t>
            </w:r>
          </w:p>
        </w:tc>
      </w:tr>
      <w:tr w:rsidR="008E6212" w:rsidRPr="0064288D" w14:paraId="3B4F8DF2" w14:textId="77777777" w:rsidTr="009C1A36">
        <w:trPr>
          <w:trHeight w:val="288"/>
        </w:trPr>
        <w:tc>
          <w:tcPr>
            <w:tcW w:w="2410" w:type="dxa"/>
            <w:vMerge w:val="restart"/>
            <w:noWrap/>
            <w:vAlign w:val="center"/>
            <w:hideMark/>
          </w:tcPr>
          <w:p w14:paraId="3B4F8DED" w14:textId="77777777" w:rsidR="008E6212" w:rsidRPr="0064288D" w:rsidRDefault="008E6212" w:rsidP="009C1A36">
            <w:pPr>
              <w:spacing w:after="0" w:line="240" w:lineRule="auto"/>
              <w:jc w:val="left"/>
              <w:rPr>
                <w:color w:val="000000"/>
                <w:szCs w:val="22"/>
                <w:lang w:eastAsia="zh-CN"/>
              </w:rPr>
            </w:pPr>
            <w:r>
              <w:rPr>
                <w:color w:val="000000"/>
                <w:szCs w:val="22"/>
                <w:lang w:eastAsia="zh-CN"/>
              </w:rPr>
              <w:t xml:space="preserve">Zone </w:t>
            </w:r>
            <w:r w:rsidRPr="0064288D">
              <w:rPr>
                <w:color w:val="000000"/>
                <w:szCs w:val="22"/>
                <w:lang w:eastAsia="zh-CN"/>
              </w:rPr>
              <w:t>3</w:t>
            </w:r>
            <w:r>
              <w:rPr>
                <w:color w:val="000000"/>
                <w:szCs w:val="22"/>
                <w:lang w:eastAsia="zh-CN"/>
              </w:rPr>
              <w:t xml:space="preserve"> Wakool River </w:t>
            </w:r>
          </w:p>
        </w:tc>
        <w:tc>
          <w:tcPr>
            <w:tcW w:w="1413" w:type="dxa"/>
            <w:noWrap/>
            <w:hideMark/>
          </w:tcPr>
          <w:p w14:paraId="3B4F8DEE"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Upstream</w:t>
            </w:r>
          </w:p>
        </w:tc>
        <w:tc>
          <w:tcPr>
            <w:tcW w:w="1142" w:type="dxa"/>
            <w:noWrap/>
            <w:hideMark/>
          </w:tcPr>
          <w:p w14:paraId="3B4F8DEF"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215</w:t>
            </w:r>
          </w:p>
        </w:tc>
        <w:tc>
          <w:tcPr>
            <w:tcW w:w="1417" w:type="dxa"/>
            <w:noWrap/>
            <w:hideMark/>
          </w:tcPr>
          <w:p w14:paraId="3B4F8DF0"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31</w:t>
            </w:r>
          </w:p>
        </w:tc>
        <w:tc>
          <w:tcPr>
            <w:tcW w:w="1418" w:type="dxa"/>
            <w:noWrap/>
            <w:hideMark/>
          </w:tcPr>
          <w:p w14:paraId="3B4F8DF1"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14</w:t>
            </w:r>
          </w:p>
        </w:tc>
      </w:tr>
      <w:tr w:rsidR="008E6212" w:rsidRPr="0064288D" w14:paraId="3B4F8DF8" w14:textId="77777777" w:rsidTr="009C1A36">
        <w:trPr>
          <w:trHeight w:val="288"/>
        </w:trPr>
        <w:tc>
          <w:tcPr>
            <w:tcW w:w="2410" w:type="dxa"/>
            <w:vMerge/>
            <w:noWrap/>
            <w:vAlign w:val="center"/>
            <w:hideMark/>
          </w:tcPr>
          <w:p w14:paraId="3B4F8DF3" w14:textId="77777777" w:rsidR="008E6212" w:rsidRPr="0064288D" w:rsidRDefault="008E6212" w:rsidP="009C1A36">
            <w:pPr>
              <w:spacing w:after="0" w:line="240" w:lineRule="auto"/>
              <w:jc w:val="left"/>
              <w:rPr>
                <w:color w:val="000000"/>
                <w:szCs w:val="22"/>
                <w:lang w:eastAsia="zh-CN"/>
              </w:rPr>
            </w:pPr>
          </w:p>
        </w:tc>
        <w:tc>
          <w:tcPr>
            <w:tcW w:w="1413" w:type="dxa"/>
            <w:noWrap/>
            <w:hideMark/>
          </w:tcPr>
          <w:p w14:paraId="3B4F8DF4"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Downstream</w:t>
            </w:r>
          </w:p>
        </w:tc>
        <w:tc>
          <w:tcPr>
            <w:tcW w:w="1142" w:type="dxa"/>
            <w:noWrap/>
            <w:hideMark/>
          </w:tcPr>
          <w:p w14:paraId="3B4F8DF5"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215</w:t>
            </w:r>
          </w:p>
        </w:tc>
        <w:tc>
          <w:tcPr>
            <w:tcW w:w="1417" w:type="dxa"/>
            <w:noWrap/>
            <w:hideMark/>
          </w:tcPr>
          <w:p w14:paraId="3B4F8DF6"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52</w:t>
            </w:r>
          </w:p>
        </w:tc>
        <w:tc>
          <w:tcPr>
            <w:tcW w:w="1418" w:type="dxa"/>
            <w:noWrap/>
            <w:hideMark/>
          </w:tcPr>
          <w:p w14:paraId="3B4F8DF7"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24</w:t>
            </w:r>
          </w:p>
        </w:tc>
      </w:tr>
      <w:tr w:rsidR="008E6212" w:rsidRPr="0064288D" w14:paraId="3B4F8DFE" w14:textId="77777777" w:rsidTr="009C1A36">
        <w:trPr>
          <w:trHeight w:val="288"/>
        </w:trPr>
        <w:tc>
          <w:tcPr>
            <w:tcW w:w="2410" w:type="dxa"/>
            <w:vMerge w:val="restart"/>
            <w:noWrap/>
            <w:vAlign w:val="center"/>
            <w:hideMark/>
          </w:tcPr>
          <w:p w14:paraId="3B4F8DF9" w14:textId="77777777" w:rsidR="008E6212" w:rsidRPr="0064288D" w:rsidRDefault="008E6212" w:rsidP="009C1A36">
            <w:pPr>
              <w:spacing w:after="0" w:line="240" w:lineRule="auto"/>
              <w:jc w:val="left"/>
              <w:rPr>
                <w:color w:val="000000"/>
                <w:szCs w:val="22"/>
                <w:lang w:eastAsia="zh-CN"/>
              </w:rPr>
            </w:pPr>
            <w:r>
              <w:rPr>
                <w:color w:val="000000"/>
                <w:szCs w:val="22"/>
                <w:lang w:eastAsia="zh-CN"/>
              </w:rPr>
              <w:t xml:space="preserve">Zone </w:t>
            </w:r>
            <w:r w:rsidRPr="0064288D">
              <w:rPr>
                <w:color w:val="000000"/>
                <w:szCs w:val="22"/>
                <w:lang w:eastAsia="zh-CN"/>
              </w:rPr>
              <w:t>4</w:t>
            </w:r>
            <w:r>
              <w:rPr>
                <w:color w:val="000000"/>
                <w:szCs w:val="22"/>
                <w:lang w:eastAsia="zh-CN"/>
              </w:rPr>
              <w:t xml:space="preserve"> Wakool River </w:t>
            </w:r>
          </w:p>
        </w:tc>
        <w:tc>
          <w:tcPr>
            <w:tcW w:w="1413" w:type="dxa"/>
            <w:noWrap/>
            <w:hideMark/>
          </w:tcPr>
          <w:p w14:paraId="3B4F8DFA"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Upstream</w:t>
            </w:r>
          </w:p>
        </w:tc>
        <w:tc>
          <w:tcPr>
            <w:tcW w:w="1142" w:type="dxa"/>
            <w:noWrap/>
            <w:hideMark/>
          </w:tcPr>
          <w:p w14:paraId="3B4F8DFB"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197</w:t>
            </w:r>
          </w:p>
        </w:tc>
        <w:tc>
          <w:tcPr>
            <w:tcW w:w="1417" w:type="dxa"/>
            <w:noWrap/>
            <w:hideMark/>
          </w:tcPr>
          <w:p w14:paraId="3B4F8DFC"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106</w:t>
            </w:r>
          </w:p>
        </w:tc>
        <w:tc>
          <w:tcPr>
            <w:tcW w:w="1418" w:type="dxa"/>
            <w:noWrap/>
            <w:hideMark/>
          </w:tcPr>
          <w:p w14:paraId="3B4F8DFD"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54</w:t>
            </w:r>
          </w:p>
        </w:tc>
      </w:tr>
      <w:tr w:rsidR="008E6212" w:rsidRPr="0064288D" w14:paraId="3B4F8E04" w14:textId="77777777" w:rsidTr="009C1A36">
        <w:trPr>
          <w:trHeight w:val="288"/>
        </w:trPr>
        <w:tc>
          <w:tcPr>
            <w:tcW w:w="2410" w:type="dxa"/>
            <w:vMerge/>
            <w:noWrap/>
            <w:hideMark/>
          </w:tcPr>
          <w:p w14:paraId="3B4F8DFF" w14:textId="77777777" w:rsidR="008E6212" w:rsidRPr="0064288D" w:rsidRDefault="008E6212" w:rsidP="009C1A36">
            <w:pPr>
              <w:spacing w:after="0" w:line="240" w:lineRule="auto"/>
              <w:jc w:val="center"/>
              <w:rPr>
                <w:color w:val="000000"/>
                <w:szCs w:val="22"/>
                <w:lang w:eastAsia="zh-CN"/>
              </w:rPr>
            </w:pPr>
          </w:p>
        </w:tc>
        <w:tc>
          <w:tcPr>
            <w:tcW w:w="1413" w:type="dxa"/>
            <w:noWrap/>
            <w:hideMark/>
          </w:tcPr>
          <w:p w14:paraId="3B4F8E00"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Downstream</w:t>
            </w:r>
          </w:p>
        </w:tc>
        <w:tc>
          <w:tcPr>
            <w:tcW w:w="1142" w:type="dxa"/>
            <w:noWrap/>
            <w:hideMark/>
          </w:tcPr>
          <w:p w14:paraId="3B4F8E01"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209</w:t>
            </w:r>
          </w:p>
        </w:tc>
        <w:tc>
          <w:tcPr>
            <w:tcW w:w="1417" w:type="dxa"/>
            <w:noWrap/>
            <w:hideMark/>
          </w:tcPr>
          <w:p w14:paraId="3B4F8E02"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77</w:t>
            </w:r>
          </w:p>
        </w:tc>
        <w:tc>
          <w:tcPr>
            <w:tcW w:w="1418" w:type="dxa"/>
            <w:noWrap/>
            <w:hideMark/>
          </w:tcPr>
          <w:p w14:paraId="3B4F8E03" w14:textId="77777777" w:rsidR="008E6212" w:rsidRPr="0064288D" w:rsidRDefault="008E6212" w:rsidP="009C1A36">
            <w:pPr>
              <w:spacing w:after="0" w:line="240" w:lineRule="auto"/>
              <w:jc w:val="center"/>
              <w:rPr>
                <w:color w:val="000000"/>
                <w:szCs w:val="22"/>
                <w:lang w:eastAsia="zh-CN"/>
              </w:rPr>
            </w:pPr>
            <w:r w:rsidRPr="0064288D">
              <w:rPr>
                <w:color w:val="000000"/>
                <w:szCs w:val="22"/>
                <w:lang w:eastAsia="zh-CN"/>
              </w:rPr>
              <w:t>37</w:t>
            </w:r>
          </w:p>
        </w:tc>
      </w:tr>
    </w:tbl>
    <w:p w14:paraId="3B4F8E05" w14:textId="77777777" w:rsidR="00B7596C" w:rsidRDefault="00B7596C" w:rsidP="008E6212">
      <w:pPr>
        <w:spacing w:after="240" w:line="324" w:lineRule="exact"/>
        <w:jc w:val="left"/>
        <w:rPr>
          <w:bCs/>
        </w:rPr>
      </w:pPr>
    </w:p>
    <w:p w14:paraId="3B4F8E06" w14:textId="77777777" w:rsidR="00E16129" w:rsidRDefault="00E16129">
      <w:pPr>
        <w:spacing w:after="0" w:line="240" w:lineRule="auto"/>
        <w:jc w:val="left"/>
        <w:rPr>
          <w:bCs/>
        </w:rPr>
      </w:pPr>
      <w:r>
        <w:rPr>
          <w:bCs/>
        </w:rPr>
        <w:br w:type="page"/>
      </w:r>
    </w:p>
    <w:p w14:paraId="3B4F8E07" w14:textId="77777777" w:rsidR="00B86B1D" w:rsidRDefault="008E6212" w:rsidP="00B86B1D">
      <w:pPr>
        <w:spacing w:after="240" w:line="320" w:lineRule="exact"/>
        <w:jc w:val="left"/>
      </w:pPr>
      <w:r w:rsidRPr="0052776B">
        <w:rPr>
          <w:bCs/>
        </w:rPr>
        <w:lastRenderedPageBreak/>
        <w:t xml:space="preserve">The median GPP values for all </w:t>
      </w:r>
      <w:r>
        <w:rPr>
          <w:bCs/>
        </w:rPr>
        <w:t>seven</w:t>
      </w:r>
      <w:r w:rsidRPr="0052776B">
        <w:rPr>
          <w:bCs/>
        </w:rPr>
        <w:t xml:space="preserve"> sites fall within a narrow range of 1.</w:t>
      </w:r>
      <w:r>
        <w:rPr>
          <w:bCs/>
        </w:rPr>
        <w:t>4</w:t>
      </w:r>
      <w:r w:rsidRPr="0052776B">
        <w:rPr>
          <w:bCs/>
        </w:rPr>
        <w:t xml:space="preserve"> to </w:t>
      </w:r>
      <w:r>
        <w:rPr>
          <w:bCs/>
        </w:rPr>
        <w:t>4.1</w:t>
      </w:r>
      <w:r w:rsidRPr="0052776B">
        <w:rPr>
          <w:bCs/>
        </w:rPr>
        <w:t xml:space="preserve"> mg O</w:t>
      </w:r>
      <w:r w:rsidRPr="0052776B">
        <w:rPr>
          <w:bCs/>
          <w:vertAlign w:val="subscript"/>
        </w:rPr>
        <w:t>2</w:t>
      </w:r>
      <w:r w:rsidRPr="0052776B">
        <w:rPr>
          <w:bCs/>
        </w:rPr>
        <w:t>/L/Day</w:t>
      </w:r>
      <w:r>
        <w:rPr>
          <w:bCs/>
        </w:rPr>
        <w:t xml:space="preserve"> (Table B.2, Figure B.2)</w:t>
      </w:r>
      <w:r w:rsidRPr="0052776B">
        <w:rPr>
          <w:bCs/>
        </w:rPr>
        <w:t>. This closeness in these median GPP rates is unsurprising given the similarity in the biogeochemical environments as noted in previous years (Watts et al. 2014</w:t>
      </w:r>
      <w:r>
        <w:rPr>
          <w:bCs/>
        </w:rPr>
        <w:t>b, Watts et al. 2015</w:t>
      </w:r>
      <w:r w:rsidRPr="0052776B">
        <w:rPr>
          <w:bCs/>
        </w:rPr>
        <w:t xml:space="preserve">). With the exception of a significantly higher value for Zone </w:t>
      </w:r>
      <w:r>
        <w:rPr>
          <w:bCs/>
        </w:rPr>
        <w:t>3 upstream (10.6 mg O</w:t>
      </w:r>
      <w:r>
        <w:rPr>
          <w:bCs/>
          <w:vertAlign w:val="subscript"/>
        </w:rPr>
        <w:t>2</w:t>
      </w:r>
      <w:r>
        <w:rPr>
          <w:bCs/>
        </w:rPr>
        <w:t>/L/Day)</w:t>
      </w:r>
      <w:r w:rsidRPr="0052776B">
        <w:rPr>
          <w:bCs/>
        </w:rPr>
        <w:t xml:space="preserve">, all median ER values fell within the range </w:t>
      </w:r>
      <w:r>
        <w:rPr>
          <w:bCs/>
        </w:rPr>
        <w:t>3.2</w:t>
      </w:r>
      <w:r w:rsidRPr="0052776B">
        <w:rPr>
          <w:bCs/>
        </w:rPr>
        <w:t xml:space="preserve"> to </w:t>
      </w:r>
      <w:r>
        <w:rPr>
          <w:bCs/>
        </w:rPr>
        <w:t>6.4</w:t>
      </w:r>
      <w:r w:rsidRPr="0052776B">
        <w:rPr>
          <w:bCs/>
        </w:rPr>
        <w:t xml:space="preserve"> mg O</w:t>
      </w:r>
      <w:r w:rsidRPr="0052776B">
        <w:rPr>
          <w:bCs/>
          <w:vertAlign w:val="subscript"/>
        </w:rPr>
        <w:t>2</w:t>
      </w:r>
      <w:r w:rsidRPr="0052776B">
        <w:rPr>
          <w:bCs/>
        </w:rPr>
        <w:t>/L/Day</w:t>
      </w:r>
      <w:r>
        <w:rPr>
          <w:bCs/>
        </w:rPr>
        <w:t xml:space="preserve"> (Table B.2, Figure B.3)</w:t>
      </w:r>
      <w:r w:rsidRPr="0052776B">
        <w:rPr>
          <w:bCs/>
        </w:rPr>
        <w:t>.</w:t>
      </w:r>
      <w:r w:rsidR="00C11B36">
        <w:rPr>
          <w:bCs/>
        </w:rPr>
        <w:t xml:space="preserve"> </w:t>
      </w:r>
      <w:r w:rsidR="00B86B1D">
        <w:t>Even though it appears that the median rates are much higher at the Zone 3 upstream site (GPP = 4.09 mg O</w:t>
      </w:r>
      <w:r w:rsidR="00B86B1D">
        <w:rPr>
          <w:vertAlign w:val="subscript"/>
        </w:rPr>
        <w:t>2</w:t>
      </w:r>
      <w:r w:rsidR="00B86B1D">
        <w:t>/L/Day, ER = 10.6 mg O</w:t>
      </w:r>
      <w:r w:rsidR="00B86B1D">
        <w:rPr>
          <w:vertAlign w:val="subscript"/>
        </w:rPr>
        <w:t>2</w:t>
      </w:r>
      <w:r w:rsidR="00B86B1D">
        <w:t>/L/Day), this is largely an artefact of the data set. This site had by far the least number of days that met the acceptance criteria (Table B.1) and not a single day in the August-October 2015 period. This spring period typically has the lowest rates measured throughout the entire monitoring period, so missing these will elevate the descriptive statistics. These ‘low’ spring time rates can clearly be seen in Figure B.2.</w:t>
      </w:r>
    </w:p>
    <w:p w14:paraId="3B4F8E08" w14:textId="77777777" w:rsidR="005E7544" w:rsidRDefault="005E7544" w:rsidP="005E7544">
      <w:pPr>
        <w:spacing w:after="240" w:line="320" w:lineRule="exact"/>
        <w:jc w:val="left"/>
        <w:rPr>
          <w:bCs/>
        </w:rPr>
      </w:pPr>
      <w:r>
        <w:rPr>
          <w:bCs/>
        </w:rPr>
        <w:t>There was no systematic difference between the daily GPP values measured within the two sites in Zones 1 or 4 (Table B.2). Hence indicating that there are no major changes to metabolism occurring within the reach between upstream and downstream loggers in these two zones. Comparison between the two sites in Zone 3 is compromised by the lack of estimates on the same day.</w:t>
      </w:r>
    </w:p>
    <w:p w14:paraId="3B4F8E09" w14:textId="77777777" w:rsidR="008E6212" w:rsidRDefault="008E6212" w:rsidP="008E6212">
      <w:pPr>
        <w:spacing w:after="120" w:line="240" w:lineRule="auto"/>
        <w:jc w:val="left"/>
        <w:rPr>
          <w:color w:val="000000" w:themeColor="text1"/>
          <w:sz w:val="20"/>
          <w:lang w:val="en-US"/>
        </w:rPr>
      </w:pPr>
      <w:r>
        <w:rPr>
          <w:b/>
          <w:color w:val="000000" w:themeColor="text1"/>
          <w:sz w:val="20"/>
          <w:lang w:val="en-US"/>
        </w:rPr>
        <w:t>T</w:t>
      </w:r>
      <w:r w:rsidRPr="00A00D76">
        <w:rPr>
          <w:b/>
          <w:color w:val="000000" w:themeColor="text1"/>
          <w:sz w:val="20"/>
          <w:lang w:val="en-US"/>
        </w:rPr>
        <w:t xml:space="preserve">able </w:t>
      </w:r>
      <w:r>
        <w:rPr>
          <w:b/>
          <w:color w:val="000000" w:themeColor="text1"/>
          <w:sz w:val="20"/>
          <w:lang w:val="en-US"/>
        </w:rPr>
        <w:t>B.2</w:t>
      </w:r>
      <w:r>
        <w:rPr>
          <w:color w:val="000000" w:themeColor="text1"/>
          <w:sz w:val="20"/>
          <w:lang w:val="en-US"/>
        </w:rPr>
        <w:t xml:space="preserve">   Median, minimum and maximum values of primary production (GPP), ecosystem respiration (ER) rates and P/R ratios for the seven study sites, August 2015 - April 2016. ‘n’ is the number of days for which successful estimates of metabolic parameters were obtained. The data is separated into the four separate zones.</w:t>
      </w:r>
    </w:p>
    <w:tbl>
      <w:tblPr>
        <w:tblW w:w="7926" w:type="dxa"/>
        <w:tblLook w:val="04A0" w:firstRow="1" w:lastRow="0" w:firstColumn="1" w:lastColumn="0" w:noHBand="0" w:noVBand="1"/>
      </w:tblPr>
      <w:tblGrid>
        <w:gridCol w:w="1974"/>
        <w:gridCol w:w="11"/>
        <w:gridCol w:w="1395"/>
        <w:gridCol w:w="11"/>
        <w:gridCol w:w="816"/>
        <w:gridCol w:w="11"/>
        <w:gridCol w:w="816"/>
        <w:gridCol w:w="11"/>
        <w:gridCol w:w="1312"/>
        <w:gridCol w:w="12"/>
        <w:gridCol w:w="767"/>
        <w:gridCol w:w="13"/>
        <w:gridCol w:w="766"/>
        <w:gridCol w:w="13"/>
      </w:tblGrid>
      <w:tr w:rsidR="008E6212" w:rsidRPr="00956EBC" w14:paraId="3B4F8E0D" w14:textId="77777777" w:rsidTr="00B7596C">
        <w:trPr>
          <w:trHeight w:val="288"/>
        </w:trPr>
        <w:tc>
          <w:tcPr>
            <w:tcW w:w="1985" w:type="dxa"/>
            <w:gridSpan w:val="2"/>
            <w:tcBorders>
              <w:top w:val="nil"/>
              <w:left w:val="nil"/>
              <w:bottom w:val="nil"/>
              <w:right w:val="nil"/>
            </w:tcBorders>
            <w:shd w:val="clear" w:color="auto" w:fill="auto"/>
            <w:noWrap/>
            <w:vAlign w:val="bottom"/>
            <w:hideMark/>
          </w:tcPr>
          <w:p w14:paraId="3B4F8E0A" w14:textId="77777777" w:rsidR="008E6212" w:rsidRPr="00956EBC" w:rsidRDefault="008E6212" w:rsidP="009C1A36">
            <w:pPr>
              <w:spacing w:after="0" w:line="240" w:lineRule="auto"/>
              <w:jc w:val="left"/>
              <w:rPr>
                <w:rFonts w:ascii="Times New Roman" w:eastAsia="Times New Roman" w:hAnsi="Times New Roman"/>
                <w:sz w:val="24"/>
                <w:szCs w:val="24"/>
                <w:lang w:eastAsia="zh-CN"/>
              </w:rPr>
            </w:pPr>
          </w:p>
        </w:tc>
        <w:tc>
          <w:tcPr>
            <w:tcW w:w="306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B4F8E0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1 Upstream (n =130)</w:t>
            </w:r>
          </w:p>
        </w:tc>
        <w:tc>
          <w:tcPr>
            <w:tcW w:w="2881" w:type="dxa"/>
            <w:gridSpan w:val="6"/>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3B4F8E0C"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1 Downstream (n =136)</w:t>
            </w:r>
          </w:p>
        </w:tc>
      </w:tr>
      <w:tr w:rsidR="008E6212" w:rsidRPr="00956EBC" w14:paraId="3B4F8E15" w14:textId="77777777" w:rsidTr="009C1A36">
        <w:trPr>
          <w:trHeight w:val="288"/>
        </w:trPr>
        <w:tc>
          <w:tcPr>
            <w:tcW w:w="1985" w:type="dxa"/>
            <w:gridSpan w:val="2"/>
            <w:tcBorders>
              <w:top w:val="nil"/>
              <w:left w:val="nil"/>
              <w:bottom w:val="nil"/>
              <w:right w:val="nil"/>
            </w:tcBorders>
            <w:shd w:val="clear" w:color="auto" w:fill="auto"/>
            <w:noWrap/>
            <w:vAlign w:val="bottom"/>
            <w:hideMark/>
          </w:tcPr>
          <w:p w14:paraId="3B4F8E0E" w14:textId="77777777" w:rsidR="008E6212" w:rsidRPr="00956EBC" w:rsidRDefault="008E6212" w:rsidP="009C1A36">
            <w:pPr>
              <w:spacing w:after="0" w:line="240" w:lineRule="auto"/>
              <w:jc w:val="center"/>
              <w:rPr>
                <w:rFonts w:eastAsia="Times New Roman"/>
                <w:color w:val="000000"/>
                <w:szCs w:val="22"/>
                <w:lang w:eastAsia="zh-CN"/>
              </w:rPr>
            </w:pPr>
          </w:p>
        </w:tc>
        <w:tc>
          <w:tcPr>
            <w:tcW w:w="14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0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10"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11"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1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1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14"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r>
      <w:tr w:rsidR="008E6212" w:rsidRPr="00956EBC" w14:paraId="3B4F8E1D" w14:textId="77777777" w:rsidTr="009C1A36">
        <w:trPr>
          <w:trHeight w:val="312"/>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8E16"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GPP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1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1.75</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18"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0.38</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19"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7.4</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1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1.37</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1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0.09</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1C"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10.0</w:t>
            </w:r>
          </w:p>
        </w:tc>
      </w:tr>
      <w:tr w:rsidR="008E6212" w:rsidRPr="00956EBC" w14:paraId="3B4F8E25" w14:textId="77777777" w:rsidTr="009C1A36">
        <w:trPr>
          <w:trHeight w:val="312"/>
        </w:trPr>
        <w:tc>
          <w:tcPr>
            <w:tcW w:w="1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1E"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ER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1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3.19</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20"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0.20</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21"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10.8</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2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3.18</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2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0.32</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24"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31.2</w:t>
            </w:r>
          </w:p>
        </w:tc>
      </w:tr>
      <w:tr w:rsidR="008E6212" w:rsidRPr="00956EBC" w14:paraId="3B4F8E2D" w14:textId="77777777" w:rsidTr="009C1A36">
        <w:trPr>
          <w:trHeight w:val="288"/>
        </w:trPr>
        <w:tc>
          <w:tcPr>
            <w:tcW w:w="1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26"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P / R</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2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0.72</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28"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0.15</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29"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4.4</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2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0.43</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2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0.05</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2C"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7.2</w:t>
            </w:r>
          </w:p>
        </w:tc>
      </w:tr>
      <w:tr w:rsidR="008E6212" w:rsidRPr="00956EBC" w14:paraId="3B4F8E30" w14:textId="77777777" w:rsidTr="00B7596C">
        <w:trPr>
          <w:gridAfter w:val="7"/>
          <w:wAfter w:w="2892" w:type="dxa"/>
          <w:trHeight w:val="288"/>
        </w:trPr>
        <w:tc>
          <w:tcPr>
            <w:tcW w:w="1974" w:type="dxa"/>
            <w:tcBorders>
              <w:top w:val="nil"/>
              <w:left w:val="nil"/>
              <w:bottom w:val="nil"/>
              <w:right w:val="nil"/>
            </w:tcBorders>
            <w:shd w:val="clear" w:color="auto" w:fill="auto"/>
            <w:noWrap/>
            <w:vAlign w:val="bottom"/>
            <w:hideMark/>
          </w:tcPr>
          <w:p w14:paraId="3B4F8E2E" w14:textId="77777777" w:rsidR="008E6212" w:rsidRPr="00956EBC" w:rsidRDefault="008E6212" w:rsidP="009C1A36">
            <w:pPr>
              <w:spacing w:after="0" w:line="240" w:lineRule="auto"/>
              <w:jc w:val="left"/>
              <w:rPr>
                <w:rFonts w:ascii="Times New Roman" w:eastAsia="Times New Roman" w:hAnsi="Times New Roman"/>
                <w:sz w:val="24"/>
                <w:szCs w:val="24"/>
                <w:lang w:eastAsia="zh-CN"/>
              </w:rPr>
            </w:pPr>
          </w:p>
        </w:tc>
        <w:tc>
          <w:tcPr>
            <w:tcW w:w="306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B4F8E2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2 Downstream (n =144)</w:t>
            </w:r>
          </w:p>
        </w:tc>
      </w:tr>
      <w:tr w:rsidR="008E6212" w:rsidRPr="00956EBC" w14:paraId="3B4F8E35" w14:textId="77777777" w:rsidTr="009C1A36">
        <w:trPr>
          <w:gridAfter w:val="7"/>
          <w:wAfter w:w="2892" w:type="dxa"/>
          <w:trHeight w:val="288"/>
        </w:trPr>
        <w:tc>
          <w:tcPr>
            <w:tcW w:w="1974" w:type="dxa"/>
            <w:tcBorders>
              <w:top w:val="nil"/>
              <w:left w:val="nil"/>
              <w:bottom w:val="nil"/>
              <w:right w:val="nil"/>
            </w:tcBorders>
            <w:shd w:val="clear" w:color="auto" w:fill="auto"/>
            <w:noWrap/>
            <w:vAlign w:val="bottom"/>
            <w:hideMark/>
          </w:tcPr>
          <w:p w14:paraId="3B4F8E31" w14:textId="77777777" w:rsidR="008E6212" w:rsidRPr="00956EBC" w:rsidRDefault="008E6212" w:rsidP="009C1A36">
            <w:pPr>
              <w:spacing w:after="0" w:line="240" w:lineRule="auto"/>
              <w:jc w:val="center"/>
              <w:rPr>
                <w:rFonts w:eastAsia="Times New Roman"/>
                <w:color w:val="000000"/>
                <w:szCs w:val="22"/>
                <w:lang w:eastAsia="zh-CN"/>
              </w:rPr>
            </w:pPr>
          </w:p>
        </w:tc>
        <w:tc>
          <w:tcPr>
            <w:tcW w:w="14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3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3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34"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r>
      <w:tr w:rsidR="008E6212" w:rsidRPr="00956EBC" w14:paraId="3B4F8E3A" w14:textId="77777777" w:rsidTr="009C1A36">
        <w:trPr>
          <w:gridAfter w:val="7"/>
          <w:wAfter w:w="2892" w:type="dxa"/>
          <w:trHeight w:val="312"/>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8E36"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GPP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3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2.78</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38"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0.82</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39"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13.6</w:t>
            </w:r>
          </w:p>
        </w:tc>
      </w:tr>
      <w:tr w:rsidR="008E6212" w:rsidRPr="00956EBC" w14:paraId="3B4F8E3F" w14:textId="77777777" w:rsidTr="009C1A36">
        <w:trPr>
          <w:gridAfter w:val="7"/>
          <w:wAfter w:w="2892" w:type="dxa"/>
          <w:trHeight w:val="312"/>
        </w:trPr>
        <w:tc>
          <w:tcPr>
            <w:tcW w:w="1974" w:type="dxa"/>
            <w:tcBorders>
              <w:top w:val="nil"/>
              <w:left w:val="single" w:sz="4" w:space="0" w:color="auto"/>
              <w:bottom w:val="single" w:sz="4" w:space="0" w:color="auto"/>
              <w:right w:val="single" w:sz="4" w:space="0" w:color="auto"/>
            </w:tcBorders>
            <w:shd w:val="clear" w:color="auto" w:fill="auto"/>
            <w:noWrap/>
            <w:vAlign w:val="bottom"/>
            <w:hideMark/>
          </w:tcPr>
          <w:p w14:paraId="3B4F8E3B"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ER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3C"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6.44</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3D"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1.97</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3E"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26.6</w:t>
            </w:r>
          </w:p>
        </w:tc>
      </w:tr>
      <w:tr w:rsidR="008E6212" w:rsidRPr="00956EBC" w14:paraId="3B4F8E44" w14:textId="77777777" w:rsidTr="009C1A36">
        <w:trPr>
          <w:gridAfter w:val="7"/>
          <w:wAfter w:w="2892" w:type="dxa"/>
          <w:trHeight w:val="288"/>
        </w:trPr>
        <w:tc>
          <w:tcPr>
            <w:tcW w:w="1974" w:type="dxa"/>
            <w:tcBorders>
              <w:top w:val="nil"/>
              <w:left w:val="single" w:sz="4" w:space="0" w:color="auto"/>
              <w:bottom w:val="single" w:sz="4" w:space="0" w:color="auto"/>
              <w:right w:val="single" w:sz="4" w:space="0" w:color="auto"/>
            </w:tcBorders>
            <w:shd w:val="clear" w:color="auto" w:fill="auto"/>
            <w:noWrap/>
            <w:vAlign w:val="bottom"/>
            <w:hideMark/>
          </w:tcPr>
          <w:p w14:paraId="3B4F8E40"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P / R</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41"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0.39</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4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0.11</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4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2.5</w:t>
            </w:r>
          </w:p>
        </w:tc>
      </w:tr>
      <w:tr w:rsidR="008E6212" w:rsidRPr="00956EBC" w14:paraId="3B4F8E48" w14:textId="77777777" w:rsidTr="00B7596C">
        <w:trPr>
          <w:trHeight w:val="288"/>
        </w:trPr>
        <w:tc>
          <w:tcPr>
            <w:tcW w:w="1985" w:type="dxa"/>
            <w:gridSpan w:val="2"/>
            <w:tcBorders>
              <w:top w:val="nil"/>
              <w:left w:val="nil"/>
              <w:bottom w:val="nil"/>
              <w:right w:val="nil"/>
            </w:tcBorders>
            <w:shd w:val="clear" w:color="auto" w:fill="auto"/>
            <w:noWrap/>
            <w:vAlign w:val="bottom"/>
            <w:hideMark/>
          </w:tcPr>
          <w:p w14:paraId="3B4F8E45" w14:textId="77777777" w:rsidR="008E6212" w:rsidRPr="00956EBC" w:rsidRDefault="008E6212" w:rsidP="009C1A36">
            <w:pPr>
              <w:spacing w:after="0" w:line="240" w:lineRule="auto"/>
              <w:jc w:val="left"/>
              <w:rPr>
                <w:rFonts w:ascii="Times New Roman" w:eastAsia="Times New Roman" w:hAnsi="Times New Roman"/>
                <w:sz w:val="24"/>
                <w:szCs w:val="24"/>
                <w:lang w:eastAsia="zh-CN"/>
              </w:rPr>
            </w:pPr>
          </w:p>
        </w:tc>
        <w:tc>
          <w:tcPr>
            <w:tcW w:w="306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B4F8E46"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3 Upstream (n =31)</w:t>
            </w:r>
          </w:p>
        </w:tc>
        <w:tc>
          <w:tcPr>
            <w:tcW w:w="2880" w:type="dxa"/>
            <w:gridSpan w:val="6"/>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3B4F8E4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3 Downstream (n =52)</w:t>
            </w:r>
          </w:p>
        </w:tc>
      </w:tr>
      <w:tr w:rsidR="008E6212" w:rsidRPr="00956EBC" w14:paraId="3B4F8E50" w14:textId="77777777" w:rsidTr="009C1A36">
        <w:trPr>
          <w:trHeight w:val="288"/>
        </w:trPr>
        <w:tc>
          <w:tcPr>
            <w:tcW w:w="1985" w:type="dxa"/>
            <w:gridSpan w:val="2"/>
            <w:tcBorders>
              <w:top w:val="nil"/>
              <w:left w:val="nil"/>
              <w:bottom w:val="nil"/>
              <w:right w:val="nil"/>
            </w:tcBorders>
            <w:shd w:val="clear" w:color="auto" w:fill="auto"/>
            <w:noWrap/>
            <w:vAlign w:val="bottom"/>
            <w:hideMark/>
          </w:tcPr>
          <w:p w14:paraId="3B4F8E49" w14:textId="77777777" w:rsidR="008E6212" w:rsidRPr="00956EBC" w:rsidRDefault="008E6212" w:rsidP="009C1A36">
            <w:pPr>
              <w:spacing w:after="0" w:line="240" w:lineRule="auto"/>
              <w:jc w:val="center"/>
              <w:rPr>
                <w:rFonts w:eastAsia="Times New Roman"/>
                <w:color w:val="000000"/>
                <w:szCs w:val="22"/>
                <w:lang w:eastAsia="zh-CN"/>
              </w:rPr>
            </w:pPr>
          </w:p>
        </w:tc>
        <w:tc>
          <w:tcPr>
            <w:tcW w:w="14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4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4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4C"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3B4F8E4D"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B4F8E4E"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776" w:type="dxa"/>
            <w:gridSpan w:val="2"/>
            <w:tcBorders>
              <w:top w:val="nil"/>
              <w:left w:val="nil"/>
              <w:bottom w:val="single" w:sz="4" w:space="0" w:color="auto"/>
              <w:right w:val="single" w:sz="4" w:space="0" w:color="auto"/>
            </w:tcBorders>
            <w:shd w:val="clear" w:color="auto" w:fill="auto"/>
            <w:noWrap/>
            <w:vAlign w:val="bottom"/>
            <w:hideMark/>
          </w:tcPr>
          <w:p w14:paraId="3B4F8E4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r>
      <w:tr w:rsidR="008E6212" w:rsidRPr="00956EBC" w14:paraId="3B4F8E58" w14:textId="77777777" w:rsidTr="009C1A36">
        <w:trPr>
          <w:trHeight w:val="312"/>
        </w:trPr>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8E51"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GPP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5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4.09</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5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1.45</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54"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14.8</w:t>
            </w: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3B4F8E55"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1.57</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B4F8E56"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0.94</w:t>
            </w:r>
          </w:p>
        </w:tc>
        <w:tc>
          <w:tcPr>
            <w:tcW w:w="776" w:type="dxa"/>
            <w:gridSpan w:val="2"/>
            <w:tcBorders>
              <w:top w:val="nil"/>
              <w:left w:val="nil"/>
              <w:bottom w:val="single" w:sz="4" w:space="0" w:color="auto"/>
              <w:right w:val="single" w:sz="4" w:space="0" w:color="auto"/>
            </w:tcBorders>
            <w:shd w:val="clear" w:color="auto" w:fill="auto"/>
            <w:noWrap/>
            <w:vAlign w:val="bottom"/>
            <w:hideMark/>
          </w:tcPr>
          <w:p w14:paraId="3B4F8E5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3.7</w:t>
            </w:r>
          </w:p>
        </w:tc>
      </w:tr>
      <w:tr w:rsidR="008E6212" w:rsidRPr="00956EBC" w14:paraId="3B4F8E60" w14:textId="77777777" w:rsidTr="009C1A36">
        <w:trPr>
          <w:trHeight w:val="312"/>
        </w:trPr>
        <w:tc>
          <w:tcPr>
            <w:tcW w:w="1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59"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ER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5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10.59</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5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2.97</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5C"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52.0</w:t>
            </w: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3B4F8E5D"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2.73</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B4F8E5E"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0.92</w:t>
            </w:r>
          </w:p>
        </w:tc>
        <w:tc>
          <w:tcPr>
            <w:tcW w:w="776" w:type="dxa"/>
            <w:gridSpan w:val="2"/>
            <w:tcBorders>
              <w:top w:val="nil"/>
              <w:left w:val="nil"/>
              <w:bottom w:val="single" w:sz="4" w:space="0" w:color="auto"/>
              <w:right w:val="single" w:sz="4" w:space="0" w:color="auto"/>
            </w:tcBorders>
            <w:shd w:val="clear" w:color="auto" w:fill="auto"/>
            <w:noWrap/>
            <w:vAlign w:val="bottom"/>
            <w:hideMark/>
          </w:tcPr>
          <w:p w14:paraId="3B4F8E5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7.1</w:t>
            </w:r>
          </w:p>
        </w:tc>
      </w:tr>
      <w:tr w:rsidR="008E6212" w:rsidRPr="00956EBC" w14:paraId="3B4F8E68" w14:textId="77777777" w:rsidTr="009C1A36">
        <w:trPr>
          <w:trHeight w:val="288"/>
        </w:trPr>
        <w:tc>
          <w:tcPr>
            <w:tcW w:w="1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61"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P / R</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6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0.46</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6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0.20</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64"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1.1</w:t>
            </w:r>
          </w:p>
        </w:tc>
        <w:tc>
          <w:tcPr>
            <w:tcW w:w="1324" w:type="dxa"/>
            <w:gridSpan w:val="2"/>
            <w:tcBorders>
              <w:top w:val="nil"/>
              <w:left w:val="nil"/>
              <w:bottom w:val="single" w:sz="4" w:space="0" w:color="auto"/>
              <w:right w:val="single" w:sz="4" w:space="0" w:color="auto"/>
            </w:tcBorders>
            <w:shd w:val="clear" w:color="auto" w:fill="auto"/>
            <w:noWrap/>
            <w:vAlign w:val="bottom"/>
            <w:hideMark/>
          </w:tcPr>
          <w:p w14:paraId="3B4F8E65"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0.66</w:t>
            </w:r>
          </w:p>
        </w:tc>
        <w:tc>
          <w:tcPr>
            <w:tcW w:w="780" w:type="dxa"/>
            <w:gridSpan w:val="2"/>
            <w:tcBorders>
              <w:top w:val="nil"/>
              <w:left w:val="nil"/>
              <w:bottom w:val="single" w:sz="4" w:space="0" w:color="auto"/>
              <w:right w:val="single" w:sz="4" w:space="0" w:color="auto"/>
            </w:tcBorders>
            <w:shd w:val="clear" w:color="auto" w:fill="auto"/>
            <w:noWrap/>
            <w:vAlign w:val="bottom"/>
            <w:hideMark/>
          </w:tcPr>
          <w:p w14:paraId="3B4F8E66"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0.43</w:t>
            </w:r>
          </w:p>
        </w:tc>
        <w:tc>
          <w:tcPr>
            <w:tcW w:w="776" w:type="dxa"/>
            <w:gridSpan w:val="2"/>
            <w:tcBorders>
              <w:top w:val="nil"/>
              <w:left w:val="nil"/>
              <w:bottom w:val="single" w:sz="4" w:space="0" w:color="auto"/>
              <w:right w:val="single" w:sz="4" w:space="0" w:color="auto"/>
            </w:tcBorders>
            <w:shd w:val="clear" w:color="auto" w:fill="auto"/>
            <w:noWrap/>
            <w:vAlign w:val="bottom"/>
            <w:hideMark/>
          </w:tcPr>
          <w:p w14:paraId="3B4F8E6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1.2</w:t>
            </w:r>
          </w:p>
        </w:tc>
      </w:tr>
      <w:tr w:rsidR="008E6212" w:rsidRPr="00956EBC" w14:paraId="3B4F8E6C" w14:textId="77777777" w:rsidTr="00B7596C">
        <w:trPr>
          <w:gridAfter w:val="1"/>
          <w:wAfter w:w="11" w:type="dxa"/>
          <w:trHeight w:val="288"/>
        </w:trPr>
        <w:tc>
          <w:tcPr>
            <w:tcW w:w="1974" w:type="dxa"/>
            <w:tcBorders>
              <w:top w:val="nil"/>
              <w:left w:val="nil"/>
              <w:bottom w:val="nil"/>
              <w:right w:val="nil"/>
            </w:tcBorders>
            <w:shd w:val="clear" w:color="auto" w:fill="auto"/>
            <w:noWrap/>
            <w:vAlign w:val="bottom"/>
            <w:hideMark/>
          </w:tcPr>
          <w:p w14:paraId="3B4F8E69" w14:textId="77777777" w:rsidR="008E6212" w:rsidRPr="00956EBC" w:rsidRDefault="008E6212" w:rsidP="009C1A36">
            <w:pPr>
              <w:spacing w:after="0" w:line="240" w:lineRule="auto"/>
              <w:jc w:val="left"/>
              <w:rPr>
                <w:rFonts w:ascii="Times New Roman" w:eastAsia="Times New Roman" w:hAnsi="Times New Roman"/>
                <w:sz w:val="24"/>
                <w:szCs w:val="24"/>
                <w:lang w:eastAsia="zh-CN"/>
              </w:rPr>
            </w:pPr>
          </w:p>
        </w:tc>
        <w:tc>
          <w:tcPr>
            <w:tcW w:w="3060"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B4F8E6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4 Upstream (n =106)</w:t>
            </w:r>
          </w:p>
        </w:tc>
        <w:tc>
          <w:tcPr>
            <w:tcW w:w="2881" w:type="dxa"/>
            <w:gridSpan w:val="6"/>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3B4F8E6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Zone 4 Downstream (n =77)</w:t>
            </w:r>
          </w:p>
        </w:tc>
      </w:tr>
      <w:tr w:rsidR="008E6212" w:rsidRPr="00956EBC" w14:paraId="3B4F8E74" w14:textId="77777777" w:rsidTr="009C1A36">
        <w:trPr>
          <w:gridAfter w:val="1"/>
          <w:wAfter w:w="11" w:type="dxa"/>
          <w:trHeight w:val="288"/>
        </w:trPr>
        <w:tc>
          <w:tcPr>
            <w:tcW w:w="1974" w:type="dxa"/>
            <w:tcBorders>
              <w:top w:val="nil"/>
              <w:left w:val="nil"/>
              <w:bottom w:val="nil"/>
              <w:right w:val="nil"/>
            </w:tcBorders>
            <w:shd w:val="clear" w:color="auto" w:fill="auto"/>
            <w:noWrap/>
            <w:vAlign w:val="bottom"/>
            <w:hideMark/>
          </w:tcPr>
          <w:p w14:paraId="3B4F8E6D" w14:textId="77777777" w:rsidR="008E6212" w:rsidRPr="00956EBC" w:rsidRDefault="008E6212" w:rsidP="009C1A36">
            <w:pPr>
              <w:spacing w:after="0" w:line="240" w:lineRule="auto"/>
              <w:jc w:val="center"/>
              <w:rPr>
                <w:rFonts w:eastAsia="Times New Roman"/>
                <w:color w:val="000000"/>
                <w:szCs w:val="22"/>
                <w:lang w:eastAsia="zh-CN"/>
              </w:rPr>
            </w:pPr>
          </w:p>
        </w:tc>
        <w:tc>
          <w:tcPr>
            <w:tcW w:w="140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F8E6E"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6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70"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71"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Median</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7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Min</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7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Max</w:t>
            </w:r>
          </w:p>
        </w:tc>
      </w:tr>
      <w:tr w:rsidR="008E6212" w:rsidRPr="00956EBC" w14:paraId="3B4F8E7C" w14:textId="77777777" w:rsidTr="009C1A36">
        <w:trPr>
          <w:gridAfter w:val="1"/>
          <w:wAfter w:w="11" w:type="dxa"/>
          <w:trHeight w:val="312"/>
        </w:trPr>
        <w:tc>
          <w:tcPr>
            <w:tcW w:w="1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8E75"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GPP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76"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3.15</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7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0.60</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78"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9.5</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79"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2.61</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7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0.33</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7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9.5</w:t>
            </w:r>
          </w:p>
        </w:tc>
      </w:tr>
      <w:tr w:rsidR="008E6212" w:rsidRPr="00956EBC" w14:paraId="3B4F8E84" w14:textId="77777777" w:rsidTr="009C1A36">
        <w:trPr>
          <w:gridAfter w:val="1"/>
          <w:wAfter w:w="11" w:type="dxa"/>
          <w:trHeight w:val="312"/>
        </w:trPr>
        <w:tc>
          <w:tcPr>
            <w:tcW w:w="1974" w:type="dxa"/>
            <w:tcBorders>
              <w:top w:val="nil"/>
              <w:left w:val="single" w:sz="4" w:space="0" w:color="auto"/>
              <w:bottom w:val="single" w:sz="4" w:space="0" w:color="auto"/>
              <w:right w:val="single" w:sz="4" w:space="0" w:color="auto"/>
            </w:tcBorders>
            <w:shd w:val="clear" w:color="auto" w:fill="auto"/>
            <w:noWrap/>
            <w:vAlign w:val="bottom"/>
            <w:hideMark/>
          </w:tcPr>
          <w:p w14:paraId="3B4F8E7D"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ER (mg O</w:t>
            </w:r>
            <w:r w:rsidRPr="00956EBC">
              <w:rPr>
                <w:rFonts w:eastAsia="Times New Roman"/>
                <w:color w:val="000000"/>
                <w:szCs w:val="22"/>
                <w:vertAlign w:val="subscript"/>
                <w:lang w:eastAsia="zh-CN"/>
              </w:rPr>
              <w:t>2</w:t>
            </w:r>
            <w:r w:rsidRPr="00956EBC">
              <w:rPr>
                <w:rFonts w:eastAsia="Times New Roman"/>
                <w:color w:val="000000"/>
                <w:szCs w:val="22"/>
                <w:lang w:eastAsia="zh-CN"/>
              </w:rPr>
              <w:t>/L/Day)</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7E"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4.00</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7F"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1.02</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80"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31.7</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81"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2.72</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82"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0.18</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83"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18.7</w:t>
            </w:r>
          </w:p>
        </w:tc>
      </w:tr>
      <w:tr w:rsidR="008E6212" w:rsidRPr="00956EBC" w14:paraId="3B4F8E8C" w14:textId="77777777" w:rsidTr="009C1A36">
        <w:trPr>
          <w:gridAfter w:val="1"/>
          <w:wAfter w:w="11" w:type="dxa"/>
          <w:trHeight w:val="288"/>
        </w:trPr>
        <w:tc>
          <w:tcPr>
            <w:tcW w:w="1974" w:type="dxa"/>
            <w:tcBorders>
              <w:top w:val="nil"/>
              <w:left w:val="single" w:sz="4" w:space="0" w:color="auto"/>
              <w:bottom w:val="single" w:sz="4" w:space="0" w:color="auto"/>
              <w:right w:val="single" w:sz="4" w:space="0" w:color="auto"/>
            </w:tcBorders>
            <w:shd w:val="clear" w:color="auto" w:fill="auto"/>
            <w:noWrap/>
            <w:vAlign w:val="bottom"/>
            <w:hideMark/>
          </w:tcPr>
          <w:p w14:paraId="3B4F8E85" w14:textId="77777777" w:rsidR="008E6212" w:rsidRPr="00956EBC" w:rsidRDefault="008E6212" w:rsidP="009C1A36">
            <w:pPr>
              <w:spacing w:after="0" w:line="240" w:lineRule="auto"/>
              <w:jc w:val="left"/>
              <w:rPr>
                <w:rFonts w:eastAsia="Times New Roman"/>
                <w:color w:val="000000"/>
                <w:szCs w:val="22"/>
                <w:lang w:eastAsia="zh-CN"/>
              </w:rPr>
            </w:pPr>
            <w:r w:rsidRPr="00956EBC">
              <w:rPr>
                <w:rFonts w:eastAsia="Times New Roman"/>
                <w:color w:val="000000"/>
                <w:szCs w:val="22"/>
                <w:lang w:eastAsia="zh-CN"/>
              </w:rPr>
              <w:t>P / R</w:t>
            </w:r>
          </w:p>
        </w:tc>
        <w:tc>
          <w:tcPr>
            <w:tcW w:w="1406" w:type="dxa"/>
            <w:gridSpan w:val="2"/>
            <w:tcBorders>
              <w:top w:val="nil"/>
              <w:left w:val="nil"/>
              <w:bottom w:val="single" w:sz="4" w:space="0" w:color="auto"/>
              <w:right w:val="single" w:sz="4" w:space="0" w:color="auto"/>
            </w:tcBorders>
            <w:shd w:val="clear" w:color="auto" w:fill="auto"/>
            <w:noWrap/>
            <w:vAlign w:val="bottom"/>
            <w:hideMark/>
          </w:tcPr>
          <w:p w14:paraId="3B4F8E86"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0.62</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87"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0.22</w:t>
            </w:r>
          </w:p>
        </w:tc>
        <w:tc>
          <w:tcPr>
            <w:tcW w:w="827" w:type="dxa"/>
            <w:gridSpan w:val="2"/>
            <w:tcBorders>
              <w:top w:val="nil"/>
              <w:left w:val="nil"/>
              <w:bottom w:val="single" w:sz="4" w:space="0" w:color="auto"/>
              <w:right w:val="single" w:sz="4" w:space="0" w:color="auto"/>
            </w:tcBorders>
            <w:shd w:val="clear" w:color="auto" w:fill="auto"/>
            <w:noWrap/>
            <w:vAlign w:val="bottom"/>
            <w:hideMark/>
          </w:tcPr>
          <w:p w14:paraId="3B4F8E88"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1.8</w:t>
            </w:r>
          </w:p>
        </w:tc>
        <w:tc>
          <w:tcPr>
            <w:tcW w:w="1323" w:type="dxa"/>
            <w:gridSpan w:val="2"/>
            <w:tcBorders>
              <w:top w:val="nil"/>
              <w:left w:val="nil"/>
              <w:bottom w:val="single" w:sz="4" w:space="0" w:color="auto"/>
              <w:right w:val="single" w:sz="4" w:space="0" w:color="auto"/>
            </w:tcBorders>
            <w:shd w:val="clear" w:color="auto" w:fill="auto"/>
            <w:noWrap/>
            <w:vAlign w:val="bottom"/>
            <w:hideMark/>
          </w:tcPr>
          <w:p w14:paraId="3B4F8E89"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0.70</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8A"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0.15</w:t>
            </w:r>
          </w:p>
        </w:tc>
        <w:tc>
          <w:tcPr>
            <w:tcW w:w="779" w:type="dxa"/>
            <w:gridSpan w:val="2"/>
            <w:tcBorders>
              <w:top w:val="nil"/>
              <w:left w:val="nil"/>
              <w:bottom w:val="single" w:sz="4" w:space="0" w:color="auto"/>
              <w:right w:val="single" w:sz="4" w:space="0" w:color="auto"/>
            </w:tcBorders>
            <w:shd w:val="clear" w:color="auto" w:fill="auto"/>
            <w:noWrap/>
            <w:vAlign w:val="bottom"/>
            <w:hideMark/>
          </w:tcPr>
          <w:p w14:paraId="3B4F8E8B" w14:textId="77777777" w:rsidR="008E6212" w:rsidRPr="00956EBC" w:rsidRDefault="008E6212" w:rsidP="009C1A36">
            <w:pPr>
              <w:spacing w:after="0" w:line="240" w:lineRule="auto"/>
              <w:jc w:val="center"/>
              <w:rPr>
                <w:rFonts w:eastAsia="Times New Roman"/>
                <w:color w:val="000000"/>
                <w:szCs w:val="22"/>
                <w:lang w:eastAsia="zh-CN"/>
              </w:rPr>
            </w:pPr>
            <w:r w:rsidRPr="00956EBC">
              <w:rPr>
                <w:rFonts w:eastAsia="Times New Roman"/>
                <w:color w:val="000000"/>
                <w:szCs w:val="22"/>
                <w:lang w:eastAsia="zh-CN"/>
              </w:rPr>
              <w:t>18.9</w:t>
            </w:r>
          </w:p>
        </w:tc>
      </w:tr>
    </w:tbl>
    <w:p w14:paraId="3B4F8E8D" w14:textId="77777777" w:rsidR="005E7544" w:rsidRDefault="005E7544" w:rsidP="008E6212">
      <w:pPr>
        <w:spacing w:after="240" w:line="320" w:lineRule="exact"/>
        <w:jc w:val="left"/>
        <w:rPr>
          <w:bCs/>
        </w:rPr>
      </w:pPr>
    </w:p>
    <w:p w14:paraId="3B4F8E8E" w14:textId="16F7DA56" w:rsidR="008E6212" w:rsidRDefault="00E16129" w:rsidP="008E6212">
      <w:pPr>
        <w:spacing w:after="240" w:line="320" w:lineRule="exact"/>
        <w:jc w:val="left"/>
        <w:rPr>
          <w:bCs/>
          <w:szCs w:val="22"/>
        </w:rPr>
      </w:pPr>
      <w:r>
        <w:rPr>
          <w:bCs/>
          <w:szCs w:val="22"/>
        </w:rPr>
        <w:lastRenderedPageBreak/>
        <w:t xml:space="preserve">There were sudden increases in metabolic </w:t>
      </w:r>
      <w:r w:rsidRPr="00224192">
        <w:rPr>
          <w:bCs/>
          <w:szCs w:val="22"/>
        </w:rPr>
        <w:t>activity during mid-November 2015</w:t>
      </w:r>
      <w:r>
        <w:rPr>
          <w:bCs/>
          <w:szCs w:val="22"/>
        </w:rPr>
        <w:t xml:space="preserve"> at</w:t>
      </w:r>
      <w:r w:rsidR="008E6212" w:rsidRPr="00224192">
        <w:rPr>
          <w:bCs/>
          <w:szCs w:val="22"/>
        </w:rPr>
        <w:t xml:space="preserve"> the downstream site at Zone 1 and </w:t>
      </w:r>
      <w:r>
        <w:rPr>
          <w:bCs/>
          <w:szCs w:val="22"/>
        </w:rPr>
        <w:t xml:space="preserve">at sites </w:t>
      </w:r>
      <w:r w:rsidR="008E6212" w:rsidRPr="00224192">
        <w:rPr>
          <w:bCs/>
          <w:szCs w:val="22"/>
        </w:rPr>
        <w:t>further dow</w:t>
      </w:r>
      <w:r>
        <w:rPr>
          <w:bCs/>
          <w:szCs w:val="22"/>
        </w:rPr>
        <w:t>nstream (Figure B.2, B.3)</w:t>
      </w:r>
      <w:r w:rsidR="008E6212" w:rsidRPr="00224192">
        <w:rPr>
          <w:bCs/>
          <w:szCs w:val="22"/>
        </w:rPr>
        <w:t>. Rates of both GPP and ER were rapidly climbing during this period before dropping back to ‘normal’ levels over a few days. The consistency of this pattern across sites tends to rule out logger failure. Unfortunately there were no data for two sites (Zone 3 and 4 downstream sites) during this period. The origin of this short lived spike in rates is not yet clear but does not appear to be discharge related, as flows were relatively stable in all four zones across this period (and immediately beforehand). Investigations into possible causes (nutrient spikes, altered source water</w:t>
      </w:r>
      <w:r w:rsidR="00302949">
        <w:rPr>
          <w:bCs/>
          <w:szCs w:val="22"/>
        </w:rPr>
        <w:t>)</w:t>
      </w:r>
      <w:r w:rsidR="008E6212" w:rsidRPr="00224192">
        <w:rPr>
          <w:bCs/>
          <w:szCs w:val="22"/>
        </w:rPr>
        <w:t xml:space="preserve"> are continuing</w:t>
      </w:r>
      <w:r w:rsidR="008E6212">
        <w:rPr>
          <w:bCs/>
          <w:szCs w:val="22"/>
        </w:rPr>
        <w:t>.</w:t>
      </w:r>
    </w:p>
    <w:p w14:paraId="3B4F8E8F" w14:textId="77777777" w:rsidR="00B86B1D" w:rsidRPr="00A55F53" w:rsidRDefault="00E612AA" w:rsidP="00B86B1D">
      <w:pPr>
        <w:spacing w:after="240" w:line="320" w:lineRule="exact"/>
        <w:jc w:val="left"/>
        <w:rPr>
          <w:bCs/>
          <w:szCs w:val="22"/>
        </w:rPr>
      </w:pPr>
      <w:r>
        <w:rPr>
          <w:bCs/>
          <w:szCs w:val="22"/>
        </w:rPr>
        <w:t>There was a</w:t>
      </w:r>
      <w:r w:rsidR="00B86B1D" w:rsidRPr="00224192">
        <w:rPr>
          <w:bCs/>
          <w:szCs w:val="22"/>
        </w:rPr>
        <w:t xml:space="preserve"> large increase in GPP in the upper Wakool River (Zone 2) in autumn 2016</w:t>
      </w:r>
      <w:r>
        <w:rPr>
          <w:bCs/>
          <w:szCs w:val="22"/>
        </w:rPr>
        <w:t xml:space="preserve"> (Figure B2)</w:t>
      </w:r>
      <w:r w:rsidR="00B86B1D" w:rsidRPr="00224192">
        <w:rPr>
          <w:bCs/>
          <w:szCs w:val="22"/>
        </w:rPr>
        <w:t>. This increase is consistent with the development of the algal bloom</w:t>
      </w:r>
      <w:r>
        <w:rPr>
          <w:bCs/>
          <w:szCs w:val="22"/>
        </w:rPr>
        <w:t xml:space="preserve"> (</w:t>
      </w:r>
      <w:r w:rsidR="00E16129">
        <w:rPr>
          <w:bCs/>
          <w:szCs w:val="22"/>
        </w:rPr>
        <w:t xml:space="preserve">discussed </w:t>
      </w:r>
      <w:r w:rsidR="00B86B1D">
        <w:rPr>
          <w:bCs/>
          <w:szCs w:val="22"/>
        </w:rPr>
        <w:t>in Appendix</w:t>
      </w:r>
      <w:r w:rsidR="00B86B1D" w:rsidRPr="00224192">
        <w:rPr>
          <w:bCs/>
          <w:szCs w:val="22"/>
        </w:rPr>
        <w:t xml:space="preserve"> </w:t>
      </w:r>
      <w:r w:rsidR="0077301B">
        <w:rPr>
          <w:bCs/>
          <w:szCs w:val="22"/>
        </w:rPr>
        <w:t>A</w:t>
      </w:r>
      <w:r>
        <w:rPr>
          <w:bCs/>
          <w:szCs w:val="22"/>
        </w:rPr>
        <w:t>)</w:t>
      </w:r>
      <w:r w:rsidR="00B86B1D" w:rsidRPr="00224192">
        <w:rPr>
          <w:bCs/>
          <w:szCs w:val="22"/>
        </w:rPr>
        <w:t xml:space="preserve">. GPP </w:t>
      </w:r>
      <w:r w:rsidR="00B86B1D">
        <w:rPr>
          <w:bCs/>
          <w:szCs w:val="22"/>
        </w:rPr>
        <w:t>increased</w:t>
      </w:r>
      <w:r w:rsidR="00B86B1D" w:rsidRPr="00224192">
        <w:rPr>
          <w:bCs/>
          <w:szCs w:val="22"/>
        </w:rPr>
        <w:t xml:space="preserve"> from 7.3 mg O</w:t>
      </w:r>
      <w:r w:rsidR="00B86B1D" w:rsidRPr="00224192">
        <w:rPr>
          <w:bCs/>
          <w:szCs w:val="22"/>
          <w:vertAlign w:val="subscript"/>
        </w:rPr>
        <w:t>2</w:t>
      </w:r>
      <w:r w:rsidR="00B86B1D" w:rsidRPr="00224192">
        <w:rPr>
          <w:bCs/>
          <w:szCs w:val="22"/>
        </w:rPr>
        <w:t>/L/Day on the 5</w:t>
      </w:r>
      <w:r w:rsidR="00B86B1D" w:rsidRPr="00224192">
        <w:rPr>
          <w:bCs/>
          <w:szCs w:val="22"/>
          <w:vertAlign w:val="superscript"/>
        </w:rPr>
        <w:t>th</w:t>
      </w:r>
      <w:r w:rsidR="00B86B1D" w:rsidRPr="00224192">
        <w:rPr>
          <w:bCs/>
          <w:szCs w:val="22"/>
        </w:rPr>
        <w:t xml:space="preserve"> March to 12.9 mg O</w:t>
      </w:r>
      <w:r w:rsidR="00B86B1D" w:rsidRPr="00224192">
        <w:rPr>
          <w:bCs/>
          <w:szCs w:val="22"/>
          <w:vertAlign w:val="subscript"/>
        </w:rPr>
        <w:t>2</w:t>
      </w:r>
      <w:r w:rsidR="00B86B1D" w:rsidRPr="00224192">
        <w:rPr>
          <w:bCs/>
          <w:szCs w:val="22"/>
        </w:rPr>
        <w:t>/L/Day on the 7</w:t>
      </w:r>
      <w:r w:rsidR="00B86B1D" w:rsidRPr="00224192">
        <w:rPr>
          <w:bCs/>
          <w:szCs w:val="22"/>
          <w:vertAlign w:val="superscript"/>
        </w:rPr>
        <w:t>th</w:t>
      </w:r>
      <w:r w:rsidR="00B86B1D" w:rsidRPr="00224192">
        <w:rPr>
          <w:bCs/>
          <w:szCs w:val="22"/>
        </w:rPr>
        <w:t xml:space="preserve"> March and peaked at 13.6 mg O</w:t>
      </w:r>
      <w:r w:rsidR="00B86B1D" w:rsidRPr="00224192">
        <w:rPr>
          <w:bCs/>
          <w:szCs w:val="22"/>
          <w:vertAlign w:val="subscript"/>
        </w:rPr>
        <w:t>2</w:t>
      </w:r>
      <w:r w:rsidR="00B86B1D" w:rsidRPr="00224192">
        <w:rPr>
          <w:bCs/>
          <w:szCs w:val="22"/>
        </w:rPr>
        <w:t>/L/Day on the 9</w:t>
      </w:r>
      <w:r w:rsidR="00B86B1D" w:rsidRPr="00224192">
        <w:rPr>
          <w:bCs/>
          <w:szCs w:val="22"/>
          <w:vertAlign w:val="superscript"/>
        </w:rPr>
        <w:t>th</w:t>
      </w:r>
      <w:r w:rsidR="00B86B1D" w:rsidRPr="00224192">
        <w:rPr>
          <w:bCs/>
          <w:szCs w:val="22"/>
        </w:rPr>
        <w:t xml:space="preserve"> March</w:t>
      </w:r>
      <w:r>
        <w:rPr>
          <w:bCs/>
          <w:szCs w:val="22"/>
        </w:rPr>
        <w:t xml:space="preserve"> (Figure B.2b)</w:t>
      </w:r>
      <w:r w:rsidR="00B86B1D" w:rsidRPr="00224192">
        <w:rPr>
          <w:bCs/>
          <w:szCs w:val="22"/>
        </w:rPr>
        <w:t xml:space="preserve">. Daily GPP at this site then gradually declined until LTIM monitoring ceased in early April. Unfortunately the paucity of data from Zone 3 meant this event was not detected </w:t>
      </w:r>
      <w:r w:rsidR="00B86B1D">
        <w:rPr>
          <w:bCs/>
          <w:szCs w:val="22"/>
        </w:rPr>
        <w:t xml:space="preserve">in that region of the Wakool River </w:t>
      </w:r>
      <w:r w:rsidR="00B86B1D" w:rsidRPr="00224192">
        <w:rPr>
          <w:bCs/>
          <w:szCs w:val="22"/>
        </w:rPr>
        <w:t xml:space="preserve">using metabolism measurements. There appears to be an increase in GPP in both Zone 4 sites over this time period too but not </w:t>
      </w:r>
      <w:r w:rsidR="00E16129">
        <w:rPr>
          <w:bCs/>
          <w:szCs w:val="22"/>
        </w:rPr>
        <w:t>as high as the</w:t>
      </w:r>
      <w:r w:rsidR="00B86B1D" w:rsidRPr="00224192">
        <w:rPr>
          <w:bCs/>
          <w:szCs w:val="22"/>
        </w:rPr>
        <w:t xml:space="preserve"> readings </w:t>
      </w:r>
      <w:r w:rsidR="00E16129">
        <w:rPr>
          <w:bCs/>
          <w:szCs w:val="22"/>
        </w:rPr>
        <w:t>for</w:t>
      </w:r>
      <w:r w:rsidR="00B86B1D" w:rsidRPr="00224192">
        <w:rPr>
          <w:bCs/>
          <w:szCs w:val="22"/>
        </w:rPr>
        <w:t xml:space="preserve"> Zone 2. Peak GPP at the upstream site in March 2016 was 7.0 on 7</w:t>
      </w:r>
      <w:r w:rsidR="00B86B1D" w:rsidRPr="00224192">
        <w:rPr>
          <w:bCs/>
          <w:szCs w:val="22"/>
          <w:vertAlign w:val="superscript"/>
        </w:rPr>
        <w:t>th</w:t>
      </w:r>
      <w:r w:rsidR="00B86B1D" w:rsidRPr="00224192">
        <w:rPr>
          <w:bCs/>
          <w:szCs w:val="22"/>
        </w:rPr>
        <w:t xml:space="preserve"> March which then declined to 4.0 on 4</w:t>
      </w:r>
      <w:r w:rsidR="00B86B1D" w:rsidRPr="00224192">
        <w:rPr>
          <w:bCs/>
          <w:szCs w:val="22"/>
          <w:vertAlign w:val="superscript"/>
        </w:rPr>
        <w:t>th</w:t>
      </w:r>
      <w:r w:rsidR="00B86B1D" w:rsidRPr="00224192">
        <w:rPr>
          <w:bCs/>
          <w:szCs w:val="22"/>
        </w:rPr>
        <w:t xml:space="preserve"> April (last day of monitoring)</w:t>
      </w:r>
      <w:r>
        <w:rPr>
          <w:bCs/>
          <w:szCs w:val="22"/>
        </w:rPr>
        <w:t>(Figure B.2d)</w:t>
      </w:r>
      <w:r w:rsidR="00B86B1D" w:rsidRPr="00224192">
        <w:rPr>
          <w:bCs/>
          <w:szCs w:val="22"/>
        </w:rPr>
        <w:t xml:space="preserve">. </w:t>
      </w:r>
    </w:p>
    <w:p w14:paraId="3B4F8E90" w14:textId="77777777" w:rsidR="00E612AA" w:rsidRPr="007906C1" w:rsidRDefault="00E612AA" w:rsidP="00E612AA">
      <w:pPr>
        <w:spacing w:after="240" w:line="324" w:lineRule="exact"/>
        <w:jc w:val="left"/>
        <w:rPr>
          <w:bCs/>
        </w:rPr>
      </w:pPr>
      <w:r>
        <w:rPr>
          <w:bCs/>
        </w:rPr>
        <w:t xml:space="preserve">The median ratio of primary production to ecosystem respiration (P/R) at all sites was much less than 1 (Table B.2), indicating that more organic carbon was being consumed within the river channel that was being produced by primary production. This is common for lowland rivers. </w:t>
      </w:r>
      <w:r>
        <w:rPr>
          <w:bCs/>
          <w:szCs w:val="22"/>
        </w:rPr>
        <w:t>However all sites had periods where P/R was &gt; 1 suggesting there were</w:t>
      </w:r>
      <w:r>
        <w:rPr>
          <w:bCs/>
        </w:rPr>
        <w:t xml:space="preserve"> occasional periods of high primary production and/or access to organic matter from upstream and outside the stream channel to ensure an adequate supply of organic matter and nutrients to sustain basal growth rates. I</w:t>
      </w:r>
      <w:r w:rsidRPr="00A55F53">
        <w:rPr>
          <w:bCs/>
          <w:szCs w:val="22"/>
        </w:rPr>
        <w:t>f physical reaeration is insufficient to counterbalance the oxygen demand through respiration, then dissolved oxygen concentrations can fall to</w:t>
      </w:r>
      <w:r>
        <w:rPr>
          <w:bCs/>
        </w:rPr>
        <w:t xml:space="preserve"> quite low and perhaps problematic levels such as observed in one sit</w:t>
      </w:r>
      <w:r w:rsidR="004762DE">
        <w:rPr>
          <w:bCs/>
        </w:rPr>
        <w:t>e in January 2015 (Watts et al.</w:t>
      </w:r>
      <w:r>
        <w:rPr>
          <w:bCs/>
        </w:rPr>
        <w:t xml:space="preserve"> 2015).</w:t>
      </w:r>
    </w:p>
    <w:p w14:paraId="3B4F8E91" w14:textId="77777777" w:rsidR="00B86B1D" w:rsidRPr="00224192" w:rsidRDefault="00B86B1D" w:rsidP="008E6212">
      <w:pPr>
        <w:spacing w:after="240" w:line="320" w:lineRule="exact"/>
        <w:jc w:val="left"/>
        <w:rPr>
          <w:bCs/>
          <w:szCs w:val="22"/>
        </w:rPr>
      </w:pPr>
    </w:p>
    <w:p w14:paraId="3B4F8E92" w14:textId="77777777" w:rsidR="008E6212" w:rsidRDefault="008E6212" w:rsidP="008E6212">
      <w:pPr>
        <w:spacing w:after="240" w:line="324" w:lineRule="exact"/>
        <w:sectPr w:rsidR="008E6212" w:rsidSect="009C1A36">
          <w:pgSz w:w="11906" w:h="16838"/>
          <w:pgMar w:top="1440" w:right="1985" w:bottom="1440" w:left="1985" w:header="709" w:footer="709"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3"/>
        <w:gridCol w:w="7"/>
        <w:gridCol w:w="6968"/>
      </w:tblGrid>
      <w:tr w:rsidR="008E6212" w14:paraId="3B4F8E97" w14:textId="77777777" w:rsidTr="009C1A36">
        <w:tc>
          <w:tcPr>
            <w:tcW w:w="6973" w:type="dxa"/>
          </w:tcPr>
          <w:p w14:paraId="3B4F8E93" w14:textId="77777777" w:rsidR="008E6212" w:rsidRDefault="008E6212" w:rsidP="009C1A36">
            <w:pPr>
              <w:spacing w:after="0"/>
            </w:pPr>
            <w:r w:rsidRPr="003423B6">
              <w:rPr>
                <w:noProof/>
                <w:lang w:eastAsia="en-AU"/>
              </w:rPr>
              <w:lastRenderedPageBreak/>
              <w:drawing>
                <wp:inline distT="0" distB="0" distL="0" distR="0" wp14:anchorId="3B4F963C" wp14:editId="181D61D3">
                  <wp:extent cx="4290060" cy="2208119"/>
                  <wp:effectExtent l="0" t="0" r="0" b="190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01198" cy="2213852"/>
                          </a:xfrm>
                          <a:prstGeom prst="rect">
                            <a:avLst/>
                          </a:prstGeom>
                          <a:noFill/>
                          <a:ln>
                            <a:noFill/>
                          </a:ln>
                        </pic:spPr>
                      </pic:pic>
                    </a:graphicData>
                  </a:graphic>
                </wp:inline>
              </w:drawing>
            </w:r>
          </w:p>
          <w:p w14:paraId="3B4F8E94" w14:textId="56C6C9ED" w:rsidR="008E6212" w:rsidRDefault="008E6212" w:rsidP="009C1A36">
            <w:pPr>
              <w:spacing w:after="0"/>
            </w:pPr>
            <w:r>
              <w:t>a)</w:t>
            </w:r>
            <w:r w:rsidR="005503D5">
              <w:t xml:space="preserve"> </w:t>
            </w:r>
            <w:r w:rsidR="005503D5" w:rsidRPr="002B3004">
              <w:rPr>
                <w:bCs/>
                <w:sz w:val="20"/>
              </w:rPr>
              <w:t>Yallakool Creek (Zone 1)</w:t>
            </w:r>
          </w:p>
        </w:tc>
        <w:tc>
          <w:tcPr>
            <w:tcW w:w="6975" w:type="dxa"/>
            <w:gridSpan w:val="2"/>
          </w:tcPr>
          <w:p w14:paraId="3B4F8E95" w14:textId="77777777" w:rsidR="008E6212" w:rsidRDefault="008E6212" w:rsidP="009C1A36">
            <w:pPr>
              <w:spacing w:after="0"/>
            </w:pPr>
            <w:r w:rsidRPr="003423B6">
              <w:rPr>
                <w:noProof/>
                <w:lang w:eastAsia="en-AU"/>
              </w:rPr>
              <w:drawing>
                <wp:inline distT="0" distB="0" distL="0" distR="0" wp14:anchorId="3B4F963E" wp14:editId="7217A0E1">
                  <wp:extent cx="4267699" cy="2207895"/>
                  <wp:effectExtent l="0" t="0" r="0" b="190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280280" cy="2214404"/>
                          </a:xfrm>
                          <a:prstGeom prst="rect">
                            <a:avLst/>
                          </a:prstGeom>
                          <a:noFill/>
                          <a:ln>
                            <a:noFill/>
                          </a:ln>
                        </pic:spPr>
                      </pic:pic>
                    </a:graphicData>
                  </a:graphic>
                </wp:inline>
              </w:drawing>
            </w:r>
          </w:p>
          <w:p w14:paraId="3B4F8E96" w14:textId="70C4DBC7" w:rsidR="008E6212" w:rsidRDefault="008E6212" w:rsidP="009C1A36">
            <w:pPr>
              <w:spacing w:after="0"/>
            </w:pPr>
            <w:r>
              <w:t>b)</w:t>
            </w:r>
            <w:r w:rsidR="005503D5">
              <w:rPr>
                <w:bCs/>
                <w:sz w:val="20"/>
              </w:rPr>
              <w:t xml:space="preserve"> Wakool River (Zone 2),</w:t>
            </w:r>
          </w:p>
        </w:tc>
      </w:tr>
      <w:tr w:rsidR="008E6212" w14:paraId="3B4F8E9C" w14:textId="77777777" w:rsidTr="009C1A36">
        <w:tc>
          <w:tcPr>
            <w:tcW w:w="6980" w:type="dxa"/>
            <w:gridSpan w:val="2"/>
          </w:tcPr>
          <w:p w14:paraId="3B4F8E98" w14:textId="77777777" w:rsidR="008E6212" w:rsidRDefault="008E6212" w:rsidP="009C1A36">
            <w:pPr>
              <w:spacing w:after="0"/>
            </w:pPr>
            <w:r w:rsidRPr="003423B6">
              <w:rPr>
                <w:noProof/>
                <w:lang w:eastAsia="en-AU"/>
              </w:rPr>
              <w:drawing>
                <wp:inline distT="0" distB="0" distL="0" distR="0" wp14:anchorId="3B4F9640" wp14:editId="29688F3F">
                  <wp:extent cx="4297680" cy="2209800"/>
                  <wp:effectExtent l="0" t="0" r="762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297680" cy="2209800"/>
                          </a:xfrm>
                          <a:prstGeom prst="rect">
                            <a:avLst/>
                          </a:prstGeom>
                          <a:noFill/>
                          <a:ln>
                            <a:noFill/>
                          </a:ln>
                        </pic:spPr>
                      </pic:pic>
                    </a:graphicData>
                  </a:graphic>
                </wp:inline>
              </w:drawing>
            </w:r>
          </w:p>
          <w:p w14:paraId="3B4F8E99" w14:textId="2C15B698" w:rsidR="008E6212" w:rsidRDefault="008E6212" w:rsidP="009C1A36">
            <w:pPr>
              <w:spacing w:after="0"/>
            </w:pPr>
            <w:r>
              <w:t>c)</w:t>
            </w:r>
            <w:r w:rsidR="005503D5">
              <w:t xml:space="preserve"> </w:t>
            </w:r>
            <w:r w:rsidR="005503D5">
              <w:rPr>
                <w:bCs/>
                <w:sz w:val="20"/>
              </w:rPr>
              <w:t>Wakool River upstream from Thule Creek (Zone 3),</w:t>
            </w:r>
          </w:p>
        </w:tc>
        <w:tc>
          <w:tcPr>
            <w:tcW w:w="6968" w:type="dxa"/>
          </w:tcPr>
          <w:p w14:paraId="3B4F8E9A" w14:textId="77777777" w:rsidR="008E6212" w:rsidRDefault="008E6212" w:rsidP="009C1A36">
            <w:pPr>
              <w:spacing w:after="0"/>
            </w:pPr>
            <w:r w:rsidRPr="008169D7">
              <w:rPr>
                <w:noProof/>
                <w:lang w:eastAsia="en-AU"/>
              </w:rPr>
              <w:drawing>
                <wp:inline distT="0" distB="0" distL="0" distR="0" wp14:anchorId="3B4F9642" wp14:editId="4A79C800">
                  <wp:extent cx="4282440" cy="22021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282440" cy="2202180"/>
                          </a:xfrm>
                          <a:prstGeom prst="rect">
                            <a:avLst/>
                          </a:prstGeom>
                          <a:noFill/>
                          <a:ln>
                            <a:noFill/>
                          </a:ln>
                        </pic:spPr>
                      </pic:pic>
                    </a:graphicData>
                  </a:graphic>
                </wp:inline>
              </w:drawing>
            </w:r>
          </w:p>
          <w:p w14:paraId="3B4F8E9B" w14:textId="1332362D" w:rsidR="008E6212" w:rsidRDefault="008E6212" w:rsidP="009C1A36">
            <w:pPr>
              <w:spacing w:after="0"/>
            </w:pPr>
            <w:r>
              <w:t>d)</w:t>
            </w:r>
            <w:r w:rsidR="005503D5">
              <w:rPr>
                <w:bCs/>
                <w:sz w:val="20"/>
              </w:rPr>
              <w:t xml:space="preserve"> Wakool River downstream from Thule Creek (Zone 4)</w:t>
            </w:r>
          </w:p>
        </w:tc>
      </w:tr>
    </w:tbl>
    <w:p w14:paraId="3B4F8E9D" w14:textId="77777777" w:rsidR="008E6212" w:rsidRDefault="008E6212" w:rsidP="008E6212">
      <w:pPr>
        <w:spacing w:after="240" w:line="240" w:lineRule="auto"/>
        <w:rPr>
          <w:bCs/>
          <w:sz w:val="20"/>
        </w:rPr>
      </w:pPr>
      <w:r>
        <w:rPr>
          <w:b/>
          <w:bCs/>
          <w:sz w:val="20"/>
        </w:rPr>
        <w:t>Figure B</w:t>
      </w:r>
      <w:r w:rsidRPr="00F21554">
        <w:rPr>
          <w:b/>
          <w:bCs/>
          <w:sz w:val="20"/>
        </w:rPr>
        <w:t>.2</w:t>
      </w:r>
      <w:r w:rsidR="00F774C7">
        <w:rPr>
          <w:b/>
          <w:bCs/>
          <w:sz w:val="20"/>
        </w:rPr>
        <w:t>.</w:t>
      </w:r>
      <w:r w:rsidRPr="002B3004">
        <w:rPr>
          <w:bCs/>
          <w:sz w:val="20"/>
        </w:rPr>
        <w:t xml:space="preserve"> </w:t>
      </w:r>
      <w:r>
        <w:rPr>
          <w:bCs/>
          <w:sz w:val="20"/>
        </w:rPr>
        <w:t>Relationships between</w:t>
      </w:r>
      <w:r w:rsidRPr="002B3004">
        <w:rPr>
          <w:bCs/>
          <w:sz w:val="20"/>
        </w:rPr>
        <w:t xml:space="preserve"> Flow </w:t>
      </w:r>
      <w:r>
        <w:rPr>
          <w:bCs/>
          <w:sz w:val="20"/>
        </w:rPr>
        <w:t>and Gross Primary Production</w:t>
      </w:r>
      <w:r w:rsidRPr="002B3004">
        <w:rPr>
          <w:bCs/>
          <w:sz w:val="20"/>
        </w:rPr>
        <w:t xml:space="preserve"> for</w:t>
      </w:r>
      <w:r>
        <w:rPr>
          <w:bCs/>
          <w:sz w:val="20"/>
        </w:rPr>
        <w:t>:</w:t>
      </w:r>
      <w:r w:rsidRPr="002B3004">
        <w:rPr>
          <w:bCs/>
          <w:sz w:val="20"/>
        </w:rPr>
        <w:t xml:space="preserve"> </w:t>
      </w:r>
      <w:r>
        <w:rPr>
          <w:bCs/>
          <w:sz w:val="20"/>
        </w:rPr>
        <w:t xml:space="preserve">a) </w:t>
      </w:r>
      <w:r w:rsidRPr="002B3004">
        <w:rPr>
          <w:bCs/>
          <w:sz w:val="20"/>
        </w:rPr>
        <w:t>Yallakool Creek (Zone 1)</w:t>
      </w:r>
      <w:r>
        <w:rPr>
          <w:bCs/>
          <w:sz w:val="20"/>
        </w:rPr>
        <w:t xml:space="preserve">, b) Wakool River (Zone 2), c) Wakool River upstream from Thule Creek (Zone 3), and d) Wakool River downstream from Thule Creek (Zone 4) </w:t>
      </w:r>
      <w:r w:rsidRPr="002B3004">
        <w:rPr>
          <w:bCs/>
          <w:sz w:val="20"/>
        </w:rPr>
        <w:t>from August 201</w:t>
      </w:r>
      <w:r>
        <w:rPr>
          <w:bCs/>
          <w:sz w:val="20"/>
        </w:rPr>
        <w:t>5</w:t>
      </w:r>
      <w:r w:rsidRPr="002B3004">
        <w:rPr>
          <w:bCs/>
          <w:sz w:val="20"/>
        </w:rPr>
        <w:t xml:space="preserve"> to </w:t>
      </w:r>
      <w:r>
        <w:rPr>
          <w:bCs/>
          <w:sz w:val="20"/>
        </w:rPr>
        <w:t>April 2016</w:t>
      </w:r>
      <w:r w:rsidRPr="002B3004">
        <w:rPr>
          <w:bCs/>
          <w:sz w:val="20"/>
        </w:rPr>
        <w:t>.</w:t>
      </w:r>
      <w:r>
        <w:rPr>
          <w:bCs/>
          <w:sz w:val="20"/>
        </w:rPr>
        <w:t xml:space="preserve"> Full symbols represent the upstream site within each Zone and the hollow symbols the downstream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3"/>
        <w:gridCol w:w="7"/>
        <w:gridCol w:w="6968"/>
      </w:tblGrid>
      <w:tr w:rsidR="008E6212" w14:paraId="3B4F8EA2" w14:textId="77777777" w:rsidTr="009C1A36">
        <w:tc>
          <w:tcPr>
            <w:tcW w:w="6973" w:type="dxa"/>
          </w:tcPr>
          <w:p w14:paraId="3B4F8E9E" w14:textId="77777777" w:rsidR="008E6212" w:rsidRDefault="008E6212" w:rsidP="009C1A36">
            <w:pPr>
              <w:spacing w:after="0"/>
            </w:pPr>
            <w:r w:rsidRPr="00CB23E1">
              <w:rPr>
                <w:noProof/>
                <w:lang w:eastAsia="en-AU"/>
              </w:rPr>
              <w:drawing>
                <wp:inline distT="0" distB="0" distL="0" distR="0" wp14:anchorId="3B4F9644" wp14:editId="7E00E718">
                  <wp:extent cx="4290060" cy="220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290060" cy="2209800"/>
                          </a:xfrm>
                          <a:prstGeom prst="rect">
                            <a:avLst/>
                          </a:prstGeom>
                          <a:noFill/>
                          <a:ln>
                            <a:noFill/>
                          </a:ln>
                        </pic:spPr>
                      </pic:pic>
                    </a:graphicData>
                  </a:graphic>
                </wp:inline>
              </w:drawing>
            </w:r>
          </w:p>
          <w:p w14:paraId="3B4F8E9F" w14:textId="127C34E1" w:rsidR="008E6212" w:rsidRDefault="008E6212" w:rsidP="009C1A36">
            <w:pPr>
              <w:spacing w:after="0"/>
            </w:pPr>
            <w:r>
              <w:t>a)</w:t>
            </w:r>
            <w:r w:rsidR="005503D5">
              <w:t xml:space="preserve"> </w:t>
            </w:r>
            <w:r w:rsidR="005503D5" w:rsidRPr="002B3004">
              <w:rPr>
                <w:bCs/>
                <w:sz w:val="20"/>
              </w:rPr>
              <w:t>Yallakool Creek (Zone 1)</w:t>
            </w:r>
            <w:r w:rsidR="005503D5">
              <w:rPr>
                <w:bCs/>
                <w:sz w:val="20"/>
              </w:rPr>
              <w:t>,</w:t>
            </w:r>
          </w:p>
        </w:tc>
        <w:tc>
          <w:tcPr>
            <w:tcW w:w="6975" w:type="dxa"/>
            <w:gridSpan w:val="2"/>
          </w:tcPr>
          <w:p w14:paraId="3B4F8EA0" w14:textId="77777777" w:rsidR="008E6212" w:rsidRDefault="008E6212" w:rsidP="009C1A36">
            <w:pPr>
              <w:spacing w:after="0"/>
            </w:pPr>
            <w:r w:rsidRPr="00E669A9">
              <w:rPr>
                <w:noProof/>
                <w:lang w:eastAsia="en-AU"/>
              </w:rPr>
              <w:drawing>
                <wp:inline distT="0" distB="0" distL="0" distR="0" wp14:anchorId="3B4F9646" wp14:editId="3F72131C">
                  <wp:extent cx="4290060" cy="2209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290060" cy="2209800"/>
                          </a:xfrm>
                          <a:prstGeom prst="rect">
                            <a:avLst/>
                          </a:prstGeom>
                          <a:noFill/>
                          <a:ln>
                            <a:noFill/>
                          </a:ln>
                        </pic:spPr>
                      </pic:pic>
                    </a:graphicData>
                  </a:graphic>
                </wp:inline>
              </w:drawing>
            </w:r>
          </w:p>
          <w:p w14:paraId="3B4F8EA1" w14:textId="02B92D14" w:rsidR="008E6212" w:rsidRDefault="008E6212" w:rsidP="009C1A36">
            <w:pPr>
              <w:spacing w:after="0"/>
            </w:pPr>
            <w:r>
              <w:t>b)</w:t>
            </w:r>
            <w:r w:rsidR="005503D5">
              <w:rPr>
                <w:bCs/>
                <w:sz w:val="20"/>
              </w:rPr>
              <w:t xml:space="preserve"> Wakool River (Zone 2),</w:t>
            </w:r>
          </w:p>
        </w:tc>
      </w:tr>
      <w:tr w:rsidR="008E6212" w14:paraId="3B4F8EA7" w14:textId="77777777" w:rsidTr="009C1A36">
        <w:tc>
          <w:tcPr>
            <w:tcW w:w="6980" w:type="dxa"/>
            <w:gridSpan w:val="2"/>
          </w:tcPr>
          <w:p w14:paraId="3B4F8EA3" w14:textId="77777777" w:rsidR="008E6212" w:rsidRDefault="008E6212" w:rsidP="009C1A36">
            <w:pPr>
              <w:spacing w:after="0"/>
            </w:pPr>
            <w:r w:rsidRPr="00CB23E1">
              <w:rPr>
                <w:noProof/>
                <w:lang w:eastAsia="en-AU"/>
              </w:rPr>
              <w:drawing>
                <wp:inline distT="0" distB="0" distL="0" distR="0" wp14:anchorId="3B4F9648" wp14:editId="6D591A83">
                  <wp:extent cx="4297680" cy="2209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297680" cy="2209800"/>
                          </a:xfrm>
                          <a:prstGeom prst="rect">
                            <a:avLst/>
                          </a:prstGeom>
                          <a:noFill/>
                          <a:ln>
                            <a:noFill/>
                          </a:ln>
                        </pic:spPr>
                      </pic:pic>
                    </a:graphicData>
                  </a:graphic>
                </wp:inline>
              </w:drawing>
            </w:r>
          </w:p>
          <w:p w14:paraId="3B4F8EA4" w14:textId="655EA9B7" w:rsidR="008E6212" w:rsidRDefault="008E6212" w:rsidP="009C1A36">
            <w:pPr>
              <w:spacing w:after="0"/>
            </w:pPr>
            <w:r>
              <w:t>c)</w:t>
            </w:r>
            <w:r w:rsidR="005503D5">
              <w:rPr>
                <w:bCs/>
                <w:sz w:val="20"/>
              </w:rPr>
              <w:t xml:space="preserve"> Wakool River upstream from Thule Creek (Zone 3)</w:t>
            </w:r>
          </w:p>
        </w:tc>
        <w:tc>
          <w:tcPr>
            <w:tcW w:w="6968" w:type="dxa"/>
          </w:tcPr>
          <w:p w14:paraId="3B4F8EA5" w14:textId="77777777" w:rsidR="008E6212" w:rsidRDefault="008E6212" w:rsidP="009C1A36">
            <w:pPr>
              <w:spacing w:after="0"/>
            </w:pPr>
            <w:r w:rsidRPr="00CB23E1">
              <w:rPr>
                <w:noProof/>
                <w:lang w:eastAsia="en-AU"/>
              </w:rPr>
              <w:drawing>
                <wp:inline distT="0" distB="0" distL="0" distR="0" wp14:anchorId="3B4F964A" wp14:editId="55BF7F5B">
                  <wp:extent cx="4282440" cy="2202180"/>
                  <wp:effectExtent l="0" t="0" r="381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282440" cy="2202180"/>
                          </a:xfrm>
                          <a:prstGeom prst="rect">
                            <a:avLst/>
                          </a:prstGeom>
                          <a:noFill/>
                          <a:ln>
                            <a:noFill/>
                          </a:ln>
                        </pic:spPr>
                      </pic:pic>
                    </a:graphicData>
                  </a:graphic>
                </wp:inline>
              </w:drawing>
            </w:r>
          </w:p>
          <w:p w14:paraId="3B4F8EA6" w14:textId="4B8F9F30" w:rsidR="008E6212" w:rsidRDefault="008E6212" w:rsidP="009C1A36">
            <w:pPr>
              <w:spacing w:after="0"/>
            </w:pPr>
            <w:r>
              <w:t>d)</w:t>
            </w:r>
            <w:r w:rsidR="005503D5">
              <w:rPr>
                <w:bCs/>
                <w:sz w:val="20"/>
              </w:rPr>
              <w:t xml:space="preserve"> Wakool River downstream from Thule Creek (Zone 4)</w:t>
            </w:r>
          </w:p>
        </w:tc>
      </w:tr>
    </w:tbl>
    <w:p w14:paraId="3B4F8EA8" w14:textId="77777777" w:rsidR="008E6212" w:rsidRDefault="008E6212" w:rsidP="008E6212">
      <w:pPr>
        <w:spacing w:after="240" w:line="240" w:lineRule="auto"/>
        <w:rPr>
          <w:bCs/>
          <w:sz w:val="20"/>
        </w:rPr>
        <w:sectPr w:rsidR="008E6212" w:rsidSect="009C1A36">
          <w:pgSz w:w="16838" w:h="11906" w:orient="landscape"/>
          <w:pgMar w:top="1440" w:right="1985" w:bottom="1440" w:left="1985" w:header="708" w:footer="708" w:gutter="0"/>
          <w:cols w:space="708"/>
          <w:docGrid w:linePitch="360"/>
        </w:sectPr>
      </w:pPr>
      <w:r>
        <w:rPr>
          <w:b/>
          <w:bCs/>
          <w:sz w:val="20"/>
        </w:rPr>
        <w:t>Figure B</w:t>
      </w:r>
      <w:r w:rsidRPr="00F21554">
        <w:rPr>
          <w:b/>
          <w:bCs/>
          <w:sz w:val="20"/>
        </w:rPr>
        <w:t>.</w:t>
      </w:r>
      <w:r>
        <w:rPr>
          <w:b/>
          <w:bCs/>
          <w:sz w:val="20"/>
        </w:rPr>
        <w:t>3</w:t>
      </w:r>
      <w:r w:rsidR="00F774C7">
        <w:rPr>
          <w:b/>
          <w:bCs/>
          <w:sz w:val="20"/>
        </w:rPr>
        <w:t>.</w:t>
      </w:r>
      <w:r w:rsidRPr="002B3004">
        <w:rPr>
          <w:bCs/>
          <w:sz w:val="20"/>
        </w:rPr>
        <w:t xml:space="preserve"> </w:t>
      </w:r>
      <w:r>
        <w:rPr>
          <w:bCs/>
          <w:sz w:val="20"/>
        </w:rPr>
        <w:t>Relationships between</w:t>
      </w:r>
      <w:r w:rsidRPr="002B3004">
        <w:rPr>
          <w:bCs/>
          <w:sz w:val="20"/>
        </w:rPr>
        <w:t xml:space="preserve"> Flow </w:t>
      </w:r>
      <w:r>
        <w:rPr>
          <w:bCs/>
          <w:sz w:val="20"/>
        </w:rPr>
        <w:t>and Ecosystem Respiration</w:t>
      </w:r>
      <w:r w:rsidRPr="002B3004">
        <w:rPr>
          <w:bCs/>
          <w:sz w:val="20"/>
        </w:rPr>
        <w:t xml:space="preserve"> for</w:t>
      </w:r>
      <w:r>
        <w:rPr>
          <w:bCs/>
          <w:sz w:val="20"/>
        </w:rPr>
        <w:t>:</w:t>
      </w:r>
      <w:r w:rsidRPr="002B3004">
        <w:rPr>
          <w:bCs/>
          <w:sz w:val="20"/>
        </w:rPr>
        <w:t xml:space="preserve"> </w:t>
      </w:r>
      <w:r>
        <w:rPr>
          <w:bCs/>
          <w:sz w:val="20"/>
        </w:rPr>
        <w:t xml:space="preserve">a) </w:t>
      </w:r>
      <w:r w:rsidRPr="002B3004">
        <w:rPr>
          <w:bCs/>
          <w:sz w:val="20"/>
        </w:rPr>
        <w:t>Yallakool Creek (Zone 1)</w:t>
      </w:r>
      <w:r>
        <w:rPr>
          <w:bCs/>
          <w:sz w:val="20"/>
        </w:rPr>
        <w:t xml:space="preserve">, b) Wakool River (Zone 2), c) Wakool River upstream from Thule Creek (Zone 3), and d) Wakool River downstream from Thule Creek (Zone 4) </w:t>
      </w:r>
      <w:r w:rsidRPr="002B3004">
        <w:rPr>
          <w:bCs/>
          <w:sz w:val="20"/>
        </w:rPr>
        <w:t>from August 201</w:t>
      </w:r>
      <w:r>
        <w:rPr>
          <w:bCs/>
          <w:sz w:val="20"/>
        </w:rPr>
        <w:t>5</w:t>
      </w:r>
      <w:r w:rsidRPr="002B3004">
        <w:rPr>
          <w:bCs/>
          <w:sz w:val="20"/>
        </w:rPr>
        <w:t xml:space="preserve"> to </w:t>
      </w:r>
      <w:r>
        <w:rPr>
          <w:bCs/>
          <w:sz w:val="20"/>
        </w:rPr>
        <w:t>April 2016</w:t>
      </w:r>
      <w:r w:rsidRPr="002B3004">
        <w:rPr>
          <w:bCs/>
          <w:sz w:val="20"/>
        </w:rPr>
        <w:t>.</w:t>
      </w:r>
      <w:r>
        <w:rPr>
          <w:bCs/>
          <w:sz w:val="20"/>
        </w:rPr>
        <w:t xml:space="preserve"> Full symbols represent the upstream site within each Zone and the hollow symbols the downstream site.</w:t>
      </w:r>
    </w:p>
    <w:p w14:paraId="3B4F8EA9" w14:textId="77777777" w:rsidR="008E6212" w:rsidRPr="00F07C5C" w:rsidRDefault="008E6212" w:rsidP="005B1F82">
      <w:pPr>
        <w:spacing w:after="240" w:line="320" w:lineRule="exact"/>
        <w:jc w:val="left"/>
        <w:rPr>
          <w:b/>
          <w:color w:val="4F6228" w:themeColor="accent3" w:themeShade="80"/>
          <w:sz w:val="24"/>
          <w:szCs w:val="24"/>
        </w:rPr>
      </w:pPr>
      <w:r>
        <w:rPr>
          <w:b/>
          <w:color w:val="4F6228" w:themeColor="accent3" w:themeShade="80"/>
          <w:sz w:val="24"/>
          <w:szCs w:val="24"/>
        </w:rPr>
        <w:lastRenderedPageBreak/>
        <w:t xml:space="preserve">B.5 </w:t>
      </w:r>
      <w:r w:rsidRPr="00F07C5C">
        <w:rPr>
          <w:b/>
          <w:color w:val="4F6228" w:themeColor="accent3" w:themeShade="80"/>
          <w:sz w:val="24"/>
          <w:szCs w:val="24"/>
        </w:rPr>
        <w:t>Discussion</w:t>
      </w:r>
    </w:p>
    <w:p w14:paraId="3B4F8EAA" w14:textId="77777777" w:rsidR="00E612AA" w:rsidRDefault="00E16129" w:rsidP="00E612AA">
      <w:pPr>
        <w:spacing w:after="240" w:line="320" w:lineRule="exact"/>
        <w:jc w:val="left"/>
        <w:rPr>
          <w:rFonts w:cs="Calibri"/>
        </w:rPr>
      </w:pPr>
      <w:r>
        <w:rPr>
          <w:bCs/>
        </w:rPr>
        <w:t xml:space="preserve">Despite </w:t>
      </w:r>
      <w:r w:rsidR="00E612AA">
        <w:rPr>
          <w:bCs/>
        </w:rPr>
        <w:t>some</w:t>
      </w:r>
      <w:r>
        <w:rPr>
          <w:bCs/>
        </w:rPr>
        <w:t xml:space="preserve"> differences </w:t>
      </w:r>
      <w:r w:rsidR="00E612AA">
        <w:rPr>
          <w:bCs/>
        </w:rPr>
        <w:t xml:space="preserve">in GPP </w:t>
      </w:r>
      <w:r>
        <w:rPr>
          <w:bCs/>
        </w:rPr>
        <w:t>across zones, and echoing the findings from 2014-15 (Watts et al. 2015), the GPP rates calculated for the four zones in the Edward-Wakool system are at the lower end of the ‘normal’ range for freshwater streams and rivers. This normal range is (approximately) 3-10 mg O</w:t>
      </w:r>
      <w:r>
        <w:rPr>
          <w:bCs/>
          <w:vertAlign w:val="subscript"/>
        </w:rPr>
        <w:t>2</w:t>
      </w:r>
      <w:r>
        <w:rPr>
          <w:bCs/>
        </w:rPr>
        <w:t>/L/Day (e.g. Bernot et al.</w:t>
      </w:r>
      <w:r w:rsidR="00E612AA">
        <w:rPr>
          <w:bCs/>
        </w:rPr>
        <w:t xml:space="preserve"> 2010; Marcarelli et al. 2011). </w:t>
      </w:r>
      <w:r w:rsidR="00E612AA">
        <w:rPr>
          <w:rFonts w:cs="Calibri"/>
        </w:rPr>
        <w:t>It is highly probable that these low median rates of GPP and ER are due to a combination of very low bioavailable nutrient concentrations and a water column that inhibits photosynthesis by limiting light penetration. Typically, all bioavailable nutrient concentrations were &lt; 0.005 mg/L (see Appendix A) and most importantly this included FRP – the bioavailable form of phosphorus. Some algae and cyanobacteria can fix nitrogen gas from the water to augment N supply when water column concentrations of nitrate and ammonia are low, but there is no comparable mechanism for easily obtaining bioavailable phosphorus when it is in short supply. Some microorganisms can produce enzymes to convert more complex forms of phosphorus to the bioavailable phosphate form, but measurement of this process is beyond the scope of this LTIM project. Turbidity levels at all seven sites and with all measurements were greater than 50 NTU. This means that light penetration into the water column will be inhibited by the fine suspended particulate matter, which in turn will decrease the PAR available for photosynthesis by benthic algae (and to a lesser extent, phytoplankton).</w:t>
      </w:r>
    </w:p>
    <w:p w14:paraId="3B4F8EAB" w14:textId="77777777" w:rsidR="00E612AA" w:rsidRDefault="00E612AA" w:rsidP="00E612AA">
      <w:pPr>
        <w:spacing w:after="240" w:line="320" w:lineRule="exact"/>
        <w:jc w:val="left"/>
        <w:rPr>
          <w:bCs/>
          <w:szCs w:val="22"/>
        </w:rPr>
      </w:pPr>
      <w:r>
        <w:rPr>
          <w:bCs/>
          <w:szCs w:val="22"/>
        </w:rPr>
        <w:t>Overall, t</w:t>
      </w:r>
      <w:r w:rsidRPr="00A55F53">
        <w:rPr>
          <w:bCs/>
          <w:szCs w:val="22"/>
        </w:rPr>
        <w:t xml:space="preserve">here </w:t>
      </w:r>
      <w:r>
        <w:rPr>
          <w:bCs/>
          <w:szCs w:val="22"/>
        </w:rPr>
        <w:t>were</w:t>
      </w:r>
      <w:r w:rsidRPr="00A55F53">
        <w:rPr>
          <w:bCs/>
          <w:szCs w:val="22"/>
        </w:rPr>
        <w:t xml:space="preserve"> no strong responses </w:t>
      </w:r>
      <w:r>
        <w:rPr>
          <w:bCs/>
          <w:szCs w:val="22"/>
        </w:rPr>
        <w:t xml:space="preserve">in metabolic rates to changes in river discharge </w:t>
      </w:r>
      <w:r w:rsidRPr="00A55F53">
        <w:rPr>
          <w:bCs/>
          <w:szCs w:val="22"/>
        </w:rPr>
        <w:t>associated with either Commonwealth envir</w:t>
      </w:r>
      <w:r>
        <w:rPr>
          <w:bCs/>
          <w:szCs w:val="22"/>
        </w:rPr>
        <w:t>onmental water or natural flows</w:t>
      </w:r>
      <w:r w:rsidRPr="00A55F53">
        <w:rPr>
          <w:bCs/>
          <w:szCs w:val="22"/>
        </w:rPr>
        <w:t xml:space="preserve">. Both GPP and ER in the various zones showed substantial increases (and decreases) during periods of relatively constant discharge, yet changes in the hydrograph did not appear to produce any immediate metabolic response. </w:t>
      </w:r>
    </w:p>
    <w:p w14:paraId="3B4F8EAC" w14:textId="77777777" w:rsidR="00E612AA" w:rsidRDefault="00E612AA" w:rsidP="00E612AA">
      <w:pPr>
        <w:spacing w:after="240" w:line="320" w:lineRule="exact"/>
        <w:jc w:val="left"/>
        <w:rPr>
          <w:bCs/>
          <w:szCs w:val="22"/>
        </w:rPr>
      </w:pPr>
      <w:r>
        <w:rPr>
          <w:rFonts w:cs="Calibri"/>
        </w:rPr>
        <w:t>T</w:t>
      </w:r>
      <w:r w:rsidRPr="005B1FF3">
        <w:rPr>
          <w:rFonts w:cs="Calibri"/>
        </w:rPr>
        <w:t>he</w:t>
      </w:r>
      <w:r w:rsidR="00214840">
        <w:rPr>
          <w:rFonts w:cs="Calibri"/>
        </w:rPr>
        <w:t>re was very little flow variability in</w:t>
      </w:r>
      <w:r w:rsidRPr="005B1FF3">
        <w:rPr>
          <w:rFonts w:cs="Calibri"/>
        </w:rPr>
        <w:t xml:space="preserve"> flow </w:t>
      </w:r>
      <w:r w:rsidR="00214840">
        <w:rPr>
          <w:rFonts w:cs="Calibri"/>
        </w:rPr>
        <w:t xml:space="preserve">(over a days to </w:t>
      </w:r>
      <w:r w:rsidR="00214840" w:rsidRPr="005B1FF3">
        <w:rPr>
          <w:rFonts w:cs="Calibri"/>
        </w:rPr>
        <w:t>weeks time-frame</w:t>
      </w:r>
      <w:r w:rsidR="00214840">
        <w:rPr>
          <w:rFonts w:cs="Calibri"/>
        </w:rPr>
        <w:t>) for</w:t>
      </w:r>
      <w:r w:rsidRPr="005B1FF3">
        <w:rPr>
          <w:rFonts w:cs="Calibri"/>
        </w:rPr>
        <w:t xml:space="preserve"> the period Aug 2015 to April 2016 when metabolism was </w:t>
      </w:r>
      <w:r w:rsidR="00214840">
        <w:rPr>
          <w:rFonts w:cs="Calibri"/>
        </w:rPr>
        <w:t xml:space="preserve">measured, </w:t>
      </w:r>
      <w:r w:rsidR="00214840" w:rsidRPr="005B1FF3">
        <w:rPr>
          <w:rFonts w:cs="Calibri"/>
        </w:rPr>
        <w:t>especially over the key algal growth period of October through to February</w:t>
      </w:r>
      <w:r w:rsidR="00214840">
        <w:rPr>
          <w:rFonts w:cs="Calibri"/>
        </w:rPr>
        <w:t xml:space="preserve">. </w:t>
      </w:r>
      <w:r>
        <w:rPr>
          <w:rFonts w:cs="Calibri"/>
        </w:rPr>
        <w:t xml:space="preserve">Consequently, it was not possible to discern any flow-related responses in metabolism over this period. </w:t>
      </w:r>
      <w:r w:rsidRPr="005B1FF3">
        <w:rPr>
          <w:rFonts w:cs="Calibri"/>
          <w:i/>
          <w:iCs/>
        </w:rPr>
        <w:t xml:space="preserve">It is therefore recommended that serious consideration be given to providing a </w:t>
      </w:r>
      <w:r w:rsidR="00214840">
        <w:rPr>
          <w:rFonts w:cs="Calibri"/>
          <w:i/>
          <w:iCs/>
        </w:rPr>
        <w:t xml:space="preserve">more </w:t>
      </w:r>
      <w:r w:rsidRPr="005B1FF3">
        <w:rPr>
          <w:rFonts w:cs="Calibri"/>
          <w:i/>
          <w:iCs/>
        </w:rPr>
        <w:t>variable flow regime in the Edward-Wakool system over this period in future years</w:t>
      </w:r>
      <w:r>
        <w:rPr>
          <w:rFonts w:cs="Calibri"/>
        </w:rPr>
        <w:t xml:space="preserve">. </w:t>
      </w:r>
      <w:r w:rsidRPr="00A55F53">
        <w:rPr>
          <w:bCs/>
          <w:szCs w:val="22"/>
        </w:rPr>
        <w:t>As noted previ</w:t>
      </w:r>
      <w:r w:rsidR="004762DE">
        <w:rPr>
          <w:bCs/>
          <w:szCs w:val="22"/>
        </w:rPr>
        <w:t>ously (Watts et al.</w:t>
      </w:r>
      <w:r w:rsidRPr="00A55F53">
        <w:rPr>
          <w:bCs/>
          <w:szCs w:val="22"/>
        </w:rPr>
        <w:t xml:space="preserve"> 2015) an instantaneous response in GPP to discharge is not expected as time (typically weeks) is required for algal populations to increase significantly. More rapid changes in ER may occur as bacterial populations can increase over timeframes of hours to a few days to take advantage of increased concentrations of labile organic carbon.</w:t>
      </w:r>
    </w:p>
    <w:p w14:paraId="3B4F8EAD" w14:textId="77777777" w:rsidR="008E6212" w:rsidRPr="005B1FF3" w:rsidRDefault="008E6212" w:rsidP="005B1F82">
      <w:pPr>
        <w:spacing w:after="240" w:line="320" w:lineRule="exact"/>
        <w:jc w:val="left"/>
        <w:rPr>
          <w:rFonts w:cs="Calibri"/>
        </w:rPr>
      </w:pPr>
      <w:r>
        <w:rPr>
          <w:rFonts w:cs="Calibri"/>
        </w:rPr>
        <w:t xml:space="preserve">Despite the </w:t>
      </w:r>
      <w:r w:rsidR="0077301B">
        <w:rPr>
          <w:rFonts w:cs="Calibri"/>
        </w:rPr>
        <w:t>general</w:t>
      </w:r>
      <w:r>
        <w:rPr>
          <w:rFonts w:cs="Calibri"/>
        </w:rPr>
        <w:t xml:space="preserve"> invariance in discharge, some relatively rapid changes in metabolic rates were observed – especially for GPP in mid-November 2015. Rates at several sites climbed rapidly over a few days and then declined again. There were higher nitrate and ammonia concentrations noted at this time in Zone 3 but the origin of this event is still under investigation.</w:t>
      </w:r>
    </w:p>
    <w:p w14:paraId="3B4F8EAE" w14:textId="77777777" w:rsidR="008E6212" w:rsidRPr="00702F64" w:rsidRDefault="008E6212" w:rsidP="005B1F82">
      <w:pPr>
        <w:spacing w:after="240" w:line="320" w:lineRule="exact"/>
        <w:jc w:val="left"/>
        <w:rPr>
          <w:rFonts w:cs="Calibri"/>
          <w:highlight w:val="yellow"/>
        </w:rPr>
      </w:pPr>
      <w:r w:rsidRPr="00B64B8B">
        <w:rPr>
          <w:rFonts w:cs="Calibri"/>
        </w:rPr>
        <w:lastRenderedPageBreak/>
        <w:t xml:space="preserve">Relatively </w:t>
      </w:r>
      <w:r w:rsidRPr="00562C7F">
        <w:rPr>
          <w:rFonts w:cs="Calibri"/>
        </w:rPr>
        <w:t>low disso</w:t>
      </w:r>
      <w:r w:rsidR="00214840">
        <w:rPr>
          <w:rFonts w:cs="Calibri"/>
        </w:rPr>
        <w:t>lved oxygen concentrations was recorded</w:t>
      </w:r>
      <w:r w:rsidR="0077301B">
        <w:rPr>
          <w:rFonts w:cs="Calibri"/>
        </w:rPr>
        <w:t xml:space="preserve"> in Zone 2 (see Appendix A</w:t>
      </w:r>
      <w:r w:rsidRPr="00562C7F">
        <w:rPr>
          <w:rFonts w:cs="Calibri"/>
        </w:rPr>
        <w:t>)</w:t>
      </w:r>
      <w:r>
        <w:rPr>
          <w:rFonts w:cs="Calibri"/>
        </w:rPr>
        <w:t xml:space="preserve"> on numerous occasions</w:t>
      </w:r>
      <w:r w:rsidR="00214840">
        <w:rPr>
          <w:rFonts w:cs="Calibri"/>
        </w:rPr>
        <w:t>, which is consistent with observations in 2014-15 (Watts et al</w:t>
      </w:r>
      <w:r w:rsidR="004762DE">
        <w:rPr>
          <w:rFonts w:cs="Calibri"/>
        </w:rPr>
        <w:t>.</w:t>
      </w:r>
      <w:r w:rsidR="00214840">
        <w:rPr>
          <w:rFonts w:cs="Calibri"/>
        </w:rPr>
        <w:t xml:space="preserve"> 2015)</w:t>
      </w:r>
      <w:r>
        <w:rPr>
          <w:rFonts w:cs="Calibri"/>
        </w:rPr>
        <w:t xml:space="preserve">. </w:t>
      </w:r>
      <w:r w:rsidR="00214840">
        <w:rPr>
          <w:rFonts w:cs="Calibri"/>
        </w:rPr>
        <w:t>This low DO may be</w:t>
      </w:r>
      <w:r w:rsidRPr="00275932">
        <w:rPr>
          <w:rFonts w:cs="Calibri"/>
        </w:rPr>
        <w:t xml:space="preserve"> attributed to the observed accumulation of organic matter which resulted in elevated respiration rates compared to the other sites exacerbated by the lack of adequate reaeration. Reaeration is determined by water velocity and in particular, turbulence (which enhances mixing of air – and hence oxygen – into the water column) and is also determined by the geomorphology of the site. The median reaeration rate at the Zone 2 do</w:t>
      </w:r>
      <w:r>
        <w:rPr>
          <w:rFonts w:cs="Calibri"/>
        </w:rPr>
        <w:t>wn</w:t>
      </w:r>
      <w:r w:rsidRPr="00275932">
        <w:rPr>
          <w:rFonts w:cs="Calibri"/>
        </w:rPr>
        <w:t xml:space="preserve">stream site (1.7 /Day) was much lower than any of the other sites with the exception of the downstream </w:t>
      </w:r>
      <w:r>
        <w:rPr>
          <w:rFonts w:cs="Calibri"/>
        </w:rPr>
        <w:t>site in Zone 3</w:t>
      </w:r>
      <w:r w:rsidRPr="00275932">
        <w:rPr>
          <w:rFonts w:cs="Calibri"/>
        </w:rPr>
        <w:t>. All reaeration rates were typical of slow flowing, low gradient streams with generally only a limited amount of physical structures (e.g. large rocks, riffle zones) generating turbulence. It is unlikely the reaeration rate can be greatly enhanced by flow manipulations due to the flat topography, hence again indicating the importance of sufficient flows above base level to ensure environmentally acceptable DO concentrations simply through dilution.</w:t>
      </w:r>
    </w:p>
    <w:p w14:paraId="3B4F8EAF" w14:textId="77777777" w:rsidR="00214840" w:rsidRDefault="00214840" w:rsidP="005B1F82">
      <w:pPr>
        <w:spacing w:after="240" w:line="320" w:lineRule="exact"/>
        <w:jc w:val="left"/>
        <w:rPr>
          <w:rFonts w:cs="Calibri"/>
        </w:rPr>
      </w:pPr>
      <w:r>
        <w:rPr>
          <w:rFonts w:cs="Calibri"/>
        </w:rPr>
        <w:t>W</w:t>
      </w:r>
      <w:r w:rsidR="008E6212" w:rsidRPr="00B64B8B">
        <w:rPr>
          <w:rFonts w:cs="Calibri"/>
        </w:rPr>
        <w:t xml:space="preserve">hile the Commonwealth environmental watering actions </w:t>
      </w:r>
      <w:r>
        <w:rPr>
          <w:rFonts w:cs="Calibri"/>
        </w:rPr>
        <w:t xml:space="preserve">in 2015-16 </w:t>
      </w:r>
      <w:r w:rsidR="008E6212" w:rsidRPr="00B64B8B">
        <w:rPr>
          <w:rFonts w:cs="Calibri"/>
        </w:rPr>
        <w:t xml:space="preserve">did not appear to stimulate gross primary production (and therefore basal food resources for invertebrates and fish), </w:t>
      </w:r>
      <w:r>
        <w:rPr>
          <w:rFonts w:cs="Calibri"/>
        </w:rPr>
        <w:t>the environmental watering</w:t>
      </w:r>
      <w:r w:rsidR="008E6212" w:rsidRPr="00B64B8B">
        <w:rPr>
          <w:rFonts w:cs="Calibri"/>
        </w:rPr>
        <w:t xml:space="preserve"> did play an important role in preventing poor water quality</w:t>
      </w:r>
      <w:r>
        <w:rPr>
          <w:rFonts w:cs="Calibri"/>
        </w:rPr>
        <w:t xml:space="preserve"> (Appendix A). These findings are consistent with the findings from monitoring in</w:t>
      </w:r>
      <w:r w:rsidRPr="00B64B8B">
        <w:rPr>
          <w:rFonts w:cs="Calibri"/>
        </w:rPr>
        <w:t xml:space="preserve"> </w:t>
      </w:r>
      <w:r>
        <w:rPr>
          <w:rFonts w:cs="Calibri"/>
        </w:rPr>
        <w:t xml:space="preserve">the tributaries of the Edward-Wakool system </w:t>
      </w:r>
      <w:r w:rsidRPr="00B64B8B">
        <w:rPr>
          <w:rFonts w:cs="Calibri"/>
        </w:rPr>
        <w:t>2014-15</w:t>
      </w:r>
      <w:r>
        <w:rPr>
          <w:rFonts w:cs="Calibri"/>
        </w:rPr>
        <w:t xml:space="preserve"> (Watts et al</w:t>
      </w:r>
      <w:r w:rsidR="004762DE">
        <w:rPr>
          <w:rFonts w:cs="Calibri"/>
        </w:rPr>
        <w:t>.</w:t>
      </w:r>
      <w:r>
        <w:rPr>
          <w:rFonts w:cs="Calibri"/>
        </w:rPr>
        <w:t xml:space="preserve"> 2015).</w:t>
      </w:r>
    </w:p>
    <w:p w14:paraId="3B4F8EB0" w14:textId="77777777" w:rsidR="008E6212" w:rsidRDefault="008E6212" w:rsidP="005B1F82">
      <w:pPr>
        <w:spacing w:after="240" w:line="320" w:lineRule="exact"/>
        <w:jc w:val="left"/>
        <w:rPr>
          <w:rFonts w:cs="Calibri"/>
        </w:rPr>
      </w:pPr>
      <w:r>
        <w:rPr>
          <w:rFonts w:cs="Calibri"/>
        </w:rPr>
        <w:br w:type="page"/>
      </w:r>
    </w:p>
    <w:p w14:paraId="3B4F8EB1" w14:textId="77777777" w:rsidR="008E6212" w:rsidRPr="00AB64D3" w:rsidRDefault="008E6212" w:rsidP="00417F7C">
      <w:pPr>
        <w:pStyle w:val="Heading1"/>
      </w:pPr>
      <w:bookmarkStart w:id="40" w:name="_Toc484078420"/>
      <w:r w:rsidRPr="00AB64D3">
        <w:lastRenderedPageBreak/>
        <w:t>Appendix C: Riverbank &amp; Aquatic Vegetation</w:t>
      </w:r>
      <w:bookmarkEnd w:id="40"/>
    </w:p>
    <w:p w14:paraId="3B4F8EB2" w14:textId="77777777" w:rsidR="008E6212" w:rsidRDefault="008E6212" w:rsidP="008E6212">
      <w:pPr>
        <w:spacing w:after="0" w:line="240" w:lineRule="auto"/>
        <w:jc w:val="left"/>
      </w:pPr>
    </w:p>
    <w:p w14:paraId="3B4F8EB3" w14:textId="77777777" w:rsidR="008E6212" w:rsidRPr="007906C1" w:rsidRDefault="008E6212" w:rsidP="008E6212">
      <w:pPr>
        <w:spacing w:after="240" w:line="320" w:lineRule="exact"/>
        <w:jc w:val="left"/>
        <w:rPr>
          <w:b/>
          <w:sz w:val="26"/>
          <w:szCs w:val="26"/>
        </w:rPr>
      </w:pPr>
      <w:r w:rsidRPr="007906C1">
        <w:rPr>
          <w:b/>
          <w:color w:val="4F6228" w:themeColor="accent3" w:themeShade="80"/>
          <w:sz w:val="26"/>
          <w:szCs w:val="26"/>
        </w:rPr>
        <w:t>C.1   Background</w:t>
      </w:r>
    </w:p>
    <w:p w14:paraId="3B4F8EB4" w14:textId="77777777" w:rsidR="008E6212" w:rsidRPr="00506E37" w:rsidRDefault="008E6212" w:rsidP="008E6212">
      <w:pPr>
        <w:autoSpaceDE w:val="0"/>
        <w:autoSpaceDN w:val="0"/>
        <w:adjustRightInd w:val="0"/>
        <w:spacing w:after="240" w:line="320" w:lineRule="exact"/>
        <w:jc w:val="left"/>
        <w:rPr>
          <w:rFonts w:cs="Calibri"/>
        </w:rPr>
      </w:pPr>
      <w:r w:rsidRPr="00506E37">
        <w:rPr>
          <w:rFonts w:cs="Calibri"/>
        </w:rPr>
        <w:t xml:space="preserve">Riverbank vegetation and aquatic vegetation play an important role in the </w:t>
      </w:r>
      <w:r>
        <w:rPr>
          <w:rFonts w:cs="Calibri"/>
        </w:rPr>
        <w:t>functioning</w:t>
      </w:r>
      <w:r w:rsidRPr="00506E37">
        <w:rPr>
          <w:rFonts w:cs="Calibri"/>
        </w:rPr>
        <w:t xml:space="preserve"> </w:t>
      </w:r>
      <w:r>
        <w:rPr>
          <w:rFonts w:cs="Calibri"/>
        </w:rPr>
        <w:t xml:space="preserve">of aquatic ecosystems, </w:t>
      </w:r>
      <w:r w:rsidRPr="00506E37">
        <w:rPr>
          <w:rFonts w:cs="Calibri"/>
        </w:rPr>
        <w:t>support</w:t>
      </w:r>
      <w:r>
        <w:rPr>
          <w:rFonts w:cs="Calibri"/>
        </w:rPr>
        <w:t>ing</w:t>
      </w:r>
      <w:r w:rsidRPr="00506E37">
        <w:rPr>
          <w:rFonts w:cs="Calibri"/>
        </w:rPr>
        <w:t xml:space="preserve"> riverine produc</w:t>
      </w:r>
      <w:r>
        <w:rPr>
          <w:rFonts w:cs="Calibri"/>
        </w:rPr>
        <w:t>tivity and food webs and providing</w:t>
      </w:r>
      <w:r w:rsidRPr="00506E37">
        <w:rPr>
          <w:rFonts w:cs="Calibri"/>
        </w:rPr>
        <w:t xml:space="preserve"> habitat for fish, invertebrates, frogs and birds (Roberts and Marston 2011). </w:t>
      </w:r>
    </w:p>
    <w:p w14:paraId="3B4F8EB5" w14:textId="77777777" w:rsidR="008E6212" w:rsidRDefault="008E6212" w:rsidP="008E6212">
      <w:pPr>
        <w:autoSpaceDE w:val="0"/>
        <w:autoSpaceDN w:val="0"/>
        <w:adjustRightInd w:val="0"/>
        <w:spacing w:after="240" w:line="320" w:lineRule="exact"/>
        <w:jc w:val="left"/>
        <w:rPr>
          <w:rFonts w:cs="Calibri"/>
        </w:rPr>
      </w:pPr>
      <w:r w:rsidRPr="00506E37">
        <w:rPr>
          <w:rFonts w:cs="Calibri"/>
        </w:rPr>
        <w:t xml:space="preserve">Flow management and the water regime in a river system can affect the </w:t>
      </w:r>
      <w:r>
        <w:rPr>
          <w:rFonts w:cs="Calibri"/>
        </w:rPr>
        <w:t xml:space="preserve">survival, </w:t>
      </w:r>
      <w:r w:rsidRPr="00506E37">
        <w:rPr>
          <w:rFonts w:cs="Calibri"/>
        </w:rPr>
        <w:t xml:space="preserve">growth </w:t>
      </w:r>
      <w:r>
        <w:rPr>
          <w:rFonts w:cs="Calibri"/>
        </w:rPr>
        <w:t xml:space="preserve">and </w:t>
      </w:r>
      <w:r w:rsidRPr="00506E37">
        <w:rPr>
          <w:rFonts w:cs="Calibri"/>
        </w:rPr>
        <w:t>maintenance of adult plants and strongly influence aspects of reproductive cycles, including flowering, dispersal, germination and recruitment. Riverbank plant survival and growth is affected by the frequency and duration of inundation (Toner and Keddy 1997; Johansson and Nilsson 2002; Lowe et al. 2010). Frequent inundation can delay reproduction (Blom and Voesenek 1996), whilst long duration of inundation can reduce growth or survival (Blom et al. 1994; Johansson and Nilsson 2002; Lowe et al. 2010). Favourable soil moisture and nutrient conditions created by a receding flood can encourage rapid recovery and root and shoot development and many plants, including emergent macrophytes and riparian understorey herbs, often germinate on flood recession (Nicol 2004; Roberts and Marston 2011). However, a high level of sediment deposition during periods of inundation can reduce the survival of some small herbaceous riverbank species (Lowe et al. 2010).</w:t>
      </w:r>
    </w:p>
    <w:p w14:paraId="3B4F8EB6" w14:textId="77777777" w:rsidR="008E6212" w:rsidRPr="0009058C" w:rsidRDefault="008E6212" w:rsidP="008E6212">
      <w:pPr>
        <w:autoSpaceDE w:val="0"/>
        <w:autoSpaceDN w:val="0"/>
        <w:adjustRightInd w:val="0"/>
        <w:spacing w:after="240" w:line="320" w:lineRule="exact"/>
        <w:jc w:val="left"/>
        <w:rPr>
          <w:rFonts w:cs="Calibri"/>
          <w:color w:val="000000" w:themeColor="text1"/>
        </w:rPr>
      </w:pPr>
      <w:r w:rsidRPr="0009058C">
        <w:rPr>
          <w:rFonts w:cs="Calibri"/>
          <w:color w:val="000000" w:themeColor="text1"/>
        </w:rPr>
        <w:t>Riverbank and aquatic taxa can be broadly categorised into three groups; submerged</w:t>
      </w:r>
      <w:r>
        <w:rPr>
          <w:rFonts w:cs="Calibri"/>
          <w:color w:val="000000" w:themeColor="text1"/>
        </w:rPr>
        <w:t xml:space="preserve"> taxa</w:t>
      </w:r>
      <w:r w:rsidRPr="0009058C">
        <w:rPr>
          <w:rFonts w:cs="Calibri"/>
          <w:color w:val="000000" w:themeColor="text1"/>
        </w:rPr>
        <w:t>, amphibious taxa that respond to or tolerate wetting and drying, and terrestrial taxa that typically occur in damp or dry habitats. The watering requirements of aquatic macrophytes is quite variable. For example, while it is critical that the submerged plant ribbon weed are re-flooded within three to four months to maintain existing plants (Roberts and Marst</w:t>
      </w:r>
      <w:r>
        <w:rPr>
          <w:rFonts w:cs="Calibri"/>
          <w:color w:val="000000" w:themeColor="text1"/>
        </w:rPr>
        <w:t>o</w:t>
      </w:r>
      <w:r w:rsidRPr="0009058C">
        <w:rPr>
          <w:rFonts w:cs="Calibri"/>
          <w:color w:val="000000" w:themeColor="text1"/>
        </w:rPr>
        <w:t>n 2011), many amphibious taxa respond to and tolerate a broad range of wetting and drying regimes.</w:t>
      </w:r>
    </w:p>
    <w:p w14:paraId="3B4F8EB7" w14:textId="77777777" w:rsidR="008E6212" w:rsidRDefault="008E6212" w:rsidP="008E6212">
      <w:pPr>
        <w:pStyle w:val="Para0"/>
        <w:spacing w:before="0" w:after="240" w:line="320" w:lineRule="exact"/>
        <w:rPr>
          <w:rFonts w:asciiTheme="minorHAnsi" w:hAnsiTheme="minorHAnsi"/>
          <w:sz w:val="22"/>
          <w:szCs w:val="22"/>
        </w:rPr>
      </w:pPr>
      <w:r w:rsidRPr="00DF540C">
        <w:rPr>
          <w:rFonts w:asciiTheme="minorHAnsi" w:hAnsiTheme="minorHAnsi"/>
          <w:sz w:val="22"/>
          <w:szCs w:val="22"/>
        </w:rPr>
        <w:t xml:space="preserve">A long history of operational water delivery in </w:t>
      </w:r>
      <w:r>
        <w:rPr>
          <w:rFonts w:asciiTheme="minorHAnsi" w:hAnsiTheme="minorHAnsi"/>
          <w:sz w:val="22"/>
          <w:szCs w:val="22"/>
        </w:rPr>
        <w:t>the Edward-Wakool system</w:t>
      </w:r>
      <w:r w:rsidRPr="00DF540C">
        <w:rPr>
          <w:rFonts w:asciiTheme="minorHAnsi" w:hAnsiTheme="minorHAnsi"/>
          <w:sz w:val="22"/>
          <w:szCs w:val="22"/>
        </w:rPr>
        <w:t xml:space="preserve"> </w:t>
      </w:r>
      <w:r>
        <w:rPr>
          <w:rFonts w:asciiTheme="minorHAnsi" w:hAnsiTheme="minorHAnsi"/>
          <w:sz w:val="22"/>
          <w:szCs w:val="22"/>
        </w:rPr>
        <w:t>combined with the</w:t>
      </w:r>
      <w:r w:rsidRPr="00DF540C">
        <w:rPr>
          <w:rFonts w:asciiTheme="minorHAnsi" w:hAnsiTheme="minorHAnsi"/>
          <w:sz w:val="22"/>
          <w:szCs w:val="22"/>
        </w:rPr>
        <w:t xml:space="preserve"> prolonged millennium drought </w:t>
      </w:r>
      <w:r w:rsidRPr="0009058C">
        <w:rPr>
          <w:rFonts w:asciiTheme="minorHAnsi" w:hAnsiTheme="minorHAnsi"/>
          <w:sz w:val="22"/>
          <w:szCs w:val="22"/>
        </w:rPr>
        <w:t xml:space="preserve">when flows in the </w:t>
      </w:r>
      <w:r>
        <w:rPr>
          <w:rFonts w:asciiTheme="minorHAnsi" w:hAnsiTheme="minorHAnsi"/>
          <w:sz w:val="22"/>
          <w:szCs w:val="22"/>
        </w:rPr>
        <w:t xml:space="preserve">Murray-Darling Basin </w:t>
      </w:r>
      <w:r w:rsidRPr="0009058C">
        <w:rPr>
          <w:rFonts w:asciiTheme="minorHAnsi" w:hAnsiTheme="minorHAnsi"/>
          <w:sz w:val="22"/>
          <w:szCs w:val="22"/>
        </w:rPr>
        <w:t>were at record low levels</w:t>
      </w:r>
      <w:r>
        <w:rPr>
          <w:rFonts w:asciiTheme="minorHAnsi" w:hAnsiTheme="minorHAnsi"/>
          <w:sz w:val="22"/>
          <w:szCs w:val="22"/>
        </w:rPr>
        <w:t xml:space="preserve"> (</w:t>
      </w:r>
      <w:r w:rsidRPr="0009058C">
        <w:rPr>
          <w:rFonts w:asciiTheme="minorHAnsi" w:hAnsiTheme="minorHAnsi"/>
          <w:sz w:val="22"/>
          <w:szCs w:val="22"/>
        </w:rPr>
        <w:t>van Dijk 2013; Chiew et al. 2014)</w:t>
      </w:r>
      <w:r>
        <w:rPr>
          <w:rFonts w:asciiTheme="minorHAnsi" w:hAnsiTheme="minorHAnsi"/>
          <w:sz w:val="22"/>
          <w:szCs w:val="22"/>
        </w:rPr>
        <w:t>,</w:t>
      </w:r>
      <w:r w:rsidRPr="0009058C">
        <w:rPr>
          <w:rFonts w:asciiTheme="minorHAnsi" w:hAnsiTheme="minorHAnsi"/>
          <w:sz w:val="22"/>
          <w:szCs w:val="22"/>
        </w:rPr>
        <w:t xml:space="preserve"> </w:t>
      </w:r>
      <w:r w:rsidRPr="00DF540C">
        <w:rPr>
          <w:rFonts w:asciiTheme="minorHAnsi" w:hAnsiTheme="minorHAnsi"/>
          <w:sz w:val="22"/>
          <w:szCs w:val="22"/>
        </w:rPr>
        <w:t xml:space="preserve">had </w:t>
      </w:r>
      <w:r>
        <w:rPr>
          <w:rFonts w:asciiTheme="minorHAnsi" w:hAnsiTheme="minorHAnsi"/>
          <w:sz w:val="22"/>
          <w:szCs w:val="22"/>
        </w:rPr>
        <w:t xml:space="preserve">negative </w:t>
      </w:r>
      <w:r w:rsidRPr="00DF540C">
        <w:rPr>
          <w:rFonts w:asciiTheme="minorHAnsi" w:hAnsiTheme="minorHAnsi"/>
          <w:sz w:val="22"/>
          <w:szCs w:val="22"/>
        </w:rPr>
        <w:t xml:space="preserve">impacts on the riverbank and </w:t>
      </w:r>
      <w:r>
        <w:rPr>
          <w:rFonts w:asciiTheme="minorHAnsi" w:hAnsiTheme="minorHAnsi"/>
          <w:sz w:val="22"/>
          <w:szCs w:val="22"/>
        </w:rPr>
        <w:t xml:space="preserve">aquatic vegetation in the Edward-Wakool system. Community members </w:t>
      </w:r>
      <w:r w:rsidRPr="00DF540C">
        <w:rPr>
          <w:rFonts w:asciiTheme="minorHAnsi" w:hAnsiTheme="minorHAnsi"/>
          <w:sz w:val="22"/>
          <w:szCs w:val="22"/>
        </w:rPr>
        <w:t xml:space="preserve">report </w:t>
      </w:r>
      <w:r>
        <w:rPr>
          <w:rFonts w:asciiTheme="minorHAnsi" w:hAnsiTheme="minorHAnsi"/>
          <w:sz w:val="22"/>
          <w:szCs w:val="22"/>
        </w:rPr>
        <w:t>there were</w:t>
      </w:r>
      <w:r w:rsidRPr="00DF540C">
        <w:rPr>
          <w:rFonts w:asciiTheme="minorHAnsi" w:hAnsiTheme="minorHAnsi"/>
          <w:sz w:val="22"/>
          <w:szCs w:val="22"/>
        </w:rPr>
        <w:t xml:space="preserve"> beds of ribbon weed (</w:t>
      </w:r>
      <w:r w:rsidRPr="000B392B">
        <w:rPr>
          <w:rFonts w:asciiTheme="minorHAnsi" w:hAnsiTheme="minorHAnsi"/>
          <w:i/>
          <w:sz w:val="22"/>
          <w:szCs w:val="22"/>
        </w:rPr>
        <w:t>Valisineria</w:t>
      </w:r>
      <w:r w:rsidRPr="00DF540C">
        <w:rPr>
          <w:rFonts w:asciiTheme="minorHAnsi" w:hAnsiTheme="minorHAnsi"/>
          <w:sz w:val="22"/>
          <w:szCs w:val="22"/>
        </w:rPr>
        <w:t xml:space="preserve"> sp.) </w:t>
      </w:r>
      <w:r>
        <w:rPr>
          <w:rFonts w:asciiTheme="minorHAnsi" w:hAnsiTheme="minorHAnsi"/>
          <w:sz w:val="22"/>
          <w:szCs w:val="22"/>
        </w:rPr>
        <w:t xml:space="preserve">within the channels </w:t>
      </w:r>
      <w:r w:rsidRPr="00DF540C">
        <w:rPr>
          <w:rFonts w:asciiTheme="minorHAnsi" w:hAnsiTheme="minorHAnsi"/>
          <w:sz w:val="22"/>
          <w:szCs w:val="22"/>
        </w:rPr>
        <w:t xml:space="preserve">and other plants </w:t>
      </w:r>
      <w:r>
        <w:rPr>
          <w:rFonts w:asciiTheme="minorHAnsi" w:hAnsiTheme="minorHAnsi"/>
          <w:sz w:val="22"/>
          <w:szCs w:val="22"/>
        </w:rPr>
        <w:t>occurring</w:t>
      </w:r>
      <w:r w:rsidRPr="00DF540C">
        <w:rPr>
          <w:rFonts w:asciiTheme="minorHAnsi" w:hAnsiTheme="minorHAnsi"/>
          <w:sz w:val="22"/>
          <w:szCs w:val="22"/>
        </w:rPr>
        <w:t xml:space="preserve"> on the banks of the Edward-Wakool system</w:t>
      </w:r>
      <w:r>
        <w:rPr>
          <w:rFonts w:asciiTheme="minorHAnsi" w:hAnsiTheme="minorHAnsi"/>
          <w:sz w:val="22"/>
          <w:szCs w:val="22"/>
        </w:rPr>
        <w:t xml:space="preserve"> prior to the drought</w:t>
      </w:r>
      <w:r w:rsidRPr="00DF540C">
        <w:rPr>
          <w:rFonts w:asciiTheme="minorHAnsi" w:hAnsiTheme="minorHAnsi"/>
          <w:sz w:val="22"/>
          <w:szCs w:val="22"/>
        </w:rPr>
        <w:t>.</w:t>
      </w:r>
      <w:r>
        <w:rPr>
          <w:rFonts w:asciiTheme="minorHAnsi" w:hAnsiTheme="minorHAnsi"/>
          <w:sz w:val="22"/>
          <w:szCs w:val="22"/>
        </w:rPr>
        <w:t xml:space="preserve"> In 2010 after the break of the drought the submerged and amphibious plant taxa were largely absent throughout the system, with the exception of the longer lived rush </w:t>
      </w:r>
      <w:r w:rsidRPr="00EE7FFC">
        <w:rPr>
          <w:rFonts w:asciiTheme="minorHAnsi" w:hAnsiTheme="minorHAnsi"/>
          <w:i/>
          <w:sz w:val="22"/>
          <w:szCs w:val="22"/>
        </w:rPr>
        <w:t>Juncus sp</w:t>
      </w:r>
      <w:r>
        <w:rPr>
          <w:rFonts w:asciiTheme="minorHAnsi" w:hAnsiTheme="minorHAnsi"/>
          <w:sz w:val="22"/>
          <w:szCs w:val="22"/>
        </w:rPr>
        <w:t>.</w:t>
      </w:r>
    </w:p>
    <w:p w14:paraId="3B4F8EB8" w14:textId="77777777" w:rsidR="008E6212" w:rsidRDefault="008E6212" w:rsidP="008E6212">
      <w:pPr>
        <w:autoSpaceDE w:val="0"/>
        <w:autoSpaceDN w:val="0"/>
        <w:adjustRightInd w:val="0"/>
        <w:spacing w:after="240" w:line="320" w:lineRule="exact"/>
        <w:jc w:val="left"/>
        <w:rPr>
          <w:rFonts w:cs="Calibri"/>
        </w:rPr>
      </w:pPr>
      <w:r w:rsidRPr="00DF540C">
        <w:rPr>
          <w:rFonts w:asciiTheme="minorHAnsi" w:hAnsiTheme="minorHAnsi"/>
          <w:szCs w:val="22"/>
        </w:rPr>
        <w:t xml:space="preserve">The CEWO and NSW Office of Environment and Heritage </w:t>
      </w:r>
      <w:r>
        <w:rPr>
          <w:rFonts w:asciiTheme="minorHAnsi" w:hAnsiTheme="minorHAnsi"/>
          <w:szCs w:val="22"/>
        </w:rPr>
        <w:t>have</w:t>
      </w:r>
      <w:r w:rsidRPr="00DF540C">
        <w:rPr>
          <w:rFonts w:asciiTheme="minorHAnsi" w:hAnsiTheme="minorHAnsi"/>
          <w:szCs w:val="22"/>
        </w:rPr>
        <w:t xml:space="preserve"> </w:t>
      </w:r>
      <w:r>
        <w:rPr>
          <w:rFonts w:asciiTheme="minorHAnsi" w:hAnsiTheme="minorHAnsi"/>
          <w:szCs w:val="22"/>
        </w:rPr>
        <w:t>delivered</w:t>
      </w:r>
      <w:r w:rsidRPr="00DF540C">
        <w:rPr>
          <w:rFonts w:asciiTheme="minorHAnsi" w:hAnsiTheme="minorHAnsi"/>
          <w:szCs w:val="22"/>
        </w:rPr>
        <w:t xml:space="preserve"> base flows and freshes in </w:t>
      </w:r>
      <w:r>
        <w:rPr>
          <w:rFonts w:asciiTheme="minorHAnsi" w:hAnsiTheme="minorHAnsi"/>
          <w:szCs w:val="22"/>
        </w:rPr>
        <w:t>the Edward-Wakool system</w:t>
      </w:r>
      <w:r w:rsidRPr="00DF540C">
        <w:rPr>
          <w:rFonts w:asciiTheme="minorHAnsi" w:hAnsiTheme="minorHAnsi"/>
          <w:szCs w:val="22"/>
        </w:rPr>
        <w:t xml:space="preserve"> </w:t>
      </w:r>
      <w:r>
        <w:rPr>
          <w:rFonts w:asciiTheme="minorHAnsi" w:hAnsiTheme="minorHAnsi"/>
          <w:szCs w:val="22"/>
        </w:rPr>
        <w:t xml:space="preserve">since 2010 </w:t>
      </w:r>
      <w:r w:rsidRPr="00DF540C">
        <w:rPr>
          <w:rFonts w:asciiTheme="minorHAnsi" w:hAnsiTheme="minorHAnsi"/>
          <w:szCs w:val="22"/>
        </w:rPr>
        <w:t xml:space="preserve">with one of the aims being to maintain the health of riparian and in-channel aquatic native vegetation communities and maintain ecosystem and population resilience through supporting ecological recovery and </w:t>
      </w:r>
      <w:r w:rsidRPr="00DF540C">
        <w:rPr>
          <w:rFonts w:asciiTheme="minorHAnsi" w:hAnsiTheme="minorHAnsi"/>
          <w:szCs w:val="22"/>
        </w:rPr>
        <w:lastRenderedPageBreak/>
        <w:t xml:space="preserve">maintaining aquatic </w:t>
      </w:r>
      <w:r w:rsidRPr="00270B44">
        <w:rPr>
          <w:rFonts w:asciiTheme="minorHAnsi" w:hAnsiTheme="minorHAnsi"/>
          <w:szCs w:val="22"/>
        </w:rPr>
        <w:t>habitat (</w:t>
      </w:r>
      <w:r w:rsidR="00270B44" w:rsidRPr="00270B44">
        <w:rPr>
          <w:rFonts w:asciiTheme="minorHAnsi" w:hAnsiTheme="minorHAnsi"/>
          <w:szCs w:val="22"/>
        </w:rPr>
        <w:t>CEWO 2015</w:t>
      </w:r>
      <w:r w:rsidRPr="00270B44">
        <w:rPr>
          <w:rFonts w:asciiTheme="minorHAnsi" w:hAnsiTheme="minorHAnsi"/>
          <w:szCs w:val="22"/>
        </w:rPr>
        <w:t>).</w:t>
      </w:r>
      <w:r>
        <w:rPr>
          <w:rFonts w:asciiTheme="minorHAnsi" w:hAnsiTheme="minorHAnsi"/>
          <w:szCs w:val="22"/>
        </w:rPr>
        <w:t xml:space="preserve"> </w:t>
      </w:r>
      <w:r>
        <w:t>Environmental watering in this system is expected to increase the area of river bank receiving periods of wetting and drying than under operational flows. This is expected to maintain the health of riparian and in-channel aquatic native vegetation and support ongoing recovery and re-establishment of native aquatic vegetation in this system (water Use Minute 10038).</w:t>
      </w:r>
    </w:p>
    <w:p w14:paraId="3B4F8EB9" w14:textId="77777777" w:rsidR="008E6212" w:rsidRDefault="008E6212" w:rsidP="008E6212">
      <w:pPr>
        <w:spacing w:after="240" w:line="324" w:lineRule="exact"/>
        <w:jc w:val="left"/>
        <w:rPr>
          <w:b/>
          <w:color w:val="4F6228" w:themeColor="accent3" w:themeShade="80"/>
          <w:sz w:val="24"/>
          <w:szCs w:val="24"/>
        </w:rPr>
      </w:pPr>
    </w:p>
    <w:p w14:paraId="3B4F8EBA" w14:textId="77777777" w:rsidR="008E6212" w:rsidRPr="007906C1" w:rsidRDefault="008E6212" w:rsidP="008E6212">
      <w:pPr>
        <w:spacing w:after="240" w:line="324" w:lineRule="exact"/>
        <w:jc w:val="left"/>
        <w:rPr>
          <w:rFonts w:cs="Calibri"/>
          <w:b/>
          <w:color w:val="4F6228" w:themeColor="accent3" w:themeShade="80"/>
          <w:sz w:val="26"/>
          <w:szCs w:val="26"/>
        </w:rPr>
      </w:pPr>
      <w:r w:rsidRPr="007906C1">
        <w:rPr>
          <w:b/>
          <w:color w:val="4F6228" w:themeColor="accent3" w:themeShade="80"/>
          <w:sz w:val="26"/>
          <w:szCs w:val="26"/>
        </w:rPr>
        <w:t xml:space="preserve">C.2 </w:t>
      </w:r>
      <w:bookmarkStart w:id="41" w:name="_Toc398112734"/>
      <w:r w:rsidRPr="007906C1">
        <w:rPr>
          <w:b/>
          <w:color w:val="4F6228" w:themeColor="accent3" w:themeShade="80"/>
          <w:sz w:val="26"/>
          <w:szCs w:val="26"/>
        </w:rPr>
        <w:t xml:space="preserve">  </w:t>
      </w:r>
      <w:r w:rsidRPr="007906C1">
        <w:rPr>
          <w:rFonts w:cs="Calibri"/>
          <w:b/>
          <w:color w:val="4F6228" w:themeColor="accent3" w:themeShade="80"/>
          <w:sz w:val="26"/>
          <w:szCs w:val="26"/>
        </w:rPr>
        <w:t>Selected-area questions</w:t>
      </w:r>
    </w:p>
    <w:p w14:paraId="3B4F8EBB" w14:textId="77777777" w:rsidR="008E6212" w:rsidRPr="0046064A" w:rsidRDefault="008E6212" w:rsidP="00270B44">
      <w:pPr>
        <w:pStyle w:val="Para0"/>
        <w:spacing w:before="0" w:after="240" w:line="324" w:lineRule="exact"/>
        <w:rPr>
          <w:rFonts w:asciiTheme="minorHAnsi" w:hAnsiTheme="minorHAnsi"/>
          <w:sz w:val="22"/>
          <w:szCs w:val="22"/>
        </w:rPr>
      </w:pPr>
      <w:r w:rsidRPr="0046064A">
        <w:rPr>
          <w:rFonts w:asciiTheme="minorHAnsi" w:hAnsiTheme="minorHAnsi"/>
          <w:sz w:val="22"/>
          <w:szCs w:val="22"/>
        </w:rPr>
        <w:t>The river bank and aquatic vegetation in Yallakool Creek and the upper and mid- Wakool River were monitored in four hydrological zones with different geomorphology and f</w:t>
      </w:r>
      <w:r>
        <w:rPr>
          <w:rFonts w:asciiTheme="minorHAnsi" w:hAnsiTheme="minorHAnsi"/>
          <w:sz w:val="22"/>
          <w:szCs w:val="22"/>
        </w:rPr>
        <w:t>low histories</w:t>
      </w:r>
      <w:r w:rsidRPr="0046064A">
        <w:rPr>
          <w:rFonts w:asciiTheme="minorHAnsi" w:hAnsiTheme="minorHAnsi"/>
          <w:sz w:val="22"/>
          <w:szCs w:val="22"/>
        </w:rPr>
        <w:t xml:space="preserve"> to address the following area-specific evaluation questions:</w:t>
      </w:r>
    </w:p>
    <w:p w14:paraId="3B4F8EBC" w14:textId="77777777" w:rsidR="008E6212" w:rsidRPr="0046064A" w:rsidRDefault="008E6212" w:rsidP="00270B44">
      <w:pPr>
        <w:pStyle w:val="Para0"/>
        <w:spacing w:before="0" w:after="240" w:line="324" w:lineRule="exact"/>
        <w:rPr>
          <w:rFonts w:asciiTheme="minorHAnsi" w:hAnsiTheme="minorHAnsi"/>
          <w:b/>
          <w:sz w:val="22"/>
          <w:szCs w:val="22"/>
        </w:rPr>
      </w:pPr>
      <w:r w:rsidRPr="0046064A">
        <w:rPr>
          <w:rFonts w:asciiTheme="minorHAnsi" w:hAnsiTheme="minorHAnsi"/>
          <w:b/>
          <w:sz w:val="22"/>
          <w:szCs w:val="22"/>
        </w:rPr>
        <w:t>Long-term evaluation questions</w:t>
      </w:r>
    </w:p>
    <w:p w14:paraId="3B4F8EBD" w14:textId="77777777" w:rsidR="008E6212" w:rsidRPr="0046064A" w:rsidRDefault="008E6212" w:rsidP="00270B44">
      <w:pPr>
        <w:pStyle w:val="Para0bullet"/>
        <w:spacing w:after="240" w:line="324" w:lineRule="exact"/>
        <w:rPr>
          <w:rFonts w:asciiTheme="minorHAnsi" w:hAnsiTheme="minorHAnsi"/>
          <w:i/>
          <w:sz w:val="22"/>
          <w:szCs w:val="22"/>
        </w:rPr>
      </w:pPr>
      <w:r w:rsidRPr="0046064A">
        <w:rPr>
          <w:rFonts w:asciiTheme="minorHAnsi" w:hAnsiTheme="minorHAnsi"/>
          <w:i/>
          <w:sz w:val="22"/>
          <w:szCs w:val="22"/>
        </w:rPr>
        <w:t xml:space="preserve">What has </w:t>
      </w:r>
      <w:r w:rsidRPr="0046064A">
        <w:rPr>
          <w:rFonts w:asciiTheme="minorHAnsi" w:hAnsiTheme="minorHAnsi" w:cs="Calibri"/>
          <w:i/>
          <w:sz w:val="22"/>
          <w:szCs w:val="22"/>
        </w:rPr>
        <w:t xml:space="preserve">Commonwealth environmental water </w:t>
      </w:r>
      <w:r w:rsidRPr="0046064A">
        <w:rPr>
          <w:rFonts w:asciiTheme="minorHAnsi" w:hAnsiTheme="minorHAnsi"/>
          <w:i/>
          <w:sz w:val="22"/>
          <w:szCs w:val="22"/>
        </w:rPr>
        <w:t>contributed to the recovery (measured through species richness, plant cover and recruitment) of riverbank and aquatic vegetation in Yallakool Creek and the mid and upper Wakool River that have been impacted by operational flows and drought and how do those responses vary over time?</w:t>
      </w:r>
    </w:p>
    <w:p w14:paraId="3B4F8EBE" w14:textId="77777777" w:rsidR="008E6212" w:rsidRPr="0046064A" w:rsidRDefault="008E6212" w:rsidP="00270B44">
      <w:pPr>
        <w:pStyle w:val="Para0bullet"/>
        <w:spacing w:after="240" w:line="324" w:lineRule="exact"/>
        <w:rPr>
          <w:rFonts w:asciiTheme="minorHAnsi" w:hAnsiTheme="minorHAnsi"/>
          <w:sz w:val="22"/>
          <w:szCs w:val="22"/>
        </w:rPr>
      </w:pPr>
      <w:r w:rsidRPr="0046064A">
        <w:rPr>
          <w:rFonts w:asciiTheme="minorHAnsi" w:hAnsiTheme="minorHAnsi"/>
          <w:i/>
          <w:sz w:val="22"/>
          <w:szCs w:val="22"/>
        </w:rPr>
        <w:t>How do vegetation responses to Commonwealth environmental water delivery vary among hydrological zones</w:t>
      </w:r>
      <w:r w:rsidRPr="0046064A">
        <w:rPr>
          <w:rFonts w:asciiTheme="minorHAnsi" w:hAnsiTheme="minorHAnsi"/>
          <w:sz w:val="22"/>
          <w:szCs w:val="22"/>
        </w:rPr>
        <w:t>?</w:t>
      </w:r>
    </w:p>
    <w:p w14:paraId="3B4F8EBF" w14:textId="77777777" w:rsidR="008E6212" w:rsidRPr="0046064A" w:rsidRDefault="008E6212" w:rsidP="00270B44">
      <w:pPr>
        <w:pStyle w:val="Para0"/>
        <w:spacing w:before="0" w:after="240" w:line="324" w:lineRule="exact"/>
        <w:rPr>
          <w:rFonts w:asciiTheme="minorHAnsi" w:hAnsiTheme="minorHAnsi"/>
          <w:b/>
          <w:sz w:val="22"/>
          <w:szCs w:val="22"/>
        </w:rPr>
      </w:pPr>
      <w:r w:rsidRPr="0046064A">
        <w:rPr>
          <w:rFonts w:asciiTheme="minorHAnsi" w:hAnsiTheme="minorHAnsi"/>
          <w:b/>
          <w:sz w:val="22"/>
          <w:szCs w:val="22"/>
        </w:rPr>
        <w:t>Short-term evaluation questions</w:t>
      </w:r>
    </w:p>
    <w:p w14:paraId="3B4F8EC0" w14:textId="77777777" w:rsidR="008E6212" w:rsidRPr="0046064A" w:rsidRDefault="008E6212" w:rsidP="00270B44">
      <w:pPr>
        <w:pStyle w:val="Para0bullet"/>
        <w:spacing w:after="240" w:line="324" w:lineRule="exact"/>
        <w:rPr>
          <w:rFonts w:asciiTheme="minorHAnsi" w:hAnsiTheme="minorHAnsi" w:cs="Calibri"/>
          <w:i/>
          <w:sz w:val="22"/>
          <w:szCs w:val="22"/>
        </w:rPr>
      </w:pPr>
      <w:r w:rsidRPr="0046064A">
        <w:rPr>
          <w:rFonts w:asciiTheme="minorHAnsi" w:hAnsiTheme="minorHAnsi" w:cs="Calibri"/>
          <w:i/>
          <w:sz w:val="22"/>
          <w:szCs w:val="22"/>
        </w:rPr>
        <w:t>What did Commonwealth environmental water delivered as base flows and freshes contribute to the percent cover of riverbank and aquatic vegetation in Yallakool Creek and the upper and mid Wakool River?</w:t>
      </w:r>
    </w:p>
    <w:p w14:paraId="3B4F8EC1" w14:textId="77777777" w:rsidR="008E6212" w:rsidRPr="0046064A" w:rsidRDefault="008E6212" w:rsidP="00270B44">
      <w:pPr>
        <w:pStyle w:val="Para0bullet"/>
        <w:spacing w:after="240" w:line="324" w:lineRule="exact"/>
        <w:rPr>
          <w:rFonts w:asciiTheme="minorHAnsi" w:hAnsiTheme="minorHAnsi" w:cs="Calibri"/>
          <w:i/>
          <w:sz w:val="22"/>
          <w:szCs w:val="22"/>
        </w:rPr>
      </w:pPr>
      <w:r w:rsidRPr="0046064A">
        <w:rPr>
          <w:rFonts w:asciiTheme="minorHAnsi" w:hAnsiTheme="minorHAnsi" w:cs="Calibri"/>
          <w:i/>
          <w:sz w:val="22"/>
          <w:szCs w:val="22"/>
        </w:rPr>
        <w:t>What did Commonwealth environmental water delivered as base flows and freshes contribute to the diversity of riverbank and aquatic vegetation taxa in Yallakool Creek and the upper and mid Wakool River?</w:t>
      </w:r>
    </w:p>
    <w:p w14:paraId="3B4F8EC2" w14:textId="2F76B980" w:rsidR="008E6212" w:rsidRDefault="008E6212" w:rsidP="00270B44">
      <w:pPr>
        <w:pStyle w:val="Para0bullet"/>
        <w:numPr>
          <w:ilvl w:val="0"/>
          <w:numId w:val="0"/>
        </w:numPr>
        <w:spacing w:after="240" w:line="324" w:lineRule="exact"/>
        <w:rPr>
          <w:rFonts w:asciiTheme="minorHAnsi" w:hAnsiTheme="minorHAnsi"/>
          <w:sz w:val="22"/>
          <w:szCs w:val="22"/>
        </w:rPr>
      </w:pPr>
      <w:r w:rsidRPr="0046064A">
        <w:rPr>
          <w:rFonts w:asciiTheme="minorHAnsi" w:hAnsiTheme="minorHAnsi"/>
          <w:sz w:val="22"/>
          <w:szCs w:val="22"/>
        </w:rPr>
        <w:t xml:space="preserve">We hypothesised that the </w:t>
      </w:r>
      <w:r>
        <w:rPr>
          <w:rFonts w:asciiTheme="minorHAnsi" w:hAnsiTheme="minorHAnsi"/>
          <w:sz w:val="22"/>
          <w:szCs w:val="22"/>
        </w:rPr>
        <w:t xml:space="preserve">maximum </w:t>
      </w:r>
      <w:r w:rsidRPr="0046064A">
        <w:rPr>
          <w:rFonts w:asciiTheme="minorHAnsi" w:hAnsiTheme="minorHAnsi"/>
          <w:sz w:val="22"/>
          <w:szCs w:val="22"/>
        </w:rPr>
        <w:t xml:space="preserve">cover of </w:t>
      </w:r>
      <w:r>
        <w:rPr>
          <w:rFonts w:asciiTheme="minorHAnsi" w:hAnsiTheme="minorHAnsi"/>
          <w:sz w:val="22"/>
          <w:szCs w:val="22"/>
        </w:rPr>
        <w:t xml:space="preserve">submerged and amphibious </w:t>
      </w:r>
      <w:r w:rsidRPr="0046064A">
        <w:rPr>
          <w:rFonts w:asciiTheme="minorHAnsi" w:hAnsiTheme="minorHAnsi"/>
          <w:sz w:val="22"/>
          <w:szCs w:val="22"/>
        </w:rPr>
        <w:t xml:space="preserve">taxa </w:t>
      </w:r>
      <w:r>
        <w:rPr>
          <w:rFonts w:asciiTheme="minorHAnsi" w:hAnsiTheme="minorHAnsi"/>
          <w:sz w:val="22"/>
          <w:szCs w:val="22"/>
        </w:rPr>
        <w:t>in</w:t>
      </w:r>
      <w:r w:rsidRPr="0046064A">
        <w:rPr>
          <w:rFonts w:asciiTheme="minorHAnsi" w:hAnsiTheme="minorHAnsi"/>
          <w:sz w:val="22"/>
          <w:szCs w:val="22"/>
        </w:rPr>
        <w:t xml:space="preserve"> 2015-16 would be significantly higher in zones 1, 3 and 4 </w:t>
      </w:r>
      <w:r>
        <w:rPr>
          <w:rFonts w:asciiTheme="minorHAnsi" w:hAnsiTheme="minorHAnsi"/>
          <w:sz w:val="22"/>
          <w:szCs w:val="22"/>
        </w:rPr>
        <w:t xml:space="preserve">than in </w:t>
      </w:r>
      <w:r w:rsidRPr="0046064A">
        <w:rPr>
          <w:rFonts w:asciiTheme="minorHAnsi" w:hAnsiTheme="minorHAnsi"/>
          <w:sz w:val="22"/>
          <w:szCs w:val="22"/>
        </w:rPr>
        <w:t xml:space="preserve">zone </w:t>
      </w:r>
      <w:r>
        <w:rPr>
          <w:rFonts w:asciiTheme="minorHAnsi" w:hAnsiTheme="minorHAnsi"/>
          <w:sz w:val="22"/>
          <w:szCs w:val="22"/>
        </w:rPr>
        <w:t>2</w:t>
      </w:r>
      <w:r w:rsidRPr="0046064A">
        <w:rPr>
          <w:rFonts w:asciiTheme="minorHAnsi" w:hAnsiTheme="minorHAnsi"/>
          <w:sz w:val="22"/>
          <w:szCs w:val="22"/>
        </w:rPr>
        <w:t xml:space="preserve"> because zones</w:t>
      </w:r>
      <w:r>
        <w:rPr>
          <w:rFonts w:asciiTheme="minorHAnsi" w:hAnsiTheme="minorHAnsi"/>
          <w:sz w:val="22"/>
          <w:szCs w:val="22"/>
        </w:rPr>
        <w:t xml:space="preserve"> 1, 3 and 4 a</w:t>
      </w:r>
      <w:r w:rsidRPr="0046064A">
        <w:rPr>
          <w:rFonts w:asciiTheme="minorHAnsi" w:hAnsiTheme="minorHAnsi"/>
          <w:sz w:val="22"/>
          <w:szCs w:val="22"/>
        </w:rPr>
        <w:t xml:space="preserve">) received </w:t>
      </w:r>
      <w:r>
        <w:rPr>
          <w:rFonts w:asciiTheme="minorHAnsi" w:hAnsiTheme="minorHAnsi"/>
          <w:sz w:val="22"/>
          <w:szCs w:val="22"/>
        </w:rPr>
        <w:t>more</w:t>
      </w:r>
      <w:r w:rsidRPr="0046064A">
        <w:rPr>
          <w:rFonts w:asciiTheme="minorHAnsi" w:hAnsiTheme="minorHAnsi"/>
          <w:sz w:val="22"/>
          <w:szCs w:val="22"/>
        </w:rPr>
        <w:t xml:space="preserve"> environmental water in 2015-16, thus having a larger area of riverbank that experienced wetting and drying water regime, </w:t>
      </w:r>
      <w:r>
        <w:rPr>
          <w:rFonts w:asciiTheme="minorHAnsi" w:hAnsiTheme="minorHAnsi"/>
          <w:sz w:val="22"/>
          <w:szCs w:val="22"/>
        </w:rPr>
        <w:t>b</w:t>
      </w:r>
      <w:r w:rsidRPr="0046064A">
        <w:rPr>
          <w:rFonts w:asciiTheme="minorHAnsi" w:hAnsiTheme="minorHAnsi"/>
          <w:sz w:val="22"/>
          <w:szCs w:val="22"/>
        </w:rPr>
        <w:t xml:space="preserve">) had higher </w:t>
      </w:r>
      <w:r w:rsidR="00BB7675">
        <w:rPr>
          <w:rFonts w:asciiTheme="minorHAnsi" w:hAnsiTheme="minorHAnsi"/>
          <w:sz w:val="22"/>
          <w:szCs w:val="22"/>
        </w:rPr>
        <w:t>taxonomic richness</w:t>
      </w:r>
      <w:r w:rsidRPr="0046064A">
        <w:rPr>
          <w:rFonts w:asciiTheme="minorHAnsi" w:hAnsiTheme="minorHAnsi"/>
          <w:sz w:val="22"/>
          <w:szCs w:val="22"/>
        </w:rPr>
        <w:t xml:space="preserve"> and cover of vegetation in 2014-15 (Watts et al. 2015) providing rootstock and seed bank</w:t>
      </w:r>
      <w:r>
        <w:rPr>
          <w:rFonts w:asciiTheme="minorHAnsi" w:hAnsiTheme="minorHAnsi"/>
          <w:sz w:val="22"/>
          <w:szCs w:val="22"/>
        </w:rPr>
        <w:t>, and c</w:t>
      </w:r>
      <w:r w:rsidRPr="0046064A">
        <w:rPr>
          <w:rFonts w:asciiTheme="minorHAnsi" w:hAnsiTheme="minorHAnsi"/>
          <w:sz w:val="22"/>
          <w:szCs w:val="22"/>
        </w:rPr>
        <w:t>) have a history of environmental watering since 2010.</w:t>
      </w:r>
      <w:bookmarkEnd w:id="41"/>
    </w:p>
    <w:p w14:paraId="3B4F8EC3" w14:textId="77777777" w:rsidR="008E6212" w:rsidRDefault="008E6212" w:rsidP="008E6212">
      <w:pPr>
        <w:spacing w:after="0" w:line="240" w:lineRule="auto"/>
        <w:jc w:val="left"/>
        <w:rPr>
          <w:b/>
          <w:color w:val="4F6228" w:themeColor="accent3" w:themeShade="80"/>
          <w:sz w:val="26"/>
          <w:szCs w:val="26"/>
        </w:rPr>
      </w:pPr>
      <w:r>
        <w:rPr>
          <w:b/>
          <w:color w:val="4F6228" w:themeColor="accent3" w:themeShade="80"/>
          <w:sz w:val="26"/>
          <w:szCs w:val="26"/>
        </w:rPr>
        <w:br w:type="page"/>
      </w:r>
    </w:p>
    <w:p w14:paraId="3B4F8EC4" w14:textId="77777777" w:rsidR="008E6212" w:rsidRPr="007906C1" w:rsidRDefault="00270B44" w:rsidP="008E6212">
      <w:pPr>
        <w:spacing w:after="240" w:line="324" w:lineRule="exact"/>
        <w:jc w:val="left"/>
        <w:rPr>
          <w:b/>
          <w:color w:val="4F6228" w:themeColor="accent3" w:themeShade="80"/>
          <w:sz w:val="26"/>
          <w:szCs w:val="26"/>
        </w:rPr>
      </w:pPr>
      <w:r>
        <w:rPr>
          <w:b/>
          <w:color w:val="4F6228" w:themeColor="accent3" w:themeShade="80"/>
          <w:sz w:val="26"/>
          <w:szCs w:val="26"/>
        </w:rPr>
        <w:lastRenderedPageBreak/>
        <w:t xml:space="preserve">C.3  </w:t>
      </w:r>
      <w:r w:rsidR="008E6212" w:rsidRPr="007906C1">
        <w:rPr>
          <w:b/>
          <w:color w:val="4F6228" w:themeColor="accent3" w:themeShade="80"/>
          <w:sz w:val="26"/>
          <w:szCs w:val="26"/>
        </w:rPr>
        <w:t>Methods</w:t>
      </w:r>
    </w:p>
    <w:p w14:paraId="3B4F8EC5" w14:textId="77777777" w:rsidR="008E6212" w:rsidRPr="00D64A72" w:rsidRDefault="008E6212" w:rsidP="008E6212">
      <w:pPr>
        <w:autoSpaceDE w:val="0"/>
        <w:autoSpaceDN w:val="0"/>
        <w:adjustRightInd w:val="0"/>
        <w:spacing w:after="240" w:line="324" w:lineRule="exact"/>
        <w:jc w:val="left"/>
        <w:rPr>
          <w:rFonts w:cs="Calibri"/>
          <w:i/>
        </w:rPr>
      </w:pPr>
      <w:r>
        <w:rPr>
          <w:rFonts w:cs="Calibri"/>
          <w:i/>
        </w:rPr>
        <w:t>Monitoring design and field sampling</w:t>
      </w:r>
    </w:p>
    <w:p w14:paraId="3B4F8EC6" w14:textId="77777777" w:rsidR="008E6212" w:rsidRDefault="008E6212" w:rsidP="008E6212">
      <w:pPr>
        <w:autoSpaceDE w:val="0"/>
        <w:autoSpaceDN w:val="0"/>
        <w:adjustRightInd w:val="0"/>
        <w:spacing w:after="240" w:line="324" w:lineRule="exact"/>
        <w:jc w:val="left"/>
        <w:rPr>
          <w:rFonts w:cs="Calibri"/>
        </w:rPr>
      </w:pPr>
      <w:r>
        <w:rPr>
          <w:rFonts w:cs="Calibri"/>
        </w:rPr>
        <w:t>Four</w:t>
      </w:r>
      <w:r w:rsidRPr="00B201E4">
        <w:rPr>
          <w:rFonts w:cs="Calibri"/>
        </w:rPr>
        <w:t xml:space="preserve"> sites </w:t>
      </w:r>
      <w:r>
        <w:rPr>
          <w:rFonts w:cs="Calibri"/>
        </w:rPr>
        <w:t>in</w:t>
      </w:r>
      <w:r w:rsidRPr="00B201E4">
        <w:rPr>
          <w:rFonts w:cs="Calibri"/>
        </w:rPr>
        <w:t xml:space="preserve"> each </w:t>
      </w:r>
      <w:r>
        <w:rPr>
          <w:rFonts w:cs="Calibri"/>
        </w:rPr>
        <w:t xml:space="preserve">of four hydrological zones (Yallakool Creek, Wakool River zone 2, Wakool River zone 3 and Wakool River zone 4) were surveyed </w:t>
      </w:r>
      <w:r w:rsidRPr="00B201E4">
        <w:rPr>
          <w:rFonts w:cs="Calibri"/>
        </w:rPr>
        <w:t>monthl</w:t>
      </w:r>
      <w:r>
        <w:rPr>
          <w:rFonts w:cs="Calibri"/>
        </w:rPr>
        <w:t>y between August 2015 and May 2016. Monitoring could not be undertaken in June 2016 because rains limited access to sites. At each site six</w:t>
      </w:r>
      <w:r w:rsidRPr="00DE3CC0">
        <w:rPr>
          <w:rFonts w:cs="Calibri"/>
        </w:rPr>
        <w:t xml:space="preserve"> permanent </w:t>
      </w:r>
      <w:r>
        <w:rPr>
          <w:rFonts w:cs="Calibri"/>
        </w:rPr>
        <w:t>20 m long transects were established parallel wit</w:t>
      </w:r>
      <w:r w:rsidR="00270B44">
        <w:rPr>
          <w:rFonts w:cs="Calibri"/>
        </w:rPr>
        <w:t>h the river channel</w:t>
      </w:r>
      <w:r w:rsidRPr="00DE3CC0">
        <w:rPr>
          <w:rFonts w:cs="Calibri"/>
        </w:rPr>
        <w:t xml:space="preserve">. </w:t>
      </w:r>
      <w:r>
        <w:rPr>
          <w:rFonts w:cs="Calibri"/>
        </w:rPr>
        <w:t>Star pickets were installed at each end of the permanent transect. The lowest transect on the riverbank was labelled as transect 0 and the other five transects labelled consecutively up to transect 5 highest on the river bank. The transects were surveyed so they were 25 cm apart in vertical height, with the five transects thus covering 1.25 m of vertical height of the bank. Transect</w:t>
      </w:r>
      <w:r w:rsidR="0077301B">
        <w:rPr>
          <w:rFonts w:cs="Calibri"/>
        </w:rPr>
        <w:t>s</w:t>
      </w:r>
      <w:r>
        <w:rPr>
          <w:rFonts w:cs="Calibri"/>
        </w:rPr>
        <w:t xml:space="preserve"> zero and one </w:t>
      </w:r>
      <w:r w:rsidR="0077301B">
        <w:rPr>
          <w:rFonts w:cs="Calibri"/>
        </w:rPr>
        <w:t>were</w:t>
      </w:r>
      <w:r>
        <w:rPr>
          <w:rFonts w:cs="Calibri"/>
        </w:rPr>
        <w:t xml:space="preserve"> </w:t>
      </w:r>
      <w:r w:rsidRPr="007E5E0D">
        <w:rPr>
          <w:rFonts w:cs="Calibri"/>
        </w:rPr>
        <w:t xml:space="preserve">in the water at base </w:t>
      </w:r>
      <w:r>
        <w:rPr>
          <w:rFonts w:cs="Calibri"/>
        </w:rPr>
        <w:t xml:space="preserve">operational </w:t>
      </w:r>
      <w:r w:rsidRPr="007E5E0D">
        <w:rPr>
          <w:rFonts w:cs="Calibri"/>
        </w:rPr>
        <w:t xml:space="preserve">flows, </w:t>
      </w:r>
      <w:r>
        <w:rPr>
          <w:rFonts w:cs="Calibri"/>
        </w:rPr>
        <w:t>and the other four transects further up the riverbank have the potential to</w:t>
      </w:r>
      <w:r w:rsidRPr="007E5E0D">
        <w:rPr>
          <w:rFonts w:cs="Calibri"/>
        </w:rPr>
        <w:t xml:space="preserve"> be inundated during Commonwealth environmental watering</w:t>
      </w:r>
      <w:r>
        <w:rPr>
          <w:rFonts w:cs="Calibri"/>
        </w:rPr>
        <w:t xml:space="preserve"> or during unregulated flows.</w:t>
      </w:r>
    </w:p>
    <w:p w14:paraId="3B4F8EC7" w14:textId="77777777" w:rsidR="008E6212" w:rsidRDefault="008E6212" w:rsidP="008E6212">
      <w:pPr>
        <w:autoSpaceDE w:val="0"/>
        <w:autoSpaceDN w:val="0"/>
        <w:adjustRightInd w:val="0"/>
        <w:spacing w:after="240" w:line="324" w:lineRule="exact"/>
        <w:jc w:val="left"/>
        <w:rPr>
          <w:rFonts w:cs="Calibri"/>
        </w:rPr>
      </w:pPr>
      <w:r>
        <w:rPr>
          <w:rFonts w:cs="Calibri"/>
        </w:rPr>
        <w:t xml:space="preserve">Vegetation was assessed using the line point intercept method along transects.  </w:t>
      </w:r>
      <w:r w:rsidRPr="007E5E0D">
        <w:rPr>
          <w:rFonts w:cs="Calibri"/>
        </w:rPr>
        <w:t xml:space="preserve">At each of </w:t>
      </w:r>
      <w:r>
        <w:rPr>
          <w:rFonts w:cs="Calibri"/>
        </w:rPr>
        <w:t>the</w:t>
      </w:r>
      <w:r w:rsidRPr="007E5E0D">
        <w:rPr>
          <w:rFonts w:cs="Calibri"/>
        </w:rPr>
        <w:t xml:space="preserve"> </w:t>
      </w:r>
      <w:r>
        <w:rPr>
          <w:rFonts w:cs="Calibri"/>
        </w:rPr>
        <w:t>transects</w:t>
      </w:r>
      <w:r w:rsidRPr="00DE3CC0">
        <w:rPr>
          <w:rFonts w:cs="Calibri"/>
        </w:rPr>
        <w:t xml:space="preserve"> </w:t>
      </w:r>
      <w:r w:rsidRPr="007E5E0D">
        <w:rPr>
          <w:rFonts w:cs="Calibri"/>
        </w:rPr>
        <w:t xml:space="preserve">on each sampling date </w:t>
      </w:r>
      <w:r>
        <w:rPr>
          <w:rFonts w:cs="Calibri"/>
        </w:rPr>
        <w:t xml:space="preserve">a 20 m tape measure was laid out running horizontally along the riverbank between two star pickets that had been installed </w:t>
      </w:r>
      <w:r w:rsidR="0077301B">
        <w:rPr>
          <w:rFonts w:cs="Calibri"/>
        </w:rPr>
        <w:t xml:space="preserve">at </w:t>
      </w:r>
      <w:r>
        <w:rPr>
          <w:rFonts w:cs="Calibri"/>
        </w:rPr>
        <w:t>a known height of riverbank. T</w:t>
      </w:r>
      <w:r w:rsidRPr="007E5E0D">
        <w:rPr>
          <w:rFonts w:cs="Calibri"/>
        </w:rPr>
        <w:t xml:space="preserve">he </w:t>
      </w:r>
      <w:r>
        <w:rPr>
          <w:rFonts w:cs="Calibri"/>
        </w:rPr>
        <w:t xml:space="preserve">taxa </w:t>
      </w:r>
      <w:r w:rsidRPr="007E5E0D">
        <w:rPr>
          <w:rFonts w:cs="Calibri"/>
        </w:rPr>
        <w:t xml:space="preserve">at each </w:t>
      </w:r>
      <w:r>
        <w:rPr>
          <w:rFonts w:cs="Calibri"/>
        </w:rPr>
        <w:t>50 cm</w:t>
      </w:r>
      <w:r w:rsidRPr="007E5E0D">
        <w:rPr>
          <w:rFonts w:cs="Calibri"/>
        </w:rPr>
        <w:t xml:space="preserve"> </w:t>
      </w:r>
      <w:r>
        <w:rPr>
          <w:rFonts w:cs="Calibri"/>
        </w:rPr>
        <w:t>point quadrat along the</w:t>
      </w:r>
      <w:r w:rsidRPr="00DE3CC0">
        <w:rPr>
          <w:rFonts w:cs="Calibri"/>
        </w:rPr>
        <w:t xml:space="preserve"> </w:t>
      </w:r>
      <w:r>
        <w:rPr>
          <w:rFonts w:cs="Calibri"/>
        </w:rPr>
        <w:t>20</w:t>
      </w:r>
      <w:r w:rsidRPr="007E5E0D">
        <w:rPr>
          <w:rFonts w:cs="Calibri"/>
        </w:rPr>
        <w:t xml:space="preserve"> m </w:t>
      </w:r>
      <w:r w:rsidRPr="002B30AE">
        <w:rPr>
          <w:rFonts w:cs="Calibri"/>
        </w:rPr>
        <w:t xml:space="preserve">transect </w:t>
      </w:r>
      <w:r>
        <w:rPr>
          <w:rFonts w:cs="Calibri"/>
        </w:rPr>
        <w:t xml:space="preserve">(40 points on each transect) </w:t>
      </w:r>
      <w:r w:rsidR="0077301B">
        <w:rPr>
          <w:rFonts w:cs="Calibri"/>
        </w:rPr>
        <w:t>were</w:t>
      </w:r>
      <w:r>
        <w:rPr>
          <w:rFonts w:cs="Calibri"/>
        </w:rPr>
        <w:t xml:space="preserve"> recorded. P</w:t>
      </w:r>
      <w:r w:rsidRPr="002B30AE">
        <w:rPr>
          <w:rFonts w:cs="Calibri"/>
        </w:rPr>
        <w:t xml:space="preserve">lants were </w:t>
      </w:r>
      <w:r>
        <w:rPr>
          <w:rFonts w:cs="Calibri"/>
        </w:rPr>
        <w:t xml:space="preserve">identified to genus, with the exception of a few common taxa that could be consistently identified to species level. Terrestrial </w:t>
      </w:r>
      <w:r w:rsidRPr="002B30AE">
        <w:rPr>
          <w:rFonts w:cs="Calibri"/>
        </w:rPr>
        <w:t>grasses were not identified taxonomically</w:t>
      </w:r>
      <w:r>
        <w:rPr>
          <w:rFonts w:cs="Calibri"/>
        </w:rPr>
        <w:t xml:space="preserve"> and were recorded collectively as grass</w:t>
      </w:r>
      <w:r w:rsidRPr="002B30AE">
        <w:rPr>
          <w:rFonts w:cs="Calibri"/>
        </w:rPr>
        <w:t xml:space="preserve">. If no vegetation </w:t>
      </w:r>
      <w:r>
        <w:rPr>
          <w:rFonts w:cs="Calibri"/>
        </w:rPr>
        <w:t>was present at a point, then that</w:t>
      </w:r>
      <w:r w:rsidRPr="002B30AE">
        <w:rPr>
          <w:rFonts w:cs="Calibri"/>
        </w:rPr>
        <w:t xml:space="preserve"> point was recorded as bare ground, leaf litter or log</w:t>
      </w:r>
      <w:r>
        <w:rPr>
          <w:rFonts w:cs="Calibri"/>
        </w:rPr>
        <w:t xml:space="preserve">/tree trunk. When the transects were in the water the tape measure was laid at the waters edge and a flexible fibreglass pole held from the tape out to the water surface to locate the point on the transect for recording data. </w:t>
      </w:r>
      <w:r w:rsidRPr="00AF04E3">
        <w:rPr>
          <w:rFonts w:cs="Calibri"/>
        </w:rPr>
        <w:t>Photopoints were established at each site and photos taken on every sample event.</w:t>
      </w:r>
    </w:p>
    <w:p w14:paraId="3B4F8EC8" w14:textId="77777777" w:rsidR="008E6212" w:rsidRDefault="008E6212" w:rsidP="008E6212">
      <w:pPr>
        <w:spacing w:after="0" w:line="240" w:lineRule="auto"/>
        <w:jc w:val="left"/>
        <w:rPr>
          <w:shd w:val="clear" w:color="auto" w:fill="FFFF00"/>
        </w:rPr>
      </w:pPr>
    </w:p>
    <w:p w14:paraId="3B4F8EC9" w14:textId="77777777" w:rsidR="008E6212" w:rsidRDefault="008E6212" w:rsidP="008E6212">
      <w:pPr>
        <w:shd w:val="clear" w:color="auto" w:fill="FFFFFF"/>
        <w:autoSpaceDE w:val="0"/>
        <w:autoSpaceDN w:val="0"/>
        <w:adjustRightInd w:val="0"/>
        <w:spacing w:after="240" w:line="324" w:lineRule="exact"/>
        <w:rPr>
          <w:rFonts w:cs="Calibri"/>
          <w:i/>
        </w:rPr>
      </w:pPr>
      <w:r w:rsidRPr="00D64A72">
        <w:rPr>
          <w:rFonts w:cs="Calibri"/>
          <w:i/>
        </w:rPr>
        <w:t>Data analysis</w:t>
      </w:r>
    </w:p>
    <w:p w14:paraId="3B4F8ECA" w14:textId="77777777" w:rsidR="008E6212" w:rsidRPr="00FA5A0A" w:rsidRDefault="008E6212" w:rsidP="008E6212">
      <w:pPr>
        <w:spacing w:after="240" w:line="324" w:lineRule="exact"/>
        <w:jc w:val="left"/>
        <w:rPr>
          <w:rFonts w:cs="Calibri"/>
        </w:rPr>
      </w:pPr>
      <w:r>
        <w:rPr>
          <w:rFonts w:cs="Calibri"/>
        </w:rPr>
        <w:t xml:space="preserve">Each species was classified into three broad functional categories using a range of sources including </w:t>
      </w:r>
      <w:r w:rsidRPr="00C2243B">
        <w:rPr>
          <w:rFonts w:cs="Calibri"/>
        </w:rPr>
        <w:t>Brock and Casanova</w:t>
      </w:r>
      <w:r>
        <w:rPr>
          <w:rFonts w:cs="Calibri"/>
        </w:rPr>
        <w:t xml:space="preserve"> (1997), Casanova (2011) and Roberts and Marston (2011). </w:t>
      </w:r>
      <w:r w:rsidRPr="00FA5A0A">
        <w:rPr>
          <w:rFonts w:cs="Calibri"/>
        </w:rPr>
        <w:t>Although there are some limitations of using water plant functional groups to classify taxa, the approach of classifying into these three general groups is sound for common taxa that can be reliably distinguished</w:t>
      </w:r>
      <w:r>
        <w:rPr>
          <w:rFonts w:cs="Calibri"/>
        </w:rPr>
        <w:t xml:space="preserve"> and can be related to hydrological information on wetting and drying regimes.</w:t>
      </w:r>
    </w:p>
    <w:p w14:paraId="3B4F8ECB" w14:textId="77777777" w:rsidR="00270B44" w:rsidRDefault="00270B44" w:rsidP="008E6212">
      <w:pPr>
        <w:spacing w:after="240" w:line="324" w:lineRule="exact"/>
        <w:jc w:val="left"/>
        <w:rPr>
          <w:rFonts w:cs="Calibri"/>
        </w:rPr>
      </w:pPr>
    </w:p>
    <w:p w14:paraId="3B4F8ECC" w14:textId="77777777" w:rsidR="00270B44" w:rsidRDefault="00270B44" w:rsidP="008E6212">
      <w:pPr>
        <w:spacing w:after="240" w:line="324" w:lineRule="exact"/>
        <w:jc w:val="left"/>
        <w:rPr>
          <w:rFonts w:cs="Calibri"/>
        </w:rPr>
      </w:pPr>
    </w:p>
    <w:p w14:paraId="3B4F8ECD" w14:textId="77777777" w:rsidR="008E6212" w:rsidRDefault="008E6212" w:rsidP="008E6212">
      <w:pPr>
        <w:spacing w:after="240" w:line="324" w:lineRule="exact"/>
        <w:jc w:val="left"/>
        <w:rPr>
          <w:rFonts w:cs="Calibri"/>
        </w:rPr>
      </w:pPr>
      <w:r>
        <w:rPr>
          <w:rFonts w:cs="Calibri"/>
        </w:rPr>
        <w:lastRenderedPageBreak/>
        <w:t xml:space="preserve">The three </w:t>
      </w:r>
      <w:r w:rsidR="00270B44">
        <w:rPr>
          <w:rFonts w:cs="Calibri"/>
        </w:rPr>
        <w:t xml:space="preserve">functional </w:t>
      </w:r>
      <w:r>
        <w:rPr>
          <w:rFonts w:cs="Calibri"/>
        </w:rPr>
        <w:t>categories were:</w:t>
      </w:r>
    </w:p>
    <w:p w14:paraId="3B4F8ECE" w14:textId="77777777" w:rsidR="008E6212" w:rsidRPr="00FA5A0A" w:rsidRDefault="008E6212" w:rsidP="00764D83">
      <w:pPr>
        <w:pStyle w:val="ListParagraph"/>
        <w:numPr>
          <w:ilvl w:val="0"/>
          <w:numId w:val="15"/>
        </w:numPr>
        <w:spacing w:after="240" w:line="324" w:lineRule="exact"/>
        <w:ind w:left="1077" w:hanging="357"/>
        <w:jc w:val="left"/>
        <w:rPr>
          <w:rFonts w:cs="Calibri"/>
        </w:rPr>
      </w:pPr>
      <w:r w:rsidRPr="00FA5A0A">
        <w:rPr>
          <w:rFonts w:cs="Calibri"/>
        </w:rPr>
        <w:t>Submerged</w:t>
      </w:r>
      <w:r>
        <w:rPr>
          <w:rFonts w:cs="Calibri"/>
        </w:rPr>
        <w:t xml:space="preserve"> taxa</w:t>
      </w:r>
      <w:r w:rsidRPr="00FA5A0A">
        <w:rPr>
          <w:rFonts w:cs="Calibri"/>
        </w:rPr>
        <w:t>, being those that have special adaptations for living submerged in water. The</w:t>
      </w:r>
      <w:r>
        <w:rPr>
          <w:rFonts w:cs="Calibri"/>
        </w:rPr>
        <w:t>se plants grow to</w:t>
      </w:r>
      <w:r w:rsidRPr="00FA5A0A">
        <w:rPr>
          <w:rFonts w:cs="Calibri"/>
        </w:rPr>
        <w:t xml:space="preserve">, but do not emerge from, the surface of the water. </w:t>
      </w:r>
    </w:p>
    <w:p w14:paraId="3B4F8ECF" w14:textId="77777777" w:rsidR="008E6212" w:rsidRDefault="008E6212" w:rsidP="00764D83">
      <w:pPr>
        <w:pStyle w:val="ListParagraph"/>
        <w:numPr>
          <w:ilvl w:val="0"/>
          <w:numId w:val="15"/>
        </w:numPr>
        <w:spacing w:after="240" w:line="324" w:lineRule="exact"/>
        <w:ind w:left="1077" w:hanging="357"/>
        <w:jc w:val="left"/>
        <w:rPr>
          <w:rFonts w:cs="Calibri"/>
        </w:rPr>
      </w:pPr>
      <w:r w:rsidRPr="00FA5A0A">
        <w:rPr>
          <w:rFonts w:cs="Calibri"/>
        </w:rPr>
        <w:t>Amphibious</w:t>
      </w:r>
      <w:r>
        <w:rPr>
          <w:rFonts w:cs="Calibri"/>
        </w:rPr>
        <w:t xml:space="preserve"> taxa</w:t>
      </w:r>
      <w:r w:rsidRPr="00FA5A0A">
        <w:rPr>
          <w:rFonts w:cs="Calibri"/>
        </w:rPr>
        <w:t xml:space="preserve">, including those that tolerate wetting and drying, and those that respond to water level fluctuations, </w:t>
      </w:r>
      <w:r>
        <w:rPr>
          <w:rFonts w:cs="Calibri"/>
        </w:rPr>
        <w:t>and</w:t>
      </w:r>
    </w:p>
    <w:p w14:paraId="3B4F8ED0" w14:textId="77777777" w:rsidR="008E6212" w:rsidRDefault="008E6212" w:rsidP="00764D83">
      <w:pPr>
        <w:pStyle w:val="ListParagraph"/>
        <w:numPr>
          <w:ilvl w:val="0"/>
          <w:numId w:val="15"/>
        </w:numPr>
        <w:spacing w:after="240" w:line="324" w:lineRule="exact"/>
        <w:jc w:val="left"/>
        <w:rPr>
          <w:rFonts w:cs="Calibri"/>
        </w:rPr>
      </w:pPr>
      <w:r w:rsidRPr="00FA5A0A">
        <w:rPr>
          <w:rFonts w:cs="Calibri"/>
        </w:rPr>
        <w:t>Terrestrial</w:t>
      </w:r>
      <w:r>
        <w:rPr>
          <w:rFonts w:cs="Calibri"/>
        </w:rPr>
        <w:t xml:space="preserve"> taxa</w:t>
      </w:r>
      <w:r w:rsidRPr="00FA5A0A">
        <w:rPr>
          <w:rFonts w:cs="Calibri"/>
        </w:rPr>
        <w:t>, being those that typically occur in damp or dry habitats</w:t>
      </w:r>
      <w:r>
        <w:rPr>
          <w:rFonts w:cs="Calibri"/>
        </w:rPr>
        <w:t>.</w:t>
      </w:r>
    </w:p>
    <w:p w14:paraId="3B4F8ED1" w14:textId="77777777" w:rsidR="008E6212" w:rsidRDefault="008E6212" w:rsidP="008E6212">
      <w:pPr>
        <w:spacing w:after="240" w:line="324" w:lineRule="exact"/>
        <w:jc w:val="left"/>
        <w:rPr>
          <w:rFonts w:cs="Calibri"/>
        </w:rPr>
      </w:pPr>
      <w:r>
        <w:rPr>
          <w:rFonts w:cs="Calibri"/>
        </w:rPr>
        <w:t xml:space="preserve">The </w:t>
      </w:r>
      <w:r w:rsidRPr="00DE3CC0">
        <w:rPr>
          <w:rFonts w:cs="Calibri"/>
        </w:rPr>
        <w:t>percent</w:t>
      </w:r>
      <w:r w:rsidRPr="007E5E0D">
        <w:rPr>
          <w:rFonts w:cs="Calibri"/>
        </w:rPr>
        <w:t xml:space="preserve"> cover of riverbank and aquatic vegetation </w:t>
      </w:r>
      <w:r>
        <w:rPr>
          <w:rFonts w:cs="Calibri"/>
        </w:rPr>
        <w:t xml:space="preserve">was calculated for each transect for each sample date. If there were any logs or tree trunks recorded in a given transect, the percent cover for that transect was calculated out of a reduced number of points, being 40 transect points minus the number of points recorded as log or tree trunk. This is because no vegetation would have been able </w:t>
      </w:r>
      <w:r w:rsidRPr="009020D1">
        <w:rPr>
          <w:rFonts w:cs="Calibri"/>
        </w:rPr>
        <w:t xml:space="preserve">to grow at that point if a log or tree trunk </w:t>
      </w:r>
      <w:r>
        <w:rPr>
          <w:rFonts w:cs="Calibri"/>
        </w:rPr>
        <w:t>was</w:t>
      </w:r>
      <w:r w:rsidRPr="009020D1">
        <w:rPr>
          <w:rFonts w:cs="Calibri"/>
        </w:rPr>
        <w:t xml:space="preserve"> present.</w:t>
      </w:r>
      <w:r>
        <w:rPr>
          <w:rFonts w:cs="Calibri"/>
        </w:rPr>
        <w:t xml:space="preserve"> To compare cover of vegetation across years one and two of the LTIM program (2014-15 and 2015-16) </w:t>
      </w:r>
      <w:r w:rsidRPr="002A2796">
        <w:rPr>
          <w:rFonts w:cs="Calibri"/>
        </w:rPr>
        <w:t>the month where there was maximum cover in transects one to five across the months of October to May were identified for each taxa</w:t>
      </w:r>
      <w:r>
        <w:rPr>
          <w:rFonts w:cs="Calibri"/>
        </w:rPr>
        <w:t xml:space="preserve">. The period from October to May was used because </w:t>
      </w:r>
      <w:r w:rsidR="000038C7">
        <w:rPr>
          <w:rFonts w:cs="Calibri"/>
        </w:rPr>
        <w:t>this is the main growing season</w:t>
      </w:r>
      <w:r>
        <w:rPr>
          <w:rFonts w:cs="Calibri"/>
        </w:rPr>
        <w:t xml:space="preserve"> and there was no data prior to May in 2014 (Year 1). Transects zero was not used in the comparison across years because it was not surveyed in year one of the program. This comparison used data from 632 transects for 2014-15 and 615 transects for 2015-16.</w:t>
      </w:r>
    </w:p>
    <w:p w14:paraId="3B4F8ED2" w14:textId="77777777" w:rsidR="008E6212" w:rsidRDefault="008E6212" w:rsidP="008E6212">
      <w:pPr>
        <w:spacing w:after="240" w:line="324" w:lineRule="exact"/>
        <w:jc w:val="left"/>
        <w:rPr>
          <w:rFonts w:cs="Calibri"/>
          <w:highlight w:val="yellow"/>
        </w:rPr>
      </w:pPr>
      <w:r w:rsidRPr="00395FA3">
        <w:rPr>
          <w:rFonts w:cs="Calibri"/>
        </w:rPr>
        <w:t>To test if the percent cover of vegetation was significantly different among the four zones across the entire monitoring period</w:t>
      </w:r>
      <w:r>
        <w:rPr>
          <w:rFonts w:cs="Calibri"/>
        </w:rPr>
        <w:t xml:space="preserve"> </w:t>
      </w:r>
      <w:r w:rsidRPr="00395FA3">
        <w:t>(August 2015 to May 2016</w:t>
      </w:r>
      <w:r>
        <w:t xml:space="preserve">) </w:t>
      </w:r>
      <w:r>
        <w:rPr>
          <w:rFonts w:cs="Calibri"/>
        </w:rPr>
        <w:t>in 2015-16</w:t>
      </w:r>
      <w:r w:rsidRPr="00395FA3">
        <w:rPr>
          <w:rFonts w:cs="Calibri"/>
        </w:rPr>
        <w:t xml:space="preserve">, the total percent cover of all taxa was transformed (square root) and analysed using a one way ANOVA with zone as the treatment factor. </w:t>
      </w:r>
      <w:r w:rsidRPr="00EC502E">
        <w:t xml:space="preserve">Analysis of the percent cover for the eight most common taxa were analysed individually using Kruskal-Wakllis nonparametric test because the data were not normally distributed. </w:t>
      </w:r>
      <w:r w:rsidRPr="00DC3034">
        <w:rPr>
          <w:rFonts w:cs="Calibri"/>
        </w:rPr>
        <w:t>Statistical analyses were carried out using the freeware R and the R package MASS (R Development Core Team 2013) and IBM SPSS Statistics v20. P-values of &lt;0.05 were used to determine the significance of each ANOVA test. When significant differences were indicated, post hoc pairwise comparisons were undertaken to determine differences between hydrological zones.</w:t>
      </w:r>
    </w:p>
    <w:p w14:paraId="3B4F8ED3" w14:textId="77777777" w:rsidR="008E6212" w:rsidRDefault="008E6212" w:rsidP="008E6212">
      <w:pPr>
        <w:spacing w:after="240" w:line="324" w:lineRule="exact"/>
        <w:jc w:val="left"/>
      </w:pPr>
    </w:p>
    <w:p w14:paraId="3B4F8ED4" w14:textId="77777777" w:rsidR="008E6212" w:rsidRPr="007906C1" w:rsidRDefault="008E6212" w:rsidP="008E6212">
      <w:pPr>
        <w:pStyle w:val="Default"/>
        <w:spacing w:after="240" w:line="324" w:lineRule="exact"/>
        <w:rPr>
          <w:rFonts w:asciiTheme="minorHAnsi" w:hAnsiTheme="minorHAnsi"/>
          <w:b/>
          <w:bCs/>
          <w:color w:val="4F6228" w:themeColor="accent3" w:themeShade="80"/>
          <w:sz w:val="26"/>
          <w:szCs w:val="26"/>
        </w:rPr>
      </w:pPr>
      <w:r w:rsidRPr="007906C1">
        <w:rPr>
          <w:rFonts w:asciiTheme="minorHAnsi" w:hAnsiTheme="minorHAnsi"/>
          <w:b/>
          <w:bCs/>
          <w:color w:val="4F6228" w:themeColor="accent3" w:themeShade="80"/>
          <w:sz w:val="26"/>
          <w:szCs w:val="26"/>
        </w:rPr>
        <w:t xml:space="preserve">C.4 </w:t>
      </w:r>
      <w:r w:rsidR="00270B44">
        <w:rPr>
          <w:rFonts w:asciiTheme="minorHAnsi" w:hAnsiTheme="minorHAnsi"/>
          <w:b/>
          <w:bCs/>
          <w:color w:val="4F6228" w:themeColor="accent3" w:themeShade="80"/>
          <w:sz w:val="26"/>
          <w:szCs w:val="26"/>
        </w:rPr>
        <w:t xml:space="preserve"> </w:t>
      </w:r>
      <w:r w:rsidRPr="007906C1">
        <w:rPr>
          <w:rFonts w:asciiTheme="minorHAnsi" w:hAnsiTheme="minorHAnsi"/>
          <w:b/>
          <w:bCs/>
          <w:color w:val="4F6228" w:themeColor="accent3" w:themeShade="80"/>
          <w:sz w:val="26"/>
          <w:szCs w:val="26"/>
        </w:rPr>
        <w:t>Results</w:t>
      </w:r>
    </w:p>
    <w:p w14:paraId="3B4F8ED5" w14:textId="77777777" w:rsidR="008E6212" w:rsidRPr="00943142" w:rsidRDefault="008E6212" w:rsidP="008E6212">
      <w:pPr>
        <w:spacing w:after="240" w:line="324" w:lineRule="exact"/>
        <w:jc w:val="left"/>
        <w:rPr>
          <w:i/>
        </w:rPr>
      </w:pPr>
      <w:r>
        <w:rPr>
          <w:i/>
        </w:rPr>
        <w:t xml:space="preserve">Comparison of </w:t>
      </w:r>
      <w:r w:rsidRPr="00943142">
        <w:rPr>
          <w:i/>
        </w:rPr>
        <w:t>riverbank and aquatic vegetation</w:t>
      </w:r>
      <w:r>
        <w:rPr>
          <w:i/>
        </w:rPr>
        <w:t xml:space="preserve"> in the Edward-Wakool system between year one (2014-15) and year two (2015-16) of the LTIM monitoring program</w:t>
      </w:r>
    </w:p>
    <w:p w14:paraId="3B4F8ED6" w14:textId="56F27AE8" w:rsidR="008E6212" w:rsidRDefault="008E6212" w:rsidP="008E6212">
      <w:pPr>
        <w:spacing w:after="240" w:line="324" w:lineRule="exact"/>
        <w:jc w:val="left"/>
      </w:pPr>
      <w:r>
        <w:lastRenderedPageBreak/>
        <w:t xml:space="preserve">A total </w:t>
      </w:r>
      <w:r w:rsidRPr="00033D2D">
        <w:t xml:space="preserve">of </w:t>
      </w:r>
      <w:r>
        <w:t>45</w:t>
      </w:r>
      <w:r w:rsidRPr="00033D2D">
        <w:t xml:space="preserve"> riverbank and aquatic vegetation taxa were recorded across the sixteen sites between August 2015 and May 2016</w:t>
      </w:r>
      <w:r>
        <w:t xml:space="preserve">. </w:t>
      </w:r>
      <w:r w:rsidRPr="00033D2D">
        <w:t xml:space="preserve">Three </w:t>
      </w:r>
      <w:r>
        <w:t xml:space="preserve">of the 45 </w:t>
      </w:r>
      <w:r w:rsidRPr="00033D2D">
        <w:t xml:space="preserve">taxa </w:t>
      </w:r>
      <w:r>
        <w:t>recorded in 2014-15 were submerged, 20 were amphibious and 22</w:t>
      </w:r>
      <w:r w:rsidRPr="00033D2D">
        <w:t xml:space="preserve"> were terrestrial (</w:t>
      </w:r>
      <w:r w:rsidR="00270B44">
        <w:t>Figure C.1</w:t>
      </w:r>
      <w:r w:rsidRPr="00033D2D">
        <w:t xml:space="preserve">). </w:t>
      </w:r>
      <w:r>
        <w:t xml:space="preserve">Only four of the taxa were introduced (lippia, arrowhead, medic and sow thistles) and were all in very low abundance. Seven additional taxa recorded in 2015-16 were in very low abundance, but it is possible they may have been nearby to the study sites in 2014-15 but were not present in the survey transects. The additional amphibious taxa recorded in 2015-16 </w:t>
      </w:r>
      <w:r w:rsidR="00051813">
        <w:t xml:space="preserve">(all native taxa) </w:t>
      </w:r>
      <w:r>
        <w:t>were yellow twin-heads, swamp lily, water ribbons and narrow leaf cumbungi, and the additional terrestrial taxa were Brachyscome daisy, coppe</w:t>
      </w:r>
      <w:r w:rsidR="00270B44">
        <w:t>r burr and chickweed (Figure C.1</w:t>
      </w:r>
      <w:r>
        <w:t>).</w:t>
      </w:r>
    </w:p>
    <w:p w14:paraId="3B4F8ED7" w14:textId="77777777" w:rsidR="008E6212" w:rsidRDefault="008E6212" w:rsidP="008E6212">
      <w:pPr>
        <w:spacing w:after="240" w:line="324" w:lineRule="exact"/>
        <w:jc w:val="left"/>
        <w:rPr>
          <w:szCs w:val="22"/>
        </w:rPr>
      </w:pPr>
      <w:r>
        <w:rPr>
          <w:szCs w:val="22"/>
        </w:rPr>
        <w:t>Eight</w:t>
      </w:r>
      <w:r w:rsidRPr="002D6374">
        <w:rPr>
          <w:color w:val="000000"/>
        </w:rPr>
        <w:t xml:space="preserve"> of the ten most abundant taxa </w:t>
      </w:r>
      <w:r w:rsidRPr="008C62FB">
        <w:rPr>
          <w:szCs w:val="22"/>
        </w:rPr>
        <w:t xml:space="preserve">observed </w:t>
      </w:r>
      <w:r>
        <w:rPr>
          <w:szCs w:val="22"/>
        </w:rPr>
        <w:t xml:space="preserve">in 2015-16 </w:t>
      </w:r>
      <w:r w:rsidRPr="002D6374">
        <w:rPr>
          <w:color w:val="000000"/>
        </w:rPr>
        <w:t>were classified as submerged or amphibious taxa, as the surveys were undertaken in the active</w:t>
      </w:r>
      <w:r>
        <w:rPr>
          <w:color w:val="000000"/>
        </w:rPr>
        <w:t xml:space="preserve"> littoral zone of the </w:t>
      </w:r>
      <w:r w:rsidRPr="00E44188">
        <w:rPr>
          <w:color w:val="000000"/>
        </w:rPr>
        <w:t xml:space="preserve">riverbank </w:t>
      </w:r>
      <w:r>
        <w:t>(Figure C</w:t>
      </w:r>
      <w:r w:rsidR="00270B44">
        <w:t>.1</w:t>
      </w:r>
      <w:r w:rsidRPr="00E44188">
        <w:t>).</w:t>
      </w:r>
      <w:r>
        <w:t xml:space="preserve"> </w:t>
      </w:r>
      <w:r>
        <w:rPr>
          <w:szCs w:val="22"/>
        </w:rPr>
        <w:t>Of the</w:t>
      </w:r>
      <w:r w:rsidRPr="008C62FB">
        <w:rPr>
          <w:szCs w:val="22"/>
        </w:rPr>
        <w:t xml:space="preserve"> ten most abundant taxa </w:t>
      </w:r>
      <w:r>
        <w:rPr>
          <w:szCs w:val="22"/>
        </w:rPr>
        <w:t>there was one submerged taxa (</w:t>
      </w:r>
      <w:r w:rsidRPr="0015182E">
        <w:rPr>
          <w:i/>
          <w:szCs w:val="22"/>
        </w:rPr>
        <w:t>Chara spp</w:t>
      </w:r>
      <w:r>
        <w:rPr>
          <w:szCs w:val="22"/>
        </w:rPr>
        <w:t xml:space="preserve">.), seven amphibious taxa including </w:t>
      </w:r>
      <w:r w:rsidRPr="008C62FB">
        <w:rPr>
          <w:szCs w:val="22"/>
        </w:rPr>
        <w:t>floating pondweed (</w:t>
      </w:r>
      <w:r w:rsidRPr="008C62FB">
        <w:rPr>
          <w:i/>
          <w:szCs w:val="22"/>
        </w:rPr>
        <w:t>Potamogeton tricarinatus</w:t>
      </w:r>
      <w:r w:rsidRPr="008C62FB">
        <w:rPr>
          <w:szCs w:val="22"/>
        </w:rPr>
        <w:t xml:space="preserve">), </w:t>
      </w:r>
      <w:r>
        <w:rPr>
          <w:szCs w:val="22"/>
        </w:rPr>
        <w:t xml:space="preserve">milfoil </w:t>
      </w:r>
      <w:r w:rsidRPr="008C62FB">
        <w:rPr>
          <w:szCs w:val="22"/>
        </w:rPr>
        <w:t>(</w:t>
      </w:r>
      <w:r w:rsidRPr="008C62FB">
        <w:rPr>
          <w:i/>
          <w:szCs w:val="22"/>
        </w:rPr>
        <w:t>Myriophyllum</w:t>
      </w:r>
      <w:r w:rsidRPr="008C62FB">
        <w:rPr>
          <w:szCs w:val="22"/>
        </w:rPr>
        <w:t xml:space="preserve"> sp</w:t>
      </w:r>
      <w:r>
        <w:rPr>
          <w:szCs w:val="22"/>
        </w:rPr>
        <w:t>p</w:t>
      </w:r>
      <w:r w:rsidRPr="008C62FB">
        <w:rPr>
          <w:szCs w:val="22"/>
        </w:rPr>
        <w:t xml:space="preserve">.), </w:t>
      </w:r>
      <w:r>
        <w:rPr>
          <w:szCs w:val="22"/>
        </w:rPr>
        <w:t>water fern</w:t>
      </w:r>
      <w:r w:rsidRPr="008C62FB">
        <w:rPr>
          <w:szCs w:val="22"/>
        </w:rPr>
        <w:t xml:space="preserve"> (</w:t>
      </w:r>
      <w:r w:rsidRPr="008C62FB">
        <w:rPr>
          <w:i/>
          <w:szCs w:val="22"/>
        </w:rPr>
        <w:t>Azolla sp</w:t>
      </w:r>
      <w:r w:rsidRPr="008C62FB">
        <w:rPr>
          <w:szCs w:val="22"/>
        </w:rPr>
        <w:t>.), mud grass (</w:t>
      </w:r>
      <w:r w:rsidRPr="008C62FB">
        <w:rPr>
          <w:i/>
          <w:color w:val="000000"/>
        </w:rPr>
        <w:t>Pseudoraphis spinescens</w:t>
      </w:r>
      <w:r w:rsidRPr="008C62FB">
        <w:rPr>
          <w:rStyle w:val="st"/>
        </w:rPr>
        <w:t xml:space="preserve">), </w:t>
      </w:r>
      <w:r w:rsidRPr="008C62FB">
        <w:rPr>
          <w:szCs w:val="22"/>
        </w:rPr>
        <w:t>rush (</w:t>
      </w:r>
      <w:r w:rsidRPr="008C62FB">
        <w:rPr>
          <w:i/>
          <w:szCs w:val="22"/>
        </w:rPr>
        <w:t>Juncus</w:t>
      </w:r>
      <w:r w:rsidRPr="008C62FB">
        <w:rPr>
          <w:szCs w:val="22"/>
        </w:rPr>
        <w:t xml:space="preserve"> spp.), sedge (</w:t>
      </w:r>
      <w:r w:rsidRPr="008C62FB">
        <w:rPr>
          <w:i/>
          <w:szCs w:val="22"/>
        </w:rPr>
        <w:t xml:space="preserve">Cyperus </w:t>
      </w:r>
      <w:r w:rsidRPr="008C62FB">
        <w:rPr>
          <w:szCs w:val="22"/>
        </w:rPr>
        <w:t>spp</w:t>
      </w:r>
      <w:r w:rsidRPr="008C62FB">
        <w:rPr>
          <w:i/>
          <w:szCs w:val="22"/>
        </w:rPr>
        <w:t>.</w:t>
      </w:r>
      <w:r w:rsidRPr="008C62FB">
        <w:rPr>
          <w:szCs w:val="22"/>
        </w:rPr>
        <w:t xml:space="preserve">) </w:t>
      </w:r>
      <w:r>
        <w:rPr>
          <w:szCs w:val="22"/>
        </w:rPr>
        <w:t xml:space="preserve">and </w:t>
      </w:r>
      <w:r w:rsidRPr="008C62FB">
        <w:rPr>
          <w:szCs w:val="22"/>
        </w:rPr>
        <w:t>water primrose (</w:t>
      </w:r>
      <w:r w:rsidRPr="008C62FB">
        <w:rPr>
          <w:i/>
          <w:szCs w:val="22"/>
        </w:rPr>
        <w:t>Ludwegia peploides</w:t>
      </w:r>
      <w:r w:rsidRPr="008C62FB">
        <w:rPr>
          <w:szCs w:val="22"/>
        </w:rPr>
        <w:t xml:space="preserve">), </w:t>
      </w:r>
      <w:r>
        <w:rPr>
          <w:szCs w:val="22"/>
        </w:rPr>
        <w:t>and two terrestrial taxa being common</w:t>
      </w:r>
      <w:r w:rsidRPr="008C62FB">
        <w:rPr>
          <w:szCs w:val="22"/>
        </w:rPr>
        <w:t xml:space="preserve"> sneeze weed (</w:t>
      </w:r>
      <w:r w:rsidRPr="008C62FB">
        <w:rPr>
          <w:i/>
          <w:szCs w:val="22"/>
        </w:rPr>
        <w:t>Centipeda</w:t>
      </w:r>
      <w:r w:rsidRPr="008C62FB">
        <w:rPr>
          <w:szCs w:val="22"/>
        </w:rPr>
        <w:t xml:space="preserve"> </w:t>
      </w:r>
      <w:r w:rsidRPr="008C62FB">
        <w:rPr>
          <w:i/>
          <w:szCs w:val="22"/>
        </w:rPr>
        <w:t>cunninghamii</w:t>
      </w:r>
      <w:r>
        <w:rPr>
          <w:szCs w:val="22"/>
        </w:rPr>
        <w:t xml:space="preserve">) </w:t>
      </w:r>
      <w:r w:rsidRPr="008C62FB">
        <w:rPr>
          <w:szCs w:val="22"/>
        </w:rPr>
        <w:t>and grass</w:t>
      </w:r>
      <w:r w:rsidR="00C225D3">
        <w:rPr>
          <w:szCs w:val="22"/>
        </w:rPr>
        <w:t xml:space="preserve"> (Figure C.1</w:t>
      </w:r>
      <w:r>
        <w:rPr>
          <w:szCs w:val="22"/>
        </w:rPr>
        <w:t>)</w:t>
      </w:r>
      <w:r w:rsidRPr="008C62FB">
        <w:rPr>
          <w:szCs w:val="22"/>
        </w:rPr>
        <w:t xml:space="preserve">. </w:t>
      </w:r>
      <w:r>
        <w:rPr>
          <w:szCs w:val="22"/>
        </w:rPr>
        <w:t>Eight of the ten taxa were also in the ten most abundant taxa in 2014-15 (Watts et al. 2015). Water primrose and sedge were among the top ten most abundant taxa in 2015-16 replacing common spikerush (</w:t>
      </w:r>
      <w:r w:rsidRPr="00467277">
        <w:rPr>
          <w:i/>
          <w:szCs w:val="22"/>
        </w:rPr>
        <w:t xml:space="preserve">Eleocharis </w:t>
      </w:r>
      <w:r>
        <w:rPr>
          <w:i/>
          <w:szCs w:val="22"/>
        </w:rPr>
        <w:t>spp.)</w:t>
      </w:r>
      <w:r>
        <w:rPr>
          <w:szCs w:val="22"/>
        </w:rPr>
        <w:t xml:space="preserve"> and mudwort (</w:t>
      </w:r>
      <w:r>
        <w:rPr>
          <w:i/>
          <w:szCs w:val="22"/>
        </w:rPr>
        <w:t>Limosella spp.</w:t>
      </w:r>
      <w:r>
        <w:rPr>
          <w:szCs w:val="22"/>
        </w:rPr>
        <w:t xml:space="preserve">) that were more abundant in 2014-15. </w:t>
      </w:r>
    </w:p>
    <w:p w14:paraId="3B4F8ED8" w14:textId="77777777" w:rsidR="008E6212" w:rsidRDefault="008E6212" w:rsidP="008E6212">
      <w:pPr>
        <w:spacing w:after="240" w:line="324" w:lineRule="exact"/>
        <w:jc w:val="left"/>
      </w:pPr>
      <w:r>
        <w:t>There were some notable changes in the maximum cover of submerged and terrestrial taxa between years one and two of the LTIM program. The most evident change across years was an increase in the cover of three common amphibious taxa, mudgrass, floating pondweed and milfoil, and a slight increase in the cover of water primrose. There was a decrease in cover of spikerush in zone 4 and a slight decrease in rush</w:t>
      </w:r>
      <w:r w:rsidR="00270B44">
        <w:t xml:space="preserve"> in zones 1, 3 and 4 (Figure C.1</w:t>
      </w:r>
      <w:r>
        <w:t>).</w:t>
      </w:r>
    </w:p>
    <w:p w14:paraId="3B4F8ED9" w14:textId="77777777" w:rsidR="008E6212" w:rsidRDefault="008E6212" w:rsidP="008E6212">
      <w:pPr>
        <w:spacing w:after="120"/>
      </w:pPr>
      <w:r>
        <w:rPr>
          <w:noProof/>
          <w:lang w:eastAsia="en-AU"/>
        </w:rPr>
        <w:lastRenderedPageBreak/>
        <w:drawing>
          <wp:inline distT="0" distB="0" distL="0" distR="0" wp14:anchorId="3B4F964C" wp14:editId="07BDC83D">
            <wp:extent cx="6078076" cy="73247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6091935" cy="7341427"/>
                    </a:xfrm>
                    <a:prstGeom prst="rect">
                      <a:avLst/>
                    </a:prstGeom>
                    <a:noFill/>
                  </pic:spPr>
                </pic:pic>
              </a:graphicData>
            </a:graphic>
          </wp:inline>
        </w:drawing>
      </w:r>
    </w:p>
    <w:p w14:paraId="3B4F8EDA" w14:textId="77777777" w:rsidR="008E6212" w:rsidRDefault="008E6212" w:rsidP="008E6212">
      <w:pPr>
        <w:spacing w:after="120" w:line="240" w:lineRule="auto"/>
        <w:jc w:val="left"/>
        <w:rPr>
          <w:rStyle w:val="CommentReference"/>
          <w:rFonts w:ascii="Arial" w:hAnsi="Arial"/>
          <w:lang w:val="en-US"/>
        </w:rPr>
      </w:pPr>
      <w:r w:rsidRPr="009C69C3">
        <w:rPr>
          <w:b/>
          <w:sz w:val="20"/>
        </w:rPr>
        <w:t xml:space="preserve">Figure </w:t>
      </w:r>
      <w:r>
        <w:rPr>
          <w:b/>
          <w:sz w:val="20"/>
        </w:rPr>
        <w:t>C.</w:t>
      </w:r>
      <w:r w:rsidR="00270B44">
        <w:rPr>
          <w:b/>
          <w:sz w:val="20"/>
        </w:rPr>
        <w:t>1</w:t>
      </w:r>
      <w:r w:rsidR="00F774C7">
        <w:rPr>
          <w:b/>
          <w:sz w:val="20"/>
        </w:rPr>
        <w:t>.</w:t>
      </w:r>
      <w:r w:rsidRPr="009C69C3">
        <w:rPr>
          <w:sz w:val="20"/>
        </w:rPr>
        <w:t xml:space="preserve"> </w:t>
      </w:r>
      <w:r>
        <w:rPr>
          <w:sz w:val="20"/>
        </w:rPr>
        <w:t>Maximum cover</w:t>
      </w:r>
      <w:r w:rsidRPr="009C69C3">
        <w:rPr>
          <w:sz w:val="20"/>
        </w:rPr>
        <w:t xml:space="preserve"> of riverbank and aquatic vegetation</w:t>
      </w:r>
      <w:r>
        <w:rPr>
          <w:sz w:val="20"/>
        </w:rPr>
        <w:t xml:space="preserve"> taxa monitored monthly across four</w:t>
      </w:r>
      <w:r w:rsidRPr="009C69C3">
        <w:rPr>
          <w:sz w:val="20"/>
        </w:rPr>
        <w:t xml:space="preserve"> hydrological zones in the Edward-Wakool system between </w:t>
      </w:r>
      <w:r>
        <w:rPr>
          <w:sz w:val="20"/>
        </w:rPr>
        <w:t>October 2015</w:t>
      </w:r>
      <w:r w:rsidRPr="009C69C3">
        <w:rPr>
          <w:sz w:val="20"/>
        </w:rPr>
        <w:t xml:space="preserve"> and </w:t>
      </w:r>
      <w:r>
        <w:rPr>
          <w:sz w:val="20"/>
        </w:rPr>
        <w:t>May 2016</w:t>
      </w:r>
      <w:r w:rsidRPr="009C69C3">
        <w:rPr>
          <w:sz w:val="20"/>
        </w:rPr>
        <w:t>.</w:t>
      </w:r>
      <w:r>
        <w:rPr>
          <w:sz w:val="20"/>
        </w:rPr>
        <w:t xml:space="preserve"> Taxa were classified as submerged, amphibious or terrestrial. Red dots indicate maximum cover in 2014-15 and blue dots indicate maximum cover in 2015-16. EDWK01 = Yallakool Creek zone 1, EDWK02 = Upper Wakool River</w:t>
      </w:r>
      <w:r w:rsidRPr="000F126C">
        <w:rPr>
          <w:sz w:val="20"/>
        </w:rPr>
        <w:t xml:space="preserve"> </w:t>
      </w:r>
      <w:r>
        <w:rPr>
          <w:sz w:val="20"/>
        </w:rPr>
        <w:t>zone 2, EDWK03 = Wakool River zone 3 upstream of Thule Creek, EDWK04 = Wakool River zone 4 downstream Thule Creek</w:t>
      </w:r>
      <w:r>
        <w:rPr>
          <w:rStyle w:val="CommentReference"/>
          <w:rFonts w:ascii="Arial" w:hAnsi="Arial"/>
          <w:lang w:val="en-US"/>
        </w:rPr>
        <w:t>. Asterisk indicates introduced taxa.</w:t>
      </w:r>
    </w:p>
    <w:p w14:paraId="3B4F8EDB" w14:textId="77777777" w:rsidR="008E6212" w:rsidRDefault="0053692C" w:rsidP="008E6212">
      <w:pPr>
        <w:spacing w:after="120" w:line="240" w:lineRule="auto"/>
      </w:pPr>
      <w:r>
        <w:rPr>
          <w:noProof/>
          <w:lang w:eastAsia="en-AU"/>
        </w:rPr>
        <w:lastRenderedPageBreak/>
        <w:drawing>
          <wp:inline distT="0" distB="0" distL="0" distR="0" wp14:anchorId="3B4F964E" wp14:editId="027CF6BA">
            <wp:extent cx="5121894" cy="7596000"/>
            <wp:effectExtent l="0" t="0" r="317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121894" cy="7596000"/>
                    </a:xfrm>
                    <a:prstGeom prst="rect">
                      <a:avLst/>
                    </a:prstGeom>
                    <a:noFill/>
                  </pic:spPr>
                </pic:pic>
              </a:graphicData>
            </a:graphic>
          </wp:inline>
        </w:drawing>
      </w:r>
    </w:p>
    <w:p w14:paraId="3B4F8EDC" w14:textId="77777777" w:rsidR="008E6212" w:rsidRDefault="008E6212" w:rsidP="008E6212">
      <w:pPr>
        <w:spacing w:after="240" w:line="240" w:lineRule="auto"/>
        <w:jc w:val="left"/>
        <w:rPr>
          <w:sz w:val="20"/>
        </w:rPr>
      </w:pPr>
      <w:r w:rsidRPr="0053692C">
        <w:rPr>
          <w:b/>
          <w:sz w:val="20"/>
        </w:rPr>
        <w:t xml:space="preserve">Figure </w:t>
      </w:r>
      <w:r w:rsidR="00270B44">
        <w:rPr>
          <w:b/>
          <w:sz w:val="20"/>
        </w:rPr>
        <w:t>C.2</w:t>
      </w:r>
      <w:r w:rsidR="00F774C7">
        <w:rPr>
          <w:b/>
          <w:sz w:val="20"/>
        </w:rPr>
        <w:t>.</w:t>
      </w:r>
      <w:r w:rsidRPr="0053692C">
        <w:rPr>
          <w:b/>
          <w:sz w:val="20"/>
        </w:rPr>
        <w:t xml:space="preserve"> </w:t>
      </w:r>
      <w:r w:rsidRPr="0053692C">
        <w:rPr>
          <w:sz w:val="20"/>
        </w:rPr>
        <w:t xml:space="preserve">Photos of abundant aquatic and riverbank vegetation taxa </w:t>
      </w:r>
      <w:r w:rsidR="0053692C">
        <w:rPr>
          <w:sz w:val="20"/>
        </w:rPr>
        <w:t xml:space="preserve">present </w:t>
      </w:r>
      <w:r w:rsidRPr="0053692C">
        <w:rPr>
          <w:sz w:val="20"/>
        </w:rPr>
        <w:t xml:space="preserve">in </w:t>
      </w:r>
      <w:r w:rsidR="005B1F82" w:rsidRPr="0053692C">
        <w:rPr>
          <w:sz w:val="20"/>
        </w:rPr>
        <w:t>the Edward-Wakool system in 2015-16</w:t>
      </w:r>
      <w:r w:rsidR="0053692C">
        <w:rPr>
          <w:sz w:val="20"/>
        </w:rPr>
        <w:t xml:space="preserve">. a) </w:t>
      </w:r>
      <w:r w:rsidRPr="0053692C">
        <w:rPr>
          <w:sz w:val="20"/>
        </w:rPr>
        <w:t xml:space="preserve">charophyte </w:t>
      </w:r>
      <w:r w:rsidRPr="0053692C">
        <w:rPr>
          <w:i/>
          <w:sz w:val="20"/>
        </w:rPr>
        <w:t>Chara</w:t>
      </w:r>
      <w:r w:rsidRPr="0053692C">
        <w:rPr>
          <w:sz w:val="20"/>
        </w:rPr>
        <w:t xml:space="preserve"> spp. b) </w:t>
      </w:r>
      <w:r w:rsidRPr="0053692C">
        <w:rPr>
          <w:i/>
          <w:sz w:val="20"/>
        </w:rPr>
        <w:t>Eleocharis</w:t>
      </w:r>
      <w:r w:rsidRPr="0053692C">
        <w:rPr>
          <w:sz w:val="20"/>
        </w:rPr>
        <w:t xml:space="preserve"> </w:t>
      </w:r>
      <w:r w:rsidRPr="0053692C">
        <w:rPr>
          <w:i/>
          <w:sz w:val="20"/>
        </w:rPr>
        <w:t>acuta</w:t>
      </w:r>
      <w:r w:rsidRPr="0053692C">
        <w:rPr>
          <w:sz w:val="20"/>
        </w:rPr>
        <w:t xml:space="preserve"> plants </w:t>
      </w:r>
      <w:r w:rsidR="0084370F" w:rsidRPr="0053692C">
        <w:rPr>
          <w:sz w:val="20"/>
        </w:rPr>
        <w:t>in flower December 2015</w:t>
      </w:r>
      <w:r w:rsidR="0053692C">
        <w:rPr>
          <w:sz w:val="20"/>
        </w:rPr>
        <w:t xml:space="preserve">, </w:t>
      </w:r>
      <w:r w:rsidRPr="0053692C">
        <w:rPr>
          <w:sz w:val="20"/>
        </w:rPr>
        <w:t xml:space="preserve">c) </w:t>
      </w:r>
      <w:r w:rsidR="0053692C">
        <w:rPr>
          <w:sz w:val="20"/>
        </w:rPr>
        <w:t xml:space="preserve">water fern </w:t>
      </w:r>
      <w:r w:rsidRPr="0053692C">
        <w:rPr>
          <w:i/>
          <w:sz w:val="20"/>
        </w:rPr>
        <w:t>Azolla</w:t>
      </w:r>
      <w:r w:rsidRPr="0053692C">
        <w:rPr>
          <w:sz w:val="20"/>
        </w:rPr>
        <w:t xml:space="preserve"> spp.</w:t>
      </w:r>
      <w:r w:rsidR="005B1F82" w:rsidRPr="0053692C">
        <w:rPr>
          <w:sz w:val="20"/>
        </w:rPr>
        <w:t xml:space="preserve"> </w:t>
      </w:r>
      <w:r w:rsidR="0053692C">
        <w:rPr>
          <w:sz w:val="20"/>
        </w:rPr>
        <w:t xml:space="preserve">(red colour) </w:t>
      </w:r>
      <w:r w:rsidR="005B1F82" w:rsidRPr="0053692C">
        <w:rPr>
          <w:sz w:val="20"/>
        </w:rPr>
        <w:t xml:space="preserve">floating amongst </w:t>
      </w:r>
      <w:r w:rsidR="005B1F82" w:rsidRPr="0053692C">
        <w:rPr>
          <w:i/>
          <w:sz w:val="20"/>
        </w:rPr>
        <w:t>Potamogeton</w:t>
      </w:r>
      <w:r w:rsidR="005B1F82" w:rsidRPr="0053692C">
        <w:rPr>
          <w:sz w:val="20"/>
        </w:rPr>
        <w:t xml:space="preserve"> </w:t>
      </w:r>
      <w:r w:rsidR="005B1F82" w:rsidRPr="0053692C">
        <w:rPr>
          <w:i/>
          <w:sz w:val="20"/>
        </w:rPr>
        <w:t>tricarinatus</w:t>
      </w:r>
      <w:r w:rsidRPr="0053692C">
        <w:rPr>
          <w:sz w:val="20"/>
        </w:rPr>
        <w:t xml:space="preserve">, d) </w:t>
      </w:r>
      <w:r w:rsidR="0084370F" w:rsidRPr="0053692C">
        <w:rPr>
          <w:sz w:val="20"/>
        </w:rPr>
        <w:t>mud grass</w:t>
      </w:r>
      <w:r w:rsidRPr="0053692C">
        <w:rPr>
          <w:sz w:val="20"/>
        </w:rPr>
        <w:t xml:space="preserve"> </w:t>
      </w:r>
      <w:r w:rsidR="0084370F" w:rsidRPr="0053692C">
        <w:rPr>
          <w:sz w:val="20"/>
        </w:rPr>
        <w:t>(</w:t>
      </w:r>
      <w:r w:rsidR="0084370F" w:rsidRPr="0053692C">
        <w:rPr>
          <w:i/>
          <w:color w:val="000000"/>
          <w:sz w:val="20"/>
        </w:rPr>
        <w:t>Pseudoraphis spinescens</w:t>
      </w:r>
      <w:r w:rsidR="0084370F" w:rsidRPr="0053692C">
        <w:rPr>
          <w:sz w:val="20"/>
        </w:rPr>
        <w:t>)</w:t>
      </w:r>
      <w:r w:rsidR="0053692C" w:rsidRPr="0053692C">
        <w:rPr>
          <w:sz w:val="20"/>
        </w:rPr>
        <w:t>,</w:t>
      </w:r>
      <w:r w:rsidR="0084370F" w:rsidRPr="0053692C">
        <w:rPr>
          <w:sz w:val="20"/>
        </w:rPr>
        <w:t xml:space="preserve"> </w:t>
      </w:r>
      <w:r w:rsidRPr="0053692C">
        <w:rPr>
          <w:sz w:val="20"/>
        </w:rPr>
        <w:t xml:space="preserve">e) </w:t>
      </w:r>
      <w:r w:rsidR="0053692C" w:rsidRPr="0053692C">
        <w:rPr>
          <w:sz w:val="20"/>
        </w:rPr>
        <w:t>water primrose (</w:t>
      </w:r>
      <w:r w:rsidR="0053692C" w:rsidRPr="0053692C">
        <w:rPr>
          <w:i/>
          <w:sz w:val="20"/>
        </w:rPr>
        <w:t>Ludwegia peploides</w:t>
      </w:r>
      <w:r w:rsidR="0053692C" w:rsidRPr="0053692C">
        <w:rPr>
          <w:sz w:val="20"/>
        </w:rPr>
        <w:t xml:space="preserve">) </w:t>
      </w:r>
      <w:r w:rsidRPr="0053692C">
        <w:rPr>
          <w:sz w:val="20"/>
        </w:rPr>
        <w:t xml:space="preserve">and </w:t>
      </w:r>
      <w:r w:rsidR="0053692C" w:rsidRPr="0053692C">
        <w:rPr>
          <w:sz w:val="20"/>
        </w:rPr>
        <w:t>sedge (</w:t>
      </w:r>
      <w:r w:rsidR="0053692C" w:rsidRPr="0053692C">
        <w:rPr>
          <w:i/>
          <w:sz w:val="20"/>
        </w:rPr>
        <w:t xml:space="preserve">Cyperus </w:t>
      </w:r>
      <w:r w:rsidR="0053692C" w:rsidRPr="0053692C">
        <w:rPr>
          <w:sz w:val="20"/>
        </w:rPr>
        <w:t>spp</w:t>
      </w:r>
      <w:r w:rsidR="0053692C" w:rsidRPr="0053692C">
        <w:rPr>
          <w:i/>
          <w:sz w:val="20"/>
        </w:rPr>
        <w:t>.</w:t>
      </w:r>
      <w:r w:rsidR="0053692C" w:rsidRPr="0053692C">
        <w:rPr>
          <w:sz w:val="20"/>
        </w:rPr>
        <w:t xml:space="preserve">) in foreground, and </w:t>
      </w:r>
      <w:r w:rsidRPr="0053692C">
        <w:rPr>
          <w:sz w:val="20"/>
        </w:rPr>
        <w:t>f)</w:t>
      </w:r>
      <w:r w:rsidR="0053692C" w:rsidRPr="0053692C">
        <w:rPr>
          <w:sz w:val="20"/>
        </w:rPr>
        <w:t xml:space="preserve"> milfoil (</w:t>
      </w:r>
      <w:r w:rsidR="0053692C" w:rsidRPr="0053692C">
        <w:rPr>
          <w:i/>
          <w:sz w:val="20"/>
        </w:rPr>
        <w:t>Myriophyllum</w:t>
      </w:r>
      <w:r w:rsidR="0053692C" w:rsidRPr="0053692C">
        <w:rPr>
          <w:sz w:val="20"/>
        </w:rPr>
        <w:t xml:space="preserve"> spp.).</w:t>
      </w:r>
    </w:p>
    <w:p w14:paraId="3B4F8EDD" w14:textId="77777777" w:rsidR="008E6212" w:rsidRDefault="008E6212" w:rsidP="008E6212">
      <w:pPr>
        <w:spacing w:after="240" w:line="324" w:lineRule="exact"/>
        <w:jc w:val="left"/>
        <w:rPr>
          <w:i/>
        </w:rPr>
      </w:pPr>
      <w:r>
        <w:rPr>
          <w:i/>
        </w:rPr>
        <w:br w:type="page"/>
      </w:r>
      <w:r>
        <w:rPr>
          <w:i/>
        </w:rPr>
        <w:lastRenderedPageBreak/>
        <w:t>Patterns of riverbank inundation in 2015-16</w:t>
      </w:r>
    </w:p>
    <w:p w14:paraId="3B4F8EDE" w14:textId="77777777" w:rsidR="008E6212" w:rsidRPr="0078397B" w:rsidRDefault="008E6212" w:rsidP="008E6212">
      <w:pPr>
        <w:pStyle w:val="Para0"/>
        <w:spacing w:before="0" w:after="240" w:line="324" w:lineRule="exact"/>
        <w:rPr>
          <w:rFonts w:asciiTheme="minorHAnsi" w:hAnsiTheme="minorHAnsi"/>
          <w:sz w:val="22"/>
          <w:szCs w:val="22"/>
        </w:rPr>
      </w:pPr>
      <w:r w:rsidRPr="0078397B">
        <w:rPr>
          <w:rFonts w:asciiTheme="minorHAnsi" w:hAnsiTheme="minorHAnsi"/>
          <w:sz w:val="22"/>
          <w:szCs w:val="22"/>
        </w:rPr>
        <w:t xml:space="preserve">The duration and depth of inundation experienced by vegetation along the river bank between August 2015 and May 2016 was determined by their position along the elevation gradient using data </w:t>
      </w:r>
      <w:r>
        <w:rPr>
          <w:rFonts w:asciiTheme="minorHAnsi" w:hAnsiTheme="minorHAnsi"/>
          <w:sz w:val="22"/>
          <w:szCs w:val="22"/>
        </w:rPr>
        <w:t>from water depth measurements undertaken</w:t>
      </w:r>
      <w:r w:rsidRPr="0078397B">
        <w:rPr>
          <w:rFonts w:asciiTheme="minorHAnsi" w:hAnsiTheme="minorHAnsi"/>
          <w:sz w:val="22"/>
          <w:szCs w:val="22"/>
        </w:rPr>
        <w:t xml:space="preserve"> on each monitoring trip. In Yallakool Creek (zone 1) and Wakool River (zone 3) transects zero and one were almost continually underwater from August 2015 to May 2016, transects two and three experienced periods of wetting </w:t>
      </w:r>
      <w:r w:rsidR="00270B44">
        <w:rPr>
          <w:rFonts w:asciiTheme="minorHAnsi" w:hAnsiTheme="minorHAnsi"/>
          <w:sz w:val="22"/>
          <w:szCs w:val="22"/>
        </w:rPr>
        <w:t xml:space="preserve">and drying, and transects four and </w:t>
      </w:r>
      <w:r w:rsidRPr="0078397B">
        <w:rPr>
          <w:rFonts w:asciiTheme="minorHAnsi" w:hAnsiTheme="minorHAnsi"/>
          <w:sz w:val="22"/>
          <w:szCs w:val="22"/>
        </w:rPr>
        <w:t xml:space="preserve">five were dry (entirely </w:t>
      </w:r>
      <w:r>
        <w:rPr>
          <w:rFonts w:asciiTheme="minorHAnsi" w:hAnsiTheme="minorHAnsi"/>
          <w:sz w:val="22"/>
          <w:szCs w:val="22"/>
        </w:rPr>
        <w:t>out of</w:t>
      </w:r>
      <w:r w:rsidRPr="0078397B">
        <w:rPr>
          <w:rFonts w:asciiTheme="minorHAnsi" w:hAnsiTheme="minorHAnsi"/>
          <w:sz w:val="22"/>
          <w:szCs w:val="22"/>
        </w:rPr>
        <w:t xml:space="preserve"> water</w:t>
      </w:r>
      <w:r>
        <w:rPr>
          <w:rFonts w:asciiTheme="minorHAnsi" w:hAnsiTheme="minorHAnsi"/>
          <w:sz w:val="22"/>
          <w:szCs w:val="22"/>
        </w:rPr>
        <w:t xml:space="preserve"> for the whole period</w:t>
      </w:r>
      <w:r w:rsidRPr="0078397B">
        <w:rPr>
          <w:rFonts w:asciiTheme="minorHAnsi" w:hAnsiTheme="minorHAnsi"/>
          <w:sz w:val="22"/>
          <w:szCs w:val="22"/>
        </w:rPr>
        <w:t xml:space="preserve">) </w:t>
      </w:r>
      <w:r>
        <w:rPr>
          <w:rFonts w:asciiTheme="minorHAnsi" w:hAnsiTheme="minorHAnsi"/>
          <w:sz w:val="22"/>
          <w:szCs w:val="22"/>
        </w:rPr>
        <w:t>(Table C.1</w:t>
      </w:r>
      <w:r w:rsidRPr="0078397B">
        <w:rPr>
          <w:rFonts w:asciiTheme="minorHAnsi" w:hAnsiTheme="minorHAnsi"/>
          <w:sz w:val="22"/>
          <w:szCs w:val="22"/>
        </w:rPr>
        <w:t xml:space="preserve">). Wakool River zone 4 was similar to this, with transects zero and one continually underwater, transects two and three experiencing periods of wetting and drying (but transect three was </w:t>
      </w:r>
      <w:r w:rsidR="00270B44">
        <w:rPr>
          <w:rFonts w:asciiTheme="minorHAnsi" w:hAnsiTheme="minorHAnsi"/>
          <w:sz w:val="22"/>
          <w:szCs w:val="22"/>
        </w:rPr>
        <w:t>mostly dry), and transects four and</w:t>
      </w:r>
      <w:r w:rsidRPr="0078397B">
        <w:rPr>
          <w:rFonts w:asciiTheme="minorHAnsi" w:hAnsiTheme="minorHAnsi"/>
          <w:sz w:val="22"/>
          <w:szCs w:val="22"/>
        </w:rPr>
        <w:t xml:space="preserve"> five were dry (enti</w:t>
      </w:r>
      <w:r>
        <w:rPr>
          <w:rFonts w:asciiTheme="minorHAnsi" w:hAnsiTheme="minorHAnsi"/>
          <w:sz w:val="22"/>
          <w:szCs w:val="22"/>
        </w:rPr>
        <w:t xml:space="preserve">rely above the water) (Table C.1). In </w:t>
      </w:r>
      <w:r w:rsidR="00C225D3">
        <w:rPr>
          <w:rFonts w:asciiTheme="minorHAnsi" w:hAnsiTheme="minorHAnsi"/>
          <w:sz w:val="22"/>
          <w:szCs w:val="22"/>
        </w:rPr>
        <w:t xml:space="preserve">contrast, in </w:t>
      </w:r>
      <w:r>
        <w:rPr>
          <w:rFonts w:asciiTheme="minorHAnsi" w:hAnsiTheme="minorHAnsi"/>
          <w:sz w:val="22"/>
          <w:szCs w:val="22"/>
        </w:rPr>
        <w:t>t</w:t>
      </w:r>
      <w:r w:rsidRPr="0078397B">
        <w:rPr>
          <w:rFonts w:asciiTheme="minorHAnsi" w:hAnsiTheme="minorHAnsi"/>
          <w:sz w:val="22"/>
          <w:szCs w:val="22"/>
        </w:rPr>
        <w:t xml:space="preserve">he upper Wakool River </w:t>
      </w:r>
      <w:r>
        <w:rPr>
          <w:rFonts w:asciiTheme="minorHAnsi" w:hAnsiTheme="minorHAnsi"/>
          <w:sz w:val="22"/>
          <w:szCs w:val="22"/>
        </w:rPr>
        <w:t xml:space="preserve">zone 2, </w:t>
      </w:r>
      <w:r w:rsidR="00C225D3">
        <w:rPr>
          <w:rFonts w:asciiTheme="minorHAnsi" w:hAnsiTheme="minorHAnsi"/>
          <w:sz w:val="22"/>
          <w:szCs w:val="22"/>
        </w:rPr>
        <w:t xml:space="preserve">only </w:t>
      </w:r>
      <w:r>
        <w:rPr>
          <w:rFonts w:asciiTheme="minorHAnsi" w:hAnsiTheme="minorHAnsi"/>
          <w:sz w:val="22"/>
          <w:szCs w:val="22"/>
        </w:rPr>
        <w:t>transect</w:t>
      </w:r>
      <w:r w:rsidRPr="0078397B">
        <w:rPr>
          <w:rFonts w:asciiTheme="minorHAnsi" w:hAnsiTheme="minorHAnsi"/>
          <w:sz w:val="22"/>
          <w:szCs w:val="22"/>
        </w:rPr>
        <w:t xml:space="preserve"> zero was continually underwater, transect one experienced periods of wetting and drying, and transects two to </w:t>
      </w:r>
      <w:r w:rsidR="00C225D3">
        <w:rPr>
          <w:rFonts w:asciiTheme="minorHAnsi" w:hAnsiTheme="minorHAnsi"/>
          <w:sz w:val="22"/>
          <w:szCs w:val="22"/>
        </w:rPr>
        <w:t>five</w:t>
      </w:r>
      <w:r w:rsidRPr="0078397B">
        <w:rPr>
          <w:rFonts w:asciiTheme="minorHAnsi" w:hAnsiTheme="minorHAnsi"/>
          <w:sz w:val="22"/>
          <w:szCs w:val="22"/>
        </w:rPr>
        <w:t xml:space="preserve"> were dry (entirely </w:t>
      </w:r>
      <w:r>
        <w:rPr>
          <w:rFonts w:asciiTheme="minorHAnsi" w:hAnsiTheme="minorHAnsi"/>
          <w:sz w:val="22"/>
          <w:szCs w:val="22"/>
        </w:rPr>
        <w:t>out of</w:t>
      </w:r>
      <w:r w:rsidRPr="0078397B">
        <w:rPr>
          <w:rFonts w:asciiTheme="minorHAnsi" w:hAnsiTheme="minorHAnsi"/>
          <w:sz w:val="22"/>
          <w:szCs w:val="22"/>
        </w:rPr>
        <w:t xml:space="preserve"> water</w:t>
      </w:r>
      <w:r>
        <w:rPr>
          <w:rFonts w:asciiTheme="minorHAnsi" w:hAnsiTheme="minorHAnsi"/>
          <w:sz w:val="22"/>
          <w:szCs w:val="22"/>
        </w:rPr>
        <w:t xml:space="preserve"> for the whole period) (Table C</w:t>
      </w:r>
      <w:r w:rsidRPr="0078397B">
        <w:rPr>
          <w:rFonts w:asciiTheme="minorHAnsi" w:hAnsiTheme="minorHAnsi"/>
          <w:sz w:val="22"/>
          <w:szCs w:val="22"/>
        </w:rPr>
        <w:t>.</w:t>
      </w:r>
      <w:r>
        <w:rPr>
          <w:rFonts w:asciiTheme="minorHAnsi" w:hAnsiTheme="minorHAnsi"/>
          <w:sz w:val="22"/>
          <w:szCs w:val="22"/>
        </w:rPr>
        <w:t>1</w:t>
      </w:r>
      <w:r w:rsidRPr="0078397B">
        <w:rPr>
          <w:rFonts w:asciiTheme="minorHAnsi" w:hAnsiTheme="minorHAnsi"/>
          <w:sz w:val="22"/>
          <w:szCs w:val="22"/>
        </w:rPr>
        <w:t xml:space="preserve">). </w:t>
      </w:r>
    </w:p>
    <w:p w14:paraId="3B4F8EDF" w14:textId="77777777" w:rsidR="008E6212" w:rsidRDefault="008E6212" w:rsidP="008E6212">
      <w:pPr>
        <w:pStyle w:val="Para0"/>
        <w:spacing w:before="0" w:after="240" w:line="324" w:lineRule="exact"/>
        <w:rPr>
          <w:rFonts w:asciiTheme="minorHAnsi" w:hAnsiTheme="minorHAnsi"/>
          <w:sz w:val="22"/>
          <w:szCs w:val="22"/>
        </w:rPr>
      </w:pPr>
      <w:r w:rsidRPr="0078397B">
        <w:rPr>
          <w:rFonts w:asciiTheme="minorHAnsi" w:hAnsiTheme="minorHAnsi"/>
          <w:sz w:val="22"/>
          <w:szCs w:val="22"/>
        </w:rPr>
        <w:t xml:space="preserve">This pattern of inundation </w:t>
      </w:r>
      <w:r w:rsidR="00C225D3">
        <w:rPr>
          <w:rFonts w:asciiTheme="minorHAnsi" w:hAnsiTheme="minorHAnsi"/>
          <w:sz w:val="22"/>
          <w:szCs w:val="22"/>
        </w:rPr>
        <w:t>is evident in</w:t>
      </w:r>
      <w:r w:rsidRPr="0078397B">
        <w:rPr>
          <w:rFonts w:asciiTheme="minorHAnsi" w:hAnsiTheme="minorHAnsi"/>
          <w:sz w:val="22"/>
          <w:szCs w:val="22"/>
        </w:rPr>
        <w:t xml:space="preserve"> the hydrograph </w:t>
      </w:r>
      <w:r w:rsidR="00C225D3">
        <w:rPr>
          <w:rFonts w:asciiTheme="minorHAnsi" w:hAnsiTheme="minorHAnsi"/>
          <w:sz w:val="22"/>
          <w:szCs w:val="22"/>
        </w:rPr>
        <w:t>for Yallakool Creek (Figure C.3) when the depth of each transect is plotted on the hydrograph</w:t>
      </w:r>
      <w:r w:rsidRPr="0078397B">
        <w:rPr>
          <w:rFonts w:asciiTheme="minorHAnsi" w:hAnsiTheme="minorHAnsi"/>
          <w:sz w:val="22"/>
          <w:szCs w:val="22"/>
        </w:rPr>
        <w:t>. Transects in zones one, two and three were influenced by the environmental watering act</w:t>
      </w:r>
      <w:r w:rsidR="00C225D3">
        <w:rPr>
          <w:rFonts w:asciiTheme="minorHAnsi" w:hAnsiTheme="minorHAnsi"/>
          <w:sz w:val="22"/>
          <w:szCs w:val="22"/>
        </w:rPr>
        <w:t xml:space="preserve">ion in Yallakool Creek. </w:t>
      </w:r>
      <w:r w:rsidRPr="0078397B">
        <w:rPr>
          <w:rFonts w:asciiTheme="minorHAnsi" w:hAnsiTheme="minorHAnsi"/>
          <w:sz w:val="22"/>
          <w:szCs w:val="22"/>
        </w:rPr>
        <w:t>The small environmental watering action in the upper Wakool River had minimal effect on the extent of riverbank that was inundated.</w:t>
      </w:r>
    </w:p>
    <w:p w14:paraId="3B4F8EE0" w14:textId="77777777" w:rsidR="008E6212" w:rsidRPr="0078397B" w:rsidRDefault="008E6212" w:rsidP="008E6212">
      <w:pPr>
        <w:pStyle w:val="Para0"/>
        <w:spacing w:before="0" w:after="240" w:line="324" w:lineRule="exact"/>
        <w:rPr>
          <w:rFonts w:asciiTheme="minorHAnsi" w:hAnsiTheme="minorHAnsi"/>
          <w:sz w:val="22"/>
          <w:szCs w:val="22"/>
        </w:rPr>
      </w:pPr>
    </w:p>
    <w:p w14:paraId="3B4F8EE1" w14:textId="77777777" w:rsidR="008E6212" w:rsidRPr="0078397B" w:rsidRDefault="008E6212" w:rsidP="008E6212">
      <w:pPr>
        <w:pStyle w:val="Para0"/>
        <w:spacing w:before="0" w:after="0" w:line="240" w:lineRule="auto"/>
        <w:rPr>
          <w:rFonts w:asciiTheme="minorHAnsi" w:hAnsiTheme="minorHAnsi"/>
          <w:szCs w:val="20"/>
        </w:rPr>
      </w:pPr>
      <w:r>
        <w:rPr>
          <w:rFonts w:asciiTheme="minorHAnsi" w:hAnsiTheme="minorHAnsi"/>
          <w:b/>
          <w:szCs w:val="20"/>
        </w:rPr>
        <w:t>Table C.1</w:t>
      </w:r>
      <w:r w:rsidRPr="0078397B">
        <w:rPr>
          <w:rFonts w:asciiTheme="minorHAnsi" w:hAnsiTheme="minorHAnsi"/>
          <w:szCs w:val="20"/>
        </w:rPr>
        <w:t xml:space="preserve"> Summary of water regime experienced by vegetation transects in Yallakool Creek and the Wakool River between August 2015 and May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1311"/>
        <w:gridCol w:w="1468"/>
        <w:gridCol w:w="1438"/>
        <w:gridCol w:w="1357"/>
        <w:gridCol w:w="1395"/>
      </w:tblGrid>
      <w:tr w:rsidR="008E6212" w:rsidRPr="007906C1" w14:paraId="3B4F8EE8" w14:textId="77777777" w:rsidTr="00270B44">
        <w:tc>
          <w:tcPr>
            <w:tcW w:w="967" w:type="dxa"/>
            <w:tcBorders>
              <w:top w:val="single" w:sz="4" w:space="0" w:color="auto"/>
              <w:bottom w:val="single" w:sz="4" w:space="0" w:color="auto"/>
            </w:tcBorders>
            <w:shd w:val="clear" w:color="auto" w:fill="auto"/>
          </w:tcPr>
          <w:p w14:paraId="3B4F8EE2"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Transect number</w:t>
            </w:r>
          </w:p>
        </w:tc>
        <w:tc>
          <w:tcPr>
            <w:tcW w:w="1311" w:type="dxa"/>
            <w:tcBorders>
              <w:top w:val="single" w:sz="4" w:space="0" w:color="auto"/>
              <w:bottom w:val="single" w:sz="4" w:space="0" w:color="auto"/>
            </w:tcBorders>
            <w:shd w:val="clear" w:color="auto" w:fill="auto"/>
          </w:tcPr>
          <w:p w14:paraId="3B4F8EE3"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Height above transect zero</w:t>
            </w:r>
          </w:p>
        </w:tc>
        <w:tc>
          <w:tcPr>
            <w:tcW w:w="1468" w:type="dxa"/>
            <w:tcBorders>
              <w:top w:val="single" w:sz="4" w:space="0" w:color="auto"/>
              <w:bottom w:val="single" w:sz="4" w:space="0" w:color="auto"/>
            </w:tcBorders>
            <w:shd w:val="clear" w:color="auto" w:fill="auto"/>
          </w:tcPr>
          <w:p w14:paraId="3B4F8EE4"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Yallakool Creek zone 1</w:t>
            </w:r>
          </w:p>
        </w:tc>
        <w:tc>
          <w:tcPr>
            <w:tcW w:w="1438" w:type="dxa"/>
            <w:tcBorders>
              <w:top w:val="single" w:sz="4" w:space="0" w:color="auto"/>
              <w:bottom w:val="single" w:sz="4" w:space="0" w:color="auto"/>
            </w:tcBorders>
            <w:shd w:val="clear" w:color="auto" w:fill="auto"/>
          </w:tcPr>
          <w:p w14:paraId="3B4F8EE5"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Upper Wakool River zone 2</w:t>
            </w:r>
          </w:p>
        </w:tc>
        <w:tc>
          <w:tcPr>
            <w:tcW w:w="1357" w:type="dxa"/>
            <w:tcBorders>
              <w:top w:val="single" w:sz="4" w:space="0" w:color="auto"/>
              <w:bottom w:val="single" w:sz="4" w:space="0" w:color="auto"/>
            </w:tcBorders>
            <w:shd w:val="clear" w:color="auto" w:fill="auto"/>
          </w:tcPr>
          <w:p w14:paraId="3B4F8EE6"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Mid Wakool River zone 3</w:t>
            </w:r>
          </w:p>
        </w:tc>
        <w:tc>
          <w:tcPr>
            <w:tcW w:w="1395" w:type="dxa"/>
            <w:tcBorders>
              <w:top w:val="single" w:sz="4" w:space="0" w:color="auto"/>
              <w:bottom w:val="single" w:sz="4" w:space="0" w:color="auto"/>
            </w:tcBorders>
            <w:shd w:val="clear" w:color="auto" w:fill="auto"/>
          </w:tcPr>
          <w:p w14:paraId="3B4F8EE7"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Mid Wakool River zone 4</w:t>
            </w:r>
          </w:p>
        </w:tc>
      </w:tr>
      <w:tr w:rsidR="008E6212" w:rsidRPr="007906C1" w14:paraId="3B4F8EF0" w14:textId="77777777" w:rsidTr="00270B44">
        <w:tc>
          <w:tcPr>
            <w:tcW w:w="967" w:type="dxa"/>
            <w:tcBorders>
              <w:top w:val="single" w:sz="4" w:space="0" w:color="auto"/>
            </w:tcBorders>
          </w:tcPr>
          <w:p w14:paraId="3B4F8EE9"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0</w:t>
            </w:r>
          </w:p>
        </w:tc>
        <w:tc>
          <w:tcPr>
            <w:tcW w:w="1311" w:type="dxa"/>
            <w:tcBorders>
              <w:top w:val="single" w:sz="4" w:space="0" w:color="auto"/>
            </w:tcBorders>
          </w:tcPr>
          <w:p w14:paraId="3B4F8EEA"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0 m</w:t>
            </w:r>
          </w:p>
        </w:tc>
        <w:tc>
          <w:tcPr>
            <w:tcW w:w="1468" w:type="dxa"/>
            <w:tcBorders>
              <w:top w:val="single" w:sz="4" w:space="0" w:color="auto"/>
            </w:tcBorders>
            <w:shd w:val="clear" w:color="auto" w:fill="DBE5F1" w:themeFill="accent1" w:themeFillTint="33"/>
          </w:tcPr>
          <w:p w14:paraId="3B4F8EEB"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Inundated</w:t>
            </w:r>
          </w:p>
        </w:tc>
        <w:tc>
          <w:tcPr>
            <w:tcW w:w="1438" w:type="dxa"/>
            <w:tcBorders>
              <w:top w:val="single" w:sz="4" w:space="0" w:color="auto"/>
            </w:tcBorders>
            <w:shd w:val="clear" w:color="auto" w:fill="DBE5F1" w:themeFill="accent1" w:themeFillTint="33"/>
          </w:tcPr>
          <w:p w14:paraId="3B4F8EEC"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Inundated</w:t>
            </w:r>
          </w:p>
        </w:tc>
        <w:tc>
          <w:tcPr>
            <w:tcW w:w="1357" w:type="dxa"/>
            <w:tcBorders>
              <w:top w:val="single" w:sz="4" w:space="0" w:color="auto"/>
            </w:tcBorders>
            <w:shd w:val="clear" w:color="auto" w:fill="DBE5F1" w:themeFill="accent1" w:themeFillTint="33"/>
          </w:tcPr>
          <w:p w14:paraId="3B4F8EED"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Inundated</w:t>
            </w:r>
          </w:p>
        </w:tc>
        <w:tc>
          <w:tcPr>
            <w:tcW w:w="1395" w:type="dxa"/>
            <w:tcBorders>
              <w:top w:val="single" w:sz="4" w:space="0" w:color="auto"/>
            </w:tcBorders>
            <w:shd w:val="clear" w:color="auto" w:fill="DBE5F1" w:themeFill="accent1" w:themeFillTint="33"/>
          </w:tcPr>
          <w:p w14:paraId="3B4F8EEE"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Inundated</w:t>
            </w:r>
          </w:p>
          <w:p w14:paraId="3B4F8EEF" w14:textId="77777777" w:rsidR="008E6212" w:rsidRPr="007906C1" w:rsidRDefault="008E6212" w:rsidP="009C1A36">
            <w:pPr>
              <w:pStyle w:val="Para0"/>
              <w:spacing w:before="0" w:after="0" w:line="240" w:lineRule="auto"/>
              <w:rPr>
                <w:rFonts w:asciiTheme="minorHAnsi" w:hAnsiTheme="minorHAnsi"/>
                <w:szCs w:val="20"/>
              </w:rPr>
            </w:pPr>
          </w:p>
        </w:tc>
      </w:tr>
      <w:tr w:rsidR="008E6212" w:rsidRPr="007906C1" w14:paraId="3B4F8EF8" w14:textId="77777777" w:rsidTr="00270B44">
        <w:tc>
          <w:tcPr>
            <w:tcW w:w="967" w:type="dxa"/>
          </w:tcPr>
          <w:p w14:paraId="3B4F8EF1"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1</w:t>
            </w:r>
          </w:p>
        </w:tc>
        <w:tc>
          <w:tcPr>
            <w:tcW w:w="1311" w:type="dxa"/>
          </w:tcPr>
          <w:p w14:paraId="3B4F8EF2"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0.25 m</w:t>
            </w:r>
          </w:p>
        </w:tc>
        <w:tc>
          <w:tcPr>
            <w:tcW w:w="1468" w:type="dxa"/>
            <w:shd w:val="clear" w:color="auto" w:fill="DBE5F1" w:themeFill="accent1" w:themeFillTint="33"/>
          </w:tcPr>
          <w:p w14:paraId="3B4F8EF3" w14:textId="5E08C71E"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I</w:t>
            </w:r>
            <w:r w:rsidR="008E6212" w:rsidRPr="007906C1">
              <w:rPr>
                <w:rFonts w:asciiTheme="minorHAnsi" w:hAnsiTheme="minorHAnsi"/>
                <w:szCs w:val="20"/>
              </w:rPr>
              <w:t>nundated</w:t>
            </w:r>
          </w:p>
        </w:tc>
        <w:tc>
          <w:tcPr>
            <w:tcW w:w="1438" w:type="dxa"/>
            <w:shd w:val="clear" w:color="auto" w:fill="EAF1DD" w:themeFill="accent3" w:themeFillTint="33"/>
          </w:tcPr>
          <w:p w14:paraId="3B4F8EF4"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w:t>
            </w:r>
          </w:p>
          <w:p w14:paraId="3B4F8EF5" w14:textId="77777777" w:rsidR="008E6212" w:rsidRPr="007906C1" w:rsidRDefault="008E6212" w:rsidP="009C1A36">
            <w:pPr>
              <w:pStyle w:val="Para0"/>
              <w:spacing w:before="0" w:after="0" w:line="240" w:lineRule="auto"/>
              <w:rPr>
                <w:rFonts w:asciiTheme="minorHAnsi" w:hAnsiTheme="minorHAnsi"/>
                <w:szCs w:val="20"/>
              </w:rPr>
            </w:pPr>
          </w:p>
        </w:tc>
        <w:tc>
          <w:tcPr>
            <w:tcW w:w="1357" w:type="dxa"/>
            <w:shd w:val="clear" w:color="auto" w:fill="DBE5F1" w:themeFill="accent1" w:themeFillTint="33"/>
          </w:tcPr>
          <w:p w14:paraId="3B4F8EF6"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Inundated</w:t>
            </w:r>
          </w:p>
        </w:tc>
        <w:tc>
          <w:tcPr>
            <w:tcW w:w="1395" w:type="dxa"/>
            <w:shd w:val="clear" w:color="auto" w:fill="DBE5F1" w:themeFill="accent1" w:themeFillTint="33"/>
          </w:tcPr>
          <w:p w14:paraId="3B4F8EF7"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Inundated</w:t>
            </w:r>
          </w:p>
        </w:tc>
      </w:tr>
      <w:tr w:rsidR="008E6212" w:rsidRPr="007906C1" w14:paraId="3B4F8F00" w14:textId="77777777" w:rsidTr="00270B44">
        <w:tc>
          <w:tcPr>
            <w:tcW w:w="967" w:type="dxa"/>
          </w:tcPr>
          <w:p w14:paraId="3B4F8EF9"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2</w:t>
            </w:r>
          </w:p>
        </w:tc>
        <w:tc>
          <w:tcPr>
            <w:tcW w:w="1311" w:type="dxa"/>
          </w:tcPr>
          <w:p w14:paraId="3B4F8EFA"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0.50 m</w:t>
            </w:r>
          </w:p>
        </w:tc>
        <w:tc>
          <w:tcPr>
            <w:tcW w:w="1468" w:type="dxa"/>
            <w:shd w:val="clear" w:color="auto" w:fill="EAF1DD" w:themeFill="accent3" w:themeFillTint="33"/>
          </w:tcPr>
          <w:p w14:paraId="3B4F8EFB"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w:t>
            </w:r>
          </w:p>
        </w:tc>
        <w:tc>
          <w:tcPr>
            <w:tcW w:w="1438" w:type="dxa"/>
            <w:shd w:val="clear" w:color="auto" w:fill="FDE9D9" w:themeFill="accent6" w:themeFillTint="33"/>
          </w:tcPr>
          <w:p w14:paraId="3B4F8EFC" w14:textId="4F913616"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008E6212" w:rsidRPr="007906C1">
              <w:rPr>
                <w:rFonts w:asciiTheme="minorHAnsi" w:hAnsiTheme="minorHAnsi"/>
                <w:szCs w:val="20"/>
              </w:rPr>
              <w:t>ry</w:t>
            </w:r>
          </w:p>
        </w:tc>
        <w:tc>
          <w:tcPr>
            <w:tcW w:w="1357" w:type="dxa"/>
            <w:shd w:val="clear" w:color="auto" w:fill="EAF1DD" w:themeFill="accent3" w:themeFillTint="33"/>
          </w:tcPr>
          <w:p w14:paraId="3B4F8EFD"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w:t>
            </w:r>
          </w:p>
        </w:tc>
        <w:tc>
          <w:tcPr>
            <w:tcW w:w="1395" w:type="dxa"/>
            <w:shd w:val="clear" w:color="auto" w:fill="EAF1DD" w:themeFill="accent3" w:themeFillTint="33"/>
          </w:tcPr>
          <w:p w14:paraId="3B4F8EFE"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w:t>
            </w:r>
          </w:p>
          <w:p w14:paraId="3B4F8EFF" w14:textId="77777777" w:rsidR="008E6212" w:rsidRPr="007906C1" w:rsidRDefault="008E6212" w:rsidP="009C1A36">
            <w:pPr>
              <w:pStyle w:val="Para0"/>
              <w:spacing w:before="0" w:after="0" w:line="240" w:lineRule="auto"/>
              <w:rPr>
                <w:rFonts w:asciiTheme="minorHAnsi" w:hAnsiTheme="minorHAnsi"/>
                <w:szCs w:val="20"/>
              </w:rPr>
            </w:pPr>
          </w:p>
        </w:tc>
      </w:tr>
      <w:tr w:rsidR="008E6212" w:rsidRPr="007906C1" w14:paraId="3B4F8F08" w14:textId="77777777" w:rsidTr="00270B44">
        <w:tc>
          <w:tcPr>
            <w:tcW w:w="967" w:type="dxa"/>
          </w:tcPr>
          <w:p w14:paraId="3B4F8F01"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3</w:t>
            </w:r>
          </w:p>
        </w:tc>
        <w:tc>
          <w:tcPr>
            <w:tcW w:w="1311" w:type="dxa"/>
          </w:tcPr>
          <w:p w14:paraId="3B4F8F02"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0.75 m</w:t>
            </w:r>
          </w:p>
        </w:tc>
        <w:tc>
          <w:tcPr>
            <w:tcW w:w="1468" w:type="dxa"/>
            <w:shd w:val="clear" w:color="auto" w:fill="EAF1DD" w:themeFill="accent3" w:themeFillTint="33"/>
          </w:tcPr>
          <w:p w14:paraId="3B4F8F03"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w:t>
            </w:r>
          </w:p>
        </w:tc>
        <w:tc>
          <w:tcPr>
            <w:tcW w:w="1438" w:type="dxa"/>
            <w:shd w:val="clear" w:color="auto" w:fill="FDE9D9" w:themeFill="accent6" w:themeFillTint="33"/>
          </w:tcPr>
          <w:p w14:paraId="3B4F8F04" w14:textId="4DB450B0"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008E6212" w:rsidRPr="007906C1">
              <w:rPr>
                <w:rFonts w:asciiTheme="minorHAnsi" w:hAnsiTheme="minorHAnsi"/>
                <w:szCs w:val="20"/>
              </w:rPr>
              <w:t>ry</w:t>
            </w:r>
          </w:p>
        </w:tc>
        <w:tc>
          <w:tcPr>
            <w:tcW w:w="1357" w:type="dxa"/>
            <w:shd w:val="clear" w:color="auto" w:fill="EAF1DD" w:themeFill="accent3" w:themeFillTint="33"/>
          </w:tcPr>
          <w:p w14:paraId="3B4F8F05"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w:t>
            </w:r>
          </w:p>
        </w:tc>
        <w:tc>
          <w:tcPr>
            <w:tcW w:w="1395" w:type="dxa"/>
            <w:shd w:val="clear" w:color="auto" w:fill="EAF1DD" w:themeFill="accent3" w:themeFillTint="33"/>
          </w:tcPr>
          <w:p w14:paraId="3B4F8F06"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Periods of wetting and drying, but mostly dry</w:t>
            </w:r>
          </w:p>
          <w:p w14:paraId="3B4F8F07" w14:textId="77777777" w:rsidR="008E6212" w:rsidRPr="007906C1" w:rsidRDefault="008E6212" w:rsidP="009C1A36">
            <w:pPr>
              <w:pStyle w:val="Para0"/>
              <w:spacing w:before="0" w:after="0" w:line="240" w:lineRule="auto"/>
              <w:rPr>
                <w:rFonts w:asciiTheme="minorHAnsi" w:hAnsiTheme="minorHAnsi"/>
                <w:szCs w:val="20"/>
              </w:rPr>
            </w:pPr>
          </w:p>
        </w:tc>
      </w:tr>
      <w:tr w:rsidR="008E6212" w:rsidRPr="007906C1" w14:paraId="3B4F8F10" w14:textId="77777777" w:rsidTr="00270B44">
        <w:tc>
          <w:tcPr>
            <w:tcW w:w="967" w:type="dxa"/>
          </w:tcPr>
          <w:p w14:paraId="3B4F8F09"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4</w:t>
            </w:r>
          </w:p>
        </w:tc>
        <w:tc>
          <w:tcPr>
            <w:tcW w:w="1311" w:type="dxa"/>
          </w:tcPr>
          <w:p w14:paraId="3B4F8F0A"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1.00 m</w:t>
            </w:r>
          </w:p>
        </w:tc>
        <w:tc>
          <w:tcPr>
            <w:tcW w:w="1468" w:type="dxa"/>
            <w:shd w:val="clear" w:color="auto" w:fill="FDE9D9" w:themeFill="accent6" w:themeFillTint="33"/>
          </w:tcPr>
          <w:p w14:paraId="3B4F8F0B" w14:textId="3FD80542"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Pr="007906C1">
              <w:rPr>
                <w:rFonts w:asciiTheme="minorHAnsi" w:hAnsiTheme="minorHAnsi"/>
                <w:szCs w:val="20"/>
              </w:rPr>
              <w:t>ry</w:t>
            </w:r>
          </w:p>
        </w:tc>
        <w:tc>
          <w:tcPr>
            <w:tcW w:w="1438" w:type="dxa"/>
            <w:shd w:val="clear" w:color="auto" w:fill="FDE9D9" w:themeFill="accent6" w:themeFillTint="33"/>
          </w:tcPr>
          <w:p w14:paraId="3B4F8F0C" w14:textId="3C4E78C4"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Pr="007906C1">
              <w:rPr>
                <w:rFonts w:asciiTheme="minorHAnsi" w:hAnsiTheme="minorHAnsi"/>
                <w:szCs w:val="20"/>
              </w:rPr>
              <w:t>ry</w:t>
            </w:r>
          </w:p>
        </w:tc>
        <w:tc>
          <w:tcPr>
            <w:tcW w:w="1357" w:type="dxa"/>
            <w:shd w:val="clear" w:color="auto" w:fill="FDE9D9" w:themeFill="accent6" w:themeFillTint="33"/>
          </w:tcPr>
          <w:p w14:paraId="3B4F8F0D" w14:textId="53F32C79"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Pr="007906C1">
              <w:rPr>
                <w:rFonts w:asciiTheme="minorHAnsi" w:hAnsiTheme="minorHAnsi"/>
                <w:szCs w:val="20"/>
              </w:rPr>
              <w:t>ry</w:t>
            </w:r>
          </w:p>
        </w:tc>
        <w:tc>
          <w:tcPr>
            <w:tcW w:w="1395" w:type="dxa"/>
            <w:shd w:val="clear" w:color="auto" w:fill="FDE9D9" w:themeFill="accent6" w:themeFillTint="33"/>
          </w:tcPr>
          <w:p w14:paraId="3B4F8F0E"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Dry</w:t>
            </w:r>
          </w:p>
          <w:p w14:paraId="3B4F8F0F" w14:textId="77777777" w:rsidR="008E6212" w:rsidRPr="007906C1" w:rsidRDefault="008E6212" w:rsidP="009C1A36">
            <w:pPr>
              <w:pStyle w:val="Para0"/>
              <w:spacing w:before="0" w:after="0" w:line="240" w:lineRule="auto"/>
              <w:rPr>
                <w:rFonts w:asciiTheme="minorHAnsi" w:hAnsiTheme="minorHAnsi"/>
                <w:szCs w:val="20"/>
              </w:rPr>
            </w:pPr>
          </w:p>
        </w:tc>
      </w:tr>
      <w:tr w:rsidR="008E6212" w:rsidRPr="007906C1" w14:paraId="3B4F8F18" w14:textId="77777777" w:rsidTr="00270B44">
        <w:tc>
          <w:tcPr>
            <w:tcW w:w="967" w:type="dxa"/>
            <w:tcBorders>
              <w:bottom w:val="single" w:sz="4" w:space="0" w:color="auto"/>
            </w:tcBorders>
          </w:tcPr>
          <w:p w14:paraId="3B4F8F11"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5</w:t>
            </w:r>
          </w:p>
        </w:tc>
        <w:tc>
          <w:tcPr>
            <w:tcW w:w="1311" w:type="dxa"/>
            <w:tcBorders>
              <w:bottom w:val="single" w:sz="4" w:space="0" w:color="auto"/>
            </w:tcBorders>
          </w:tcPr>
          <w:p w14:paraId="3B4F8F12"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1.25 m</w:t>
            </w:r>
          </w:p>
        </w:tc>
        <w:tc>
          <w:tcPr>
            <w:tcW w:w="1468" w:type="dxa"/>
            <w:tcBorders>
              <w:bottom w:val="single" w:sz="4" w:space="0" w:color="auto"/>
            </w:tcBorders>
            <w:shd w:val="clear" w:color="auto" w:fill="FDE9D9" w:themeFill="accent6" w:themeFillTint="33"/>
          </w:tcPr>
          <w:p w14:paraId="3B4F8F13" w14:textId="296ADDDE"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Pr="007906C1">
              <w:rPr>
                <w:rFonts w:asciiTheme="minorHAnsi" w:hAnsiTheme="minorHAnsi"/>
                <w:szCs w:val="20"/>
              </w:rPr>
              <w:t>ry</w:t>
            </w:r>
          </w:p>
        </w:tc>
        <w:tc>
          <w:tcPr>
            <w:tcW w:w="1438" w:type="dxa"/>
            <w:tcBorders>
              <w:bottom w:val="single" w:sz="4" w:space="0" w:color="auto"/>
            </w:tcBorders>
            <w:shd w:val="clear" w:color="auto" w:fill="FDE9D9" w:themeFill="accent6" w:themeFillTint="33"/>
          </w:tcPr>
          <w:p w14:paraId="3B4F8F14" w14:textId="0AEA9FE3"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Pr="007906C1">
              <w:rPr>
                <w:rFonts w:asciiTheme="minorHAnsi" w:hAnsiTheme="minorHAnsi"/>
                <w:szCs w:val="20"/>
              </w:rPr>
              <w:t>ry</w:t>
            </w:r>
          </w:p>
        </w:tc>
        <w:tc>
          <w:tcPr>
            <w:tcW w:w="1357" w:type="dxa"/>
            <w:tcBorders>
              <w:bottom w:val="single" w:sz="4" w:space="0" w:color="auto"/>
            </w:tcBorders>
            <w:shd w:val="clear" w:color="auto" w:fill="FDE9D9" w:themeFill="accent6" w:themeFillTint="33"/>
          </w:tcPr>
          <w:p w14:paraId="3B4F8F15" w14:textId="5603A8AA" w:rsidR="008E6212" w:rsidRPr="007906C1" w:rsidRDefault="00051813" w:rsidP="009C1A36">
            <w:pPr>
              <w:pStyle w:val="Para0"/>
              <w:spacing w:before="0" w:after="0" w:line="240" w:lineRule="auto"/>
              <w:rPr>
                <w:rFonts w:asciiTheme="minorHAnsi" w:hAnsiTheme="minorHAnsi"/>
                <w:szCs w:val="20"/>
              </w:rPr>
            </w:pPr>
            <w:r>
              <w:rPr>
                <w:rFonts w:asciiTheme="minorHAnsi" w:hAnsiTheme="minorHAnsi"/>
                <w:szCs w:val="20"/>
              </w:rPr>
              <w:t>D</w:t>
            </w:r>
            <w:r w:rsidRPr="007906C1">
              <w:rPr>
                <w:rFonts w:asciiTheme="minorHAnsi" w:hAnsiTheme="minorHAnsi"/>
                <w:szCs w:val="20"/>
              </w:rPr>
              <w:t>ry</w:t>
            </w:r>
          </w:p>
        </w:tc>
        <w:tc>
          <w:tcPr>
            <w:tcW w:w="1395" w:type="dxa"/>
            <w:tcBorders>
              <w:bottom w:val="single" w:sz="4" w:space="0" w:color="auto"/>
            </w:tcBorders>
            <w:shd w:val="clear" w:color="auto" w:fill="FDE9D9" w:themeFill="accent6" w:themeFillTint="33"/>
          </w:tcPr>
          <w:p w14:paraId="3B4F8F16" w14:textId="77777777" w:rsidR="008E6212" w:rsidRPr="007906C1" w:rsidRDefault="008E6212" w:rsidP="009C1A36">
            <w:pPr>
              <w:pStyle w:val="Para0"/>
              <w:spacing w:before="0" w:after="0" w:line="240" w:lineRule="auto"/>
              <w:rPr>
                <w:rFonts w:asciiTheme="minorHAnsi" w:hAnsiTheme="minorHAnsi"/>
                <w:szCs w:val="20"/>
              </w:rPr>
            </w:pPr>
            <w:r w:rsidRPr="007906C1">
              <w:rPr>
                <w:rFonts w:asciiTheme="minorHAnsi" w:hAnsiTheme="minorHAnsi"/>
                <w:szCs w:val="20"/>
              </w:rPr>
              <w:t>Dry</w:t>
            </w:r>
          </w:p>
          <w:p w14:paraId="3B4F8F17" w14:textId="77777777" w:rsidR="008E6212" w:rsidRPr="007906C1" w:rsidRDefault="008E6212" w:rsidP="009C1A36">
            <w:pPr>
              <w:pStyle w:val="Para0"/>
              <w:spacing w:before="0" w:after="0" w:line="240" w:lineRule="auto"/>
              <w:rPr>
                <w:rFonts w:asciiTheme="minorHAnsi" w:hAnsiTheme="minorHAnsi"/>
                <w:szCs w:val="20"/>
              </w:rPr>
            </w:pPr>
          </w:p>
        </w:tc>
      </w:tr>
    </w:tbl>
    <w:p w14:paraId="3B4F8F19" w14:textId="77777777" w:rsidR="008E6212" w:rsidRDefault="008E6212" w:rsidP="008E6212">
      <w:pPr>
        <w:spacing w:after="240"/>
        <w:jc w:val="left"/>
      </w:pPr>
    </w:p>
    <w:p w14:paraId="3B4F8F1A" w14:textId="77777777" w:rsidR="008E6212" w:rsidRDefault="008E6212" w:rsidP="008E6212">
      <w:pPr>
        <w:spacing w:after="120" w:line="240" w:lineRule="auto"/>
        <w:jc w:val="left"/>
      </w:pPr>
      <w:r>
        <w:rPr>
          <w:noProof/>
          <w:lang w:eastAsia="en-AU"/>
        </w:rPr>
        <w:lastRenderedPageBreak/>
        <w:drawing>
          <wp:inline distT="0" distB="0" distL="0" distR="0" wp14:anchorId="3B4F9650" wp14:editId="623B608C">
            <wp:extent cx="4803775" cy="227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t="17321"/>
                    <a:stretch/>
                  </pic:blipFill>
                  <pic:spPr bwMode="auto">
                    <a:xfrm>
                      <a:off x="0" y="0"/>
                      <a:ext cx="4803775" cy="2273300"/>
                    </a:xfrm>
                    <a:prstGeom prst="rect">
                      <a:avLst/>
                    </a:prstGeom>
                    <a:noFill/>
                    <a:ln>
                      <a:noFill/>
                    </a:ln>
                    <a:extLst>
                      <a:ext uri="{53640926-AAD7-44D8-BBD7-CCE9431645EC}">
                        <a14:shadowObscured xmlns:a14="http://schemas.microsoft.com/office/drawing/2010/main"/>
                      </a:ext>
                    </a:extLst>
                  </pic:spPr>
                </pic:pic>
              </a:graphicData>
            </a:graphic>
          </wp:inline>
        </w:drawing>
      </w:r>
    </w:p>
    <w:p w14:paraId="3B4F8F1B" w14:textId="77777777" w:rsidR="008E6212" w:rsidRPr="00D70F4E" w:rsidRDefault="00270B44" w:rsidP="008E6212">
      <w:pPr>
        <w:spacing w:line="240" w:lineRule="auto"/>
        <w:rPr>
          <w:i/>
          <w:sz w:val="20"/>
        </w:rPr>
      </w:pPr>
      <w:r>
        <w:rPr>
          <w:b/>
          <w:sz w:val="20"/>
        </w:rPr>
        <w:t>Figure C.3</w:t>
      </w:r>
      <w:r w:rsidR="008E6212" w:rsidRPr="00D70F4E">
        <w:rPr>
          <w:b/>
          <w:sz w:val="20"/>
        </w:rPr>
        <w:t>.</w:t>
      </w:r>
      <w:r w:rsidR="008E6212" w:rsidRPr="00D70F4E">
        <w:rPr>
          <w:sz w:val="20"/>
        </w:rPr>
        <w:t xml:space="preserve"> Hydrograph for Yallakool Creek showing water depth from August 2015 to May 2016 and the depth at which the vegetation monitoring transects become inundated. </w:t>
      </w:r>
    </w:p>
    <w:p w14:paraId="3B4F8F1C" w14:textId="77777777" w:rsidR="008E6212" w:rsidRDefault="008E6212" w:rsidP="008E6212">
      <w:pPr>
        <w:spacing w:after="240" w:line="324" w:lineRule="exact"/>
        <w:jc w:val="left"/>
        <w:rPr>
          <w:i/>
        </w:rPr>
      </w:pPr>
      <w:r>
        <w:rPr>
          <w:i/>
        </w:rPr>
        <w:t>Comparison of vegetation among hydrological zones in 2015-16</w:t>
      </w:r>
    </w:p>
    <w:p w14:paraId="3B4F8F1D" w14:textId="77777777" w:rsidR="008E6212" w:rsidRDefault="008E6212" w:rsidP="008E6212">
      <w:pPr>
        <w:spacing w:after="240" w:line="324" w:lineRule="exact"/>
        <w:jc w:val="left"/>
      </w:pPr>
      <w:r w:rsidRPr="008C62FB">
        <w:rPr>
          <w:szCs w:val="22"/>
        </w:rPr>
        <w:t xml:space="preserve">There were more taxa recorded in Yallakool Creek </w:t>
      </w:r>
      <w:r>
        <w:rPr>
          <w:szCs w:val="22"/>
        </w:rPr>
        <w:t>zone 1 (36</w:t>
      </w:r>
      <w:r w:rsidRPr="008C62FB">
        <w:rPr>
          <w:szCs w:val="22"/>
        </w:rPr>
        <w:t xml:space="preserve"> taxa) an</w:t>
      </w:r>
      <w:r>
        <w:rPr>
          <w:szCs w:val="22"/>
        </w:rPr>
        <w:t>d Wakool River zones 3 (30 taxa) and zone 4 (28</w:t>
      </w:r>
      <w:r w:rsidRPr="008C62FB">
        <w:rPr>
          <w:szCs w:val="22"/>
        </w:rPr>
        <w:t xml:space="preserve"> taxa) </w:t>
      </w:r>
      <w:r>
        <w:rPr>
          <w:szCs w:val="22"/>
        </w:rPr>
        <w:t xml:space="preserve">that received higher magnitude environmental watering action </w:t>
      </w:r>
      <w:r w:rsidRPr="008C62FB">
        <w:rPr>
          <w:szCs w:val="22"/>
        </w:rPr>
        <w:t>than in the upper Wako</w:t>
      </w:r>
      <w:r>
        <w:rPr>
          <w:szCs w:val="22"/>
        </w:rPr>
        <w:t>ol River zone 2 (22</w:t>
      </w:r>
      <w:r w:rsidRPr="008C62FB">
        <w:rPr>
          <w:szCs w:val="22"/>
        </w:rPr>
        <w:t xml:space="preserve"> taxa)</w:t>
      </w:r>
      <w:r>
        <w:rPr>
          <w:szCs w:val="22"/>
        </w:rPr>
        <w:t xml:space="preserve"> that </w:t>
      </w:r>
      <w:r w:rsidRPr="00395FA3">
        <w:t xml:space="preserve">received a small magnitude </w:t>
      </w:r>
      <w:r>
        <w:t>environmental watering action</w:t>
      </w:r>
      <w:r w:rsidRPr="008C62FB">
        <w:rPr>
          <w:szCs w:val="22"/>
        </w:rPr>
        <w:t xml:space="preserve">. </w:t>
      </w:r>
    </w:p>
    <w:p w14:paraId="3B4F8F1E" w14:textId="77777777" w:rsidR="008E6212" w:rsidRPr="0005574D" w:rsidRDefault="008E6212" w:rsidP="008E6212">
      <w:pPr>
        <w:spacing w:after="240" w:line="324" w:lineRule="exact"/>
        <w:jc w:val="left"/>
      </w:pPr>
      <w:r w:rsidRPr="0005574D">
        <w:t>Changes in the cover of several ta</w:t>
      </w:r>
      <w:r>
        <w:t>xa were observed over the year:</w:t>
      </w:r>
    </w:p>
    <w:p w14:paraId="3B4F8F1F" w14:textId="77777777" w:rsidR="008E6212" w:rsidRPr="0005574D" w:rsidRDefault="008E6212" w:rsidP="00764D83">
      <w:pPr>
        <w:pStyle w:val="ListParagraph"/>
        <w:numPr>
          <w:ilvl w:val="0"/>
          <w:numId w:val="14"/>
        </w:numPr>
        <w:spacing w:after="240" w:line="324" w:lineRule="exact"/>
        <w:jc w:val="left"/>
      </w:pPr>
      <w:r w:rsidRPr="0005574D">
        <w:rPr>
          <w:i/>
        </w:rPr>
        <w:t>Chara</w:t>
      </w:r>
      <w:r w:rsidRPr="0005574D">
        <w:t xml:space="preserve"> spp. </w:t>
      </w:r>
      <w:r>
        <w:t xml:space="preserve">(submerged taxa) </w:t>
      </w:r>
      <w:r w:rsidRPr="0005574D">
        <w:t xml:space="preserve">grew </w:t>
      </w:r>
      <w:r>
        <w:t xml:space="preserve">on the sediment </w:t>
      </w:r>
      <w:r w:rsidRPr="0005574D">
        <w:t xml:space="preserve">in the shallow edges </w:t>
      </w:r>
      <w:r>
        <w:t xml:space="preserve">(0 to 40cm) </w:t>
      </w:r>
      <w:r w:rsidRPr="0005574D">
        <w:t xml:space="preserve">of zones 1, 3 and 4 </w:t>
      </w:r>
      <w:r w:rsidR="00270B44">
        <w:t>(Figure C.4</w:t>
      </w:r>
      <w:r w:rsidRPr="0005574D">
        <w:t xml:space="preserve">), first appearing in </w:t>
      </w:r>
      <w:r>
        <w:t xml:space="preserve">the shallow edge of </w:t>
      </w:r>
      <w:r w:rsidRPr="0005574D">
        <w:t xml:space="preserve">transect 3 </w:t>
      </w:r>
      <w:r>
        <w:t xml:space="preserve">during the environmental watering action </w:t>
      </w:r>
      <w:r w:rsidRPr="0005574D">
        <w:t>an</w:t>
      </w:r>
      <w:r>
        <w:t>d then retreating to transects two and then transect one</w:t>
      </w:r>
      <w:r w:rsidRPr="0005574D">
        <w:t xml:space="preserve"> on the recession of the environmental watering action. </w:t>
      </w:r>
      <w:r w:rsidRPr="0005574D">
        <w:rPr>
          <w:i/>
        </w:rPr>
        <w:t>Chara</w:t>
      </w:r>
      <w:r w:rsidRPr="0005574D">
        <w:t xml:space="preserve"> spp. was desiccated following the recession in January 2016 and was essentially absent by March 2016. This was a very similar response to that observed in 2014-15.</w:t>
      </w:r>
    </w:p>
    <w:p w14:paraId="3B4F8F20" w14:textId="77777777" w:rsidR="008E6212" w:rsidRPr="0005574D" w:rsidRDefault="008E6212" w:rsidP="00764D83">
      <w:pPr>
        <w:pStyle w:val="ListParagraph"/>
        <w:numPr>
          <w:ilvl w:val="0"/>
          <w:numId w:val="14"/>
        </w:numPr>
        <w:spacing w:after="240" w:line="324" w:lineRule="exact"/>
        <w:jc w:val="left"/>
      </w:pPr>
      <w:r w:rsidRPr="00D94F11">
        <w:t>Floating pondweed</w:t>
      </w:r>
      <w:r w:rsidRPr="0005574D">
        <w:rPr>
          <w:i/>
        </w:rPr>
        <w:t xml:space="preserve"> </w:t>
      </w:r>
      <w:r w:rsidRPr="0046064A">
        <w:t>(a</w:t>
      </w:r>
      <w:r>
        <w:t>n amphibious</w:t>
      </w:r>
      <w:r w:rsidRPr="0046064A">
        <w:t xml:space="preserve"> fluctuation responder species) </w:t>
      </w:r>
      <w:r>
        <w:t>occurred</w:t>
      </w:r>
      <w:r w:rsidRPr="0005574D">
        <w:t xml:space="preserve"> </w:t>
      </w:r>
      <w:r>
        <w:t xml:space="preserve">mainly </w:t>
      </w:r>
      <w:r w:rsidRPr="0005574D">
        <w:t xml:space="preserve">in zones 3 and 4 in transects </w:t>
      </w:r>
      <w:r>
        <w:t xml:space="preserve">zero and one </w:t>
      </w:r>
      <w:r w:rsidRPr="0005574D">
        <w:t xml:space="preserve">that were </w:t>
      </w:r>
      <w:r>
        <w:t>inundated</w:t>
      </w:r>
      <w:r w:rsidRPr="0005574D">
        <w:t xml:space="preserve"> </w:t>
      </w:r>
      <w:r>
        <w:t>from August to May</w:t>
      </w:r>
      <w:r w:rsidRPr="00597C39">
        <w:t xml:space="preserve"> </w:t>
      </w:r>
      <w:r>
        <w:t>(Table C.1). Floating pond weed was recorded across a range of depth</w:t>
      </w:r>
      <w:r w:rsidR="00270B44">
        <w:t>s (0 to 100 cm deep) (Figure C.5</w:t>
      </w:r>
      <w:r>
        <w:t>) and at times comprised up to 70% of the cover in transect ze</w:t>
      </w:r>
      <w:r w:rsidR="00270B44">
        <w:t>ro and one in zone 3 (Figure C.4</w:t>
      </w:r>
      <w:r>
        <w:t xml:space="preserve">), but also was recorded </w:t>
      </w:r>
      <w:r w:rsidRPr="0005574D">
        <w:t xml:space="preserve">in transect </w:t>
      </w:r>
      <w:r>
        <w:t>2</w:t>
      </w:r>
      <w:r w:rsidRPr="0005574D">
        <w:t xml:space="preserve"> </w:t>
      </w:r>
      <w:r>
        <w:t xml:space="preserve">in zone 3 </w:t>
      </w:r>
      <w:r w:rsidRPr="0005574D">
        <w:t xml:space="preserve">that </w:t>
      </w:r>
      <w:r>
        <w:t>had</w:t>
      </w:r>
      <w:r w:rsidRPr="0005574D">
        <w:t xml:space="preserve"> periods of wetting and drying</w:t>
      </w:r>
      <w:r>
        <w:t xml:space="preserve"> (Table C.1)</w:t>
      </w:r>
      <w:r w:rsidRPr="0005574D">
        <w:rPr>
          <w:i/>
        </w:rPr>
        <w:t xml:space="preserve">. </w:t>
      </w:r>
    </w:p>
    <w:p w14:paraId="3B4F8F21" w14:textId="77777777" w:rsidR="008E6212" w:rsidRPr="009D6607" w:rsidRDefault="008E6212" w:rsidP="00764D83">
      <w:pPr>
        <w:pStyle w:val="ListParagraph"/>
        <w:numPr>
          <w:ilvl w:val="0"/>
          <w:numId w:val="14"/>
        </w:numPr>
        <w:spacing w:after="240" w:line="324" w:lineRule="exact"/>
        <w:jc w:val="left"/>
        <w:rPr>
          <w:i/>
        </w:rPr>
      </w:pPr>
      <w:r>
        <w:t>Milfoil was abundant in zones 3 and 4 and was also present in zone 1, tending to increase in cover in summer after the end of the environmental watering. The count of mifoil was highest at approximately 25cm deep water, but it occurred across a wide range of depth</w:t>
      </w:r>
      <w:r w:rsidR="00270B44">
        <w:t>s (0 to 100 cm deep) (Figure C.5</w:t>
      </w:r>
      <w:r>
        <w:t>).</w:t>
      </w:r>
    </w:p>
    <w:p w14:paraId="3B4F8F22" w14:textId="77777777" w:rsidR="008E6212" w:rsidRDefault="008E6212" w:rsidP="00764D83">
      <w:pPr>
        <w:pStyle w:val="ListParagraph"/>
        <w:numPr>
          <w:ilvl w:val="0"/>
          <w:numId w:val="14"/>
        </w:numPr>
        <w:spacing w:after="240" w:line="324" w:lineRule="exact"/>
        <w:jc w:val="left"/>
      </w:pPr>
      <w:r>
        <w:lastRenderedPageBreak/>
        <w:t>Water fern wa</w:t>
      </w:r>
      <w:r w:rsidR="009122CE">
        <w:t>s abundant in zone 3</w:t>
      </w:r>
      <w:r w:rsidR="00270B44">
        <w:t xml:space="preserve"> (Figure C.4</w:t>
      </w:r>
      <w:r>
        <w:t xml:space="preserve">) and was present in zone </w:t>
      </w:r>
      <w:r w:rsidR="009122CE">
        <w:t>4.</w:t>
      </w:r>
      <w:r>
        <w:t xml:space="preserve"> The cover of this taxa increased in summer after the end of the environmental watering and dying back in the cooler months. This pattern of distribution is consistent with the ecology of this taxa. It floats at the surface of the water and has a preference for slower flowing or still water.</w:t>
      </w:r>
    </w:p>
    <w:p w14:paraId="3B4F8F23" w14:textId="77777777" w:rsidR="008E6212" w:rsidRPr="00343DE8" w:rsidRDefault="008E6212" w:rsidP="00764D83">
      <w:pPr>
        <w:pStyle w:val="ListParagraph"/>
        <w:numPr>
          <w:ilvl w:val="0"/>
          <w:numId w:val="14"/>
        </w:numPr>
        <w:spacing w:after="240" w:line="324" w:lineRule="exact"/>
        <w:jc w:val="left"/>
        <w:rPr>
          <w:i/>
        </w:rPr>
      </w:pPr>
      <w:r>
        <w:t xml:space="preserve">The longer lived rush </w:t>
      </w:r>
      <w:r w:rsidRPr="00500384">
        <w:rPr>
          <w:i/>
        </w:rPr>
        <w:t xml:space="preserve">Juncus </w:t>
      </w:r>
      <w:r>
        <w:t>spp.</w:t>
      </w:r>
      <w:r w:rsidRPr="00500384">
        <w:t xml:space="preserve"> were recorded in all zones and also across all transects</w:t>
      </w:r>
      <w:r>
        <w:t>, with the highest cover recorded in transect four that has not received environmental water in the past three years and in transect three zone three that experience</w:t>
      </w:r>
      <w:r w:rsidR="00270B44">
        <w:t>d wetting and drying (Figure C.4</w:t>
      </w:r>
      <w:r>
        <w:t xml:space="preserve">). </w:t>
      </w:r>
      <w:r w:rsidRPr="00343DE8">
        <w:rPr>
          <w:i/>
        </w:rPr>
        <w:t>Juncus</w:t>
      </w:r>
      <w:r>
        <w:t xml:space="preserve"> plants in transects</w:t>
      </w:r>
      <w:r w:rsidRPr="00500384">
        <w:t xml:space="preserve"> </w:t>
      </w:r>
      <w:r>
        <w:t xml:space="preserve">three, four and five </w:t>
      </w:r>
      <w:r w:rsidRPr="00500384">
        <w:t>were all large plants</w:t>
      </w:r>
      <w:r>
        <w:t xml:space="preserve"> of similar height, often occurring </w:t>
      </w:r>
      <w:r w:rsidRPr="00500384">
        <w:t>in one or two narrow bands at a height of</w:t>
      </w:r>
      <w:r>
        <w:t xml:space="preserve"> the riverbank that possibly corresponds</w:t>
      </w:r>
      <w:r w:rsidRPr="00500384">
        <w:t xml:space="preserve"> with the height of a previous unregulated </w:t>
      </w:r>
      <w:r>
        <w:t xml:space="preserve">flow </w:t>
      </w:r>
      <w:r w:rsidRPr="00500384">
        <w:t>event or at the water level of the domina</w:t>
      </w:r>
      <w:r>
        <w:t>nt operational flow</w:t>
      </w:r>
      <w:r w:rsidRPr="00500384">
        <w:t xml:space="preserve">. In zones 1, 3 and 4 </w:t>
      </w:r>
      <w:r w:rsidRPr="00343DE8">
        <w:rPr>
          <w:i/>
        </w:rPr>
        <w:t>Juncus</w:t>
      </w:r>
      <w:r w:rsidRPr="00500384">
        <w:t xml:space="preserve"> </w:t>
      </w:r>
      <w:r>
        <w:t>spp.</w:t>
      </w:r>
      <w:r w:rsidRPr="00500384">
        <w:t xml:space="preserve"> were </w:t>
      </w:r>
      <w:r>
        <w:t xml:space="preserve">recorded </w:t>
      </w:r>
      <w:r w:rsidRPr="00500384">
        <w:t>across a range of sizes, suggesting recruitment</w:t>
      </w:r>
      <w:r>
        <w:t xml:space="preserve"> has occurred in th</w:t>
      </w:r>
      <w:r w:rsidR="00270B44">
        <w:t>ese zones that were influenced by the Yallakool Creek environmental watering action</w:t>
      </w:r>
      <w:r w:rsidRPr="00500384">
        <w:t>.</w:t>
      </w:r>
    </w:p>
    <w:p w14:paraId="3B4F8F24" w14:textId="77777777" w:rsidR="008E6212" w:rsidRPr="00343DE8" w:rsidRDefault="008E6212" w:rsidP="00764D83">
      <w:pPr>
        <w:pStyle w:val="ListParagraph"/>
        <w:numPr>
          <w:ilvl w:val="0"/>
          <w:numId w:val="14"/>
        </w:numPr>
        <w:spacing w:after="240" w:line="324" w:lineRule="exact"/>
        <w:jc w:val="left"/>
      </w:pPr>
      <w:r w:rsidRPr="00343DE8">
        <w:t xml:space="preserve">The terrestrial species common sneeze weed was most abundant </w:t>
      </w:r>
      <w:r>
        <w:t>in transects 3 and 4 in zones that received environmental water, or in transect 2 in th</w:t>
      </w:r>
      <w:r w:rsidR="00270B44">
        <w:t>e upper Wakool River (Figure C.4</w:t>
      </w:r>
      <w:r>
        <w:t xml:space="preserve">). These transects are at the boundary of the wetting and drying zone and </w:t>
      </w:r>
      <w:r w:rsidR="000038C7">
        <w:t xml:space="preserve">this </w:t>
      </w:r>
      <w:r>
        <w:t>reflects the preference of this species to grow in damp areas that are subject to flooding. The cover of this taxa was highest in zones 1and 4 that received environmental water and had a larger area of riverbank that was wetted during the environmental watering.</w:t>
      </w:r>
    </w:p>
    <w:p w14:paraId="3B4F8F25" w14:textId="77777777" w:rsidR="008E6212" w:rsidRDefault="008E6212" w:rsidP="008E6212">
      <w:pPr>
        <w:spacing w:after="240" w:line="324" w:lineRule="exact"/>
        <w:jc w:val="left"/>
        <w:rPr>
          <w:i/>
        </w:rPr>
      </w:pPr>
    </w:p>
    <w:p w14:paraId="3B4F8F26" w14:textId="77777777" w:rsidR="008E6212" w:rsidRPr="00343DE8" w:rsidRDefault="008E6212" w:rsidP="008E6212">
      <w:pPr>
        <w:spacing w:after="240" w:line="324" w:lineRule="exact"/>
        <w:jc w:val="left"/>
        <w:rPr>
          <w:i/>
        </w:rPr>
        <w:sectPr w:rsidR="008E6212" w:rsidRPr="00343DE8" w:rsidSect="009C1A36">
          <w:pgSz w:w="11906" w:h="16838"/>
          <w:pgMar w:top="1440" w:right="1985" w:bottom="1440" w:left="1985" w:header="709" w:footer="709" w:gutter="0"/>
          <w:cols w:space="708"/>
          <w:docGrid w:linePitch="360"/>
        </w:sectPr>
      </w:pPr>
    </w:p>
    <w:p w14:paraId="3B4F8F27" w14:textId="77777777" w:rsidR="008E6212" w:rsidRDefault="008E6212" w:rsidP="008E6212">
      <w:pPr>
        <w:spacing w:after="0" w:line="240" w:lineRule="auto"/>
      </w:pPr>
      <w:r>
        <w:rPr>
          <w:noProof/>
          <w:lang w:eastAsia="en-AU"/>
        </w:rPr>
        <w:lastRenderedPageBreak/>
        <w:drawing>
          <wp:inline distT="0" distB="0" distL="0" distR="0" wp14:anchorId="3B4F9652" wp14:editId="5B0D49DD">
            <wp:extent cx="8516620" cy="520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8516620" cy="5200650"/>
                    </a:xfrm>
                    <a:prstGeom prst="rect">
                      <a:avLst/>
                    </a:prstGeom>
                    <a:noFill/>
                  </pic:spPr>
                </pic:pic>
              </a:graphicData>
            </a:graphic>
          </wp:inline>
        </w:drawing>
      </w:r>
    </w:p>
    <w:p w14:paraId="3B4F8F28" w14:textId="77777777" w:rsidR="008E6212" w:rsidRDefault="008E6212" w:rsidP="008E6212">
      <w:pPr>
        <w:spacing w:after="240" w:line="240" w:lineRule="auto"/>
        <w:jc w:val="left"/>
        <w:rPr>
          <w:i/>
        </w:rPr>
        <w:sectPr w:rsidR="008E6212" w:rsidSect="009C1A36">
          <w:pgSz w:w="16838" w:h="11906" w:orient="landscape"/>
          <w:pgMar w:top="1440" w:right="1985" w:bottom="1440" w:left="1985" w:header="708" w:footer="708" w:gutter="0"/>
          <w:cols w:space="708"/>
          <w:docGrid w:linePitch="360"/>
        </w:sectPr>
      </w:pPr>
      <w:r w:rsidRPr="009C69C3">
        <w:rPr>
          <w:b/>
          <w:sz w:val="20"/>
        </w:rPr>
        <w:t xml:space="preserve">Figure </w:t>
      </w:r>
      <w:r w:rsidR="00270B44">
        <w:rPr>
          <w:b/>
          <w:sz w:val="20"/>
        </w:rPr>
        <w:t>C.4</w:t>
      </w:r>
      <w:r w:rsidRPr="009C69C3">
        <w:rPr>
          <w:b/>
          <w:sz w:val="20"/>
        </w:rPr>
        <w:t>.</w:t>
      </w:r>
      <w:r w:rsidRPr="009C69C3">
        <w:rPr>
          <w:sz w:val="20"/>
        </w:rPr>
        <w:t xml:space="preserve"> Mean percent cover </w:t>
      </w:r>
      <w:r w:rsidRPr="00E56E9F">
        <w:rPr>
          <w:sz w:val="20"/>
        </w:rPr>
        <w:t xml:space="preserve">(±SE) </w:t>
      </w:r>
      <w:r w:rsidRPr="009C69C3">
        <w:rPr>
          <w:sz w:val="20"/>
        </w:rPr>
        <w:t xml:space="preserve">of ten most abundant riverbank and aquatic vegetation taxa monitored monthly at 16 sites across 4 hydrological zones in the Edward-Wakool system between </w:t>
      </w:r>
      <w:r>
        <w:rPr>
          <w:sz w:val="20"/>
        </w:rPr>
        <w:t>August 2015</w:t>
      </w:r>
      <w:r w:rsidRPr="009C69C3">
        <w:rPr>
          <w:sz w:val="20"/>
        </w:rPr>
        <w:t xml:space="preserve"> and </w:t>
      </w:r>
      <w:r>
        <w:rPr>
          <w:sz w:val="20"/>
        </w:rPr>
        <w:t>May 2016</w:t>
      </w:r>
      <w:r w:rsidRPr="009C69C3">
        <w:rPr>
          <w:sz w:val="20"/>
        </w:rPr>
        <w:t>.</w:t>
      </w:r>
      <w:r>
        <w:rPr>
          <w:sz w:val="20"/>
        </w:rPr>
        <w:t xml:space="preserve"> Transect 0 was lowest on the river bank (see Figure C.1). </w:t>
      </w:r>
    </w:p>
    <w:p w14:paraId="3B4F8F29" w14:textId="77777777" w:rsidR="008E6212" w:rsidRDefault="008E6212" w:rsidP="008E6212">
      <w:pPr>
        <w:spacing w:after="0"/>
        <w:jc w:val="left"/>
      </w:pPr>
      <w:r>
        <w:rPr>
          <w:noProof/>
          <w:lang w:eastAsia="en-AU"/>
        </w:rPr>
        <w:lastRenderedPageBreak/>
        <w:drawing>
          <wp:inline distT="0" distB="0" distL="0" distR="0" wp14:anchorId="3B4F9654" wp14:editId="6C924927">
            <wp:extent cx="4840605" cy="5651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840605" cy="5651500"/>
                    </a:xfrm>
                    <a:prstGeom prst="rect">
                      <a:avLst/>
                    </a:prstGeom>
                    <a:noFill/>
                  </pic:spPr>
                </pic:pic>
              </a:graphicData>
            </a:graphic>
          </wp:inline>
        </w:drawing>
      </w:r>
    </w:p>
    <w:p w14:paraId="3B4F8F2A" w14:textId="77777777" w:rsidR="008E6212" w:rsidRPr="00597C39" w:rsidRDefault="008E6212" w:rsidP="008E6212">
      <w:pPr>
        <w:spacing w:after="240" w:line="240" w:lineRule="auto"/>
        <w:jc w:val="left"/>
        <w:rPr>
          <w:sz w:val="20"/>
        </w:rPr>
      </w:pPr>
      <w:r>
        <w:rPr>
          <w:b/>
          <w:sz w:val="20"/>
        </w:rPr>
        <w:t>Figure C</w:t>
      </w:r>
      <w:r w:rsidR="00C225D3">
        <w:rPr>
          <w:b/>
          <w:sz w:val="20"/>
        </w:rPr>
        <w:t>.5</w:t>
      </w:r>
      <w:r w:rsidR="00F774C7">
        <w:rPr>
          <w:b/>
          <w:sz w:val="20"/>
        </w:rPr>
        <w:t>.</w:t>
      </w:r>
      <w:r w:rsidRPr="00597C39">
        <w:rPr>
          <w:sz w:val="20"/>
        </w:rPr>
        <w:t xml:space="preserve"> </w:t>
      </w:r>
      <w:r>
        <w:rPr>
          <w:sz w:val="20"/>
        </w:rPr>
        <w:t xml:space="preserve">Range of water depths where </w:t>
      </w:r>
      <w:r w:rsidRPr="00597C39">
        <w:rPr>
          <w:sz w:val="20"/>
        </w:rPr>
        <w:t xml:space="preserve">nine common amphibious </w:t>
      </w:r>
      <w:r>
        <w:rPr>
          <w:sz w:val="20"/>
        </w:rPr>
        <w:t>and</w:t>
      </w:r>
      <w:r w:rsidRPr="00597C39">
        <w:rPr>
          <w:sz w:val="20"/>
        </w:rPr>
        <w:t xml:space="preserve"> submerged taxa</w:t>
      </w:r>
      <w:r>
        <w:rPr>
          <w:sz w:val="20"/>
        </w:rPr>
        <w:t xml:space="preserve"> from the Edward-Wakool system were recorded in 2014-2015.</w:t>
      </w:r>
    </w:p>
    <w:p w14:paraId="3B4F8F2B" w14:textId="77777777" w:rsidR="008E6212" w:rsidRDefault="008E6212" w:rsidP="008E6212">
      <w:pPr>
        <w:spacing w:after="240" w:line="324" w:lineRule="exact"/>
        <w:jc w:val="left"/>
        <w:rPr>
          <w:i/>
        </w:rPr>
      </w:pPr>
    </w:p>
    <w:p w14:paraId="3B4F8F2C" w14:textId="77777777" w:rsidR="008E6212" w:rsidRPr="00943142" w:rsidRDefault="008E6212" w:rsidP="008E6212">
      <w:pPr>
        <w:spacing w:after="240" w:line="324" w:lineRule="exact"/>
        <w:jc w:val="left"/>
        <w:rPr>
          <w:i/>
        </w:rPr>
      </w:pPr>
      <w:r>
        <w:rPr>
          <w:i/>
        </w:rPr>
        <w:t xml:space="preserve">Change in percent cover of </w:t>
      </w:r>
      <w:r w:rsidRPr="00943142">
        <w:rPr>
          <w:i/>
        </w:rPr>
        <w:t>riverbank and aquatic vegetation</w:t>
      </w:r>
      <w:r>
        <w:rPr>
          <w:i/>
        </w:rPr>
        <w:t xml:space="preserve"> in response to Commonwealth environmental watering</w:t>
      </w:r>
    </w:p>
    <w:p w14:paraId="3B4F8F2D" w14:textId="77777777" w:rsidR="008E6212" w:rsidRDefault="008E6212" w:rsidP="008E6212">
      <w:pPr>
        <w:spacing w:after="240" w:line="324" w:lineRule="exact"/>
        <w:jc w:val="left"/>
        <w:rPr>
          <w:rFonts w:cs="Calibri"/>
        </w:rPr>
      </w:pPr>
      <w:r w:rsidRPr="0056791F">
        <w:rPr>
          <w:rFonts w:cs="Calibri"/>
        </w:rPr>
        <w:t>It was hypothesised that the cover of riverbank and aquatic vegetation in 2014-15 would be significantly higher in zones 1,</w:t>
      </w:r>
      <w:r>
        <w:rPr>
          <w:rFonts w:cs="Calibri"/>
        </w:rPr>
        <w:t xml:space="preserve"> </w:t>
      </w:r>
      <w:r w:rsidRPr="0056791F">
        <w:rPr>
          <w:rFonts w:cs="Calibri"/>
        </w:rPr>
        <w:t>3 and 4</w:t>
      </w:r>
      <w:r>
        <w:rPr>
          <w:rFonts w:cs="Calibri"/>
        </w:rPr>
        <w:t xml:space="preserve"> that received </w:t>
      </w:r>
      <w:r w:rsidRPr="0056791F">
        <w:rPr>
          <w:rFonts w:cs="Calibri"/>
        </w:rPr>
        <w:t>environmental water compared to the Wakool River (zone 2)</w:t>
      </w:r>
      <w:r>
        <w:rPr>
          <w:rFonts w:cs="Calibri"/>
        </w:rPr>
        <w:t xml:space="preserve"> that received minimal environmental water</w:t>
      </w:r>
      <w:r w:rsidRPr="0056791F">
        <w:rPr>
          <w:rFonts w:cs="Calibri"/>
        </w:rPr>
        <w:t xml:space="preserve">. Results of the </w:t>
      </w:r>
      <w:r>
        <w:rPr>
          <w:rFonts w:cs="Calibri"/>
        </w:rPr>
        <w:t>analysis</w:t>
      </w:r>
      <w:r w:rsidRPr="0056791F">
        <w:rPr>
          <w:rFonts w:cs="Calibri"/>
        </w:rPr>
        <w:t xml:space="preserve"> </w:t>
      </w:r>
      <w:r>
        <w:rPr>
          <w:rFonts w:cs="Calibri"/>
        </w:rPr>
        <w:t>only partially</w:t>
      </w:r>
      <w:r w:rsidRPr="0056791F">
        <w:rPr>
          <w:rFonts w:cs="Calibri"/>
        </w:rPr>
        <w:t xml:space="preserve"> support this hypothesis </w:t>
      </w:r>
      <w:r w:rsidR="00C225D3">
        <w:t>(Table C.2, Figure C.6</w:t>
      </w:r>
      <w:r w:rsidRPr="0056791F">
        <w:t xml:space="preserve">). </w:t>
      </w:r>
      <w:r>
        <w:t>Although the mean cover of vegetation was higher is zones 1, 3 and 4 than in zone 2, only zones 3 and 4 had significantly high cover than zone 2, as t</w:t>
      </w:r>
      <w:r w:rsidRPr="006C3C00">
        <w:t>he</w:t>
      </w:r>
      <w:r w:rsidRPr="0056791F">
        <w:t xml:space="preserve"> percent cover of vegetation in Yallakool Creek </w:t>
      </w:r>
      <w:r>
        <w:t>zone 1</w:t>
      </w:r>
      <w:r w:rsidRPr="0056791F">
        <w:t xml:space="preserve"> was not significantly </w:t>
      </w:r>
      <w:r>
        <w:t>different to</w:t>
      </w:r>
      <w:r w:rsidRPr="0056791F">
        <w:t xml:space="preserve"> </w:t>
      </w:r>
      <w:r>
        <w:t xml:space="preserve">that </w:t>
      </w:r>
      <w:r w:rsidRPr="0056791F">
        <w:t>in the Wakool River zone 2.</w:t>
      </w:r>
      <w:r>
        <w:t xml:space="preserve"> </w:t>
      </w:r>
    </w:p>
    <w:p w14:paraId="3B4F8F2E" w14:textId="77777777" w:rsidR="008E6212" w:rsidRDefault="008E6212" w:rsidP="008E6212">
      <w:pPr>
        <w:spacing w:after="0" w:line="240" w:lineRule="auto"/>
      </w:pPr>
      <w:r>
        <w:rPr>
          <w:noProof/>
          <w:lang w:eastAsia="en-AU"/>
        </w:rPr>
        <w:lastRenderedPageBreak/>
        <w:drawing>
          <wp:inline distT="0" distB="0" distL="0" distR="0" wp14:anchorId="3B4F9656" wp14:editId="3B4F9657">
            <wp:extent cx="3961765" cy="2200275"/>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665" b="2177"/>
                    <a:stretch/>
                  </pic:blipFill>
                  <pic:spPr bwMode="auto">
                    <a:xfrm>
                      <a:off x="0" y="0"/>
                      <a:ext cx="3987890" cy="2214784"/>
                    </a:xfrm>
                    <a:prstGeom prst="rect">
                      <a:avLst/>
                    </a:prstGeom>
                    <a:noFill/>
                    <a:ln>
                      <a:noFill/>
                    </a:ln>
                    <a:extLst>
                      <a:ext uri="{53640926-AAD7-44D8-BBD7-CCE9431645EC}">
                        <a14:shadowObscured xmlns:a14="http://schemas.microsoft.com/office/drawing/2010/main"/>
                      </a:ext>
                    </a:extLst>
                  </pic:spPr>
                </pic:pic>
              </a:graphicData>
            </a:graphic>
          </wp:inline>
        </w:drawing>
      </w:r>
    </w:p>
    <w:p w14:paraId="3B4F8F2F" w14:textId="77777777" w:rsidR="008E6212" w:rsidRDefault="008E6212" w:rsidP="008E6212">
      <w:pPr>
        <w:spacing w:after="0" w:line="240" w:lineRule="auto"/>
        <w:rPr>
          <w:sz w:val="20"/>
        </w:rPr>
      </w:pPr>
      <w:r>
        <w:rPr>
          <w:b/>
          <w:sz w:val="20"/>
        </w:rPr>
        <w:t>F</w:t>
      </w:r>
      <w:r w:rsidR="00C225D3">
        <w:rPr>
          <w:b/>
          <w:sz w:val="20"/>
        </w:rPr>
        <w:t>igure C.6</w:t>
      </w:r>
      <w:r w:rsidR="00F774C7">
        <w:rPr>
          <w:b/>
          <w:sz w:val="20"/>
        </w:rPr>
        <w:t>.</w:t>
      </w:r>
      <w:r w:rsidRPr="00E56E9F">
        <w:rPr>
          <w:b/>
          <w:sz w:val="20"/>
        </w:rPr>
        <w:t xml:space="preserve"> </w:t>
      </w:r>
      <w:r w:rsidRPr="00E56E9F">
        <w:rPr>
          <w:sz w:val="20"/>
        </w:rPr>
        <w:t xml:space="preserve">Mean </w:t>
      </w:r>
      <w:r>
        <w:rPr>
          <w:sz w:val="20"/>
        </w:rPr>
        <w:t>percent cover</w:t>
      </w:r>
      <w:r w:rsidRPr="00E56E9F">
        <w:rPr>
          <w:sz w:val="20"/>
        </w:rPr>
        <w:t xml:space="preserve"> (±SE) of </w:t>
      </w:r>
      <w:r>
        <w:rPr>
          <w:sz w:val="20"/>
        </w:rPr>
        <w:t>riverbank and aquatic vegetation sampled in 2015-16</w:t>
      </w:r>
      <w:r w:rsidRPr="00E56E9F">
        <w:rPr>
          <w:sz w:val="20"/>
        </w:rPr>
        <w:t xml:space="preserve"> in t</w:t>
      </w:r>
      <w:r>
        <w:rPr>
          <w:sz w:val="20"/>
        </w:rPr>
        <w:t xml:space="preserve">he Edward-Wakool Selected Area. Zones 1, 3 and 4 received a </w:t>
      </w:r>
      <w:r w:rsidR="000038C7">
        <w:rPr>
          <w:sz w:val="20"/>
        </w:rPr>
        <w:t>greater</w:t>
      </w:r>
      <w:r>
        <w:rPr>
          <w:sz w:val="20"/>
        </w:rPr>
        <w:t xml:space="preserve"> magnitude of Commonwealth environmental water than the Wakool River zone 2. a and b </w:t>
      </w:r>
      <w:r w:rsidRPr="007819D2">
        <w:rPr>
          <w:sz w:val="20"/>
        </w:rPr>
        <w:t>denotes unique subsets based on posthoc tests.</w:t>
      </w:r>
    </w:p>
    <w:p w14:paraId="3B4F8F30" w14:textId="77777777" w:rsidR="008E6212" w:rsidRDefault="008E6212" w:rsidP="008E6212">
      <w:pPr>
        <w:spacing w:after="240" w:line="324" w:lineRule="exact"/>
      </w:pPr>
    </w:p>
    <w:p w14:paraId="3B4F8F31" w14:textId="77777777" w:rsidR="008E6212" w:rsidRDefault="008E6212" w:rsidP="008E6212">
      <w:pPr>
        <w:spacing w:after="240" w:line="324" w:lineRule="exact"/>
        <w:rPr>
          <w:rFonts w:cs="Calibri"/>
        </w:rPr>
      </w:pPr>
      <w:r>
        <w:rPr>
          <w:rFonts w:cs="Calibri"/>
        </w:rPr>
        <w:t xml:space="preserve">Results of non-parametric analyses of percent cover of individual taxa and leaf litter among zones produced different groupings of zones </w:t>
      </w:r>
      <w:r w:rsidR="00C225D3">
        <w:t>(Table C.2, Figure C.7</w:t>
      </w:r>
      <w:r w:rsidR="000038C7">
        <w:t>):</w:t>
      </w:r>
    </w:p>
    <w:p w14:paraId="3B4F8F32" w14:textId="77777777" w:rsidR="008E6212" w:rsidRPr="004456B7" w:rsidRDefault="008E6212" w:rsidP="00764D83">
      <w:pPr>
        <w:pStyle w:val="ListParagraph"/>
        <w:numPr>
          <w:ilvl w:val="0"/>
          <w:numId w:val="27"/>
        </w:numPr>
        <w:spacing w:after="240" w:line="324" w:lineRule="exact"/>
        <w:rPr>
          <w:rFonts w:cs="Calibri"/>
        </w:rPr>
      </w:pPr>
      <w:r>
        <w:t xml:space="preserve">The macroalgae </w:t>
      </w:r>
      <w:r w:rsidRPr="00C225D3">
        <w:rPr>
          <w:i/>
        </w:rPr>
        <w:t>Chara</w:t>
      </w:r>
      <w:r w:rsidRPr="00C94476">
        <w:t xml:space="preserve"> </w:t>
      </w:r>
      <w:r w:rsidR="00C225D3">
        <w:t xml:space="preserve">(submerged) and </w:t>
      </w:r>
      <w:r>
        <w:t xml:space="preserve">mifoil </w:t>
      </w:r>
      <w:r w:rsidR="00C225D3">
        <w:t xml:space="preserve">(amphibious) </w:t>
      </w:r>
      <w:r w:rsidRPr="00C94476">
        <w:t>had significantly higher cover in zones 1, 3 and 4</w:t>
      </w:r>
      <w:r>
        <w:t xml:space="preserve">, supporting the hypothesis </w:t>
      </w:r>
      <w:r w:rsidRPr="004456B7">
        <w:rPr>
          <w:rFonts w:cs="Calibri"/>
        </w:rPr>
        <w:t>that the cover of riverbank and aquatic vegetation would be significantly higher these zones that received more environmental water than the upper Wakool River (zone 2)</w:t>
      </w:r>
      <w:r>
        <w:rPr>
          <w:rFonts w:cs="Calibri"/>
        </w:rPr>
        <w:t>.</w:t>
      </w:r>
    </w:p>
    <w:p w14:paraId="3B4F8F33" w14:textId="77777777" w:rsidR="008E6212" w:rsidRPr="004456B7" w:rsidRDefault="00C225D3" w:rsidP="00764D83">
      <w:pPr>
        <w:pStyle w:val="ListParagraph"/>
        <w:numPr>
          <w:ilvl w:val="0"/>
          <w:numId w:val="27"/>
        </w:numPr>
        <w:spacing w:after="240" w:line="324" w:lineRule="exact"/>
        <w:rPr>
          <w:rFonts w:cs="Calibri"/>
        </w:rPr>
      </w:pPr>
      <w:r>
        <w:t>F</w:t>
      </w:r>
      <w:r w:rsidR="008E6212">
        <w:t xml:space="preserve">loating pondweed </w:t>
      </w:r>
      <w:r w:rsidR="00916C24">
        <w:t xml:space="preserve">(amphibious) </w:t>
      </w:r>
      <w:r w:rsidR="008E6212" w:rsidRPr="00C94476">
        <w:t xml:space="preserve">and </w:t>
      </w:r>
      <w:r w:rsidR="008E6212">
        <w:t>water fern</w:t>
      </w:r>
      <w:r w:rsidR="008E6212" w:rsidRPr="00C94476">
        <w:t xml:space="preserve"> </w:t>
      </w:r>
      <w:r>
        <w:t xml:space="preserve">(amphibious) </w:t>
      </w:r>
      <w:r w:rsidR="008E6212" w:rsidRPr="00C94476">
        <w:t xml:space="preserve">had significantly higher cover </w:t>
      </w:r>
      <w:r w:rsidR="008E6212">
        <w:t xml:space="preserve">only </w:t>
      </w:r>
      <w:r w:rsidR="008E6212" w:rsidRPr="00C94476">
        <w:t>in zone 3</w:t>
      </w:r>
      <w:r w:rsidR="008E6212">
        <w:t>.</w:t>
      </w:r>
    </w:p>
    <w:p w14:paraId="3B4F8F34" w14:textId="77777777" w:rsidR="008E6212" w:rsidRDefault="00C225D3" w:rsidP="00764D83">
      <w:pPr>
        <w:pStyle w:val="ListParagraph"/>
        <w:numPr>
          <w:ilvl w:val="0"/>
          <w:numId w:val="27"/>
        </w:numPr>
        <w:spacing w:after="120" w:line="324" w:lineRule="exact"/>
        <w:jc w:val="left"/>
      </w:pPr>
      <w:r>
        <w:t>W</w:t>
      </w:r>
      <w:r w:rsidR="008E6212">
        <w:t>ater primrose</w:t>
      </w:r>
      <w:r w:rsidR="008E6212" w:rsidRPr="00C94476">
        <w:t xml:space="preserve"> </w:t>
      </w:r>
      <w:r>
        <w:t xml:space="preserve">(amphibious) </w:t>
      </w:r>
      <w:r w:rsidR="008E6212" w:rsidRPr="00C94476">
        <w:t xml:space="preserve">and </w:t>
      </w:r>
      <w:r>
        <w:t>common</w:t>
      </w:r>
      <w:r w:rsidR="008E6212">
        <w:t xml:space="preserve"> sneezeweed</w:t>
      </w:r>
      <w:r w:rsidR="008E6212" w:rsidRPr="00C94476">
        <w:t xml:space="preserve"> </w:t>
      </w:r>
      <w:r>
        <w:t xml:space="preserve">(terrestrial) </w:t>
      </w:r>
      <w:r w:rsidR="008E6212" w:rsidRPr="00C94476">
        <w:t xml:space="preserve">had higher cover </w:t>
      </w:r>
      <w:r w:rsidR="008E6212">
        <w:t xml:space="preserve">only </w:t>
      </w:r>
      <w:r w:rsidR="008E6212" w:rsidRPr="00C94476">
        <w:t>in zone 4</w:t>
      </w:r>
      <w:r w:rsidR="008E6212">
        <w:t>.</w:t>
      </w:r>
    </w:p>
    <w:p w14:paraId="3B4F8F35" w14:textId="77777777" w:rsidR="008E6212" w:rsidRDefault="008E6212" w:rsidP="00764D83">
      <w:pPr>
        <w:pStyle w:val="ListParagraph"/>
        <w:numPr>
          <w:ilvl w:val="0"/>
          <w:numId w:val="27"/>
        </w:numPr>
        <w:spacing w:after="120" w:line="324" w:lineRule="exact"/>
        <w:jc w:val="left"/>
      </w:pPr>
      <w:r w:rsidRPr="00C94476">
        <w:t xml:space="preserve">Leaf litter and </w:t>
      </w:r>
      <w:r w:rsidRPr="00C225D3">
        <w:rPr>
          <w:i/>
        </w:rPr>
        <w:t>Juncus</w:t>
      </w:r>
      <w:r w:rsidRPr="00C94476">
        <w:t xml:space="preserve"> </w:t>
      </w:r>
      <w:r w:rsidR="00C225D3">
        <w:t xml:space="preserve">spp. </w:t>
      </w:r>
      <w:r w:rsidR="00916C24">
        <w:t xml:space="preserve">(amphibious) </w:t>
      </w:r>
      <w:r w:rsidRPr="00C94476">
        <w:t>had significantly higher cover in the upper</w:t>
      </w:r>
      <w:r>
        <w:t xml:space="preserve"> Wakool River zone 2 that received very little or no environmental water over the past three years.</w:t>
      </w:r>
    </w:p>
    <w:p w14:paraId="3B4F8F36" w14:textId="77777777" w:rsidR="008E6212" w:rsidRPr="00C94476" w:rsidRDefault="00916C24" w:rsidP="00764D83">
      <w:pPr>
        <w:pStyle w:val="ListParagraph"/>
        <w:numPr>
          <w:ilvl w:val="0"/>
          <w:numId w:val="27"/>
        </w:numPr>
        <w:spacing w:after="120" w:line="324" w:lineRule="exact"/>
        <w:jc w:val="left"/>
      </w:pPr>
      <w:r>
        <w:t>S</w:t>
      </w:r>
      <w:r w:rsidR="008E6212">
        <w:t>edge</w:t>
      </w:r>
      <w:r w:rsidR="008E6212" w:rsidRPr="00C94476">
        <w:t xml:space="preserve"> </w:t>
      </w:r>
      <w:r>
        <w:t xml:space="preserve">(amphibious) </w:t>
      </w:r>
      <w:r w:rsidR="008E6212" w:rsidRPr="00C94476">
        <w:t xml:space="preserve">and </w:t>
      </w:r>
      <w:r w:rsidR="008E6212">
        <w:t>mud grass</w:t>
      </w:r>
      <w:r w:rsidR="008E6212" w:rsidRPr="00C94476">
        <w:t xml:space="preserve"> </w:t>
      </w:r>
      <w:r w:rsidR="00C225D3">
        <w:t xml:space="preserve">(amphibious) </w:t>
      </w:r>
      <w:r w:rsidR="008E6212">
        <w:t>showed</w:t>
      </w:r>
      <w:r w:rsidR="008E6212" w:rsidRPr="00C94476">
        <w:t xml:space="preserve"> no difference in mea</w:t>
      </w:r>
      <w:r w:rsidR="008E6212">
        <w:t>n percent cover among all zones.</w:t>
      </w:r>
    </w:p>
    <w:p w14:paraId="3B4F8F37" w14:textId="77777777" w:rsidR="008E6212" w:rsidRDefault="008E6212" w:rsidP="008E6212">
      <w:pPr>
        <w:spacing w:after="0" w:line="240" w:lineRule="auto"/>
        <w:jc w:val="left"/>
        <w:rPr>
          <w:b/>
          <w:sz w:val="20"/>
        </w:rPr>
      </w:pPr>
      <w:r>
        <w:rPr>
          <w:b/>
          <w:sz w:val="20"/>
        </w:rPr>
        <w:br w:type="page"/>
      </w:r>
    </w:p>
    <w:p w14:paraId="3B4F8F38" w14:textId="77777777" w:rsidR="008E6212" w:rsidRDefault="008E6212" w:rsidP="00916C24">
      <w:pPr>
        <w:spacing w:before="120" w:after="0" w:line="240" w:lineRule="auto"/>
        <w:jc w:val="left"/>
        <w:rPr>
          <w:sz w:val="20"/>
        </w:rPr>
      </w:pPr>
      <w:r w:rsidRPr="00D41BD4">
        <w:rPr>
          <w:b/>
          <w:sz w:val="20"/>
        </w:rPr>
        <w:lastRenderedPageBreak/>
        <w:t xml:space="preserve">Table </w:t>
      </w:r>
      <w:r>
        <w:rPr>
          <w:b/>
          <w:sz w:val="20"/>
        </w:rPr>
        <w:t>C.2.</w:t>
      </w:r>
      <w:r w:rsidRPr="00D41BD4">
        <w:rPr>
          <w:sz w:val="20"/>
        </w:rPr>
        <w:t xml:space="preserve">  Resul</w:t>
      </w:r>
      <w:r>
        <w:rPr>
          <w:sz w:val="20"/>
        </w:rPr>
        <w:t>ts of Kruskal-Wa</w:t>
      </w:r>
      <w:r w:rsidRPr="00EC502E">
        <w:rPr>
          <w:sz w:val="20"/>
        </w:rPr>
        <w:t>llis nonparametric test</w:t>
      </w:r>
      <w:r>
        <w:rPr>
          <w:sz w:val="20"/>
        </w:rPr>
        <w:t>s</w:t>
      </w:r>
      <w:r w:rsidRPr="00D41BD4">
        <w:rPr>
          <w:sz w:val="20"/>
        </w:rPr>
        <w:t xml:space="preserve"> comparing mean percent cover of a</w:t>
      </w:r>
      <w:r>
        <w:rPr>
          <w:sz w:val="20"/>
        </w:rPr>
        <w:t>quatic and riverbank vegetation</w:t>
      </w:r>
      <w:r w:rsidRPr="00D41BD4">
        <w:rPr>
          <w:sz w:val="20"/>
        </w:rPr>
        <w:t xml:space="preserve"> cover </w:t>
      </w:r>
      <w:r>
        <w:rPr>
          <w:sz w:val="20"/>
        </w:rPr>
        <w:t>for the ten</w:t>
      </w:r>
      <w:r>
        <w:rPr>
          <w:i/>
          <w:sz w:val="20"/>
        </w:rPr>
        <w:t xml:space="preserve"> </w:t>
      </w:r>
      <w:r>
        <w:rPr>
          <w:sz w:val="20"/>
        </w:rPr>
        <w:t xml:space="preserve">most common taxa and leaf litter </w:t>
      </w:r>
      <w:r w:rsidRPr="00D41BD4">
        <w:rPr>
          <w:sz w:val="20"/>
        </w:rPr>
        <w:t xml:space="preserve">across river zones for the </w:t>
      </w:r>
      <w:r>
        <w:rPr>
          <w:sz w:val="20"/>
        </w:rPr>
        <w:t>sampling period August 2015to May 2016</w:t>
      </w:r>
      <w:r w:rsidRPr="00D41BD4">
        <w:rPr>
          <w:sz w:val="20"/>
        </w:rPr>
        <w:t xml:space="preserve">. </w:t>
      </w:r>
      <w:r w:rsidRPr="00D41BD4">
        <w:rPr>
          <w:i/>
          <w:sz w:val="20"/>
        </w:rPr>
        <w:t xml:space="preserve">P </w:t>
      </w:r>
      <w:r w:rsidRPr="00D41BD4">
        <w:rPr>
          <w:sz w:val="20"/>
        </w:rPr>
        <w:t>values &lt;0.05 indicates a significant difference in cover of vegetation among zones.</w:t>
      </w:r>
      <w:r>
        <w:rPr>
          <w:sz w:val="20"/>
        </w:rPr>
        <w:t xml:space="preserve"> </w:t>
      </w:r>
    </w:p>
    <w:tbl>
      <w:tblPr>
        <w:tblW w:w="6962" w:type="dxa"/>
        <w:jc w:val="center"/>
        <w:tblLook w:val="04A0" w:firstRow="1" w:lastRow="0" w:firstColumn="1" w:lastColumn="0" w:noHBand="0" w:noVBand="1"/>
      </w:tblPr>
      <w:tblGrid>
        <w:gridCol w:w="2988"/>
        <w:gridCol w:w="1121"/>
        <w:gridCol w:w="1384"/>
        <w:gridCol w:w="1469"/>
      </w:tblGrid>
      <w:tr w:rsidR="008E6212" w:rsidRPr="004456B7" w14:paraId="3B4F8F3D" w14:textId="77777777" w:rsidTr="009C1A36">
        <w:trPr>
          <w:jc w:val="center"/>
        </w:trPr>
        <w:tc>
          <w:tcPr>
            <w:tcW w:w="2988" w:type="dxa"/>
            <w:tcBorders>
              <w:top w:val="single" w:sz="4" w:space="0" w:color="auto"/>
              <w:bottom w:val="single" w:sz="4" w:space="0" w:color="auto"/>
            </w:tcBorders>
            <w:shd w:val="clear" w:color="auto" w:fill="D6E3BC" w:themeFill="accent3" w:themeFillTint="66"/>
            <w:vAlign w:val="bottom"/>
          </w:tcPr>
          <w:p w14:paraId="3B4F8F39" w14:textId="77777777" w:rsidR="008E6212" w:rsidRPr="004456B7" w:rsidRDefault="008E6212" w:rsidP="009C1A36">
            <w:pPr>
              <w:spacing w:after="0" w:line="240" w:lineRule="auto"/>
              <w:rPr>
                <w:sz w:val="20"/>
              </w:rPr>
            </w:pPr>
            <w:r w:rsidRPr="004456B7">
              <w:rPr>
                <w:sz w:val="20"/>
              </w:rPr>
              <w:t>Analysis</w:t>
            </w:r>
          </w:p>
        </w:tc>
        <w:tc>
          <w:tcPr>
            <w:tcW w:w="1121" w:type="dxa"/>
            <w:tcBorders>
              <w:top w:val="single" w:sz="4" w:space="0" w:color="auto"/>
              <w:bottom w:val="single" w:sz="4" w:space="0" w:color="auto"/>
            </w:tcBorders>
            <w:shd w:val="clear" w:color="auto" w:fill="D6E3BC" w:themeFill="accent3" w:themeFillTint="66"/>
            <w:vAlign w:val="bottom"/>
          </w:tcPr>
          <w:p w14:paraId="3B4F8F3A" w14:textId="77777777" w:rsidR="008E6212" w:rsidRPr="004456B7" w:rsidRDefault="008E6212" w:rsidP="009C1A36">
            <w:pPr>
              <w:spacing w:after="0" w:line="240" w:lineRule="auto"/>
              <w:jc w:val="center"/>
              <w:rPr>
                <w:sz w:val="20"/>
              </w:rPr>
            </w:pPr>
            <w:r w:rsidRPr="004456B7">
              <w:rPr>
                <w:sz w:val="20"/>
              </w:rPr>
              <w:t>df</w:t>
            </w:r>
          </w:p>
        </w:tc>
        <w:tc>
          <w:tcPr>
            <w:tcW w:w="1384" w:type="dxa"/>
            <w:tcBorders>
              <w:top w:val="single" w:sz="4" w:space="0" w:color="auto"/>
              <w:bottom w:val="single" w:sz="4" w:space="0" w:color="auto"/>
            </w:tcBorders>
            <w:shd w:val="clear" w:color="auto" w:fill="D6E3BC" w:themeFill="accent3" w:themeFillTint="66"/>
            <w:vAlign w:val="bottom"/>
          </w:tcPr>
          <w:p w14:paraId="3B4F8F3B" w14:textId="77777777" w:rsidR="008E6212" w:rsidRPr="004456B7" w:rsidRDefault="008E6212" w:rsidP="009C1A36">
            <w:pPr>
              <w:spacing w:after="0" w:line="240" w:lineRule="auto"/>
              <w:jc w:val="center"/>
              <w:rPr>
                <w:sz w:val="20"/>
              </w:rPr>
            </w:pPr>
            <w:r w:rsidRPr="004456B7">
              <w:rPr>
                <w:sz w:val="20"/>
              </w:rPr>
              <w:t>p</w:t>
            </w:r>
          </w:p>
        </w:tc>
        <w:tc>
          <w:tcPr>
            <w:tcW w:w="1469" w:type="dxa"/>
            <w:tcBorders>
              <w:top w:val="single" w:sz="4" w:space="0" w:color="auto"/>
              <w:bottom w:val="single" w:sz="4" w:space="0" w:color="auto"/>
            </w:tcBorders>
            <w:shd w:val="clear" w:color="auto" w:fill="D6E3BC" w:themeFill="accent3" w:themeFillTint="66"/>
          </w:tcPr>
          <w:p w14:paraId="3B4F8F3C" w14:textId="77777777" w:rsidR="008E6212" w:rsidRPr="004456B7" w:rsidRDefault="008E6212" w:rsidP="009C1A36">
            <w:pPr>
              <w:spacing w:after="0" w:line="240" w:lineRule="auto"/>
              <w:jc w:val="center"/>
              <w:rPr>
                <w:sz w:val="20"/>
              </w:rPr>
            </w:pPr>
            <w:r w:rsidRPr="004456B7">
              <w:rPr>
                <w:sz w:val="20"/>
              </w:rPr>
              <w:t>signif</w:t>
            </w:r>
          </w:p>
        </w:tc>
      </w:tr>
      <w:tr w:rsidR="008E6212" w:rsidRPr="004456B7" w14:paraId="3B4F8F42" w14:textId="77777777" w:rsidTr="009C1A36">
        <w:trPr>
          <w:jc w:val="center"/>
        </w:trPr>
        <w:tc>
          <w:tcPr>
            <w:tcW w:w="2988" w:type="dxa"/>
            <w:shd w:val="clear" w:color="auto" w:fill="auto"/>
          </w:tcPr>
          <w:p w14:paraId="3B4F8F3E" w14:textId="77777777" w:rsidR="008E6212" w:rsidRPr="004456B7" w:rsidRDefault="008E6212" w:rsidP="009C1A36">
            <w:pPr>
              <w:spacing w:after="0" w:line="240" w:lineRule="auto"/>
              <w:rPr>
                <w:sz w:val="20"/>
              </w:rPr>
            </w:pPr>
            <w:r w:rsidRPr="004456B7">
              <w:rPr>
                <w:sz w:val="20"/>
              </w:rPr>
              <w:t>floating pondweed</w:t>
            </w:r>
          </w:p>
        </w:tc>
        <w:tc>
          <w:tcPr>
            <w:tcW w:w="1121" w:type="dxa"/>
            <w:shd w:val="clear" w:color="auto" w:fill="auto"/>
          </w:tcPr>
          <w:p w14:paraId="3B4F8F3F"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40" w14:textId="77777777" w:rsidR="008E6212" w:rsidRPr="004456B7" w:rsidRDefault="008E6212" w:rsidP="009C1A36">
            <w:pPr>
              <w:spacing w:after="0" w:line="240" w:lineRule="auto"/>
              <w:jc w:val="center"/>
              <w:rPr>
                <w:sz w:val="20"/>
              </w:rPr>
            </w:pPr>
            <w:r w:rsidRPr="004456B7">
              <w:rPr>
                <w:sz w:val="20"/>
              </w:rPr>
              <w:t>0.000</w:t>
            </w:r>
          </w:p>
        </w:tc>
        <w:tc>
          <w:tcPr>
            <w:tcW w:w="1469" w:type="dxa"/>
          </w:tcPr>
          <w:p w14:paraId="3B4F8F41"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47" w14:textId="77777777" w:rsidTr="009C1A36">
        <w:trPr>
          <w:jc w:val="center"/>
        </w:trPr>
        <w:tc>
          <w:tcPr>
            <w:tcW w:w="2988" w:type="dxa"/>
            <w:shd w:val="clear" w:color="auto" w:fill="auto"/>
          </w:tcPr>
          <w:p w14:paraId="3B4F8F43" w14:textId="77777777" w:rsidR="008E6212" w:rsidRPr="004456B7" w:rsidRDefault="008E6212" w:rsidP="009C1A36">
            <w:pPr>
              <w:spacing w:after="0" w:line="240" w:lineRule="auto"/>
              <w:rPr>
                <w:sz w:val="20"/>
              </w:rPr>
            </w:pPr>
            <w:r w:rsidRPr="004456B7">
              <w:rPr>
                <w:sz w:val="20"/>
              </w:rPr>
              <w:t>rush (</w:t>
            </w:r>
            <w:r w:rsidRPr="004456B7">
              <w:rPr>
                <w:i/>
                <w:sz w:val="20"/>
              </w:rPr>
              <w:t>Juncus</w:t>
            </w:r>
            <w:r w:rsidRPr="004456B7">
              <w:rPr>
                <w:sz w:val="20"/>
              </w:rPr>
              <w:t xml:space="preserve"> spp.</w:t>
            </w:r>
            <w:r>
              <w:rPr>
                <w:sz w:val="20"/>
              </w:rPr>
              <w:t>)</w:t>
            </w:r>
          </w:p>
        </w:tc>
        <w:tc>
          <w:tcPr>
            <w:tcW w:w="1121" w:type="dxa"/>
            <w:shd w:val="clear" w:color="auto" w:fill="auto"/>
          </w:tcPr>
          <w:p w14:paraId="3B4F8F44"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45" w14:textId="77777777" w:rsidR="008E6212" w:rsidRPr="004456B7" w:rsidRDefault="008E6212" w:rsidP="009C1A36">
            <w:pPr>
              <w:spacing w:after="0" w:line="240" w:lineRule="auto"/>
              <w:jc w:val="center"/>
              <w:rPr>
                <w:sz w:val="20"/>
              </w:rPr>
            </w:pPr>
            <w:r w:rsidRPr="004456B7">
              <w:rPr>
                <w:sz w:val="20"/>
              </w:rPr>
              <w:t>0.007</w:t>
            </w:r>
          </w:p>
        </w:tc>
        <w:tc>
          <w:tcPr>
            <w:tcW w:w="1469" w:type="dxa"/>
          </w:tcPr>
          <w:p w14:paraId="3B4F8F46"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4C" w14:textId="77777777" w:rsidTr="009C1A36">
        <w:trPr>
          <w:jc w:val="center"/>
        </w:trPr>
        <w:tc>
          <w:tcPr>
            <w:tcW w:w="2988" w:type="dxa"/>
            <w:shd w:val="clear" w:color="auto" w:fill="auto"/>
          </w:tcPr>
          <w:p w14:paraId="3B4F8F48" w14:textId="77777777" w:rsidR="008E6212" w:rsidRPr="004456B7" w:rsidRDefault="008E6212" w:rsidP="009C1A36">
            <w:pPr>
              <w:spacing w:after="0" w:line="240" w:lineRule="auto"/>
              <w:rPr>
                <w:sz w:val="20"/>
              </w:rPr>
            </w:pPr>
            <w:r w:rsidRPr="004456B7">
              <w:rPr>
                <w:sz w:val="20"/>
              </w:rPr>
              <w:t>milfoil</w:t>
            </w:r>
          </w:p>
        </w:tc>
        <w:tc>
          <w:tcPr>
            <w:tcW w:w="1121" w:type="dxa"/>
            <w:shd w:val="clear" w:color="auto" w:fill="auto"/>
          </w:tcPr>
          <w:p w14:paraId="3B4F8F49"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4A" w14:textId="77777777" w:rsidR="008E6212" w:rsidRPr="004456B7" w:rsidRDefault="008E6212" w:rsidP="009C1A36">
            <w:pPr>
              <w:spacing w:after="0" w:line="240" w:lineRule="auto"/>
              <w:jc w:val="center"/>
              <w:rPr>
                <w:sz w:val="20"/>
              </w:rPr>
            </w:pPr>
            <w:r w:rsidRPr="004456B7">
              <w:rPr>
                <w:sz w:val="20"/>
              </w:rPr>
              <w:t>0.000</w:t>
            </w:r>
          </w:p>
        </w:tc>
        <w:tc>
          <w:tcPr>
            <w:tcW w:w="1469" w:type="dxa"/>
          </w:tcPr>
          <w:p w14:paraId="3B4F8F4B"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51" w14:textId="77777777" w:rsidTr="009C1A36">
        <w:trPr>
          <w:jc w:val="center"/>
        </w:trPr>
        <w:tc>
          <w:tcPr>
            <w:tcW w:w="2988" w:type="dxa"/>
            <w:shd w:val="clear" w:color="auto" w:fill="auto"/>
          </w:tcPr>
          <w:p w14:paraId="3B4F8F4D" w14:textId="77777777" w:rsidR="008E6212" w:rsidRPr="004456B7" w:rsidRDefault="008E6212" w:rsidP="009C1A36">
            <w:pPr>
              <w:spacing w:after="0" w:line="240" w:lineRule="auto"/>
              <w:rPr>
                <w:color w:val="000000"/>
                <w:sz w:val="20"/>
              </w:rPr>
            </w:pPr>
            <w:r w:rsidRPr="004456B7">
              <w:rPr>
                <w:color w:val="000000"/>
                <w:sz w:val="20"/>
              </w:rPr>
              <w:t>mud grass</w:t>
            </w:r>
          </w:p>
        </w:tc>
        <w:tc>
          <w:tcPr>
            <w:tcW w:w="1121" w:type="dxa"/>
            <w:shd w:val="clear" w:color="auto" w:fill="auto"/>
          </w:tcPr>
          <w:p w14:paraId="3B4F8F4E"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4F" w14:textId="77777777" w:rsidR="008E6212" w:rsidRPr="004456B7" w:rsidRDefault="008E6212" w:rsidP="009C1A36">
            <w:pPr>
              <w:spacing w:after="0" w:line="240" w:lineRule="auto"/>
              <w:jc w:val="center"/>
              <w:rPr>
                <w:sz w:val="20"/>
              </w:rPr>
            </w:pPr>
            <w:r w:rsidRPr="004456B7">
              <w:rPr>
                <w:sz w:val="20"/>
              </w:rPr>
              <w:t>0.149</w:t>
            </w:r>
          </w:p>
        </w:tc>
        <w:tc>
          <w:tcPr>
            <w:tcW w:w="1469" w:type="dxa"/>
          </w:tcPr>
          <w:p w14:paraId="3B4F8F50" w14:textId="77777777" w:rsidR="008E6212" w:rsidRPr="004456B7" w:rsidRDefault="008E6212" w:rsidP="009C1A36">
            <w:pPr>
              <w:spacing w:after="0" w:line="240" w:lineRule="auto"/>
              <w:jc w:val="center"/>
              <w:rPr>
                <w:sz w:val="20"/>
              </w:rPr>
            </w:pPr>
            <w:r w:rsidRPr="004456B7">
              <w:rPr>
                <w:sz w:val="20"/>
              </w:rPr>
              <w:t>ns</w:t>
            </w:r>
          </w:p>
        </w:tc>
      </w:tr>
      <w:tr w:rsidR="008E6212" w:rsidRPr="004456B7" w14:paraId="3B4F8F56" w14:textId="77777777" w:rsidTr="009C1A36">
        <w:trPr>
          <w:jc w:val="center"/>
        </w:trPr>
        <w:tc>
          <w:tcPr>
            <w:tcW w:w="2988" w:type="dxa"/>
            <w:shd w:val="clear" w:color="auto" w:fill="auto"/>
          </w:tcPr>
          <w:p w14:paraId="3B4F8F52" w14:textId="77777777" w:rsidR="008E6212" w:rsidRPr="004456B7" w:rsidRDefault="008E6212" w:rsidP="009C1A36">
            <w:pPr>
              <w:spacing w:after="0" w:line="240" w:lineRule="auto"/>
              <w:rPr>
                <w:color w:val="000000"/>
                <w:sz w:val="20"/>
              </w:rPr>
            </w:pPr>
            <w:r w:rsidRPr="004456B7">
              <w:rPr>
                <w:sz w:val="20"/>
              </w:rPr>
              <w:t>grass</w:t>
            </w:r>
          </w:p>
        </w:tc>
        <w:tc>
          <w:tcPr>
            <w:tcW w:w="1121" w:type="dxa"/>
            <w:shd w:val="clear" w:color="auto" w:fill="auto"/>
          </w:tcPr>
          <w:p w14:paraId="3B4F8F53"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54" w14:textId="77777777" w:rsidR="008E6212" w:rsidRPr="004456B7" w:rsidRDefault="008E6212" w:rsidP="009C1A36">
            <w:pPr>
              <w:spacing w:after="0" w:line="240" w:lineRule="auto"/>
              <w:jc w:val="center"/>
              <w:rPr>
                <w:sz w:val="20"/>
              </w:rPr>
            </w:pPr>
            <w:r w:rsidRPr="004456B7">
              <w:rPr>
                <w:sz w:val="20"/>
              </w:rPr>
              <w:t>0.023</w:t>
            </w:r>
          </w:p>
        </w:tc>
        <w:tc>
          <w:tcPr>
            <w:tcW w:w="1469" w:type="dxa"/>
          </w:tcPr>
          <w:p w14:paraId="3B4F8F55"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5B" w14:textId="77777777" w:rsidTr="009C1A36">
        <w:trPr>
          <w:jc w:val="center"/>
        </w:trPr>
        <w:tc>
          <w:tcPr>
            <w:tcW w:w="2988" w:type="dxa"/>
            <w:shd w:val="clear" w:color="auto" w:fill="auto"/>
          </w:tcPr>
          <w:p w14:paraId="3B4F8F57" w14:textId="77777777" w:rsidR="008E6212" w:rsidRPr="004456B7" w:rsidRDefault="008E6212" w:rsidP="009C1A36">
            <w:pPr>
              <w:spacing w:after="0" w:line="240" w:lineRule="auto"/>
              <w:rPr>
                <w:sz w:val="20"/>
              </w:rPr>
            </w:pPr>
            <w:r w:rsidRPr="004456B7">
              <w:rPr>
                <w:color w:val="000000"/>
                <w:sz w:val="20"/>
              </w:rPr>
              <w:t>Common sneezeweed</w:t>
            </w:r>
          </w:p>
        </w:tc>
        <w:tc>
          <w:tcPr>
            <w:tcW w:w="1121" w:type="dxa"/>
            <w:shd w:val="clear" w:color="auto" w:fill="auto"/>
          </w:tcPr>
          <w:p w14:paraId="3B4F8F58"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59" w14:textId="77777777" w:rsidR="008E6212" w:rsidRPr="004456B7" w:rsidRDefault="008E6212" w:rsidP="009C1A36">
            <w:pPr>
              <w:spacing w:after="0" w:line="240" w:lineRule="auto"/>
              <w:jc w:val="center"/>
              <w:rPr>
                <w:sz w:val="20"/>
              </w:rPr>
            </w:pPr>
            <w:r w:rsidRPr="004456B7">
              <w:rPr>
                <w:sz w:val="20"/>
              </w:rPr>
              <w:t>0.000</w:t>
            </w:r>
          </w:p>
        </w:tc>
        <w:tc>
          <w:tcPr>
            <w:tcW w:w="1469" w:type="dxa"/>
          </w:tcPr>
          <w:p w14:paraId="3B4F8F5A"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60" w14:textId="77777777" w:rsidTr="009C1A36">
        <w:trPr>
          <w:jc w:val="center"/>
        </w:trPr>
        <w:tc>
          <w:tcPr>
            <w:tcW w:w="2988" w:type="dxa"/>
            <w:shd w:val="clear" w:color="auto" w:fill="auto"/>
          </w:tcPr>
          <w:p w14:paraId="3B4F8F5C" w14:textId="77777777" w:rsidR="008E6212" w:rsidRPr="004456B7" w:rsidRDefault="008E6212" w:rsidP="009C1A36">
            <w:pPr>
              <w:spacing w:after="0" w:line="240" w:lineRule="auto"/>
              <w:rPr>
                <w:sz w:val="20"/>
              </w:rPr>
            </w:pPr>
            <w:r w:rsidRPr="004456B7">
              <w:rPr>
                <w:sz w:val="20"/>
              </w:rPr>
              <w:t>Chara spp.</w:t>
            </w:r>
          </w:p>
        </w:tc>
        <w:tc>
          <w:tcPr>
            <w:tcW w:w="1121" w:type="dxa"/>
            <w:shd w:val="clear" w:color="auto" w:fill="auto"/>
          </w:tcPr>
          <w:p w14:paraId="3B4F8F5D"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5E" w14:textId="77777777" w:rsidR="008E6212" w:rsidRPr="004456B7" w:rsidRDefault="008E6212" w:rsidP="009C1A36">
            <w:pPr>
              <w:spacing w:after="0" w:line="240" w:lineRule="auto"/>
              <w:jc w:val="center"/>
              <w:rPr>
                <w:sz w:val="20"/>
              </w:rPr>
            </w:pPr>
            <w:r w:rsidRPr="004456B7">
              <w:rPr>
                <w:sz w:val="20"/>
              </w:rPr>
              <w:t>0.000</w:t>
            </w:r>
          </w:p>
        </w:tc>
        <w:tc>
          <w:tcPr>
            <w:tcW w:w="1469" w:type="dxa"/>
          </w:tcPr>
          <w:p w14:paraId="3B4F8F5F"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65" w14:textId="77777777" w:rsidTr="009C1A36">
        <w:trPr>
          <w:jc w:val="center"/>
        </w:trPr>
        <w:tc>
          <w:tcPr>
            <w:tcW w:w="2988" w:type="dxa"/>
            <w:shd w:val="clear" w:color="auto" w:fill="auto"/>
          </w:tcPr>
          <w:p w14:paraId="3B4F8F61" w14:textId="77777777" w:rsidR="008E6212" w:rsidRPr="004456B7" w:rsidRDefault="008E6212" w:rsidP="009C1A36">
            <w:pPr>
              <w:spacing w:after="0" w:line="240" w:lineRule="auto"/>
              <w:rPr>
                <w:sz w:val="20"/>
              </w:rPr>
            </w:pPr>
            <w:r w:rsidRPr="004456B7">
              <w:rPr>
                <w:sz w:val="20"/>
              </w:rPr>
              <w:t>water primrose</w:t>
            </w:r>
          </w:p>
        </w:tc>
        <w:tc>
          <w:tcPr>
            <w:tcW w:w="1121" w:type="dxa"/>
            <w:shd w:val="clear" w:color="auto" w:fill="auto"/>
          </w:tcPr>
          <w:p w14:paraId="3B4F8F62"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63" w14:textId="77777777" w:rsidR="008E6212" w:rsidRPr="004456B7" w:rsidRDefault="008E6212" w:rsidP="009C1A36">
            <w:pPr>
              <w:spacing w:after="0" w:line="240" w:lineRule="auto"/>
              <w:jc w:val="center"/>
              <w:rPr>
                <w:sz w:val="20"/>
              </w:rPr>
            </w:pPr>
            <w:r w:rsidRPr="004456B7">
              <w:rPr>
                <w:sz w:val="20"/>
              </w:rPr>
              <w:t>0.000</w:t>
            </w:r>
          </w:p>
        </w:tc>
        <w:tc>
          <w:tcPr>
            <w:tcW w:w="1469" w:type="dxa"/>
          </w:tcPr>
          <w:p w14:paraId="3B4F8F64"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6A" w14:textId="77777777" w:rsidTr="009C1A36">
        <w:trPr>
          <w:jc w:val="center"/>
        </w:trPr>
        <w:tc>
          <w:tcPr>
            <w:tcW w:w="2988" w:type="dxa"/>
            <w:shd w:val="clear" w:color="auto" w:fill="auto"/>
          </w:tcPr>
          <w:p w14:paraId="3B4F8F66" w14:textId="77777777" w:rsidR="008E6212" w:rsidRPr="004456B7" w:rsidRDefault="008E6212" w:rsidP="009C1A36">
            <w:pPr>
              <w:spacing w:after="0" w:line="240" w:lineRule="auto"/>
              <w:rPr>
                <w:sz w:val="20"/>
              </w:rPr>
            </w:pPr>
            <w:r w:rsidRPr="004456B7">
              <w:rPr>
                <w:color w:val="000000"/>
                <w:sz w:val="20"/>
              </w:rPr>
              <w:t>water fern</w:t>
            </w:r>
          </w:p>
        </w:tc>
        <w:tc>
          <w:tcPr>
            <w:tcW w:w="1121" w:type="dxa"/>
            <w:shd w:val="clear" w:color="auto" w:fill="auto"/>
          </w:tcPr>
          <w:p w14:paraId="3B4F8F67"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68" w14:textId="77777777" w:rsidR="008E6212" w:rsidRPr="004456B7" w:rsidRDefault="008E6212" w:rsidP="009C1A36">
            <w:pPr>
              <w:spacing w:after="0" w:line="240" w:lineRule="auto"/>
              <w:jc w:val="center"/>
              <w:rPr>
                <w:sz w:val="20"/>
              </w:rPr>
            </w:pPr>
            <w:r w:rsidRPr="004456B7">
              <w:rPr>
                <w:sz w:val="20"/>
              </w:rPr>
              <w:t>0.000</w:t>
            </w:r>
          </w:p>
        </w:tc>
        <w:tc>
          <w:tcPr>
            <w:tcW w:w="1469" w:type="dxa"/>
          </w:tcPr>
          <w:p w14:paraId="3B4F8F69" w14:textId="77777777" w:rsidR="008E6212" w:rsidRPr="004456B7" w:rsidRDefault="008E6212" w:rsidP="009C1A36">
            <w:pPr>
              <w:spacing w:after="0" w:line="240" w:lineRule="auto"/>
              <w:jc w:val="center"/>
              <w:rPr>
                <w:sz w:val="20"/>
              </w:rPr>
            </w:pPr>
            <w:r w:rsidRPr="004456B7">
              <w:rPr>
                <w:sz w:val="20"/>
              </w:rPr>
              <w:t>***</w:t>
            </w:r>
          </w:p>
        </w:tc>
      </w:tr>
      <w:tr w:rsidR="008E6212" w:rsidRPr="004456B7" w14:paraId="3B4F8F6F" w14:textId="77777777" w:rsidTr="009C1A36">
        <w:trPr>
          <w:jc w:val="center"/>
        </w:trPr>
        <w:tc>
          <w:tcPr>
            <w:tcW w:w="2988" w:type="dxa"/>
            <w:shd w:val="clear" w:color="auto" w:fill="auto"/>
          </w:tcPr>
          <w:p w14:paraId="3B4F8F6B" w14:textId="77777777" w:rsidR="008E6212" w:rsidRPr="004456B7" w:rsidRDefault="008E6212" w:rsidP="009C1A36">
            <w:pPr>
              <w:spacing w:after="0" w:line="240" w:lineRule="auto"/>
              <w:rPr>
                <w:sz w:val="20"/>
              </w:rPr>
            </w:pPr>
            <w:r w:rsidRPr="004456B7">
              <w:rPr>
                <w:sz w:val="20"/>
              </w:rPr>
              <w:t>sedge</w:t>
            </w:r>
          </w:p>
        </w:tc>
        <w:tc>
          <w:tcPr>
            <w:tcW w:w="1121" w:type="dxa"/>
            <w:shd w:val="clear" w:color="auto" w:fill="auto"/>
          </w:tcPr>
          <w:p w14:paraId="3B4F8F6C" w14:textId="77777777" w:rsidR="008E6212" w:rsidRPr="004456B7" w:rsidRDefault="008E6212" w:rsidP="009C1A36">
            <w:pPr>
              <w:spacing w:after="0" w:line="240" w:lineRule="auto"/>
              <w:jc w:val="center"/>
              <w:rPr>
                <w:sz w:val="20"/>
              </w:rPr>
            </w:pPr>
            <w:r w:rsidRPr="004456B7">
              <w:rPr>
                <w:sz w:val="20"/>
              </w:rPr>
              <w:t>3</w:t>
            </w:r>
          </w:p>
        </w:tc>
        <w:tc>
          <w:tcPr>
            <w:tcW w:w="1384" w:type="dxa"/>
            <w:shd w:val="clear" w:color="auto" w:fill="auto"/>
          </w:tcPr>
          <w:p w14:paraId="3B4F8F6D" w14:textId="77777777" w:rsidR="008E6212" w:rsidRPr="004456B7" w:rsidRDefault="008E6212" w:rsidP="009C1A36">
            <w:pPr>
              <w:spacing w:after="0" w:line="240" w:lineRule="auto"/>
              <w:jc w:val="center"/>
              <w:rPr>
                <w:sz w:val="20"/>
              </w:rPr>
            </w:pPr>
            <w:r w:rsidRPr="004456B7">
              <w:rPr>
                <w:sz w:val="20"/>
              </w:rPr>
              <w:t>0.076</w:t>
            </w:r>
          </w:p>
        </w:tc>
        <w:tc>
          <w:tcPr>
            <w:tcW w:w="1469" w:type="dxa"/>
          </w:tcPr>
          <w:p w14:paraId="3B4F8F6E" w14:textId="77777777" w:rsidR="008E6212" w:rsidRPr="004456B7" w:rsidRDefault="008E6212" w:rsidP="009C1A36">
            <w:pPr>
              <w:spacing w:after="0" w:line="240" w:lineRule="auto"/>
              <w:jc w:val="center"/>
              <w:rPr>
                <w:sz w:val="20"/>
              </w:rPr>
            </w:pPr>
            <w:r w:rsidRPr="004456B7">
              <w:rPr>
                <w:sz w:val="20"/>
              </w:rPr>
              <w:t>ns</w:t>
            </w:r>
          </w:p>
        </w:tc>
      </w:tr>
      <w:tr w:rsidR="008E6212" w:rsidRPr="004456B7" w14:paraId="3B4F8F74" w14:textId="77777777" w:rsidTr="009C1A36">
        <w:trPr>
          <w:jc w:val="center"/>
        </w:trPr>
        <w:tc>
          <w:tcPr>
            <w:tcW w:w="2988" w:type="dxa"/>
            <w:tcBorders>
              <w:bottom w:val="single" w:sz="4" w:space="0" w:color="auto"/>
            </w:tcBorders>
            <w:shd w:val="clear" w:color="auto" w:fill="auto"/>
          </w:tcPr>
          <w:p w14:paraId="3B4F8F70" w14:textId="77777777" w:rsidR="008E6212" w:rsidRPr="004456B7" w:rsidRDefault="008E6212" w:rsidP="009C1A36">
            <w:pPr>
              <w:spacing w:after="0" w:line="240" w:lineRule="auto"/>
              <w:rPr>
                <w:sz w:val="20"/>
              </w:rPr>
            </w:pPr>
            <w:r w:rsidRPr="004456B7">
              <w:rPr>
                <w:sz w:val="20"/>
              </w:rPr>
              <w:t>Leaf litter</w:t>
            </w:r>
          </w:p>
        </w:tc>
        <w:tc>
          <w:tcPr>
            <w:tcW w:w="1121" w:type="dxa"/>
            <w:tcBorders>
              <w:bottom w:val="single" w:sz="4" w:space="0" w:color="auto"/>
            </w:tcBorders>
            <w:shd w:val="clear" w:color="auto" w:fill="auto"/>
          </w:tcPr>
          <w:p w14:paraId="3B4F8F71" w14:textId="77777777" w:rsidR="008E6212" w:rsidRPr="004456B7" w:rsidRDefault="008E6212" w:rsidP="009C1A36">
            <w:pPr>
              <w:spacing w:after="0" w:line="240" w:lineRule="auto"/>
              <w:jc w:val="center"/>
              <w:rPr>
                <w:sz w:val="20"/>
              </w:rPr>
            </w:pPr>
            <w:r w:rsidRPr="004456B7">
              <w:rPr>
                <w:sz w:val="20"/>
              </w:rPr>
              <w:t>3</w:t>
            </w:r>
          </w:p>
        </w:tc>
        <w:tc>
          <w:tcPr>
            <w:tcW w:w="1384" w:type="dxa"/>
            <w:tcBorders>
              <w:bottom w:val="single" w:sz="4" w:space="0" w:color="auto"/>
            </w:tcBorders>
            <w:shd w:val="clear" w:color="auto" w:fill="auto"/>
          </w:tcPr>
          <w:p w14:paraId="3B4F8F72" w14:textId="77777777" w:rsidR="008E6212" w:rsidRPr="004456B7" w:rsidRDefault="008E6212" w:rsidP="009C1A36">
            <w:pPr>
              <w:spacing w:after="0" w:line="240" w:lineRule="auto"/>
              <w:jc w:val="center"/>
              <w:rPr>
                <w:sz w:val="20"/>
              </w:rPr>
            </w:pPr>
            <w:r w:rsidRPr="004456B7">
              <w:rPr>
                <w:sz w:val="20"/>
              </w:rPr>
              <w:t>0.000</w:t>
            </w:r>
          </w:p>
        </w:tc>
        <w:tc>
          <w:tcPr>
            <w:tcW w:w="1469" w:type="dxa"/>
            <w:tcBorders>
              <w:bottom w:val="single" w:sz="4" w:space="0" w:color="auto"/>
            </w:tcBorders>
          </w:tcPr>
          <w:p w14:paraId="3B4F8F73" w14:textId="77777777" w:rsidR="008E6212" w:rsidRPr="004456B7" w:rsidRDefault="008E6212" w:rsidP="009C1A36">
            <w:pPr>
              <w:spacing w:after="0" w:line="240" w:lineRule="auto"/>
              <w:jc w:val="center"/>
              <w:rPr>
                <w:sz w:val="20"/>
              </w:rPr>
            </w:pPr>
            <w:r w:rsidRPr="004456B7">
              <w:rPr>
                <w:sz w:val="20"/>
              </w:rPr>
              <w:t>***</w:t>
            </w:r>
          </w:p>
        </w:tc>
      </w:tr>
    </w:tbl>
    <w:p w14:paraId="3B4F8F75" w14:textId="77777777" w:rsidR="008E6212" w:rsidRDefault="008E6212" w:rsidP="008E6212">
      <w:pPr>
        <w:spacing w:after="0" w:line="240" w:lineRule="auto"/>
        <w:rPr>
          <w:noProof/>
          <w:lang w:eastAsia="en-AU"/>
        </w:rPr>
      </w:pPr>
    </w:p>
    <w:p w14:paraId="3B4F8F76" w14:textId="77777777" w:rsidR="008E6212" w:rsidRDefault="008E6212" w:rsidP="008E6212">
      <w:pPr>
        <w:spacing w:after="0" w:line="240" w:lineRule="auto"/>
        <w:rPr>
          <w:noProof/>
          <w:lang w:eastAsia="en-AU"/>
        </w:rPr>
      </w:pPr>
    </w:p>
    <w:p w14:paraId="3B4F8F77" w14:textId="77777777" w:rsidR="008E6212" w:rsidRDefault="008E6212" w:rsidP="008E6212">
      <w:pPr>
        <w:spacing w:after="0" w:line="240" w:lineRule="auto"/>
        <w:rPr>
          <w:noProof/>
          <w:lang w:eastAsia="en-AU"/>
        </w:rPr>
      </w:pPr>
    </w:p>
    <w:p w14:paraId="3B4F8F78" w14:textId="77777777" w:rsidR="008E6212" w:rsidRDefault="008E6212" w:rsidP="008E6212">
      <w:pPr>
        <w:spacing w:after="0" w:line="240" w:lineRule="auto"/>
        <w:jc w:val="center"/>
      </w:pPr>
      <w:r>
        <w:rPr>
          <w:noProof/>
          <w:lang w:eastAsia="en-AU"/>
        </w:rPr>
        <w:drawing>
          <wp:inline distT="0" distB="0" distL="0" distR="0" wp14:anchorId="3B4F9658" wp14:editId="27A0A776">
            <wp:extent cx="4276725" cy="5237051"/>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4295318" cy="5259819"/>
                    </a:xfrm>
                    <a:prstGeom prst="rect">
                      <a:avLst/>
                    </a:prstGeom>
                    <a:noFill/>
                  </pic:spPr>
                </pic:pic>
              </a:graphicData>
            </a:graphic>
          </wp:inline>
        </w:drawing>
      </w:r>
    </w:p>
    <w:p w14:paraId="3B4F8F79" w14:textId="77777777" w:rsidR="008E6212" w:rsidRPr="004456B7" w:rsidRDefault="008E6212" w:rsidP="008E6212">
      <w:pPr>
        <w:spacing w:after="240" w:line="240" w:lineRule="auto"/>
      </w:pPr>
      <w:r w:rsidRPr="004426B4">
        <w:rPr>
          <w:b/>
          <w:sz w:val="20"/>
        </w:rPr>
        <w:t xml:space="preserve">Figure </w:t>
      </w:r>
      <w:r w:rsidR="00C225D3">
        <w:rPr>
          <w:b/>
          <w:sz w:val="20"/>
        </w:rPr>
        <w:t>C.7</w:t>
      </w:r>
      <w:r>
        <w:rPr>
          <w:b/>
          <w:sz w:val="20"/>
        </w:rPr>
        <w:t>.</w:t>
      </w:r>
      <w:r w:rsidRPr="004426B4">
        <w:rPr>
          <w:b/>
          <w:sz w:val="20"/>
        </w:rPr>
        <w:t xml:space="preserve"> </w:t>
      </w:r>
      <w:r w:rsidRPr="004426B4">
        <w:rPr>
          <w:sz w:val="20"/>
        </w:rPr>
        <w:t xml:space="preserve">Mean cover (±SE) of </w:t>
      </w:r>
      <w:r>
        <w:rPr>
          <w:sz w:val="20"/>
        </w:rPr>
        <w:t xml:space="preserve">seven abundant </w:t>
      </w:r>
      <w:r w:rsidRPr="004426B4">
        <w:rPr>
          <w:sz w:val="20"/>
        </w:rPr>
        <w:t xml:space="preserve">riverbank and aquatic vegetation </w:t>
      </w:r>
      <w:r>
        <w:rPr>
          <w:sz w:val="20"/>
        </w:rPr>
        <w:t xml:space="preserve">and leaf litter </w:t>
      </w:r>
      <w:r w:rsidRPr="004426B4">
        <w:rPr>
          <w:sz w:val="20"/>
        </w:rPr>
        <w:t>sampled in 2014-2-15 in t</w:t>
      </w:r>
      <w:r>
        <w:rPr>
          <w:sz w:val="20"/>
        </w:rPr>
        <w:t xml:space="preserve">he Edward-Wakool Selected Area. </w:t>
      </w:r>
      <w:r w:rsidRPr="00040249">
        <w:rPr>
          <w:sz w:val="20"/>
        </w:rPr>
        <w:t xml:space="preserve"> Significant </w:t>
      </w:r>
      <w:r>
        <w:rPr>
          <w:sz w:val="20"/>
        </w:rPr>
        <w:t xml:space="preserve">statistical </w:t>
      </w:r>
      <w:r w:rsidRPr="00040249">
        <w:rPr>
          <w:sz w:val="20"/>
        </w:rPr>
        <w:t>differences in mean cover across the four study zones are shown using small letters.</w:t>
      </w:r>
      <w:r w:rsidRPr="00040249">
        <w:br w:type="page"/>
      </w:r>
    </w:p>
    <w:p w14:paraId="3B4F8F7A" w14:textId="77777777" w:rsidR="008E6212" w:rsidRPr="00D959F3" w:rsidRDefault="008E6212" w:rsidP="008E6212">
      <w:pPr>
        <w:spacing w:after="240" w:line="324" w:lineRule="exact"/>
        <w:rPr>
          <w:b/>
          <w:bCs/>
          <w:color w:val="4F6228" w:themeColor="accent3" w:themeShade="80"/>
          <w:sz w:val="26"/>
          <w:szCs w:val="26"/>
        </w:rPr>
      </w:pPr>
      <w:r>
        <w:rPr>
          <w:b/>
          <w:bCs/>
          <w:color w:val="4F6228" w:themeColor="accent3" w:themeShade="80"/>
          <w:sz w:val="26"/>
          <w:szCs w:val="26"/>
        </w:rPr>
        <w:lastRenderedPageBreak/>
        <w:t>C</w:t>
      </w:r>
      <w:r w:rsidRPr="00D959F3">
        <w:rPr>
          <w:b/>
          <w:bCs/>
          <w:color w:val="4F6228" w:themeColor="accent3" w:themeShade="80"/>
          <w:sz w:val="26"/>
          <w:szCs w:val="26"/>
        </w:rPr>
        <w:t xml:space="preserve">.5 </w:t>
      </w:r>
      <w:r>
        <w:rPr>
          <w:b/>
          <w:bCs/>
          <w:color w:val="4F6228" w:themeColor="accent3" w:themeShade="80"/>
          <w:sz w:val="26"/>
          <w:szCs w:val="26"/>
        </w:rPr>
        <w:t xml:space="preserve">  </w:t>
      </w:r>
      <w:r w:rsidRPr="00D959F3">
        <w:rPr>
          <w:b/>
          <w:bCs/>
          <w:color w:val="4F6228" w:themeColor="accent3" w:themeShade="80"/>
          <w:sz w:val="26"/>
          <w:szCs w:val="26"/>
        </w:rPr>
        <w:t>Discussion</w:t>
      </w:r>
    </w:p>
    <w:p w14:paraId="3B4F8F7B" w14:textId="77777777" w:rsidR="008E6212" w:rsidRDefault="008E6212" w:rsidP="008E6212">
      <w:pPr>
        <w:spacing w:after="240" w:line="324" w:lineRule="exact"/>
        <w:jc w:val="left"/>
      </w:pPr>
      <w:r w:rsidRPr="00D959F3">
        <w:t>There was a significant response of riverbank and aquatic vegetation to Commonwealth environmental watering with higher percent cover observed in two of the three zones that received Commonwealth environmental water.</w:t>
      </w:r>
      <w:r>
        <w:t xml:space="preserve"> </w:t>
      </w:r>
    </w:p>
    <w:p w14:paraId="3B4F8F7C" w14:textId="77777777" w:rsidR="008E6212" w:rsidRPr="00D959F3" w:rsidRDefault="008E6212" w:rsidP="008E6212">
      <w:pPr>
        <w:spacing w:after="240" w:line="324" w:lineRule="exact"/>
        <w:jc w:val="left"/>
      </w:pPr>
      <w:r>
        <w:t>Some a</w:t>
      </w:r>
      <w:r w:rsidRPr="00D959F3">
        <w:t xml:space="preserve">mphibious vegetation taxa </w:t>
      </w:r>
      <w:r>
        <w:t>had higher</w:t>
      </w:r>
      <w:r w:rsidRPr="00D959F3">
        <w:t xml:space="preserve"> cover in the shallow edges of zones 1, 3 and 4 during the environmental watering and contracted to transect 2 and then to transect 1 on the recession of the environmental watering action.</w:t>
      </w:r>
      <w:r>
        <w:t xml:space="preserve"> </w:t>
      </w:r>
      <w:r w:rsidRPr="00D959F3">
        <w:t xml:space="preserve">Several </w:t>
      </w:r>
      <w:r>
        <w:t>amphibious</w:t>
      </w:r>
      <w:r w:rsidRPr="00D959F3">
        <w:t xml:space="preserve"> taxa such as </w:t>
      </w:r>
      <w:r w:rsidRPr="004939F3">
        <w:t>floating pondweed, milfoil and water fern</w:t>
      </w:r>
      <w:r w:rsidRPr="00D959F3">
        <w:t xml:space="preserve"> were absent from the Wakool River zone 2 that has received </w:t>
      </w:r>
      <w:r>
        <w:t>a very small volume</w:t>
      </w:r>
      <w:r w:rsidRPr="00D959F3">
        <w:t xml:space="preserve"> of Commonwealth environmental water, and other taxa such as </w:t>
      </w:r>
      <w:r>
        <w:t xml:space="preserve">the macroalgae </w:t>
      </w:r>
      <w:r w:rsidRPr="004939F3">
        <w:rPr>
          <w:i/>
        </w:rPr>
        <w:t>Chara</w:t>
      </w:r>
      <w:r w:rsidRPr="00D959F3">
        <w:t xml:space="preserve"> spp., </w:t>
      </w:r>
      <w:r w:rsidRPr="0025182E">
        <w:t>spike rush and mudwort</w:t>
      </w:r>
      <w:r w:rsidRPr="00D959F3">
        <w:t xml:space="preserve"> were in low abundance in this zone. </w:t>
      </w:r>
    </w:p>
    <w:p w14:paraId="3B4F8F7D" w14:textId="77777777" w:rsidR="008E6212" w:rsidRPr="00D959F3" w:rsidRDefault="008E6212" w:rsidP="008E6212">
      <w:pPr>
        <w:spacing w:after="240" w:line="324" w:lineRule="exact"/>
        <w:jc w:val="left"/>
      </w:pPr>
      <w:r w:rsidRPr="00D959F3">
        <w:t>The response of aquatic and riverbank vegetation to the environmental watering action in Yallakool Creek in 2014-15 was not consistent among the three hydrological zones that received Commonwealth environmental water. The response of vegetation to environmental watering was strongly related to in-channel geomorphology, with river reaches having a gentle slope, shallow in-channel benches and a larger area of benthic inundation during environmental watering having a higher percent cover of plants. Thus the larger the area of shallow inundation created during the watering action</w:t>
      </w:r>
      <w:r w:rsidR="000038C7">
        <w:t>,</w:t>
      </w:r>
      <w:r w:rsidRPr="00D959F3">
        <w:t xml:space="preserve"> in combination with the </w:t>
      </w:r>
      <w:r>
        <w:t xml:space="preserve">damp river bank created during the </w:t>
      </w:r>
      <w:r w:rsidRPr="00D959F3">
        <w:t xml:space="preserve">recession of the </w:t>
      </w:r>
      <w:r>
        <w:t>watering actions</w:t>
      </w:r>
      <w:r w:rsidR="000038C7">
        <w:t>,</w:t>
      </w:r>
      <w:r w:rsidRPr="00D959F3">
        <w:t xml:space="preserve"> creates op</w:t>
      </w:r>
      <w:r>
        <w:t>portunities</w:t>
      </w:r>
      <w:r w:rsidRPr="00D959F3">
        <w:t xml:space="preserve"> for </w:t>
      </w:r>
      <w:r>
        <w:t xml:space="preserve">a range of submerged and amphibious </w:t>
      </w:r>
      <w:r w:rsidRPr="00D959F3">
        <w:t>plants to grow and germinate.</w:t>
      </w:r>
    </w:p>
    <w:p w14:paraId="3B4F8F7E" w14:textId="77777777" w:rsidR="008E6212" w:rsidRPr="00D959F3" w:rsidRDefault="008E6212" w:rsidP="008E6212">
      <w:pPr>
        <w:pStyle w:val="ListBullet"/>
        <w:spacing w:after="240" w:line="324" w:lineRule="exact"/>
        <w:contextualSpacing w:val="0"/>
        <w:jc w:val="left"/>
        <w:rPr>
          <w:rFonts w:eastAsia="Calibri"/>
          <w:sz w:val="22"/>
          <w:lang w:eastAsia="en-US"/>
        </w:rPr>
      </w:pPr>
      <w:r w:rsidRPr="00D959F3">
        <w:rPr>
          <w:rFonts w:eastAsia="Calibri"/>
          <w:sz w:val="22"/>
          <w:lang w:eastAsia="en-US"/>
        </w:rPr>
        <w:t>The watering action in 2015-16 was managed with a slower rate of recession than in 2013-14 or 2014-15. This management action was based on learning from previous watering events to avoid stranding of biota and enable the aquatic vegetation to persist over an extended period of time. In 2012-13 the recession at the end of the Yallakool Creek environmental watering action was rapid and aquatic vegetation was exposed and desiccated immediately after recession of e-watering (Watts et al. 2014</w:t>
      </w:r>
      <w:r>
        <w:rPr>
          <w:rFonts w:eastAsia="Calibri"/>
          <w:sz w:val="22"/>
          <w:lang w:eastAsia="en-US"/>
        </w:rPr>
        <w:t>b</w:t>
      </w:r>
      <w:r w:rsidRPr="00D959F3">
        <w:rPr>
          <w:rFonts w:eastAsia="Calibri"/>
          <w:sz w:val="22"/>
          <w:lang w:eastAsia="en-US"/>
        </w:rPr>
        <w:t xml:space="preserve">). The longer recession </w:t>
      </w:r>
      <w:r w:rsidR="000038C7">
        <w:rPr>
          <w:rFonts w:eastAsia="Calibri"/>
          <w:sz w:val="22"/>
          <w:lang w:eastAsia="en-US"/>
        </w:rPr>
        <w:t xml:space="preserve">in this season </w:t>
      </w:r>
      <w:r w:rsidRPr="00D959F3">
        <w:rPr>
          <w:rFonts w:eastAsia="Calibri"/>
          <w:sz w:val="22"/>
          <w:lang w:eastAsia="en-US"/>
        </w:rPr>
        <w:t xml:space="preserve">resulted in longer duration of </w:t>
      </w:r>
      <w:r>
        <w:rPr>
          <w:rFonts w:eastAsia="Calibri"/>
          <w:sz w:val="22"/>
          <w:lang w:eastAsia="en-US"/>
        </w:rPr>
        <w:t xml:space="preserve">presence </w:t>
      </w:r>
      <w:r w:rsidRPr="00D959F3">
        <w:rPr>
          <w:rFonts w:eastAsia="Calibri"/>
          <w:sz w:val="22"/>
          <w:lang w:eastAsia="en-US"/>
        </w:rPr>
        <w:t xml:space="preserve">of some taxa, such as </w:t>
      </w:r>
      <w:r>
        <w:rPr>
          <w:rFonts w:eastAsia="Calibri"/>
          <w:sz w:val="22"/>
          <w:lang w:eastAsia="en-US"/>
        </w:rPr>
        <w:t xml:space="preserve">the macroalgae </w:t>
      </w:r>
      <w:r w:rsidRPr="00D959F3">
        <w:rPr>
          <w:rFonts w:eastAsia="Calibri"/>
          <w:i/>
          <w:sz w:val="22"/>
          <w:lang w:eastAsia="en-US"/>
        </w:rPr>
        <w:t>Chara</w:t>
      </w:r>
      <w:r w:rsidRPr="00D959F3">
        <w:rPr>
          <w:rFonts w:eastAsia="Calibri"/>
          <w:sz w:val="22"/>
          <w:lang w:eastAsia="en-US"/>
        </w:rPr>
        <w:t xml:space="preserve"> spp and </w:t>
      </w:r>
      <w:r w:rsidRPr="004939F3">
        <w:rPr>
          <w:rFonts w:eastAsia="Calibri"/>
          <w:sz w:val="22"/>
          <w:lang w:eastAsia="en-US"/>
        </w:rPr>
        <w:t>mudwort</w:t>
      </w:r>
      <w:r>
        <w:rPr>
          <w:rFonts w:eastAsia="Calibri"/>
          <w:sz w:val="22"/>
          <w:lang w:eastAsia="en-US"/>
        </w:rPr>
        <w:t>.</w:t>
      </w:r>
      <w:r w:rsidRPr="00D959F3">
        <w:rPr>
          <w:rFonts w:eastAsia="Calibri"/>
          <w:sz w:val="22"/>
          <w:lang w:eastAsia="en-US"/>
        </w:rPr>
        <w:t xml:space="preserve"> </w:t>
      </w:r>
      <w:r>
        <w:rPr>
          <w:rFonts w:eastAsia="Calibri"/>
          <w:sz w:val="22"/>
          <w:lang w:eastAsia="en-US"/>
        </w:rPr>
        <w:t>After the recession of the environmental flow these</w:t>
      </w:r>
      <w:r w:rsidRPr="00D959F3">
        <w:rPr>
          <w:rFonts w:eastAsia="Calibri"/>
          <w:sz w:val="22"/>
          <w:lang w:eastAsia="en-US"/>
        </w:rPr>
        <w:t xml:space="preserve"> </w:t>
      </w:r>
      <w:r w:rsidRPr="00916C24">
        <w:rPr>
          <w:rFonts w:eastAsia="Calibri"/>
          <w:sz w:val="22"/>
          <w:lang w:eastAsia="en-US"/>
        </w:rPr>
        <w:t>macroalgae desiccate during</w:t>
      </w:r>
      <w:r>
        <w:rPr>
          <w:rFonts w:eastAsia="Calibri"/>
          <w:sz w:val="22"/>
          <w:lang w:eastAsia="en-US"/>
        </w:rPr>
        <w:t xml:space="preserve"> summer, and this store of nutrients bound to sediment </w:t>
      </w:r>
      <w:r w:rsidRPr="00D959F3">
        <w:rPr>
          <w:rFonts w:eastAsia="Calibri"/>
          <w:sz w:val="22"/>
          <w:lang w:eastAsia="en-US"/>
        </w:rPr>
        <w:t>would provide nutrients to help ‘kick-start’ a river productivity response during subsequent inundation events.</w:t>
      </w:r>
    </w:p>
    <w:p w14:paraId="3B4F8F7F" w14:textId="77777777" w:rsidR="008E6212" w:rsidRDefault="008E6212" w:rsidP="008E6212">
      <w:pPr>
        <w:spacing w:after="240" w:line="324" w:lineRule="exact"/>
        <w:jc w:val="left"/>
      </w:pPr>
      <w:r w:rsidRPr="001E5F9E">
        <w:t xml:space="preserve">The cover of one of the longer lived taxa, </w:t>
      </w:r>
      <w:r w:rsidRPr="004939F3">
        <w:rPr>
          <w:i/>
        </w:rPr>
        <w:t>Juncus spp.</w:t>
      </w:r>
      <w:r w:rsidRPr="001E5F9E">
        <w:t xml:space="preserve"> was </w:t>
      </w:r>
      <w:r>
        <w:t xml:space="preserve">significantly </w:t>
      </w:r>
      <w:r w:rsidRPr="001E5F9E">
        <w:t xml:space="preserve">higher in Wakool River zone 2 than in </w:t>
      </w:r>
      <w:r>
        <w:t>zone three or four</w:t>
      </w:r>
      <w:r w:rsidRPr="001E5F9E">
        <w:t xml:space="preserve">. </w:t>
      </w:r>
      <w:r>
        <w:t>In</w:t>
      </w:r>
      <w:r w:rsidRPr="001E5F9E">
        <w:t xml:space="preserve"> zone 2 the </w:t>
      </w:r>
      <w:r w:rsidRPr="004939F3">
        <w:rPr>
          <w:i/>
        </w:rPr>
        <w:t xml:space="preserve">Juncus sp. </w:t>
      </w:r>
      <w:r w:rsidRPr="001E5F9E">
        <w:t xml:space="preserve">plants were of similar height </w:t>
      </w:r>
      <w:r>
        <w:t>and</w:t>
      </w:r>
      <w:r w:rsidRPr="001E5F9E">
        <w:t xml:space="preserve"> occur</w:t>
      </w:r>
      <w:r>
        <w:t>red</w:t>
      </w:r>
      <w:r w:rsidRPr="001E5F9E">
        <w:t xml:space="preserve"> in one or two narrow bands that corresponded with the height of a previous unregulated event or at the water level of the dominant operational flow.</w:t>
      </w:r>
      <w:r>
        <w:t xml:space="preserve"> </w:t>
      </w:r>
    </w:p>
    <w:p w14:paraId="3B4F8F80" w14:textId="77777777" w:rsidR="008E6212" w:rsidRPr="001E5F9E" w:rsidRDefault="008E6212" w:rsidP="008E6212">
      <w:pPr>
        <w:spacing w:after="240" w:line="324" w:lineRule="exact"/>
        <w:jc w:val="left"/>
      </w:pPr>
      <w:r>
        <w:lastRenderedPageBreak/>
        <w:t xml:space="preserve">Recruitment of </w:t>
      </w:r>
      <w:r w:rsidRPr="001E5F9E">
        <w:t xml:space="preserve">plants </w:t>
      </w:r>
      <w:r>
        <w:t xml:space="preserve">was observed </w:t>
      </w:r>
      <w:r w:rsidRPr="001E5F9E">
        <w:t xml:space="preserve">in zones 1, 3 and 4 </w:t>
      </w:r>
      <w:r>
        <w:t xml:space="preserve">where there has been environmental </w:t>
      </w:r>
      <w:r w:rsidRPr="001E5F9E">
        <w:t>watering ov</w:t>
      </w:r>
      <w:r>
        <w:t>er 2012-13, 2013-14 and 2014-15 and 2015-16. There was very limited recruitment of occurring in the upper Wakool River (zone 2). There was a significantly higher load of leaf litter in zone 2 and it is possible this may supress recruitment of aquatic plants. A higher environmental flow in this system may help shift the leaf litter and expose sections of banks creating opportunities for plant germination.</w:t>
      </w:r>
    </w:p>
    <w:p w14:paraId="3B4F8F81" w14:textId="77777777" w:rsidR="008E6212" w:rsidRDefault="008E6212" w:rsidP="008E6212">
      <w:pPr>
        <w:spacing w:after="240" w:line="324" w:lineRule="exact"/>
        <w:jc w:val="left"/>
      </w:pPr>
      <w:r>
        <w:t xml:space="preserve">The most evident change across years was in the cover of common amphibious taxa; there was an increase in abundance of mud grass, floating pondweed, milfoil, and water primrose, and an increase in the submerged macroalgae </w:t>
      </w:r>
      <w:r w:rsidRPr="00A85EE8">
        <w:rPr>
          <w:i/>
        </w:rPr>
        <w:t>Chara</w:t>
      </w:r>
      <w:r>
        <w:t xml:space="preserve"> spp.</w:t>
      </w:r>
    </w:p>
    <w:p w14:paraId="3B4F8F82" w14:textId="77777777" w:rsidR="008E6212" w:rsidRDefault="008E6212" w:rsidP="008E6212">
      <w:pPr>
        <w:spacing w:after="240" w:line="324" w:lineRule="exact"/>
        <w:jc w:val="left"/>
      </w:pPr>
      <w:r w:rsidRPr="00D959F3">
        <w:t>The response of aquatic and riverbank vegetation to environmental watering has been an ongoing process and the observations in 2015-16 document a continuation of a gradual improvement in vegetation in this system over the past few years.</w:t>
      </w:r>
    </w:p>
    <w:p w14:paraId="3B4F8F83" w14:textId="77777777" w:rsidR="008E6212" w:rsidRDefault="008E6212" w:rsidP="00417F7C">
      <w:pPr>
        <w:pStyle w:val="Heading1"/>
      </w:pPr>
      <w:r>
        <w:br w:type="page"/>
      </w:r>
    </w:p>
    <w:p w14:paraId="3B4F8F84" w14:textId="77777777" w:rsidR="008E6212" w:rsidRDefault="008E6212" w:rsidP="00417F7C">
      <w:pPr>
        <w:pStyle w:val="Heading1"/>
      </w:pPr>
      <w:bookmarkStart w:id="42" w:name="_Toc484078421"/>
      <w:r>
        <w:lastRenderedPageBreak/>
        <w:t>Appendix D: Fish</w:t>
      </w:r>
      <w:bookmarkEnd w:id="42"/>
    </w:p>
    <w:p w14:paraId="3B4F8F85" w14:textId="77777777" w:rsidR="008E6212" w:rsidRDefault="008E6212" w:rsidP="008E6212">
      <w:pPr>
        <w:pStyle w:val="Default"/>
        <w:spacing w:after="240" w:line="324" w:lineRule="exact"/>
        <w:rPr>
          <w:rFonts w:asciiTheme="minorHAnsi" w:hAnsiTheme="minorHAnsi"/>
          <w:b/>
          <w:color w:val="4F6228" w:themeColor="accent3" w:themeShade="80"/>
          <w:sz w:val="26"/>
          <w:szCs w:val="26"/>
        </w:rPr>
      </w:pPr>
    </w:p>
    <w:p w14:paraId="3B4F8F86" w14:textId="77777777" w:rsidR="008E6212" w:rsidRPr="00337C70" w:rsidRDefault="008E6212" w:rsidP="008E6212">
      <w:pPr>
        <w:pStyle w:val="Default"/>
        <w:spacing w:after="240" w:line="324" w:lineRule="exact"/>
        <w:rPr>
          <w:rFonts w:asciiTheme="minorHAnsi" w:hAnsiTheme="minorHAnsi"/>
          <w:b/>
          <w:color w:val="4F6228" w:themeColor="accent3" w:themeShade="80"/>
          <w:sz w:val="26"/>
          <w:szCs w:val="26"/>
        </w:rPr>
      </w:pPr>
      <w:r w:rsidRPr="00337C70">
        <w:rPr>
          <w:rFonts w:asciiTheme="minorHAnsi" w:hAnsiTheme="minorHAnsi"/>
          <w:b/>
          <w:color w:val="4F6228" w:themeColor="accent3" w:themeShade="80"/>
          <w:sz w:val="26"/>
          <w:szCs w:val="26"/>
        </w:rPr>
        <w:t>D.1   Background</w:t>
      </w:r>
    </w:p>
    <w:p w14:paraId="3B4F8F87" w14:textId="0FB5EC4A" w:rsidR="008E6212" w:rsidRPr="00900610" w:rsidRDefault="008E6212" w:rsidP="008E6212">
      <w:pPr>
        <w:pStyle w:val="Default"/>
        <w:spacing w:after="240" w:line="320" w:lineRule="exact"/>
        <w:rPr>
          <w:rFonts w:asciiTheme="minorHAnsi" w:hAnsiTheme="minorHAnsi" w:cs="Times New Roman"/>
          <w:sz w:val="22"/>
          <w:szCs w:val="22"/>
        </w:rPr>
      </w:pPr>
      <w:r w:rsidRPr="008C2E09">
        <w:rPr>
          <w:rFonts w:asciiTheme="minorHAnsi" w:hAnsiTheme="minorHAnsi"/>
          <w:sz w:val="22"/>
          <w:szCs w:val="22"/>
        </w:rPr>
        <w:t>The Edward-Wakool system is recognised as a priority area for fish diversity in the Murray-Darling Basin, including threatened and endangered fish, and it is part of the ‘aquatic ecological community in the natural drainage system of the lower Murray River catchment’ in New South Wales (</w:t>
      </w:r>
      <w:r w:rsidRPr="008C2E09">
        <w:rPr>
          <w:rFonts w:asciiTheme="minorHAnsi" w:hAnsiTheme="minorHAnsi"/>
          <w:i/>
          <w:sz w:val="22"/>
          <w:szCs w:val="22"/>
        </w:rPr>
        <w:t>NSW Fisheries Management Act 1994</w:t>
      </w:r>
      <w:r w:rsidRPr="008C2E09">
        <w:rPr>
          <w:rFonts w:asciiTheme="minorHAnsi" w:hAnsiTheme="minorHAnsi"/>
          <w:sz w:val="22"/>
          <w:szCs w:val="22"/>
        </w:rPr>
        <w:t>). Outcomes for fish have been the main focus of watering actions in the Edward-Wakool system and they are the key environmental asset valued by the Edward-Wakool community.</w:t>
      </w:r>
      <w:r>
        <w:rPr>
          <w:rFonts w:asciiTheme="minorHAnsi" w:hAnsiTheme="minorHAnsi"/>
          <w:sz w:val="22"/>
          <w:szCs w:val="22"/>
        </w:rPr>
        <w:t xml:space="preserve"> </w:t>
      </w:r>
      <w:r w:rsidRPr="00C02140">
        <w:rPr>
          <w:rFonts w:asciiTheme="minorHAnsi" w:hAnsiTheme="minorHAnsi"/>
          <w:sz w:val="22"/>
          <w:szCs w:val="22"/>
        </w:rPr>
        <w:t xml:space="preserve">Historically, the </w:t>
      </w:r>
      <w:r w:rsidR="00DD0DA7" w:rsidRPr="008C2E09">
        <w:rPr>
          <w:rFonts w:asciiTheme="minorHAnsi" w:hAnsiTheme="minorHAnsi"/>
          <w:sz w:val="22"/>
          <w:szCs w:val="22"/>
        </w:rPr>
        <w:t xml:space="preserve">Edward-Wakool </w:t>
      </w:r>
      <w:r w:rsidRPr="00C02140">
        <w:rPr>
          <w:rFonts w:asciiTheme="minorHAnsi" w:hAnsiTheme="minorHAnsi"/>
          <w:sz w:val="22"/>
          <w:szCs w:val="22"/>
        </w:rPr>
        <w:t>system had diverse fish communities and supported extensive commercial and recreational fisheries (Rowland 1998).</w:t>
      </w:r>
      <w:r>
        <w:rPr>
          <w:rFonts w:asciiTheme="minorHAnsi" w:hAnsiTheme="minorHAnsi"/>
          <w:sz w:val="22"/>
          <w:szCs w:val="22"/>
        </w:rPr>
        <w:t xml:space="preserve"> Twenty two native freshwater fish species are thought to have historically occupied the lowland region of the central Murray valley (Table D.1), including the recently described </w:t>
      </w:r>
      <w:r w:rsidRPr="00C02140">
        <w:rPr>
          <w:rFonts w:asciiTheme="minorHAnsi" w:hAnsiTheme="minorHAnsi"/>
          <w:sz w:val="22"/>
          <w:szCs w:val="22"/>
        </w:rPr>
        <w:t>obscure galaxias</w:t>
      </w:r>
      <w:r>
        <w:rPr>
          <w:rFonts w:asciiTheme="minorHAnsi" w:hAnsiTheme="minorHAnsi"/>
          <w:sz w:val="22"/>
          <w:szCs w:val="22"/>
        </w:rPr>
        <w:t xml:space="preserve"> (</w:t>
      </w:r>
      <w:r w:rsidRPr="00C02140">
        <w:rPr>
          <w:rFonts w:asciiTheme="minorHAnsi" w:hAnsiTheme="minorHAnsi"/>
          <w:i/>
          <w:sz w:val="22"/>
          <w:szCs w:val="22"/>
        </w:rPr>
        <w:t>Galaxias oliros</w:t>
      </w:r>
      <w:r>
        <w:rPr>
          <w:rFonts w:asciiTheme="minorHAnsi" w:hAnsiTheme="minorHAnsi"/>
          <w:sz w:val="22"/>
          <w:szCs w:val="22"/>
        </w:rPr>
        <w:t>). More recently, fourteen of these native species have been captured in the system.</w:t>
      </w:r>
    </w:p>
    <w:p w14:paraId="3B4F8F88" w14:textId="39F6B0EA" w:rsidR="008E6212" w:rsidRDefault="008E6212" w:rsidP="008E6212">
      <w:pPr>
        <w:spacing w:after="240" w:line="320" w:lineRule="exact"/>
        <w:jc w:val="left"/>
      </w:pPr>
      <w:r>
        <w:t xml:space="preserve">The </w:t>
      </w:r>
      <w:r w:rsidRPr="00852305">
        <w:t xml:space="preserve">overarching principle </w:t>
      </w:r>
      <w:r>
        <w:t xml:space="preserve">that underpins the monitoring and evaluation of </w:t>
      </w:r>
      <w:r w:rsidR="001677F8">
        <w:t>Commonwealth environmental water</w:t>
      </w:r>
      <w:r>
        <w:t xml:space="preserve"> for the Edward-Wakool Selected Area is that we are taking an ecosystem approach to evaluate the responses to Commonwealth environmental watering. A suite of questions and indicators have been selected that all have clear linkage</w:t>
      </w:r>
      <w:r w:rsidR="009B1788">
        <w:t>s to other components of the monitoring and evaluation p</w:t>
      </w:r>
      <w:r>
        <w:t xml:space="preserve">lan </w:t>
      </w:r>
      <w:r w:rsidRPr="00F81EE6">
        <w:t xml:space="preserve">(see Figure </w:t>
      </w:r>
      <w:r>
        <w:t>D.</w:t>
      </w:r>
      <w:r w:rsidRPr="00F81EE6">
        <w:t>1).</w:t>
      </w:r>
      <w:r>
        <w:t xml:space="preserve"> The plan has a strong focus on fish, including fish movement, reproduction, recruitment and adult populations. However, many of the other indicators </w:t>
      </w:r>
      <w:r w:rsidR="001E6598">
        <w:t>evaluated</w:t>
      </w:r>
      <w:r>
        <w:t xml:space="preserve"> in this report (such as water quality, metabolism and aquatic vegetation) are likely to indirectly influence fish population dynamics, and thus a key goal of the long-term intervention monitoring in the Edward Wakool selected area is to improve our understanding and interpretation </w:t>
      </w:r>
      <w:r w:rsidR="00A4128C">
        <w:t xml:space="preserve">of </w:t>
      </w:r>
      <w:r>
        <w:t>these interdependencies.</w:t>
      </w:r>
    </w:p>
    <w:p w14:paraId="3B4F8F89" w14:textId="77777777" w:rsidR="008E6212" w:rsidRDefault="008E6212" w:rsidP="008E6212">
      <w:pPr>
        <w:spacing w:after="0" w:line="240" w:lineRule="auto"/>
        <w:jc w:val="left"/>
        <w:rPr>
          <w:b/>
          <w:sz w:val="20"/>
        </w:rPr>
      </w:pPr>
      <w:r>
        <w:rPr>
          <w:b/>
          <w:sz w:val="20"/>
        </w:rPr>
        <w:br w:type="page"/>
      </w:r>
    </w:p>
    <w:p w14:paraId="3B4F8F8A" w14:textId="77777777" w:rsidR="008E6212" w:rsidRPr="00C444A0" w:rsidRDefault="008E6212" w:rsidP="008E6212">
      <w:pPr>
        <w:spacing w:after="0" w:line="240" w:lineRule="auto"/>
        <w:jc w:val="left"/>
        <w:rPr>
          <w:sz w:val="20"/>
        </w:rPr>
      </w:pPr>
      <w:r>
        <w:rPr>
          <w:b/>
          <w:sz w:val="20"/>
        </w:rPr>
        <w:lastRenderedPageBreak/>
        <w:t>Table D</w:t>
      </w:r>
      <w:r w:rsidRPr="00AF305F">
        <w:rPr>
          <w:b/>
          <w:sz w:val="20"/>
        </w:rPr>
        <w:t>.1</w:t>
      </w:r>
      <w:r>
        <w:rPr>
          <w:sz w:val="20"/>
        </w:rPr>
        <w:t xml:space="preserve"> List of Edward Wakool River system fish community (recorded and expected). Recorded native and alien species are those that have been sampled in the region since 2010, and expected native species are species who were historically likely to have been in the lowland central Murray region. </w:t>
      </w:r>
      <w:r w:rsidRPr="00C444A0">
        <w:rPr>
          <w:sz w:val="20"/>
          <w:vertAlign w:val="superscript"/>
        </w:rPr>
        <w:t>1</w:t>
      </w:r>
      <w:r>
        <w:rPr>
          <w:sz w:val="20"/>
        </w:rPr>
        <w:t>Indicates species have been recorded in the Edward Wakool system, but outside the LTIM focal study zones.</w:t>
      </w: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3119"/>
        <w:gridCol w:w="1842"/>
      </w:tblGrid>
      <w:tr w:rsidR="008E6212" w14:paraId="3B4F8F8E" w14:textId="77777777" w:rsidTr="009C1A36">
        <w:trPr>
          <w:trHeight w:val="754"/>
        </w:trPr>
        <w:tc>
          <w:tcPr>
            <w:tcW w:w="3544" w:type="dxa"/>
            <w:tcBorders>
              <w:left w:val="nil"/>
              <w:bottom w:val="single" w:sz="4" w:space="0" w:color="auto"/>
              <w:right w:val="nil"/>
            </w:tcBorders>
            <w:shd w:val="clear" w:color="auto" w:fill="D6E3BC" w:themeFill="accent3" w:themeFillTint="66"/>
            <w:vAlign w:val="bottom"/>
          </w:tcPr>
          <w:p w14:paraId="3B4F8F8B" w14:textId="77777777" w:rsidR="008E6212" w:rsidRPr="001E0645" w:rsidRDefault="008E6212" w:rsidP="009C1A36">
            <w:pPr>
              <w:spacing w:after="240" w:line="240" w:lineRule="auto"/>
              <w:jc w:val="left"/>
              <w:rPr>
                <w:szCs w:val="22"/>
              </w:rPr>
            </w:pPr>
            <w:r w:rsidRPr="001E0645">
              <w:rPr>
                <w:szCs w:val="22"/>
              </w:rPr>
              <w:t>Common name</w:t>
            </w:r>
          </w:p>
        </w:tc>
        <w:tc>
          <w:tcPr>
            <w:tcW w:w="3119" w:type="dxa"/>
            <w:tcBorders>
              <w:left w:val="nil"/>
              <w:bottom w:val="single" w:sz="4" w:space="0" w:color="auto"/>
              <w:right w:val="nil"/>
            </w:tcBorders>
            <w:shd w:val="clear" w:color="auto" w:fill="D6E3BC" w:themeFill="accent3" w:themeFillTint="66"/>
            <w:vAlign w:val="bottom"/>
          </w:tcPr>
          <w:p w14:paraId="3B4F8F8C" w14:textId="77777777" w:rsidR="008E6212" w:rsidRPr="001E0645" w:rsidRDefault="008E6212" w:rsidP="009C1A36">
            <w:pPr>
              <w:spacing w:after="240" w:line="240" w:lineRule="auto"/>
              <w:jc w:val="left"/>
              <w:rPr>
                <w:szCs w:val="22"/>
              </w:rPr>
            </w:pPr>
            <w:r w:rsidRPr="001E0645">
              <w:rPr>
                <w:szCs w:val="22"/>
              </w:rPr>
              <w:t>Species name</w:t>
            </w:r>
          </w:p>
        </w:tc>
        <w:tc>
          <w:tcPr>
            <w:tcW w:w="1842" w:type="dxa"/>
            <w:tcBorders>
              <w:left w:val="nil"/>
              <w:bottom w:val="single" w:sz="4" w:space="0" w:color="auto"/>
              <w:right w:val="nil"/>
            </w:tcBorders>
            <w:shd w:val="clear" w:color="auto" w:fill="D6E3BC" w:themeFill="accent3" w:themeFillTint="66"/>
            <w:vAlign w:val="bottom"/>
          </w:tcPr>
          <w:p w14:paraId="3B4F8F8D" w14:textId="77777777" w:rsidR="008E6212" w:rsidRPr="001E0645" w:rsidRDefault="008E6212" w:rsidP="009C1A36">
            <w:pPr>
              <w:spacing w:after="0" w:line="240" w:lineRule="auto"/>
              <w:jc w:val="center"/>
              <w:rPr>
                <w:szCs w:val="22"/>
              </w:rPr>
            </w:pPr>
            <w:r w:rsidRPr="001E0645">
              <w:rPr>
                <w:szCs w:val="22"/>
              </w:rPr>
              <w:t>Local spawning recorded</w:t>
            </w:r>
          </w:p>
        </w:tc>
      </w:tr>
      <w:tr w:rsidR="008E6212" w14:paraId="3B4F8F92" w14:textId="77777777" w:rsidTr="009C1A36">
        <w:tc>
          <w:tcPr>
            <w:tcW w:w="3544" w:type="dxa"/>
            <w:tcBorders>
              <w:top w:val="nil"/>
              <w:left w:val="nil"/>
              <w:bottom w:val="nil"/>
              <w:right w:val="nil"/>
            </w:tcBorders>
            <w:vAlign w:val="center"/>
          </w:tcPr>
          <w:p w14:paraId="3B4F8F8F" w14:textId="77777777" w:rsidR="008E6212" w:rsidRPr="00C16636" w:rsidRDefault="008E6212" w:rsidP="009C1A36">
            <w:pPr>
              <w:spacing w:before="60" w:after="60" w:line="240" w:lineRule="auto"/>
              <w:rPr>
                <w:b/>
                <w:i/>
                <w:color w:val="000000"/>
                <w:sz w:val="20"/>
              </w:rPr>
            </w:pPr>
            <w:r>
              <w:rPr>
                <w:b/>
                <w:i/>
                <w:color w:val="000000"/>
                <w:sz w:val="20"/>
              </w:rPr>
              <w:t>Native species - recorded</w:t>
            </w:r>
          </w:p>
        </w:tc>
        <w:tc>
          <w:tcPr>
            <w:tcW w:w="3119" w:type="dxa"/>
            <w:tcBorders>
              <w:top w:val="nil"/>
              <w:left w:val="nil"/>
              <w:bottom w:val="nil"/>
              <w:right w:val="nil"/>
            </w:tcBorders>
          </w:tcPr>
          <w:p w14:paraId="3B4F8F90" w14:textId="77777777" w:rsidR="008E6212" w:rsidRPr="000C1C46" w:rsidRDefault="008E6212" w:rsidP="009C1A36">
            <w:pPr>
              <w:spacing w:before="60" w:after="60" w:line="240" w:lineRule="auto"/>
              <w:jc w:val="left"/>
              <w:rPr>
                <w:i/>
                <w:iCs/>
                <w:color w:val="000000"/>
                <w:sz w:val="20"/>
              </w:rPr>
            </w:pPr>
          </w:p>
        </w:tc>
        <w:tc>
          <w:tcPr>
            <w:tcW w:w="1842" w:type="dxa"/>
            <w:tcBorders>
              <w:top w:val="nil"/>
              <w:left w:val="nil"/>
              <w:bottom w:val="nil"/>
              <w:right w:val="nil"/>
            </w:tcBorders>
          </w:tcPr>
          <w:p w14:paraId="3B4F8F91" w14:textId="77777777" w:rsidR="008E6212" w:rsidRDefault="008E6212" w:rsidP="009C1A36">
            <w:pPr>
              <w:spacing w:before="60" w:after="60" w:line="240" w:lineRule="auto"/>
              <w:jc w:val="center"/>
              <w:rPr>
                <w:b/>
                <w:iCs/>
                <w:color w:val="000000"/>
                <w:sz w:val="20"/>
              </w:rPr>
            </w:pPr>
          </w:p>
        </w:tc>
      </w:tr>
      <w:tr w:rsidR="008E6212" w14:paraId="3B4F8F96" w14:textId="77777777" w:rsidTr="009C1A36">
        <w:tc>
          <w:tcPr>
            <w:tcW w:w="3544" w:type="dxa"/>
            <w:tcBorders>
              <w:top w:val="nil"/>
              <w:left w:val="nil"/>
              <w:bottom w:val="nil"/>
              <w:right w:val="nil"/>
            </w:tcBorders>
            <w:vAlign w:val="center"/>
          </w:tcPr>
          <w:p w14:paraId="3B4F8F93" w14:textId="77777777" w:rsidR="008E6212" w:rsidRPr="000C1C46" w:rsidRDefault="008E6212" w:rsidP="009C1A36">
            <w:pPr>
              <w:spacing w:before="20" w:after="60" w:line="240" w:lineRule="auto"/>
              <w:rPr>
                <w:color w:val="000000"/>
                <w:sz w:val="20"/>
              </w:rPr>
            </w:pPr>
            <w:r w:rsidRPr="000C1C46">
              <w:rPr>
                <w:color w:val="000000"/>
                <w:sz w:val="20"/>
              </w:rPr>
              <w:t>Australian smelt</w:t>
            </w:r>
          </w:p>
        </w:tc>
        <w:tc>
          <w:tcPr>
            <w:tcW w:w="3119" w:type="dxa"/>
            <w:tcBorders>
              <w:top w:val="nil"/>
              <w:left w:val="nil"/>
              <w:bottom w:val="nil"/>
              <w:right w:val="nil"/>
            </w:tcBorders>
          </w:tcPr>
          <w:p w14:paraId="3B4F8F94" w14:textId="77777777" w:rsidR="008E6212" w:rsidRPr="000C1C46" w:rsidRDefault="008E6212" w:rsidP="009C1A36">
            <w:pPr>
              <w:spacing w:before="20" w:after="60" w:line="240" w:lineRule="auto"/>
              <w:jc w:val="left"/>
              <w:rPr>
                <w:i/>
                <w:iCs/>
                <w:color w:val="000000"/>
                <w:sz w:val="20"/>
              </w:rPr>
            </w:pPr>
            <w:r w:rsidRPr="000C1C46">
              <w:rPr>
                <w:i/>
                <w:iCs/>
                <w:color w:val="000000"/>
                <w:sz w:val="20"/>
              </w:rPr>
              <w:t>Retropinna semoni</w:t>
            </w:r>
          </w:p>
        </w:tc>
        <w:tc>
          <w:tcPr>
            <w:tcW w:w="1842" w:type="dxa"/>
            <w:tcBorders>
              <w:top w:val="nil"/>
              <w:left w:val="nil"/>
              <w:bottom w:val="nil"/>
              <w:right w:val="nil"/>
            </w:tcBorders>
          </w:tcPr>
          <w:p w14:paraId="3B4F8F95" w14:textId="77777777" w:rsidR="008E6212" w:rsidRPr="000C1C46" w:rsidRDefault="008E6212" w:rsidP="009C1A36">
            <w:pPr>
              <w:spacing w:before="20" w:after="60" w:line="240" w:lineRule="auto"/>
              <w:jc w:val="center"/>
              <w:rPr>
                <w:iCs/>
                <w:color w:val="000000"/>
                <w:sz w:val="20"/>
              </w:rPr>
            </w:pPr>
            <w:r>
              <w:rPr>
                <w:b/>
                <w:iCs/>
                <w:color w:val="000000"/>
                <w:sz w:val="20"/>
              </w:rPr>
              <w:t>*</w:t>
            </w:r>
          </w:p>
        </w:tc>
      </w:tr>
      <w:tr w:rsidR="008E6212" w14:paraId="3B4F8F9A" w14:textId="77777777" w:rsidTr="009C1A36">
        <w:tc>
          <w:tcPr>
            <w:tcW w:w="3544" w:type="dxa"/>
            <w:tcBorders>
              <w:top w:val="nil"/>
              <w:left w:val="nil"/>
              <w:bottom w:val="nil"/>
              <w:right w:val="nil"/>
            </w:tcBorders>
            <w:vAlign w:val="center"/>
          </w:tcPr>
          <w:p w14:paraId="3B4F8F97" w14:textId="77777777" w:rsidR="008E6212" w:rsidRPr="000C1C46" w:rsidRDefault="008E6212" w:rsidP="009C1A36">
            <w:pPr>
              <w:spacing w:before="20" w:after="60" w:line="240" w:lineRule="auto"/>
              <w:rPr>
                <w:color w:val="000000"/>
                <w:sz w:val="20"/>
              </w:rPr>
            </w:pPr>
            <w:r w:rsidRPr="000C1C46">
              <w:rPr>
                <w:color w:val="000000"/>
                <w:sz w:val="20"/>
              </w:rPr>
              <w:t>bony herring</w:t>
            </w:r>
          </w:p>
        </w:tc>
        <w:tc>
          <w:tcPr>
            <w:tcW w:w="3119" w:type="dxa"/>
            <w:tcBorders>
              <w:top w:val="nil"/>
              <w:left w:val="nil"/>
              <w:bottom w:val="nil"/>
              <w:right w:val="nil"/>
            </w:tcBorders>
          </w:tcPr>
          <w:p w14:paraId="3B4F8F98" w14:textId="77777777" w:rsidR="008E6212" w:rsidRPr="000C1C46" w:rsidRDefault="008E6212" w:rsidP="009C1A36">
            <w:pPr>
              <w:spacing w:before="20" w:after="60" w:line="240" w:lineRule="auto"/>
              <w:jc w:val="left"/>
              <w:rPr>
                <w:i/>
                <w:iCs/>
                <w:color w:val="000000"/>
                <w:sz w:val="20"/>
              </w:rPr>
            </w:pPr>
            <w:r w:rsidRPr="000C1C46">
              <w:rPr>
                <w:i/>
                <w:iCs/>
                <w:color w:val="000000"/>
                <w:sz w:val="20"/>
              </w:rPr>
              <w:t>Nematolosa erebi</w:t>
            </w:r>
          </w:p>
        </w:tc>
        <w:tc>
          <w:tcPr>
            <w:tcW w:w="1842" w:type="dxa"/>
            <w:tcBorders>
              <w:top w:val="nil"/>
              <w:left w:val="nil"/>
              <w:bottom w:val="nil"/>
              <w:right w:val="nil"/>
            </w:tcBorders>
          </w:tcPr>
          <w:p w14:paraId="3B4F8F99" w14:textId="77777777" w:rsidR="008E6212" w:rsidRPr="00BF27F5" w:rsidRDefault="008E6212" w:rsidP="009C1A36">
            <w:pPr>
              <w:spacing w:before="20" w:after="60" w:line="240" w:lineRule="auto"/>
              <w:jc w:val="center"/>
              <w:rPr>
                <w:b/>
                <w:iCs/>
                <w:color w:val="000000"/>
                <w:sz w:val="20"/>
              </w:rPr>
            </w:pPr>
          </w:p>
        </w:tc>
      </w:tr>
      <w:tr w:rsidR="008E6212" w14:paraId="3B4F8F9E" w14:textId="77777777" w:rsidTr="009C1A36">
        <w:tc>
          <w:tcPr>
            <w:tcW w:w="3544" w:type="dxa"/>
            <w:tcBorders>
              <w:top w:val="nil"/>
              <w:left w:val="nil"/>
              <w:bottom w:val="nil"/>
              <w:right w:val="nil"/>
            </w:tcBorders>
            <w:vAlign w:val="center"/>
          </w:tcPr>
          <w:p w14:paraId="3B4F8F9B" w14:textId="77777777" w:rsidR="008E6212" w:rsidRPr="000C1C46" w:rsidRDefault="008E6212" w:rsidP="009C1A36">
            <w:pPr>
              <w:spacing w:before="20" w:after="60" w:line="240" w:lineRule="auto"/>
              <w:rPr>
                <w:color w:val="000000"/>
                <w:sz w:val="20"/>
              </w:rPr>
            </w:pPr>
            <w:r w:rsidRPr="000C1C46">
              <w:rPr>
                <w:color w:val="000000"/>
                <w:sz w:val="20"/>
              </w:rPr>
              <w:t>carp gudgeon</w:t>
            </w:r>
          </w:p>
        </w:tc>
        <w:tc>
          <w:tcPr>
            <w:tcW w:w="3119" w:type="dxa"/>
            <w:tcBorders>
              <w:top w:val="nil"/>
              <w:left w:val="nil"/>
              <w:bottom w:val="nil"/>
              <w:right w:val="nil"/>
            </w:tcBorders>
          </w:tcPr>
          <w:p w14:paraId="3B4F8F9C" w14:textId="77777777" w:rsidR="008E6212" w:rsidRPr="000C1C46" w:rsidRDefault="008E6212" w:rsidP="009C1A36">
            <w:pPr>
              <w:spacing w:before="20" w:after="60" w:line="240" w:lineRule="auto"/>
              <w:jc w:val="left"/>
              <w:rPr>
                <w:i/>
                <w:iCs/>
                <w:color w:val="000000"/>
                <w:sz w:val="20"/>
              </w:rPr>
            </w:pPr>
            <w:r w:rsidRPr="000C1C46">
              <w:rPr>
                <w:i/>
                <w:iCs/>
                <w:color w:val="000000"/>
                <w:sz w:val="20"/>
              </w:rPr>
              <w:t xml:space="preserve">Hypseleotris </w:t>
            </w:r>
            <w:r w:rsidRPr="000C1C46">
              <w:rPr>
                <w:iCs/>
                <w:color w:val="000000"/>
                <w:sz w:val="20"/>
              </w:rPr>
              <w:t>spp.</w:t>
            </w:r>
          </w:p>
        </w:tc>
        <w:tc>
          <w:tcPr>
            <w:tcW w:w="1842" w:type="dxa"/>
            <w:tcBorders>
              <w:top w:val="nil"/>
              <w:left w:val="nil"/>
              <w:bottom w:val="nil"/>
              <w:right w:val="nil"/>
            </w:tcBorders>
          </w:tcPr>
          <w:p w14:paraId="3B4F8F9D" w14:textId="77777777" w:rsidR="008E6212" w:rsidRPr="000C1C46" w:rsidRDefault="008E6212" w:rsidP="009C1A36">
            <w:pPr>
              <w:spacing w:before="20" w:after="60" w:line="240" w:lineRule="auto"/>
              <w:jc w:val="center"/>
              <w:rPr>
                <w:iCs/>
                <w:color w:val="000000"/>
                <w:sz w:val="20"/>
              </w:rPr>
            </w:pPr>
            <w:r>
              <w:rPr>
                <w:b/>
                <w:iCs/>
                <w:color w:val="000000"/>
                <w:sz w:val="20"/>
              </w:rPr>
              <w:t>*</w:t>
            </w:r>
          </w:p>
        </w:tc>
      </w:tr>
      <w:tr w:rsidR="008E6212" w14:paraId="3B4F8FA2" w14:textId="77777777" w:rsidTr="009C1A36">
        <w:tc>
          <w:tcPr>
            <w:tcW w:w="3544" w:type="dxa"/>
            <w:tcBorders>
              <w:top w:val="nil"/>
              <w:left w:val="nil"/>
              <w:bottom w:val="nil"/>
              <w:right w:val="nil"/>
            </w:tcBorders>
            <w:vAlign w:val="center"/>
          </w:tcPr>
          <w:p w14:paraId="3B4F8F9F" w14:textId="77777777" w:rsidR="008E6212" w:rsidRDefault="008E6212" w:rsidP="009C1A36">
            <w:pPr>
              <w:spacing w:before="20" w:after="60" w:line="240" w:lineRule="auto"/>
              <w:rPr>
                <w:color w:val="000000"/>
                <w:sz w:val="20"/>
              </w:rPr>
            </w:pPr>
            <w:r>
              <w:rPr>
                <w:color w:val="000000"/>
                <w:sz w:val="20"/>
              </w:rPr>
              <w:t>dwarf flathead gudgeon</w:t>
            </w:r>
            <w:r w:rsidRPr="00EE25E2">
              <w:rPr>
                <w:color w:val="000000"/>
                <w:sz w:val="20"/>
                <w:vertAlign w:val="superscript"/>
              </w:rPr>
              <w:t>1</w:t>
            </w:r>
          </w:p>
        </w:tc>
        <w:tc>
          <w:tcPr>
            <w:tcW w:w="3119" w:type="dxa"/>
            <w:tcBorders>
              <w:top w:val="nil"/>
              <w:left w:val="nil"/>
              <w:bottom w:val="nil"/>
              <w:right w:val="nil"/>
            </w:tcBorders>
          </w:tcPr>
          <w:p w14:paraId="3B4F8FA0" w14:textId="77777777" w:rsidR="008E6212" w:rsidRDefault="008E6212" w:rsidP="009C1A36">
            <w:pPr>
              <w:spacing w:before="20" w:after="60" w:line="240" w:lineRule="auto"/>
              <w:jc w:val="left"/>
              <w:rPr>
                <w:i/>
                <w:iCs/>
                <w:color w:val="000000"/>
                <w:sz w:val="20"/>
              </w:rPr>
            </w:pPr>
            <w:r>
              <w:rPr>
                <w:i/>
                <w:iCs/>
                <w:color w:val="000000"/>
                <w:sz w:val="20"/>
              </w:rPr>
              <w:t>Philypnodon macrostomus</w:t>
            </w:r>
          </w:p>
        </w:tc>
        <w:tc>
          <w:tcPr>
            <w:tcW w:w="1842" w:type="dxa"/>
            <w:tcBorders>
              <w:top w:val="nil"/>
              <w:left w:val="nil"/>
              <w:bottom w:val="nil"/>
              <w:right w:val="nil"/>
            </w:tcBorders>
          </w:tcPr>
          <w:p w14:paraId="3B4F8FA1" w14:textId="77777777" w:rsidR="008E6212" w:rsidRDefault="008E6212" w:rsidP="009C1A36">
            <w:pPr>
              <w:spacing w:before="20" w:after="60" w:line="240" w:lineRule="auto"/>
              <w:jc w:val="center"/>
              <w:rPr>
                <w:b/>
                <w:iCs/>
                <w:color w:val="000000"/>
                <w:sz w:val="20"/>
              </w:rPr>
            </w:pPr>
          </w:p>
        </w:tc>
      </w:tr>
      <w:tr w:rsidR="008E6212" w14:paraId="3B4F8FA6" w14:textId="77777777" w:rsidTr="009C1A36">
        <w:tc>
          <w:tcPr>
            <w:tcW w:w="3544" w:type="dxa"/>
            <w:tcBorders>
              <w:top w:val="nil"/>
              <w:left w:val="nil"/>
              <w:bottom w:val="nil"/>
              <w:right w:val="nil"/>
            </w:tcBorders>
            <w:vAlign w:val="center"/>
          </w:tcPr>
          <w:p w14:paraId="3B4F8FA3" w14:textId="77777777" w:rsidR="008E6212" w:rsidRDefault="008E6212" w:rsidP="009C1A36">
            <w:pPr>
              <w:spacing w:before="20" w:after="60" w:line="240" w:lineRule="auto"/>
              <w:rPr>
                <w:color w:val="000000"/>
                <w:sz w:val="20"/>
              </w:rPr>
            </w:pPr>
            <w:r>
              <w:rPr>
                <w:color w:val="000000"/>
                <w:sz w:val="20"/>
              </w:rPr>
              <w:t>eel-tailed catfish</w:t>
            </w:r>
            <w:r w:rsidRPr="00EE25E2">
              <w:rPr>
                <w:color w:val="000000"/>
                <w:sz w:val="20"/>
                <w:vertAlign w:val="superscript"/>
              </w:rPr>
              <w:t>1</w:t>
            </w:r>
          </w:p>
        </w:tc>
        <w:tc>
          <w:tcPr>
            <w:tcW w:w="3119" w:type="dxa"/>
            <w:tcBorders>
              <w:top w:val="nil"/>
              <w:left w:val="nil"/>
              <w:bottom w:val="nil"/>
              <w:right w:val="nil"/>
            </w:tcBorders>
          </w:tcPr>
          <w:p w14:paraId="3B4F8FA4" w14:textId="77777777" w:rsidR="008E6212" w:rsidRPr="000C1C46" w:rsidRDefault="008E6212" w:rsidP="009C1A36">
            <w:pPr>
              <w:spacing w:before="20" w:after="60" w:line="240" w:lineRule="auto"/>
              <w:jc w:val="left"/>
              <w:rPr>
                <w:i/>
                <w:iCs/>
                <w:color w:val="000000"/>
                <w:sz w:val="20"/>
              </w:rPr>
            </w:pPr>
            <w:r>
              <w:rPr>
                <w:i/>
                <w:iCs/>
                <w:color w:val="000000"/>
                <w:sz w:val="20"/>
              </w:rPr>
              <w:t>Tandanus tandanus</w:t>
            </w:r>
          </w:p>
        </w:tc>
        <w:tc>
          <w:tcPr>
            <w:tcW w:w="1842" w:type="dxa"/>
            <w:tcBorders>
              <w:top w:val="nil"/>
              <w:left w:val="nil"/>
              <w:bottom w:val="nil"/>
              <w:right w:val="nil"/>
            </w:tcBorders>
          </w:tcPr>
          <w:p w14:paraId="3B4F8FA5" w14:textId="77777777" w:rsidR="008E6212" w:rsidRDefault="008E6212" w:rsidP="009C1A36">
            <w:pPr>
              <w:spacing w:before="20" w:after="60" w:line="240" w:lineRule="auto"/>
              <w:jc w:val="center"/>
              <w:rPr>
                <w:b/>
                <w:iCs/>
                <w:color w:val="000000"/>
                <w:sz w:val="20"/>
              </w:rPr>
            </w:pPr>
          </w:p>
        </w:tc>
      </w:tr>
      <w:tr w:rsidR="008E6212" w14:paraId="3B4F8FAA" w14:textId="77777777" w:rsidTr="009C1A36">
        <w:tc>
          <w:tcPr>
            <w:tcW w:w="3544" w:type="dxa"/>
            <w:tcBorders>
              <w:top w:val="nil"/>
              <w:left w:val="nil"/>
              <w:bottom w:val="nil"/>
              <w:right w:val="nil"/>
            </w:tcBorders>
            <w:vAlign w:val="center"/>
          </w:tcPr>
          <w:p w14:paraId="3B4F8FA7" w14:textId="77777777" w:rsidR="008E6212" w:rsidRPr="000C1C46" w:rsidRDefault="008E6212" w:rsidP="009C1A36">
            <w:pPr>
              <w:spacing w:before="20" w:after="60" w:line="240" w:lineRule="auto"/>
              <w:rPr>
                <w:color w:val="000000"/>
                <w:sz w:val="20"/>
              </w:rPr>
            </w:pPr>
            <w:r>
              <w:rPr>
                <w:color w:val="000000"/>
                <w:sz w:val="20"/>
              </w:rPr>
              <w:t>flathead</w:t>
            </w:r>
            <w:r w:rsidRPr="000C1C46">
              <w:rPr>
                <w:color w:val="000000"/>
                <w:sz w:val="20"/>
              </w:rPr>
              <w:t xml:space="preserve"> gudgeon</w:t>
            </w:r>
          </w:p>
        </w:tc>
        <w:tc>
          <w:tcPr>
            <w:tcW w:w="3119" w:type="dxa"/>
            <w:tcBorders>
              <w:top w:val="nil"/>
              <w:left w:val="nil"/>
              <w:bottom w:val="nil"/>
              <w:right w:val="nil"/>
            </w:tcBorders>
          </w:tcPr>
          <w:p w14:paraId="3B4F8FA8" w14:textId="77777777" w:rsidR="008E6212" w:rsidRPr="000C1C46" w:rsidRDefault="008E6212" w:rsidP="009C1A36">
            <w:pPr>
              <w:spacing w:before="20" w:after="60" w:line="240" w:lineRule="auto"/>
              <w:jc w:val="left"/>
              <w:rPr>
                <w:iCs/>
                <w:color w:val="000000"/>
                <w:sz w:val="20"/>
              </w:rPr>
            </w:pPr>
            <w:r w:rsidRPr="000C1C46">
              <w:rPr>
                <w:i/>
                <w:iCs/>
                <w:color w:val="000000"/>
                <w:sz w:val="20"/>
              </w:rPr>
              <w:t>Philypnodon grandiceps</w:t>
            </w:r>
          </w:p>
        </w:tc>
        <w:tc>
          <w:tcPr>
            <w:tcW w:w="1842" w:type="dxa"/>
            <w:tcBorders>
              <w:top w:val="nil"/>
              <w:left w:val="nil"/>
              <w:bottom w:val="nil"/>
              <w:right w:val="nil"/>
            </w:tcBorders>
          </w:tcPr>
          <w:p w14:paraId="3B4F8FA9"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r w:rsidR="008E6212" w14:paraId="3B4F8FAE" w14:textId="77777777" w:rsidTr="009C1A36">
        <w:tc>
          <w:tcPr>
            <w:tcW w:w="3544" w:type="dxa"/>
            <w:tcBorders>
              <w:top w:val="nil"/>
              <w:left w:val="nil"/>
              <w:bottom w:val="nil"/>
              <w:right w:val="nil"/>
            </w:tcBorders>
            <w:vAlign w:val="center"/>
          </w:tcPr>
          <w:p w14:paraId="3B4F8FAB" w14:textId="77777777" w:rsidR="008E6212" w:rsidRPr="000C1C46" w:rsidRDefault="008E6212" w:rsidP="009C1A36">
            <w:pPr>
              <w:spacing w:before="20" w:after="60" w:line="240" w:lineRule="auto"/>
              <w:rPr>
                <w:color w:val="000000"/>
                <w:sz w:val="20"/>
              </w:rPr>
            </w:pPr>
            <w:r w:rsidRPr="000C1C46">
              <w:rPr>
                <w:color w:val="000000"/>
                <w:sz w:val="20"/>
              </w:rPr>
              <w:t>golden perch</w:t>
            </w:r>
          </w:p>
        </w:tc>
        <w:tc>
          <w:tcPr>
            <w:tcW w:w="3119" w:type="dxa"/>
            <w:tcBorders>
              <w:top w:val="nil"/>
              <w:left w:val="nil"/>
              <w:bottom w:val="nil"/>
              <w:right w:val="nil"/>
            </w:tcBorders>
          </w:tcPr>
          <w:p w14:paraId="3B4F8FAC" w14:textId="77777777" w:rsidR="008E6212" w:rsidRPr="000C1C46" w:rsidRDefault="008E6212" w:rsidP="009C1A36">
            <w:pPr>
              <w:spacing w:before="20" w:after="60" w:line="240" w:lineRule="auto"/>
              <w:jc w:val="left"/>
              <w:rPr>
                <w:i/>
                <w:iCs/>
                <w:color w:val="000000"/>
                <w:sz w:val="20"/>
              </w:rPr>
            </w:pPr>
            <w:r w:rsidRPr="000C1C46">
              <w:rPr>
                <w:i/>
                <w:iCs/>
                <w:color w:val="000000"/>
                <w:sz w:val="20"/>
              </w:rPr>
              <w:t>Macquaria ambigua</w:t>
            </w:r>
          </w:p>
        </w:tc>
        <w:tc>
          <w:tcPr>
            <w:tcW w:w="1842" w:type="dxa"/>
            <w:tcBorders>
              <w:top w:val="nil"/>
              <w:left w:val="nil"/>
              <w:bottom w:val="nil"/>
              <w:right w:val="nil"/>
            </w:tcBorders>
          </w:tcPr>
          <w:p w14:paraId="3B4F8FAD" w14:textId="77777777" w:rsidR="008E6212" w:rsidRPr="000C1C46" w:rsidRDefault="008E6212" w:rsidP="009C1A36">
            <w:pPr>
              <w:spacing w:before="20" w:after="60" w:line="240" w:lineRule="auto"/>
              <w:jc w:val="center"/>
              <w:rPr>
                <w:iCs/>
                <w:color w:val="000000"/>
                <w:sz w:val="20"/>
              </w:rPr>
            </w:pPr>
          </w:p>
        </w:tc>
      </w:tr>
      <w:tr w:rsidR="008E6212" w14:paraId="3B4F8FB2" w14:textId="77777777" w:rsidTr="009C1A36">
        <w:tc>
          <w:tcPr>
            <w:tcW w:w="3544" w:type="dxa"/>
            <w:tcBorders>
              <w:top w:val="nil"/>
              <w:left w:val="nil"/>
              <w:bottom w:val="nil"/>
              <w:right w:val="nil"/>
            </w:tcBorders>
            <w:vAlign w:val="center"/>
          </w:tcPr>
          <w:p w14:paraId="3B4F8FAF" w14:textId="77777777" w:rsidR="008E6212" w:rsidRPr="000C1C46" w:rsidRDefault="008E6212" w:rsidP="009C1A36">
            <w:pPr>
              <w:spacing w:before="20" w:after="60" w:line="240" w:lineRule="auto"/>
              <w:jc w:val="left"/>
              <w:rPr>
                <w:color w:val="000000"/>
                <w:sz w:val="20"/>
              </w:rPr>
            </w:pPr>
            <w:r w:rsidRPr="000C1C46">
              <w:rPr>
                <w:color w:val="000000"/>
                <w:sz w:val="20"/>
              </w:rPr>
              <w:t>Murray cod</w:t>
            </w:r>
          </w:p>
        </w:tc>
        <w:tc>
          <w:tcPr>
            <w:tcW w:w="3119" w:type="dxa"/>
            <w:tcBorders>
              <w:top w:val="nil"/>
              <w:left w:val="nil"/>
              <w:bottom w:val="nil"/>
              <w:right w:val="nil"/>
            </w:tcBorders>
          </w:tcPr>
          <w:p w14:paraId="3B4F8FB0" w14:textId="77777777" w:rsidR="008E6212" w:rsidRPr="000C1C46" w:rsidRDefault="008E6212" w:rsidP="009C1A36">
            <w:pPr>
              <w:spacing w:before="20" w:after="60" w:line="240" w:lineRule="auto"/>
              <w:jc w:val="left"/>
              <w:rPr>
                <w:i/>
                <w:iCs/>
                <w:color w:val="000000"/>
                <w:sz w:val="20"/>
              </w:rPr>
            </w:pPr>
            <w:r w:rsidRPr="000C1C46">
              <w:rPr>
                <w:i/>
                <w:iCs/>
                <w:color w:val="000000"/>
                <w:sz w:val="20"/>
              </w:rPr>
              <w:t>Maccullochella peelii</w:t>
            </w:r>
          </w:p>
        </w:tc>
        <w:tc>
          <w:tcPr>
            <w:tcW w:w="1842" w:type="dxa"/>
            <w:tcBorders>
              <w:top w:val="nil"/>
              <w:left w:val="nil"/>
              <w:bottom w:val="nil"/>
              <w:right w:val="nil"/>
            </w:tcBorders>
          </w:tcPr>
          <w:p w14:paraId="3B4F8FB1" w14:textId="77777777" w:rsidR="008E6212" w:rsidRPr="000C1C46" w:rsidRDefault="008E6212" w:rsidP="009C1A36">
            <w:pPr>
              <w:spacing w:before="20" w:after="60" w:line="240" w:lineRule="auto"/>
              <w:jc w:val="center"/>
              <w:rPr>
                <w:iCs/>
                <w:color w:val="000000"/>
                <w:sz w:val="20"/>
              </w:rPr>
            </w:pPr>
            <w:r>
              <w:rPr>
                <w:b/>
                <w:iCs/>
                <w:color w:val="000000"/>
                <w:sz w:val="20"/>
              </w:rPr>
              <w:t>*</w:t>
            </w:r>
          </w:p>
        </w:tc>
      </w:tr>
      <w:tr w:rsidR="008E6212" w14:paraId="3B4F8FB6" w14:textId="77777777" w:rsidTr="009C1A36">
        <w:tc>
          <w:tcPr>
            <w:tcW w:w="3544" w:type="dxa"/>
            <w:tcBorders>
              <w:top w:val="nil"/>
              <w:left w:val="nil"/>
              <w:bottom w:val="nil"/>
              <w:right w:val="nil"/>
            </w:tcBorders>
            <w:vAlign w:val="center"/>
          </w:tcPr>
          <w:p w14:paraId="3B4F8FB3" w14:textId="77777777" w:rsidR="008E6212" w:rsidRPr="000C1C46" w:rsidRDefault="008E6212" w:rsidP="009C1A36">
            <w:pPr>
              <w:spacing w:before="20" w:after="60" w:line="240" w:lineRule="auto"/>
              <w:rPr>
                <w:color w:val="000000"/>
                <w:sz w:val="20"/>
              </w:rPr>
            </w:pPr>
            <w:r w:rsidRPr="000C1C46">
              <w:rPr>
                <w:color w:val="000000"/>
                <w:sz w:val="20"/>
              </w:rPr>
              <w:t>Murray River rainbowfish</w:t>
            </w:r>
          </w:p>
        </w:tc>
        <w:tc>
          <w:tcPr>
            <w:tcW w:w="3119" w:type="dxa"/>
            <w:tcBorders>
              <w:top w:val="nil"/>
              <w:left w:val="nil"/>
              <w:bottom w:val="nil"/>
              <w:right w:val="nil"/>
            </w:tcBorders>
          </w:tcPr>
          <w:p w14:paraId="3B4F8FB4" w14:textId="77777777" w:rsidR="008E6212" w:rsidRPr="000C1C46" w:rsidRDefault="008E6212" w:rsidP="009C1A36">
            <w:pPr>
              <w:spacing w:before="20" w:after="60" w:line="240" w:lineRule="auto"/>
              <w:jc w:val="left"/>
              <w:rPr>
                <w:i/>
                <w:iCs/>
                <w:color w:val="000000"/>
                <w:sz w:val="20"/>
              </w:rPr>
            </w:pPr>
            <w:r w:rsidRPr="000C1C46">
              <w:rPr>
                <w:i/>
                <w:iCs/>
                <w:color w:val="000000"/>
                <w:sz w:val="20"/>
              </w:rPr>
              <w:t>Melanotaenia fluviatilis</w:t>
            </w:r>
          </w:p>
        </w:tc>
        <w:tc>
          <w:tcPr>
            <w:tcW w:w="1842" w:type="dxa"/>
            <w:tcBorders>
              <w:top w:val="nil"/>
              <w:left w:val="nil"/>
              <w:bottom w:val="nil"/>
              <w:right w:val="nil"/>
            </w:tcBorders>
          </w:tcPr>
          <w:p w14:paraId="3B4F8FB5"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r w:rsidR="008E6212" w14:paraId="3B4F8FBA" w14:textId="77777777" w:rsidTr="009C1A36">
        <w:tc>
          <w:tcPr>
            <w:tcW w:w="3544" w:type="dxa"/>
            <w:tcBorders>
              <w:top w:val="nil"/>
              <w:left w:val="nil"/>
              <w:bottom w:val="nil"/>
              <w:right w:val="nil"/>
            </w:tcBorders>
            <w:vAlign w:val="center"/>
          </w:tcPr>
          <w:p w14:paraId="3B4F8FB7" w14:textId="77777777" w:rsidR="008E6212" w:rsidRPr="000C1C46" w:rsidRDefault="008E6212" w:rsidP="009C1A36">
            <w:pPr>
              <w:spacing w:before="20" w:after="60" w:line="240" w:lineRule="auto"/>
              <w:rPr>
                <w:color w:val="000000"/>
                <w:sz w:val="20"/>
              </w:rPr>
            </w:pPr>
            <w:r>
              <w:rPr>
                <w:color w:val="000000"/>
                <w:sz w:val="20"/>
              </w:rPr>
              <w:t>obscure galaxias</w:t>
            </w:r>
          </w:p>
        </w:tc>
        <w:tc>
          <w:tcPr>
            <w:tcW w:w="3119" w:type="dxa"/>
            <w:tcBorders>
              <w:top w:val="nil"/>
              <w:left w:val="nil"/>
              <w:bottom w:val="nil"/>
              <w:right w:val="nil"/>
            </w:tcBorders>
          </w:tcPr>
          <w:p w14:paraId="3B4F8FB8" w14:textId="77777777" w:rsidR="008E6212" w:rsidRPr="000C1C46" w:rsidRDefault="008E6212" w:rsidP="009C1A36">
            <w:pPr>
              <w:spacing w:before="20" w:after="60" w:line="240" w:lineRule="auto"/>
              <w:jc w:val="left"/>
              <w:rPr>
                <w:i/>
                <w:iCs/>
                <w:color w:val="000000"/>
                <w:sz w:val="20"/>
              </w:rPr>
            </w:pPr>
            <w:r>
              <w:rPr>
                <w:i/>
                <w:iCs/>
                <w:color w:val="000000"/>
                <w:sz w:val="20"/>
              </w:rPr>
              <w:t>Galaxias oliros</w:t>
            </w:r>
          </w:p>
        </w:tc>
        <w:tc>
          <w:tcPr>
            <w:tcW w:w="1842" w:type="dxa"/>
            <w:tcBorders>
              <w:top w:val="nil"/>
              <w:left w:val="nil"/>
              <w:bottom w:val="nil"/>
              <w:right w:val="nil"/>
            </w:tcBorders>
          </w:tcPr>
          <w:p w14:paraId="3B4F8FB9"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r w:rsidR="008E6212" w14:paraId="3B4F8FBE" w14:textId="77777777" w:rsidTr="009C1A36">
        <w:tc>
          <w:tcPr>
            <w:tcW w:w="3544" w:type="dxa"/>
            <w:tcBorders>
              <w:top w:val="nil"/>
              <w:left w:val="nil"/>
              <w:bottom w:val="nil"/>
              <w:right w:val="nil"/>
            </w:tcBorders>
            <w:vAlign w:val="center"/>
          </w:tcPr>
          <w:p w14:paraId="3B4F8FBB" w14:textId="77777777" w:rsidR="008E6212" w:rsidRPr="000C1C46" w:rsidRDefault="008E6212" w:rsidP="009C1A36">
            <w:pPr>
              <w:spacing w:before="20" w:after="60" w:line="240" w:lineRule="auto"/>
              <w:rPr>
                <w:color w:val="000000"/>
                <w:sz w:val="20"/>
              </w:rPr>
            </w:pPr>
            <w:r w:rsidRPr="000C1C46">
              <w:rPr>
                <w:color w:val="000000"/>
                <w:sz w:val="20"/>
              </w:rPr>
              <w:t>river blackfish</w:t>
            </w:r>
          </w:p>
        </w:tc>
        <w:tc>
          <w:tcPr>
            <w:tcW w:w="3119" w:type="dxa"/>
            <w:tcBorders>
              <w:top w:val="nil"/>
              <w:left w:val="nil"/>
              <w:bottom w:val="nil"/>
              <w:right w:val="nil"/>
            </w:tcBorders>
          </w:tcPr>
          <w:p w14:paraId="3B4F8FBC" w14:textId="77777777" w:rsidR="008E6212" w:rsidRPr="000C1C46" w:rsidRDefault="008E6212" w:rsidP="009C1A36">
            <w:pPr>
              <w:spacing w:before="20" w:after="60" w:line="240" w:lineRule="auto"/>
              <w:jc w:val="left"/>
              <w:rPr>
                <w:i/>
                <w:iCs/>
                <w:color w:val="000000"/>
                <w:sz w:val="20"/>
              </w:rPr>
            </w:pPr>
            <w:r w:rsidRPr="000C1C46">
              <w:rPr>
                <w:i/>
                <w:iCs/>
                <w:color w:val="000000"/>
                <w:sz w:val="20"/>
              </w:rPr>
              <w:t>Gadopsis marmoratus</w:t>
            </w:r>
          </w:p>
        </w:tc>
        <w:tc>
          <w:tcPr>
            <w:tcW w:w="1842" w:type="dxa"/>
            <w:tcBorders>
              <w:top w:val="nil"/>
              <w:left w:val="nil"/>
              <w:bottom w:val="nil"/>
              <w:right w:val="nil"/>
            </w:tcBorders>
          </w:tcPr>
          <w:p w14:paraId="3B4F8FBD" w14:textId="77777777" w:rsidR="008E6212" w:rsidRPr="000C1C46" w:rsidRDefault="008E6212" w:rsidP="009C1A36">
            <w:pPr>
              <w:spacing w:before="20" w:after="60" w:line="240" w:lineRule="auto"/>
              <w:jc w:val="center"/>
              <w:rPr>
                <w:iCs/>
                <w:color w:val="000000"/>
                <w:sz w:val="20"/>
              </w:rPr>
            </w:pPr>
            <w:r>
              <w:rPr>
                <w:b/>
                <w:iCs/>
                <w:color w:val="000000"/>
                <w:sz w:val="20"/>
              </w:rPr>
              <w:t>*</w:t>
            </w:r>
          </w:p>
        </w:tc>
      </w:tr>
      <w:tr w:rsidR="008E6212" w14:paraId="3B4F8FC2" w14:textId="77777777" w:rsidTr="009C1A36">
        <w:tc>
          <w:tcPr>
            <w:tcW w:w="3544" w:type="dxa"/>
            <w:tcBorders>
              <w:top w:val="nil"/>
              <w:left w:val="nil"/>
              <w:bottom w:val="nil"/>
              <w:right w:val="nil"/>
            </w:tcBorders>
            <w:vAlign w:val="center"/>
          </w:tcPr>
          <w:p w14:paraId="3B4F8FBF" w14:textId="77777777" w:rsidR="008E6212" w:rsidRPr="000C1C46" w:rsidRDefault="008E6212" w:rsidP="009C1A36">
            <w:pPr>
              <w:spacing w:before="20" w:after="60" w:line="240" w:lineRule="auto"/>
              <w:rPr>
                <w:color w:val="000000"/>
                <w:sz w:val="20"/>
              </w:rPr>
            </w:pPr>
            <w:r w:rsidRPr="000C1C46">
              <w:rPr>
                <w:color w:val="000000"/>
                <w:sz w:val="20"/>
              </w:rPr>
              <w:t>silver perch</w:t>
            </w:r>
          </w:p>
        </w:tc>
        <w:tc>
          <w:tcPr>
            <w:tcW w:w="3119" w:type="dxa"/>
            <w:tcBorders>
              <w:top w:val="nil"/>
              <w:left w:val="nil"/>
              <w:bottom w:val="nil"/>
              <w:right w:val="nil"/>
            </w:tcBorders>
          </w:tcPr>
          <w:p w14:paraId="3B4F8FC0" w14:textId="77777777" w:rsidR="008E6212" w:rsidRPr="000C1C46" w:rsidRDefault="008E6212" w:rsidP="009C1A36">
            <w:pPr>
              <w:spacing w:before="20" w:after="60" w:line="240" w:lineRule="auto"/>
              <w:jc w:val="left"/>
              <w:rPr>
                <w:i/>
                <w:iCs/>
                <w:color w:val="000000"/>
                <w:sz w:val="20"/>
              </w:rPr>
            </w:pPr>
            <w:r w:rsidRPr="000C1C46">
              <w:rPr>
                <w:i/>
                <w:iCs/>
                <w:color w:val="000000"/>
                <w:sz w:val="20"/>
              </w:rPr>
              <w:t>Bidyanus bidyanus</w:t>
            </w:r>
          </w:p>
        </w:tc>
        <w:tc>
          <w:tcPr>
            <w:tcW w:w="1842" w:type="dxa"/>
            <w:tcBorders>
              <w:top w:val="nil"/>
              <w:left w:val="nil"/>
              <w:bottom w:val="nil"/>
              <w:right w:val="nil"/>
            </w:tcBorders>
          </w:tcPr>
          <w:p w14:paraId="3B4F8FC1" w14:textId="77777777" w:rsidR="008E6212" w:rsidRPr="000C1C46" w:rsidRDefault="008E6212" w:rsidP="009C1A36">
            <w:pPr>
              <w:spacing w:before="20" w:after="60" w:line="240" w:lineRule="auto"/>
              <w:jc w:val="center"/>
              <w:rPr>
                <w:iCs/>
                <w:color w:val="000000"/>
                <w:sz w:val="20"/>
              </w:rPr>
            </w:pPr>
            <w:r>
              <w:rPr>
                <w:b/>
                <w:iCs/>
                <w:color w:val="000000"/>
                <w:sz w:val="20"/>
              </w:rPr>
              <w:t>*</w:t>
            </w:r>
          </w:p>
        </w:tc>
      </w:tr>
      <w:tr w:rsidR="008E6212" w14:paraId="3B4F8FC6" w14:textId="77777777" w:rsidTr="009C1A36">
        <w:tc>
          <w:tcPr>
            <w:tcW w:w="3544" w:type="dxa"/>
            <w:tcBorders>
              <w:top w:val="nil"/>
              <w:left w:val="nil"/>
              <w:bottom w:val="nil"/>
              <w:right w:val="nil"/>
            </w:tcBorders>
            <w:vAlign w:val="center"/>
          </w:tcPr>
          <w:p w14:paraId="3B4F8FC3" w14:textId="77777777" w:rsidR="008E6212" w:rsidRPr="000C1C46" w:rsidRDefault="008E6212" w:rsidP="009C1A36">
            <w:pPr>
              <w:spacing w:before="20" w:after="60" w:line="240" w:lineRule="auto"/>
              <w:rPr>
                <w:color w:val="000000"/>
                <w:sz w:val="20"/>
              </w:rPr>
            </w:pPr>
            <w:r w:rsidRPr="000C1C46">
              <w:rPr>
                <w:color w:val="000000"/>
                <w:sz w:val="20"/>
              </w:rPr>
              <w:t>trout cod</w:t>
            </w:r>
            <w:r>
              <w:rPr>
                <w:color w:val="000000"/>
                <w:sz w:val="20"/>
                <w:vertAlign w:val="superscript"/>
              </w:rPr>
              <w:t>1</w:t>
            </w:r>
          </w:p>
        </w:tc>
        <w:tc>
          <w:tcPr>
            <w:tcW w:w="3119" w:type="dxa"/>
            <w:tcBorders>
              <w:top w:val="nil"/>
              <w:left w:val="nil"/>
              <w:bottom w:val="nil"/>
              <w:right w:val="nil"/>
            </w:tcBorders>
          </w:tcPr>
          <w:p w14:paraId="3B4F8FC4" w14:textId="77777777" w:rsidR="008E6212" w:rsidRPr="000C1C46" w:rsidRDefault="008E6212" w:rsidP="009C1A36">
            <w:pPr>
              <w:spacing w:before="20" w:after="60" w:line="240" w:lineRule="auto"/>
              <w:jc w:val="left"/>
              <w:rPr>
                <w:i/>
                <w:iCs/>
                <w:color w:val="000000"/>
                <w:sz w:val="20"/>
              </w:rPr>
            </w:pPr>
            <w:r w:rsidRPr="000C1C46">
              <w:rPr>
                <w:i/>
                <w:iCs/>
                <w:color w:val="000000"/>
                <w:sz w:val="20"/>
              </w:rPr>
              <w:t>Maccullochella macquariensis</w:t>
            </w:r>
          </w:p>
        </w:tc>
        <w:tc>
          <w:tcPr>
            <w:tcW w:w="1842" w:type="dxa"/>
            <w:tcBorders>
              <w:top w:val="nil"/>
              <w:left w:val="nil"/>
              <w:bottom w:val="nil"/>
              <w:right w:val="nil"/>
            </w:tcBorders>
          </w:tcPr>
          <w:p w14:paraId="3B4F8FC5" w14:textId="77777777" w:rsidR="008E6212" w:rsidRPr="000C1C46" w:rsidRDefault="008E6212" w:rsidP="009C1A36">
            <w:pPr>
              <w:spacing w:before="20" w:after="60" w:line="240" w:lineRule="auto"/>
              <w:jc w:val="center"/>
              <w:rPr>
                <w:iCs/>
                <w:color w:val="000000"/>
                <w:sz w:val="20"/>
              </w:rPr>
            </w:pPr>
          </w:p>
        </w:tc>
      </w:tr>
      <w:tr w:rsidR="008E6212" w14:paraId="3B4F8FCA" w14:textId="77777777" w:rsidTr="009C1A36">
        <w:tc>
          <w:tcPr>
            <w:tcW w:w="3544" w:type="dxa"/>
            <w:tcBorders>
              <w:top w:val="nil"/>
              <w:left w:val="nil"/>
              <w:bottom w:val="nil"/>
              <w:right w:val="nil"/>
            </w:tcBorders>
            <w:vAlign w:val="center"/>
          </w:tcPr>
          <w:p w14:paraId="3B4F8FC7" w14:textId="77777777" w:rsidR="008E6212" w:rsidRPr="000C1C46" w:rsidRDefault="008E6212" w:rsidP="009C1A36">
            <w:pPr>
              <w:spacing w:before="20" w:after="60" w:line="240" w:lineRule="auto"/>
              <w:rPr>
                <w:color w:val="000000"/>
                <w:sz w:val="20"/>
              </w:rPr>
            </w:pPr>
            <w:r w:rsidRPr="000C1C46">
              <w:rPr>
                <w:color w:val="000000"/>
                <w:sz w:val="20"/>
              </w:rPr>
              <w:t>unspecked hardyhead</w:t>
            </w:r>
          </w:p>
        </w:tc>
        <w:tc>
          <w:tcPr>
            <w:tcW w:w="3119" w:type="dxa"/>
            <w:tcBorders>
              <w:top w:val="nil"/>
              <w:left w:val="nil"/>
              <w:bottom w:val="nil"/>
              <w:right w:val="nil"/>
            </w:tcBorders>
          </w:tcPr>
          <w:p w14:paraId="3B4F8FC8" w14:textId="77777777" w:rsidR="008E6212" w:rsidRPr="000C1C46" w:rsidRDefault="008E6212" w:rsidP="009C1A36">
            <w:pPr>
              <w:spacing w:before="20" w:after="60" w:line="240" w:lineRule="auto"/>
              <w:jc w:val="left"/>
              <w:rPr>
                <w:i/>
                <w:iCs/>
                <w:color w:val="000000"/>
                <w:sz w:val="20"/>
              </w:rPr>
            </w:pPr>
            <w:r w:rsidRPr="000C1C46">
              <w:rPr>
                <w:i/>
                <w:iCs/>
                <w:color w:val="000000"/>
                <w:sz w:val="20"/>
              </w:rPr>
              <w:t>Craterocephalus stercusmuscarum fulvus</w:t>
            </w:r>
          </w:p>
        </w:tc>
        <w:tc>
          <w:tcPr>
            <w:tcW w:w="1842" w:type="dxa"/>
            <w:tcBorders>
              <w:top w:val="nil"/>
              <w:left w:val="nil"/>
              <w:bottom w:val="nil"/>
              <w:right w:val="nil"/>
            </w:tcBorders>
          </w:tcPr>
          <w:p w14:paraId="3B4F8FC9" w14:textId="77777777" w:rsidR="008E6212" w:rsidRPr="000C1C46" w:rsidRDefault="008E6212" w:rsidP="009C1A36">
            <w:pPr>
              <w:spacing w:before="20" w:after="60" w:line="240" w:lineRule="auto"/>
              <w:jc w:val="center"/>
              <w:rPr>
                <w:iCs/>
                <w:color w:val="000000"/>
                <w:sz w:val="20"/>
              </w:rPr>
            </w:pPr>
            <w:r>
              <w:rPr>
                <w:b/>
                <w:iCs/>
                <w:color w:val="000000"/>
                <w:sz w:val="20"/>
              </w:rPr>
              <w:t>*</w:t>
            </w:r>
          </w:p>
        </w:tc>
      </w:tr>
      <w:tr w:rsidR="008E6212" w:rsidRPr="000C1C46" w14:paraId="3B4F8FCD" w14:textId="77777777" w:rsidTr="009C1A36">
        <w:trPr>
          <w:gridAfter w:val="1"/>
          <w:wAfter w:w="1842" w:type="dxa"/>
        </w:trPr>
        <w:tc>
          <w:tcPr>
            <w:tcW w:w="3544" w:type="dxa"/>
            <w:tcBorders>
              <w:top w:val="nil"/>
              <w:left w:val="nil"/>
              <w:bottom w:val="nil"/>
              <w:right w:val="nil"/>
            </w:tcBorders>
            <w:vAlign w:val="center"/>
          </w:tcPr>
          <w:p w14:paraId="3B4F8FCB" w14:textId="77777777" w:rsidR="008E6212" w:rsidRPr="00C16636" w:rsidRDefault="008E6212" w:rsidP="009C1A36">
            <w:pPr>
              <w:spacing w:before="60" w:after="60" w:line="240" w:lineRule="auto"/>
              <w:rPr>
                <w:b/>
                <w:i/>
                <w:color w:val="000000"/>
                <w:sz w:val="20"/>
              </w:rPr>
            </w:pPr>
            <w:r>
              <w:rPr>
                <w:b/>
                <w:i/>
                <w:color w:val="000000"/>
                <w:sz w:val="20"/>
              </w:rPr>
              <w:t>Native species -expected</w:t>
            </w:r>
          </w:p>
        </w:tc>
        <w:tc>
          <w:tcPr>
            <w:tcW w:w="3119" w:type="dxa"/>
            <w:tcBorders>
              <w:top w:val="nil"/>
              <w:left w:val="nil"/>
              <w:bottom w:val="nil"/>
              <w:right w:val="nil"/>
            </w:tcBorders>
          </w:tcPr>
          <w:p w14:paraId="3B4F8FCC" w14:textId="77777777" w:rsidR="008E6212" w:rsidRPr="000C1C46" w:rsidRDefault="008E6212" w:rsidP="009C1A36">
            <w:pPr>
              <w:spacing w:before="60" w:after="60" w:line="240" w:lineRule="auto"/>
              <w:jc w:val="left"/>
              <w:rPr>
                <w:i/>
                <w:color w:val="000000"/>
                <w:sz w:val="20"/>
              </w:rPr>
            </w:pPr>
          </w:p>
        </w:tc>
      </w:tr>
      <w:tr w:rsidR="008E6212" w:rsidRPr="000C1C46" w14:paraId="3B4F8FD0" w14:textId="77777777" w:rsidTr="009C1A36">
        <w:trPr>
          <w:gridAfter w:val="1"/>
          <w:wAfter w:w="1842" w:type="dxa"/>
        </w:trPr>
        <w:tc>
          <w:tcPr>
            <w:tcW w:w="3544" w:type="dxa"/>
            <w:tcBorders>
              <w:top w:val="nil"/>
              <w:left w:val="nil"/>
              <w:bottom w:val="nil"/>
              <w:right w:val="nil"/>
            </w:tcBorders>
            <w:vAlign w:val="center"/>
          </w:tcPr>
          <w:p w14:paraId="3B4F8FCE" w14:textId="77777777" w:rsidR="008E6212" w:rsidRPr="00B76110" w:rsidRDefault="008E6212" w:rsidP="009C1A36">
            <w:pPr>
              <w:spacing w:before="20" w:after="60" w:line="240" w:lineRule="auto"/>
              <w:rPr>
                <w:b/>
                <w:color w:val="000000"/>
                <w:sz w:val="20"/>
              </w:rPr>
            </w:pPr>
            <w:r w:rsidRPr="000C1C46">
              <w:rPr>
                <w:color w:val="000000"/>
                <w:sz w:val="20"/>
              </w:rPr>
              <w:t>Agassiz’s glassfish (olive perchlet)</w:t>
            </w:r>
          </w:p>
        </w:tc>
        <w:tc>
          <w:tcPr>
            <w:tcW w:w="3119" w:type="dxa"/>
            <w:tcBorders>
              <w:top w:val="nil"/>
              <w:left w:val="nil"/>
              <w:bottom w:val="nil"/>
              <w:right w:val="nil"/>
            </w:tcBorders>
          </w:tcPr>
          <w:p w14:paraId="3B4F8FCF" w14:textId="77777777" w:rsidR="008E6212" w:rsidRPr="000C1C46" w:rsidRDefault="008E6212" w:rsidP="009C1A36">
            <w:pPr>
              <w:spacing w:before="20" w:after="60" w:line="240" w:lineRule="auto"/>
              <w:jc w:val="left"/>
              <w:rPr>
                <w:i/>
                <w:iCs/>
                <w:color w:val="000000"/>
                <w:sz w:val="20"/>
              </w:rPr>
            </w:pPr>
            <w:r w:rsidRPr="000C1C46">
              <w:rPr>
                <w:i/>
                <w:color w:val="000000"/>
                <w:sz w:val="20"/>
              </w:rPr>
              <w:t>Ambassis agassizii</w:t>
            </w:r>
          </w:p>
        </w:tc>
      </w:tr>
      <w:tr w:rsidR="008E6212" w:rsidRPr="000C1C46" w14:paraId="3B4F8FD3" w14:textId="77777777" w:rsidTr="009C1A36">
        <w:trPr>
          <w:gridAfter w:val="1"/>
          <w:wAfter w:w="1842" w:type="dxa"/>
        </w:trPr>
        <w:tc>
          <w:tcPr>
            <w:tcW w:w="3544" w:type="dxa"/>
            <w:tcBorders>
              <w:top w:val="nil"/>
              <w:left w:val="nil"/>
              <w:bottom w:val="nil"/>
              <w:right w:val="nil"/>
            </w:tcBorders>
            <w:vAlign w:val="center"/>
          </w:tcPr>
          <w:p w14:paraId="3B4F8FD1" w14:textId="77777777" w:rsidR="008E6212" w:rsidRPr="000C1C46" w:rsidRDefault="008E6212" w:rsidP="009C1A36">
            <w:pPr>
              <w:spacing w:before="20" w:after="60" w:line="240" w:lineRule="auto"/>
              <w:rPr>
                <w:color w:val="000000"/>
                <w:sz w:val="20"/>
              </w:rPr>
            </w:pPr>
            <w:r w:rsidRPr="000C1C46">
              <w:rPr>
                <w:color w:val="000000"/>
                <w:sz w:val="20"/>
              </w:rPr>
              <w:t>flathead galaxias</w:t>
            </w:r>
          </w:p>
        </w:tc>
        <w:tc>
          <w:tcPr>
            <w:tcW w:w="3119" w:type="dxa"/>
            <w:tcBorders>
              <w:top w:val="nil"/>
              <w:left w:val="nil"/>
              <w:bottom w:val="nil"/>
              <w:right w:val="nil"/>
            </w:tcBorders>
          </w:tcPr>
          <w:p w14:paraId="3B4F8FD2" w14:textId="77777777" w:rsidR="008E6212" w:rsidRPr="000C1C46" w:rsidRDefault="008E6212" w:rsidP="009C1A36">
            <w:pPr>
              <w:spacing w:before="20" w:after="60" w:line="240" w:lineRule="auto"/>
              <w:jc w:val="left"/>
              <w:rPr>
                <w:i/>
                <w:color w:val="000000"/>
                <w:sz w:val="20"/>
              </w:rPr>
            </w:pPr>
            <w:r w:rsidRPr="000C1C46">
              <w:rPr>
                <w:i/>
                <w:iCs/>
                <w:color w:val="000000"/>
                <w:sz w:val="20"/>
              </w:rPr>
              <w:t>Galaxias rostratus</w:t>
            </w:r>
          </w:p>
        </w:tc>
      </w:tr>
      <w:tr w:rsidR="008E6212" w:rsidRPr="000C1C46" w14:paraId="3B4F8FD6" w14:textId="77777777" w:rsidTr="009C1A36">
        <w:trPr>
          <w:gridAfter w:val="1"/>
          <w:wAfter w:w="1842" w:type="dxa"/>
        </w:trPr>
        <w:tc>
          <w:tcPr>
            <w:tcW w:w="3544" w:type="dxa"/>
            <w:tcBorders>
              <w:top w:val="nil"/>
              <w:left w:val="nil"/>
              <w:bottom w:val="nil"/>
              <w:right w:val="nil"/>
            </w:tcBorders>
            <w:vAlign w:val="center"/>
          </w:tcPr>
          <w:p w14:paraId="3B4F8FD4" w14:textId="77777777" w:rsidR="008E6212" w:rsidRPr="000C1C46" w:rsidRDefault="008E6212" w:rsidP="009C1A36">
            <w:pPr>
              <w:spacing w:before="20" w:after="60" w:line="240" w:lineRule="auto"/>
              <w:rPr>
                <w:color w:val="000000"/>
                <w:sz w:val="20"/>
              </w:rPr>
            </w:pPr>
            <w:r w:rsidRPr="000C1C46">
              <w:rPr>
                <w:color w:val="000000"/>
                <w:sz w:val="20"/>
              </w:rPr>
              <w:t>freshwater catfish</w:t>
            </w:r>
          </w:p>
        </w:tc>
        <w:tc>
          <w:tcPr>
            <w:tcW w:w="3119" w:type="dxa"/>
            <w:tcBorders>
              <w:top w:val="nil"/>
              <w:left w:val="nil"/>
              <w:bottom w:val="nil"/>
              <w:right w:val="nil"/>
            </w:tcBorders>
          </w:tcPr>
          <w:p w14:paraId="3B4F8FD5" w14:textId="77777777" w:rsidR="008E6212" w:rsidRPr="000C1C46" w:rsidRDefault="008E6212" w:rsidP="009C1A36">
            <w:pPr>
              <w:spacing w:before="20" w:after="60" w:line="240" w:lineRule="auto"/>
              <w:jc w:val="left"/>
              <w:rPr>
                <w:i/>
                <w:color w:val="000000"/>
                <w:sz w:val="20"/>
              </w:rPr>
            </w:pPr>
            <w:r w:rsidRPr="000C1C46">
              <w:rPr>
                <w:i/>
                <w:iCs/>
                <w:color w:val="000000"/>
                <w:sz w:val="20"/>
              </w:rPr>
              <w:t>Tandanus tandanus</w:t>
            </w:r>
          </w:p>
        </w:tc>
      </w:tr>
      <w:tr w:rsidR="008E6212" w:rsidRPr="000C1C46" w14:paraId="3B4F8FD9" w14:textId="77777777" w:rsidTr="009C1A36">
        <w:trPr>
          <w:gridAfter w:val="1"/>
          <w:wAfter w:w="1842" w:type="dxa"/>
        </w:trPr>
        <w:tc>
          <w:tcPr>
            <w:tcW w:w="3544" w:type="dxa"/>
            <w:tcBorders>
              <w:top w:val="nil"/>
              <w:left w:val="nil"/>
              <w:bottom w:val="nil"/>
              <w:right w:val="nil"/>
            </w:tcBorders>
            <w:vAlign w:val="center"/>
          </w:tcPr>
          <w:p w14:paraId="3B4F8FD7" w14:textId="77777777" w:rsidR="008E6212" w:rsidRPr="00B76110" w:rsidRDefault="008E6212" w:rsidP="009C1A36">
            <w:pPr>
              <w:spacing w:before="20" w:after="60" w:line="240" w:lineRule="auto"/>
              <w:rPr>
                <w:b/>
                <w:color w:val="000000"/>
                <w:sz w:val="20"/>
              </w:rPr>
            </w:pPr>
            <w:r w:rsidRPr="000C1C46">
              <w:rPr>
                <w:color w:val="000000"/>
                <w:sz w:val="20"/>
              </w:rPr>
              <w:t>Macquarie perch</w:t>
            </w:r>
          </w:p>
        </w:tc>
        <w:tc>
          <w:tcPr>
            <w:tcW w:w="3119" w:type="dxa"/>
            <w:tcBorders>
              <w:top w:val="nil"/>
              <w:left w:val="nil"/>
              <w:bottom w:val="nil"/>
              <w:right w:val="nil"/>
            </w:tcBorders>
          </w:tcPr>
          <w:p w14:paraId="3B4F8FD8" w14:textId="77777777" w:rsidR="008E6212" w:rsidRPr="000C1C46" w:rsidRDefault="008E6212" w:rsidP="009C1A36">
            <w:pPr>
              <w:spacing w:before="20" w:after="60" w:line="240" w:lineRule="auto"/>
              <w:jc w:val="left"/>
              <w:rPr>
                <w:i/>
                <w:iCs/>
                <w:color w:val="000000"/>
                <w:sz w:val="20"/>
              </w:rPr>
            </w:pPr>
            <w:r w:rsidRPr="000C1C46">
              <w:rPr>
                <w:i/>
                <w:iCs/>
                <w:color w:val="000000"/>
                <w:sz w:val="20"/>
              </w:rPr>
              <w:t>Macquaria australasica</w:t>
            </w:r>
          </w:p>
        </w:tc>
      </w:tr>
      <w:tr w:rsidR="008E6212" w:rsidRPr="000C1C46" w14:paraId="3B4F8FDC" w14:textId="77777777" w:rsidTr="009C1A36">
        <w:trPr>
          <w:gridAfter w:val="1"/>
          <w:wAfter w:w="1842" w:type="dxa"/>
        </w:trPr>
        <w:tc>
          <w:tcPr>
            <w:tcW w:w="3544" w:type="dxa"/>
            <w:tcBorders>
              <w:top w:val="nil"/>
              <w:left w:val="nil"/>
              <w:bottom w:val="nil"/>
              <w:right w:val="nil"/>
            </w:tcBorders>
            <w:vAlign w:val="center"/>
          </w:tcPr>
          <w:p w14:paraId="3B4F8FDA" w14:textId="77777777" w:rsidR="008E6212" w:rsidRPr="00B76110" w:rsidRDefault="008E6212" w:rsidP="009C1A36">
            <w:pPr>
              <w:spacing w:before="20" w:after="60" w:line="240" w:lineRule="auto"/>
              <w:rPr>
                <w:b/>
                <w:color w:val="000000"/>
                <w:sz w:val="20"/>
              </w:rPr>
            </w:pPr>
            <w:r w:rsidRPr="000C1C46">
              <w:rPr>
                <w:color w:val="000000"/>
                <w:sz w:val="20"/>
              </w:rPr>
              <w:t>mountain galaxias</w:t>
            </w:r>
          </w:p>
        </w:tc>
        <w:tc>
          <w:tcPr>
            <w:tcW w:w="3119" w:type="dxa"/>
            <w:tcBorders>
              <w:top w:val="nil"/>
              <w:left w:val="nil"/>
              <w:bottom w:val="nil"/>
              <w:right w:val="nil"/>
            </w:tcBorders>
          </w:tcPr>
          <w:p w14:paraId="3B4F8FDB" w14:textId="77777777" w:rsidR="008E6212" w:rsidRPr="000C1C46" w:rsidRDefault="008E6212" w:rsidP="009C1A36">
            <w:pPr>
              <w:spacing w:before="20" w:after="60" w:line="240" w:lineRule="auto"/>
              <w:jc w:val="left"/>
              <w:rPr>
                <w:i/>
                <w:iCs/>
                <w:color w:val="000000"/>
                <w:sz w:val="20"/>
              </w:rPr>
            </w:pPr>
            <w:r w:rsidRPr="000C1C46">
              <w:rPr>
                <w:i/>
                <w:iCs/>
                <w:color w:val="000000"/>
                <w:sz w:val="20"/>
              </w:rPr>
              <w:t>Galaxias olidus</w:t>
            </w:r>
          </w:p>
        </w:tc>
      </w:tr>
      <w:tr w:rsidR="008E6212" w:rsidRPr="000C1C46" w14:paraId="3B4F8FDF" w14:textId="77777777" w:rsidTr="009C1A36">
        <w:trPr>
          <w:gridAfter w:val="1"/>
          <w:wAfter w:w="1842" w:type="dxa"/>
        </w:trPr>
        <w:tc>
          <w:tcPr>
            <w:tcW w:w="3544" w:type="dxa"/>
            <w:tcBorders>
              <w:top w:val="nil"/>
              <w:left w:val="nil"/>
              <w:bottom w:val="nil"/>
              <w:right w:val="nil"/>
            </w:tcBorders>
            <w:vAlign w:val="center"/>
          </w:tcPr>
          <w:p w14:paraId="3B4F8FDD" w14:textId="77777777" w:rsidR="008E6212" w:rsidRPr="000C1C46" w:rsidRDefault="008E6212" w:rsidP="009C1A36">
            <w:pPr>
              <w:spacing w:before="20" w:after="60" w:line="240" w:lineRule="auto"/>
              <w:rPr>
                <w:color w:val="000000"/>
                <w:sz w:val="20"/>
              </w:rPr>
            </w:pPr>
            <w:r w:rsidRPr="000C1C46">
              <w:rPr>
                <w:color w:val="000000"/>
                <w:sz w:val="20"/>
              </w:rPr>
              <w:t>Murray hardyhead</w:t>
            </w:r>
          </w:p>
        </w:tc>
        <w:tc>
          <w:tcPr>
            <w:tcW w:w="3119" w:type="dxa"/>
            <w:tcBorders>
              <w:top w:val="nil"/>
              <w:left w:val="nil"/>
              <w:bottom w:val="nil"/>
              <w:right w:val="nil"/>
            </w:tcBorders>
          </w:tcPr>
          <w:p w14:paraId="3B4F8FDE" w14:textId="77777777" w:rsidR="008E6212" w:rsidRPr="000C1C46" w:rsidRDefault="008E6212" w:rsidP="009C1A36">
            <w:pPr>
              <w:spacing w:before="20" w:after="60" w:line="240" w:lineRule="auto"/>
              <w:jc w:val="left"/>
              <w:rPr>
                <w:i/>
                <w:iCs/>
                <w:color w:val="000000"/>
                <w:sz w:val="20"/>
              </w:rPr>
            </w:pPr>
            <w:r w:rsidRPr="000C1C46">
              <w:rPr>
                <w:i/>
                <w:iCs/>
                <w:color w:val="000000"/>
                <w:sz w:val="20"/>
              </w:rPr>
              <w:t>Craterocephalus fluviatilis</w:t>
            </w:r>
          </w:p>
        </w:tc>
      </w:tr>
      <w:tr w:rsidR="008E6212" w:rsidRPr="000C1C46" w14:paraId="3B4F8FE2" w14:textId="77777777" w:rsidTr="009C1A36">
        <w:trPr>
          <w:gridAfter w:val="1"/>
          <w:wAfter w:w="1842" w:type="dxa"/>
        </w:trPr>
        <w:tc>
          <w:tcPr>
            <w:tcW w:w="3544" w:type="dxa"/>
            <w:tcBorders>
              <w:top w:val="nil"/>
              <w:left w:val="nil"/>
              <w:bottom w:val="nil"/>
              <w:right w:val="nil"/>
            </w:tcBorders>
            <w:vAlign w:val="center"/>
          </w:tcPr>
          <w:p w14:paraId="3B4F8FE0" w14:textId="77777777" w:rsidR="008E6212" w:rsidRPr="000C1C46" w:rsidRDefault="008E6212" w:rsidP="009C1A36">
            <w:pPr>
              <w:spacing w:before="20" w:after="60" w:line="240" w:lineRule="auto"/>
              <w:rPr>
                <w:color w:val="000000"/>
                <w:sz w:val="20"/>
              </w:rPr>
            </w:pPr>
            <w:r w:rsidRPr="000C1C46">
              <w:rPr>
                <w:color w:val="000000"/>
                <w:sz w:val="20"/>
              </w:rPr>
              <w:t>shorthead lamprey</w:t>
            </w:r>
          </w:p>
        </w:tc>
        <w:tc>
          <w:tcPr>
            <w:tcW w:w="3119" w:type="dxa"/>
            <w:tcBorders>
              <w:top w:val="nil"/>
              <w:left w:val="nil"/>
              <w:bottom w:val="nil"/>
              <w:right w:val="nil"/>
            </w:tcBorders>
          </w:tcPr>
          <w:p w14:paraId="3B4F8FE1" w14:textId="77777777" w:rsidR="008E6212" w:rsidRPr="000C1C46" w:rsidRDefault="008E6212" w:rsidP="009C1A36">
            <w:pPr>
              <w:spacing w:before="20" w:after="60" w:line="240" w:lineRule="auto"/>
              <w:jc w:val="left"/>
              <w:rPr>
                <w:i/>
                <w:iCs/>
                <w:color w:val="000000"/>
                <w:sz w:val="20"/>
              </w:rPr>
            </w:pPr>
            <w:r w:rsidRPr="000C1C46">
              <w:rPr>
                <w:i/>
                <w:iCs/>
                <w:color w:val="000000"/>
                <w:sz w:val="20"/>
              </w:rPr>
              <w:t>Mordacia mordax</w:t>
            </w:r>
          </w:p>
        </w:tc>
      </w:tr>
      <w:tr w:rsidR="008E6212" w14:paraId="3B4F8FE5" w14:textId="77777777" w:rsidTr="009C1A36">
        <w:trPr>
          <w:gridAfter w:val="1"/>
          <w:wAfter w:w="1842" w:type="dxa"/>
        </w:trPr>
        <w:tc>
          <w:tcPr>
            <w:tcW w:w="3544" w:type="dxa"/>
            <w:tcBorders>
              <w:top w:val="nil"/>
              <w:left w:val="nil"/>
              <w:bottom w:val="nil"/>
              <w:right w:val="nil"/>
            </w:tcBorders>
            <w:vAlign w:val="center"/>
          </w:tcPr>
          <w:p w14:paraId="3B4F8FE3" w14:textId="77777777" w:rsidR="008E6212" w:rsidRDefault="008E6212" w:rsidP="009C1A36">
            <w:pPr>
              <w:spacing w:before="20" w:after="60" w:line="240" w:lineRule="auto"/>
              <w:rPr>
                <w:color w:val="000000"/>
                <w:sz w:val="20"/>
              </w:rPr>
            </w:pPr>
            <w:r w:rsidRPr="000C1C46">
              <w:rPr>
                <w:color w:val="000000"/>
                <w:sz w:val="20"/>
              </w:rPr>
              <w:t>southern purple spotted gudgeon</w:t>
            </w:r>
          </w:p>
        </w:tc>
        <w:tc>
          <w:tcPr>
            <w:tcW w:w="3119" w:type="dxa"/>
            <w:tcBorders>
              <w:top w:val="nil"/>
              <w:left w:val="nil"/>
              <w:bottom w:val="nil"/>
              <w:right w:val="nil"/>
            </w:tcBorders>
          </w:tcPr>
          <w:p w14:paraId="3B4F8FE4" w14:textId="77777777" w:rsidR="008E6212" w:rsidRDefault="008E6212" w:rsidP="009C1A36">
            <w:pPr>
              <w:spacing w:before="20" w:after="60" w:line="240" w:lineRule="auto"/>
              <w:jc w:val="left"/>
              <w:rPr>
                <w:i/>
                <w:iCs/>
                <w:color w:val="000000"/>
                <w:sz w:val="20"/>
              </w:rPr>
            </w:pPr>
            <w:r w:rsidRPr="000C1C46">
              <w:rPr>
                <w:i/>
                <w:iCs/>
                <w:color w:val="000000"/>
                <w:sz w:val="20"/>
              </w:rPr>
              <w:t>Mogurnda adspersa</w:t>
            </w:r>
          </w:p>
        </w:tc>
      </w:tr>
      <w:tr w:rsidR="008E6212" w14:paraId="3B4F8FE8" w14:textId="77777777" w:rsidTr="009C1A36">
        <w:trPr>
          <w:gridAfter w:val="1"/>
          <w:wAfter w:w="1842" w:type="dxa"/>
        </w:trPr>
        <w:tc>
          <w:tcPr>
            <w:tcW w:w="3544" w:type="dxa"/>
            <w:tcBorders>
              <w:top w:val="nil"/>
              <w:left w:val="nil"/>
              <w:bottom w:val="nil"/>
              <w:right w:val="nil"/>
            </w:tcBorders>
            <w:vAlign w:val="center"/>
          </w:tcPr>
          <w:p w14:paraId="3B4F8FE6" w14:textId="77777777" w:rsidR="008E6212" w:rsidRDefault="008E6212" w:rsidP="009C1A36">
            <w:pPr>
              <w:spacing w:before="20" w:after="60" w:line="240" w:lineRule="auto"/>
              <w:rPr>
                <w:color w:val="000000"/>
                <w:sz w:val="20"/>
              </w:rPr>
            </w:pPr>
            <w:r w:rsidRPr="000C1C46">
              <w:rPr>
                <w:color w:val="000000"/>
                <w:sz w:val="20"/>
              </w:rPr>
              <w:t>southern pygmy perch</w:t>
            </w:r>
          </w:p>
        </w:tc>
        <w:tc>
          <w:tcPr>
            <w:tcW w:w="3119" w:type="dxa"/>
            <w:tcBorders>
              <w:top w:val="nil"/>
              <w:left w:val="nil"/>
              <w:bottom w:val="nil"/>
              <w:right w:val="nil"/>
            </w:tcBorders>
          </w:tcPr>
          <w:p w14:paraId="3B4F8FE7" w14:textId="77777777" w:rsidR="008E6212" w:rsidRDefault="008E6212" w:rsidP="009C1A36">
            <w:pPr>
              <w:spacing w:before="20" w:after="60" w:line="240" w:lineRule="auto"/>
              <w:jc w:val="left"/>
              <w:rPr>
                <w:i/>
                <w:iCs/>
                <w:color w:val="000000"/>
                <w:sz w:val="20"/>
              </w:rPr>
            </w:pPr>
            <w:r w:rsidRPr="000C1C46">
              <w:rPr>
                <w:i/>
                <w:iCs/>
                <w:color w:val="000000"/>
                <w:sz w:val="20"/>
              </w:rPr>
              <w:t>Nannoperca australis</w:t>
            </w:r>
          </w:p>
        </w:tc>
      </w:tr>
      <w:tr w:rsidR="008E6212" w14:paraId="3B4F8FEC" w14:textId="77777777" w:rsidTr="009C1A36">
        <w:tc>
          <w:tcPr>
            <w:tcW w:w="3544" w:type="dxa"/>
            <w:tcBorders>
              <w:top w:val="nil"/>
              <w:left w:val="nil"/>
              <w:bottom w:val="nil"/>
              <w:right w:val="nil"/>
            </w:tcBorders>
            <w:vAlign w:val="center"/>
          </w:tcPr>
          <w:p w14:paraId="3B4F8FE9" w14:textId="77777777" w:rsidR="008E6212" w:rsidRPr="00C16636" w:rsidRDefault="008E6212" w:rsidP="009C1A36">
            <w:pPr>
              <w:spacing w:before="120" w:after="60" w:line="240" w:lineRule="auto"/>
              <w:rPr>
                <w:b/>
                <w:i/>
                <w:color w:val="000000"/>
                <w:sz w:val="20"/>
              </w:rPr>
            </w:pPr>
            <w:r>
              <w:rPr>
                <w:b/>
                <w:i/>
                <w:color w:val="000000"/>
                <w:sz w:val="20"/>
              </w:rPr>
              <w:t>Alien species - recorded</w:t>
            </w:r>
          </w:p>
        </w:tc>
        <w:tc>
          <w:tcPr>
            <w:tcW w:w="3119" w:type="dxa"/>
            <w:tcBorders>
              <w:top w:val="nil"/>
              <w:left w:val="nil"/>
              <w:bottom w:val="nil"/>
              <w:right w:val="nil"/>
            </w:tcBorders>
          </w:tcPr>
          <w:p w14:paraId="3B4F8FEA" w14:textId="77777777" w:rsidR="008E6212" w:rsidRDefault="008E6212" w:rsidP="009C1A36">
            <w:pPr>
              <w:spacing w:before="120" w:after="60" w:line="240" w:lineRule="auto"/>
              <w:jc w:val="left"/>
              <w:rPr>
                <w:i/>
                <w:iCs/>
                <w:color w:val="000000"/>
                <w:sz w:val="20"/>
              </w:rPr>
            </w:pPr>
          </w:p>
        </w:tc>
        <w:tc>
          <w:tcPr>
            <w:tcW w:w="1842" w:type="dxa"/>
            <w:tcBorders>
              <w:top w:val="nil"/>
              <w:left w:val="nil"/>
              <w:bottom w:val="nil"/>
              <w:right w:val="nil"/>
            </w:tcBorders>
          </w:tcPr>
          <w:p w14:paraId="3B4F8FEB" w14:textId="77777777" w:rsidR="008E6212" w:rsidRDefault="008E6212" w:rsidP="009C1A36">
            <w:pPr>
              <w:spacing w:before="120" w:after="60" w:line="240" w:lineRule="auto"/>
              <w:jc w:val="center"/>
              <w:rPr>
                <w:b/>
                <w:iCs/>
                <w:color w:val="000000"/>
                <w:sz w:val="20"/>
              </w:rPr>
            </w:pPr>
          </w:p>
        </w:tc>
      </w:tr>
      <w:tr w:rsidR="008E6212" w14:paraId="3B4F8FF0" w14:textId="77777777" w:rsidTr="009C1A36">
        <w:tc>
          <w:tcPr>
            <w:tcW w:w="3544" w:type="dxa"/>
            <w:tcBorders>
              <w:top w:val="nil"/>
              <w:left w:val="nil"/>
              <w:bottom w:val="nil"/>
              <w:right w:val="nil"/>
            </w:tcBorders>
            <w:vAlign w:val="center"/>
          </w:tcPr>
          <w:p w14:paraId="3B4F8FED" w14:textId="77777777" w:rsidR="008E6212" w:rsidRDefault="008E6212" w:rsidP="009C1A36">
            <w:pPr>
              <w:spacing w:before="20" w:after="60" w:line="240" w:lineRule="auto"/>
              <w:rPr>
                <w:color w:val="000000"/>
                <w:sz w:val="20"/>
              </w:rPr>
            </w:pPr>
            <w:r>
              <w:rPr>
                <w:color w:val="000000"/>
                <w:sz w:val="20"/>
              </w:rPr>
              <w:t>common carp</w:t>
            </w:r>
          </w:p>
        </w:tc>
        <w:tc>
          <w:tcPr>
            <w:tcW w:w="3119" w:type="dxa"/>
            <w:tcBorders>
              <w:top w:val="nil"/>
              <w:left w:val="nil"/>
              <w:bottom w:val="nil"/>
              <w:right w:val="nil"/>
            </w:tcBorders>
          </w:tcPr>
          <w:p w14:paraId="3B4F8FEE" w14:textId="77777777" w:rsidR="008E6212" w:rsidRDefault="008E6212" w:rsidP="009C1A36">
            <w:pPr>
              <w:spacing w:before="20" w:after="60" w:line="240" w:lineRule="auto"/>
              <w:jc w:val="left"/>
              <w:rPr>
                <w:i/>
                <w:iCs/>
                <w:color w:val="000000"/>
                <w:sz w:val="20"/>
              </w:rPr>
            </w:pPr>
            <w:r>
              <w:rPr>
                <w:i/>
                <w:iCs/>
                <w:color w:val="000000"/>
                <w:sz w:val="20"/>
              </w:rPr>
              <w:t>Cyrpinus carpio</w:t>
            </w:r>
          </w:p>
        </w:tc>
        <w:tc>
          <w:tcPr>
            <w:tcW w:w="1842" w:type="dxa"/>
            <w:tcBorders>
              <w:top w:val="nil"/>
              <w:left w:val="nil"/>
              <w:bottom w:val="nil"/>
              <w:right w:val="nil"/>
            </w:tcBorders>
          </w:tcPr>
          <w:p w14:paraId="3B4F8FEF"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r w:rsidR="008E6212" w14:paraId="3B4F8FF4" w14:textId="77777777" w:rsidTr="009C1A36">
        <w:tc>
          <w:tcPr>
            <w:tcW w:w="3544" w:type="dxa"/>
            <w:tcBorders>
              <w:top w:val="nil"/>
              <w:left w:val="nil"/>
              <w:bottom w:val="nil"/>
              <w:right w:val="nil"/>
            </w:tcBorders>
            <w:vAlign w:val="center"/>
          </w:tcPr>
          <w:p w14:paraId="3B4F8FF1" w14:textId="77777777" w:rsidR="008E6212" w:rsidRDefault="008E6212" w:rsidP="009C1A36">
            <w:pPr>
              <w:spacing w:before="20" w:after="60" w:line="240" w:lineRule="auto"/>
              <w:rPr>
                <w:color w:val="000000"/>
                <w:sz w:val="20"/>
              </w:rPr>
            </w:pPr>
            <w:r>
              <w:rPr>
                <w:color w:val="000000"/>
                <w:sz w:val="20"/>
              </w:rPr>
              <w:t>goldfish</w:t>
            </w:r>
          </w:p>
        </w:tc>
        <w:tc>
          <w:tcPr>
            <w:tcW w:w="3119" w:type="dxa"/>
            <w:tcBorders>
              <w:top w:val="nil"/>
              <w:left w:val="nil"/>
              <w:bottom w:val="nil"/>
              <w:right w:val="nil"/>
            </w:tcBorders>
          </w:tcPr>
          <w:p w14:paraId="3B4F8FF2" w14:textId="77777777" w:rsidR="008E6212" w:rsidRDefault="008E6212" w:rsidP="009C1A36">
            <w:pPr>
              <w:spacing w:before="20" w:after="60" w:line="240" w:lineRule="auto"/>
              <w:jc w:val="left"/>
              <w:rPr>
                <w:i/>
                <w:iCs/>
                <w:color w:val="000000"/>
                <w:sz w:val="20"/>
              </w:rPr>
            </w:pPr>
            <w:r>
              <w:rPr>
                <w:i/>
                <w:iCs/>
                <w:color w:val="000000"/>
                <w:sz w:val="20"/>
              </w:rPr>
              <w:t>Carrassius auratus</w:t>
            </w:r>
          </w:p>
        </w:tc>
        <w:tc>
          <w:tcPr>
            <w:tcW w:w="1842" w:type="dxa"/>
            <w:tcBorders>
              <w:top w:val="nil"/>
              <w:left w:val="nil"/>
              <w:bottom w:val="nil"/>
              <w:right w:val="nil"/>
            </w:tcBorders>
          </w:tcPr>
          <w:p w14:paraId="3B4F8FF3" w14:textId="77777777" w:rsidR="008E6212" w:rsidRPr="00BF27F5" w:rsidRDefault="008E6212" w:rsidP="009C1A36">
            <w:pPr>
              <w:spacing w:before="20" w:after="60" w:line="240" w:lineRule="auto"/>
              <w:jc w:val="center"/>
              <w:rPr>
                <w:b/>
                <w:iCs/>
                <w:color w:val="000000"/>
                <w:sz w:val="20"/>
              </w:rPr>
            </w:pPr>
          </w:p>
        </w:tc>
      </w:tr>
      <w:tr w:rsidR="008E6212" w14:paraId="3B4F8FF8" w14:textId="77777777" w:rsidTr="009C1A36">
        <w:tc>
          <w:tcPr>
            <w:tcW w:w="3544" w:type="dxa"/>
            <w:tcBorders>
              <w:top w:val="nil"/>
              <w:left w:val="nil"/>
              <w:bottom w:val="nil"/>
              <w:right w:val="nil"/>
            </w:tcBorders>
            <w:vAlign w:val="center"/>
          </w:tcPr>
          <w:p w14:paraId="3B4F8FF5" w14:textId="77777777" w:rsidR="008E6212" w:rsidRDefault="008E6212" w:rsidP="009C1A36">
            <w:pPr>
              <w:spacing w:before="20" w:after="60" w:line="240" w:lineRule="auto"/>
              <w:rPr>
                <w:color w:val="000000"/>
                <w:sz w:val="20"/>
              </w:rPr>
            </w:pPr>
            <w:r>
              <w:rPr>
                <w:color w:val="000000"/>
                <w:sz w:val="20"/>
              </w:rPr>
              <w:t>eastern gambusia</w:t>
            </w:r>
          </w:p>
        </w:tc>
        <w:tc>
          <w:tcPr>
            <w:tcW w:w="3119" w:type="dxa"/>
            <w:tcBorders>
              <w:top w:val="nil"/>
              <w:left w:val="nil"/>
              <w:bottom w:val="nil"/>
              <w:right w:val="nil"/>
            </w:tcBorders>
          </w:tcPr>
          <w:p w14:paraId="3B4F8FF6" w14:textId="77777777" w:rsidR="008E6212" w:rsidRDefault="008E6212" w:rsidP="009C1A36">
            <w:pPr>
              <w:spacing w:before="20" w:after="60" w:line="240" w:lineRule="auto"/>
              <w:jc w:val="left"/>
              <w:rPr>
                <w:i/>
                <w:iCs/>
                <w:color w:val="000000"/>
                <w:sz w:val="20"/>
              </w:rPr>
            </w:pPr>
            <w:r>
              <w:rPr>
                <w:i/>
                <w:iCs/>
                <w:color w:val="000000"/>
                <w:sz w:val="20"/>
              </w:rPr>
              <w:t>Gambusia holbrooki</w:t>
            </w:r>
          </w:p>
        </w:tc>
        <w:tc>
          <w:tcPr>
            <w:tcW w:w="1842" w:type="dxa"/>
            <w:tcBorders>
              <w:top w:val="nil"/>
              <w:left w:val="nil"/>
              <w:bottom w:val="nil"/>
              <w:right w:val="nil"/>
            </w:tcBorders>
          </w:tcPr>
          <w:p w14:paraId="3B4F8FF7"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r w:rsidR="008E6212" w14:paraId="3B4F8FFC" w14:textId="77777777" w:rsidTr="009C1A36">
        <w:tc>
          <w:tcPr>
            <w:tcW w:w="3544" w:type="dxa"/>
            <w:tcBorders>
              <w:top w:val="nil"/>
              <w:left w:val="nil"/>
              <w:bottom w:val="nil"/>
              <w:right w:val="nil"/>
            </w:tcBorders>
            <w:vAlign w:val="center"/>
          </w:tcPr>
          <w:p w14:paraId="3B4F8FF9" w14:textId="77777777" w:rsidR="008E6212" w:rsidRDefault="008E6212" w:rsidP="009C1A36">
            <w:pPr>
              <w:spacing w:before="20" w:after="60" w:line="240" w:lineRule="auto"/>
              <w:rPr>
                <w:color w:val="000000"/>
                <w:sz w:val="20"/>
              </w:rPr>
            </w:pPr>
            <w:r>
              <w:rPr>
                <w:color w:val="000000"/>
                <w:sz w:val="20"/>
              </w:rPr>
              <w:t>oriental weatherloach</w:t>
            </w:r>
          </w:p>
        </w:tc>
        <w:tc>
          <w:tcPr>
            <w:tcW w:w="3119" w:type="dxa"/>
            <w:tcBorders>
              <w:top w:val="nil"/>
              <w:left w:val="nil"/>
              <w:bottom w:val="nil"/>
              <w:right w:val="nil"/>
            </w:tcBorders>
          </w:tcPr>
          <w:p w14:paraId="3B4F8FFA" w14:textId="77777777" w:rsidR="008E6212" w:rsidRDefault="008E6212" w:rsidP="009C1A36">
            <w:pPr>
              <w:spacing w:before="20" w:after="60" w:line="240" w:lineRule="auto"/>
              <w:jc w:val="left"/>
              <w:rPr>
                <w:i/>
                <w:iCs/>
                <w:color w:val="000000"/>
                <w:sz w:val="20"/>
              </w:rPr>
            </w:pPr>
            <w:r>
              <w:rPr>
                <w:i/>
                <w:iCs/>
                <w:color w:val="000000"/>
                <w:sz w:val="20"/>
              </w:rPr>
              <w:t>Misgurnus anguillicaudatus</w:t>
            </w:r>
          </w:p>
        </w:tc>
        <w:tc>
          <w:tcPr>
            <w:tcW w:w="1842" w:type="dxa"/>
            <w:tcBorders>
              <w:top w:val="nil"/>
              <w:left w:val="nil"/>
              <w:bottom w:val="nil"/>
              <w:right w:val="nil"/>
            </w:tcBorders>
          </w:tcPr>
          <w:p w14:paraId="3B4F8FFB"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r w:rsidR="008E6212" w14:paraId="3B4F9000" w14:textId="77777777" w:rsidTr="009C1A36">
        <w:tc>
          <w:tcPr>
            <w:tcW w:w="3544" w:type="dxa"/>
            <w:tcBorders>
              <w:top w:val="nil"/>
              <w:left w:val="nil"/>
              <w:bottom w:val="single" w:sz="4" w:space="0" w:color="auto"/>
              <w:right w:val="nil"/>
            </w:tcBorders>
            <w:vAlign w:val="center"/>
          </w:tcPr>
          <w:p w14:paraId="3B4F8FFD" w14:textId="77777777" w:rsidR="008E6212" w:rsidRDefault="008E6212" w:rsidP="009C1A36">
            <w:pPr>
              <w:spacing w:before="20" w:after="60" w:line="240" w:lineRule="auto"/>
              <w:rPr>
                <w:color w:val="000000"/>
                <w:sz w:val="20"/>
              </w:rPr>
            </w:pPr>
            <w:r>
              <w:rPr>
                <w:color w:val="000000"/>
                <w:sz w:val="20"/>
              </w:rPr>
              <w:t>redfin perch</w:t>
            </w:r>
          </w:p>
        </w:tc>
        <w:tc>
          <w:tcPr>
            <w:tcW w:w="3119" w:type="dxa"/>
            <w:tcBorders>
              <w:top w:val="nil"/>
              <w:left w:val="nil"/>
              <w:bottom w:val="single" w:sz="4" w:space="0" w:color="auto"/>
              <w:right w:val="nil"/>
            </w:tcBorders>
          </w:tcPr>
          <w:p w14:paraId="3B4F8FFE" w14:textId="77777777" w:rsidR="008E6212" w:rsidRDefault="008E6212" w:rsidP="009C1A36">
            <w:pPr>
              <w:spacing w:before="20" w:after="60" w:line="240" w:lineRule="auto"/>
              <w:jc w:val="left"/>
              <w:rPr>
                <w:i/>
                <w:iCs/>
                <w:color w:val="000000"/>
                <w:sz w:val="20"/>
              </w:rPr>
            </w:pPr>
            <w:r>
              <w:rPr>
                <w:i/>
                <w:iCs/>
                <w:color w:val="000000"/>
                <w:sz w:val="20"/>
              </w:rPr>
              <w:t>Perca fluviatilis</w:t>
            </w:r>
          </w:p>
        </w:tc>
        <w:tc>
          <w:tcPr>
            <w:tcW w:w="1842" w:type="dxa"/>
            <w:tcBorders>
              <w:top w:val="nil"/>
              <w:left w:val="nil"/>
              <w:bottom w:val="single" w:sz="4" w:space="0" w:color="auto"/>
              <w:right w:val="nil"/>
            </w:tcBorders>
          </w:tcPr>
          <w:p w14:paraId="3B4F8FFF" w14:textId="77777777" w:rsidR="008E6212" w:rsidRPr="00BF27F5" w:rsidRDefault="008E6212" w:rsidP="009C1A36">
            <w:pPr>
              <w:spacing w:before="20" w:after="60" w:line="240" w:lineRule="auto"/>
              <w:jc w:val="center"/>
              <w:rPr>
                <w:b/>
                <w:iCs/>
                <w:color w:val="000000"/>
                <w:sz w:val="20"/>
              </w:rPr>
            </w:pPr>
            <w:r>
              <w:rPr>
                <w:b/>
                <w:iCs/>
                <w:color w:val="000000"/>
                <w:sz w:val="20"/>
              </w:rPr>
              <w:t>*</w:t>
            </w:r>
          </w:p>
        </w:tc>
      </w:tr>
    </w:tbl>
    <w:p w14:paraId="3B4F9001" w14:textId="77777777" w:rsidR="008E6212" w:rsidRDefault="008E6212" w:rsidP="008E6212">
      <w:pPr>
        <w:pStyle w:val="BodyText"/>
        <w:ind w:left="360"/>
        <w:rPr>
          <w:sz w:val="20"/>
          <w:szCs w:val="20"/>
        </w:rPr>
      </w:pPr>
    </w:p>
    <w:p w14:paraId="3B4F9002" w14:textId="07D82C34" w:rsidR="008E6212" w:rsidRPr="00E43CCB" w:rsidRDefault="008E6212" w:rsidP="008E6212">
      <w:pPr>
        <w:pStyle w:val="BodyText"/>
        <w:spacing w:line="324" w:lineRule="exact"/>
        <w:jc w:val="left"/>
        <w:rPr>
          <w:rFonts w:asciiTheme="minorHAnsi" w:hAnsiTheme="minorHAnsi"/>
          <w:b/>
          <w:i/>
          <w:color w:val="76923C" w:themeColor="accent3" w:themeShade="BF"/>
          <w:sz w:val="22"/>
          <w:szCs w:val="22"/>
        </w:rPr>
      </w:pPr>
      <w:r>
        <w:rPr>
          <w:sz w:val="20"/>
        </w:rPr>
        <w:br w:type="page"/>
      </w:r>
      <w:r w:rsidRPr="00E43CCB">
        <w:rPr>
          <w:rFonts w:asciiTheme="minorHAnsi" w:hAnsiTheme="minorHAnsi"/>
          <w:sz w:val="22"/>
          <w:szCs w:val="22"/>
        </w:rPr>
        <w:lastRenderedPageBreak/>
        <w:t>Key processes that ultimately shape adult populations; movement, spawning, recruitment and growth, are being monitored and evaluated in res</w:t>
      </w:r>
      <w:r w:rsidR="001E6598">
        <w:rPr>
          <w:rFonts w:asciiTheme="minorHAnsi" w:hAnsiTheme="minorHAnsi"/>
          <w:sz w:val="22"/>
          <w:szCs w:val="22"/>
        </w:rPr>
        <w:t>ponse to the contribution of Commonwealth environmental water</w:t>
      </w:r>
      <w:r w:rsidRPr="00E43CCB">
        <w:rPr>
          <w:rFonts w:asciiTheme="minorHAnsi" w:hAnsiTheme="minorHAnsi"/>
          <w:sz w:val="22"/>
          <w:szCs w:val="22"/>
        </w:rPr>
        <w:t xml:space="preserve"> to native fish outcomes. Monitoring </w:t>
      </w:r>
      <w:r>
        <w:rPr>
          <w:rFonts w:asciiTheme="minorHAnsi" w:hAnsiTheme="minorHAnsi"/>
          <w:sz w:val="22"/>
          <w:szCs w:val="22"/>
        </w:rPr>
        <w:t xml:space="preserve">of </w:t>
      </w:r>
      <w:r w:rsidR="00A4128C">
        <w:rPr>
          <w:rFonts w:asciiTheme="minorHAnsi" w:hAnsiTheme="minorHAnsi"/>
          <w:sz w:val="22"/>
          <w:szCs w:val="22"/>
        </w:rPr>
        <w:t>these key elements are comple</w:t>
      </w:r>
      <w:r w:rsidRPr="00E43CCB">
        <w:rPr>
          <w:rFonts w:asciiTheme="minorHAnsi" w:hAnsiTheme="minorHAnsi"/>
          <w:sz w:val="22"/>
          <w:szCs w:val="22"/>
        </w:rPr>
        <w:t>mentary, allowing us to assess contribution</w:t>
      </w:r>
      <w:r>
        <w:rPr>
          <w:rFonts w:asciiTheme="minorHAnsi" w:hAnsiTheme="minorHAnsi"/>
          <w:sz w:val="22"/>
          <w:szCs w:val="22"/>
        </w:rPr>
        <w:t>s</w:t>
      </w:r>
      <w:r w:rsidRPr="00E43CCB">
        <w:rPr>
          <w:rFonts w:asciiTheme="minorHAnsi" w:hAnsiTheme="minorHAnsi"/>
          <w:sz w:val="22"/>
          <w:szCs w:val="22"/>
        </w:rPr>
        <w:t xml:space="preserve"> of environmental water to key population processes structuring fish assemblage</w:t>
      </w:r>
      <w:r>
        <w:rPr>
          <w:rFonts w:asciiTheme="minorHAnsi" w:hAnsiTheme="minorHAnsi"/>
          <w:sz w:val="22"/>
          <w:szCs w:val="22"/>
        </w:rPr>
        <w:t>s</w:t>
      </w:r>
      <w:r w:rsidRPr="00E43CCB">
        <w:rPr>
          <w:rFonts w:asciiTheme="minorHAnsi" w:hAnsiTheme="minorHAnsi"/>
          <w:sz w:val="22"/>
          <w:szCs w:val="22"/>
        </w:rPr>
        <w:t xml:space="preserve"> in the </w:t>
      </w:r>
      <w:r>
        <w:rPr>
          <w:rFonts w:asciiTheme="minorHAnsi" w:hAnsiTheme="minorHAnsi"/>
          <w:sz w:val="22"/>
          <w:szCs w:val="22"/>
        </w:rPr>
        <w:t>Edward-Wakool (Figure D.1</w:t>
      </w:r>
      <w:r w:rsidRPr="00E43CCB">
        <w:rPr>
          <w:rFonts w:asciiTheme="minorHAnsi" w:hAnsiTheme="minorHAnsi"/>
          <w:sz w:val="22"/>
          <w:szCs w:val="22"/>
        </w:rPr>
        <w:t>).  Further, the responses measured across these key fish indicators will also be used in a multiple lines of evidence approach to evaluate competing hypotheses about underlying mechanisms driving or limiting the outcomes from environmental water delivery. For example, if watering achieves increases in production and fish spawning, but not recruitment, it would be possible to identify potential bottlenecks and strategies for overcoming those as part of an adaptive management cycle.</w:t>
      </w:r>
      <w:r>
        <w:rPr>
          <w:rFonts w:asciiTheme="minorHAnsi" w:hAnsiTheme="minorHAnsi"/>
          <w:sz w:val="22"/>
          <w:szCs w:val="22"/>
        </w:rPr>
        <w:t xml:space="preserve"> A brief description of each of fish indicators being monitored follows.</w:t>
      </w:r>
    </w:p>
    <w:p w14:paraId="3B4F9003" w14:textId="77777777" w:rsidR="008E6212" w:rsidRDefault="008E6212" w:rsidP="008E6212">
      <w:pPr>
        <w:spacing w:after="0" w:line="240" w:lineRule="auto"/>
        <w:jc w:val="left"/>
        <w:rPr>
          <w:rFonts w:ascii="Arial" w:hAnsi="Arial"/>
          <w:sz w:val="20"/>
          <w:lang w:val="en-US"/>
        </w:rPr>
      </w:pPr>
    </w:p>
    <w:p w14:paraId="3B4F9004" w14:textId="77777777" w:rsidR="008E6212" w:rsidRDefault="008E6212" w:rsidP="008E6212">
      <w:pPr>
        <w:spacing w:after="0" w:line="240" w:lineRule="auto"/>
        <w:jc w:val="left"/>
        <w:rPr>
          <w:rFonts w:ascii="Arial" w:hAnsi="Arial"/>
          <w:sz w:val="20"/>
          <w:lang w:val="en-US"/>
        </w:rPr>
      </w:pPr>
    </w:p>
    <w:p w14:paraId="3B4F9005" w14:textId="77777777" w:rsidR="008E6212" w:rsidRDefault="00A4128C" w:rsidP="008E6212">
      <w:pPr>
        <w:spacing w:after="0" w:line="240" w:lineRule="auto"/>
        <w:jc w:val="left"/>
        <w:rPr>
          <w:rFonts w:ascii="Arial" w:hAnsi="Arial"/>
          <w:sz w:val="20"/>
          <w:lang w:val="en-US"/>
        </w:rPr>
      </w:pPr>
      <w:r>
        <w:rPr>
          <w:rFonts w:ascii="Arial" w:hAnsi="Arial"/>
          <w:noProof/>
          <w:sz w:val="20"/>
          <w:lang w:eastAsia="en-AU"/>
        </w:rPr>
        <w:drawing>
          <wp:inline distT="0" distB="0" distL="0" distR="0" wp14:anchorId="3B4F965A" wp14:editId="3B4F965B">
            <wp:extent cx="5392507" cy="48600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92507" cy="4860000"/>
                    </a:xfrm>
                    <a:prstGeom prst="rect">
                      <a:avLst/>
                    </a:prstGeom>
                    <a:noFill/>
                  </pic:spPr>
                </pic:pic>
              </a:graphicData>
            </a:graphic>
          </wp:inline>
        </w:drawing>
      </w:r>
    </w:p>
    <w:p w14:paraId="3B4F9006" w14:textId="77777777" w:rsidR="008E6212" w:rsidRPr="00D06BE8" w:rsidRDefault="008E6212" w:rsidP="008E6212">
      <w:pPr>
        <w:spacing w:after="120" w:line="240" w:lineRule="auto"/>
        <w:jc w:val="center"/>
        <w:rPr>
          <w:sz w:val="20"/>
        </w:rPr>
      </w:pPr>
      <w:bookmarkStart w:id="43" w:name="_Toc385637840"/>
    </w:p>
    <w:p w14:paraId="3B4F9008" w14:textId="0B246C6F" w:rsidR="008E6212" w:rsidRDefault="008E6212" w:rsidP="001E6598">
      <w:pPr>
        <w:pStyle w:val="FigureCaption0"/>
        <w:rPr>
          <w:i/>
        </w:rPr>
      </w:pPr>
      <w:r w:rsidRPr="004F7C09">
        <w:t>Figure</w:t>
      </w:r>
      <w:r>
        <w:t xml:space="preserve"> D.1</w:t>
      </w:r>
      <w:r w:rsidRPr="004F7C09">
        <w:t xml:space="preserve">.  </w:t>
      </w:r>
      <w:r w:rsidRPr="00006AA2">
        <w:rPr>
          <w:b w:val="0"/>
        </w:rPr>
        <w:t>Conceptual</w:t>
      </w:r>
      <w:r>
        <w:rPr>
          <w:b w:val="0"/>
        </w:rPr>
        <w:t xml:space="preserve"> diagram illustrating the </w:t>
      </w:r>
      <w:r w:rsidRPr="00006AA2">
        <w:rPr>
          <w:b w:val="0"/>
        </w:rPr>
        <w:t>linkages</w:t>
      </w:r>
      <w:r>
        <w:rPr>
          <w:b w:val="0"/>
        </w:rPr>
        <w:t xml:space="preserve"> among indicators and links</w:t>
      </w:r>
      <w:r w:rsidRPr="00006AA2">
        <w:rPr>
          <w:b w:val="0"/>
        </w:rPr>
        <w:t xml:space="preserve"> different types of environmental watering </w:t>
      </w:r>
      <w:r>
        <w:rPr>
          <w:b w:val="0"/>
        </w:rPr>
        <w:t xml:space="preserve">(freshes, overbank flows, low flows) </w:t>
      </w:r>
      <w:r w:rsidRPr="00006AA2">
        <w:rPr>
          <w:b w:val="0"/>
        </w:rPr>
        <w:t>to fish populations. Indi</w:t>
      </w:r>
      <w:r>
        <w:rPr>
          <w:b w:val="0"/>
        </w:rPr>
        <w:t xml:space="preserve">cators included in this monitoring report </w:t>
      </w:r>
      <w:r w:rsidRPr="00006AA2">
        <w:rPr>
          <w:b w:val="0"/>
        </w:rPr>
        <w:t xml:space="preserve">are </w:t>
      </w:r>
      <w:r>
        <w:rPr>
          <w:b w:val="0"/>
        </w:rPr>
        <w:t>highlighted in blue.</w:t>
      </w:r>
      <w:r>
        <w:rPr>
          <w:i/>
        </w:rPr>
        <w:br w:type="page"/>
      </w:r>
    </w:p>
    <w:p w14:paraId="3B4F9009" w14:textId="77777777" w:rsidR="008E6212" w:rsidRPr="00A42BC5" w:rsidRDefault="008E6212" w:rsidP="008E6212">
      <w:pPr>
        <w:spacing w:after="0" w:line="240" w:lineRule="auto"/>
        <w:rPr>
          <w:i/>
        </w:rPr>
      </w:pPr>
      <w:r w:rsidRPr="00A42BC5">
        <w:rPr>
          <w:i/>
        </w:rPr>
        <w:lastRenderedPageBreak/>
        <w:t>Fish movement</w:t>
      </w:r>
    </w:p>
    <w:p w14:paraId="3B4F900A" w14:textId="77777777" w:rsidR="008E6212" w:rsidRPr="00052289" w:rsidRDefault="008E6212" w:rsidP="00916C24">
      <w:pPr>
        <w:spacing w:after="0" w:line="324" w:lineRule="exact"/>
        <w:jc w:val="left"/>
        <w:rPr>
          <w:rFonts w:ascii="Times New Roman" w:hAnsi="Times New Roman"/>
          <w:szCs w:val="22"/>
        </w:rPr>
      </w:pPr>
      <w:r w:rsidRPr="00052289">
        <w:rPr>
          <w:szCs w:val="22"/>
        </w:rPr>
        <w:t xml:space="preserve">We use </w:t>
      </w:r>
      <w:r w:rsidRPr="00052289">
        <w:rPr>
          <w:rFonts w:asciiTheme="minorHAnsi" w:hAnsiTheme="minorHAnsi"/>
          <w:szCs w:val="22"/>
        </w:rPr>
        <w:t>acoustic telemetry methods for investigating broad-scale and fine-scale fish movement of golden and silver perch adults. This information can be used to quantify large scale dispersal, including movements to and from refuge habitats, and serves as a useful additional line of evidence to infer successful reproduction (e.g. Thiem et al. 2013, Walsh et al. 2013).</w:t>
      </w:r>
    </w:p>
    <w:p w14:paraId="3B4F900B" w14:textId="77777777" w:rsidR="008E6212" w:rsidRPr="00A42BC5" w:rsidRDefault="008E6212" w:rsidP="008E6212">
      <w:pPr>
        <w:spacing w:after="0" w:line="240" w:lineRule="auto"/>
        <w:rPr>
          <w:rFonts w:ascii="Times New Roman" w:hAnsi="Times New Roman"/>
          <w:sz w:val="24"/>
          <w:szCs w:val="24"/>
        </w:rPr>
      </w:pPr>
    </w:p>
    <w:p w14:paraId="3B4F900C" w14:textId="77777777" w:rsidR="008E6212" w:rsidRDefault="008E6212" w:rsidP="008E6212">
      <w:pPr>
        <w:spacing w:after="0" w:line="324" w:lineRule="exact"/>
        <w:rPr>
          <w:i/>
        </w:rPr>
      </w:pPr>
      <w:r w:rsidRPr="00A42BC5">
        <w:rPr>
          <w:i/>
        </w:rPr>
        <w:t>Fish spawning and reproduction</w:t>
      </w:r>
    </w:p>
    <w:p w14:paraId="3B4F900D" w14:textId="77777777" w:rsidR="008E6212" w:rsidRDefault="008E6212" w:rsidP="008E6212">
      <w:pPr>
        <w:pStyle w:val="NoSpacing"/>
        <w:spacing w:after="240" w:line="324" w:lineRule="exact"/>
        <w:jc w:val="left"/>
        <w:rPr>
          <w:color w:val="000000"/>
        </w:rPr>
      </w:pPr>
      <w:r>
        <w:rPr>
          <w:color w:val="000000"/>
        </w:rPr>
        <w:t xml:space="preserve">Monitoring </w:t>
      </w:r>
      <w:r w:rsidRPr="00F90300">
        <w:rPr>
          <w:color w:val="000000"/>
        </w:rPr>
        <w:t xml:space="preserve">the abundance and diversity of </w:t>
      </w:r>
      <w:r>
        <w:rPr>
          <w:color w:val="000000"/>
        </w:rPr>
        <w:t>fish larvae across the spring/summer spawning period is used to identify which fish species have successfully spawned in selected area, and the hydraulic and temperature conditions under which spawning occurred.  This provides important information on the flow-spawning ecology relationships of the Edward-Wakool fish assemblage, and will assist in future planning of environmental water delivery for fish population outcomes.</w:t>
      </w:r>
    </w:p>
    <w:p w14:paraId="3B4F900E" w14:textId="77777777" w:rsidR="008E6212" w:rsidRPr="003A38EF" w:rsidRDefault="008E6212" w:rsidP="008E6212">
      <w:pPr>
        <w:pStyle w:val="NoSpacing"/>
        <w:spacing w:line="324" w:lineRule="exact"/>
        <w:jc w:val="left"/>
        <w:rPr>
          <w:i/>
          <w:color w:val="000000"/>
        </w:rPr>
      </w:pPr>
      <w:r w:rsidRPr="003A38EF">
        <w:rPr>
          <w:i/>
          <w:color w:val="000000"/>
        </w:rPr>
        <w:t>Fish recruitment</w:t>
      </w:r>
    </w:p>
    <w:p w14:paraId="3B4F900F" w14:textId="77777777" w:rsidR="008E6212" w:rsidRPr="00F13389" w:rsidRDefault="008E6212" w:rsidP="008E6212">
      <w:pPr>
        <w:pStyle w:val="ListParagraph"/>
        <w:spacing w:line="324" w:lineRule="exact"/>
        <w:ind w:left="0"/>
        <w:jc w:val="left"/>
        <w:rPr>
          <w:rFonts w:cs="Arial"/>
        </w:rPr>
      </w:pPr>
      <w:r w:rsidRPr="00763B99">
        <w:rPr>
          <w:rFonts w:cs="Arial"/>
        </w:rPr>
        <w:t>Relationships among early life-history growth and recruitment ultimately determine the abundance of many marine fish populations</w:t>
      </w:r>
      <w:r>
        <w:rPr>
          <w:rFonts w:cs="Arial"/>
        </w:rPr>
        <w:t xml:space="preserve"> </w:t>
      </w:r>
      <w:r>
        <w:rPr>
          <w:rFonts w:cs="Arial"/>
          <w:noProof/>
        </w:rPr>
        <w:t>(Pepin</w:t>
      </w:r>
      <w:r w:rsidRPr="00C142A9">
        <w:rPr>
          <w:rFonts w:cs="Arial"/>
          <w:i/>
          <w:noProof/>
        </w:rPr>
        <w:t xml:space="preserve"> </w:t>
      </w:r>
      <w:r w:rsidRPr="00043C1D">
        <w:rPr>
          <w:rFonts w:cs="Arial"/>
          <w:noProof/>
        </w:rPr>
        <w:t>et al.</w:t>
      </w:r>
      <w:r>
        <w:rPr>
          <w:rFonts w:cs="Arial"/>
          <w:noProof/>
        </w:rPr>
        <w:t xml:space="preserve"> 2015)</w:t>
      </w:r>
      <w:r w:rsidRPr="00763B99">
        <w:rPr>
          <w:rFonts w:cs="Arial"/>
        </w:rPr>
        <w:t xml:space="preserve">, but much less is known about how these factors contribute to populations of freshwater species. </w:t>
      </w:r>
      <w:r w:rsidRPr="00763B99">
        <w:rPr>
          <w:rFonts w:cs="Arial"/>
          <w:color w:val="000000"/>
        </w:rPr>
        <w:t>It is well-established that many species of fish in the Murray-Darling Basin do not require over-bank flows, or changes in water level, to initiate</w:t>
      </w:r>
      <w:r w:rsidRPr="00763B99">
        <w:rPr>
          <w:rFonts w:cs="Arial"/>
          <w:i/>
          <w:color w:val="000000"/>
        </w:rPr>
        <w:t xml:space="preserve"> </w:t>
      </w:r>
      <w:r w:rsidRPr="0050051F">
        <w:rPr>
          <w:rFonts w:cs="Arial"/>
          <w:color w:val="000000"/>
        </w:rPr>
        <w:t>spawning</w:t>
      </w:r>
      <w:r w:rsidRPr="00B4506E">
        <w:rPr>
          <w:rFonts w:cs="Arial"/>
          <w:color w:val="000000"/>
        </w:rPr>
        <w:t xml:space="preserve"> </w:t>
      </w:r>
      <w:r>
        <w:rPr>
          <w:rFonts w:cs="Arial"/>
          <w:noProof/>
          <w:color w:val="000000"/>
        </w:rPr>
        <w:t>(Humphries et al. 1999)</w:t>
      </w:r>
      <w:r w:rsidRPr="00763B99">
        <w:rPr>
          <w:rFonts w:cs="Arial"/>
          <w:color w:val="000000"/>
        </w:rPr>
        <w:t xml:space="preserve"> but nonetheless </w:t>
      </w:r>
      <w:r w:rsidRPr="00763B99">
        <w:rPr>
          <w:rFonts w:cs="Arial"/>
          <w:i/>
          <w:color w:val="000000"/>
        </w:rPr>
        <w:t>recruitment</w:t>
      </w:r>
      <w:r w:rsidRPr="00763B99">
        <w:rPr>
          <w:rFonts w:cs="Arial"/>
          <w:color w:val="000000"/>
        </w:rPr>
        <w:t xml:space="preserve"> of all species may be affected by alterat</w:t>
      </w:r>
      <w:r>
        <w:rPr>
          <w:rFonts w:cs="Arial"/>
          <w:color w:val="000000"/>
        </w:rPr>
        <w:t xml:space="preserve">ions to the natural flow regime, and environmental flows may be able to address elements of this.  </w:t>
      </w:r>
      <w:r w:rsidRPr="00287275">
        <w:t xml:space="preserve">The selected area fish recruitment monitoring was developed specifically for the Edward-Wakool system in order to target juvenile silver perch, golden perch and Murray cod.  This monitoring enables comparisons of juvenile growth rates </w:t>
      </w:r>
      <w:r>
        <w:t>among</w:t>
      </w:r>
      <w:r w:rsidRPr="00287275">
        <w:t xml:space="preserve"> zones of the Edward-Wakool and is used to determine recruitment variation of these species among years, in response to environmental watering.  </w:t>
      </w:r>
    </w:p>
    <w:p w14:paraId="3B4F9010" w14:textId="77777777" w:rsidR="008E6212" w:rsidRDefault="008E6212" w:rsidP="008E6212">
      <w:pPr>
        <w:spacing w:after="0" w:line="324" w:lineRule="exact"/>
        <w:jc w:val="left"/>
        <w:rPr>
          <w:i/>
        </w:rPr>
      </w:pPr>
      <w:r>
        <w:rPr>
          <w:i/>
        </w:rPr>
        <w:t>Adult fish community</w:t>
      </w:r>
    </w:p>
    <w:p w14:paraId="3B4F9011" w14:textId="06C91705" w:rsidR="008E6212" w:rsidRDefault="008E6212" w:rsidP="008E6212">
      <w:pPr>
        <w:spacing w:line="324" w:lineRule="exact"/>
        <w:jc w:val="left"/>
        <w:rPr>
          <w:szCs w:val="24"/>
        </w:rPr>
      </w:pPr>
      <w:r>
        <w:rPr>
          <w:szCs w:val="22"/>
        </w:rPr>
        <w:t xml:space="preserve">Evaluation of the adult fish community to Commonwealth environmental watering is being undertaken in the Edward-Wakool River system to </w:t>
      </w:r>
      <w:r w:rsidRPr="0048558B">
        <w:rPr>
          <w:szCs w:val="24"/>
        </w:rPr>
        <w:t>determine long</w:t>
      </w:r>
      <w:r>
        <w:rPr>
          <w:szCs w:val="24"/>
        </w:rPr>
        <w:t>-</w:t>
      </w:r>
      <w:r w:rsidRPr="0048558B">
        <w:rPr>
          <w:szCs w:val="24"/>
        </w:rPr>
        <w:t xml:space="preserve">term trajectories in the fish community assemblage </w:t>
      </w:r>
      <w:r>
        <w:rPr>
          <w:szCs w:val="24"/>
        </w:rPr>
        <w:t xml:space="preserve">in response to Commonwealth environmental watering, and to assess if movement, spawning and recruitment responses ultimately lead to positive responses (condition, biomass, abundance, diversity) in the adult fish community both within and outside of the LTIM focal area. It is anticipated that changes to the fish community assemblage will occur over longer time scales, and as such a broad-scale monitoring program </w:t>
      </w:r>
      <w:r w:rsidR="001E6598">
        <w:rPr>
          <w:szCs w:val="24"/>
        </w:rPr>
        <w:t xml:space="preserve">of the fish community </w:t>
      </w:r>
      <w:r>
        <w:rPr>
          <w:szCs w:val="24"/>
        </w:rPr>
        <w:t xml:space="preserve">is scheduled for years 1 and 5. Additionally, annual fish community censuses are undertaken within a single focal zone </w:t>
      </w:r>
      <w:r w:rsidR="001E6598">
        <w:rPr>
          <w:szCs w:val="24"/>
        </w:rPr>
        <w:t xml:space="preserve">9Wakool River zone 3) </w:t>
      </w:r>
      <w:r>
        <w:rPr>
          <w:szCs w:val="24"/>
        </w:rPr>
        <w:t xml:space="preserve">to provide data for </w:t>
      </w:r>
      <w:r w:rsidR="00DD0DA7">
        <w:rPr>
          <w:szCs w:val="24"/>
        </w:rPr>
        <w:t>B</w:t>
      </w:r>
      <w:r>
        <w:rPr>
          <w:szCs w:val="24"/>
        </w:rPr>
        <w:t xml:space="preserve">asin-scale evaluation of fish communities and these data are incorporated into our selected area evaluation, where relevant. </w:t>
      </w:r>
    </w:p>
    <w:p w14:paraId="3B4F9012" w14:textId="77777777" w:rsidR="008E6212" w:rsidRPr="0057062F" w:rsidRDefault="008E6212" w:rsidP="00175472">
      <w:pPr>
        <w:spacing w:after="240" w:line="320" w:lineRule="exact"/>
        <w:jc w:val="left"/>
        <w:rPr>
          <w:b/>
          <w:color w:val="4F6228" w:themeColor="accent3" w:themeShade="80"/>
          <w:sz w:val="26"/>
          <w:szCs w:val="26"/>
        </w:rPr>
      </w:pPr>
      <w:r w:rsidRPr="0057062F">
        <w:rPr>
          <w:b/>
          <w:color w:val="4F6228" w:themeColor="accent3" w:themeShade="80"/>
          <w:sz w:val="26"/>
          <w:szCs w:val="26"/>
        </w:rPr>
        <w:lastRenderedPageBreak/>
        <w:t>D.2   Specific flows delivered for fish outcomes</w:t>
      </w:r>
    </w:p>
    <w:p w14:paraId="3B4F9013" w14:textId="77777777" w:rsidR="008E6212" w:rsidRPr="00512C27" w:rsidRDefault="008E6212" w:rsidP="00175472">
      <w:pPr>
        <w:spacing w:after="240" w:line="320" w:lineRule="exact"/>
        <w:jc w:val="left"/>
      </w:pPr>
      <w:r>
        <w:t xml:space="preserve">Three Commonwealth environmental watering actions were delivered in the Edward-Wakool system in 2015-16. Two of these were monitored as part of the LTIM project, both of which had primary objectives towards delivering positive outcomes for native fish populations (CEWO 2015). </w:t>
      </w:r>
    </w:p>
    <w:p w14:paraId="3B4F9014" w14:textId="77777777" w:rsidR="008E6212" w:rsidRPr="00512C27" w:rsidRDefault="008E6212" w:rsidP="00175472">
      <w:pPr>
        <w:spacing w:after="240" w:line="320" w:lineRule="exact"/>
        <w:rPr>
          <w:rFonts w:asciiTheme="minorHAnsi" w:hAnsiTheme="minorHAnsi"/>
          <w:i/>
          <w:szCs w:val="22"/>
        </w:rPr>
      </w:pPr>
      <w:r w:rsidRPr="00512C27">
        <w:rPr>
          <w:rFonts w:asciiTheme="minorHAnsi" w:hAnsiTheme="minorHAnsi"/>
          <w:i/>
          <w:szCs w:val="22"/>
        </w:rPr>
        <w:t>Primary objectives of Yallakool Creek Environmental Watering Action</w:t>
      </w:r>
    </w:p>
    <w:p w14:paraId="3B4F9015" w14:textId="77777777" w:rsidR="008E6212" w:rsidRPr="00512C27" w:rsidRDefault="008E6212" w:rsidP="00935D64">
      <w:pPr>
        <w:pStyle w:val="ListParagraph"/>
        <w:numPr>
          <w:ilvl w:val="0"/>
          <w:numId w:val="30"/>
        </w:numPr>
        <w:spacing w:after="240" w:line="320" w:lineRule="exact"/>
        <w:jc w:val="left"/>
      </w:pPr>
      <w:r w:rsidRPr="00512C27">
        <w:t>provide areas of habitat for native fish, such as Murray cod, to move into and spawn, especially in areas where the flows will cover snags that are the preferred spawning and nesting sites of Murray cod</w:t>
      </w:r>
      <w:r>
        <w:t xml:space="preserve"> (CEWO 2015)</w:t>
      </w:r>
      <w:r w:rsidRPr="00512C27">
        <w:t>;</w:t>
      </w:r>
    </w:p>
    <w:p w14:paraId="3474573D" w14:textId="77777777" w:rsidR="001E6598" w:rsidRPr="001E6598" w:rsidRDefault="001E6598" w:rsidP="001E6598">
      <w:pPr>
        <w:pStyle w:val="Default"/>
        <w:numPr>
          <w:ilvl w:val="0"/>
          <w:numId w:val="30"/>
        </w:numPr>
        <w:spacing w:after="240" w:line="320" w:lineRule="exact"/>
        <w:rPr>
          <w:rFonts w:ascii="Calibri" w:eastAsia="Calibri" w:hAnsi="Calibri" w:cs="Times New Roman"/>
          <w:color w:val="auto"/>
          <w:sz w:val="22"/>
          <w:szCs w:val="20"/>
          <w:lang w:eastAsia="en-US"/>
        </w:rPr>
      </w:pPr>
      <w:r w:rsidRPr="001E6598">
        <w:rPr>
          <w:rFonts w:ascii="Calibri" w:eastAsia="Calibri" w:hAnsi="Calibri" w:cs="Times New Roman"/>
          <w:color w:val="auto"/>
          <w:sz w:val="22"/>
          <w:szCs w:val="20"/>
          <w:lang w:eastAsia="en-US"/>
        </w:rPr>
        <w:t>To maintain the diversity and condition of native fish and other native species including frogs and invertebrates through maintaining suitable habitat and providing/supporting opportunities to move, breed and recruit</w:t>
      </w:r>
    </w:p>
    <w:p w14:paraId="3B4F9017" w14:textId="6E438BCF" w:rsidR="008E6212" w:rsidRPr="00512C27" w:rsidRDefault="008E6212" w:rsidP="00175472">
      <w:pPr>
        <w:pStyle w:val="Default"/>
        <w:spacing w:after="240" w:line="320" w:lineRule="exact"/>
        <w:rPr>
          <w:rFonts w:asciiTheme="minorHAnsi" w:hAnsiTheme="minorHAnsi"/>
          <w:i/>
          <w:sz w:val="22"/>
          <w:szCs w:val="22"/>
        </w:rPr>
      </w:pPr>
      <w:r w:rsidRPr="00512C27">
        <w:rPr>
          <w:rFonts w:asciiTheme="minorHAnsi" w:hAnsiTheme="minorHAnsi"/>
          <w:i/>
          <w:sz w:val="22"/>
          <w:szCs w:val="22"/>
        </w:rPr>
        <w:t>Primary objectives for Upper Wakool River Environmental Watering Action</w:t>
      </w:r>
    </w:p>
    <w:p w14:paraId="3B4F9018" w14:textId="77777777" w:rsidR="008E6212" w:rsidRDefault="008E6212" w:rsidP="00935D64">
      <w:pPr>
        <w:pStyle w:val="ListParagraph"/>
        <w:numPr>
          <w:ilvl w:val="0"/>
          <w:numId w:val="31"/>
        </w:numPr>
        <w:spacing w:after="240" w:line="320" w:lineRule="exact"/>
      </w:pPr>
      <w:r w:rsidRPr="00512C27">
        <w:t>as per Yallakool Creek action above</w:t>
      </w:r>
      <w:r>
        <w:t xml:space="preserve"> (CEWO 2015)</w:t>
      </w:r>
      <w:r w:rsidRPr="00512C27">
        <w:t>;</w:t>
      </w:r>
    </w:p>
    <w:p w14:paraId="3B4F9019" w14:textId="77777777" w:rsidR="008E6212" w:rsidRPr="00C444A0" w:rsidRDefault="008E6212" w:rsidP="00935D64">
      <w:pPr>
        <w:pStyle w:val="ListParagraph"/>
        <w:numPr>
          <w:ilvl w:val="0"/>
          <w:numId w:val="31"/>
        </w:numPr>
        <w:spacing w:after="240" w:line="320" w:lineRule="exact"/>
        <w:jc w:val="left"/>
      </w:pPr>
      <w:r>
        <w:t>improve</w:t>
      </w:r>
      <w:r w:rsidRPr="00C444A0">
        <w:t xml:space="preserve"> knowledge of this part of the system by comparing the responses of Murray cod when environmental flows are provided to both the upper Wakool River and Yallakool Creek systems over th</w:t>
      </w:r>
      <w:r>
        <w:t>e same period of time (CEWO 2015</w:t>
      </w:r>
      <w:r w:rsidRPr="00C444A0">
        <w:t>).</w:t>
      </w:r>
    </w:p>
    <w:p w14:paraId="3B4F901A" w14:textId="77777777" w:rsidR="008E6212" w:rsidRPr="00D70F4E" w:rsidRDefault="008E6212" w:rsidP="00175472">
      <w:pPr>
        <w:spacing w:after="240" w:line="320" w:lineRule="exact"/>
        <w:jc w:val="left"/>
        <w:rPr>
          <w:b/>
          <w:color w:val="4F6228" w:themeColor="accent3" w:themeShade="80"/>
          <w:sz w:val="26"/>
          <w:szCs w:val="26"/>
        </w:rPr>
      </w:pPr>
      <w:r>
        <w:rPr>
          <w:b/>
          <w:color w:val="4F6228" w:themeColor="accent3" w:themeShade="80"/>
          <w:sz w:val="26"/>
          <w:szCs w:val="26"/>
        </w:rPr>
        <w:t>D.3</w:t>
      </w:r>
      <w:r w:rsidRPr="00D70F4E">
        <w:rPr>
          <w:b/>
          <w:color w:val="4F6228" w:themeColor="accent3" w:themeShade="80"/>
          <w:sz w:val="26"/>
          <w:szCs w:val="26"/>
        </w:rPr>
        <w:t xml:space="preserve">   Selected-area questions</w:t>
      </w:r>
    </w:p>
    <w:p w14:paraId="3B4F901B" w14:textId="77777777" w:rsidR="008E6212" w:rsidRDefault="008E6212" w:rsidP="00175472">
      <w:pPr>
        <w:spacing w:after="240" w:line="320" w:lineRule="exact"/>
        <w:jc w:val="left"/>
        <w:rPr>
          <w:szCs w:val="22"/>
        </w:rPr>
      </w:pPr>
      <w:r>
        <w:rPr>
          <w:szCs w:val="22"/>
        </w:rPr>
        <w:t xml:space="preserve">Evaluation of the fish community responses to Commonwealth environmental watering is being undertaken in the Edward-Wakool River system to </w:t>
      </w:r>
      <w:r w:rsidRPr="0048558B">
        <w:rPr>
          <w:szCs w:val="24"/>
        </w:rPr>
        <w:t>determine long</w:t>
      </w:r>
      <w:r>
        <w:rPr>
          <w:szCs w:val="24"/>
        </w:rPr>
        <w:t>-</w:t>
      </w:r>
      <w:r w:rsidRPr="0048558B">
        <w:rPr>
          <w:szCs w:val="24"/>
        </w:rPr>
        <w:t xml:space="preserve">term trajectories in the fish community assemblage </w:t>
      </w:r>
      <w:r>
        <w:rPr>
          <w:szCs w:val="24"/>
        </w:rPr>
        <w:t xml:space="preserve">in response to Commonwealth environmental watering. Data from the Edward-Wakool system will be evaluated </w:t>
      </w:r>
      <w:r>
        <w:rPr>
          <w:szCs w:val="22"/>
        </w:rPr>
        <w:t xml:space="preserve">at the Selected Area scale and contribute to Basin scale evaluation. Basin-scale evaluation involves the integration of multiple datasets from a number of different catchments (Hale et al. 2014), and this will be undertaken by the Murray-Darling Freshwater Research Centre and will be evaluated in a separate report. </w:t>
      </w:r>
    </w:p>
    <w:p w14:paraId="3B4F901C" w14:textId="77777777" w:rsidR="008E6212" w:rsidRDefault="008E6212" w:rsidP="00175472">
      <w:pPr>
        <w:spacing w:after="240" w:line="320" w:lineRule="exact"/>
        <w:jc w:val="left"/>
        <w:rPr>
          <w:szCs w:val="22"/>
        </w:rPr>
      </w:pPr>
      <w:r>
        <w:rPr>
          <w:szCs w:val="22"/>
        </w:rPr>
        <w:t xml:space="preserve">This is the second year of a multi-year monitoring project, and as such this report will </w:t>
      </w:r>
      <w:r>
        <w:rPr>
          <w:szCs w:val="24"/>
        </w:rPr>
        <w:t xml:space="preserve">provide a benchmark which will be used by the LTIM program to determine if there is a system-wide change in the fish community assemblage structure in the Edward-Wakool system with respect to Commonwealth environmental water delivery. </w:t>
      </w:r>
      <w:r>
        <w:rPr>
          <w:szCs w:val="22"/>
        </w:rPr>
        <w:t>The short-term Selected Area evaluation questions, as outlined in the Monitoring and Evaluation Plan for the Edward-Wakool system (Watts et al. 2014a) to be assessed in 2019 are outlined in Table D.2.</w:t>
      </w:r>
    </w:p>
    <w:p w14:paraId="3B4F901D" w14:textId="77777777" w:rsidR="008E6212" w:rsidRDefault="008E6212" w:rsidP="008E6212">
      <w:pPr>
        <w:pStyle w:val="ListBullet"/>
        <w:spacing w:after="0"/>
        <w:rPr>
          <w:rFonts w:cstheme="minorHAnsi"/>
          <w:b/>
        </w:rPr>
        <w:sectPr w:rsidR="008E6212" w:rsidSect="009C1A36">
          <w:pgSz w:w="11906" w:h="16838"/>
          <w:pgMar w:top="1440" w:right="1985" w:bottom="1440" w:left="1985" w:header="709" w:footer="709" w:gutter="0"/>
          <w:cols w:space="708"/>
          <w:docGrid w:linePitch="360"/>
        </w:sectPr>
      </w:pPr>
    </w:p>
    <w:p w14:paraId="3B4F901E" w14:textId="77777777" w:rsidR="008E6212" w:rsidRDefault="008E6212" w:rsidP="008E6212">
      <w:pPr>
        <w:pStyle w:val="TableCaption"/>
        <w:spacing w:after="0"/>
      </w:pPr>
      <w:bookmarkStart w:id="44" w:name="_Toc398112728"/>
      <w:r>
        <w:lastRenderedPageBreak/>
        <w:t>Table D.2</w:t>
      </w:r>
      <w:r w:rsidRPr="00F26365">
        <w:t xml:space="preserve">. </w:t>
      </w:r>
      <w:r>
        <w:t>Selected-area evaluation q</w:t>
      </w:r>
      <w:r w:rsidRPr="00F26365">
        <w:t xml:space="preserve">uestions </w:t>
      </w:r>
      <w:bookmarkEnd w:id="44"/>
      <w:r>
        <w:t>relating to the effect of CEW on Edward-Wakool fish populations</w:t>
      </w:r>
    </w:p>
    <w:tbl>
      <w:tblPr>
        <w:tblStyle w:val="TableGrid"/>
        <w:tblW w:w="14033" w:type="dxa"/>
        <w:tblInd w:w="108" w:type="dxa"/>
        <w:tblLayout w:type="fixed"/>
        <w:tblLook w:val="04A0" w:firstRow="1" w:lastRow="0" w:firstColumn="1" w:lastColumn="0" w:noHBand="0" w:noVBand="1"/>
      </w:tblPr>
      <w:tblGrid>
        <w:gridCol w:w="2126"/>
        <w:gridCol w:w="2126"/>
        <w:gridCol w:w="9781"/>
      </w:tblGrid>
      <w:tr w:rsidR="008E6212" w:rsidRPr="0018769D" w14:paraId="3B4F9022" w14:textId="77777777" w:rsidTr="009C1A36">
        <w:tc>
          <w:tcPr>
            <w:tcW w:w="2126" w:type="dxa"/>
            <w:shd w:val="clear" w:color="auto" w:fill="D6E3BC" w:themeFill="accent3" w:themeFillTint="66"/>
          </w:tcPr>
          <w:p w14:paraId="3B4F901F" w14:textId="77777777" w:rsidR="008E6212" w:rsidRPr="0018769D" w:rsidRDefault="008E6212" w:rsidP="009C1A36">
            <w:pPr>
              <w:pStyle w:val="ListBullet"/>
              <w:spacing w:after="0"/>
              <w:rPr>
                <w:rFonts w:cstheme="minorHAnsi"/>
                <w:b/>
              </w:rPr>
            </w:pPr>
            <w:r>
              <w:rPr>
                <w:rFonts w:cstheme="minorHAnsi"/>
                <w:b/>
              </w:rPr>
              <w:t>Indicator</w:t>
            </w:r>
          </w:p>
        </w:tc>
        <w:tc>
          <w:tcPr>
            <w:tcW w:w="2126" w:type="dxa"/>
            <w:shd w:val="clear" w:color="auto" w:fill="D6E3BC" w:themeFill="accent3" w:themeFillTint="66"/>
          </w:tcPr>
          <w:p w14:paraId="3B4F9020" w14:textId="77777777" w:rsidR="008E6212" w:rsidRPr="0018769D" w:rsidRDefault="008E6212" w:rsidP="009C1A36">
            <w:pPr>
              <w:pStyle w:val="ListBullet"/>
              <w:spacing w:after="0"/>
              <w:rPr>
                <w:rFonts w:cstheme="minorHAnsi"/>
                <w:b/>
              </w:rPr>
            </w:pPr>
            <w:r>
              <w:rPr>
                <w:rFonts w:cstheme="minorHAnsi"/>
                <w:b/>
              </w:rPr>
              <w:t>Key components</w:t>
            </w:r>
          </w:p>
        </w:tc>
        <w:tc>
          <w:tcPr>
            <w:tcW w:w="9781" w:type="dxa"/>
            <w:shd w:val="clear" w:color="auto" w:fill="D6E3BC" w:themeFill="accent3" w:themeFillTint="66"/>
          </w:tcPr>
          <w:p w14:paraId="3B4F9021" w14:textId="77777777" w:rsidR="008E6212" w:rsidRPr="0018769D" w:rsidRDefault="008E6212" w:rsidP="009C1A36">
            <w:pPr>
              <w:pStyle w:val="ListBullet"/>
              <w:spacing w:after="0"/>
              <w:rPr>
                <w:rFonts w:cstheme="minorHAnsi"/>
                <w:b/>
              </w:rPr>
            </w:pPr>
            <w:r>
              <w:rPr>
                <w:rFonts w:cstheme="minorHAnsi"/>
                <w:b/>
              </w:rPr>
              <w:t>Selected area</w:t>
            </w:r>
            <w:r w:rsidRPr="0018769D">
              <w:rPr>
                <w:rFonts w:cstheme="minorHAnsi"/>
                <w:b/>
              </w:rPr>
              <w:t>-scale evaluation questions</w:t>
            </w:r>
          </w:p>
        </w:tc>
      </w:tr>
      <w:tr w:rsidR="008E6212" w:rsidRPr="0018769D" w14:paraId="3B4F902C" w14:textId="77777777" w:rsidTr="009C1A36">
        <w:tc>
          <w:tcPr>
            <w:tcW w:w="2126" w:type="dxa"/>
            <w:vMerge w:val="restart"/>
          </w:tcPr>
          <w:p w14:paraId="3B4F9023" w14:textId="77777777" w:rsidR="008E6212" w:rsidRDefault="008E6212" w:rsidP="009C1A36">
            <w:pPr>
              <w:spacing w:after="0" w:line="240" w:lineRule="auto"/>
              <w:rPr>
                <w:rFonts w:cstheme="minorHAnsi"/>
                <w:sz w:val="20"/>
              </w:rPr>
            </w:pPr>
            <w:r>
              <w:rPr>
                <w:rFonts w:cstheme="minorHAnsi"/>
                <w:sz w:val="20"/>
              </w:rPr>
              <w:t>Edward Wakool selected area fish population</w:t>
            </w:r>
          </w:p>
        </w:tc>
        <w:tc>
          <w:tcPr>
            <w:tcW w:w="2126" w:type="dxa"/>
          </w:tcPr>
          <w:p w14:paraId="3B4F9024" w14:textId="77777777" w:rsidR="008E6212" w:rsidRDefault="008E6212" w:rsidP="009C1A36">
            <w:pPr>
              <w:spacing w:after="0" w:line="240" w:lineRule="auto"/>
              <w:rPr>
                <w:rFonts w:cstheme="minorHAnsi"/>
                <w:sz w:val="20"/>
              </w:rPr>
            </w:pPr>
            <w:r>
              <w:rPr>
                <w:rFonts w:cstheme="minorHAnsi"/>
                <w:sz w:val="20"/>
              </w:rPr>
              <w:t xml:space="preserve">Fish movement </w:t>
            </w:r>
          </w:p>
          <w:p w14:paraId="3B4F9025" w14:textId="77777777" w:rsidR="008E6212" w:rsidRPr="0018769D" w:rsidRDefault="008E6212" w:rsidP="009C1A36">
            <w:pPr>
              <w:spacing w:after="0" w:line="240" w:lineRule="auto"/>
              <w:rPr>
                <w:rFonts w:cstheme="minorHAnsi"/>
                <w:sz w:val="20"/>
              </w:rPr>
            </w:pPr>
            <w:r>
              <w:rPr>
                <w:rFonts w:cstheme="minorHAnsi"/>
                <w:sz w:val="20"/>
              </w:rPr>
              <w:t>(acoustic telemetry)</w:t>
            </w:r>
          </w:p>
        </w:tc>
        <w:tc>
          <w:tcPr>
            <w:tcW w:w="9781" w:type="dxa"/>
          </w:tcPr>
          <w:p w14:paraId="3B4F9026" w14:textId="77777777" w:rsidR="008E6212" w:rsidRPr="00B37D0D" w:rsidRDefault="008E6212" w:rsidP="009C1A36">
            <w:pPr>
              <w:spacing w:after="0"/>
              <w:rPr>
                <w:rFonts w:cstheme="minorHAnsi"/>
                <w:i/>
                <w:sz w:val="20"/>
              </w:rPr>
            </w:pPr>
            <w:r>
              <w:rPr>
                <w:rFonts w:cstheme="minorHAnsi"/>
                <w:i/>
                <w:sz w:val="20"/>
              </w:rPr>
              <w:t>Short-term and long-term</w:t>
            </w:r>
            <w:r w:rsidRPr="00B37D0D">
              <w:rPr>
                <w:rFonts w:cstheme="minorHAnsi"/>
                <w:i/>
                <w:sz w:val="20"/>
              </w:rPr>
              <w:t xml:space="preserve"> evaluation questions</w:t>
            </w:r>
          </w:p>
          <w:p w14:paraId="3B4F9027" w14:textId="77777777" w:rsidR="008E6212" w:rsidRPr="00B37D0D" w:rsidRDefault="008E6212" w:rsidP="009C1A36">
            <w:pPr>
              <w:pStyle w:val="ListBullet"/>
              <w:numPr>
                <w:ilvl w:val="0"/>
                <w:numId w:val="12"/>
              </w:numPr>
              <w:spacing w:after="0"/>
              <w:jc w:val="left"/>
              <w:rPr>
                <w:rFonts w:cstheme="minorHAnsi"/>
              </w:rPr>
            </w:pPr>
            <w:r w:rsidRPr="00B37D0D">
              <w:rPr>
                <w:sz w:val="18"/>
                <w:szCs w:val="18"/>
              </w:rPr>
              <w:t>Were periodic species (golden and silver perch) present in the target reaches during Commonwealth environmental water delivery?</w:t>
            </w:r>
          </w:p>
          <w:p w14:paraId="3B4F9028" w14:textId="77777777" w:rsidR="008E6212" w:rsidRPr="00B37D0D" w:rsidRDefault="008E6212" w:rsidP="009C1A36">
            <w:pPr>
              <w:pStyle w:val="ListBullet"/>
              <w:numPr>
                <w:ilvl w:val="0"/>
                <w:numId w:val="12"/>
              </w:numPr>
              <w:spacing w:after="0"/>
              <w:jc w:val="left"/>
              <w:rPr>
                <w:rFonts w:cstheme="minorHAnsi"/>
              </w:rPr>
            </w:pPr>
            <w:r w:rsidRPr="00B37D0D">
              <w:rPr>
                <w:sz w:val="18"/>
                <w:szCs w:val="18"/>
              </w:rPr>
              <w:t>Did periodic species remain within the target reaches during Commonwealth environmental water delivery?</w:t>
            </w:r>
          </w:p>
          <w:p w14:paraId="3B4F9029" w14:textId="77777777" w:rsidR="008E6212" w:rsidRPr="00B37D0D" w:rsidRDefault="008E6212" w:rsidP="009C1A36">
            <w:pPr>
              <w:pStyle w:val="ListBullet"/>
              <w:numPr>
                <w:ilvl w:val="0"/>
                <w:numId w:val="12"/>
              </w:numPr>
              <w:spacing w:after="0"/>
              <w:jc w:val="left"/>
              <w:rPr>
                <w:rFonts w:cstheme="minorHAnsi"/>
              </w:rPr>
            </w:pPr>
            <w:r w:rsidRPr="00B37D0D">
              <w:rPr>
                <w:sz w:val="18"/>
                <w:szCs w:val="18"/>
              </w:rPr>
              <w:t>Did Commonwealth environmental water stimulate periodic fish species to exhibit movement consistent with reproductive behaviour</w:t>
            </w:r>
            <w:r w:rsidR="000038C7">
              <w:rPr>
                <w:sz w:val="18"/>
                <w:szCs w:val="18"/>
              </w:rPr>
              <w:t>?</w:t>
            </w:r>
          </w:p>
          <w:p w14:paraId="3B4F902A" w14:textId="77777777" w:rsidR="008E6212" w:rsidRPr="00B37D0D" w:rsidRDefault="008E6212" w:rsidP="009C1A36">
            <w:pPr>
              <w:pStyle w:val="ListBullet"/>
              <w:numPr>
                <w:ilvl w:val="0"/>
                <w:numId w:val="12"/>
              </w:numPr>
              <w:spacing w:after="0"/>
              <w:jc w:val="left"/>
              <w:rPr>
                <w:rFonts w:cstheme="minorHAnsi"/>
              </w:rPr>
            </w:pPr>
            <w:r w:rsidRPr="00B37D0D">
              <w:rPr>
                <w:sz w:val="18"/>
                <w:szCs w:val="18"/>
              </w:rPr>
              <w:t>Does Commonwealth environmental water enable periodic species to disperse from and return to refuge habitat?</w:t>
            </w:r>
          </w:p>
          <w:p w14:paraId="3B4F902B" w14:textId="77777777" w:rsidR="008E6212" w:rsidRPr="00B37D0D" w:rsidRDefault="008E6212" w:rsidP="009C1A36">
            <w:pPr>
              <w:pStyle w:val="ListParagraph"/>
              <w:numPr>
                <w:ilvl w:val="0"/>
                <w:numId w:val="9"/>
              </w:numPr>
              <w:shd w:val="clear" w:color="auto" w:fill="FFFFFF"/>
              <w:spacing w:after="0" w:line="240" w:lineRule="auto"/>
              <w:contextualSpacing/>
              <w:jc w:val="left"/>
              <w:rPr>
                <w:rFonts w:cstheme="minorHAnsi"/>
                <w:sz w:val="20"/>
                <w:lang w:eastAsia="en-AU"/>
              </w:rPr>
            </w:pPr>
            <w:r w:rsidRPr="00B37D0D">
              <w:rPr>
                <w:sz w:val="18"/>
                <w:szCs w:val="18"/>
              </w:rPr>
              <w:t>Does Commonwealth environmental water protect periodic species from adverse water quality</w:t>
            </w:r>
            <w:r w:rsidR="000038C7">
              <w:rPr>
                <w:sz w:val="18"/>
                <w:szCs w:val="18"/>
              </w:rPr>
              <w:t>?</w:t>
            </w:r>
          </w:p>
        </w:tc>
      </w:tr>
      <w:tr w:rsidR="008E6212" w:rsidRPr="0018769D" w14:paraId="3B4F9033" w14:textId="77777777" w:rsidTr="009C1A36">
        <w:tc>
          <w:tcPr>
            <w:tcW w:w="2126" w:type="dxa"/>
            <w:vMerge/>
          </w:tcPr>
          <w:p w14:paraId="3B4F902D" w14:textId="77777777" w:rsidR="008E6212" w:rsidRDefault="008E6212" w:rsidP="009C1A36">
            <w:pPr>
              <w:spacing w:after="0"/>
              <w:rPr>
                <w:rFonts w:cstheme="minorHAnsi"/>
                <w:sz w:val="20"/>
              </w:rPr>
            </w:pPr>
          </w:p>
        </w:tc>
        <w:tc>
          <w:tcPr>
            <w:tcW w:w="2126" w:type="dxa"/>
          </w:tcPr>
          <w:p w14:paraId="3B4F902E" w14:textId="77777777" w:rsidR="008E6212" w:rsidRDefault="008E6212" w:rsidP="009C1A36">
            <w:pPr>
              <w:spacing w:after="0" w:line="240" w:lineRule="auto"/>
              <w:rPr>
                <w:rFonts w:cstheme="minorHAnsi"/>
                <w:sz w:val="20"/>
              </w:rPr>
            </w:pPr>
            <w:r>
              <w:rPr>
                <w:rFonts w:cstheme="minorHAnsi"/>
                <w:sz w:val="20"/>
              </w:rPr>
              <w:t xml:space="preserve"> Fish spawning and reproduction </w:t>
            </w:r>
          </w:p>
          <w:p w14:paraId="3B4F902F" w14:textId="77777777" w:rsidR="008E6212" w:rsidRPr="0018769D" w:rsidRDefault="008E6212" w:rsidP="009C1A36">
            <w:pPr>
              <w:spacing w:after="0" w:line="240" w:lineRule="auto"/>
              <w:rPr>
                <w:rFonts w:cstheme="minorHAnsi"/>
                <w:sz w:val="20"/>
              </w:rPr>
            </w:pPr>
            <w:r>
              <w:rPr>
                <w:rFonts w:cstheme="minorHAnsi"/>
                <w:sz w:val="20"/>
              </w:rPr>
              <w:t>(larval fish sampling)</w:t>
            </w:r>
          </w:p>
        </w:tc>
        <w:tc>
          <w:tcPr>
            <w:tcW w:w="9781" w:type="dxa"/>
          </w:tcPr>
          <w:p w14:paraId="3B4F9030" w14:textId="77777777" w:rsidR="008E6212" w:rsidRPr="00B37D0D" w:rsidRDefault="008E6212" w:rsidP="009C1A36">
            <w:pPr>
              <w:spacing w:after="0"/>
              <w:rPr>
                <w:rFonts w:cstheme="minorHAnsi"/>
                <w:i/>
                <w:sz w:val="20"/>
              </w:rPr>
            </w:pPr>
            <w:r>
              <w:rPr>
                <w:rFonts w:cstheme="minorHAnsi"/>
                <w:i/>
                <w:sz w:val="20"/>
              </w:rPr>
              <w:t xml:space="preserve">Short-term </w:t>
            </w:r>
            <w:r w:rsidRPr="00B37D0D">
              <w:rPr>
                <w:rFonts w:cstheme="minorHAnsi"/>
                <w:i/>
                <w:sz w:val="20"/>
              </w:rPr>
              <w:t>and long term evaluation questions</w:t>
            </w:r>
          </w:p>
          <w:p w14:paraId="3B4F9031" w14:textId="77777777" w:rsidR="008E6212" w:rsidRPr="00B37D0D" w:rsidRDefault="008E6212" w:rsidP="009C1A36">
            <w:pPr>
              <w:pStyle w:val="ListParagraph"/>
              <w:numPr>
                <w:ilvl w:val="0"/>
                <w:numId w:val="10"/>
              </w:numPr>
              <w:spacing w:after="0" w:line="240" w:lineRule="auto"/>
              <w:jc w:val="left"/>
              <w:rPr>
                <w:rFonts w:cstheme="minorHAnsi"/>
                <w:sz w:val="20"/>
              </w:rPr>
            </w:pPr>
            <w:r w:rsidRPr="00B37D0D">
              <w:rPr>
                <w:rFonts w:cstheme="minorHAnsi"/>
                <w:sz w:val="20"/>
              </w:rPr>
              <w:t>What did Commonwealth environmental water contribute to the spawning of 'Opportunistic' (e.g. Small bodied fish) species?</w:t>
            </w:r>
          </w:p>
          <w:p w14:paraId="3B4F9032" w14:textId="77777777" w:rsidR="008E6212" w:rsidRPr="00B37D0D" w:rsidRDefault="008E6212" w:rsidP="009C1A36">
            <w:pPr>
              <w:pStyle w:val="ListParagraph"/>
              <w:numPr>
                <w:ilvl w:val="0"/>
                <w:numId w:val="11"/>
              </w:numPr>
              <w:shd w:val="clear" w:color="auto" w:fill="FFFFFF"/>
              <w:spacing w:after="0" w:line="240" w:lineRule="auto"/>
              <w:contextualSpacing/>
              <w:jc w:val="left"/>
              <w:rPr>
                <w:sz w:val="20"/>
                <w:lang w:eastAsia="en-AU"/>
              </w:rPr>
            </w:pPr>
            <w:r w:rsidRPr="00B37D0D">
              <w:rPr>
                <w:rFonts w:cstheme="minorHAnsi"/>
                <w:sz w:val="20"/>
              </w:rPr>
              <w:t>What did Commonwealth environmental water contribute to spawning in ‘flow-dependent’ spawning species (e.g. golden and silver perch?</w:t>
            </w:r>
          </w:p>
        </w:tc>
      </w:tr>
      <w:tr w:rsidR="008E6212" w:rsidRPr="0018769D" w14:paraId="3B4F9039" w14:textId="77777777" w:rsidTr="009C1A36">
        <w:tc>
          <w:tcPr>
            <w:tcW w:w="2126" w:type="dxa"/>
            <w:vMerge/>
          </w:tcPr>
          <w:p w14:paraId="3B4F9034" w14:textId="77777777" w:rsidR="008E6212" w:rsidRDefault="008E6212" w:rsidP="009C1A36">
            <w:pPr>
              <w:spacing w:after="0"/>
              <w:rPr>
                <w:rFonts w:cstheme="minorHAnsi"/>
                <w:sz w:val="20"/>
              </w:rPr>
            </w:pPr>
          </w:p>
        </w:tc>
        <w:tc>
          <w:tcPr>
            <w:tcW w:w="2126" w:type="dxa"/>
          </w:tcPr>
          <w:p w14:paraId="3B4F9035" w14:textId="77777777" w:rsidR="008E6212" w:rsidRPr="0018769D" w:rsidRDefault="008E6212" w:rsidP="009C1A36">
            <w:pPr>
              <w:spacing w:after="0" w:line="240" w:lineRule="auto"/>
              <w:rPr>
                <w:rFonts w:cstheme="minorHAnsi"/>
                <w:sz w:val="20"/>
              </w:rPr>
            </w:pPr>
            <w:r>
              <w:rPr>
                <w:rFonts w:cstheme="minorHAnsi"/>
                <w:sz w:val="20"/>
              </w:rPr>
              <w:t>Recruitment and growth of y</w:t>
            </w:r>
            <w:r w:rsidRPr="009209E4">
              <w:rPr>
                <w:rFonts w:cstheme="minorHAnsi"/>
                <w:sz w:val="20"/>
              </w:rPr>
              <w:t>oung of year</w:t>
            </w:r>
            <w:r>
              <w:rPr>
                <w:rFonts w:cstheme="minorHAnsi"/>
                <w:sz w:val="20"/>
              </w:rPr>
              <w:t xml:space="preserve"> (young of year sampling)</w:t>
            </w:r>
          </w:p>
        </w:tc>
        <w:tc>
          <w:tcPr>
            <w:tcW w:w="9781" w:type="dxa"/>
          </w:tcPr>
          <w:p w14:paraId="3B4F9036" w14:textId="77777777" w:rsidR="008E6212" w:rsidRPr="00B37D0D" w:rsidRDefault="008E6212" w:rsidP="009C1A36">
            <w:pPr>
              <w:spacing w:after="0"/>
              <w:rPr>
                <w:rFonts w:cstheme="minorHAnsi"/>
                <w:i/>
                <w:sz w:val="20"/>
              </w:rPr>
            </w:pPr>
            <w:r w:rsidRPr="00B37D0D">
              <w:rPr>
                <w:rFonts w:cstheme="minorHAnsi"/>
                <w:i/>
                <w:sz w:val="20"/>
              </w:rPr>
              <w:t>Short-term and long term evaluation questions</w:t>
            </w:r>
          </w:p>
          <w:p w14:paraId="3B4F9037" w14:textId="77777777" w:rsidR="008E6212" w:rsidRPr="00B37D0D" w:rsidRDefault="008E6212" w:rsidP="009C1A36">
            <w:pPr>
              <w:pStyle w:val="ListParagraph"/>
              <w:numPr>
                <w:ilvl w:val="0"/>
                <w:numId w:val="10"/>
              </w:numPr>
              <w:spacing w:after="0" w:line="240" w:lineRule="auto"/>
              <w:jc w:val="left"/>
              <w:rPr>
                <w:rFonts w:cstheme="minorHAnsi"/>
                <w:sz w:val="20"/>
              </w:rPr>
            </w:pPr>
            <w:r w:rsidRPr="00B37D0D">
              <w:rPr>
                <w:rFonts w:cstheme="minorHAnsi"/>
                <w:sz w:val="20"/>
              </w:rPr>
              <w:t>What did Commonwealth environmental water contribute to native fish recruitment to the first year of life?</w:t>
            </w:r>
          </w:p>
          <w:p w14:paraId="3B4F9038" w14:textId="77777777" w:rsidR="008E6212" w:rsidRPr="00B37D0D" w:rsidRDefault="008E6212" w:rsidP="009C1A36">
            <w:pPr>
              <w:pStyle w:val="ListBullet"/>
              <w:numPr>
                <w:ilvl w:val="0"/>
                <w:numId w:val="12"/>
              </w:numPr>
              <w:spacing w:after="0"/>
              <w:jc w:val="left"/>
              <w:rPr>
                <w:rFonts w:cstheme="minorHAnsi"/>
              </w:rPr>
            </w:pPr>
            <w:r w:rsidRPr="00B37D0D">
              <w:rPr>
                <w:rFonts w:cstheme="minorHAnsi"/>
              </w:rPr>
              <w:t>What did Commonwealth environmental water contribute to native fish growth rate during the first year of life?</w:t>
            </w:r>
          </w:p>
        </w:tc>
      </w:tr>
      <w:tr w:rsidR="008E6212" w:rsidRPr="0018769D" w14:paraId="3B4F9044" w14:textId="77777777" w:rsidTr="009C1A36">
        <w:tc>
          <w:tcPr>
            <w:tcW w:w="2126" w:type="dxa"/>
            <w:vMerge/>
          </w:tcPr>
          <w:p w14:paraId="3B4F903A" w14:textId="77777777" w:rsidR="008E6212" w:rsidRDefault="008E6212" w:rsidP="009C1A36">
            <w:pPr>
              <w:spacing w:after="0"/>
              <w:rPr>
                <w:rFonts w:cstheme="minorHAnsi"/>
                <w:sz w:val="20"/>
              </w:rPr>
            </w:pPr>
          </w:p>
        </w:tc>
        <w:tc>
          <w:tcPr>
            <w:tcW w:w="2126" w:type="dxa"/>
          </w:tcPr>
          <w:p w14:paraId="3B4F903B" w14:textId="77777777" w:rsidR="008E6212" w:rsidRDefault="008E6212" w:rsidP="009C1A36">
            <w:pPr>
              <w:spacing w:after="0" w:line="240" w:lineRule="auto"/>
              <w:rPr>
                <w:rFonts w:cstheme="minorHAnsi"/>
                <w:sz w:val="20"/>
              </w:rPr>
            </w:pPr>
            <w:r>
              <w:rPr>
                <w:rFonts w:cstheme="minorHAnsi"/>
                <w:sz w:val="20"/>
              </w:rPr>
              <w:t xml:space="preserve"> Adult fish population demographics </w:t>
            </w:r>
          </w:p>
          <w:p w14:paraId="3B4F903C" w14:textId="77777777" w:rsidR="008E6212" w:rsidRDefault="008E6212" w:rsidP="009C1A36">
            <w:pPr>
              <w:spacing w:after="0" w:line="240" w:lineRule="auto"/>
              <w:rPr>
                <w:rFonts w:cstheme="minorHAnsi"/>
                <w:sz w:val="20"/>
              </w:rPr>
            </w:pPr>
            <w:r>
              <w:rPr>
                <w:rFonts w:cstheme="minorHAnsi"/>
                <w:sz w:val="20"/>
              </w:rPr>
              <w:t>(adult fish sampling)</w:t>
            </w:r>
          </w:p>
        </w:tc>
        <w:tc>
          <w:tcPr>
            <w:tcW w:w="9781" w:type="dxa"/>
          </w:tcPr>
          <w:p w14:paraId="3B4F903D" w14:textId="77777777" w:rsidR="008E6212" w:rsidRPr="00B37D0D" w:rsidRDefault="008E6212" w:rsidP="009C1A36">
            <w:pPr>
              <w:shd w:val="clear" w:color="auto" w:fill="FFFFFF"/>
              <w:spacing w:after="0"/>
              <w:rPr>
                <w:i/>
                <w:sz w:val="20"/>
                <w:lang w:eastAsia="en-AU"/>
              </w:rPr>
            </w:pPr>
            <w:r>
              <w:rPr>
                <w:i/>
                <w:sz w:val="20"/>
                <w:lang w:eastAsia="en-AU"/>
              </w:rPr>
              <w:t xml:space="preserve">Short-term </w:t>
            </w:r>
            <w:r w:rsidRPr="00B37D0D">
              <w:rPr>
                <w:i/>
                <w:sz w:val="20"/>
                <w:lang w:eastAsia="en-AU"/>
              </w:rPr>
              <w:t>evaluation questions</w:t>
            </w:r>
          </w:p>
          <w:p w14:paraId="3B4F903E" w14:textId="77777777" w:rsidR="008E6212" w:rsidRPr="00B37D0D" w:rsidRDefault="008E6212" w:rsidP="009C1A36">
            <w:pPr>
              <w:pStyle w:val="ListParagraph"/>
              <w:numPr>
                <w:ilvl w:val="0"/>
                <w:numId w:val="11"/>
              </w:numPr>
              <w:shd w:val="clear" w:color="auto" w:fill="FFFFFF"/>
              <w:spacing w:after="0" w:line="240" w:lineRule="auto"/>
              <w:contextualSpacing/>
              <w:jc w:val="left"/>
              <w:rPr>
                <w:sz w:val="20"/>
                <w:lang w:eastAsia="en-AU"/>
              </w:rPr>
            </w:pPr>
            <w:r w:rsidRPr="00B37D0D">
              <w:rPr>
                <w:sz w:val="20"/>
                <w:lang w:eastAsia="en-AU"/>
              </w:rPr>
              <w:t>Does Commonwealth environmental water contribute to maintain or enhance fish condition in the Edward-Wakool river system?</w:t>
            </w:r>
          </w:p>
          <w:p w14:paraId="3B4F903F" w14:textId="77777777" w:rsidR="008E6212" w:rsidRPr="00B37D0D" w:rsidRDefault="008E6212" w:rsidP="009C1A36">
            <w:pPr>
              <w:pStyle w:val="ListParagraph"/>
              <w:numPr>
                <w:ilvl w:val="0"/>
                <w:numId w:val="11"/>
              </w:numPr>
              <w:shd w:val="clear" w:color="auto" w:fill="FFFFFF"/>
              <w:spacing w:after="120" w:line="240" w:lineRule="auto"/>
              <w:ind w:left="357" w:hanging="357"/>
              <w:contextualSpacing/>
              <w:jc w:val="left"/>
              <w:rPr>
                <w:sz w:val="20"/>
                <w:lang w:eastAsia="en-AU"/>
              </w:rPr>
            </w:pPr>
            <w:r w:rsidRPr="00B37D0D">
              <w:rPr>
                <w:sz w:val="20"/>
                <w:lang w:eastAsia="en-AU"/>
              </w:rPr>
              <w:t>Does Commonwealth environmental water contribute to the recovery of fish communities following negative conditions within the Edward-Wakool river system?</w:t>
            </w:r>
          </w:p>
          <w:p w14:paraId="3B4F9040" w14:textId="77777777" w:rsidR="008E6212" w:rsidRPr="00B37D0D" w:rsidRDefault="008E6212" w:rsidP="009C1A36">
            <w:pPr>
              <w:autoSpaceDE w:val="0"/>
              <w:autoSpaceDN w:val="0"/>
              <w:adjustRightInd w:val="0"/>
              <w:spacing w:after="0"/>
              <w:rPr>
                <w:rFonts w:cstheme="minorHAnsi"/>
                <w:i/>
                <w:color w:val="000000" w:themeColor="text1"/>
                <w:sz w:val="20"/>
              </w:rPr>
            </w:pPr>
            <w:r w:rsidRPr="00B37D0D">
              <w:rPr>
                <w:rFonts w:cstheme="minorHAnsi"/>
                <w:i/>
                <w:color w:val="000000" w:themeColor="text1"/>
                <w:sz w:val="20"/>
              </w:rPr>
              <w:t xml:space="preserve">Long-term evaluation questions </w:t>
            </w:r>
          </w:p>
          <w:p w14:paraId="3B4F9041" w14:textId="77777777" w:rsidR="008E6212" w:rsidRPr="00B37D0D" w:rsidRDefault="008E6212" w:rsidP="009C1A36">
            <w:pPr>
              <w:pStyle w:val="ListParagraph"/>
              <w:numPr>
                <w:ilvl w:val="0"/>
                <w:numId w:val="11"/>
              </w:numPr>
              <w:shd w:val="clear" w:color="auto" w:fill="FFFFFF"/>
              <w:spacing w:after="0" w:line="240" w:lineRule="auto"/>
              <w:contextualSpacing/>
              <w:jc w:val="left"/>
              <w:rPr>
                <w:sz w:val="20"/>
                <w:lang w:eastAsia="en-AU"/>
              </w:rPr>
            </w:pPr>
            <w:r w:rsidRPr="00B37D0D">
              <w:rPr>
                <w:sz w:val="20"/>
                <w:lang w:eastAsia="en-AU"/>
              </w:rPr>
              <w:t>Does Commonwealth environmental water contribute to maintain or enhance existing levels of fish recruitment in the Edward-Wakool river system?</w:t>
            </w:r>
          </w:p>
          <w:p w14:paraId="3B4F9042" w14:textId="77777777" w:rsidR="008E6212" w:rsidRDefault="008E6212" w:rsidP="009C1A36">
            <w:pPr>
              <w:pStyle w:val="ListParagraph"/>
              <w:numPr>
                <w:ilvl w:val="0"/>
                <w:numId w:val="11"/>
              </w:numPr>
              <w:shd w:val="clear" w:color="auto" w:fill="FFFFFF"/>
              <w:spacing w:after="0" w:line="240" w:lineRule="auto"/>
              <w:contextualSpacing/>
              <w:jc w:val="left"/>
              <w:rPr>
                <w:sz w:val="20"/>
                <w:lang w:eastAsia="en-AU"/>
              </w:rPr>
            </w:pPr>
            <w:r w:rsidRPr="00B37D0D">
              <w:rPr>
                <w:sz w:val="20"/>
                <w:lang w:eastAsia="en-AU"/>
              </w:rPr>
              <w:t>Does Commonwealth environmental water contribute to maintain or increase native fish diversity and abundance in the Edward-Wakool river system?</w:t>
            </w:r>
          </w:p>
          <w:p w14:paraId="3B4F9043" w14:textId="77777777" w:rsidR="008E6212" w:rsidRPr="00A54719" w:rsidRDefault="008E6212" w:rsidP="009C1A36">
            <w:pPr>
              <w:pStyle w:val="ListParagraph"/>
              <w:numPr>
                <w:ilvl w:val="0"/>
                <w:numId w:val="11"/>
              </w:numPr>
              <w:shd w:val="clear" w:color="auto" w:fill="FFFFFF"/>
              <w:spacing w:after="0" w:line="240" w:lineRule="auto"/>
              <w:contextualSpacing/>
              <w:jc w:val="left"/>
              <w:rPr>
                <w:sz w:val="20"/>
                <w:lang w:eastAsia="en-AU"/>
              </w:rPr>
            </w:pPr>
            <w:r w:rsidRPr="00A54719">
              <w:rPr>
                <w:sz w:val="20"/>
                <w:lang w:eastAsia="en-AU"/>
              </w:rPr>
              <w:t>Does Commonwealth environmental water contribute to maintain or increase native fish biomass in the Edward-Wakool river system?</w:t>
            </w:r>
          </w:p>
        </w:tc>
      </w:tr>
    </w:tbl>
    <w:p w14:paraId="3B4F9045" w14:textId="77777777" w:rsidR="008E6212" w:rsidRDefault="008E6212" w:rsidP="008E6212">
      <w:pPr>
        <w:sectPr w:rsidR="008E6212" w:rsidSect="009C1A36">
          <w:pgSz w:w="16838" w:h="11906" w:orient="landscape"/>
          <w:pgMar w:top="1440" w:right="1985" w:bottom="1440" w:left="1985" w:header="709" w:footer="709" w:gutter="0"/>
          <w:cols w:space="708"/>
          <w:docGrid w:linePitch="360"/>
        </w:sectPr>
      </w:pPr>
    </w:p>
    <w:bookmarkEnd w:id="43"/>
    <w:p w14:paraId="3B4F9046" w14:textId="77777777" w:rsidR="008E6212" w:rsidRDefault="008E6212" w:rsidP="001E6598">
      <w:pPr>
        <w:pStyle w:val="BodyText"/>
        <w:spacing w:line="320" w:lineRule="exact"/>
        <w:rPr>
          <w:rFonts w:asciiTheme="minorHAnsi" w:hAnsiTheme="minorHAnsi"/>
          <w:b/>
          <w:color w:val="4F6228" w:themeColor="accent3" w:themeShade="80"/>
          <w:sz w:val="26"/>
          <w:szCs w:val="26"/>
        </w:rPr>
      </w:pPr>
      <w:r w:rsidRPr="0057062F">
        <w:rPr>
          <w:rFonts w:asciiTheme="minorHAnsi" w:hAnsiTheme="minorHAnsi"/>
          <w:b/>
          <w:color w:val="4F6228" w:themeColor="accent3" w:themeShade="80"/>
          <w:sz w:val="26"/>
          <w:szCs w:val="26"/>
        </w:rPr>
        <w:lastRenderedPageBreak/>
        <w:t xml:space="preserve">D.4   </w:t>
      </w:r>
      <w:r w:rsidR="00BC485A">
        <w:rPr>
          <w:rFonts w:asciiTheme="minorHAnsi" w:hAnsiTheme="minorHAnsi"/>
          <w:b/>
          <w:color w:val="4F6228" w:themeColor="accent3" w:themeShade="80"/>
          <w:sz w:val="26"/>
          <w:szCs w:val="26"/>
        </w:rPr>
        <w:t>Methods</w:t>
      </w:r>
    </w:p>
    <w:p w14:paraId="3B4F9047" w14:textId="77777777" w:rsidR="008E6212" w:rsidRPr="001E6598" w:rsidRDefault="008E6212" w:rsidP="008E6212">
      <w:pPr>
        <w:pStyle w:val="BodyText"/>
        <w:rPr>
          <w:rFonts w:asciiTheme="minorHAnsi" w:hAnsiTheme="minorHAnsi"/>
          <w:b/>
          <w:color w:val="4F6228" w:themeColor="accent3" w:themeShade="80"/>
          <w:sz w:val="22"/>
          <w:szCs w:val="22"/>
        </w:rPr>
      </w:pPr>
    </w:p>
    <w:p w14:paraId="3B4F9048" w14:textId="77777777" w:rsidR="008E6212" w:rsidRPr="00337C70" w:rsidRDefault="008E6212" w:rsidP="008E6212">
      <w:pPr>
        <w:pStyle w:val="BodyText"/>
        <w:rPr>
          <w:rFonts w:ascii="Calibri" w:hAnsi="Calibri"/>
          <w:b/>
          <w:i/>
          <w:color w:val="4F6228" w:themeColor="accent3" w:themeShade="80"/>
        </w:rPr>
      </w:pPr>
      <w:r w:rsidRPr="00337C70">
        <w:rPr>
          <w:rFonts w:ascii="Calibri" w:hAnsi="Calibri"/>
          <w:b/>
          <w:i/>
          <w:color w:val="4F6228" w:themeColor="accent3" w:themeShade="80"/>
        </w:rPr>
        <w:t>Fish movement</w:t>
      </w:r>
    </w:p>
    <w:p w14:paraId="3B4F9049" w14:textId="1000295D" w:rsidR="008E6212" w:rsidRDefault="008E6212" w:rsidP="008E6212">
      <w:pPr>
        <w:spacing w:after="240" w:line="320" w:lineRule="exact"/>
        <w:jc w:val="left"/>
        <w:rPr>
          <w:rFonts w:asciiTheme="minorHAnsi" w:hAnsiTheme="minorHAnsi"/>
          <w:szCs w:val="22"/>
        </w:rPr>
      </w:pPr>
      <w:r w:rsidRPr="00052289">
        <w:rPr>
          <w:rFonts w:asciiTheme="minorHAnsi" w:hAnsiTheme="minorHAnsi"/>
          <w:szCs w:val="22"/>
        </w:rPr>
        <w:t>A total of 71 acoustic receivers (VEMCO VR2W) were installed in the Edward-Wakool system in August 2015. Of these, 51 constituted the fine-scale a</w:t>
      </w:r>
      <w:r>
        <w:rPr>
          <w:rFonts w:asciiTheme="minorHAnsi" w:hAnsiTheme="minorHAnsi"/>
          <w:szCs w:val="22"/>
        </w:rPr>
        <w:t>co</w:t>
      </w:r>
      <w:r w:rsidR="00F774C7">
        <w:rPr>
          <w:rFonts w:asciiTheme="minorHAnsi" w:hAnsiTheme="minorHAnsi"/>
          <w:szCs w:val="22"/>
        </w:rPr>
        <w:t>ustic receiver array (Figure D.2</w:t>
      </w:r>
      <w:r w:rsidRPr="00052289">
        <w:rPr>
          <w:rFonts w:asciiTheme="minorHAnsi" w:hAnsiTheme="minorHAnsi"/>
          <w:szCs w:val="22"/>
        </w:rPr>
        <w:t>) of ~6 km receiver spacing</w:t>
      </w:r>
      <w:r w:rsidR="0064533C">
        <w:rPr>
          <w:rFonts w:asciiTheme="minorHAnsi" w:hAnsiTheme="minorHAnsi"/>
          <w:szCs w:val="22"/>
        </w:rPr>
        <w:t>,</w:t>
      </w:r>
      <w:r w:rsidRPr="00052289">
        <w:rPr>
          <w:rFonts w:asciiTheme="minorHAnsi" w:hAnsiTheme="minorHAnsi"/>
          <w:szCs w:val="22"/>
        </w:rPr>
        <w:t xml:space="preserve"> and 20 additional receivers were placed at key entry/exit points and major junctions within the wider system to monitor any potential emigration out of the system. </w:t>
      </w:r>
      <w:r w:rsidR="001E6598">
        <w:t xml:space="preserve">This array can also detect fish that were tagged in other parts of the Murray if they move into the Edward-Wakool system and vice versa. </w:t>
      </w:r>
      <w:r w:rsidRPr="00052289">
        <w:rPr>
          <w:rFonts w:asciiTheme="minorHAnsi" w:hAnsiTheme="minorHAnsi"/>
          <w:szCs w:val="22"/>
        </w:rPr>
        <w:t xml:space="preserve">Thirty one golden perch and eight silver perch </w:t>
      </w:r>
      <w:r w:rsidR="00DD0DA7">
        <w:rPr>
          <w:rFonts w:asciiTheme="minorHAnsi" w:hAnsiTheme="minorHAnsi"/>
          <w:szCs w:val="22"/>
        </w:rPr>
        <w:t xml:space="preserve">captured in the Edward Wakool </w:t>
      </w:r>
      <w:r w:rsidR="00051813">
        <w:rPr>
          <w:rFonts w:asciiTheme="minorHAnsi" w:hAnsiTheme="minorHAnsi"/>
          <w:szCs w:val="22"/>
        </w:rPr>
        <w:t xml:space="preserve">system </w:t>
      </w:r>
      <w:r w:rsidRPr="00052289">
        <w:rPr>
          <w:rFonts w:asciiTheme="minorHAnsi" w:hAnsiTheme="minorHAnsi"/>
          <w:szCs w:val="22"/>
        </w:rPr>
        <w:t>had acoustic telemetry tags surgically inserted from August-October 2015</w:t>
      </w:r>
      <w:r w:rsidR="00045C8E">
        <w:rPr>
          <w:rFonts w:asciiTheme="minorHAnsi" w:hAnsiTheme="minorHAnsi"/>
          <w:szCs w:val="22"/>
        </w:rPr>
        <w:t xml:space="preserve"> (Table D.3</w:t>
      </w:r>
      <w:r>
        <w:rPr>
          <w:rFonts w:asciiTheme="minorHAnsi" w:hAnsiTheme="minorHAnsi"/>
          <w:szCs w:val="22"/>
        </w:rPr>
        <w:t>)</w:t>
      </w:r>
      <w:r w:rsidRPr="00052289">
        <w:rPr>
          <w:rFonts w:asciiTheme="minorHAnsi" w:hAnsiTheme="minorHAnsi"/>
          <w:szCs w:val="22"/>
        </w:rPr>
        <w:t>. Acoustic tag implantation procedures followed those outlined by Hale et al. (2014)</w:t>
      </w:r>
      <w:r>
        <w:rPr>
          <w:rFonts w:asciiTheme="minorHAnsi" w:hAnsiTheme="minorHAnsi"/>
          <w:szCs w:val="22"/>
        </w:rPr>
        <w:t>.</w:t>
      </w:r>
    </w:p>
    <w:p w14:paraId="3B4F904A" w14:textId="77777777" w:rsidR="008E6212" w:rsidRDefault="008E6212" w:rsidP="008E6212">
      <w:pPr>
        <w:spacing w:after="240" w:line="320" w:lineRule="exact"/>
        <w:jc w:val="left"/>
        <w:rPr>
          <w:rFonts w:asciiTheme="minorHAnsi" w:hAnsiTheme="minorHAnsi"/>
          <w:szCs w:val="22"/>
        </w:rPr>
      </w:pPr>
      <w:r w:rsidRPr="00052289">
        <w:rPr>
          <w:rFonts w:asciiTheme="minorHAnsi" w:hAnsiTheme="minorHAnsi"/>
          <w:szCs w:val="22"/>
        </w:rPr>
        <w:t xml:space="preserve">Acoustic receiver downloads were undertaken in January and April 2016. Downloaded acoustic tag detection data and meta-data were uploaded into a custom SQL database. Data were screened and all duplicates, false detections and orphan tags quarantined prior to storage. Individual movements of fish were recreated over time to determine 1) location within the Edward-Wakool system at any given time and, 2) timing and distance of movements. As receivers were spaced at ~6 km intervals, this represents the minimum distance of movements within the receiver array and detection on multiple receivers is required to determine location and direction of movement. All data were screened to remove any detections one-week post tagging to enable individual fish to adequately recover and resume normal behaviour. </w:t>
      </w:r>
    </w:p>
    <w:p w14:paraId="3B4F904B" w14:textId="70492484" w:rsidR="008E6212" w:rsidRDefault="001E6598" w:rsidP="008E6212">
      <w:pPr>
        <w:spacing w:after="0" w:line="240" w:lineRule="auto"/>
        <w:jc w:val="center"/>
        <w:rPr>
          <w:rFonts w:asciiTheme="minorHAnsi" w:hAnsiTheme="minorHAnsi"/>
          <w:sz w:val="20"/>
        </w:rPr>
      </w:pPr>
      <w:r>
        <w:rPr>
          <w:rFonts w:asciiTheme="minorHAnsi" w:hAnsiTheme="minorHAnsi"/>
          <w:noProof/>
          <w:sz w:val="20"/>
          <w:lang w:eastAsia="en-AU"/>
        </w:rPr>
        <w:drawing>
          <wp:inline distT="0" distB="0" distL="0" distR="0" wp14:anchorId="73DB9AFA" wp14:editId="1764221D">
            <wp:extent cx="4626457" cy="32400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26457" cy="3240000"/>
                    </a:xfrm>
                    <a:prstGeom prst="rect">
                      <a:avLst/>
                    </a:prstGeom>
                    <a:noFill/>
                  </pic:spPr>
                </pic:pic>
              </a:graphicData>
            </a:graphic>
          </wp:inline>
        </w:drawing>
      </w:r>
    </w:p>
    <w:p w14:paraId="3B4F904C" w14:textId="7CCC20AE" w:rsidR="008E6212" w:rsidRPr="004D2F69" w:rsidRDefault="00F774C7" w:rsidP="001E6598">
      <w:pPr>
        <w:spacing w:after="0" w:line="240" w:lineRule="auto"/>
        <w:ind w:right="-286"/>
        <w:rPr>
          <w:rFonts w:asciiTheme="minorHAnsi" w:hAnsiTheme="minorHAnsi"/>
          <w:sz w:val="20"/>
        </w:rPr>
      </w:pPr>
      <w:r>
        <w:rPr>
          <w:rFonts w:asciiTheme="minorHAnsi" w:hAnsiTheme="minorHAnsi"/>
          <w:b/>
          <w:sz w:val="20"/>
        </w:rPr>
        <w:t>Figure D.2</w:t>
      </w:r>
      <w:r w:rsidR="008E6212" w:rsidRPr="004D2F69">
        <w:rPr>
          <w:rFonts w:asciiTheme="minorHAnsi" w:hAnsiTheme="minorHAnsi"/>
          <w:b/>
          <w:sz w:val="20"/>
        </w:rPr>
        <w:t>.</w:t>
      </w:r>
      <w:r w:rsidR="008E6212" w:rsidRPr="004D2F69">
        <w:rPr>
          <w:rFonts w:asciiTheme="minorHAnsi" w:hAnsiTheme="minorHAnsi"/>
          <w:sz w:val="20"/>
        </w:rPr>
        <w:t xml:space="preserve"> </w:t>
      </w:r>
      <w:r w:rsidR="001E6598" w:rsidRPr="00C01949">
        <w:rPr>
          <w:sz w:val="20"/>
        </w:rPr>
        <w:t xml:space="preserve">Location of acoustic receivers in the Edward-Wakool system. Installation and maintenance of receivers in zones 1 to 4 </w:t>
      </w:r>
      <w:r w:rsidR="001E6598">
        <w:rPr>
          <w:sz w:val="20"/>
        </w:rPr>
        <w:t xml:space="preserve">(green dots) </w:t>
      </w:r>
      <w:r w:rsidR="001E6598" w:rsidRPr="00C01949">
        <w:rPr>
          <w:sz w:val="20"/>
        </w:rPr>
        <w:t xml:space="preserve">(n=51) is funded by the LTIM project and receivers installed at major waterway junctions </w:t>
      </w:r>
      <w:r w:rsidR="001E6598">
        <w:rPr>
          <w:sz w:val="20"/>
        </w:rPr>
        <w:t xml:space="preserve">(red dots) </w:t>
      </w:r>
      <w:r w:rsidR="001E6598" w:rsidRPr="00C01949">
        <w:rPr>
          <w:sz w:val="20"/>
        </w:rPr>
        <w:t>(n=20) is funded by Murray Local Land Services.</w:t>
      </w:r>
    </w:p>
    <w:p w14:paraId="3B4F904D" w14:textId="77777777" w:rsidR="008E6212" w:rsidRPr="008A5E21" w:rsidRDefault="008E6212" w:rsidP="008E6212">
      <w:pPr>
        <w:spacing w:after="0" w:line="240" w:lineRule="auto"/>
        <w:rPr>
          <w:rFonts w:asciiTheme="minorHAnsi" w:hAnsiTheme="minorHAnsi"/>
          <w:sz w:val="20"/>
        </w:rPr>
      </w:pPr>
      <w:r w:rsidRPr="00935D0A">
        <w:rPr>
          <w:rFonts w:asciiTheme="minorHAnsi" w:hAnsiTheme="minorHAnsi"/>
          <w:b/>
          <w:sz w:val="20"/>
        </w:rPr>
        <w:lastRenderedPageBreak/>
        <w:t xml:space="preserve">Table </w:t>
      </w:r>
      <w:r w:rsidR="00045C8E">
        <w:rPr>
          <w:rFonts w:asciiTheme="minorHAnsi" w:hAnsiTheme="minorHAnsi"/>
          <w:b/>
          <w:sz w:val="20"/>
        </w:rPr>
        <w:t>D.3</w:t>
      </w:r>
      <w:r w:rsidRPr="00935D0A">
        <w:rPr>
          <w:rFonts w:asciiTheme="minorHAnsi" w:hAnsiTheme="minorHAnsi"/>
          <w:b/>
          <w:sz w:val="20"/>
        </w:rPr>
        <w:t>.</w:t>
      </w:r>
      <w:r w:rsidRPr="008A5E21">
        <w:rPr>
          <w:rFonts w:asciiTheme="minorHAnsi" w:hAnsiTheme="minorHAnsi"/>
          <w:sz w:val="20"/>
        </w:rPr>
        <w:t xml:space="preserve"> Information on individual golden perch and silver perch fitted with acoustic telemetry tags in the Edward-Wakool system in 2015. </w:t>
      </w:r>
    </w:p>
    <w:tbl>
      <w:tblPr>
        <w:tblStyle w:val="TableGrid"/>
        <w:tblW w:w="789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18"/>
        <w:gridCol w:w="1276"/>
        <w:gridCol w:w="1182"/>
        <w:gridCol w:w="1041"/>
        <w:gridCol w:w="1274"/>
      </w:tblGrid>
      <w:tr w:rsidR="008E6212" w:rsidRPr="00E03DF0" w14:paraId="3B4F9054" w14:textId="77777777" w:rsidTr="009C1A36">
        <w:tc>
          <w:tcPr>
            <w:tcW w:w="1701" w:type="dxa"/>
            <w:tcBorders>
              <w:top w:val="single" w:sz="4" w:space="0" w:color="auto"/>
              <w:bottom w:val="single" w:sz="4" w:space="0" w:color="auto"/>
            </w:tcBorders>
            <w:shd w:val="clear" w:color="auto" w:fill="D6E3BC" w:themeFill="accent3" w:themeFillTint="66"/>
            <w:vAlign w:val="bottom"/>
          </w:tcPr>
          <w:p w14:paraId="3B4F904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Transmitter_ID</w:t>
            </w:r>
          </w:p>
        </w:tc>
        <w:tc>
          <w:tcPr>
            <w:tcW w:w="1418" w:type="dxa"/>
            <w:tcBorders>
              <w:top w:val="single" w:sz="4" w:space="0" w:color="auto"/>
              <w:bottom w:val="single" w:sz="4" w:space="0" w:color="auto"/>
            </w:tcBorders>
            <w:shd w:val="clear" w:color="auto" w:fill="D6E3BC" w:themeFill="accent3" w:themeFillTint="66"/>
            <w:vAlign w:val="bottom"/>
          </w:tcPr>
          <w:p w14:paraId="3B4F904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Species</w:t>
            </w:r>
          </w:p>
        </w:tc>
        <w:tc>
          <w:tcPr>
            <w:tcW w:w="1276" w:type="dxa"/>
            <w:tcBorders>
              <w:top w:val="single" w:sz="4" w:space="0" w:color="auto"/>
              <w:bottom w:val="single" w:sz="4" w:space="0" w:color="auto"/>
            </w:tcBorders>
            <w:shd w:val="clear" w:color="auto" w:fill="D6E3BC" w:themeFill="accent3" w:themeFillTint="66"/>
            <w:vAlign w:val="bottom"/>
          </w:tcPr>
          <w:p w14:paraId="3B4F905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Length (mm)</w:t>
            </w:r>
          </w:p>
        </w:tc>
        <w:tc>
          <w:tcPr>
            <w:tcW w:w="1182" w:type="dxa"/>
            <w:tcBorders>
              <w:top w:val="single" w:sz="4" w:space="0" w:color="auto"/>
              <w:bottom w:val="single" w:sz="4" w:space="0" w:color="auto"/>
            </w:tcBorders>
            <w:shd w:val="clear" w:color="auto" w:fill="D6E3BC" w:themeFill="accent3" w:themeFillTint="66"/>
            <w:vAlign w:val="bottom"/>
          </w:tcPr>
          <w:p w14:paraId="3B4F905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Weight (g)</w:t>
            </w:r>
          </w:p>
        </w:tc>
        <w:tc>
          <w:tcPr>
            <w:tcW w:w="1041" w:type="dxa"/>
            <w:tcBorders>
              <w:top w:val="single" w:sz="4" w:space="0" w:color="auto"/>
              <w:bottom w:val="single" w:sz="4" w:space="0" w:color="auto"/>
            </w:tcBorders>
            <w:shd w:val="clear" w:color="auto" w:fill="D6E3BC" w:themeFill="accent3" w:themeFillTint="66"/>
            <w:vAlign w:val="bottom"/>
          </w:tcPr>
          <w:p w14:paraId="3B4F905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Sex</w:t>
            </w:r>
          </w:p>
        </w:tc>
        <w:tc>
          <w:tcPr>
            <w:tcW w:w="1274" w:type="dxa"/>
            <w:tcBorders>
              <w:top w:val="single" w:sz="4" w:space="0" w:color="auto"/>
              <w:bottom w:val="single" w:sz="4" w:space="0" w:color="auto"/>
            </w:tcBorders>
            <w:shd w:val="clear" w:color="auto" w:fill="D6E3BC" w:themeFill="accent3" w:themeFillTint="66"/>
            <w:vAlign w:val="bottom"/>
          </w:tcPr>
          <w:p w14:paraId="3B4F905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Release Date</w:t>
            </w:r>
          </w:p>
        </w:tc>
      </w:tr>
      <w:tr w:rsidR="008E6212" w:rsidRPr="00E03DF0" w14:paraId="3B4F905B" w14:textId="77777777" w:rsidTr="009C1A36">
        <w:tc>
          <w:tcPr>
            <w:tcW w:w="1701" w:type="dxa"/>
            <w:tcBorders>
              <w:top w:val="single" w:sz="4" w:space="0" w:color="auto"/>
            </w:tcBorders>
            <w:vAlign w:val="bottom"/>
          </w:tcPr>
          <w:p w14:paraId="3B4F905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A69-1601-57291</w:t>
            </w:r>
          </w:p>
        </w:tc>
        <w:tc>
          <w:tcPr>
            <w:tcW w:w="1418" w:type="dxa"/>
            <w:tcBorders>
              <w:top w:val="single" w:sz="4" w:space="0" w:color="auto"/>
            </w:tcBorders>
            <w:vAlign w:val="bottom"/>
          </w:tcPr>
          <w:p w14:paraId="3B4F905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tcBorders>
              <w:top w:val="single" w:sz="4" w:space="0" w:color="auto"/>
            </w:tcBorders>
            <w:vAlign w:val="bottom"/>
          </w:tcPr>
          <w:p w14:paraId="3B4F905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488</w:t>
            </w:r>
          </w:p>
        </w:tc>
        <w:tc>
          <w:tcPr>
            <w:tcW w:w="1182" w:type="dxa"/>
            <w:tcBorders>
              <w:top w:val="single" w:sz="4" w:space="0" w:color="auto"/>
            </w:tcBorders>
            <w:vAlign w:val="bottom"/>
          </w:tcPr>
          <w:p w14:paraId="3B4F905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1748</w:t>
            </w:r>
          </w:p>
        </w:tc>
        <w:tc>
          <w:tcPr>
            <w:tcW w:w="1041" w:type="dxa"/>
            <w:tcBorders>
              <w:top w:val="single" w:sz="4" w:space="0" w:color="auto"/>
            </w:tcBorders>
            <w:vAlign w:val="bottom"/>
          </w:tcPr>
          <w:p w14:paraId="3B4F905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tcBorders>
              <w:top w:val="single" w:sz="4" w:space="0" w:color="auto"/>
            </w:tcBorders>
            <w:vAlign w:val="bottom"/>
          </w:tcPr>
          <w:p w14:paraId="3B4F905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10/08/2015</w:t>
            </w:r>
          </w:p>
        </w:tc>
      </w:tr>
      <w:tr w:rsidR="008E6212" w:rsidRPr="00E03DF0" w14:paraId="3B4F9062" w14:textId="77777777" w:rsidTr="009C1A36">
        <w:tc>
          <w:tcPr>
            <w:tcW w:w="1701" w:type="dxa"/>
            <w:vAlign w:val="bottom"/>
          </w:tcPr>
          <w:p w14:paraId="3B4F905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A69-1601-57290</w:t>
            </w:r>
          </w:p>
        </w:tc>
        <w:tc>
          <w:tcPr>
            <w:tcW w:w="1418" w:type="dxa"/>
            <w:vAlign w:val="bottom"/>
          </w:tcPr>
          <w:p w14:paraId="3B4F905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5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420</w:t>
            </w:r>
          </w:p>
        </w:tc>
        <w:tc>
          <w:tcPr>
            <w:tcW w:w="1182" w:type="dxa"/>
            <w:vAlign w:val="bottom"/>
          </w:tcPr>
          <w:p w14:paraId="3B4F905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1322</w:t>
            </w:r>
          </w:p>
        </w:tc>
        <w:tc>
          <w:tcPr>
            <w:tcW w:w="1041" w:type="dxa"/>
            <w:vAlign w:val="bottom"/>
          </w:tcPr>
          <w:p w14:paraId="3B4F906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Male</w:t>
            </w:r>
          </w:p>
        </w:tc>
        <w:tc>
          <w:tcPr>
            <w:tcW w:w="1274" w:type="dxa"/>
            <w:vAlign w:val="bottom"/>
          </w:tcPr>
          <w:p w14:paraId="3B4F906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10/08/2015</w:t>
            </w:r>
          </w:p>
        </w:tc>
      </w:tr>
      <w:tr w:rsidR="008E6212" w:rsidRPr="00E03DF0" w14:paraId="3B4F9069" w14:textId="77777777" w:rsidTr="009C1A36">
        <w:tc>
          <w:tcPr>
            <w:tcW w:w="1701" w:type="dxa"/>
            <w:vAlign w:val="bottom"/>
          </w:tcPr>
          <w:p w14:paraId="3B4F906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A69-1601-57292</w:t>
            </w:r>
          </w:p>
        </w:tc>
        <w:tc>
          <w:tcPr>
            <w:tcW w:w="1418" w:type="dxa"/>
            <w:vAlign w:val="bottom"/>
          </w:tcPr>
          <w:p w14:paraId="3B4F906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6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488</w:t>
            </w:r>
          </w:p>
        </w:tc>
        <w:tc>
          <w:tcPr>
            <w:tcW w:w="1182" w:type="dxa"/>
            <w:vAlign w:val="bottom"/>
          </w:tcPr>
          <w:p w14:paraId="3B4F906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1550</w:t>
            </w:r>
          </w:p>
        </w:tc>
        <w:tc>
          <w:tcPr>
            <w:tcW w:w="1041" w:type="dxa"/>
            <w:vAlign w:val="bottom"/>
          </w:tcPr>
          <w:p w14:paraId="3B4F906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Male</w:t>
            </w:r>
          </w:p>
        </w:tc>
        <w:tc>
          <w:tcPr>
            <w:tcW w:w="1274" w:type="dxa"/>
            <w:vAlign w:val="bottom"/>
          </w:tcPr>
          <w:p w14:paraId="3B4F906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10/08/2015</w:t>
            </w:r>
          </w:p>
        </w:tc>
      </w:tr>
      <w:tr w:rsidR="008E6212" w:rsidRPr="00E03DF0" w14:paraId="3B4F9070" w14:textId="77777777" w:rsidTr="009C1A36">
        <w:tc>
          <w:tcPr>
            <w:tcW w:w="1701" w:type="dxa"/>
            <w:vAlign w:val="bottom"/>
          </w:tcPr>
          <w:p w14:paraId="3B4F906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A69-1601-57293</w:t>
            </w:r>
          </w:p>
        </w:tc>
        <w:tc>
          <w:tcPr>
            <w:tcW w:w="1418" w:type="dxa"/>
            <w:vAlign w:val="bottom"/>
          </w:tcPr>
          <w:p w14:paraId="3B4F906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6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435</w:t>
            </w:r>
          </w:p>
        </w:tc>
        <w:tc>
          <w:tcPr>
            <w:tcW w:w="1182" w:type="dxa"/>
            <w:vAlign w:val="bottom"/>
          </w:tcPr>
          <w:p w14:paraId="3B4F906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1572</w:t>
            </w:r>
          </w:p>
        </w:tc>
        <w:tc>
          <w:tcPr>
            <w:tcW w:w="1041" w:type="dxa"/>
            <w:vAlign w:val="bottom"/>
          </w:tcPr>
          <w:p w14:paraId="3B4F906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Male</w:t>
            </w:r>
          </w:p>
        </w:tc>
        <w:tc>
          <w:tcPr>
            <w:tcW w:w="1274" w:type="dxa"/>
            <w:vAlign w:val="bottom"/>
          </w:tcPr>
          <w:p w14:paraId="3B4F906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10/08/2015</w:t>
            </w:r>
          </w:p>
        </w:tc>
      </w:tr>
      <w:tr w:rsidR="008E6212" w:rsidRPr="00E03DF0" w14:paraId="3B4F9077" w14:textId="77777777" w:rsidTr="009C1A36">
        <w:tc>
          <w:tcPr>
            <w:tcW w:w="1701" w:type="dxa"/>
            <w:vAlign w:val="bottom"/>
          </w:tcPr>
          <w:p w14:paraId="3B4F907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A69-1601-57295</w:t>
            </w:r>
          </w:p>
        </w:tc>
        <w:tc>
          <w:tcPr>
            <w:tcW w:w="1418" w:type="dxa"/>
            <w:vAlign w:val="bottom"/>
          </w:tcPr>
          <w:p w14:paraId="3B4F907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7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451</w:t>
            </w:r>
          </w:p>
        </w:tc>
        <w:tc>
          <w:tcPr>
            <w:tcW w:w="1182" w:type="dxa"/>
            <w:vAlign w:val="bottom"/>
          </w:tcPr>
          <w:p w14:paraId="3B4F907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1484</w:t>
            </w:r>
          </w:p>
        </w:tc>
        <w:tc>
          <w:tcPr>
            <w:tcW w:w="1041" w:type="dxa"/>
            <w:vAlign w:val="bottom"/>
          </w:tcPr>
          <w:p w14:paraId="3B4F907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7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10/08/2015</w:t>
            </w:r>
          </w:p>
        </w:tc>
      </w:tr>
      <w:tr w:rsidR="008E6212" w:rsidRPr="00E03DF0" w14:paraId="3B4F907E" w14:textId="77777777" w:rsidTr="009C1A36">
        <w:tc>
          <w:tcPr>
            <w:tcW w:w="1701" w:type="dxa"/>
            <w:vAlign w:val="bottom"/>
          </w:tcPr>
          <w:p w14:paraId="3B4F907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A69-1601-57296</w:t>
            </w:r>
          </w:p>
        </w:tc>
        <w:tc>
          <w:tcPr>
            <w:tcW w:w="1418" w:type="dxa"/>
            <w:vAlign w:val="bottom"/>
          </w:tcPr>
          <w:p w14:paraId="3B4F907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7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430</w:t>
            </w:r>
          </w:p>
        </w:tc>
        <w:tc>
          <w:tcPr>
            <w:tcW w:w="1182" w:type="dxa"/>
            <w:vAlign w:val="bottom"/>
          </w:tcPr>
          <w:p w14:paraId="3B4F907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1564</w:t>
            </w:r>
          </w:p>
        </w:tc>
        <w:tc>
          <w:tcPr>
            <w:tcW w:w="1041" w:type="dxa"/>
            <w:vAlign w:val="bottom"/>
          </w:tcPr>
          <w:p w14:paraId="3B4F907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7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85" w14:textId="77777777" w:rsidTr="009C1A36">
        <w:tc>
          <w:tcPr>
            <w:tcW w:w="1701" w:type="dxa"/>
            <w:vAlign w:val="bottom"/>
          </w:tcPr>
          <w:p w14:paraId="3B4F907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A69-1601-57297</w:t>
            </w:r>
          </w:p>
        </w:tc>
        <w:tc>
          <w:tcPr>
            <w:tcW w:w="1418" w:type="dxa"/>
            <w:vAlign w:val="bottom"/>
          </w:tcPr>
          <w:p w14:paraId="3B4F908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8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429</w:t>
            </w:r>
          </w:p>
        </w:tc>
        <w:tc>
          <w:tcPr>
            <w:tcW w:w="1182" w:type="dxa"/>
            <w:vAlign w:val="bottom"/>
          </w:tcPr>
          <w:p w14:paraId="3B4F908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1212</w:t>
            </w:r>
          </w:p>
        </w:tc>
        <w:tc>
          <w:tcPr>
            <w:tcW w:w="1041" w:type="dxa"/>
            <w:vAlign w:val="bottom"/>
          </w:tcPr>
          <w:p w14:paraId="3B4F908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8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8C" w14:textId="77777777" w:rsidTr="009C1A36">
        <w:tc>
          <w:tcPr>
            <w:tcW w:w="1701" w:type="dxa"/>
            <w:vAlign w:val="bottom"/>
          </w:tcPr>
          <w:p w14:paraId="3B4F908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A69-1601-57298</w:t>
            </w:r>
          </w:p>
        </w:tc>
        <w:tc>
          <w:tcPr>
            <w:tcW w:w="1418" w:type="dxa"/>
            <w:vAlign w:val="bottom"/>
          </w:tcPr>
          <w:p w14:paraId="3B4F908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8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407</w:t>
            </w:r>
          </w:p>
        </w:tc>
        <w:tc>
          <w:tcPr>
            <w:tcW w:w="1182" w:type="dxa"/>
            <w:vAlign w:val="bottom"/>
          </w:tcPr>
          <w:p w14:paraId="3B4F908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1406</w:t>
            </w:r>
          </w:p>
        </w:tc>
        <w:tc>
          <w:tcPr>
            <w:tcW w:w="1041" w:type="dxa"/>
            <w:vAlign w:val="bottom"/>
          </w:tcPr>
          <w:p w14:paraId="3B4F908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8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93" w14:textId="77777777" w:rsidTr="009C1A36">
        <w:tc>
          <w:tcPr>
            <w:tcW w:w="1701" w:type="dxa"/>
            <w:vAlign w:val="bottom"/>
          </w:tcPr>
          <w:p w14:paraId="3B4F908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A69-1601-57299</w:t>
            </w:r>
          </w:p>
        </w:tc>
        <w:tc>
          <w:tcPr>
            <w:tcW w:w="1418" w:type="dxa"/>
            <w:vAlign w:val="bottom"/>
          </w:tcPr>
          <w:p w14:paraId="3B4F908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8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474</w:t>
            </w:r>
          </w:p>
        </w:tc>
        <w:tc>
          <w:tcPr>
            <w:tcW w:w="1182" w:type="dxa"/>
            <w:vAlign w:val="bottom"/>
          </w:tcPr>
          <w:p w14:paraId="3B4F909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2016</w:t>
            </w:r>
          </w:p>
        </w:tc>
        <w:tc>
          <w:tcPr>
            <w:tcW w:w="1041" w:type="dxa"/>
            <w:vAlign w:val="bottom"/>
          </w:tcPr>
          <w:p w14:paraId="3B4F909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9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9A" w14:textId="77777777" w:rsidTr="009C1A36">
        <w:tc>
          <w:tcPr>
            <w:tcW w:w="1701" w:type="dxa"/>
            <w:vAlign w:val="bottom"/>
          </w:tcPr>
          <w:p w14:paraId="3B4F909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A69-1601-57307</w:t>
            </w:r>
          </w:p>
        </w:tc>
        <w:tc>
          <w:tcPr>
            <w:tcW w:w="1418" w:type="dxa"/>
            <w:vAlign w:val="bottom"/>
          </w:tcPr>
          <w:p w14:paraId="3B4F909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9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444</w:t>
            </w:r>
          </w:p>
        </w:tc>
        <w:tc>
          <w:tcPr>
            <w:tcW w:w="1182" w:type="dxa"/>
            <w:vAlign w:val="bottom"/>
          </w:tcPr>
          <w:p w14:paraId="3B4F909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1380</w:t>
            </w:r>
          </w:p>
        </w:tc>
        <w:tc>
          <w:tcPr>
            <w:tcW w:w="1041" w:type="dxa"/>
            <w:vAlign w:val="bottom"/>
          </w:tcPr>
          <w:p w14:paraId="3B4F909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9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A1" w14:textId="77777777" w:rsidTr="009C1A36">
        <w:tc>
          <w:tcPr>
            <w:tcW w:w="1701" w:type="dxa"/>
            <w:vAlign w:val="bottom"/>
          </w:tcPr>
          <w:p w14:paraId="3B4F909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A69-1601-57308</w:t>
            </w:r>
          </w:p>
        </w:tc>
        <w:tc>
          <w:tcPr>
            <w:tcW w:w="1418" w:type="dxa"/>
            <w:vAlign w:val="bottom"/>
          </w:tcPr>
          <w:p w14:paraId="3B4F909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9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525</w:t>
            </w:r>
          </w:p>
        </w:tc>
        <w:tc>
          <w:tcPr>
            <w:tcW w:w="1182" w:type="dxa"/>
            <w:vAlign w:val="bottom"/>
          </w:tcPr>
          <w:p w14:paraId="3B4F909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2438</w:t>
            </w:r>
          </w:p>
        </w:tc>
        <w:tc>
          <w:tcPr>
            <w:tcW w:w="1041" w:type="dxa"/>
            <w:vAlign w:val="bottom"/>
          </w:tcPr>
          <w:p w14:paraId="3B4F909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A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A8" w14:textId="77777777" w:rsidTr="009C1A36">
        <w:tc>
          <w:tcPr>
            <w:tcW w:w="1701" w:type="dxa"/>
            <w:vAlign w:val="bottom"/>
          </w:tcPr>
          <w:p w14:paraId="3B4F90A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A69-1601-57309</w:t>
            </w:r>
          </w:p>
        </w:tc>
        <w:tc>
          <w:tcPr>
            <w:tcW w:w="1418" w:type="dxa"/>
            <w:vAlign w:val="bottom"/>
          </w:tcPr>
          <w:p w14:paraId="3B4F90A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A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440</w:t>
            </w:r>
          </w:p>
        </w:tc>
        <w:tc>
          <w:tcPr>
            <w:tcW w:w="1182" w:type="dxa"/>
            <w:vAlign w:val="bottom"/>
          </w:tcPr>
          <w:p w14:paraId="3B4F90A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1724</w:t>
            </w:r>
          </w:p>
        </w:tc>
        <w:tc>
          <w:tcPr>
            <w:tcW w:w="1041" w:type="dxa"/>
            <w:vAlign w:val="bottom"/>
          </w:tcPr>
          <w:p w14:paraId="3B4F90A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A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AF" w14:textId="77777777" w:rsidTr="009C1A36">
        <w:tc>
          <w:tcPr>
            <w:tcW w:w="1701" w:type="dxa"/>
            <w:vAlign w:val="bottom"/>
          </w:tcPr>
          <w:p w14:paraId="3B4F90A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A69-1601-57310</w:t>
            </w:r>
          </w:p>
        </w:tc>
        <w:tc>
          <w:tcPr>
            <w:tcW w:w="1418" w:type="dxa"/>
            <w:vAlign w:val="bottom"/>
          </w:tcPr>
          <w:p w14:paraId="3B4F90A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A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444</w:t>
            </w:r>
          </w:p>
        </w:tc>
        <w:tc>
          <w:tcPr>
            <w:tcW w:w="1182" w:type="dxa"/>
            <w:vAlign w:val="bottom"/>
          </w:tcPr>
          <w:p w14:paraId="3B4F90A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1832</w:t>
            </w:r>
          </w:p>
        </w:tc>
        <w:tc>
          <w:tcPr>
            <w:tcW w:w="1041" w:type="dxa"/>
            <w:vAlign w:val="bottom"/>
          </w:tcPr>
          <w:p w14:paraId="3B4F90A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A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B6" w14:textId="77777777" w:rsidTr="009C1A36">
        <w:tc>
          <w:tcPr>
            <w:tcW w:w="1701" w:type="dxa"/>
            <w:vAlign w:val="bottom"/>
          </w:tcPr>
          <w:p w14:paraId="3B4F90B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A69-1601-57311</w:t>
            </w:r>
          </w:p>
        </w:tc>
        <w:tc>
          <w:tcPr>
            <w:tcW w:w="1418" w:type="dxa"/>
            <w:vAlign w:val="bottom"/>
          </w:tcPr>
          <w:p w14:paraId="3B4F90B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B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388</w:t>
            </w:r>
          </w:p>
        </w:tc>
        <w:tc>
          <w:tcPr>
            <w:tcW w:w="1182" w:type="dxa"/>
            <w:vAlign w:val="bottom"/>
          </w:tcPr>
          <w:p w14:paraId="3B4F90B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952</w:t>
            </w:r>
          </w:p>
        </w:tc>
        <w:tc>
          <w:tcPr>
            <w:tcW w:w="1041" w:type="dxa"/>
            <w:vAlign w:val="bottom"/>
          </w:tcPr>
          <w:p w14:paraId="3B4F90B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B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BD" w14:textId="77777777" w:rsidTr="009C1A36">
        <w:tc>
          <w:tcPr>
            <w:tcW w:w="1701" w:type="dxa"/>
            <w:vAlign w:val="bottom"/>
          </w:tcPr>
          <w:p w14:paraId="3B4F90B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A69-1601-57312</w:t>
            </w:r>
          </w:p>
        </w:tc>
        <w:tc>
          <w:tcPr>
            <w:tcW w:w="1418" w:type="dxa"/>
            <w:vAlign w:val="bottom"/>
          </w:tcPr>
          <w:p w14:paraId="3B4F90B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B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426</w:t>
            </w:r>
          </w:p>
        </w:tc>
        <w:tc>
          <w:tcPr>
            <w:tcW w:w="1182" w:type="dxa"/>
            <w:vAlign w:val="bottom"/>
          </w:tcPr>
          <w:p w14:paraId="3B4F90B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1188</w:t>
            </w:r>
          </w:p>
        </w:tc>
        <w:tc>
          <w:tcPr>
            <w:tcW w:w="1041" w:type="dxa"/>
            <w:vAlign w:val="bottom"/>
          </w:tcPr>
          <w:p w14:paraId="3B4F90B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Male</w:t>
            </w:r>
          </w:p>
        </w:tc>
        <w:tc>
          <w:tcPr>
            <w:tcW w:w="1274" w:type="dxa"/>
            <w:vAlign w:val="bottom"/>
          </w:tcPr>
          <w:p w14:paraId="3B4F90B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C4" w14:textId="77777777" w:rsidTr="009C1A36">
        <w:tc>
          <w:tcPr>
            <w:tcW w:w="1701" w:type="dxa"/>
            <w:vAlign w:val="bottom"/>
          </w:tcPr>
          <w:p w14:paraId="3B4F90B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A69-1601-57313</w:t>
            </w:r>
          </w:p>
        </w:tc>
        <w:tc>
          <w:tcPr>
            <w:tcW w:w="1418" w:type="dxa"/>
            <w:vAlign w:val="bottom"/>
          </w:tcPr>
          <w:p w14:paraId="3B4F90B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C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456</w:t>
            </w:r>
          </w:p>
        </w:tc>
        <w:tc>
          <w:tcPr>
            <w:tcW w:w="1182" w:type="dxa"/>
            <w:vAlign w:val="bottom"/>
          </w:tcPr>
          <w:p w14:paraId="3B4F90C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1410</w:t>
            </w:r>
          </w:p>
        </w:tc>
        <w:tc>
          <w:tcPr>
            <w:tcW w:w="1041" w:type="dxa"/>
            <w:vAlign w:val="bottom"/>
          </w:tcPr>
          <w:p w14:paraId="3B4F90C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C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CB" w14:textId="77777777" w:rsidTr="009C1A36">
        <w:tc>
          <w:tcPr>
            <w:tcW w:w="1701" w:type="dxa"/>
            <w:vAlign w:val="bottom"/>
          </w:tcPr>
          <w:p w14:paraId="3B4F90C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A69-1601-57314</w:t>
            </w:r>
          </w:p>
        </w:tc>
        <w:tc>
          <w:tcPr>
            <w:tcW w:w="1418" w:type="dxa"/>
            <w:vAlign w:val="bottom"/>
          </w:tcPr>
          <w:p w14:paraId="3B4F90C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C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491</w:t>
            </w:r>
          </w:p>
        </w:tc>
        <w:tc>
          <w:tcPr>
            <w:tcW w:w="1182" w:type="dxa"/>
            <w:vAlign w:val="bottom"/>
          </w:tcPr>
          <w:p w14:paraId="3B4F90C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2138</w:t>
            </w:r>
          </w:p>
        </w:tc>
        <w:tc>
          <w:tcPr>
            <w:tcW w:w="1041" w:type="dxa"/>
            <w:vAlign w:val="bottom"/>
          </w:tcPr>
          <w:p w14:paraId="3B4F90C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C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D2" w14:textId="77777777" w:rsidTr="009C1A36">
        <w:tc>
          <w:tcPr>
            <w:tcW w:w="1701" w:type="dxa"/>
            <w:vAlign w:val="bottom"/>
          </w:tcPr>
          <w:p w14:paraId="3B4F90C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A69-1601-57315</w:t>
            </w:r>
          </w:p>
        </w:tc>
        <w:tc>
          <w:tcPr>
            <w:tcW w:w="1418" w:type="dxa"/>
            <w:vAlign w:val="bottom"/>
          </w:tcPr>
          <w:p w14:paraId="3B4F90C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C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534</w:t>
            </w:r>
          </w:p>
        </w:tc>
        <w:tc>
          <w:tcPr>
            <w:tcW w:w="1182" w:type="dxa"/>
            <w:vAlign w:val="bottom"/>
          </w:tcPr>
          <w:p w14:paraId="3B4F90C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2588</w:t>
            </w:r>
          </w:p>
        </w:tc>
        <w:tc>
          <w:tcPr>
            <w:tcW w:w="1041" w:type="dxa"/>
            <w:vAlign w:val="bottom"/>
          </w:tcPr>
          <w:p w14:paraId="3B4F90D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D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0D9" w14:textId="77777777" w:rsidTr="009C1A36">
        <w:tc>
          <w:tcPr>
            <w:tcW w:w="1701" w:type="dxa"/>
            <w:vAlign w:val="bottom"/>
          </w:tcPr>
          <w:p w14:paraId="3B4F90D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A69-1601-57316</w:t>
            </w:r>
          </w:p>
        </w:tc>
        <w:tc>
          <w:tcPr>
            <w:tcW w:w="1418" w:type="dxa"/>
            <w:vAlign w:val="bottom"/>
          </w:tcPr>
          <w:p w14:paraId="3B4F90D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D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387</w:t>
            </w:r>
          </w:p>
        </w:tc>
        <w:tc>
          <w:tcPr>
            <w:tcW w:w="1182" w:type="dxa"/>
            <w:vAlign w:val="bottom"/>
          </w:tcPr>
          <w:p w14:paraId="3B4F90D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932</w:t>
            </w:r>
          </w:p>
        </w:tc>
        <w:tc>
          <w:tcPr>
            <w:tcW w:w="1041" w:type="dxa"/>
            <w:vAlign w:val="bottom"/>
          </w:tcPr>
          <w:p w14:paraId="3B4F90D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D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0E0" w14:textId="77777777" w:rsidTr="009C1A36">
        <w:tc>
          <w:tcPr>
            <w:tcW w:w="1701" w:type="dxa"/>
            <w:vAlign w:val="bottom"/>
          </w:tcPr>
          <w:p w14:paraId="3B4F90D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A69-1601-57317</w:t>
            </w:r>
          </w:p>
        </w:tc>
        <w:tc>
          <w:tcPr>
            <w:tcW w:w="1418" w:type="dxa"/>
            <w:vAlign w:val="bottom"/>
          </w:tcPr>
          <w:p w14:paraId="3B4F90D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D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423</w:t>
            </w:r>
          </w:p>
        </w:tc>
        <w:tc>
          <w:tcPr>
            <w:tcW w:w="1182" w:type="dxa"/>
            <w:vAlign w:val="bottom"/>
          </w:tcPr>
          <w:p w14:paraId="3B4F90D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1112</w:t>
            </w:r>
          </w:p>
        </w:tc>
        <w:tc>
          <w:tcPr>
            <w:tcW w:w="1041" w:type="dxa"/>
            <w:vAlign w:val="bottom"/>
          </w:tcPr>
          <w:p w14:paraId="3B4F90D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D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0E7" w14:textId="77777777" w:rsidTr="009C1A36">
        <w:tc>
          <w:tcPr>
            <w:tcW w:w="1701" w:type="dxa"/>
            <w:vAlign w:val="bottom"/>
          </w:tcPr>
          <w:p w14:paraId="3B4F90E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A69-1601-57318</w:t>
            </w:r>
          </w:p>
        </w:tc>
        <w:tc>
          <w:tcPr>
            <w:tcW w:w="1418" w:type="dxa"/>
            <w:vAlign w:val="bottom"/>
          </w:tcPr>
          <w:p w14:paraId="3B4F90E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E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460</w:t>
            </w:r>
          </w:p>
        </w:tc>
        <w:tc>
          <w:tcPr>
            <w:tcW w:w="1182" w:type="dxa"/>
            <w:vAlign w:val="bottom"/>
          </w:tcPr>
          <w:p w14:paraId="3B4F90E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1628</w:t>
            </w:r>
          </w:p>
        </w:tc>
        <w:tc>
          <w:tcPr>
            <w:tcW w:w="1041" w:type="dxa"/>
            <w:vAlign w:val="bottom"/>
          </w:tcPr>
          <w:p w14:paraId="3B4F90E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0E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0EE" w14:textId="77777777" w:rsidTr="009C1A36">
        <w:tc>
          <w:tcPr>
            <w:tcW w:w="1701" w:type="dxa"/>
            <w:vAlign w:val="bottom"/>
          </w:tcPr>
          <w:p w14:paraId="3B4F90E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A69-1601-57319</w:t>
            </w:r>
          </w:p>
        </w:tc>
        <w:tc>
          <w:tcPr>
            <w:tcW w:w="1418" w:type="dxa"/>
            <w:vAlign w:val="bottom"/>
          </w:tcPr>
          <w:p w14:paraId="3B4F90E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E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414</w:t>
            </w:r>
          </w:p>
        </w:tc>
        <w:tc>
          <w:tcPr>
            <w:tcW w:w="1182" w:type="dxa"/>
            <w:vAlign w:val="bottom"/>
          </w:tcPr>
          <w:p w14:paraId="3B4F90E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1062</w:t>
            </w:r>
          </w:p>
        </w:tc>
        <w:tc>
          <w:tcPr>
            <w:tcW w:w="1041" w:type="dxa"/>
            <w:vAlign w:val="bottom"/>
          </w:tcPr>
          <w:p w14:paraId="3B4F90E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E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0F5" w14:textId="77777777" w:rsidTr="009C1A36">
        <w:tc>
          <w:tcPr>
            <w:tcW w:w="1701" w:type="dxa"/>
            <w:vAlign w:val="bottom"/>
          </w:tcPr>
          <w:p w14:paraId="3B4F90E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A69-1601-57320</w:t>
            </w:r>
          </w:p>
        </w:tc>
        <w:tc>
          <w:tcPr>
            <w:tcW w:w="1418" w:type="dxa"/>
            <w:vAlign w:val="bottom"/>
          </w:tcPr>
          <w:p w14:paraId="3B4F90F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F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482</w:t>
            </w:r>
          </w:p>
        </w:tc>
        <w:tc>
          <w:tcPr>
            <w:tcW w:w="1182" w:type="dxa"/>
            <w:vAlign w:val="bottom"/>
          </w:tcPr>
          <w:p w14:paraId="3B4F90F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1914</w:t>
            </w:r>
          </w:p>
        </w:tc>
        <w:tc>
          <w:tcPr>
            <w:tcW w:w="1041" w:type="dxa"/>
            <w:vAlign w:val="bottom"/>
          </w:tcPr>
          <w:p w14:paraId="3B4F90F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F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0FC" w14:textId="77777777" w:rsidTr="009C1A36">
        <w:tc>
          <w:tcPr>
            <w:tcW w:w="1701" w:type="dxa"/>
            <w:vAlign w:val="bottom"/>
          </w:tcPr>
          <w:p w14:paraId="3B4F90F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A69-1601-57321</w:t>
            </w:r>
          </w:p>
        </w:tc>
        <w:tc>
          <w:tcPr>
            <w:tcW w:w="1418" w:type="dxa"/>
            <w:vAlign w:val="bottom"/>
          </w:tcPr>
          <w:p w14:paraId="3B4F90F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F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490</w:t>
            </w:r>
          </w:p>
        </w:tc>
        <w:tc>
          <w:tcPr>
            <w:tcW w:w="1182" w:type="dxa"/>
            <w:vAlign w:val="bottom"/>
          </w:tcPr>
          <w:p w14:paraId="3B4F90F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2034</w:t>
            </w:r>
          </w:p>
        </w:tc>
        <w:tc>
          <w:tcPr>
            <w:tcW w:w="1041" w:type="dxa"/>
            <w:vAlign w:val="bottom"/>
          </w:tcPr>
          <w:p w14:paraId="3B4F90F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0F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103" w14:textId="77777777" w:rsidTr="009C1A36">
        <w:tc>
          <w:tcPr>
            <w:tcW w:w="1701" w:type="dxa"/>
            <w:vAlign w:val="bottom"/>
          </w:tcPr>
          <w:p w14:paraId="3B4F90F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A69-1601-57323</w:t>
            </w:r>
          </w:p>
        </w:tc>
        <w:tc>
          <w:tcPr>
            <w:tcW w:w="1418" w:type="dxa"/>
            <w:vAlign w:val="bottom"/>
          </w:tcPr>
          <w:p w14:paraId="3B4F90F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0F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515</w:t>
            </w:r>
          </w:p>
        </w:tc>
        <w:tc>
          <w:tcPr>
            <w:tcW w:w="1182" w:type="dxa"/>
            <w:vAlign w:val="bottom"/>
          </w:tcPr>
          <w:p w14:paraId="3B4F910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2338</w:t>
            </w:r>
          </w:p>
        </w:tc>
        <w:tc>
          <w:tcPr>
            <w:tcW w:w="1041" w:type="dxa"/>
            <w:vAlign w:val="bottom"/>
          </w:tcPr>
          <w:p w14:paraId="3B4F910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0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0A" w14:textId="77777777" w:rsidTr="009C1A36">
        <w:tc>
          <w:tcPr>
            <w:tcW w:w="1701" w:type="dxa"/>
            <w:vAlign w:val="bottom"/>
          </w:tcPr>
          <w:p w14:paraId="3B4F910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A69-1601-57322</w:t>
            </w:r>
          </w:p>
        </w:tc>
        <w:tc>
          <w:tcPr>
            <w:tcW w:w="1418" w:type="dxa"/>
            <w:vAlign w:val="bottom"/>
          </w:tcPr>
          <w:p w14:paraId="3B4F910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10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451</w:t>
            </w:r>
          </w:p>
        </w:tc>
        <w:tc>
          <w:tcPr>
            <w:tcW w:w="1182" w:type="dxa"/>
            <w:vAlign w:val="bottom"/>
          </w:tcPr>
          <w:p w14:paraId="3B4F910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1548</w:t>
            </w:r>
          </w:p>
        </w:tc>
        <w:tc>
          <w:tcPr>
            <w:tcW w:w="1041" w:type="dxa"/>
            <w:vAlign w:val="bottom"/>
          </w:tcPr>
          <w:p w14:paraId="3B4F910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0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11" w14:textId="77777777" w:rsidTr="009C1A36">
        <w:tc>
          <w:tcPr>
            <w:tcW w:w="1701" w:type="dxa"/>
            <w:vAlign w:val="bottom"/>
          </w:tcPr>
          <w:p w14:paraId="3B4F910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A69-1601-57324</w:t>
            </w:r>
          </w:p>
        </w:tc>
        <w:tc>
          <w:tcPr>
            <w:tcW w:w="1418" w:type="dxa"/>
            <w:vAlign w:val="bottom"/>
          </w:tcPr>
          <w:p w14:paraId="3B4F910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10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374</w:t>
            </w:r>
          </w:p>
        </w:tc>
        <w:tc>
          <w:tcPr>
            <w:tcW w:w="1182" w:type="dxa"/>
            <w:vAlign w:val="bottom"/>
          </w:tcPr>
          <w:p w14:paraId="3B4F910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778</w:t>
            </w:r>
          </w:p>
        </w:tc>
        <w:tc>
          <w:tcPr>
            <w:tcW w:w="1041" w:type="dxa"/>
            <w:vAlign w:val="bottom"/>
          </w:tcPr>
          <w:p w14:paraId="3B4F910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11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18" w14:textId="77777777" w:rsidTr="009C1A36">
        <w:tc>
          <w:tcPr>
            <w:tcW w:w="1701" w:type="dxa"/>
            <w:vAlign w:val="bottom"/>
          </w:tcPr>
          <w:p w14:paraId="3B4F911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A69-1601-57325</w:t>
            </w:r>
          </w:p>
        </w:tc>
        <w:tc>
          <w:tcPr>
            <w:tcW w:w="1418" w:type="dxa"/>
            <w:vAlign w:val="bottom"/>
          </w:tcPr>
          <w:p w14:paraId="3B4F911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11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470</w:t>
            </w:r>
          </w:p>
        </w:tc>
        <w:tc>
          <w:tcPr>
            <w:tcW w:w="1182" w:type="dxa"/>
            <w:vAlign w:val="bottom"/>
          </w:tcPr>
          <w:p w14:paraId="3B4F911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1778</w:t>
            </w:r>
          </w:p>
        </w:tc>
        <w:tc>
          <w:tcPr>
            <w:tcW w:w="1041" w:type="dxa"/>
            <w:vAlign w:val="bottom"/>
          </w:tcPr>
          <w:p w14:paraId="3B4F911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1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1F" w14:textId="77777777" w:rsidTr="009C1A36">
        <w:tc>
          <w:tcPr>
            <w:tcW w:w="1701" w:type="dxa"/>
            <w:vAlign w:val="bottom"/>
          </w:tcPr>
          <w:p w14:paraId="3B4F911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A69-1601-57326</w:t>
            </w:r>
          </w:p>
        </w:tc>
        <w:tc>
          <w:tcPr>
            <w:tcW w:w="1418" w:type="dxa"/>
            <w:vAlign w:val="bottom"/>
          </w:tcPr>
          <w:p w14:paraId="3B4F911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11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480</w:t>
            </w:r>
          </w:p>
        </w:tc>
        <w:tc>
          <w:tcPr>
            <w:tcW w:w="1182" w:type="dxa"/>
            <w:vAlign w:val="bottom"/>
          </w:tcPr>
          <w:p w14:paraId="3B4F911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1778</w:t>
            </w:r>
          </w:p>
        </w:tc>
        <w:tc>
          <w:tcPr>
            <w:tcW w:w="1041" w:type="dxa"/>
            <w:vAlign w:val="bottom"/>
          </w:tcPr>
          <w:p w14:paraId="3B4F911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1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26" w14:textId="77777777" w:rsidTr="009C1A36">
        <w:tc>
          <w:tcPr>
            <w:tcW w:w="1701" w:type="dxa"/>
            <w:vAlign w:val="bottom"/>
          </w:tcPr>
          <w:p w14:paraId="3B4F912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A69-1601-27466</w:t>
            </w:r>
          </w:p>
        </w:tc>
        <w:tc>
          <w:tcPr>
            <w:tcW w:w="1418" w:type="dxa"/>
            <w:vAlign w:val="bottom"/>
          </w:tcPr>
          <w:p w14:paraId="3B4F912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12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414</w:t>
            </w:r>
          </w:p>
        </w:tc>
        <w:tc>
          <w:tcPr>
            <w:tcW w:w="1182" w:type="dxa"/>
            <w:vAlign w:val="bottom"/>
          </w:tcPr>
          <w:p w14:paraId="3B4F912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1186</w:t>
            </w:r>
          </w:p>
        </w:tc>
        <w:tc>
          <w:tcPr>
            <w:tcW w:w="1041" w:type="dxa"/>
            <w:vAlign w:val="bottom"/>
          </w:tcPr>
          <w:p w14:paraId="3B4F912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2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2D" w14:textId="77777777" w:rsidTr="009C1A36">
        <w:tc>
          <w:tcPr>
            <w:tcW w:w="1701" w:type="dxa"/>
            <w:vAlign w:val="bottom"/>
          </w:tcPr>
          <w:p w14:paraId="3B4F912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A69-1601-27471</w:t>
            </w:r>
          </w:p>
        </w:tc>
        <w:tc>
          <w:tcPr>
            <w:tcW w:w="1418" w:type="dxa"/>
            <w:vAlign w:val="bottom"/>
          </w:tcPr>
          <w:p w14:paraId="3B4F912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Golden perch</w:t>
            </w:r>
          </w:p>
        </w:tc>
        <w:tc>
          <w:tcPr>
            <w:tcW w:w="1276" w:type="dxa"/>
            <w:vAlign w:val="bottom"/>
          </w:tcPr>
          <w:p w14:paraId="3B4F912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429</w:t>
            </w:r>
          </w:p>
        </w:tc>
        <w:tc>
          <w:tcPr>
            <w:tcW w:w="1182" w:type="dxa"/>
            <w:vAlign w:val="bottom"/>
          </w:tcPr>
          <w:p w14:paraId="3B4F912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1372</w:t>
            </w:r>
          </w:p>
        </w:tc>
        <w:tc>
          <w:tcPr>
            <w:tcW w:w="1041" w:type="dxa"/>
            <w:vAlign w:val="bottom"/>
          </w:tcPr>
          <w:p w14:paraId="3B4F912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2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13/08/2015</w:t>
            </w:r>
          </w:p>
        </w:tc>
      </w:tr>
      <w:tr w:rsidR="008E6212" w:rsidRPr="00E03DF0" w14:paraId="3B4F9134" w14:textId="77777777" w:rsidTr="009C1A36">
        <w:tc>
          <w:tcPr>
            <w:tcW w:w="1701" w:type="dxa"/>
            <w:vAlign w:val="bottom"/>
          </w:tcPr>
          <w:p w14:paraId="3B4F912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A69-1601-37199</w:t>
            </w:r>
          </w:p>
        </w:tc>
        <w:tc>
          <w:tcPr>
            <w:tcW w:w="1418" w:type="dxa"/>
            <w:vAlign w:val="bottom"/>
          </w:tcPr>
          <w:p w14:paraId="3B4F912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3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340</w:t>
            </w:r>
          </w:p>
        </w:tc>
        <w:tc>
          <w:tcPr>
            <w:tcW w:w="1182" w:type="dxa"/>
            <w:vAlign w:val="bottom"/>
          </w:tcPr>
          <w:p w14:paraId="3B4F913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534</w:t>
            </w:r>
          </w:p>
        </w:tc>
        <w:tc>
          <w:tcPr>
            <w:tcW w:w="1041" w:type="dxa"/>
            <w:vAlign w:val="bottom"/>
          </w:tcPr>
          <w:p w14:paraId="3B4F913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3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10/08/2015</w:t>
            </w:r>
          </w:p>
        </w:tc>
      </w:tr>
      <w:tr w:rsidR="008E6212" w:rsidRPr="00E03DF0" w14:paraId="3B4F913B" w14:textId="77777777" w:rsidTr="009C1A36">
        <w:tc>
          <w:tcPr>
            <w:tcW w:w="1701" w:type="dxa"/>
            <w:vAlign w:val="bottom"/>
          </w:tcPr>
          <w:p w14:paraId="3B4F913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A69-1601-37200</w:t>
            </w:r>
          </w:p>
        </w:tc>
        <w:tc>
          <w:tcPr>
            <w:tcW w:w="1418" w:type="dxa"/>
            <w:vAlign w:val="bottom"/>
          </w:tcPr>
          <w:p w14:paraId="3B4F913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3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352</w:t>
            </w:r>
          </w:p>
        </w:tc>
        <w:tc>
          <w:tcPr>
            <w:tcW w:w="1182" w:type="dxa"/>
            <w:vAlign w:val="bottom"/>
          </w:tcPr>
          <w:p w14:paraId="3B4F913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706</w:t>
            </w:r>
          </w:p>
        </w:tc>
        <w:tc>
          <w:tcPr>
            <w:tcW w:w="1041" w:type="dxa"/>
            <w:vAlign w:val="bottom"/>
          </w:tcPr>
          <w:p w14:paraId="3B4F913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3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11/08/2015</w:t>
            </w:r>
          </w:p>
        </w:tc>
      </w:tr>
      <w:tr w:rsidR="008E6212" w:rsidRPr="00E03DF0" w14:paraId="3B4F9142" w14:textId="77777777" w:rsidTr="009C1A36">
        <w:tc>
          <w:tcPr>
            <w:tcW w:w="1701" w:type="dxa"/>
            <w:vAlign w:val="bottom"/>
          </w:tcPr>
          <w:p w14:paraId="3B4F913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A69-1601-37201</w:t>
            </w:r>
          </w:p>
        </w:tc>
        <w:tc>
          <w:tcPr>
            <w:tcW w:w="1418" w:type="dxa"/>
            <w:vAlign w:val="bottom"/>
          </w:tcPr>
          <w:p w14:paraId="3B4F913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3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343</w:t>
            </w:r>
          </w:p>
        </w:tc>
        <w:tc>
          <w:tcPr>
            <w:tcW w:w="1182" w:type="dxa"/>
            <w:vAlign w:val="bottom"/>
          </w:tcPr>
          <w:p w14:paraId="3B4F913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616</w:t>
            </w:r>
          </w:p>
        </w:tc>
        <w:tc>
          <w:tcPr>
            <w:tcW w:w="1041" w:type="dxa"/>
            <w:vAlign w:val="bottom"/>
          </w:tcPr>
          <w:p w14:paraId="3B4F914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4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12/08/2015</w:t>
            </w:r>
          </w:p>
        </w:tc>
      </w:tr>
      <w:tr w:rsidR="008E6212" w:rsidRPr="00E03DF0" w14:paraId="3B4F9149" w14:textId="77777777" w:rsidTr="009C1A36">
        <w:tc>
          <w:tcPr>
            <w:tcW w:w="1701" w:type="dxa"/>
            <w:vAlign w:val="bottom"/>
          </w:tcPr>
          <w:p w14:paraId="3B4F914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A69-1601-37202</w:t>
            </w:r>
          </w:p>
        </w:tc>
        <w:tc>
          <w:tcPr>
            <w:tcW w:w="1418" w:type="dxa"/>
            <w:vAlign w:val="bottom"/>
          </w:tcPr>
          <w:p w14:paraId="3B4F914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4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344</w:t>
            </w:r>
          </w:p>
        </w:tc>
        <w:tc>
          <w:tcPr>
            <w:tcW w:w="1182" w:type="dxa"/>
            <w:vAlign w:val="bottom"/>
          </w:tcPr>
          <w:p w14:paraId="3B4F914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515</w:t>
            </w:r>
          </w:p>
        </w:tc>
        <w:tc>
          <w:tcPr>
            <w:tcW w:w="1041" w:type="dxa"/>
            <w:vAlign w:val="bottom"/>
          </w:tcPr>
          <w:p w14:paraId="3B4F9147"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14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17/08/2015</w:t>
            </w:r>
          </w:p>
        </w:tc>
      </w:tr>
      <w:tr w:rsidR="008E6212" w:rsidRPr="00E03DF0" w14:paraId="3B4F9150" w14:textId="77777777" w:rsidTr="009C1A36">
        <w:tc>
          <w:tcPr>
            <w:tcW w:w="1701" w:type="dxa"/>
            <w:vAlign w:val="bottom"/>
          </w:tcPr>
          <w:p w14:paraId="3B4F914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A69-1601-37203</w:t>
            </w:r>
          </w:p>
        </w:tc>
        <w:tc>
          <w:tcPr>
            <w:tcW w:w="1418" w:type="dxa"/>
            <w:vAlign w:val="bottom"/>
          </w:tcPr>
          <w:p w14:paraId="3B4F914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4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344</w:t>
            </w:r>
          </w:p>
        </w:tc>
        <w:tc>
          <w:tcPr>
            <w:tcW w:w="1182" w:type="dxa"/>
            <w:vAlign w:val="bottom"/>
          </w:tcPr>
          <w:p w14:paraId="3B4F914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728</w:t>
            </w:r>
          </w:p>
        </w:tc>
        <w:tc>
          <w:tcPr>
            <w:tcW w:w="1041" w:type="dxa"/>
            <w:vAlign w:val="bottom"/>
          </w:tcPr>
          <w:p w14:paraId="3B4F914E"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4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21/10/2015</w:t>
            </w:r>
          </w:p>
        </w:tc>
      </w:tr>
      <w:tr w:rsidR="008E6212" w:rsidRPr="00E03DF0" w14:paraId="3B4F9157" w14:textId="77777777" w:rsidTr="009C1A36">
        <w:tc>
          <w:tcPr>
            <w:tcW w:w="1701" w:type="dxa"/>
            <w:vAlign w:val="bottom"/>
          </w:tcPr>
          <w:p w14:paraId="3B4F915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A69-1601-37204</w:t>
            </w:r>
          </w:p>
        </w:tc>
        <w:tc>
          <w:tcPr>
            <w:tcW w:w="1418" w:type="dxa"/>
            <w:vAlign w:val="bottom"/>
          </w:tcPr>
          <w:p w14:paraId="3B4F915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5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367</w:t>
            </w:r>
          </w:p>
        </w:tc>
        <w:tc>
          <w:tcPr>
            <w:tcW w:w="1182" w:type="dxa"/>
            <w:vAlign w:val="bottom"/>
          </w:tcPr>
          <w:p w14:paraId="3B4F915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862</w:t>
            </w:r>
          </w:p>
        </w:tc>
        <w:tc>
          <w:tcPr>
            <w:tcW w:w="1041" w:type="dxa"/>
            <w:vAlign w:val="bottom"/>
          </w:tcPr>
          <w:p w14:paraId="3B4F9155"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Female</w:t>
            </w:r>
          </w:p>
        </w:tc>
        <w:tc>
          <w:tcPr>
            <w:tcW w:w="1274" w:type="dxa"/>
            <w:vAlign w:val="bottom"/>
          </w:tcPr>
          <w:p w14:paraId="3B4F9156"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21/10/2015</w:t>
            </w:r>
          </w:p>
        </w:tc>
      </w:tr>
      <w:tr w:rsidR="008E6212" w:rsidRPr="00E03DF0" w14:paraId="3B4F915E" w14:textId="77777777" w:rsidTr="009C1A36">
        <w:tc>
          <w:tcPr>
            <w:tcW w:w="1701" w:type="dxa"/>
            <w:vAlign w:val="bottom"/>
          </w:tcPr>
          <w:p w14:paraId="3B4F9158"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A69-1601-37205</w:t>
            </w:r>
          </w:p>
        </w:tc>
        <w:tc>
          <w:tcPr>
            <w:tcW w:w="1418" w:type="dxa"/>
            <w:vAlign w:val="bottom"/>
          </w:tcPr>
          <w:p w14:paraId="3B4F9159"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5A"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292</w:t>
            </w:r>
          </w:p>
        </w:tc>
        <w:tc>
          <w:tcPr>
            <w:tcW w:w="1182" w:type="dxa"/>
            <w:vAlign w:val="bottom"/>
          </w:tcPr>
          <w:p w14:paraId="3B4F915B"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434</w:t>
            </w:r>
          </w:p>
        </w:tc>
        <w:tc>
          <w:tcPr>
            <w:tcW w:w="1041" w:type="dxa"/>
            <w:vAlign w:val="bottom"/>
          </w:tcPr>
          <w:p w14:paraId="3B4F915C"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Male</w:t>
            </w:r>
          </w:p>
        </w:tc>
        <w:tc>
          <w:tcPr>
            <w:tcW w:w="1274" w:type="dxa"/>
            <w:vAlign w:val="bottom"/>
          </w:tcPr>
          <w:p w14:paraId="3B4F915D"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22/10/2015</w:t>
            </w:r>
          </w:p>
        </w:tc>
      </w:tr>
      <w:tr w:rsidR="008E6212" w:rsidRPr="00E03DF0" w14:paraId="3B4F9165" w14:textId="77777777" w:rsidTr="009C1A36">
        <w:tc>
          <w:tcPr>
            <w:tcW w:w="1701" w:type="dxa"/>
            <w:vAlign w:val="bottom"/>
          </w:tcPr>
          <w:p w14:paraId="3B4F915F"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A69-1601-37206</w:t>
            </w:r>
          </w:p>
        </w:tc>
        <w:tc>
          <w:tcPr>
            <w:tcW w:w="1418" w:type="dxa"/>
            <w:vAlign w:val="bottom"/>
          </w:tcPr>
          <w:p w14:paraId="3B4F9160"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 xml:space="preserve">Silver perch </w:t>
            </w:r>
          </w:p>
        </w:tc>
        <w:tc>
          <w:tcPr>
            <w:tcW w:w="1276" w:type="dxa"/>
            <w:vAlign w:val="bottom"/>
          </w:tcPr>
          <w:p w14:paraId="3B4F9161"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200</w:t>
            </w:r>
          </w:p>
        </w:tc>
        <w:tc>
          <w:tcPr>
            <w:tcW w:w="1182" w:type="dxa"/>
            <w:vAlign w:val="bottom"/>
          </w:tcPr>
          <w:p w14:paraId="3B4F9162"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140</w:t>
            </w:r>
          </w:p>
        </w:tc>
        <w:tc>
          <w:tcPr>
            <w:tcW w:w="1041" w:type="dxa"/>
            <w:vAlign w:val="bottom"/>
          </w:tcPr>
          <w:p w14:paraId="3B4F9163"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Unknown</w:t>
            </w:r>
          </w:p>
        </w:tc>
        <w:tc>
          <w:tcPr>
            <w:tcW w:w="1274" w:type="dxa"/>
            <w:vAlign w:val="bottom"/>
          </w:tcPr>
          <w:p w14:paraId="3B4F9164" w14:textId="77777777" w:rsidR="008E6212" w:rsidRPr="00E03DF0" w:rsidRDefault="008E6212" w:rsidP="009C1A36">
            <w:pPr>
              <w:spacing w:after="0" w:line="240" w:lineRule="auto"/>
              <w:jc w:val="center"/>
              <w:rPr>
                <w:rFonts w:asciiTheme="minorHAnsi" w:hAnsiTheme="minorHAnsi"/>
                <w:color w:val="000000"/>
                <w:sz w:val="18"/>
                <w:szCs w:val="18"/>
              </w:rPr>
            </w:pPr>
            <w:r w:rsidRPr="00E03DF0">
              <w:rPr>
                <w:rFonts w:asciiTheme="minorHAnsi" w:hAnsiTheme="minorHAnsi"/>
                <w:color w:val="000000"/>
                <w:sz w:val="18"/>
                <w:szCs w:val="18"/>
              </w:rPr>
              <w:t>22/10/2015</w:t>
            </w:r>
          </w:p>
        </w:tc>
      </w:tr>
    </w:tbl>
    <w:p w14:paraId="3B4F9166" w14:textId="77777777" w:rsidR="00FF1297" w:rsidRDefault="00FF1297" w:rsidP="008E6212">
      <w:pPr>
        <w:pStyle w:val="BodyText"/>
        <w:rPr>
          <w:rFonts w:ascii="Calibri" w:hAnsi="Calibri"/>
          <w:b/>
          <w:i/>
          <w:color w:val="4F6228" w:themeColor="accent3" w:themeShade="80"/>
        </w:rPr>
      </w:pPr>
    </w:p>
    <w:p w14:paraId="3B4F9167" w14:textId="77777777" w:rsidR="008E6212" w:rsidRPr="00337C70" w:rsidRDefault="008E6212" w:rsidP="008E6212">
      <w:pPr>
        <w:pStyle w:val="BodyText"/>
        <w:rPr>
          <w:rFonts w:ascii="Calibri" w:hAnsi="Calibri"/>
          <w:b/>
          <w:i/>
          <w:color w:val="4F6228" w:themeColor="accent3" w:themeShade="80"/>
        </w:rPr>
      </w:pPr>
      <w:r w:rsidRPr="00337C70">
        <w:rPr>
          <w:rFonts w:ascii="Calibri" w:hAnsi="Calibri"/>
          <w:b/>
          <w:i/>
          <w:color w:val="4F6228" w:themeColor="accent3" w:themeShade="80"/>
        </w:rPr>
        <w:t>Fish spawning and reproduction</w:t>
      </w:r>
    </w:p>
    <w:p w14:paraId="3B4F9168" w14:textId="77777777" w:rsidR="008E6212" w:rsidRPr="00052289" w:rsidRDefault="008E6212" w:rsidP="008E6212">
      <w:pPr>
        <w:shd w:val="clear" w:color="auto" w:fill="FFFFFF"/>
        <w:spacing w:after="120" w:line="324" w:lineRule="exact"/>
        <w:rPr>
          <w:rFonts w:eastAsia="Times New Roman" w:cs="Arial"/>
          <w:i/>
          <w:color w:val="000000"/>
        </w:rPr>
      </w:pPr>
      <w:r w:rsidRPr="00763B99">
        <w:rPr>
          <w:rFonts w:eastAsia="Times New Roman" w:cs="Arial"/>
          <w:i/>
          <w:color w:val="000000"/>
        </w:rPr>
        <w:t xml:space="preserve">Field </w:t>
      </w:r>
      <w:r>
        <w:rPr>
          <w:rFonts w:eastAsia="Times New Roman" w:cs="Arial"/>
          <w:i/>
          <w:color w:val="000000"/>
        </w:rPr>
        <w:t>sampling</w:t>
      </w:r>
    </w:p>
    <w:p w14:paraId="3B4F9169" w14:textId="77777777" w:rsidR="008E6212" w:rsidRDefault="008E6212" w:rsidP="008E6212">
      <w:pPr>
        <w:spacing w:after="240" w:line="324" w:lineRule="exact"/>
        <w:jc w:val="left"/>
      </w:pPr>
      <w:r>
        <w:t>Modified quatrefoil light traps were used to sample larval fish, and were deployed every fortnight commencing the week of 15 September 2015 to the 3 March 2015 (n=13 sampling trips) in Yallakool Creek (Zone 1), Upper Wakool River (Zone 2), Mid Wakool River u/s of Thule Creek (Zone 3), and Mid Wakool River d/s of Thule Creek (Zone 4). Three light traps were deployed overnight at five sites in each of the four study zones each trip, and these three light traps were pooled to create one composite light trap sample.</w:t>
      </w:r>
    </w:p>
    <w:p w14:paraId="3B4F916A" w14:textId="77777777" w:rsidR="008E6212" w:rsidRDefault="008E6212" w:rsidP="008E6212">
      <w:pPr>
        <w:spacing w:after="240" w:line="324" w:lineRule="exact"/>
        <w:jc w:val="left"/>
        <w:rPr>
          <w:rFonts w:cs="AdvPSPAL-R"/>
        </w:rPr>
      </w:pPr>
      <w:r>
        <w:t xml:space="preserve">Drift nets were also used </w:t>
      </w:r>
      <w:r w:rsidR="000038C7">
        <w:t>for</w:t>
      </w:r>
      <w:r>
        <w:t xml:space="preserve"> sampling larvae, but over a shorter time, to detect any spawning responses by flow-dependent spawning species during Commonwealth environmental water delivery. Drift nets were deployed fortnightly over 10 weeks (n=5 </w:t>
      </w:r>
      <w:r>
        <w:lastRenderedPageBreak/>
        <w:t xml:space="preserve">trips), with sampling occurring from 9 November 2015 to 8 January 2016. Here, three drift nets were deployed overnight at one site at each of the four study zones. </w:t>
      </w:r>
      <w:r>
        <w:rPr>
          <w:rFonts w:cs="AdvPSPAL-R"/>
        </w:rPr>
        <w:t>The volume of water filtered by the nets was calculated using Oceanic® flow meters positioned at the mouth of each drift net.  Volume sampled by the net wa</w:t>
      </w:r>
      <w:r w:rsidRPr="00794D34">
        <w:rPr>
          <w:rFonts w:cs="AdvPSPAL-R"/>
        </w:rPr>
        <w:t xml:space="preserve">s estimated as </w:t>
      </w:r>
      <m:oMath>
        <m:r>
          <w:rPr>
            <w:rFonts w:ascii="Cambria Math" w:hAnsi="Cambria Math" w:cs="AdvPSPAL-R"/>
          </w:rPr>
          <m:t>π</m:t>
        </m:r>
        <m:sSup>
          <m:sSupPr>
            <m:ctrlPr>
              <w:rPr>
                <w:rFonts w:ascii="Cambria Math" w:hAnsi="Cambria Math" w:cs="AdvPSPAL-R"/>
                <w:i/>
              </w:rPr>
            </m:ctrlPr>
          </m:sSupPr>
          <m:e>
            <m:r>
              <w:rPr>
                <w:rFonts w:ascii="Cambria Math" w:hAnsi="Cambria Math" w:cs="AdvPSPAL-R"/>
              </w:rPr>
              <m:t>r</m:t>
            </m:r>
          </m:e>
          <m:sup>
            <m:r>
              <w:rPr>
                <w:rFonts w:ascii="Cambria Math" w:hAnsi="Cambria Math" w:cs="AdvPSPAL-R"/>
              </w:rPr>
              <m:t>2</m:t>
            </m:r>
          </m:sup>
        </m:sSup>
        <m:r>
          <w:rPr>
            <w:rFonts w:ascii="Cambria Math" w:hAnsi="Cambria Math" w:cs="AdvPSPAL-R"/>
          </w:rPr>
          <m:t>∙v ∙t</m:t>
        </m:r>
      </m:oMath>
      <w:r w:rsidRPr="00794D34">
        <w:rPr>
          <w:rFonts w:cs="AdvPSPAL-R"/>
        </w:rPr>
        <w:t xml:space="preserve">, where </w:t>
      </w:r>
      <w:r w:rsidRPr="00794D34">
        <w:rPr>
          <w:rFonts w:cs="AdvPSPAL-R"/>
          <w:i/>
        </w:rPr>
        <w:t>r</w:t>
      </w:r>
      <w:r w:rsidRPr="00794D34">
        <w:rPr>
          <w:rFonts w:cs="AdvPSPAL-R"/>
        </w:rPr>
        <w:t xml:space="preserve"> is radius in metres, </w:t>
      </w:r>
      <w:r w:rsidRPr="00794D34">
        <w:rPr>
          <w:rFonts w:cs="AdvPSPAL-R"/>
          <w:i/>
        </w:rPr>
        <w:t>v</w:t>
      </w:r>
      <w:r w:rsidRPr="00794D34">
        <w:rPr>
          <w:rFonts w:cs="AdvPSPAL-R"/>
        </w:rPr>
        <w:t xml:space="preserve"> is mean velocity in m</w:t>
      </w:r>
      <w:r>
        <w:rPr>
          <w:rFonts w:cs="AdvPSPAL-R"/>
        </w:rPr>
        <w:t>/</w:t>
      </w:r>
      <w:r w:rsidRPr="00794D34">
        <w:rPr>
          <w:rFonts w:cs="AdvPSPAL-R"/>
        </w:rPr>
        <w:t xml:space="preserve">s, and </w:t>
      </w:r>
      <w:r w:rsidRPr="00794D34">
        <w:rPr>
          <w:rFonts w:cs="AdvPSPAL-R"/>
          <w:i/>
        </w:rPr>
        <w:t>t</w:t>
      </w:r>
      <w:r w:rsidRPr="00794D34">
        <w:rPr>
          <w:rFonts w:cs="AdvPSPAL-R"/>
        </w:rPr>
        <w:t xml:space="preserve"> is time set in seconds.</w:t>
      </w:r>
      <w:r>
        <w:rPr>
          <w:rFonts w:cs="AdvPSPAL-R"/>
        </w:rPr>
        <w:t xml:space="preserve"> </w:t>
      </w:r>
    </w:p>
    <w:p w14:paraId="3B4F916B" w14:textId="77777777" w:rsidR="008E6212" w:rsidRPr="00052289" w:rsidRDefault="008E6212" w:rsidP="008E6212">
      <w:pPr>
        <w:shd w:val="clear" w:color="auto" w:fill="FFFFFF"/>
        <w:spacing w:after="120" w:line="324" w:lineRule="exact"/>
        <w:jc w:val="left"/>
        <w:rPr>
          <w:rFonts w:eastAsia="Times New Roman" w:cs="Arial"/>
          <w:i/>
          <w:color w:val="000000"/>
        </w:rPr>
      </w:pPr>
      <w:r w:rsidRPr="00763B99">
        <w:rPr>
          <w:rFonts w:eastAsia="Times New Roman" w:cs="Arial"/>
          <w:i/>
          <w:color w:val="000000"/>
        </w:rPr>
        <w:t>Laboratory methods</w:t>
      </w:r>
      <w:r>
        <w:rPr>
          <w:rFonts w:eastAsia="Times New Roman" w:cs="Arial"/>
          <w:i/>
          <w:color w:val="000000"/>
        </w:rPr>
        <w:t xml:space="preserve"> and data analysis</w:t>
      </w:r>
    </w:p>
    <w:p w14:paraId="3B4F916C" w14:textId="77777777" w:rsidR="008E6212" w:rsidRPr="006C62E4" w:rsidRDefault="008E6212" w:rsidP="008E6212">
      <w:pPr>
        <w:spacing w:after="240" w:line="324" w:lineRule="exact"/>
        <w:jc w:val="left"/>
      </w:pPr>
      <w:r>
        <w:t>All eggs/larvae collected in light trap and drift net samples were identified to species according to Serafini and Humphries (2004), and enumerated.</w:t>
      </w:r>
      <w:r w:rsidRPr="006C62E4">
        <w:t xml:space="preserve"> </w:t>
      </w:r>
      <w:r>
        <w:t>The developmental stage of each individual was recorded as either larvae, or juvenile/adult, according to classifications of Serafini and Humphries (2004), and only abundances in larvae assessed. Carp gudgeon larvae were identified to genus level (</w:t>
      </w:r>
      <w:r w:rsidRPr="009137E3">
        <w:rPr>
          <w:i/>
        </w:rPr>
        <w:t>Hypseleotris</w:t>
      </w:r>
      <w:r>
        <w:t xml:space="preserve"> spp.) only. Also, </w:t>
      </w:r>
      <w:r>
        <w:rPr>
          <w:rFonts w:cs="Calibri"/>
          <w:szCs w:val="22"/>
        </w:rPr>
        <w:t xml:space="preserve">Murray cod and trout cod larvae also have similar morphological features, and cannot be easily distinguished visually. Consequently, a sub-sample of ten larvae comprising possible Murray cod or trout cod were submitted to the Australian Genome Research Facility (AGRF). Nucleic acid extraction and subsequent verification of species assignment was based on dual direction sequencing following PCR amplification. Results of the PCR amplification revealed all 10 larvae to be Murray cod, and thus, from here on, we consider all cod larvae collected in the study zone to be Murray cod. </w:t>
      </w:r>
    </w:p>
    <w:p w14:paraId="3B4F916E" w14:textId="2CB29E00" w:rsidR="008E6212" w:rsidRPr="00175472" w:rsidRDefault="008E6212" w:rsidP="0064533C">
      <w:pPr>
        <w:tabs>
          <w:tab w:val="left" w:pos="3817"/>
        </w:tabs>
        <w:spacing w:after="240" w:line="324" w:lineRule="exact"/>
        <w:jc w:val="left"/>
        <w:rPr>
          <w:b/>
          <w:i/>
          <w:color w:val="000000" w:themeColor="text1"/>
        </w:rPr>
      </w:pPr>
      <w:r>
        <w:t xml:space="preserve">To address the short-term selected area evaluation questions relevant to spawning and reproduction, </w:t>
      </w:r>
      <w:r>
        <w:rPr>
          <w:szCs w:val="22"/>
        </w:rPr>
        <w:t>we tested to see</w:t>
      </w:r>
      <w:r w:rsidRPr="00F96B81">
        <w:rPr>
          <w:szCs w:val="22"/>
        </w:rPr>
        <w:t xml:space="preserve"> if the </w:t>
      </w:r>
      <w:r>
        <w:rPr>
          <w:szCs w:val="22"/>
        </w:rPr>
        <w:t xml:space="preserve">total </w:t>
      </w:r>
      <w:r w:rsidRPr="00F96B81">
        <w:rPr>
          <w:szCs w:val="22"/>
        </w:rPr>
        <w:t>produc</w:t>
      </w:r>
      <w:r>
        <w:rPr>
          <w:szCs w:val="22"/>
        </w:rPr>
        <w:t xml:space="preserve">tion of larvae (as an indication of the magnitude of spawning across a season) varied </w:t>
      </w:r>
      <w:r w:rsidRPr="00F96B81">
        <w:rPr>
          <w:szCs w:val="22"/>
        </w:rPr>
        <w:t>sign</w:t>
      </w:r>
      <w:r>
        <w:rPr>
          <w:szCs w:val="22"/>
        </w:rPr>
        <w:t>ificantly between the four study zones.</w:t>
      </w:r>
      <w:r w:rsidRPr="00F96B81">
        <w:rPr>
          <w:szCs w:val="22"/>
        </w:rPr>
        <w:t xml:space="preserve"> </w:t>
      </w:r>
      <w:r>
        <w:rPr>
          <w:szCs w:val="22"/>
        </w:rPr>
        <w:t>Differences in mean total a</w:t>
      </w:r>
      <w:r w:rsidRPr="00F96B81">
        <w:rPr>
          <w:szCs w:val="22"/>
        </w:rPr>
        <w:t xml:space="preserve">bundance </w:t>
      </w:r>
      <w:r>
        <w:rPr>
          <w:szCs w:val="22"/>
        </w:rPr>
        <w:t xml:space="preserve">of larvae for all species </w:t>
      </w:r>
      <w:r w:rsidRPr="00F96B81">
        <w:rPr>
          <w:szCs w:val="22"/>
        </w:rPr>
        <w:t xml:space="preserve">(where there was enough data) </w:t>
      </w:r>
      <w:r>
        <w:rPr>
          <w:szCs w:val="22"/>
        </w:rPr>
        <w:t xml:space="preserve">across the study zones was conducted using a one way ANOVA. </w:t>
      </w:r>
      <w:r w:rsidRPr="005866A7">
        <w:rPr>
          <w:rFonts w:cs="Calibri"/>
          <w:szCs w:val="22"/>
        </w:rPr>
        <w:t>We hypothesised that the total productio</w:t>
      </w:r>
      <w:r>
        <w:rPr>
          <w:rFonts w:cs="Calibri"/>
          <w:szCs w:val="22"/>
        </w:rPr>
        <w:t>n of fish larvae across the 2015-16</w:t>
      </w:r>
      <w:r w:rsidRPr="005866A7">
        <w:rPr>
          <w:rFonts w:cs="Calibri"/>
          <w:szCs w:val="22"/>
        </w:rPr>
        <w:t xml:space="preserve"> spawning se</w:t>
      </w:r>
      <w:r>
        <w:rPr>
          <w:rFonts w:cs="Calibri"/>
          <w:szCs w:val="22"/>
        </w:rPr>
        <w:t>ason would be significantly higher in the study zones</w:t>
      </w:r>
      <w:r w:rsidRPr="005866A7">
        <w:rPr>
          <w:rFonts w:cs="Calibri"/>
          <w:szCs w:val="22"/>
        </w:rPr>
        <w:t xml:space="preserve"> that received </w:t>
      </w:r>
      <w:r w:rsidR="0064533C">
        <w:rPr>
          <w:rFonts w:cs="Calibri"/>
          <w:szCs w:val="22"/>
        </w:rPr>
        <w:t>an environmental base flow and fresh</w:t>
      </w:r>
      <w:r w:rsidRPr="005866A7">
        <w:rPr>
          <w:rFonts w:cs="Calibri"/>
          <w:szCs w:val="22"/>
        </w:rPr>
        <w:t xml:space="preserve"> </w:t>
      </w:r>
      <w:r>
        <w:rPr>
          <w:rFonts w:cs="Calibri"/>
          <w:szCs w:val="22"/>
        </w:rPr>
        <w:t xml:space="preserve">(Zone 1, 3 and 4) </w:t>
      </w:r>
      <w:r w:rsidR="0064533C">
        <w:rPr>
          <w:rFonts w:cs="Calibri"/>
          <w:szCs w:val="22"/>
        </w:rPr>
        <w:t xml:space="preserve">compared </w:t>
      </w:r>
      <w:r>
        <w:rPr>
          <w:rFonts w:cs="Calibri"/>
          <w:szCs w:val="22"/>
        </w:rPr>
        <w:t>to</w:t>
      </w:r>
      <w:r w:rsidRPr="005866A7">
        <w:rPr>
          <w:rFonts w:cs="Calibri"/>
          <w:szCs w:val="22"/>
        </w:rPr>
        <w:t xml:space="preserve"> </w:t>
      </w:r>
      <w:r w:rsidR="0064533C">
        <w:rPr>
          <w:rFonts w:cs="Calibri"/>
          <w:szCs w:val="22"/>
        </w:rPr>
        <w:t>z</w:t>
      </w:r>
      <w:r>
        <w:rPr>
          <w:rFonts w:cs="Calibri"/>
          <w:szCs w:val="22"/>
        </w:rPr>
        <w:t xml:space="preserve">one </w:t>
      </w:r>
      <w:r w:rsidR="0064533C">
        <w:rPr>
          <w:rFonts w:cs="Calibri"/>
          <w:szCs w:val="22"/>
        </w:rPr>
        <w:t>2 that received only a small environmental flow that had minimal impact on the hydrology of that zone (section 4)</w:t>
      </w:r>
      <w:r>
        <w:rPr>
          <w:rFonts w:cs="Calibri"/>
          <w:szCs w:val="22"/>
        </w:rPr>
        <w:t xml:space="preserve">. For light trap data, this analysis was restricted to the four most abundant species, Murray cod, carp gudgeon, Australian smelt and flathead gudgeon. </w:t>
      </w:r>
      <w:r>
        <w:rPr>
          <w:szCs w:val="22"/>
        </w:rPr>
        <w:t>Larval abundances</w:t>
      </w:r>
      <w:r w:rsidRPr="00F96B81">
        <w:rPr>
          <w:szCs w:val="22"/>
        </w:rPr>
        <w:t xml:space="preserve"> were log-transformed prior to statistical analyses when necessary to normalise data and stabilize variances. </w:t>
      </w:r>
      <w:r>
        <w:rPr>
          <w:rFonts w:cs="Calibri"/>
          <w:szCs w:val="22"/>
        </w:rPr>
        <w:t>S</w:t>
      </w:r>
      <w:r w:rsidRPr="00F96B81">
        <w:rPr>
          <w:rFonts w:cs="Calibri"/>
          <w:szCs w:val="22"/>
        </w:rPr>
        <w:t>tatistical analyses were carried out using the f</w:t>
      </w:r>
      <w:r>
        <w:rPr>
          <w:rFonts w:cs="Calibri"/>
          <w:szCs w:val="22"/>
        </w:rPr>
        <w:t>reeware R and the R package MASS (R Development Core Team 2015</w:t>
      </w:r>
      <w:r w:rsidRPr="00F96B81">
        <w:rPr>
          <w:rFonts w:cs="Calibri"/>
          <w:szCs w:val="22"/>
        </w:rPr>
        <w:t>).</w:t>
      </w:r>
      <w:r>
        <w:rPr>
          <w:rFonts w:cs="Calibri"/>
          <w:szCs w:val="22"/>
        </w:rPr>
        <w:t xml:space="preserve"> P-values of &lt;0.05 were used to determine the significance of each ANOVA test. </w:t>
      </w:r>
      <w:r w:rsidRPr="00F96B81">
        <w:rPr>
          <w:szCs w:val="22"/>
        </w:rPr>
        <w:t xml:space="preserve">When significant differences were indicated, </w:t>
      </w:r>
      <w:r w:rsidRPr="00F96B81">
        <w:rPr>
          <w:i/>
          <w:iCs/>
          <w:szCs w:val="22"/>
        </w:rPr>
        <w:t xml:space="preserve">post hoc </w:t>
      </w:r>
      <w:r w:rsidRPr="00F96B81">
        <w:rPr>
          <w:szCs w:val="22"/>
        </w:rPr>
        <w:t>pairwise comparisons were undertaken to det</w:t>
      </w:r>
      <w:r w:rsidR="0064533C">
        <w:rPr>
          <w:szCs w:val="22"/>
        </w:rPr>
        <w:t>ermine differences between the r</w:t>
      </w:r>
      <w:r w:rsidRPr="00F96B81">
        <w:rPr>
          <w:szCs w:val="22"/>
        </w:rPr>
        <w:t>ivers.</w:t>
      </w:r>
      <w:r w:rsidRPr="004B2B83">
        <w:rPr>
          <w:szCs w:val="22"/>
        </w:rPr>
        <w:t xml:space="preserve"> </w:t>
      </w:r>
    </w:p>
    <w:p w14:paraId="3B4F916F" w14:textId="77777777" w:rsidR="00BC485A" w:rsidRDefault="00BC485A">
      <w:pPr>
        <w:spacing w:after="0" w:line="240" w:lineRule="auto"/>
        <w:jc w:val="left"/>
        <w:rPr>
          <w:b/>
          <w:i/>
          <w:color w:val="4F6228" w:themeColor="accent3" w:themeShade="80"/>
          <w:sz w:val="24"/>
          <w:szCs w:val="24"/>
          <w:lang w:val="en-US"/>
        </w:rPr>
      </w:pPr>
      <w:r>
        <w:rPr>
          <w:b/>
          <w:i/>
          <w:color w:val="4F6228" w:themeColor="accent3" w:themeShade="80"/>
        </w:rPr>
        <w:br w:type="page"/>
      </w:r>
    </w:p>
    <w:p w14:paraId="3B4F9170" w14:textId="77777777" w:rsidR="008E6212" w:rsidRPr="00337C70" w:rsidRDefault="008E6212" w:rsidP="008E6212">
      <w:pPr>
        <w:pStyle w:val="BodyText"/>
        <w:rPr>
          <w:rFonts w:ascii="Calibri" w:hAnsi="Calibri"/>
          <w:b/>
          <w:i/>
          <w:color w:val="4F6228" w:themeColor="accent3" w:themeShade="80"/>
        </w:rPr>
      </w:pPr>
      <w:r w:rsidRPr="00337C70">
        <w:rPr>
          <w:rFonts w:ascii="Calibri" w:hAnsi="Calibri"/>
          <w:b/>
          <w:i/>
          <w:color w:val="4F6228" w:themeColor="accent3" w:themeShade="80"/>
        </w:rPr>
        <w:lastRenderedPageBreak/>
        <w:t>Fish recruitment</w:t>
      </w:r>
    </w:p>
    <w:p w14:paraId="3B4F9171" w14:textId="77777777" w:rsidR="008E6212" w:rsidRDefault="008E6212" w:rsidP="008E6212">
      <w:pPr>
        <w:shd w:val="clear" w:color="auto" w:fill="FFFFFF"/>
        <w:spacing w:after="120" w:line="324" w:lineRule="exact"/>
        <w:rPr>
          <w:rFonts w:eastAsia="Times New Roman" w:cs="Arial"/>
          <w:i/>
          <w:color w:val="000000"/>
        </w:rPr>
      </w:pPr>
      <w:r w:rsidRPr="00763B99">
        <w:rPr>
          <w:rFonts w:eastAsia="Times New Roman" w:cs="Arial"/>
          <w:i/>
          <w:color w:val="000000"/>
        </w:rPr>
        <w:t xml:space="preserve">Field </w:t>
      </w:r>
      <w:r>
        <w:rPr>
          <w:rFonts w:eastAsia="Times New Roman" w:cs="Arial"/>
          <w:i/>
          <w:color w:val="000000"/>
        </w:rPr>
        <w:t>sampling</w:t>
      </w:r>
    </w:p>
    <w:p w14:paraId="3B4F9172" w14:textId="77777777" w:rsidR="008E6212" w:rsidRPr="00C24543" w:rsidRDefault="008E6212" w:rsidP="008E6212">
      <w:pPr>
        <w:shd w:val="clear" w:color="auto" w:fill="FFFFFF"/>
        <w:spacing w:after="240" w:line="324" w:lineRule="exact"/>
        <w:jc w:val="left"/>
        <w:rPr>
          <w:rFonts w:eastAsia="Times New Roman" w:cs="Arial"/>
          <w:color w:val="000000"/>
        </w:rPr>
      </w:pPr>
      <w:r w:rsidRPr="005F3902">
        <w:rPr>
          <w:rFonts w:eastAsia="Times New Roman" w:cs="Arial"/>
          <w:color w:val="000000"/>
        </w:rPr>
        <w:t xml:space="preserve">Four sites were sampled in </w:t>
      </w:r>
      <w:r>
        <w:rPr>
          <w:rFonts w:eastAsia="Times New Roman" w:cs="Arial"/>
          <w:color w:val="000000"/>
        </w:rPr>
        <w:t>each of four river zones within the Edward-Wakool system:</w:t>
      </w:r>
      <w:r w:rsidRPr="005F3902">
        <w:rPr>
          <w:rFonts w:eastAsia="Times New Roman" w:cs="Arial"/>
          <w:color w:val="000000"/>
        </w:rPr>
        <w:t xml:space="preserve"> Yallakool Creek, Wakool River Zone 2, Wakool River Zone</w:t>
      </w:r>
      <w:r>
        <w:rPr>
          <w:rFonts w:eastAsia="Times New Roman" w:cs="Arial"/>
          <w:color w:val="000000"/>
        </w:rPr>
        <w:t xml:space="preserve"> </w:t>
      </w:r>
      <w:r w:rsidRPr="005F3902">
        <w:rPr>
          <w:rFonts w:eastAsia="Times New Roman" w:cs="Arial"/>
          <w:color w:val="000000"/>
        </w:rPr>
        <w:t>3 and Wakool River Zone 4. Each</w:t>
      </w:r>
      <w:r>
        <w:rPr>
          <w:rFonts w:eastAsia="Times New Roman" w:cs="Arial"/>
          <w:color w:val="000000"/>
        </w:rPr>
        <w:t xml:space="preserve"> of</w:t>
      </w:r>
      <w:r w:rsidRPr="005F3902">
        <w:rPr>
          <w:rFonts w:eastAsia="Times New Roman" w:cs="Arial"/>
          <w:color w:val="000000"/>
        </w:rPr>
        <w:t xml:space="preserve"> the 16 sites were sampled </w:t>
      </w:r>
      <w:r>
        <w:rPr>
          <w:rFonts w:eastAsia="Times New Roman" w:cs="Arial"/>
          <w:color w:val="000000"/>
        </w:rPr>
        <w:t>once in a</w:t>
      </w:r>
      <w:r w:rsidRPr="005F3902">
        <w:rPr>
          <w:rFonts w:eastAsia="Times New Roman" w:cs="Arial"/>
          <w:color w:val="000000"/>
        </w:rPr>
        <w:t xml:space="preserve"> randomly selected </w:t>
      </w:r>
      <w:r>
        <w:rPr>
          <w:rFonts w:eastAsia="Times New Roman" w:cs="Arial"/>
          <w:color w:val="000000"/>
        </w:rPr>
        <w:t>order</w:t>
      </w:r>
      <w:r w:rsidRPr="005F3902">
        <w:rPr>
          <w:rFonts w:eastAsia="Times New Roman" w:cs="Arial"/>
          <w:color w:val="000000"/>
        </w:rPr>
        <w:t xml:space="preserve"> between February </w:t>
      </w:r>
      <w:r>
        <w:rPr>
          <w:rFonts w:eastAsia="Times New Roman" w:cs="Arial"/>
          <w:color w:val="000000"/>
        </w:rPr>
        <w:t>and</w:t>
      </w:r>
      <w:r w:rsidRPr="005F3902">
        <w:rPr>
          <w:rFonts w:eastAsia="Times New Roman" w:cs="Arial"/>
          <w:color w:val="000000"/>
        </w:rPr>
        <w:t xml:space="preserve"> March 2015. Three sampling methods including backpack electrofishing, standardised angling and baited set-lines were undertaken to target recruits </w:t>
      </w:r>
      <w:r>
        <w:rPr>
          <w:rFonts w:eastAsia="Times New Roman" w:cs="Arial"/>
          <w:color w:val="000000"/>
        </w:rPr>
        <w:t xml:space="preserve">of Murray cod, golden perch and silver perch </w:t>
      </w:r>
      <w:r w:rsidRPr="005F3902">
        <w:rPr>
          <w:rFonts w:eastAsia="Times New Roman" w:cs="Arial"/>
          <w:color w:val="000000"/>
        </w:rPr>
        <w:t xml:space="preserve">at each of the 16 sites. </w:t>
      </w:r>
      <w:r>
        <w:rPr>
          <w:rFonts w:eastAsia="Times New Roman" w:cs="Arial"/>
          <w:color w:val="000000"/>
        </w:rPr>
        <w:t xml:space="preserve">A sub-sample of less than 50 fish per zone and species were euthanized and frozen to determine the age and growth rate of recruits, while all other fish were released alive. </w:t>
      </w:r>
    </w:p>
    <w:p w14:paraId="3B4F9173" w14:textId="77777777" w:rsidR="008E6212" w:rsidRDefault="008E6212" w:rsidP="008E6212">
      <w:pPr>
        <w:shd w:val="clear" w:color="auto" w:fill="FFFFFF"/>
        <w:spacing w:after="240" w:line="324" w:lineRule="exact"/>
        <w:jc w:val="left"/>
        <w:rPr>
          <w:rFonts w:cs="Arial"/>
          <w:color w:val="000000"/>
        </w:rPr>
      </w:pPr>
      <w:r w:rsidRPr="00C24543">
        <w:rPr>
          <w:rFonts w:cs="Arial"/>
          <w:color w:val="000000"/>
        </w:rPr>
        <w:t>Continuous backpack electrofishing,</w:t>
      </w:r>
      <w:r w:rsidRPr="005F3902">
        <w:rPr>
          <w:rFonts w:cs="Arial"/>
          <w:color w:val="000000"/>
        </w:rPr>
        <w:t xml:space="preserve"> </w:t>
      </w:r>
      <w:r>
        <w:rPr>
          <w:rFonts w:cs="Arial"/>
          <w:color w:val="000000"/>
        </w:rPr>
        <w:t>using a 12 V DC battery with a Smith-Root unit, was undertaken at each site by an operator and one person equipped with a 5 mm mesh dip-net</w:t>
      </w:r>
      <w:r w:rsidRPr="005F3902">
        <w:rPr>
          <w:rFonts w:cs="Arial"/>
          <w:color w:val="000000"/>
        </w:rPr>
        <w:t>.</w:t>
      </w:r>
      <w:r>
        <w:rPr>
          <w:rFonts w:cs="Arial"/>
          <w:color w:val="000000"/>
        </w:rPr>
        <w:t xml:space="preserve"> Each site was sampled for a minimum of 3000 seconds of backpack-on electrofishing time, which resulted in a sampling distance of more than 25 times the average wetted-width at each site and 100 times the average wetted width for each zone. Presence of non-target species was recorded at each site, while length measurements and counts were made for all individuals of the three target species and common carp.</w:t>
      </w:r>
    </w:p>
    <w:p w14:paraId="3B4F9174" w14:textId="77777777" w:rsidR="008E6212" w:rsidRDefault="008E6212" w:rsidP="008E6212">
      <w:pPr>
        <w:shd w:val="clear" w:color="auto" w:fill="FFFFFF"/>
        <w:spacing w:after="240" w:line="324" w:lineRule="exact"/>
        <w:jc w:val="left"/>
        <w:rPr>
          <w:rFonts w:cs="Arial"/>
          <w:color w:val="000000"/>
        </w:rPr>
      </w:pPr>
      <w:r w:rsidRPr="00C24543">
        <w:rPr>
          <w:rFonts w:cs="Arial"/>
          <w:color w:val="000000"/>
        </w:rPr>
        <w:t>Standardised angling</w:t>
      </w:r>
      <w:r w:rsidRPr="005F3902">
        <w:rPr>
          <w:rFonts w:cs="Arial"/>
          <w:i/>
          <w:color w:val="000000"/>
        </w:rPr>
        <w:t xml:space="preserve"> </w:t>
      </w:r>
      <w:r w:rsidRPr="005F3902">
        <w:rPr>
          <w:rFonts w:cs="Arial"/>
          <w:color w:val="000000"/>
        </w:rPr>
        <w:t>was carried out by two anglers with the specific aim of targeting young silver perch</w:t>
      </w:r>
      <w:r>
        <w:rPr>
          <w:rFonts w:cs="Arial"/>
          <w:color w:val="000000"/>
        </w:rPr>
        <w:t xml:space="preserve"> and golden perch. </w:t>
      </w:r>
      <w:r w:rsidRPr="005F3902">
        <w:rPr>
          <w:rFonts w:cs="Arial"/>
          <w:color w:val="000000"/>
        </w:rPr>
        <w:t>Standardised angling at each site consisted of two anglers fishing on the bank for two hours. Angling gear was matched to the specifications commonly used by local fisherman</w:t>
      </w:r>
      <w:r>
        <w:rPr>
          <w:rFonts w:cs="Arial"/>
          <w:color w:val="000000"/>
        </w:rPr>
        <w:t>.</w:t>
      </w:r>
      <w:r w:rsidRPr="005F3902">
        <w:rPr>
          <w:rFonts w:cs="Arial"/>
          <w:color w:val="000000"/>
        </w:rPr>
        <w:t xml:space="preserve"> </w:t>
      </w:r>
      <w:r>
        <w:rPr>
          <w:rFonts w:cs="Arial"/>
          <w:color w:val="000000"/>
        </w:rPr>
        <w:t>Species and length were recorded for all individuals caught.</w:t>
      </w:r>
    </w:p>
    <w:p w14:paraId="3B4F9175" w14:textId="77777777" w:rsidR="008E6212" w:rsidRPr="00C24543" w:rsidRDefault="008E6212" w:rsidP="008E6212">
      <w:pPr>
        <w:shd w:val="clear" w:color="auto" w:fill="FFFFFF"/>
        <w:spacing w:after="240" w:line="324" w:lineRule="exact"/>
        <w:jc w:val="left"/>
        <w:rPr>
          <w:rFonts w:cs="Arial"/>
          <w:color w:val="000000"/>
        </w:rPr>
      </w:pPr>
      <w:r w:rsidRPr="005F3902">
        <w:rPr>
          <w:szCs w:val="22"/>
        </w:rPr>
        <w:t xml:space="preserve">Ten </w:t>
      </w:r>
      <w:r w:rsidRPr="00C24543">
        <w:rPr>
          <w:szCs w:val="22"/>
        </w:rPr>
        <w:t>set-lines</w:t>
      </w:r>
      <w:r w:rsidRPr="005F3902">
        <w:rPr>
          <w:szCs w:val="22"/>
        </w:rPr>
        <w:t xml:space="preserve">, each with a 3-10 m (100 lb) monofilament main-line and two 0.5-1.5 m (4 lb) leaders were set at each site. Lines were set, baited and hauled hourly during day-light hours for 5-7 hours at each site. Hook type and bait </w:t>
      </w:r>
      <w:r>
        <w:rPr>
          <w:szCs w:val="22"/>
        </w:rPr>
        <w:t xml:space="preserve">matched those </w:t>
      </w:r>
      <w:r w:rsidRPr="005F3902">
        <w:rPr>
          <w:szCs w:val="22"/>
        </w:rPr>
        <w:t xml:space="preserve">in the standardised angling section. </w:t>
      </w:r>
      <w:r>
        <w:rPr>
          <w:rFonts w:cs="Arial"/>
          <w:color w:val="000000"/>
          <w:szCs w:val="22"/>
        </w:rPr>
        <w:t>Species and length were recorded for all individuals caught.</w:t>
      </w:r>
    </w:p>
    <w:p w14:paraId="3B4F9176" w14:textId="77777777" w:rsidR="008E6212" w:rsidRDefault="008E6212" w:rsidP="008E6212">
      <w:pPr>
        <w:spacing w:after="0" w:line="240" w:lineRule="auto"/>
        <w:jc w:val="left"/>
        <w:rPr>
          <w:rFonts w:eastAsia="Times New Roman" w:cs="Arial"/>
          <w:i/>
          <w:color w:val="000000"/>
        </w:rPr>
      </w:pPr>
    </w:p>
    <w:p w14:paraId="3B4F9177" w14:textId="77777777" w:rsidR="008E6212" w:rsidRDefault="008E6212" w:rsidP="008E6212">
      <w:pPr>
        <w:shd w:val="clear" w:color="auto" w:fill="FFFFFF"/>
        <w:spacing w:after="240" w:line="320" w:lineRule="exact"/>
        <w:jc w:val="left"/>
        <w:rPr>
          <w:rFonts w:eastAsia="Times New Roman" w:cs="Arial"/>
          <w:i/>
          <w:color w:val="000000"/>
        </w:rPr>
      </w:pPr>
      <w:r w:rsidRPr="00763B99">
        <w:rPr>
          <w:rFonts w:eastAsia="Times New Roman" w:cs="Arial"/>
          <w:i/>
          <w:color w:val="000000"/>
        </w:rPr>
        <w:t>Laboratory methods</w:t>
      </w:r>
      <w:r>
        <w:rPr>
          <w:rFonts w:eastAsia="Times New Roman" w:cs="Arial"/>
          <w:i/>
          <w:color w:val="000000"/>
        </w:rPr>
        <w:t xml:space="preserve"> and data analysis</w:t>
      </w:r>
    </w:p>
    <w:p w14:paraId="3B4F9178" w14:textId="77777777" w:rsidR="008E6212" w:rsidRDefault="008E6212" w:rsidP="008E6212">
      <w:pPr>
        <w:shd w:val="clear" w:color="auto" w:fill="FFFFFF"/>
        <w:spacing w:after="240" w:line="320" w:lineRule="exact"/>
        <w:jc w:val="left"/>
        <w:rPr>
          <w:rFonts w:eastAsia="Times New Roman" w:cs="Arial"/>
          <w:color w:val="000000"/>
        </w:rPr>
      </w:pPr>
      <w:r>
        <w:rPr>
          <w:rFonts w:eastAsia="Times New Roman" w:cs="Arial"/>
          <w:color w:val="000000"/>
        </w:rPr>
        <w:t>To determine the annual age and growth rate of recruits, sagittal otoliths from fish were</w:t>
      </w:r>
      <w:r w:rsidRPr="00763B99">
        <w:rPr>
          <w:rFonts w:eastAsia="Times New Roman" w:cs="Arial"/>
          <w:color w:val="000000"/>
        </w:rPr>
        <w:t xml:space="preserve"> </w:t>
      </w:r>
      <w:r>
        <w:rPr>
          <w:rFonts w:eastAsia="Times New Roman" w:cs="Arial"/>
          <w:color w:val="000000"/>
        </w:rPr>
        <w:t xml:space="preserve">extracted, </w:t>
      </w:r>
      <w:r w:rsidRPr="00763B99">
        <w:rPr>
          <w:rFonts w:eastAsia="Times New Roman" w:cs="Arial"/>
          <w:color w:val="000000"/>
        </w:rPr>
        <w:t>embedded</w:t>
      </w:r>
      <w:r>
        <w:rPr>
          <w:rFonts w:eastAsia="Times New Roman" w:cs="Arial"/>
          <w:color w:val="000000"/>
        </w:rPr>
        <w:t xml:space="preserve"> in a polyester resin</w:t>
      </w:r>
      <w:r w:rsidRPr="00763B99">
        <w:rPr>
          <w:rFonts w:eastAsia="Times New Roman" w:cs="Arial"/>
          <w:color w:val="000000"/>
        </w:rPr>
        <w:t xml:space="preserve"> </w:t>
      </w:r>
      <w:r>
        <w:rPr>
          <w:rFonts w:eastAsia="Times New Roman" w:cs="Arial"/>
          <w:color w:val="000000"/>
        </w:rPr>
        <w:t xml:space="preserve">and </w:t>
      </w:r>
      <w:r w:rsidRPr="00763B99">
        <w:rPr>
          <w:rFonts w:eastAsia="Times New Roman" w:cs="Arial"/>
          <w:color w:val="000000"/>
        </w:rPr>
        <w:t>sectioned</w:t>
      </w:r>
      <w:r>
        <w:rPr>
          <w:rFonts w:eastAsia="Times New Roman" w:cs="Arial"/>
          <w:color w:val="000000"/>
        </w:rPr>
        <w:t xml:space="preserve"> in the transverse plane to approximately 100 µm thick and </w:t>
      </w:r>
      <w:r w:rsidRPr="00763B99">
        <w:rPr>
          <w:rFonts w:eastAsia="Times New Roman" w:cs="Arial"/>
          <w:color w:val="000000"/>
        </w:rPr>
        <w:t xml:space="preserve">mounted on a microscope slide. </w:t>
      </w:r>
      <w:r>
        <w:rPr>
          <w:rFonts w:eastAsia="Times New Roman" w:cs="Arial"/>
          <w:color w:val="000000"/>
        </w:rPr>
        <w:t>F</w:t>
      </w:r>
      <w:r w:rsidRPr="00763B99">
        <w:rPr>
          <w:rFonts w:eastAsia="Times New Roman" w:cs="Arial"/>
          <w:color w:val="000000"/>
        </w:rPr>
        <w:t>inal age estimate</w:t>
      </w:r>
      <w:r>
        <w:rPr>
          <w:rFonts w:eastAsia="Times New Roman" w:cs="Arial"/>
          <w:color w:val="000000"/>
        </w:rPr>
        <w:t>s</w:t>
      </w:r>
      <w:r w:rsidRPr="00763B99">
        <w:rPr>
          <w:rFonts w:eastAsia="Times New Roman" w:cs="Arial"/>
          <w:color w:val="000000"/>
        </w:rPr>
        <w:t xml:space="preserve"> w</w:t>
      </w:r>
      <w:r>
        <w:rPr>
          <w:rFonts w:eastAsia="Times New Roman" w:cs="Arial"/>
          <w:color w:val="000000"/>
        </w:rPr>
        <w:t>ere</w:t>
      </w:r>
      <w:r w:rsidRPr="00763B99">
        <w:rPr>
          <w:rFonts w:eastAsia="Times New Roman" w:cs="Arial"/>
          <w:color w:val="000000"/>
        </w:rPr>
        <w:t xml:space="preserve"> </w:t>
      </w:r>
      <w:r>
        <w:rPr>
          <w:rFonts w:eastAsia="Times New Roman" w:cs="Arial"/>
          <w:color w:val="000000"/>
        </w:rPr>
        <w:t>based only on samples with</w:t>
      </w:r>
      <w:r w:rsidRPr="00763B99">
        <w:rPr>
          <w:rFonts w:eastAsia="Times New Roman" w:cs="Arial"/>
          <w:color w:val="000000"/>
        </w:rPr>
        <w:t xml:space="preserve"> matching </w:t>
      </w:r>
      <w:r>
        <w:rPr>
          <w:rFonts w:eastAsia="Times New Roman" w:cs="Arial"/>
          <w:color w:val="000000"/>
        </w:rPr>
        <w:t>age readings from three reads</w:t>
      </w:r>
      <w:r w:rsidRPr="00763B99">
        <w:rPr>
          <w:rFonts w:eastAsia="Times New Roman" w:cs="Arial"/>
          <w:color w:val="000000"/>
        </w:rPr>
        <w:t xml:space="preserve"> </w:t>
      </w:r>
      <w:r>
        <w:rPr>
          <w:rFonts w:eastAsia="Times New Roman" w:cs="Arial"/>
          <w:color w:val="000000"/>
        </w:rPr>
        <w:t>given that any bias in annual age estimates of 1+ or 2 year old fish generates a high degree of error unacceptable for the purpose of this study</w:t>
      </w:r>
      <w:r w:rsidRPr="00763B99">
        <w:rPr>
          <w:rFonts w:eastAsia="Times New Roman" w:cs="Arial"/>
          <w:color w:val="000000"/>
        </w:rPr>
        <w:t>.</w:t>
      </w:r>
      <w:r w:rsidRPr="003F7C65">
        <w:rPr>
          <w:rFonts w:eastAsia="Times New Roman" w:cs="Arial"/>
          <w:color w:val="000000"/>
        </w:rPr>
        <w:t xml:space="preserve"> </w:t>
      </w:r>
      <w:r>
        <w:rPr>
          <w:rFonts w:eastAsia="Times New Roman" w:cs="Arial"/>
          <w:color w:val="000000"/>
        </w:rPr>
        <w:t xml:space="preserve">All otolith sections were checked under a fluorescence stereomicroscope fitted with an excitation filter to identify the presence of Calcein marks to discriminate hatchery released and wild recruits (Crook et al. 2011).  </w:t>
      </w:r>
    </w:p>
    <w:p w14:paraId="3B4F9179" w14:textId="77777777" w:rsidR="008E6212" w:rsidRPr="00C24543" w:rsidRDefault="008E6212" w:rsidP="008E6212">
      <w:pPr>
        <w:shd w:val="clear" w:color="auto" w:fill="FFFFFF"/>
        <w:spacing w:after="240" w:line="320" w:lineRule="exact"/>
        <w:jc w:val="left"/>
        <w:rPr>
          <w:rFonts w:cs="Arial"/>
        </w:rPr>
      </w:pPr>
      <w:r w:rsidRPr="003E373E">
        <w:rPr>
          <w:rFonts w:eastAsia="Times New Roman" w:cs="Arial"/>
          <w:color w:val="000000"/>
        </w:rPr>
        <w:lastRenderedPageBreak/>
        <w:t xml:space="preserve">Growth curves derived from annual and daily age estimates were fitted to each zone separately and to the entire Edward-Wakool system. A nonlinear four parameter logistic model was used to describe age-length curves of recruits and the model was weighted to the reciprocal of age. </w:t>
      </w:r>
      <w:r>
        <w:rPr>
          <w:rFonts w:eastAsia="Times New Roman" w:cs="Arial"/>
          <w:color w:val="000000"/>
        </w:rPr>
        <w:t xml:space="preserve">Otolith age-length estimates were used to distinguish all YOY and 1+ Murray cod recruits from other age-classes. The mean length of recruits (YOY and 1+) were compared statistically among zones and years 2014/15 and 2015/16 using a Generalized Linear Mixed Effects Model </w:t>
      </w:r>
      <w:r w:rsidRPr="00763B99">
        <w:rPr>
          <w:rFonts w:eastAsia="Times New Roman" w:cs="Arial"/>
          <w:color w:val="000000"/>
        </w:rPr>
        <w:t>(GLMM)</w:t>
      </w:r>
      <w:r>
        <w:rPr>
          <w:rFonts w:eastAsia="Times New Roman" w:cs="Arial"/>
          <w:color w:val="000000"/>
        </w:rPr>
        <w:t>, whereby year, zone and species were fixed effects and site was a random effect.</w:t>
      </w:r>
    </w:p>
    <w:p w14:paraId="3B4F917A" w14:textId="77777777" w:rsidR="008E6212" w:rsidRPr="00C24543" w:rsidRDefault="008E6212" w:rsidP="008E6212">
      <w:pPr>
        <w:shd w:val="clear" w:color="auto" w:fill="FFFFFF"/>
        <w:spacing w:after="240" w:line="320" w:lineRule="exact"/>
        <w:jc w:val="left"/>
        <w:rPr>
          <w:rFonts w:eastAsia="Times New Roman" w:cs="Arial"/>
          <w:color w:val="000000"/>
        </w:rPr>
      </w:pPr>
      <w:r w:rsidRPr="00763B99">
        <w:rPr>
          <w:rFonts w:eastAsia="Times New Roman" w:cs="Arial"/>
          <w:color w:val="000000"/>
        </w:rPr>
        <w:t>Recruitment indices of YOY and 1+ Murray cod</w:t>
      </w:r>
      <w:r>
        <w:rPr>
          <w:rFonts w:eastAsia="Times New Roman" w:cs="Arial"/>
          <w:color w:val="000000"/>
        </w:rPr>
        <w:t xml:space="preserve"> and silver perch</w:t>
      </w:r>
      <w:r w:rsidRPr="00763B99">
        <w:rPr>
          <w:rFonts w:eastAsia="Times New Roman" w:cs="Arial"/>
          <w:color w:val="000000"/>
        </w:rPr>
        <w:t xml:space="preserve">, </w:t>
      </w:r>
      <w:r>
        <w:rPr>
          <w:rFonts w:eastAsia="Times New Roman" w:cs="Arial"/>
          <w:color w:val="000000"/>
        </w:rPr>
        <w:t>were</w:t>
      </w:r>
      <w:r w:rsidRPr="00763B99">
        <w:rPr>
          <w:rFonts w:eastAsia="Times New Roman" w:cs="Arial"/>
          <w:color w:val="000000"/>
        </w:rPr>
        <w:t xml:space="preserve"> calculated from catch per unit effort of backpack electrofishing, </w:t>
      </w:r>
      <w:r>
        <w:rPr>
          <w:rFonts w:eastAsia="Times New Roman" w:cs="Arial"/>
          <w:color w:val="000000"/>
        </w:rPr>
        <w:t>set-lines and angling. The GLMM tested whether CPUE of YOY and 1+ recruits varied significantly in relation to the fixed effects of gear type, zone, year and species. Site was incorporated as a random effect.</w:t>
      </w:r>
    </w:p>
    <w:p w14:paraId="3B4F917B" w14:textId="77777777" w:rsidR="008E6212" w:rsidRPr="004B2B83" w:rsidRDefault="008E6212" w:rsidP="008E6212">
      <w:pPr>
        <w:pStyle w:val="BodyText"/>
        <w:jc w:val="left"/>
        <w:rPr>
          <w:b/>
          <w:i/>
          <w:color w:val="4F6228" w:themeColor="accent3" w:themeShade="80"/>
        </w:rPr>
      </w:pPr>
    </w:p>
    <w:p w14:paraId="3B4F917C" w14:textId="77777777" w:rsidR="008E6212" w:rsidRPr="00337C70" w:rsidRDefault="008E6212" w:rsidP="008E6212">
      <w:pPr>
        <w:pStyle w:val="BodyText"/>
        <w:rPr>
          <w:rFonts w:asciiTheme="minorHAnsi" w:hAnsiTheme="minorHAnsi"/>
          <w:b/>
          <w:i/>
          <w:color w:val="4F6228" w:themeColor="accent3" w:themeShade="80"/>
        </w:rPr>
      </w:pPr>
      <w:r w:rsidRPr="00337C70">
        <w:rPr>
          <w:rFonts w:asciiTheme="minorHAnsi" w:hAnsiTheme="minorHAnsi"/>
          <w:b/>
          <w:i/>
          <w:color w:val="4F6228" w:themeColor="accent3" w:themeShade="80"/>
        </w:rPr>
        <w:t>Adult fish community</w:t>
      </w:r>
    </w:p>
    <w:p w14:paraId="3B4F917D" w14:textId="77777777" w:rsidR="008E6212" w:rsidRDefault="008E6212" w:rsidP="008E6212">
      <w:pPr>
        <w:pStyle w:val="Default"/>
        <w:spacing w:after="360" w:line="324" w:lineRule="exact"/>
        <w:rPr>
          <w:rFonts w:ascii="Calibri" w:hAnsi="Calibri"/>
          <w:sz w:val="22"/>
          <w:szCs w:val="22"/>
        </w:rPr>
      </w:pPr>
      <w:r>
        <w:rPr>
          <w:rFonts w:ascii="Calibri" w:hAnsi="Calibri"/>
          <w:sz w:val="22"/>
          <w:szCs w:val="22"/>
        </w:rPr>
        <w:t xml:space="preserve">A system-wide fish community survey will be undertaken in years 1 and 5 of the Edward-Wakool LTIM project (Watts et al. 2014a). In the absence of fish community data for this current monitoring year we present Category 1 fish community standardised survey data from Zone 3 only. </w:t>
      </w:r>
      <w:r w:rsidRPr="00162A84">
        <w:rPr>
          <w:rFonts w:ascii="Calibri" w:hAnsi="Calibri"/>
          <w:sz w:val="22"/>
          <w:szCs w:val="22"/>
        </w:rPr>
        <w:t xml:space="preserve">Sampling was undertaken in </w:t>
      </w:r>
      <w:r>
        <w:rPr>
          <w:rFonts w:ascii="Calibri" w:hAnsi="Calibri"/>
          <w:sz w:val="22"/>
          <w:szCs w:val="22"/>
        </w:rPr>
        <w:t>May</w:t>
      </w:r>
      <w:r w:rsidRPr="00162A84">
        <w:rPr>
          <w:rFonts w:ascii="Calibri" w:hAnsi="Calibri"/>
          <w:sz w:val="22"/>
          <w:szCs w:val="22"/>
        </w:rPr>
        <w:t xml:space="preserve"> 2016, and each site was sampled once using a s</w:t>
      </w:r>
      <w:r w:rsidR="000038C7">
        <w:rPr>
          <w:rFonts w:ascii="Calibri" w:hAnsi="Calibri"/>
          <w:sz w:val="22"/>
          <w:szCs w:val="22"/>
        </w:rPr>
        <w:t>uite of passive and active gear</w:t>
      </w:r>
      <w:r w:rsidRPr="00162A84">
        <w:rPr>
          <w:rFonts w:ascii="Calibri" w:hAnsi="Calibri"/>
          <w:sz w:val="22"/>
          <w:szCs w:val="22"/>
        </w:rPr>
        <w:t xml:space="preserve"> including boat-electrofishing (n=32 operations, each consisting of 90 seconds ‘on-ti</w:t>
      </w:r>
      <w:r>
        <w:rPr>
          <w:rFonts w:ascii="Calibri" w:hAnsi="Calibri"/>
          <w:sz w:val="22"/>
          <w:szCs w:val="22"/>
        </w:rPr>
        <w:t>me’), unbaited bait traps (n=10) and small fyke nets (n=10</w:t>
      </w:r>
      <w:r w:rsidRPr="00162A84">
        <w:rPr>
          <w:rFonts w:ascii="Calibri" w:hAnsi="Calibri"/>
          <w:sz w:val="22"/>
          <w:szCs w:val="22"/>
        </w:rPr>
        <w:t>) (Hale et al. 2014).</w:t>
      </w:r>
      <w:r>
        <w:rPr>
          <w:rFonts w:ascii="Calibri" w:hAnsi="Calibri"/>
          <w:sz w:val="22"/>
          <w:szCs w:val="22"/>
        </w:rPr>
        <w:t xml:space="preserve"> </w:t>
      </w:r>
      <w:r w:rsidRPr="00162A84">
        <w:rPr>
          <w:rFonts w:ascii="Calibri" w:hAnsi="Calibri"/>
          <w:sz w:val="22"/>
          <w:szCs w:val="22"/>
        </w:rPr>
        <w:t>All captures (fish and other non-target taxa) were identified to species level and released onsite</w:t>
      </w:r>
      <w:r>
        <w:rPr>
          <w:rFonts w:ascii="Calibri" w:hAnsi="Calibri"/>
          <w:sz w:val="22"/>
          <w:szCs w:val="22"/>
        </w:rPr>
        <w:t xml:space="preserve">. </w:t>
      </w:r>
      <w:r w:rsidRPr="00162A84">
        <w:rPr>
          <w:rFonts w:ascii="Calibri" w:hAnsi="Calibri"/>
          <w:sz w:val="22"/>
          <w:szCs w:val="22"/>
        </w:rPr>
        <w:t>Where large catches of particular species occurred, a sub-sample of individuals was measured and examined for each gear type. The sub-sampling procedure consisted of firstly measuring all individuals in each operation until at least 50 individuals had been measured in total. The remainder of individuals in that operation were also measured, although any individuals of that species from subsequent operations of that gear type were only counted.</w:t>
      </w:r>
    </w:p>
    <w:p w14:paraId="3B4F917E" w14:textId="77777777" w:rsidR="008E6212" w:rsidRPr="006E1401" w:rsidRDefault="008E6212" w:rsidP="008E6212">
      <w:pPr>
        <w:pStyle w:val="Default"/>
        <w:spacing w:after="360" w:line="324" w:lineRule="exact"/>
        <w:rPr>
          <w:rFonts w:ascii="Calibri" w:hAnsi="Calibri"/>
          <w:sz w:val="22"/>
          <w:szCs w:val="22"/>
        </w:rPr>
      </w:pPr>
      <w:r w:rsidRPr="00BF42BD">
        <w:rPr>
          <w:rFonts w:ascii="Calibri" w:hAnsi="Calibri"/>
          <w:sz w:val="22"/>
          <w:szCs w:val="22"/>
        </w:rPr>
        <w:t>To determine differences between years (2015 and 2016) abundance data were analysed using one-way fixed factor Permutational Multivariate Analysis of Varia</w:t>
      </w:r>
      <w:r w:rsidR="004762DE">
        <w:rPr>
          <w:rFonts w:ascii="Calibri" w:hAnsi="Calibri"/>
          <w:sz w:val="22"/>
          <w:szCs w:val="22"/>
        </w:rPr>
        <w:t>nce (PERMANOVA; Anderson et al.</w:t>
      </w:r>
      <w:r w:rsidRPr="00BF42BD">
        <w:rPr>
          <w:rFonts w:ascii="Calibri" w:hAnsi="Calibri"/>
          <w:sz w:val="22"/>
          <w:szCs w:val="22"/>
        </w:rPr>
        <w:t xml:space="preserve"> 2008). Raw data were initially fourth root transformed and the results used to produce a similarity matrix using the Bray-Curtis resemblance measure. All tests were considered significant at P &lt; 0.05.</w:t>
      </w:r>
      <w:r>
        <w:rPr>
          <w:rFonts w:ascii="Calibri" w:hAnsi="Calibri"/>
          <w:sz w:val="22"/>
          <w:szCs w:val="22"/>
        </w:rPr>
        <w:t xml:space="preserve"> </w:t>
      </w:r>
      <w:r w:rsidRPr="00BF42BD">
        <w:rPr>
          <w:rFonts w:ascii="Calibri" w:hAnsi="Calibri"/>
          <w:sz w:val="22"/>
          <w:szCs w:val="22"/>
        </w:rPr>
        <w:t xml:space="preserve">To determine whether the size structure of </w:t>
      </w:r>
      <w:r>
        <w:rPr>
          <w:rFonts w:ascii="Calibri" w:hAnsi="Calibri"/>
          <w:sz w:val="22"/>
          <w:szCs w:val="22"/>
        </w:rPr>
        <w:t xml:space="preserve">large-bodied </w:t>
      </w:r>
      <w:r w:rsidRPr="00BF42BD">
        <w:rPr>
          <w:rFonts w:ascii="Calibri" w:hAnsi="Calibri"/>
          <w:sz w:val="22"/>
          <w:szCs w:val="22"/>
        </w:rPr>
        <w:t xml:space="preserve">fish differed between </w:t>
      </w:r>
      <w:r>
        <w:rPr>
          <w:rFonts w:ascii="Calibri" w:hAnsi="Calibri"/>
          <w:sz w:val="22"/>
          <w:szCs w:val="22"/>
        </w:rPr>
        <w:t>sampling years (2015 and 2016)</w:t>
      </w:r>
      <w:r w:rsidRPr="00BF42BD">
        <w:rPr>
          <w:rFonts w:ascii="Calibri" w:hAnsi="Calibri"/>
          <w:sz w:val="22"/>
          <w:szCs w:val="22"/>
        </w:rPr>
        <w:t xml:space="preserve">, thus indicating potential cohorts among </w:t>
      </w:r>
      <w:r>
        <w:rPr>
          <w:rFonts w:ascii="Calibri" w:hAnsi="Calibri"/>
          <w:sz w:val="22"/>
          <w:szCs w:val="22"/>
        </w:rPr>
        <w:t>years</w:t>
      </w:r>
      <w:r w:rsidRPr="00BF42BD">
        <w:rPr>
          <w:rFonts w:ascii="Calibri" w:hAnsi="Calibri"/>
          <w:sz w:val="22"/>
          <w:szCs w:val="22"/>
        </w:rPr>
        <w:t>, species-specific pair-wise cumulative distribution functions were compared using Kolmogorov-Smirnov two-sample tests using the Fisheries Stock Analysis package (FSA; Ogle 2015) in R (version 3.2.0; R Core Team 2015).</w:t>
      </w:r>
    </w:p>
    <w:p w14:paraId="3B4F917F" w14:textId="77777777" w:rsidR="00BC485A" w:rsidRDefault="00BC485A">
      <w:pPr>
        <w:spacing w:after="0" w:line="240" w:lineRule="auto"/>
        <w:jc w:val="left"/>
        <w:rPr>
          <w:rFonts w:asciiTheme="minorHAnsi" w:hAnsiTheme="minorHAnsi"/>
          <w:b/>
          <w:color w:val="4F6228" w:themeColor="accent3" w:themeShade="80"/>
          <w:sz w:val="26"/>
          <w:szCs w:val="26"/>
          <w:lang w:val="en-US"/>
        </w:rPr>
      </w:pPr>
      <w:r>
        <w:rPr>
          <w:rFonts w:asciiTheme="minorHAnsi" w:hAnsiTheme="minorHAnsi"/>
          <w:b/>
          <w:color w:val="4F6228" w:themeColor="accent3" w:themeShade="80"/>
          <w:sz w:val="26"/>
          <w:szCs w:val="26"/>
        </w:rPr>
        <w:br w:type="page"/>
      </w:r>
    </w:p>
    <w:p w14:paraId="3B4F9180" w14:textId="77777777" w:rsidR="008E6212" w:rsidRPr="0057062F" w:rsidRDefault="008E6212" w:rsidP="008E6212">
      <w:pPr>
        <w:pStyle w:val="BodyText"/>
        <w:rPr>
          <w:rFonts w:asciiTheme="minorHAnsi" w:hAnsiTheme="minorHAnsi"/>
          <w:b/>
          <w:color w:val="4F6228" w:themeColor="accent3" w:themeShade="80"/>
          <w:sz w:val="26"/>
          <w:szCs w:val="26"/>
        </w:rPr>
      </w:pPr>
      <w:r w:rsidRPr="0057062F">
        <w:rPr>
          <w:rFonts w:asciiTheme="minorHAnsi" w:hAnsiTheme="minorHAnsi"/>
          <w:b/>
          <w:color w:val="4F6228" w:themeColor="accent3" w:themeShade="80"/>
          <w:sz w:val="26"/>
          <w:szCs w:val="26"/>
        </w:rPr>
        <w:lastRenderedPageBreak/>
        <w:t>D.5   Results</w:t>
      </w:r>
    </w:p>
    <w:p w14:paraId="3B4F9181" w14:textId="77777777" w:rsidR="008E6212" w:rsidRPr="00337C70" w:rsidRDefault="008E6212" w:rsidP="008E6212">
      <w:pPr>
        <w:pStyle w:val="BodyText"/>
        <w:rPr>
          <w:rFonts w:ascii="Calibri" w:hAnsi="Calibri"/>
          <w:b/>
          <w:i/>
          <w:color w:val="4F6228" w:themeColor="accent3" w:themeShade="80"/>
        </w:rPr>
      </w:pPr>
      <w:r w:rsidRPr="00337C70">
        <w:rPr>
          <w:rFonts w:ascii="Calibri" w:hAnsi="Calibri"/>
          <w:b/>
          <w:i/>
          <w:color w:val="4F6228" w:themeColor="accent3" w:themeShade="80"/>
        </w:rPr>
        <w:t>Fish movement</w:t>
      </w:r>
    </w:p>
    <w:p w14:paraId="14CB5998" w14:textId="6084FF94" w:rsidR="002C68B5" w:rsidRPr="00E73AD8" w:rsidRDefault="002C68B5" w:rsidP="002C68B5">
      <w:pPr>
        <w:pStyle w:val="ListBullet"/>
        <w:spacing w:after="240" w:line="320" w:lineRule="exact"/>
        <w:contextualSpacing w:val="0"/>
        <w:jc w:val="left"/>
        <w:rPr>
          <w:sz w:val="22"/>
          <w:szCs w:val="22"/>
        </w:rPr>
      </w:pPr>
      <w:r w:rsidRPr="00222EE2">
        <w:rPr>
          <w:sz w:val="22"/>
          <w:szCs w:val="22"/>
        </w:rPr>
        <w:t xml:space="preserve">All tagged individuals except for one golden perch were detected on acoustic receivers one week or more post-tagging. </w:t>
      </w:r>
      <w:r>
        <w:rPr>
          <w:sz w:val="22"/>
          <w:szCs w:val="22"/>
        </w:rPr>
        <w:t>T</w:t>
      </w:r>
      <w:r w:rsidRPr="00CE52BE">
        <w:rPr>
          <w:sz w:val="22"/>
          <w:szCs w:val="22"/>
        </w:rPr>
        <w:t>he majority of movements occurred from late October to late December 2015</w:t>
      </w:r>
      <w:r w:rsidR="0081432D">
        <w:rPr>
          <w:sz w:val="22"/>
          <w:szCs w:val="22"/>
        </w:rPr>
        <w:t xml:space="preserve"> (Figure D.3</w:t>
      </w:r>
      <w:r>
        <w:rPr>
          <w:sz w:val="22"/>
          <w:szCs w:val="22"/>
        </w:rPr>
        <w:t>)</w:t>
      </w:r>
      <w:r w:rsidRPr="00CE52BE">
        <w:rPr>
          <w:sz w:val="22"/>
          <w:szCs w:val="22"/>
        </w:rPr>
        <w:t>. The timing of peak movements of both species is consistent with previously reported spawning windows for each species. Commonwealth watering occurred in conjunction with suitable water temperatures, and the volumes of water delivered enabled movement among all zones.</w:t>
      </w:r>
    </w:p>
    <w:p w14:paraId="638F0B06" w14:textId="0CF83056" w:rsidR="002C68B5" w:rsidRDefault="002C68B5" w:rsidP="002C68B5">
      <w:pPr>
        <w:pStyle w:val="ListBullet"/>
        <w:spacing w:after="240" w:line="320" w:lineRule="exact"/>
        <w:contextualSpacing w:val="0"/>
        <w:jc w:val="left"/>
        <w:rPr>
          <w:sz w:val="22"/>
          <w:szCs w:val="22"/>
        </w:rPr>
      </w:pPr>
      <w:r w:rsidRPr="00CE52BE">
        <w:rPr>
          <w:sz w:val="22"/>
          <w:szCs w:val="22"/>
        </w:rPr>
        <w:t xml:space="preserve">The majority of golden perch movements occurred between mid-September and mid-November 2015 when water temperatures ranged from 20–25 </w:t>
      </w:r>
      <w:r w:rsidRPr="00CE52BE">
        <w:rPr>
          <w:sz w:val="22"/>
          <w:szCs w:val="22"/>
          <w:vertAlign w:val="superscript"/>
        </w:rPr>
        <w:t>o</w:t>
      </w:r>
      <w:r w:rsidRPr="00CE52BE">
        <w:rPr>
          <w:sz w:val="22"/>
          <w:szCs w:val="22"/>
        </w:rPr>
        <w:t>C</w:t>
      </w:r>
      <w:r>
        <w:rPr>
          <w:sz w:val="22"/>
          <w:szCs w:val="22"/>
        </w:rPr>
        <w:t xml:space="preserve"> </w:t>
      </w:r>
      <w:r w:rsidR="0081432D">
        <w:rPr>
          <w:sz w:val="22"/>
          <w:szCs w:val="22"/>
        </w:rPr>
        <w:t>(Figure D.4)</w:t>
      </w:r>
      <w:r w:rsidRPr="00CE52BE">
        <w:rPr>
          <w:sz w:val="22"/>
          <w:szCs w:val="22"/>
        </w:rPr>
        <w:t xml:space="preserve">. </w:t>
      </w:r>
      <w:r>
        <w:rPr>
          <w:sz w:val="22"/>
          <w:szCs w:val="22"/>
        </w:rPr>
        <w:t>The majority of golden perch moved very small distances downstream and all of the tagged golden perch remained within the zone 3 throughout the study period (Figure D</w:t>
      </w:r>
      <w:r w:rsidR="0081432D">
        <w:rPr>
          <w:sz w:val="22"/>
          <w:szCs w:val="22"/>
        </w:rPr>
        <w:t>.</w:t>
      </w:r>
      <w:r>
        <w:rPr>
          <w:sz w:val="22"/>
          <w:szCs w:val="22"/>
        </w:rPr>
        <w:t>4).  The movements of these fish in 2015-16 are less than distances reported for tagged fish</w:t>
      </w:r>
      <w:r w:rsidR="0081432D">
        <w:rPr>
          <w:sz w:val="22"/>
          <w:szCs w:val="22"/>
        </w:rPr>
        <w:t xml:space="preserve"> in 2013-14, when</w:t>
      </w:r>
      <w:r>
        <w:rPr>
          <w:sz w:val="22"/>
          <w:szCs w:val="22"/>
        </w:rPr>
        <w:t xml:space="preserve"> one golden perch move</w:t>
      </w:r>
      <w:r w:rsidR="0081432D">
        <w:rPr>
          <w:sz w:val="22"/>
          <w:szCs w:val="22"/>
        </w:rPr>
        <w:t>d</w:t>
      </w:r>
      <w:r>
        <w:rPr>
          <w:sz w:val="22"/>
          <w:szCs w:val="22"/>
        </w:rPr>
        <w:t xml:space="preserve"> upstream to Gulpa Creek and another into the upper Edward River (Watts et al. 2014). </w:t>
      </w:r>
      <w:r w:rsidRPr="00222EE2">
        <w:rPr>
          <w:sz w:val="22"/>
          <w:szCs w:val="22"/>
        </w:rPr>
        <w:t xml:space="preserve">The largest upstream movement </w:t>
      </w:r>
      <w:r>
        <w:rPr>
          <w:sz w:val="22"/>
          <w:szCs w:val="22"/>
        </w:rPr>
        <w:t xml:space="preserve">in 2015-16 was </w:t>
      </w:r>
      <w:r w:rsidRPr="00222EE2">
        <w:rPr>
          <w:sz w:val="22"/>
          <w:szCs w:val="22"/>
        </w:rPr>
        <w:t xml:space="preserve">into Yallakool Creek </w:t>
      </w:r>
      <w:r>
        <w:rPr>
          <w:sz w:val="22"/>
          <w:szCs w:val="22"/>
        </w:rPr>
        <w:t>where an</w:t>
      </w:r>
      <w:r w:rsidRPr="00222EE2">
        <w:rPr>
          <w:sz w:val="22"/>
          <w:szCs w:val="22"/>
        </w:rPr>
        <w:t xml:space="preserve"> </w:t>
      </w:r>
      <w:r>
        <w:rPr>
          <w:sz w:val="22"/>
          <w:szCs w:val="22"/>
        </w:rPr>
        <w:t>individual</w:t>
      </w:r>
      <w:r w:rsidRPr="00222EE2">
        <w:rPr>
          <w:sz w:val="22"/>
          <w:szCs w:val="22"/>
        </w:rPr>
        <w:t xml:space="preserve"> golden perch </w:t>
      </w:r>
      <w:r>
        <w:rPr>
          <w:sz w:val="22"/>
          <w:szCs w:val="22"/>
        </w:rPr>
        <w:t xml:space="preserve">was </w:t>
      </w:r>
      <w:r w:rsidRPr="00222EE2">
        <w:rPr>
          <w:sz w:val="22"/>
          <w:szCs w:val="22"/>
        </w:rPr>
        <w:t>detected approximately 12 km upstream of Wakool Reserve on 3/10/15</w:t>
      </w:r>
      <w:r>
        <w:rPr>
          <w:sz w:val="22"/>
          <w:szCs w:val="22"/>
        </w:rPr>
        <w:t xml:space="preserve"> </w:t>
      </w:r>
      <w:r w:rsidRPr="002C68B5">
        <w:rPr>
          <w:sz w:val="22"/>
          <w:szCs w:val="22"/>
        </w:rPr>
        <w:t>(Figure D.3c)</w:t>
      </w:r>
      <w:r w:rsidRPr="00222EE2">
        <w:rPr>
          <w:sz w:val="22"/>
          <w:szCs w:val="22"/>
        </w:rPr>
        <w:t>.</w:t>
      </w:r>
      <w:r>
        <w:rPr>
          <w:sz w:val="22"/>
          <w:szCs w:val="22"/>
        </w:rPr>
        <w:t xml:space="preserve"> Of the individuals that moved upstream, more went into </w:t>
      </w:r>
      <w:r w:rsidRPr="00CE52BE">
        <w:rPr>
          <w:sz w:val="22"/>
          <w:szCs w:val="22"/>
        </w:rPr>
        <w:t xml:space="preserve">the upper Wakool River (zone 2) than into Yallakool Creek (zone 1) during </w:t>
      </w:r>
      <w:r>
        <w:rPr>
          <w:sz w:val="22"/>
          <w:szCs w:val="22"/>
        </w:rPr>
        <w:t xml:space="preserve">environmental </w:t>
      </w:r>
      <w:r w:rsidRPr="00CE52BE">
        <w:rPr>
          <w:sz w:val="22"/>
          <w:szCs w:val="22"/>
        </w:rPr>
        <w:t>water delivery</w:t>
      </w:r>
      <w:r>
        <w:rPr>
          <w:sz w:val="22"/>
          <w:szCs w:val="22"/>
        </w:rPr>
        <w:t xml:space="preserve"> (Figure D</w:t>
      </w:r>
      <w:r w:rsidR="0081432D">
        <w:rPr>
          <w:sz w:val="22"/>
          <w:szCs w:val="22"/>
        </w:rPr>
        <w:t>.</w:t>
      </w:r>
      <w:r>
        <w:rPr>
          <w:sz w:val="22"/>
          <w:szCs w:val="22"/>
        </w:rPr>
        <w:t>4)</w:t>
      </w:r>
      <w:r w:rsidRPr="00CE52BE">
        <w:rPr>
          <w:sz w:val="22"/>
          <w:szCs w:val="22"/>
        </w:rPr>
        <w:t xml:space="preserve">. </w:t>
      </w:r>
      <w:r>
        <w:rPr>
          <w:sz w:val="22"/>
          <w:szCs w:val="22"/>
        </w:rPr>
        <w:t>This is different to upstream movement patterns of golden perch observed in 2013-14, when more golden perch moved into Yallakool Creek than the Wakool River (Watts et al. 2014). There is no obvious explanation for this preference, however the number of fish and distances moved upstream are small and are not significant for this species.</w:t>
      </w:r>
    </w:p>
    <w:p w14:paraId="01A6E2B0" w14:textId="7C634A7A" w:rsidR="002C68B5" w:rsidRDefault="002C68B5" w:rsidP="002C68B5">
      <w:pPr>
        <w:pStyle w:val="ListBullet"/>
        <w:spacing w:after="240" w:line="320" w:lineRule="exact"/>
        <w:contextualSpacing w:val="0"/>
        <w:jc w:val="left"/>
        <w:rPr>
          <w:sz w:val="22"/>
          <w:szCs w:val="22"/>
        </w:rPr>
      </w:pPr>
      <w:r w:rsidRPr="00CE52BE">
        <w:rPr>
          <w:sz w:val="22"/>
          <w:szCs w:val="22"/>
        </w:rPr>
        <w:t xml:space="preserve">Samples sizes of </w:t>
      </w:r>
      <w:r>
        <w:rPr>
          <w:sz w:val="22"/>
          <w:szCs w:val="22"/>
        </w:rPr>
        <w:t xml:space="preserve">tagged </w:t>
      </w:r>
      <w:r w:rsidRPr="00CE52BE">
        <w:rPr>
          <w:sz w:val="22"/>
          <w:szCs w:val="22"/>
        </w:rPr>
        <w:t>silver perch were low</w:t>
      </w:r>
      <w:r>
        <w:rPr>
          <w:sz w:val="22"/>
          <w:szCs w:val="22"/>
        </w:rPr>
        <w:t>.</w:t>
      </w:r>
      <w:r w:rsidRPr="00CE52BE">
        <w:rPr>
          <w:sz w:val="22"/>
          <w:szCs w:val="22"/>
        </w:rPr>
        <w:t xml:space="preserve"> </w:t>
      </w:r>
      <w:r>
        <w:rPr>
          <w:sz w:val="22"/>
          <w:szCs w:val="22"/>
        </w:rPr>
        <w:t>All of the tagged</w:t>
      </w:r>
      <w:r w:rsidRPr="00CE52BE">
        <w:rPr>
          <w:sz w:val="22"/>
          <w:szCs w:val="22"/>
        </w:rPr>
        <w:t xml:space="preserve"> silver perch remained within the Edward-Wakool selected area during water delivery</w:t>
      </w:r>
      <w:r>
        <w:rPr>
          <w:sz w:val="22"/>
          <w:szCs w:val="22"/>
        </w:rPr>
        <w:t xml:space="preserve"> and only one silver perch </w:t>
      </w:r>
      <w:r w:rsidRPr="00222EE2">
        <w:rPr>
          <w:sz w:val="22"/>
          <w:szCs w:val="22"/>
        </w:rPr>
        <w:t>was detected o</w:t>
      </w:r>
      <w:r>
        <w:rPr>
          <w:sz w:val="22"/>
          <w:szCs w:val="22"/>
        </w:rPr>
        <w:t xml:space="preserve">utside of the fine-scale array at </w:t>
      </w:r>
      <w:r w:rsidRPr="00222EE2">
        <w:rPr>
          <w:sz w:val="22"/>
          <w:szCs w:val="22"/>
        </w:rPr>
        <w:t>Gee Gee Bridge, approximately 134 km downstream from Wakool Reserve (</w:t>
      </w:r>
      <w:r w:rsidRPr="002C68B5">
        <w:rPr>
          <w:sz w:val="22"/>
          <w:szCs w:val="22"/>
        </w:rPr>
        <w:t>Figure D.3d</w:t>
      </w:r>
      <w:r w:rsidRPr="00222EE2">
        <w:rPr>
          <w:sz w:val="22"/>
          <w:szCs w:val="22"/>
        </w:rPr>
        <w:t>)</w:t>
      </w:r>
      <w:r>
        <w:rPr>
          <w:sz w:val="22"/>
          <w:szCs w:val="22"/>
        </w:rPr>
        <w:t>. T</w:t>
      </w:r>
      <w:r w:rsidRPr="00CE52BE">
        <w:rPr>
          <w:sz w:val="22"/>
          <w:szCs w:val="22"/>
        </w:rPr>
        <w:t xml:space="preserve">his </w:t>
      </w:r>
      <w:r>
        <w:rPr>
          <w:sz w:val="22"/>
          <w:szCs w:val="22"/>
        </w:rPr>
        <w:t xml:space="preserve">movement </w:t>
      </w:r>
      <w:r w:rsidRPr="00CE52BE">
        <w:rPr>
          <w:sz w:val="22"/>
          <w:szCs w:val="22"/>
        </w:rPr>
        <w:t>occurred only for a brief period of time (6</w:t>
      </w:r>
      <w:r w:rsidRPr="00CE52BE">
        <w:rPr>
          <w:sz w:val="22"/>
          <w:szCs w:val="22"/>
          <w:vertAlign w:val="superscript"/>
        </w:rPr>
        <w:t>th</w:t>
      </w:r>
      <w:r w:rsidRPr="00CE52BE">
        <w:rPr>
          <w:sz w:val="22"/>
          <w:szCs w:val="22"/>
        </w:rPr>
        <w:t xml:space="preserve"> to 10</w:t>
      </w:r>
      <w:r w:rsidRPr="00CE52BE">
        <w:rPr>
          <w:sz w:val="22"/>
          <w:szCs w:val="22"/>
          <w:vertAlign w:val="superscript"/>
        </w:rPr>
        <w:t>th</w:t>
      </w:r>
      <w:r w:rsidRPr="00CE52BE">
        <w:rPr>
          <w:sz w:val="22"/>
          <w:szCs w:val="22"/>
        </w:rPr>
        <w:t xml:space="preserve"> February 2016)</w:t>
      </w:r>
      <w:r>
        <w:rPr>
          <w:sz w:val="22"/>
          <w:szCs w:val="22"/>
        </w:rPr>
        <w:t xml:space="preserve"> after which the fish returned to zone 3</w:t>
      </w:r>
      <w:r w:rsidRPr="00CE52BE">
        <w:rPr>
          <w:sz w:val="22"/>
          <w:szCs w:val="22"/>
        </w:rPr>
        <w:t>.</w:t>
      </w:r>
      <w:r w:rsidRPr="00222EE2">
        <w:rPr>
          <w:sz w:val="22"/>
          <w:szCs w:val="22"/>
        </w:rPr>
        <w:t xml:space="preserve"> Another silver perch accounted for the furthest upstream </w:t>
      </w:r>
      <w:r>
        <w:rPr>
          <w:sz w:val="22"/>
          <w:szCs w:val="22"/>
        </w:rPr>
        <w:t>movement</w:t>
      </w:r>
      <w:r w:rsidRPr="00222EE2">
        <w:rPr>
          <w:sz w:val="22"/>
          <w:szCs w:val="22"/>
        </w:rPr>
        <w:t>, and on 8/10/15 was detected approximately 30 k</w:t>
      </w:r>
      <w:r>
        <w:rPr>
          <w:sz w:val="22"/>
          <w:szCs w:val="22"/>
        </w:rPr>
        <w:t>m upstream from Wakool Reserve i</w:t>
      </w:r>
      <w:r w:rsidRPr="00222EE2">
        <w:rPr>
          <w:sz w:val="22"/>
          <w:szCs w:val="22"/>
        </w:rPr>
        <w:t xml:space="preserve">n the Wakool River. </w:t>
      </w:r>
      <w:r>
        <w:rPr>
          <w:sz w:val="22"/>
          <w:szCs w:val="22"/>
        </w:rPr>
        <w:t xml:space="preserve">These are very small movements for a species that has the ability to travel long distances. </w:t>
      </w:r>
    </w:p>
    <w:p w14:paraId="01F1F1EC" w14:textId="7FEE0E96" w:rsidR="0081432D" w:rsidRDefault="0081432D" w:rsidP="002C68B5">
      <w:pPr>
        <w:pStyle w:val="ListBullet"/>
        <w:spacing w:after="240" w:line="320" w:lineRule="exact"/>
        <w:contextualSpacing w:val="0"/>
        <w:jc w:val="left"/>
        <w:rPr>
          <w:sz w:val="22"/>
          <w:szCs w:val="22"/>
        </w:rPr>
      </w:pPr>
      <w:r>
        <w:rPr>
          <w:sz w:val="22"/>
          <w:szCs w:val="22"/>
        </w:rPr>
        <w:t>During this study period no</w:t>
      </w:r>
      <w:r w:rsidRPr="0081432D">
        <w:rPr>
          <w:sz w:val="22"/>
          <w:szCs w:val="22"/>
        </w:rPr>
        <w:t xml:space="preserve"> fish tagged as part of other studies from outside </w:t>
      </w:r>
      <w:r>
        <w:rPr>
          <w:sz w:val="22"/>
          <w:szCs w:val="22"/>
        </w:rPr>
        <w:t xml:space="preserve">the Edward-Wakool system were detected by the array. This report includes movement data until onbly early April 2016, so it is not possible to evaluate a response of fish movement to the algal bloom reported in section 5. </w:t>
      </w:r>
    </w:p>
    <w:p w14:paraId="484AC8EF" w14:textId="77777777" w:rsidR="002C68B5" w:rsidRPr="00935D0A" w:rsidRDefault="002C68B5" w:rsidP="008E6212">
      <w:pPr>
        <w:spacing w:line="324" w:lineRule="exact"/>
        <w:jc w:val="left"/>
        <w:rPr>
          <w:rFonts w:asciiTheme="minorHAnsi" w:hAnsiTheme="minorHAnsi"/>
          <w:szCs w:val="22"/>
        </w:rPr>
      </w:pPr>
    </w:p>
    <w:p w14:paraId="3B4F9186" w14:textId="77777777" w:rsidR="008E6212" w:rsidRDefault="008E6212" w:rsidP="008E6212">
      <w:pPr>
        <w:pStyle w:val="BodyText"/>
        <w:rPr>
          <w:color w:val="76923C" w:themeColor="accent3" w:themeShade="BF"/>
        </w:rPr>
      </w:pPr>
    </w:p>
    <w:p w14:paraId="3B4F9187" w14:textId="77777777" w:rsidR="008E6212" w:rsidRDefault="00BC485A" w:rsidP="008E6212">
      <w:pPr>
        <w:pStyle w:val="BodyText"/>
        <w:jc w:val="center"/>
        <w:rPr>
          <w:color w:val="76923C" w:themeColor="accent3" w:themeShade="BF"/>
        </w:rPr>
      </w:pPr>
      <w:r>
        <w:rPr>
          <w:noProof/>
          <w:color w:val="76923C" w:themeColor="accent3" w:themeShade="BF"/>
          <w:lang w:val="en-AU" w:eastAsia="en-AU"/>
        </w:rPr>
        <w:lastRenderedPageBreak/>
        <w:drawing>
          <wp:inline distT="0" distB="0" distL="0" distR="0" wp14:anchorId="3B4F965E" wp14:editId="74C97DC4">
            <wp:extent cx="5041900" cy="5572125"/>
            <wp:effectExtent l="0" t="0" r="635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041900" cy="5572125"/>
                    </a:xfrm>
                    <a:prstGeom prst="rect">
                      <a:avLst/>
                    </a:prstGeom>
                    <a:noFill/>
                  </pic:spPr>
                </pic:pic>
              </a:graphicData>
            </a:graphic>
          </wp:inline>
        </w:drawing>
      </w:r>
    </w:p>
    <w:p w14:paraId="3B4F9188" w14:textId="77777777" w:rsidR="008E6212" w:rsidRDefault="008E6212" w:rsidP="008E6212">
      <w:pPr>
        <w:spacing w:after="0" w:line="240" w:lineRule="auto"/>
        <w:jc w:val="left"/>
        <w:rPr>
          <w:rFonts w:asciiTheme="minorHAnsi" w:hAnsiTheme="minorHAnsi"/>
          <w:sz w:val="20"/>
        </w:rPr>
      </w:pPr>
      <w:r w:rsidRPr="00935D0A">
        <w:rPr>
          <w:rFonts w:asciiTheme="minorHAnsi" w:hAnsiTheme="minorHAnsi"/>
          <w:b/>
          <w:sz w:val="20"/>
        </w:rPr>
        <w:t xml:space="preserve">Figure </w:t>
      </w:r>
      <w:r>
        <w:rPr>
          <w:rFonts w:asciiTheme="minorHAnsi" w:hAnsiTheme="minorHAnsi"/>
          <w:b/>
          <w:sz w:val="20"/>
        </w:rPr>
        <w:t>D.</w:t>
      </w:r>
      <w:r w:rsidR="00F774C7">
        <w:rPr>
          <w:rFonts w:asciiTheme="minorHAnsi" w:hAnsiTheme="minorHAnsi"/>
          <w:b/>
          <w:sz w:val="20"/>
        </w:rPr>
        <w:t>3</w:t>
      </w:r>
      <w:r w:rsidR="00F774C7">
        <w:rPr>
          <w:rFonts w:asciiTheme="minorHAnsi" w:hAnsiTheme="minorHAnsi"/>
          <w:sz w:val="20"/>
        </w:rPr>
        <w:t>a</w:t>
      </w:r>
      <w:r w:rsidRPr="00935D0A">
        <w:rPr>
          <w:rFonts w:asciiTheme="minorHAnsi" w:hAnsiTheme="minorHAnsi"/>
          <w:sz w:val="20"/>
        </w:rPr>
        <w:t>) Me</w:t>
      </w:r>
      <w:r w:rsidR="00F774C7">
        <w:rPr>
          <w:rFonts w:asciiTheme="minorHAnsi" w:hAnsiTheme="minorHAnsi"/>
          <w:sz w:val="20"/>
        </w:rPr>
        <w:t>an daily water temperature and b</w:t>
      </w:r>
      <w:r w:rsidRPr="00935D0A">
        <w:rPr>
          <w:rFonts w:asciiTheme="minorHAnsi" w:hAnsiTheme="minorHAnsi"/>
          <w:sz w:val="20"/>
        </w:rPr>
        <w:t>) mean daily discharge at Wakool Reserve (Zone 3) and associated daily location of acoustically tag</w:t>
      </w:r>
      <w:r w:rsidR="00F774C7">
        <w:rPr>
          <w:rFonts w:asciiTheme="minorHAnsi" w:hAnsiTheme="minorHAnsi"/>
          <w:sz w:val="20"/>
        </w:rPr>
        <w:t>ged b) golden perch and d</w:t>
      </w:r>
      <w:r w:rsidRPr="00935D0A">
        <w:rPr>
          <w:rFonts w:asciiTheme="minorHAnsi" w:hAnsiTheme="minorHAnsi"/>
          <w:sz w:val="20"/>
        </w:rPr>
        <w:t xml:space="preserve">) silver perch. Different coloured lines represent different tagged individuals and 0 km represents the location of Wakool Reserve, with positive numbers representing upstream locations and negative numbers downstream locations. </w:t>
      </w:r>
    </w:p>
    <w:p w14:paraId="3B4F9189" w14:textId="77777777" w:rsidR="008E6212" w:rsidRDefault="008E6212" w:rsidP="008E6212">
      <w:pPr>
        <w:spacing w:after="0" w:line="240" w:lineRule="auto"/>
        <w:jc w:val="left"/>
        <w:rPr>
          <w:rFonts w:asciiTheme="minorHAnsi" w:hAnsiTheme="minorHAnsi"/>
          <w:sz w:val="20"/>
        </w:rPr>
      </w:pPr>
      <w:r>
        <w:rPr>
          <w:rFonts w:asciiTheme="minorHAnsi" w:hAnsiTheme="minorHAnsi"/>
          <w:sz w:val="20"/>
        </w:rPr>
        <w:br w:type="page"/>
      </w:r>
    </w:p>
    <w:p w14:paraId="3B4F918A" w14:textId="77777777" w:rsidR="008E6212" w:rsidRDefault="00BC485A" w:rsidP="008E6212">
      <w:pPr>
        <w:pStyle w:val="BodyText"/>
        <w:jc w:val="center"/>
        <w:rPr>
          <w:color w:val="76923C" w:themeColor="accent3" w:themeShade="BF"/>
        </w:rPr>
      </w:pPr>
      <w:r>
        <w:rPr>
          <w:noProof/>
          <w:color w:val="76923C" w:themeColor="accent3" w:themeShade="BF"/>
          <w:lang w:val="en-AU" w:eastAsia="en-AU"/>
        </w:rPr>
        <w:lastRenderedPageBreak/>
        <w:drawing>
          <wp:inline distT="0" distB="0" distL="0" distR="0" wp14:anchorId="3B4F9660" wp14:editId="716F2369">
            <wp:extent cx="5041900" cy="565150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041900" cy="5651500"/>
                    </a:xfrm>
                    <a:prstGeom prst="rect">
                      <a:avLst/>
                    </a:prstGeom>
                    <a:noFill/>
                  </pic:spPr>
                </pic:pic>
              </a:graphicData>
            </a:graphic>
          </wp:inline>
        </w:drawing>
      </w:r>
    </w:p>
    <w:p w14:paraId="3B4F918B" w14:textId="77777777" w:rsidR="008E6212" w:rsidRDefault="008E6212" w:rsidP="008E6212">
      <w:pPr>
        <w:pStyle w:val="BodyText"/>
        <w:spacing w:line="240" w:lineRule="auto"/>
        <w:jc w:val="left"/>
        <w:rPr>
          <w:rFonts w:asciiTheme="minorHAnsi" w:hAnsiTheme="minorHAnsi"/>
          <w:sz w:val="20"/>
          <w:szCs w:val="20"/>
        </w:rPr>
      </w:pPr>
      <w:r w:rsidRPr="00935D0A">
        <w:rPr>
          <w:rFonts w:asciiTheme="minorHAnsi" w:hAnsiTheme="minorHAnsi"/>
          <w:b/>
          <w:sz w:val="20"/>
          <w:szCs w:val="20"/>
        </w:rPr>
        <w:t xml:space="preserve">Figure </w:t>
      </w:r>
      <w:r>
        <w:rPr>
          <w:rFonts w:asciiTheme="minorHAnsi" w:hAnsiTheme="minorHAnsi"/>
          <w:b/>
          <w:sz w:val="20"/>
          <w:szCs w:val="20"/>
        </w:rPr>
        <w:t>D.</w:t>
      </w:r>
      <w:r w:rsidR="00F774C7">
        <w:rPr>
          <w:rFonts w:asciiTheme="minorHAnsi" w:hAnsiTheme="minorHAnsi"/>
          <w:b/>
          <w:sz w:val="20"/>
          <w:szCs w:val="20"/>
        </w:rPr>
        <w:t>4</w:t>
      </w:r>
      <w:r w:rsidR="00F774C7">
        <w:rPr>
          <w:rFonts w:asciiTheme="minorHAnsi" w:hAnsiTheme="minorHAnsi"/>
          <w:sz w:val="20"/>
          <w:szCs w:val="20"/>
        </w:rPr>
        <w:t xml:space="preserve"> a</w:t>
      </w:r>
      <w:r w:rsidRPr="00935D0A">
        <w:rPr>
          <w:rFonts w:asciiTheme="minorHAnsi" w:hAnsiTheme="minorHAnsi"/>
          <w:sz w:val="20"/>
          <w:szCs w:val="20"/>
        </w:rPr>
        <w:t>) Me</w:t>
      </w:r>
      <w:r w:rsidR="00F774C7">
        <w:rPr>
          <w:rFonts w:asciiTheme="minorHAnsi" w:hAnsiTheme="minorHAnsi"/>
          <w:sz w:val="20"/>
          <w:szCs w:val="20"/>
        </w:rPr>
        <w:t>an daily water temperature and b</w:t>
      </w:r>
      <w:r w:rsidRPr="00935D0A">
        <w:rPr>
          <w:rFonts w:asciiTheme="minorHAnsi" w:hAnsiTheme="minorHAnsi"/>
          <w:sz w:val="20"/>
          <w:szCs w:val="20"/>
        </w:rPr>
        <w:t>) mean daily discharge at Wakool Reserve (Zone 3) and associated daily location within each LTIM foc</w:t>
      </w:r>
      <w:r w:rsidR="00F774C7">
        <w:rPr>
          <w:rFonts w:asciiTheme="minorHAnsi" w:hAnsiTheme="minorHAnsi"/>
          <w:sz w:val="20"/>
          <w:szCs w:val="20"/>
        </w:rPr>
        <w:t>al zone of acoustically tagged b) golden perch and d</w:t>
      </w:r>
      <w:r w:rsidRPr="00935D0A">
        <w:rPr>
          <w:rFonts w:asciiTheme="minorHAnsi" w:hAnsiTheme="minorHAnsi"/>
          <w:sz w:val="20"/>
          <w:szCs w:val="20"/>
        </w:rPr>
        <w:t>) silver perch. Different colours represent hydrological zones</w:t>
      </w:r>
      <w:r>
        <w:rPr>
          <w:rFonts w:asciiTheme="minorHAnsi" w:hAnsiTheme="minorHAnsi"/>
          <w:sz w:val="20"/>
          <w:szCs w:val="20"/>
        </w:rPr>
        <w:t>.</w:t>
      </w:r>
    </w:p>
    <w:p w14:paraId="3B4F918C" w14:textId="77777777" w:rsidR="008E6212" w:rsidRDefault="008E6212" w:rsidP="008E6212">
      <w:pPr>
        <w:spacing w:after="0" w:line="240" w:lineRule="auto"/>
        <w:jc w:val="left"/>
        <w:rPr>
          <w:rFonts w:asciiTheme="minorHAnsi" w:hAnsiTheme="minorHAnsi"/>
          <w:sz w:val="20"/>
          <w:lang w:val="en-US"/>
        </w:rPr>
      </w:pPr>
      <w:r>
        <w:rPr>
          <w:rFonts w:asciiTheme="minorHAnsi" w:hAnsiTheme="minorHAnsi"/>
          <w:sz w:val="20"/>
        </w:rPr>
        <w:br w:type="page"/>
      </w:r>
    </w:p>
    <w:p w14:paraId="3B4F918D" w14:textId="77777777" w:rsidR="008E6212" w:rsidRDefault="00BC485A" w:rsidP="008E6212">
      <w:pPr>
        <w:pStyle w:val="BodyText"/>
        <w:spacing w:line="240" w:lineRule="auto"/>
        <w:jc w:val="center"/>
        <w:rPr>
          <w:rFonts w:asciiTheme="minorHAnsi" w:hAnsiTheme="minorHAnsi"/>
          <w:color w:val="76923C" w:themeColor="accent3" w:themeShade="BF"/>
          <w:sz w:val="20"/>
          <w:szCs w:val="20"/>
        </w:rPr>
      </w:pPr>
      <w:r>
        <w:rPr>
          <w:rFonts w:asciiTheme="minorHAnsi" w:hAnsiTheme="minorHAnsi"/>
          <w:noProof/>
          <w:color w:val="76923C" w:themeColor="accent3" w:themeShade="BF"/>
          <w:sz w:val="20"/>
          <w:szCs w:val="20"/>
          <w:lang w:val="en-AU" w:eastAsia="en-AU"/>
        </w:rPr>
        <w:lastRenderedPageBreak/>
        <w:drawing>
          <wp:inline distT="0" distB="0" distL="0" distR="0" wp14:anchorId="3B4F9662" wp14:editId="53F9A000">
            <wp:extent cx="5041900" cy="559054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041900" cy="5590540"/>
                    </a:xfrm>
                    <a:prstGeom prst="rect">
                      <a:avLst/>
                    </a:prstGeom>
                    <a:noFill/>
                  </pic:spPr>
                </pic:pic>
              </a:graphicData>
            </a:graphic>
          </wp:inline>
        </w:drawing>
      </w:r>
    </w:p>
    <w:p w14:paraId="3B4F918E" w14:textId="77777777" w:rsidR="008E6212" w:rsidRDefault="008E6212" w:rsidP="008E6212">
      <w:pPr>
        <w:pStyle w:val="BodyText"/>
        <w:spacing w:line="240" w:lineRule="auto"/>
        <w:rPr>
          <w:rFonts w:asciiTheme="minorHAnsi" w:hAnsiTheme="minorHAnsi"/>
          <w:color w:val="76923C" w:themeColor="accent3" w:themeShade="BF"/>
          <w:sz w:val="20"/>
          <w:szCs w:val="20"/>
        </w:rPr>
      </w:pPr>
    </w:p>
    <w:p w14:paraId="3B4F918F" w14:textId="77777777" w:rsidR="008E6212" w:rsidRDefault="008E6212" w:rsidP="008E6212">
      <w:pPr>
        <w:spacing w:after="0" w:line="240" w:lineRule="auto"/>
        <w:jc w:val="left"/>
        <w:rPr>
          <w:rFonts w:asciiTheme="minorHAnsi" w:hAnsiTheme="minorHAnsi"/>
          <w:sz w:val="20"/>
        </w:rPr>
      </w:pPr>
      <w:r w:rsidRPr="009642FF">
        <w:rPr>
          <w:rFonts w:asciiTheme="minorHAnsi" w:hAnsiTheme="minorHAnsi"/>
          <w:b/>
          <w:sz w:val="20"/>
        </w:rPr>
        <w:t xml:space="preserve">Figure </w:t>
      </w:r>
      <w:r>
        <w:rPr>
          <w:rFonts w:asciiTheme="minorHAnsi" w:hAnsiTheme="minorHAnsi"/>
          <w:b/>
          <w:sz w:val="20"/>
        </w:rPr>
        <w:t>D</w:t>
      </w:r>
      <w:r w:rsidRPr="009642FF">
        <w:rPr>
          <w:rFonts w:asciiTheme="minorHAnsi" w:hAnsiTheme="minorHAnsi"/>
          <w:b/>
          <w:sz w:val="20"/>
        </w:rPr>
        <w:t>.</w:t>
      </w:r>
      <w:r w:rsidR="00F774C7">
        <w:rPr>
          <w:rFonts w:asciiTheme="minorHAnsi" w:hAnsiTheme="minorHAnsi"/>
          <w:b/>
          <w:sz w:val="20"/>
        </w:rPr>
        <w:t>5</w:t>
      </w:r>
      <w:r w:rsidR="00F774C7">
        <w:rPr>
          <w:rFonts w:asciiTheme="minorHAnsi" w:hAnsiTheme="minorHAnsi"/>
          <w:sz w:val="20"/>
        </w:rPr>
        <w:t xml:space="preserve"> a</w:t>
      </w:r>
      <w:r w:rsidRPr="009642FF">
        <w:rPr>
          <w:rFonts w:asciiTheme="minorHAnsi" w:hAnsiTheme="minorHAnsi"/>
          <w:sz w:val="20"/>
        </w:rPr>
        <w:t>) Me</w:t>
      </w:r>
      <w:r w:rsidR="00F774C7">
        <w:rPr>
          <w:rFonts w:asciiTheme="minorHAnsi" w:hAnsiTheme="minorHAnsi"/>
          <w:sz w:val="20"/>
        </w:rPr>
        <w:t>an daily water temperature and b</w:t>
      </w:r>
      <w:r w:rsidRPr="009642FF">
        <w:rPr>
          <w:rFonts w:asciiTheme="minorHAnsi" w:hAnsiTheme="minorHAnsi"/>
          <w:sz w:val="20"/>
        </w:rPr>
        <w:t>) mean daily discharge at Wakool Reserve (Zone 3) and associated absolute cumulative daily distance</w:t>
      </w:r>
      <w:r w:rsidR="00F774C7">
        <w:rPr>
          <w:rFonts w:asciiTheme="minorHAnsi" w:hAnsiTheme="minorHAnsi"/>
          <w:sz w:val="20"/>
        </w:rPr>
        <w:t>d moved by acoustically tagged c) golden perch and d</w:t>
      </w:r>
      <w:r w:rsidRPr="009642FF">
        <w:rPr>
          <w:rFonts w:asciiTheme="minorHAnsi" w:hAnsiTheme="minorHAnsi"/>
          <w:sz w:val="20"/>
        </w:rPr>
        <w:t>) silver perch. Different coloured lines represent different tagged individuals and steeper lines indicate periods of rapid movement.</w:t>
      </w:r>
    </w:p>
    <w:p w14:paraId="3B4F9190" w14:textId="77777777" w:rsidR="008E6212" w:rsidRDefault="008E6212" w:rsidP="008E6212">
      <w:pPr>
        <w:spacing w:after="0" w:line="240" w:lineRule="auto"/>
        <w:jc w:val="left"/>
        <w:rPr>
          <w:rFonts w:asciiTheme="minorHAnsi" w:hAnsiTheme="minorHAnsi"/>
          <w:sz w:val="20"/>
        </w:rPr>
      </w:pPr>
      <w:r>
        <w:rPr>
          <w:rFonts w:asciiTheme="minorHAnsi" w:hAnsiTheme="minorHAnsi"/>
          <w:sz w:val="20"/>
        </w:rPr>
        <w:br w:type="page"/>
      </w:r>
    </w:p>
    <w:p w14:paraId="3B4F9191" w14:textId="77777777" w:rsidR="008E6212" w:rsidRPr="00337C70" w:rsidRDefault="008E6212" w:rsidP="008E6212">
      <w:pPr>
        <w:pStyle w:val="BodyText"/>
        <w:spacing w:after="240" w:line="320" w:lineRule="exact"/>
        <w:rPr>
          <w:rFonts w:asciiTheme="minorHAnsi" w:hAnsiTheme="minorHAnsi"/>
          <w:b/>
          <w:i/>
          <w:color w:val="4F6228" w:themeColor="accent3" w:themeShade="80"/>
        </w:rPr>
      </w:pPr>
      <w:r w:rsidRPr="00337C70">
        <w:rPr>
          <w:rFonts w:asciiTheme="minorHAnsi" w:hAnsiTheme="minorHAnsi"/>
          <w:b/>
          <w:i/>
          <w:color w:val="4F6228" w:themeColor="accent3" w:themeShade="80"/>
        </w:rPr>
        <w:lastRenderedPageBreak/>
        <w:t>Fish spawning and reproduction</w:t>
      </w:r>
    </w:p>
    <w:p w14:paraId="3B4F9192" w14:textId="031E9653" w:rsidR="008E6212" w:rsidRDefault="008E6212" w:rsidP="008E6212">
      <w:pPr>
        <w:spacing w:after="240" w:line="320" w:lineRule="exact"/>
        <w:jc w:val="left"/>
      </w:pPr>
      <w:r>
        <w:t>A total of 3,418 fish larvae, representing ten fish species, were collected in the 2015-16 monitoring study from light traps (</w:t>
      </w:r>
      <w:r w:rsidRPr="00C5583E">
        <w:rPr>
          <w:i/>
        </w:rPr>
        <w:t>n</w:t>
      </w:r>
      <w:r>
        <w:t>=2939) and drift nets (</w:t>
      </w:r>
      <w:r w:rsidRPr="00C5583E">
        <w:rPr>
          <w:i/>
        </w:rPr>
        <w:t>n</w:t>
      </w:r>
      <w:r>
        <w:t>=479) combined. Across the four study zones, Yallakool Creek (Zone 1) comprised 5% of the total light trap catch, with Wakool River Zone 2, Zone 3 and Zone 4 comprising 23</w:t>
      </w:r>
      <w:r w:rsidR="004A6669">
        <w:t>%</w:t>
      </w:r>
      <w:r>
        <w:t>, 38</w:t>
      </w:r>
      <w:r w:rsidR="004A6669">
        <w:t>%</w:t>
      </w:r>
      <w:r>
        <w:t xml:space="preserve">, and 34% of light trap catch, respectively. </w:t>
      </w:r>
    </w:p>
    <w:p w14:paraId="3B4F9193" w14:textId="2FAFEF3B" w:rsidR="008E6212" w:rsidRDefault="004A6669" w:rsidP="008E6212">
      <w:pPr>
        <w:spacing w:after="240" w:line="320" w:lineRule="exact"/>
        <w:jc w:val="left"/>
      </w:pPr>
      <w:r>
        <w:t>Eight of the ten</w:t>
      </w:r>
      <w:r w:rsidR="008E6212" w:rsidRPr="00E95740">
        <w:t xml:space="preserve"> </w:t>
      </w:r>
      <w:r w:rsidR="008E6212">
        <w:t>fish species collected as larvae were native, with small-bodied fish species making up the majority of larvae collected across the 4 study zones (Table D.</w:t>
      </w:r>
      <w:r w:rsidR="00045C8E">
        <w:t>4</w:t>
      </w:r>
      <w:r>
        <w:t>)</w:t>
      </w:r>
      <w:r w:rsidR="008E6212">
        <w:t>. Carp gudgeon (</w:t>
      </w:r>
      <w:r w:rsidR="008E6212" w:rsidRPr="00F55A8A">
        <w:rPr>
          <w:i/>
        </w:rPr>
        <w:t>Hypseleotris</w:t>
      </w:r>
      <w:r w:rsidR="008E6212">
        <w:t xml:space="preserve"> spp., n= 2343), were the most numerically abundant larvae caught in light traps, with flathead gudgeon (</w:t>
      </w:r>
      <w:r w:rsidR="008E6212" w:rsidRPr="00515DD3">
        <w:rPr>
          <w:i/>
        </w:rPr>
        <w:t>Philypnodon grandiceps</w:t>
      </w:r>
      <w:r w:rsidR="008E6212">
        <w:t>, n = 107) and Australian smelt (</w:t>
      </w:r>
      <w:r w:rsidR="008E6212" w:rsidRPr="003D2690">
        <w:rPr>
          <w:i/>
        </w:rPr>
        <w:t>Retropinna semoni</w:t>
      </w:r>
      <w:r w:rsidR="008E6212">
        <w:t>, n= 81) larvae also detected widely across all study zones. Unspecked hardyhead (</w:t>
      </w:r>
      <w:r w:rsidR="008E6212" w:rsidRPr="003D2690">
        <w:rPr>
          <w:i/>
        </w:rPr>
        <w:t>Craterocephalus stercusmuscarum fulvus</w:t>
      </w:r>
      <w:r w:rsidR="008E6212">
        <w:t>, n= 6), obscure galaxias (</w:t>
      </w:r>
      <w:r w:rsidR="008E6212" w:rsidRPr="00B97507">
        <w:rPr>
          <w:i/>
        </w:rPr>
        <w:t>Galaxias oliros</w:t>
      </w:r>
      <w:r w:rsidR="008E6212">
        <w:t>, n=5) Murray River rainbowfish (</w:t>
      </w:r>
      <w:r w:rsidR="008E6212" w:rsidRPr="003D2690">
        <w:rPr>
          <w:i/>
        </w:rPr>
        <w:t>Melanotaenia fluviatilis</w:t>
      </w:r>
      <w:r w:rsidR="008E6212">
        <w:t>, n=1), were rare, but showed evidence th</w:t>
      </w:r>
      <w:r>
        <w:t>at spawning had taken place in two</w:t>
      </w:r>
      <w:r w:rsidR="008E6212">
        <w:t xml:space="preserve"> of the four zones. Carp (</w:t>
      </w:r>
      <w:r w:rsidR="008E6212" w:rsidRPr="00515DD3">
        <w:rPr>
          <w:i/>
        </w:rPr>
        <w:t>Cyprinus carpio</w:t>
      </w:r>
      <w:r w:rsidR="008E6212">
        <w:t>, n=5) and gambusia (</w:t>
      </w:r>
      <w:r w:rsidR="008E6212" w:rsidRPr="003D2690">
        <w:rPr>
          <w:i/>
        </w:rPr>
        <w:t>Gambusia holbrooki</w:t>
      </w:r>
      <w:r w:rsidR="008E6212">
        <w:t xml:space="preserve">, n=3) was the only introduced species captured as larvae. </w:t>
      </w:r>
    </w:p>
    <w:p w14:paraId="3B4F9194" w14:textId="697ABAE4" w:rsidR="008E6212" w:rsidRPr="00287A09" w:rsidRDefault="008E6212" w:rsidP="008E6212">
      <w:pPr>
        <w:spacing w:after="240" w:line="320" w:lineRule="exact"/>
        <w:jc w:val="left"/>
      </w:pPr>
      <w:r>
        <w:t>Of the large-bodied, native fish species known to the Edward-Wakool River system, two species, Murray cod (</w:t>
      </w:r>
      <w:r w:rsidRPr="001669F8">
        <w:rPr>
          <w:i/>
        </w:rPr>
        <w:t>Maccullochella peelii</w:t>
      </w:r>
      <w:r>
        <w:t>, n=215), and river blackfish (</w:t>
      </w:r>
      <w:r w:rsidRPr="001669F8">
        <w:rPr>
          <w:i/>
        </w:rPr>
        <w:t>Gadopsis marmoratus</w:t>
      </w:r>
      <w:r>
        <w:rPr>
          <w:i/>
        </w:rPr>
        <w:t xml:space="preserve">, </w:t>
      </w:r>
      <w:r>
        <w:t>n=18) were collected as larvae. While Murray cod were collected as larvae in all four study zones, river blackfish were only collected in the Upper Wakool River (Zone 2). This is the fourth season that river blackfish larvae have been sampled in the Upper Wakool River, suggesting spawning populations of this species are localised. There were no bony herring (</w:t>
      </w:r>
      <w:r w:rsidRPr="00515DD3">
        <w:rPr>
          <w:i/>
        </w:rPr>
        <w:t>Netamalosa erebi</w:t>
      </w:r>
      <w:r>
        <w:t>), silver perch (</w:t>
      </w:r>
      <w:r w:rsidRPr="00072F3D">
        <w:rPr>
          <w:i/>
        </w:rPr>
        <w:t>Bidyanus bidyanus</w:t>
      </w:r>
      <w:r>
        <w:t>) or golden perch (</w:t>
      </w:r>
      <w:r w:rsidRPr="00072F3D">
        <w:rPr>
          <w:i/>
        </w:rPr>
        <w:t>Macquaria ambigua</w:t>
      </w:r>
      <w:r>
        <w:t>) eggs or larvae collected from light traps or drift nets (Table D.</w:t>
      </w:r>
      <w:r w:rsidR="00045C8E">
        <w:t>4</w:t>
      </w:r>
      <w:r w:rsidR="003D449E">
        <w:t>)</w:t>
      </w:r>
      <w:r>
        <w:t>.</w:t>
      </w:r>
      <w:r w:rsidR="003D449E">
        <w:t xml:space="preserve"> The use of Commonwealth environmental water in the Edward Wakool during 2015-16 did not target a spawning response in </w:t>
      </w:r>
      <w:r w:rsidR="004A6669">
        <w:t>s</w:t>
      </w:r>
      <w:r w:rsidR="003D449E">
        <w:t xml:space="preserve">ilver </w:t>
      </w:r>
      <w:r w:rsidR="004A6669">
        <w:t xml:space="preserve">perch </w:t>
      </w:r>
      <w:r w:rsidR="003D449E">
        <w:t xml:space="preserve">or </w:t>
      </w:r>
      <w:r w:rsidR="004A6669">
        <w:t>g</w:t>
      </w:r>
      <w:r w:rsidR="003D449E">
        <w:t>olden perch.</w:t>
      </w:r>
    </w:p>
    <w:p w14:paraId="3B4F9195" w14:textId="2BABC9AE" w:rsidR="008E6212" w:rsidRPr="00287A09" w:rsidRDefault="008E6212" w:rsidP="008E6212">
      <w:pPr>
        <w:pStyle w:val="BodyText"/>
        <w:spacing w:after="240" w:line="320" w:lineRule="exact"/>
        <w:jc w:val="left"/>
      </w:pPr>
      <w:r>
        <w:rPr>
          <w:rFonts w:ascii="Calibri" w:hAnsi="Calibri"/>
          <w:sz w:val="22"/>
          <w:szCs w:val="22"/>
        </w:rPr>
        <w:t xml:space="preserve">Numbers of larvae caught </w:t>
      </w:r>
      <w:r w:rsidR="004A6669">
        <w:rPr>
          <w:rFonts w:ascii="Calibri" w:hAnsi="Calibri"/>
          <w:sz w:val="22"/>
          <w:szCs w:val="22"/>
        </w:rPr>
        <w:t>were</w:t>
      </w:r>
      <w:r>
        <w:rPr>
          <w:rFonts w:ascii="Calibri" w:hAnsi="Calibri"/>
          <w:sz w:val="22"/>
          <w:szCs w:val="22"/>
        </w:rPr>
        <w:t xml:space="preserve"> similar to </w:t>
      </w:r>
      <w:r w:rsidR="004A6669">
        <w:rPr>
          <w:rFonts w:ascii="Calibri" w:hAnsi="Calibri"/>
          <w:sz w:val="22"/>
          <w:szCs w:val="22"/>
        </w:rPr>
        <w:t>2014-15</w:t>
      </w:r>
      <w:r>
        <w:rPr>
          <w:rFonts w:ascii="Calibri" w:hAnsi="Calibri"/>
          <w:sz w:val="22"/>
          <w:szCs w:val="22"/>
        </w:rPr>
        <w:t>, both in terms of total abundance, and fo</w:t>
      </w:r>
      <w:r w:rsidR="00F774C7">
        <w:rPr>
          <w:rFonts w:ascii="Calibri" w:hAnsi="Calibri"/>
          <w:sz w:val="22"/>
          <w:szCs w:val="22"/>
        </w:rPr>
        <w:t>r individual species (Figure D.6</w:t>
      </w:r>
      <w:r>
        <w:rPr>
          <w:rFonts w:ascii="Calibri" w:hAnsi="Calibri"/>
          <w:sz w:val="22"/>
          <w:szCs w:val="22"/>
        </w:rPr>
        <w:t xml:space="preserve">). </w:t>
      </w:r>
      <w:r w:rsidR="004A6669">
        <w:rPr>
          <w:rFonts w:ascii="Calibri" w:hAnsi="Calibri"/>
          <w:sz w:val="22"/>
          <w:szCs w:val="22"/>
        </w:rPr>
        <w:t>There was slightly more Murray cod</w:t>
      </w:r>
      <w:r w:rsidRPr="00775C8A">
        <w:rPr>
          <w:rFonts w:ascii="Calibri" w:hAnsi="Calibri"/>
          <w:sz w:val="22"/>
          <w:szCs w:val="22"/>
        </w:rPr>
        <w:t xml:space="preserve"> and Australian smelt</w:t>
      </w:r>
      <w:r w:rsidR="004A6669">
        <w:rPr>
          <w:rFonts w:ascii="Calibri" w:hAnsi="Calibri"/>
          <w:sz w:val="22"/>
          <w:szCs w:val="22"/>
        </w:rPr>
        <w:t xml:space="preserve"> captured in 2014-=15 than in 2015-16</w:t>
      </w:r>
      <w:r w:rsidRPr="00775C8A">
        <w:rPr>
          <w:rFonts w:ascii="Calibri" w:hAnsi="Calibri"/>
          <w:sz w:val="22"/>
          <w:szCs w:val="22"/>
        </w:rPr>
        <w:t>, while slightly more carp gudgeon were captured in 15-16</w:t>
      </w:r>
      <w:r w:rsidR="004A6669">
        <w:rPr>
          <w:rFonts w:ascii="Calibri" w:hAnsi="Calibri"/>
          <w:sz w:val="22"/>
          <w:szCs w:val="22"/>
        </w:rPr>
        <w:t xml:space="preserve"> (Figure D.6).</w:t>
      </w:r>
    </w:p>
    <w:p w14:paraId="3B4F9196" w14:textId="77777777" w:rsidR="008E6212" w:rsidRDefault="008E6212" w:rsidP="008E6212">
      <w:pPr>
        <w:pStyle w:val="BodyText"/>
        <w:spacing w:line="324" w:lineRule="exact"/>
        <w:jc w:val="left"/>
        <w:rPr>
          <w:rFonts w:ascii="Calibri" w:hAnsi="Calibri"/>
          <w:sz w:val="22"/>
          <w:szCs w:val="22"/>
        </w:rPr>
      </w:pPr>
    </w:p>
    <w:p w14:paraId="3B4F9197" w14:textId="77777777" w:rsidR="008E6212" w:rsidRPr="005711BA" w:rsidRDefault="008E6212" w:rsidP="008E6212">
      <w:pPr>
        <w:pStyle w:val="BodyText"/>
        <w:spacing w:line="324" w:lineRule="exact"/>
        <w:jc w:val="left"/>
        <w:sectPr w:rsidR="008E6212" w:rsidRPr="005711BA" w:rsidSect="009C1A36">
          <w:pgSz w:w="11906" w:h="16838"/>
          <w:pgMar w:top="1440" w:right="1985" w:bottom="1440" w:left="1985" w:header="709" w:footer="709" w:gutter="0"/>
          <w:cols w:space="708"/>
          <w:docGrid w:linePitch="360"/>
        </w:sectPr>
      </w:pPr>
    </w:p>
    <w:p w14:paraId="3B4F9198" w14:textId="77777777" w:rsidR="008E6212" w:rsidRDefault="00045C8E" w:rsidP="008E6212">
      <w:pPr>
        <w:spacing w:line="240" w:lineRule="auto"/>
        <w:jc w:val="left"/>
        <w:rPr>
          <w:sz w:val="20"/>
        </w:rPr>
      </w:pPr>
      <w:r>
        <w:rPr>
          <w:b/>
          <w:bCs/>
          <w:sz w:val="20"/>
        </w:rPr>
        <w:lastRenderedPageBreak/>
        <w:t>Table D.4.</w:t>
      </w:r>
      <w:r w:rsidR="008E6212" w:rsidRPr="00515DD3">
        <w:rPr>
          <w:b/>
          <w:bCs/>
          <w:sz w:val="20"/>
        </w:rPr>
        <w:t xml:space="preserve"> </w:t>
      </w:r>
      <w:r w:rsidR="008E6212">
        <w:rPr>
          <w:sz w:val="20"/>
        </w:rPr>
        <w:t>T</w:t>
      </w:r>
      <w:r w:rsidR="008E6212" w:rsidRPr="00515DD3">
        <w:rPr>
          <w:sz w:val="20"/>
        </w:rPr>
        <w:t>o</w:t>
      </w:r>
      <w:r w:rsidR="008E6212">
        <w:rPr>
          <w:sz w:val="20"/>
        </w:rPr>
        <w:t>tal abundance of fish larvae</w:t>
      </w:r>
      <w:r w:rsidR="008E6212" w:rsidRPr="00515DD3">
        <w:rPr>
          <w:sz w:val="20"/>
        </w:rPr>
        <w:t xml:space="preserve"> sampled </w:t>
      </w:r>
      <w:r w:rsidR="008E6212">
        <w:rPr>
          <w:sz w:val="20"/>
        </w:rPr>
        <w:t xml:space="preserve">using light traps (LT) and drift nets (DN) </w:t>
      </w:r>
      <w:r w:rsidR="008E6212" w:rsidRPr="00515DD3">
        <w:rPr>
          <w:sz w:val="20"/>
        </w:rPr>
        <w:t xml:space="preserve">in the four study zones of the Edward-Wakool River system in Spring/Summer 2015-16. Grand totals and percent contribution (%) provided in the far right column. </w:t>
      </w:r>
      <w:r w:rsidR="008E6212">
        <w:rPr>
          <w:sz w:val="20"/>
        </w:rPr>
        <w:t xml:space="preserve">Total amount of water filtered across the nets in each study zone; Yallakool Ck - 14.7 ML, Wakool River Zone 2 - 21.6 ML, Wakool River Zone 3 - 0.1 ML, and Wakool River Zone 4 – 11.3 ML. </w:t>
      </w:r>
      <w:r w:rsidR="008E6212" w:rsidRPr="00515DD3">
        <w:rPr>
          <w:sz w:val="20"/>
        </w:rPr>
        <w:t>Fish species listed are those known to occur in</w:t>
      </w:r>
      <w:r w:rsidR="008E6212">
        <w:rPr>
          <w:sz w:val="20"/>
        </w:rPr>
        <w:t xml:space="preserve"> the Edward-Wakool river system; however</w:t>
      </w:r>
      <w:r w:rsidR="008E6212" w:rsidRPr="00515DD3">
        <w:rPr>
          <w:sz w:val="20"/>
        </w:rPr>
        <w:t xml:space="preserve"> Trout cod a</w:t>
      </w:r>
      <w:r w:rsidR="008E6212">
        <w:rPr>
          <w:sz w:val="20"/>
        </w:rPr>
        <w:t>re the only species not found in</w:t>
      </w:r>
      <w:r w:rsidR="008E6212" w:rsidRPr="00515DD3">
        <w:rPr>
          <w:sz w:val="20"/>
        </w:rPr>
        <w:t xml:space="preserve"> the study zones.</w:t>
      </w:r>
    </w:p>
    <w:tbl>
      <w:tblPr>
        <w:tblW w:w="11700" w:type="dxa"/>
        <w:tblLook w:val="04A0" w:firstRow="1" w:lastRow="0" w:firstColumn="1" w:lastColumn="0" w:noHBand="0" w:noVBand="1"/>
      </w:tblPr>
      <w:tblGrid>
        <w:gridCol w:w="2681"/>
        <w:gridCol w:w="821"/>
        <w:gridCol w:w="266"/>
        <w:gridCol w:w="824"/>
        <w:gridCol w:w="266"/>
        <w:gridCol w:w="551"/>
        <w:gridCol w:w="266"/>
        <w:gridCol w:w="820"/>
        <w:gridCol w:w="266"/>
        <w:gridCol w:w="663"/>
        <w:gridCol w:w="266"/>
        <w:gridCol w:w="820"/>
        <w:gridCol w:w="266"/>
        <w:gridCol w:w="551"/>
        <w:gridCol w:w="266"/>
        <w:gridCol w:w="820"/>
        <w:gridCol w:w="266"/>
        <w:gridCol w:w="663"/>
        <w:gridCol w:w="266"/>
        <w:gridCol w:w="822"/>
      </w:tblGrid>
      <w:tr w:rsidR="008E6212" w:rsidRPr="00C834A5" w14:paraId="3B4F91A3" w14:textId="77777777" w:rsidTr="009C1A36">
        <w:trPr>
          <w:trHeight w:val="450"/>
        </w:trPr>
        <w:tc>
          <w:tcPr>
            <w:tcW w:w="2681" w:type="dxa"/>
            <w:tcBorders>
              <w:top w:val="single" w:sz="4" w:space="0" w:color="auto"/>
              <w:left w:val="nil"/>
              <w:bottom w:val="nil"/>
              <w:right w:val="nil"/>
            </w:tcBorders>
            <w:shd w:val="clear" w:color="auto" w:fill="auto"/>
            <w:noWrap/>
            <w:vAlign w:val="center"/>
            <w:hideMark/>
          </w:tcPr>
          <w:p w14:paraId="3B4F9199" w14:textId="77777777" w:rsidR="008E6212" w:rsidRPr="00C834A5" w:rsidRDefault="008E6212" w:rsidP="009C1A36">
            <w:pPr>
              <w:spacing w:after="0" w:line="240" w:lineRule="auto"/>
              <w:jc w:val="left"/>
              <w:rPr>
                <w:rFonts w:eastAsia="Times New Roman"/>
                <w:b/>
                <w:bCs/>
                <w:color w:val="000000"/>
                <w:szCs w:val="22"/>
                <w:lang w:eastAsia="en-AU"/>
              </w:rPr>
            </w:pPr>
            <w:r w:rsidRPr="00C834A5">
              <w:rPr>
                <w:rFonts w:eastAsia="Times New Roman"/>
                <w:b/>
                <w:bCs/>
                <w:color w:val="000000"/>
                <w:szCs w:val="22"/>
                <w:lang w:eastAsia="en-AU"/>
              </w:rPr>
              <w:t>Common name</w:t>
            </w:r>
          </w:p>
        </w:tc>
        <w:tc>
          <w:tcPr>
            <w:tcW w:w="1725" w:type="dxa"/>
            <w:gridSpan w:val="3"/>
            <w:tcBorders>
              <w:top w:val="single" w:sz="4" w:space="0" w:color="auto"/>
              <w:left w:val="nil"/>
              <w:bottom w:val="single" w:sz="4" w:space="0" w:color="auto"/>
              <w:right w:val="nil"/>
            </w:tcBorders>
            <w:shd w:val="clear" w:color="auto" w:fill="auto"/>
            <w:vAlign w:val="center"/>
            <w:hideMark/>
          </w:tcPr>
          <w:p w14:paraId="3B4F919A"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Yallakool Ck</w:t>
            </w:r>
          </w:p>
        </w:tc>
        <w:tc>
          <w:tcPr>
            <w:tcW w:w="99" w:type="dxa"/>
            <w:tcBorders>
              <w:top w:val="single" w:sz="4" w:space="0" w:color="auto"/>
              <w:left w:val="nil"/>
              <w:bottom w:val="nil"/>
              <w:right w:val="nil"/>
            </w:tcBorders>
            <w:shd w:val="clear" w:color="auto" w:fill="auto"/>
            <w:vAlign w:val="center"/>
            <w:hideMark/>
          </w:tcPr>
          <w:p w14:paraId="3B4F919B"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 </w:t>
            </w:r>
          </w:p>
        </w:tc>
        <w:tc>
          <w:tcPr>
            <w:tcW w:w="1722" w:type="dxa"/>
            <w:gridSpan w:val="3"/>
            <w:tcBorders>
              <w:top w:val="single" w:sz="4" w:space="0" w:color="auto"/>
              <w:left w:val="nil"/>
              <w:bottom w:val="single" w:sz="4" w:space="0" w:color="auto"/>
              <w:right w:val="nil"/>
            </w:tcBorders>
            <w:shd w:val="clear" w:color="auto" w:fill="auto"/>
            <w:vAlign w:val="center"/>
            <w:hideMark/>
          </w:tcPr>
          <w:p w14:paraId="3B4F919C"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Wakool R Z2</w:t>
            </w:r>
          </w:p>
        </w:tc>
        <w:tc>
          <w:tcPr>
            <w:tcW w:w="99" w:type="dxa"/>
            <w:tcBorders>
              <w:top w:val="single" w:sz="4" w:space="0" w:color="auto"/>
              <w:left w:val="nil"/>
              <w:bottom w:val="nil"/>
              <w:right w:val="nil"/>
            </w:tcBorders>
            <w:shd w:val="clear" w:color="auto" w:fill="auto"/>
            <w:vAlign w:val="center"/>
            <w:hideMark/>
          </w:tcPr>
          <w:p w14:paraId="3B4F919D"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 </w:t>
            </w:r>
          </w:p>
        </w:tc>
        <w:tc>
          <w:tcPr>
            <w:tcW w:w="1726" w:type="dxa"/>
            <w:gridSpan w:val="3"/>
            <w:tcBorders>
              <w:top w:val="single" w:sz="4" w:space="0" w:color="auto"/>
              <w:left w:val="nil"/>
              <w:bottom w:val="single" w:sz="4" w:space="0" w:color="auto"/>
              <w:right w:val="nil"/>
            </w:tcBorders>
            <w:shd w:val="clear" w:color="auto" w:fill="auto"/>
            <w:vAlign w:val="center"/>
            <w:hideMark/>
          </w:tcPr>
          <w:p w14:paraId="3B4F919E"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Wakool R Z3</w:t>
            </w:r>
          </w:p>
        </w:tc>
        <w:tc>
          <w:tcPr>
            <w:tcW w:w="99" w:type="dxa"/>
            <w:tcBorders>
              <w:top w:val="single" w:sz="4" w:space="0" w:color="auto"/>
              <w:left w:val="nil"/>
              <w:bottom w:val="nil"/>
              <w:right w:val="nil"/>
            </w:tcBorders>
            <w:shd w:val="clear" w:color="auto" w:fill="auto"/>
            <w:vAlign w:val="center"/>
            <w:hideMark/>
          </w:tcPr>
          <w:p w14:paraId="3B4F919F"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 </w:t>
            </w:r>
          </w:p>
        </w:tc>
        <w:tc>
          <w:tcPr>
            <w:tcW w:w="1722" w:type="dxa"/>
            <w:gridSpan w:val="3"/>
            <w:tcBorders>
              <w:top w:val="single" w:sz="4" w:space="0" w:color="auto"/>
              <w:left w:val="nil"/>
              <w:bottom w:val="single" w:sz="4" w:space="0" w:color="auto"/>
              <w:right w:val="nil"/>
            </w:tcBorders>
            <w:shd w:val="clear" w:color="auto" w:fill="auto"/>
            <w:vAlign w:val="center"/>
            <w:hideMark/>
          </w:tcPr>
          <w:p w14:paraId="3B4F91A0"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Wakool R Z4</w:t>
            </w:r>
          </w:p>
        </w:tc>
        <w:tc>
          <w:tcPr>
            <w:tcW w:w="99" w:type="dxa"/>
            <w:tcBorders>
              <w:top w:val="single" w:sz="4" w:space="0" w:color="auto"/>
              <w:left w:val="nil"/>
              <w:bottom w:val="nil"/>
              <w:right w:val="nil"/>
            </w:tcBorders>
            <w:shd w:val="clear" w:color="auto" w:fill="auto"/>
            <w:vAlign w:val="center"/>
            <w:hideMark/>
          </w:tcPr>
          <w:p w14:paraId="3B4F91A1"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 </w:t>
            </w:r>
          </w:p>
        </w:tc>
        <w:tc>
          <w:tcPr>
            <w:tcW w:w="1728" w:type="dxa"/>
            <w:gridSpan w:val="3"/>
            <w:tcBorders>
              <w:top w:val="single" w:sz="4" w:space="0" w:color="auto"/>
              <w:left w:val="nil"/>
              <w:bottom w:val="single" w:sz="4" w:space="0" w:color="auto"/>
              <w:right w:val="nil"/>
            </w:tcBorders>
            <w:shd w:val="clear" w:color="auto" w:fill="auto"/>
            <w:vAlign w:val="center"/>
            <w:hideMark/>
          </w:tcPr>
          <w:p w14:paraId="3B4F91A2"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Total</w:t>
            </w:r>
          </w:p>
        </w:tc>
      </w:tr>
      <w:tr w:rsidR="008E6212" w:rsidRPr="00C834A5" w14:paraId="3B4F91B8" w14:textId="77777777" w:rsidTr="009C1A36">
        <w:trPr>
          <w:trHeight w:val="270"/>
        </w:trPr>
        <w:tc>
          <w:tcPr>
            <w:tcW w:w="2681" w:type="dxa"/>
            <w:tcBorders>
              <w:top w:val="nil"/>
              <w:left w:val="nil"/>
              <w:bottom w:val="nil"/>
              <w:right w:val="nil"/>
            </w:tcBorders>
            <w:shd w:val="clear" w:color="auto" w:fill="auto"/>
            <w:noWrap/>
            <w:vAlign w:val="bottom"/>
            <w:hideMark/>
          </w:tcPr>
          <w:p w14:paraId="3B4F91A4"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1" w:type="dxa"/>
            <w:tcBorders>
              <w:top w:val="nil"/>
              <w:left w:val="nil"/>
              <w:bottom w:val="single" w:sz="4" w:space="0" w:color="auto"/>
              <w:right w:val="nil"/>
            </w:tcBorders>
            <w:shd w:val="clear" w:color="auto" w:fill="auto"/>
            <w:vAlign w:val="center"/>
            <w:hideMark/>
          </w:tcPr>
          <w:p w14:paraId="3B4F91A5"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LT</w:t>
            </w:r>
          </w:p>
        </w:tc>
        <w:tc>
          <w:tcPr>
            <w:tcW w:w="80" w:type="dxa"/>
            <w:tcBorders>
              <w:top w:val="nil"/>
              <w:left w:val="nil"/>
              <w:bottom w:val="nil"/>
              <w:right w:val="nil"/>
            </w:tcBorders>
            <w:shd w:val="clear" w:color="auto" w:fill="auto"/>
            <w:vAlign w:val="center"/>
            <w:hideMark/>
          </w:tcPr>
          <w:p w14:paraId="3B4F91A6"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4" w:type="dxa"/>
            <w:tcBorders>
              <w:top w:val="nil"/>
              <w:left w:val="nil"/>
              <w:bottom w:val="single" w:sz="4" w:space="0" w:color="auto"/>
              <w:right w:val="nil"/>
            </w:tcBorders>
            <w:shd w:val="clear" w:color="auto" w:fill="auto"/>
            <w:vAlign w:val="center"/>
            <w:hideMark/>
          </w:tcPr>
          <w:p w14:paraId="3B4F91A7"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DN</w:t>
            </w:r>
          </w:p>
        </w:tc>
        <w:tc>
          <w:tcPr>
            <w:tcW w:w="99" w:type="dxa"/>
            <w:tcBorders>
              <w:top w:val="nil"/>
              <w:left w:val="nil"/>
              <w:bottom w:val="nil"/>
              <w:right w:val="nil"/>
            </w:tcBorders>
            <w:shd w:val="clear" w:color="auto" w:fill="auto"/>
            <w:vAlign w:val="center"/>
            <w:hideMark/>
          </w:tcPr>
          <w:p w14:paraId="3B4F91A8"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2" w:type="dxa"/>
            <w:tcBorders>
              <w:top w:val="nil"/>
              <w:left w:val="nil"/>
              <w:bottom w:val="single" w:sz="4" w:space="0" w:color="auto"/>
              <w:right w:val="nil"/>
            </w:tcBorders>
            <w:shd w:val="clear" w:color="auto" w:fill="auto"/>
            <w:vAlign w:val="center"/>
            <w:hideMark/>
          </w:tcPr>
          <w:p w14:paraId="3B4F91A9"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LT</w:t>
            </w:r>
          </w:p>
        </w:tc>
        <w:tc>
          <w:tcPr>
            <w:tcW w:w="80" w:type="dxa"/>
            <w:tcBorders>
              <w:top w:val="nil"/>
              <w:left w:val="nil"/>
              <w:bottom w:val="nil"/>
              <w:right w:val="nil"/>
            </w:tcBorders>
            <w:shd w:val="clear" w:color="auto" w:fill="auto"/>
            <w:vAlign w:val="center"/>
            <w:hideMark/>
          </w:tcPr>
          <w:p w14:paraId="3B4F91AA"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0" w:type="dxa"/>
            <w:tcBorders>
              <w:top w:val="nil"/>
              <w:left w:val="nil"/>
              <w:bottom w:val="single" w:sz="4" w:space="0" w:color="auto"/>
              <w:right w:val="nil"/>
            </w:tcBorders>
            <w:shd w:val="clear" w:color="auto" w:fill="auto"/>
            <w:vAlign w:val="center"/>
            <w:hideMark/>
          </w:tcPr>
          <w:p w14:paraId="3B4F91AB"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DN</w:t>
            </w:r>
          </w:p>
        </w:tc>
        <w:tc>
          <w:tcPr>
            <w:tcW w:w="99" w:type="dxa"/>
            <w:tcBorders>
              <w:top w:val="nil"/>
              <w:left w:val="nil"/>
              <w:bottom w:val="nil"/>
              <w:right w:val="nil"/>
            </w:tcBorders>
            <w:shd w:val="clear" w:color="auto" w:fill="auto"/>
            <w:vAlign w:val="center"/>
            <w:hideMark/>
          </w:tcPr>
          <w:p w14:paraId="3B4F91AC"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6" w:type="dxa"/>
            <w:tcBorders>
              <w:top w:val="nil"/>
              <w:left w:val="nil"/>
              <w:bottom w:val="single" w:sz="4" w:space="0" w:color="auto"/>
              <w:right w:val="nil"/>
            </w:tcBorders>
            <w:shd w:val="clear" w:color="auto" w:fill="auto"/>
            <w:vAlign w:val="center"/>
            <w:hideMark/>
          </w:tcPr>
          <w:p w14:paraId="3B4F91AD"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LT</w:t>
            </w:r>
          </w:p>
        </w:tc>
        <w:tc>
          <w:tcPr>
            <w:tcW w:w="80" w:type="dxa"/>
            <w:tcBorders>
              <w:top w:val="nil"/>
              <w:left w:val="nil"/>
              <w:bottom w:val="nil"/>
              <w:right w:val="nil"/>
            </w:tcBorders>
            <w:shd w:val="clear" w:color="auto" w:fill="auto"/>
            <w:vAlign w:val="center"/>
            <w:hideMark/>
          </w:tcPr>
          <w:p w14:paraId="3B4F91AE"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0" w:type="dxa"/>
            <w:tcBorders>
              <w:top w:val="nil"/>
              <w:left w:val="nil"/>
              <w:bottom w:val="single" w:sz="4" w:space="0" w:color="auto"/>
              <w:right w:val="nil"/>
            </w:tcBorders>
            <w:shd w:val="clear" w:color="auto" w:fill="auto"/>
            <w:vAlign w:val="center"/>
            <w:hideMark/>
          </w:tcPr>
          <w:p w14:paraId="3B4F91AF"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DN</w:t>
            </w:r>
          </w:p>
        </w:tc>
        <w:tc>
          <w:tcPr>
            <w:tcW w:w="99" w:type="dxa"/>
            <w:tcBorders>
              <w:top w:val="nil"/>
              <w:left w:val="nil"/>
              <w:bottom w:val="nil"/>
              <w:right w:val="nil"/>
            </w:tcBorders>
            <w:shd w:val="clear" w:color="auto" w:fill="auto"/>
            <w:vAlign w:val="center"/>
            <w:hideMark/>
          </w:tcPr>
          <w:p w14:paraId="3B4F91B0"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2" w:type="dxa"/>
            <w:tcBorders>
              <w:top w:val="nil"/>
              <w:left w:val="nil"/>
              <w:bottom w:val="single" w:sz="4" w:space="0" w:color="auto"/>
              <w:right w:val="nil"/>
            </w:tcBorders>
            <w:shd w:val="clear" w:color="auto" w:fill="auto"/>
            <w:vAlign w:val="center"/>
            <w:hideMark/>
          </w:tcPr>
          <w:p w14:paraId="3B4F91B1"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LT</w:t>
            </w:r>
          </w:p>
        </w:tc>
        <w:tc>
          <w:tcPr>
            <w:tcW w:w="80" w:type="dxa"/>
            <w:tcBorders>
              <w:top w:val="nil"/>
              <w:left w:val="nil"/>
              <w:bottom w:val="nil"/>
              <w:right w:val="nil"/>
            </w:tcBorders>
            <w:shd w:val="clear" w:color="auto" w:fill="auto"/>
            <w:vAlign w:val="center"/>
            <w:hideMark/>
          </w:tcPr>
          <w:p w14:paraId="3B4F91B2"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0" w:type="dxa"/>
            <w:tcBorders>
              <w:top w:val="nil"/>
              <w:left w:val="nil"/>
              <w:bottom w:val="single" w:sz="4" w:space="0" w:color="auto"/>
              <w:right w:val="nil"/>
            </w:tcBorders>
            <w:shd w:val="clear" w:color="auto" w:fill="auto"/>
            <w:vAlign w:val="center"/>
            <w:hideMark/>
          </w:tcPr>
          <w:p w14:paraId="3B4F91B3"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DN</w:t>
            </w:r>
          </w:p>
        </w:tc>
        <w:tc>
          <w:tcPr>
            <w:tcW w:w="99" w:type="dxa"/>
            <w:tcBorders>
              <w:top w:val="nil"/>
              <w:left w:val="nil"/>
              <w:bottom w:val="nil"/>
              <w:right w:val="nil"/>
            </w:tcBorders>
            <w:shd w:val="clear" w:color="auto" w:fill="auto"/>
            <w:vAlign w:val="center"/>
            <w:hideMark/>
          </w:tcPr>
          <w:p w14:paraId="3B4F91B4"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6" w:type="dxa"/>
            <w:tcBorders>
              <w:top w:val="nil"/>
              <w:left w:val="nil"/>
              <w:bottom w:val="single" w:sz="4" w:space="0" w:color="auto"/>
              <w:right w:val="nil"/>
            </w:tcBorders>
            <w:shd w:val="clear" w:color="auto" w:fill="auto"/>
            <w:vAlign w:val="center"/>
            <w:hideMark/>
          </w:tcPr>
          <w:p w14:paraId="3B4F91B5"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LT</w:t>
            </w:r>
          </w:p>
        </w:tc>
        <w:tc>
          <w:tcPr>
            <w:tcW w:w="80" w:type="dxa"/>
            <w:tcBorders>
              <w:top w:val="nil"/>
              <w:left w:val="nil"/>
              <w:bottom w:val="nil"/>
              <w:right w:val="nil"/>
            </w:tcBorders>
            <w:shd w:val="clear" w:color="auto" w:fill="auto"/>
            <w:vAlign w:val="center"/>
            <w:hideMark/>
          </w:tcPr>
          <w:p w14:paraId="3B4F91B6" w14:textId="77777777" w:rsidR="008E6212" w:rsidRPr="00C834A5" w:rsidRDefault="008E6212" w:rsidP="009C1A36">
            <w:pPr>
              <w:spacing w:after="0" w:line="240" w:lineRule="auto"/>
              <w:jc w:val="center"/>
              <w:rPr>
                <w:rFonts w:eastAsia="Times New Roman"/>
                <w:b/>
                <w:bCs/>
                <w:color w:val="000000"/>
                <w:szCs w:val="22"/>
                <w:lang w:eastAsia="en-AU"/>
              </w:rPr>
            </w:pPr>
          </w:p>
        </w:tc>
        <w:tc>
          <w:tcPr>
            <w:tcW w:w="822" w:type="dxa"/>
            <w:tcBorders>
              <w:top w:val="nil"/>
              <w:left w:val="nil"/>
              <w:bottom w:val="single" w:sz="4" w:space="0" w:color="auto"/>
              <w:right w:val="nil"/>
            </w:tcBorders>
            <w:shd w:val="clear" w:color="auto" w:fill="auto"/>
            <w:vAlign w:val="center"/>
            <w:hideMark/>
          </w:tcPr>
          <w:p w14:paraId="3B4F91B7" w14:textId="77777777" w:rsidR="008E6212" w:rsidRPr="00C834A5" w:rsidRDefault="008E6212" w:rsidP="009C1A36">
            <w:pPr>
              <w:spacing w:after="0" w:line="240" w:lineRule="auto"/>
              <w:jc w:val="center"/>
              <w:rPr>
                <w:rFonts w:eastAsia="Times New Roman"/>
                <w:b/>
                <w:bCs/>
                <w:color w:val="000000"/>
                <w:szCs w:val="22"/>
                <w:lang w:eastAsia="en-AU"/>
              </w:rPr>
            </w:pPr>
            <w:r w:rsidRPr="00C834A5">
              <w:rPr>
                <w:rFonts w:eastAsia="Times New Roman"/>
                <w:b/>
                <w:bCs/>
                <w:color w:val="000000"/>
                <w:szCs w:val="22"/>
                <w:lang w:eastAsia="en-AU"/>
              </w:rPr>
              <w:t>DN</w:t>
            </w:r>
          </w:p>
        </w:tc>
      </w:tr>
      <w:tr w:rsidR="008E6212" w:rsidRPr="00C834A5" w14:paraId="3B4F91CD" w14:textId="77777777" w:rsidTr="009C1A36">
        <w:trPr>
          <w:trHeight w:val="465"/>
        </w:trPr>
        <w:tc>
          <w:tcPr>
            <w:tcW w:w="2681" w:type="dxa"/>
            <w:tcBorders>
              <w:top w:val="nil"/>
              <w:left w:val="nil"/>
              <w:bottom w:val="nil"/>
              <w:right w:val="nil"/>
            </w:tcBorders>
            <w:shd w:val="clear" w:color="auto" w:fill="auto"/>
            <w:noWrap/>
            <w:vAlign w:val="bottom"/>
            <w:hideMark/>
          </w:tcPr>
          <w:p w14:paraId="3B4F91B9" w14:textId="77777777" w:rsidR="008E6212" w:rsidRPr="00C834A5" w:rsidRDefault="008E6212" w:rsidP="009C1A36">
            <w:pPr>
              <w:spacing w:after="0" w:line="240" w:lineRule="auto"/>
              <w:jc w:val="left"/>
              <w:rPr>
                <w:rFonts w:eastAsia="Times New Roman"/>
                <w:i/>
                <w:iCs/>
                <w:color w:val="000000"/>
                <w:szCs w:val="22"/>
                <w:lang w:eastAsia="en-AU"/>
              </w:rPr>
            </w:pPr>
            <w:r w:rsidRPr="00C834A5">
              <w:rPr>
                <w:rFonts w:eastAsia="Times New Roman"/>
                <w:i/>
                <w:iCs/>
                <w:color w:val="000000"/>
                <w:szCs w:val="22"/>
                <w:lang w:eastAsia="en-AU"/>
              </w:rPr>
              <w:t>Native</w:t>
            </w:r>
          </w:p>
        </w:tc>
        <w:tc>
          <w:tcPr>
            <w:tcW w:w="821" w:type="dxa"/>
            <w:tcBorders>
              <w:top w:val="nil"/>
              <w:left w:val="nil"/>
              <w:bottom w:val="nil"/>
              <w:right w:val="nil"/>
            </w:tcBorders>
            <w:shd w:val="clear" w:color="auto" w:fill="auto"/>
            <w:vAlign w:val="center"/>
            <w:hideMark/>
          </w:tcPr>
          <w:p w14:paraId="3B4F91BA" w14:textId="77777777" w:rsidR="008E6212" w:rsidRPr="00C834A5" w:rsidRDefault="008E6212" w:rsidP="009C1A36">
            <w:pPr>
              <w:spacing w:after="0" w:line="240" w:lineRule="auto"/>
              <w:jc w:val="left"/>
              <w:rPr>
                <w:rFonts w:eastAsia="Times New Roman"/>
                <w:i/>
                <w:iCs/>
                <w:color w:val="000000"/>
                <w:szCs w:val="22"/>
                <w:lang w:eastAsia="en-AU"/>
              </w:rPr>
            </w:pPr>
          </w:p>
        </w:tc>
        <w:tc>
          <w:tcPr>
            <w:tcW w:w="80" w:type="dxa"/>
            <w:tcBorders>
              <w:top w:val="nil"/>
              <w:left w:val="nil"/>
              <w:bottom w:val="nil"/>
              <w:right w:val="nil"/>
            </w:tcBorders>
            <w:shd w:val="clear" w:color="auto" w:fill="auto"/>
            <w:vAlign w:val="center"/>
            <w:hideMark/>
          </w:tcPr>
          <w:p w14:paraId="3B4F91BB"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4" w:type="dxa"/>
            <w:tcBorders>
              <w:top w:val="nil"/>
              <w:left w:val="nil"/>
              <w:bottom w:val="nil"/>
              <w:right w:val="nil"/>
            </w:tcBorders>
            <w:shd w:val="clear" w:color="auto" w:fill="auto"/>
            <w:vAlign w:val="center"/>
            <w:hideMark/>
          </w:tcPr>
          <w:p w14:paraId="3B4F91BC"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center"/>
            <w:hideMark/>
          </w:tcPr>
          <w:p w14:paraId="3B4F91BD"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2" w:type="dxa"/>
            <w:tcBorders>
              <w:top w:val="nil"/>
              <w:left w:val="nil"/>
              <w:bottom w:val="nil"/>
              <w:right w:val="nil"/>
            </w:tcBorders>
            <w:shd w:val="clear" w:color="auto" w:fill="auto"/>
            <w:vAlign w:val="center"/>
            <w:hideMark/>
          </w:tcPr>
          <w:p w14:paraId="3B4F91BE"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center"/>
            <w:hideMark/>
          </w:tcPr>
          <w:p w14:paraId="3B4F91BF"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0" w:type="dxa"/>
            <w:tcBorders>
              <w:top w:val="nil"/>
              <w:left w:val="nil"/>
              <w:bottom w:val="nil"/>
              <w:right w:val="nil"/>
            </w:tcBorders>
            <w:shd w:val="clear" w:color="auto" w:fill="auto"/>
            <w:vAlign w:val="center"/>
            <w:hideMark/>
          </w:tcPr>
          <w:p w14:paraId="3B4F91C0"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center"/>
            <w:hideMark/>
          </w:tcPr>
          <w:p w14:paraId="3B4F91C1"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6" w:type="dxa"/>
            <w:tcBorders>
              <w:top w:val="nil"/>
              <w:left w:val="nil"/>
              <w:bottom w:val="nil"/>
              <w:right w:val="nil"/>
            </w:tcBorders>
            <w:shd w:val="clear" w:color="auto" w:fill="auto"/>
            <w:vAlign w:val="center"/>
            <w:hideMark/>
          </w:tcPr>
          <w:p w14:paraId="3B4F91C2"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center"/>
            <w:hideMark/>
          </w:tcPr>
          <w:p w14:paraId="3B4F91C3"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0" w:type="dxa"/>
            <w:tcBorders>
              <w:top w:val="nil"/>
              <w:left w:val="nil"/>
              <w:bottom w:val="nil"/>
              <w:right w:val="nil"/>
            </w:tcBorders>
            <w:shd w:val="clear" w:color="auto" w:fill="auto"/>
            <w:vAlign w:val="center"/>
            <w:hideMark/>
          </w:tcPr>
          <w:p w14:paraId="3B4F91C4"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center"/>
            <w:hideMark/>
          </w:tcPr>
          <w:p w14:paraId="3B4F91C5"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2" w:type="dxa"/>
            <w:tcBorders>
              <w:top w:val="nil"/>
              <w:left w:val="nil"/>
              <w:bottom w:val="nil"/>
              <w:right w:val="nil"/>
            </w:tcBorders>
            <w:shd w:val="clear" w:color="auto" w:fill="auto"/>
            <w:vAlign w:val="center"/>
            <w:hideMark/>
          </w:tcPr>
          <w:p w14:paraId="3B4F91C6"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center"/>
            <w:hideMark/>
          </w:tcPr>
          <w:p w14:paraId="3B4F91C7"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0" w:type="dxa"/>
            <w:tcBorders>
              <w:top w:val="nil"/>
              <w:left w:val="nil"/>
              <w:bottom w:val="nil"/>
              <w:right w:val="nil"/>
            </w:tcBorders>
            <w:shd w:val="clear" w:color="auto" w:fill="auto"/>
            <w:vAlign w:val="center"/>
            <w:hideMark/>
          </w:tcPr>
          <w:p w14:paraId="3B4F91C8"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center"/>
            <w:hideMark/>
          </w:tcPr>
          <w:p w14:paraId="3B4F91C9"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6" w:type="dxa"/>
            <w:tcBorders>
              <w:top w:val="nil"/>
              <w:left w:val="nil"/>
              <w:bottom w:val="nil"/>
              <w:right w:val="nil"/>
            </w:tcBorders>
            <w:shd w:val="clear" w:color="auto" w:fill="auto"/>
            <w:vAlign w:val="center"/>
            <w:hideMark/>
          </w:tcPr>
          <w:p w14:paraId="3B4F91CA"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center"/>
            <w:hideMark/>
          </w:tcPr>
          <w:p w14:paraId="3B4F91CB"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2" w:type="dxa"/>
            <w:tcBorders>
              <w:top w:val="nil"/>
              <w:left w:val="nil"/>
              <w:bottom w:val="nil"/>
              <w:right w:val="nil"/>
            </w:tcBorders>
            <w:shd w:val="clear" w:color="auto" w:fill="auto"/>
            <w:vAlign w:val="center"/>
            <w:hideMark/>
          </w:tcPr>
          <w:p w14:paraId="3B4F91CC"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r>
      <w:tr w:rsidR="008E6212" w:rsidRPr="00C834A5" w14:paraId="3B4F91E2" w14:textId="77777777" w:rsidTr="009C1A36">
        <w:trPr>
          <w:trHeight w:val="300"/>
        </w:trPr>
        <w:tc>
          <w:tcPr>
            <w:tcW w:w="2681" w:type="dxa"/>
            <w:tcBorders>
              <w:top w:val="nil"/>
              <w:left w:val="nil"/>
              <w:bottom w:val="nil"/>
              <w:right w:val="nil"/>
            </w:tcBorders>
            <w:shd w:val="clear" w:color="auto" w:fill="auto"/>
            <w:noWrap/>
            <w:vAlign w:val="bottom"/>
            <w:hideMark/>
          </w:tcPr>
          <w:p w14:paraId="3B4F91CE"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Australian smelt</w:t>
            </w:r>
          </w:p>
        </w:tc>
        <w:tc>
          <w:tcPr>
            <w:tcW w:w="821" w:type="dxa"/>
            <w:tcBorders>
              <w:top w:val="nil"/>
              <w:left w:val="nil"/>
              <w:bottom w:val="nil"/>
              <w:right w:val="nil"/>
            </w:tcBorders>
            <w:shd w:val="clear" w:color="auto" w:fill="auto"/>
            <w:noWrap/>
            <w:vAlign w:val="bottom"/>
            <w:hideMark/>
          </w:tcPr>
          <w:p w14:paraId="3B4F91C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52</w:t>
            </w:r>
          </w:p>
        </w:tc>
        <w:tc>
          <w:tcPr>
            <w:tcW w:w="80" w:type="dxa"/>
            <w:tcBorders>
              <w:top w:val="nil"/>
              <w:left w:val="nil"/>
              <w:bottom w:val="nil"/>
              <w:right w:val="nil"/>
            </w:tcBorders>
            <w:shd w:val="clear" w:color="auto" w:fill="auto"/>
            <w:noWrap/>
            <w:vAlign w:val="bottom"/>
            <w:hideMark/>
          </w:tcPr>
          <w:p w14:paraId="3B4F91D0"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1D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1D2"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1D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4</w:t>
            </w:r>
          </w:p>
        </w:tc>
        <w:tc>
          <w:tcPr>
            <w:tcW w:w="80" w:type="dxa"/>
            <w:tcBorders>
              <w:top w:val="nil"/>
              <w:left w:val="nil"/>
              <w:bottom w:val="nil"/>
              <w:right w:val="nil"/>
            </w:tcBorders>
            <w:shd w:val="clear" w:color="auto" w:fill="auto"/>
            <w:noWrap/>
            <w:vAlign w:val="bottom"/>
            <w:hideMark/>
          </w:tcPr>
          <w:p w14:paraId="3B4F91D4"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1D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1D6"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1D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11</w:t>
            </w:r>
          </w:p>
        </w:tc>
        <w:tc>
          <w:tcPr>
            <w:tcW w:w="80" w:type="dxa"/>
            <w:tcBorders>
              <w:top w:val="nil"/>
              <w:left w:val="nil"/>
              <w:bottom w:val="nil"/>
              <w:right w:val="nil"/>
            </w:tcBorders>
            <w:shd w:val="clear" w:color="auto" w:fill="auto"/>
            <w:vAlign w:val="bottom"/>
            <w:hideMark/>
          </w:tcPr>
          <w:p w14:paraId="3B4F91D8"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1D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1DA"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1D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14</w:t>
            </w:r>
          </w:p>
        </w:tc>
        <w:tc>
          <w:tcPr>
            <w:tcW w:w="80" w:type="dxa"/>
            <w:tcBorders>
              <w:top w:val="nil"/>
              <w:left w:val="nil"/>
              <w:bottom w:val="nil"/>
              <w:right w:val="nil"/>
            </w:tcBorders>
            <w:shd w:val="clear" w:color="auto" w:fill="auto"/>
            <w:vAlign w:val="bottom"/>
            <w:hideMark/>
          </w:tcPr>
          <w:p w14:paraId="3B4F91DC"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1D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1DE"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1D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81</w:t>
            </w:r>
          </w:p>
        </w:tc>
        <w:tc>
          <w:tcPr>
            <w:tcW w:w="80" w:type="dxa"/>
            <w:tcBorders>
              <w:top w:val="nil"/>
              <w:left w:val="nil"/>
              <w:bottom w:val="nil"/>
              <w:right w:val="nil"/>
            </w:tcBorders>
            <w:shd w:val="clear" w:color="auto" w:fill="auto"/>
            <w:vAlign w:val="bottom"/>
            <w:hideMark/>
          </w:tcPr>
          <w:p w14:paraId="3B4F91E0"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noWrap/>
            <w:vAlign w:val="bottom"/>
            <w:hideMark/>
          </w:tcPr>
          <w:p w14:paraId="3B4F91E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1F7" w14:textId="77777777" w:rsidTr="009C1A36">
        <w:trPr>
          <w:trHeight w:val="300"/>
        </w:trPr>
        <w:tc>
          <w:tcPr>
            <w:tcW w:w="2681" w:type="dxa"/>
            <w:tcBorders>
              <w:top w:val="nil"/>
              <w:left w:val="nil"/>
              <w:bottom w:val="nil"/>
              <w:right w:val="nil"/>
            </w:tcBorders>
            <w:shd w:val="clear" w:color="auto" w:fill="auto"/>
            <w:noWrap/>
            <w:vAlign w:val="bottom"/>
            <w:hideMark/>
          </w:tcPr>
          <w:p w14:paraId="3B4F91E3"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carp gudgeon</w:t>
            </w:r>
          </w:p>
        </w:tc>
        <w:tc>
          <w:tcPr>
            <w:tcW w:w="821" w:type="dxa"/>
            <w:tcBorders>
              <w:top w:val="nil"/>
              <w:left w:val="nil"/>
              <w:bottom w:val="nil"/>
              <w:right w:val="nil"/>
            </w:tcBorders>
            <w:shd w:val="clear" w:color="auto" w:fill="auto"/>
            <w:noWrap/>
            <w:vAlign w:val="bottom"/>
            <w:hideMark/>
          </w:tcPr>
          <w:p w14:paraId="3B4F91E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28</w:t>
            </w:r>
          </w:p>
        </w:tc>
        <w:tc>
          <w:tcPr>
            <w:tcW w:w="80" w:type="dxa"/>
            <w:tcBorders>
              <w:top w:val="nil"/>
              <w:left w:val="nil"/>
              <w:bottom w:val="nil"/>
              <w:right w:val="nil"/>
            </w:tcBorders>
            <w:shd w:val="clear" w:color="auto" w:fill="auto"/>
            <w:noWrap/>
            <w:vAlign w:val="bottom"/>
            <w:hideMark/>
          </w:tcPr>
          <w:p w14:paraId="3B4F91E5"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noWrap/>
            <w:vAlign w:val="bottom"/>
            <w:hideMark/>
          </w:tcPr>
          <w:p w14:paraId="3B4F91E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w:t>
            </w:r>
          </w:p>
        </w:tc>
        <w:tc>
          <w:tcPr>
            <w:tcW w:w="99" w:type="dxa"/>
            <w:tcBorders>
              <w:top w:val="nil"/>
              <w:left w:val="nil"/>
              <w:bottom w:val="nil"/>
              <w:right w:val="nil"/>
            </w:tcBorders>
            <w:shd w:val="clear" w:color="auto" w:fill="auto"/>
            <w:vAlign w:val="bottom"/>
            <w:hideMark/>
          </w:tcPr>
          <w:p w14:paraId="3B4F91E7"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1E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530</w:t>
            </w:r>
          </w:p>
        </w:tc>
        <w:tc>
          <w:tcPr>
            <w:tcW w:w="80" w:type="dxa"/>
            <w:tcBorders>
              <w:top w:val="nil"/>
              <w:left w:val="nil"/>
              <w:bottom w:val="nil"/>
              <w:right w:val="nil"/>
            </w:tcBorders>
            <w:shd w:val="clear" w:color="auto" w:fill="auto"/>
            <w:noWrap/>
            <w:vAlign w:val="bottom"/>
            <w:hideMark/>
          </w:tcPr>
          <w:p w14:paraId="3B4F91E9"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1E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1EB"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1E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1000</w:t>
            </w:r>
          </w:p>
        </w:tc>
        <w:tc>
          <w:tcPr>
            <w:tcW w:w="80" w:type="dxa"/>
            <w:tcBorders>
              <w:top w:val="nil"/>
              <w:left w:val="nil"/>
              <w:bottom w:val="nil"/>
              <w:right w:val="nil"/>
            </w:tcBorders>
            <w:shd w:val="clear" w:color="auto" w:fill="auto"/>
            <w:vAlign w:val="bottom"/>
            <w:hideMark/>
          </w:tcPr>
          <w:p w14:paraId="3B4F91ED"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noWrap/>
            <w:vAlign w:val="bottom"/>
            <w:hideMark/>
          </w:tcPr>
          <w:p w14:paraId="3B4F91E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w:t>
            </w:r>
          </w:p>
        </w:tc>
        <w:tc>
          <w:tcPr>
            <w:tcW w:w="99" w:type="dxa"/>
            <w:tcBorders>
              <w:top w:val="nil"/>
              <w:left w:val="nil"/>
              <w:bottom w:val="nil"/>
              <w:right w:val="nil"/>
            </w:tcBorders>
            <w:shd w:val="clear" w:color="auto" w:fill="auto"/>
            <w:vAlign w:val="bottom"/>
            <w:hideMark/>
          </w:tcPr>
          <w:p w14:paraId="3B4F91EF"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1F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785</w:t>
            </w:r>
          </w:p>
        </w:tc>
        <w:tc>
          <w:tcPr>
            <w:tcW w:w="80" w:type="dxa"/>
            <w:tcBorders>
              <w:top w:val="nil"/>
              <w:left w:val="nil"/>
              <w:bottom w:val="nil"/>
              <w:right w:val="nil"/>
            </w:tcBorders>
            <w:shd w:val="clear" w:color="auto" w:fill="auto"/>
            <w:vAlign w:val="bottom"/>
            <w:hideMark/>
          </w:tcPr>
          <w:p w14:paraId="3B4F91F1"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noWrap/>
            <w:vAlign w:val="bottom"/>
            <w:hideMark/>
          </w:tcPr>
          <w:p w14:paraId="3B4F91F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99" w:type="dxa"/>
            <w:tcBorders>
              <w:top w:val="nil"/>
              <w:left w:val="nil"/>
              <w:bottom w:val="nil"/>
              <w:right w:val="nil"/>
            </w:tcBorders>
            <w:shd w:val="clear" w:color="auto" w:fill="auto"/>
            <w:vAlign w:val="bottom"/>
            <w:hideMark/>
          </w:tcPr>
          <w:p w14:paraId="3B4F91F3"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1F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2343</w:t>
            </w:r>
          </w:p>
        </w:tc>
        <w:tc>
          <w:tcPr>
            <w:tcW w:w="80" w:type="dxa"/>
            <w:tcBorders>
              <w:top w:val="nil"/>
              <w:left w:val="nil"/>
              <w:bottom w:val="nil"/>
              <w:right w:val="nil"/>
            </w:tcBorders>
            <w:shd w:val="clear" w:color="auto" w:fill="auto"/>
            <w:vAlign w:val="bottom"/>
            <w:hideMark/>
          </w:tcPr>
          <w:p w14:paraId="3B4F91F5"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noWrap/>
            <w:vAlign w:val="bottom"/>
            <w:hideMark/>
          </w:tcPr>
          <w:p w14:paraId="3B4F91F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7</w:t>
            </w:r>
          </w:p>
        </w:tc>
      </w:tr>
      <w:tr w:rsidR="008E6212" w:rsidRPr="00C834A5" w14:paraId="3B4F920C" w14:textId="77777777" w:rsidTr="009C1A36">
        <w:trPr>
          <w:trHeight w:val="300"/>
        </w:trPr>
        <w:tc>
          <w:tcPr>
            <w:tcW w:w="2681" w:type="dxa"/>
            <w:tcBorders>
              <w:top w:val="nil"/>
              <w:left w:val="nil"/>
              <w:bottom w:val="nil"/>
              <w:right w:val="nil"/>
            </w:tcBorders>
            <w:shd w:val="clear" w:color="auto" w:fill="auto"/>
            <w:noWrap/>
            <w:vAlign w:val="bottom"/>
            <w:hideMark/>
          </w:tcPr>
          <w:p w14:paraId="3B4F91F8"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flathead gudgeon</w:t>
            </w:r>
          </w:p>
        </w:tc>
        <w:tc>
          <w:tcPr>
            <w:tcW w:w="821" w:type="dxa"/>
            <w:tcBorders>
              <w:top w:val="nil"/>
              <w:left w:val="nil"/>
              <w:bottom w:val="nil"/>
              <w:right w:val="nil"/>
            </w:tcBorders>
            <w:shd w:val="clear" w:color="auto" w:fill="auto"/>
            <w:noWrap/>
            <w:vAlign w:val="bottom"/>
            <w:hideMark/>
          </w:tcPr>
          <w:p w14:paraId="3B4F91F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4</w:t>
            </w:r>
          </w:p>
        </w:tc>
        <w:tc>
          <w:tcPr>
            <w:tcW w:w="80" w:type="dxa"/>
            <w:tcBorders>
              <w:top w:val="nil"/>
              <w:left w:val="nil"/>
              <w:bottom w:val="nil"/>
              <w:right w:val="nil"/>
            </w:tcBorders>
            <w:shd w:val="clear" w:color="auto" w:fill="auto"/>
            <w:noWrap/>
            <w:vAlign w:val="bottom"/>
            <w:hideMark/>
          </w:tcPr>
          <w:p w14:paraId="3B4F91FA"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1F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1FC"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1F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15</w:t>
            </w:r>
          </w:p>
        </w:tc>
        <w:tc>
          <w:tcPr>
            <w:tcW w:w="80" w:type="dxa"/>
            <w:tcBorders>
              <w:top w:val="nil"/>
              <w:left w:val="nil"/>
              <w:bottom w:val="nil"/>
              <w:right w:val="nil"/>
            </w:tcBorders>
            <w:shd w:val="clear" w:color="auto" w:fill="auto"/>
            <w:noWrap/>
            <w:vAlign w:val="bottom"/>
            <w:hideMark/>
          </w:tcPr>
          <w:p w14:paraId="3B4F91FE"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1F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00"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0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22</w:t>
            </w:r>
          </w:p>
        </w:tc>
        <w:tc>
          <w:tcPr>
            <w:tcW w:w="80" w:type="dxa"/>
            <w:tcBorders>
              <w:top w:val="nil"/>
              <w:left w:val="nil"/>
              <w:bottom w:val="nil"/>
              <w:right w:val="nil"/>
            </w:tcBorders>
            <w:shd w:val="clear" w:color="auto" w:fill="auto"/>
            <w:vAlign w:val="bottom"/>
            <w:hideMark/>
          </w:tcPr>
          <w:p w14:paraId="3B4F9202"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0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04"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0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66</w:t>
            </w:r>
          </w:p>
        </w:tc>
        <w:tc>
          <w:tcPr>
            <w:tcW w:w="80" w:type="dxa"/>
            <w:tcBorders>
              <w:top w:val="nil"/>
              <w:left w:val="nil"/>
              <w:bottom w:val="nil"/>
              <w:right w:val="nil"/>
            </w:tcBorders>
            <w:shd w:val="clear" w:color="auto" w:fill="auto"/>
            <w:vAlign w:val="bottom"/>
            <w:hideMark/>
          </w:tcPr>
          <w:p w14:paraId="3B4F9206"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noWrap/>
            <w:vAlign w:val="bottom"/>
            <w:hideMark/>
          </w:tcPr>
          <w:p w14:paraId="3B4F920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w:t>
            </w:r>
          </w:p>
        </w:tc>
        <w:tc>
          <w:tcPr>
            <w:tcW w:w="99" w:type="dxa"/>
            <w:tcBorders>
              <w:top w:val="nil"/>
              <w:left w:val="nil"/>
              <w:bottom w:val="nil"/>
              <w:right w:val="nil"/>
            </w:tcBorders>
            <w:shd w:val="clear" w:color="auto" w:fill="auto"/>
            <w:vAlign w:val="bottom"/>
            <w:hideMark/>
          </w:tcPr>
          <w:p w14:paraId="3B4F9208"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0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107</w:t>
            </w:r>
          </w:p>
        </w:tc>
        <w:tc>
          <w:tcPr>
            <w:tcW w:w="80" w:type="dxa"/>
            <w:tcBorders>
              <w:top w:val="nil"/>
              <w:left w:val="nil"/>
              <w:bottom w:val="nil"/>
              <w:right w:val="nil"/>
            </w:tcBorders>
            <w:shd w:val="clear" w:color="auto" w:fill="auto"/>
            <w:vAlign w:val="bottom"/>
            <w:hideMark/>
          </w:tcPr>
          <w:p w14:paraId="3B4F920A"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noWrap/>
            <w:vAlign w:val="bottom"/>
            <w:hideMark/>
          </w:tcPr>
          <w:p w14:paraId="3B4F920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w:t>
            </w:r>
          </w:p>
        </w:tc>
      </w:tr>
      <w:tr w:rsidR="008E6212" w:rsidRPr="00C834A5" w14:paraId="3B4F9221" w14:textId="77777777" w:rsidTr="009C1A36">
        <w:trPr>
          <w:trHeight w:val="300"/>
        </w:trPr>
        <w:tc>
          <w:tcPr>
            <w:tcW w:w="2681" w:type="dxa"/>
            <w:tcBorders>
              <w:top w:val="nil"/>
              <w:left w:val="nil"/>
              <w:bottom w:val="nil"/>
              <w:right w:val="nil"/>
            </w:tcBorders>
            <w:shd w:val="clear" w:color="auto" w:fill="auto"/>
            <w:noWrap/>
            <w:vAlign w:val="bottom"/>
            <w:hideMark/>
          </w:tcPr>
          <w:p w14:paraId="3B4F920D"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unspecked hardyead</w:t>
            </w:r>
          </w:p>
        </w:tc>
        <w:tc>
          <w:tcPr>
            <w:tcW w:w="821" w:type="dxa"/>
            <w:tcBorders>
              <w:top w:val="nil"/>
              <w:left w:val="nil"/>
              <w:bottom w:val="nil"/>
              <w:right w:val="nil"/>
            </w:tcBorders>
            <w:shd w:val="clear" w:color="auto" w:fill="auto"/>
            <w:noWrap/>
            <w:vAlign w:val="bottom"/>
            <w:hideMark/>
          </w:tcPr>
          <w:p w14:paraId="3B4F920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80" w:type="dxa"/>
            <w:tcBorders>
              <w:top w:val="nil"/>
              <w:left w:val="nil"/>
              <w:bottom w:val="nil"/>
              <w:right w:val="nil"/>
            </w:tcBorders>
            <w:shd w:val="clear" w:color="auto" w:fill="auto"/>
            <w:noWrap/>
            <w:vAlign w:val="bottom"/>
            <w:hideMark/>
          </w:tcPr>
          <w:p w14:paraId="3B4F920F"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1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11"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1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13"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1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15"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1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80" w:type="dxa"/>
            <w:tcBorders>
              <w:top w:val="nil"/>
              <w:left w:val="nil"/>
              <w:bottom w:val="nil"/>
              <w:right w:val="nil"/>
            </w:tcBorders>
            <w:shd w:val="clear" w:color="auto" w:fill="auto"/>
            <w:vAlign w:val="bottom"/>
            <w:hideMark/>
          </w:tcPr>
          <w:p w14:paraId="3B4F9217"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1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19"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1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1B"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1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1D"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1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6</w:t>
            </w:r>
          </w:p>
        </w:tc>
        <w:tc>
          <w:tcPr>
            <w:tcW w:w="80" w:type="dxa"/>
            <w:tcBorders>
              <w:top w:val="nil"/>
              <w:left w:val="nil"/>
              <w:bottom w:val="nil"/>
              <w:right w:val="nil"/>
            </w:tcBorders>
            <w:shd w:val="clear" w:color="auto" w:fill="auto"/>
            <w:vAlign w:val="bottom"/>
            <w:hideMark/>
          </w:tcPr>
          <w:p w14:paraId="3B4F921F"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noWrap/>
            <w:vAlign w:val="bottom"/>
            <w:hideMark/>
          </w:tcPr>
          <w:p w14:paraId="3B4F922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36" w14:textId="77777777" w:rsidTr="009C1A36">
        <w:trPr>
          <w:trHeight w:val="300"/>
        </w:trPr>
        <w:tc>
          <w:tcPr>
            <w:tcW w:w="2681" w:type="dxa"/>
            <w:tcBorders>
              <w:top w:val="nil"/>
              <w:left w:val="nil"/>
              <w:bottom w:val="nil"/>
              <w:right w:val="nil"/>
            </w:tcBorders>
            <w:shd w:val="clear" w:color="auto" w:fill="auto"/>
            <w:noWrap/>
            <w:vAlign w:val="bottom"/>
            <w:hideMark/>
          </w:tcPr>
          <w:p w14:paraId="3B4F9222"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Murray River rainbowfish</w:t>
            </w:r>
          </w:p>
        </w:tc>
        <w:tc>
          <w:tcPr>
            <w:tcW w:w="821" w:type="dxa"/>
            <w:tcBorders>
              <w:top w:val="nil"/>
              <w:left w:val="nil"/>
              <w:bottom w:val="nil"/>
              <w:right w:val="nil"/>
            </w:tcBorders>
            <w:shd w:val="clear" w:color="auto" w:fill="auto"/>
            <w:noWrap/>
            <w:vAlign w:val="bottom"/>
            <w:hideMark/>
          </w:tcPr>
          <w:p w14:paraId="3B4F922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24"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2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26"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2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28"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2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2A"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2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w:t>
            </w:r>
          </w:p>
        </w:tc>
        <w:tc>
          <w:tcPr>
            <w:tcW w:w="80" w:type="dxa"/>
            <w:tcBorders>
              <w:top w:val="nil"/>
              <w:left w:val="nil"/>
              <w:bottom w:val="nil"/>
              <w:right w:val="nil"/>
            </w:tcBorders>
            <w:shd w:val="clear" w:color="auto" w:fill="auto"/>
            <w:vAlign w:val="bottom"/>
            <w:hideMark/>
          </w:tcPr>
          <w:p w14:paraId="3B4F922C"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2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2E"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2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30"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3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32"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3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w:t>
            </w:r>
          </w:p>
        </w:tc>
        <w:tc>
          <w:tcPr>
            <w:tcW w:w="80" w:type="dxa"/>
            <w:tcBorders>
              <w:top w:val="nil"/>
              <w:left w:val="nil"/>
              <w:bottom w:val="nil"/>
              <w:right w:val="nil"/>
            </w:tcBorders>
            <w:shd w:val="clear" w:color="auto" w:fill="auto"/>
            <w:vAlign w:val="bottom"/>
            <w:hideMark/>
          </w:tcPr>
          <w:p w14:paraId="3B4F9234"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3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4B" w14:textId="77777777" w:rsidTr="009C1A36">
        <w:trPr>
          <w:trHeight w:val="300"/>
        </w:trPr>
        <w:tc>
          <w:tcPr>
            <w:tcW w:w="2681" w:type="dxa"/>
            <w:tcBorders>
              <w:top w:val="nil"/>
              <w:left w:val="nil"/>
              <w:bottom w:val="nil"/>
              <w:right w:val="nil"/>
            </w:tcBorders>
            <w:shd w:val="clear" w:color="auto" w:fill="auto"/>
            <w:noWrap/>
            <w:vAlign w:val="bottom"/>
            <w:hideMark/>
          </w:tcPr>
          <w:p w14:paraId="3B4F9237"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obscure galaxias</w:t>
            </w:r>
          </w:p>
        </w:tc>
        <w:tc>
          <w:tcPr>
            <w:tcW w:w="821" w:type="dxa"/>
            <w:tcBorders>
              <w:top w:val="nil"/>
              <w:left w:val="nil"/>
              <w:bottom w:val="nil"/>
              <w:right w:val="nil"/>
            </w:tcBorders>
            <w:shd w:val="clear" w:color="auto" w:fill="auto"/>
            <w:noWrap/>
            <w:vAlign w:val="bottom"/>
            <w:hideMark/>
          </w:tcPr>
          <w:p w14:paraId="3B4F923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80" w:type="dxa"/>
            <w:tcBorders>
              <w:top w:val="nil"/>
              <w:left w:val="nil"/>
              <w:bottom w:val="nil"/>
              <w:right w:val="nil"/>
            </w:tcBorders>
            <w:shd w:val="clear" w:color="auto" w:fill="auto"/>
            <w:noWrap/>
            <w:vAlign w:val="bottom"/>
            <w:hideMark/>
          </w:tcPr>
          <w:p w14:paraId="3B4F9239"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3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3B"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3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3D"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3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3F"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4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41"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4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43"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4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w:t>
            </w:r>
          </w:p>
        </w:tc>
        <w:tc>
          <w:tcPr>
            <w:tcW w:w="80" w:type="dxa"/>
            <w:tcBorders>
              <w:top w:val="nil"/>
              <w:left w:val="nil"/>
              <w:bottom w:val="nil"/>
              <w:right w:val="nil"/>
            </w:tcBorders>
            <w:shd w:val="clear" w:color="auto" w:fill="auto"/>
            <w:vAlign w:val="bottom"/>
            <w:hideMark/>
          </w:tcPr>
          <w:p w14:paraId="3B4F9245"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4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47"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4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5</w:t>
            </w:r>
          </w:p>
        </w:tc>
        <w:tc>
          <w:tcPr>
            <w:tcW w:w="80" w:type="dxa"/>
            <w:tcBorders>
              <w:top w:val="nil"/>
              <w:left w:val="nil"/>
              <w:bottom w:val="nil"/>
              <w:right w:val="nil"/>
            </w:tcBorders>
            <w:shd w:val="clear" w:color="auto" w:fill="auto"/>
            <w:vAlign w:val="bottom"/>
            <w:hideMark/>
          </w:tcPr>
          <w:p w14:paraId="3B4F9249"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noWrap/>
            <w:vAlign w:val="bottom"/>
            <w:hideMark/>
          </w:tcPr>
          <w:p w14:paraId="3B4F924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60" w14:textId="77777777" w:rsidTr="009C1A36">
        <w:trPr>
          <w:trHeight w:val="300"/>
        </w:trPr>
        <w:tc>
          <w:tcPr>
            <w:tcW w:w="2681" w:type="dxa"/>
            <w:tcBorders>
              <w:top w:val="nil"/>
              <w:left w:val="nil"/>
              <w:bottom w:val="nil"/>
              <w:right w:val="nil"/>
            </w:tcBorders>
            <w:shd w:val="clear" w:color="auto" w:fill="auto"/>
            <w:noWrap/>
            <w:vAlign w:val="bottom"/>
            <w:hideMark/>
          </w:tcPr>
          <w:p w14:paraId="3B4F924C"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bony herring</w:t>
            </w:r>
          </w:p>
        </w:tc>
        <w:tc>
          <w:tcPr>
            <w:tcW w:w="821" w:type="dxa"/>
            <w:tcBorders>
              <w:top w:val="nil"/>
              <w:left w:val="nil"/>
              <w:bottom w:val="nil"/>
              <w:right w:val="nil"/>
            </w:tcBorders>
            <w:shd w:val="clear" w:color="auto" w:fill="auto"/>
            <w:noWrap/>
            <w:vAlign w:val="bottom"/>
            <w:hideMark/>
          </w:tcPr>
          <w:p w14:paraId="3B4F924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4E"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4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50"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5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52"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5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54"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5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56"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5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58"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5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5A"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5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5C"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5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5E"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5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75" w14:textId="77777777" w:rsidTr="009C1A36">
        <w:trPr>
          <w:trHeight w:val="300"/>
        </w:trPr>
        <w:tc>
          <w:tcPr>
            <w:tcW w:w="2681" w:type="dxa"/>
            <w:tcBorders>
              <w:top w:val="nil"/>
              <w:left w:val="nil"/>
              <w:bottom w:val="nil"/>
              <w:right w:val="nil"/>
            </w:tcBorders>
            <w:shd w:val="clear" w:color="auto" w:fill="auto"/>
            <w:noWrap/>
            <w:vAlign w:val="bottom"/>
            <w:hideMark/>
          </w:tcPr>
          <w:p w14:paraId="3B4F9261"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silver perch</w:t>
            </w:r>
          </w:p>
        </w:tc>
        <w:tc>
          <w:tcPr>
            <w:tcW w:w="821" w:type="dxa"/>
            <w:tcBorders>
              <w:top w:val="nil"/>
              <w:left w:val="nil"/>
              <w:bottom w:val="nil"/>
              <w:right w:val="nil"/>
            </w:tcBorders>
            <w:shd w:val="clear" w:color="auto" w:fill="auto"/>
            <w:noWrap/>
            <w:vAlign w:val="bottom"/>
            <w:hideMark/>
          </w:tcPr>
          <w:p w14:paraId="3B4F926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63"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6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65"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6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67"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6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69"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6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6B"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6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6D"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6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6F"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7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71"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7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73"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7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8A" w14:textId="77777777" w:rsidTr="009C1A36">
        <w:trPr>
          <w:trHeight w:val="300"/>
        </w:trPr>
        <w:tc>
          <w:tcPr>
            <w:tcW w:w="2681" w:type="dxa"/>
            <w:tcBorders>
              <w:top w:val="nil"/>
              <w:left w:val="nil"/>
              <w:bottom w:val="nil"/>
              <w:right w:val="nil"/>
            </w:tcBorders>
            <w:shd w:val="clear" w:color="auto" w:fill="auto"/>
            <w:noWrap/>
            <w:vAlign w:val="bottom"/>
            <w:hideMark/>
          </w:tcPr>
          <w:p w14:paraId="3B4F9276"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golden perch</w:t>
            </w:r>
          </w:p>
        </w:tc>
        <w:tc>
          <w:tcPr>
            <w:tcW w:w="821" w:type="dxa"/>
            <w:tcBorders>
              <w:top w:val="nil"/>
              <w:left w:val="nil"/>
              <w:bottom w:val="nil"/>
              <w:right w:val="nil"/>
            </w:tcBorders>
            <w:shd w:val="clear" w:color="auto" w:fill="auto"/>
            <w:noWrap/>
            <w:vAlign w:val="bottom"/>
            <w:hideMark/>
          </w:tcPr>
          <w:p w14:paraId="3B4F927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78"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7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7A"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7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7C"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7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7E"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7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80"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8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82"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8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84"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8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86"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8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88"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8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9F" w14:textId="77777777" w:rsidTr="009C1A36">
        <w:trPr>
          <w:trHeight w:val="300"/>
        </w:trPr>
        <w:tc>
          <w:tcPr>
            <w:tcW w:w="2681" w:type="dxa"/>
            <w:tcBorders>
              <w:top w:val="nil"/>
              <w:left w:val="nil"/>
              <w:bottom w:val="nil"/>
              <w:right w:val="nil"/>
            </w:tcBorders>
            <w:shd w:val="clear" w:color="auto" w:fill="auto"/>
            <w:noWrap/>
            <w:vAlign w:val="bottom"/>
            <w:hideMark/>
          </w:tcPr>
          <w:p w14:paraId="3B4F928B"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river blackfish</w:t>
            </w:r>
          </w:p>
        </w:tc>
        <w:tc>
          <w:tcPr>
            <w:tcW w:w="821" w:type="dxa"/>
            <w:tcBorders>
              <w:top w:val="nil"/>
              <w:left w:val="nil"/>
              <w:bottom w:val="nil"/>
              <w:right w:val="nil"/>
            </w:tcBorders>
            <w:shd w:val="clear" w:color="auto" w:fill="auto"/>
            <w:noWrap/>
            <w:vAlign w:val="bottom"/>
            <w:hideMark/>
          </w:tcPr>
          <w:p w14:paraId="3B4F928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8D"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8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8F"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9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18</w:t>
            </w:r>
          </w:p>
        </w:tc>
        <w:tc>
          <w:tcPr>
            <w:tcW w:w="80" w:type="dxa"/>
            <w:tcBorders>
              <w:top w:val="nil"/>
              <w:left w:val="nil"/>
              <w:bottom w:val="nil"/>
              <w:right w:val="nil"/>
            </w:tcBorders>
            <w:shd w:val="clear" w:color="auto" w:fill="auto"/>
            <w:noWrap/>
            <w:vAlign w:val="bottom"/>
            <w:hideMark/>
          </w:tcPr>
          <w:p w14:paraId="3B4F9291"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9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93"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9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95"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9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97"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9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99"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9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9B"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9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18</w:t>
            </w:r>
          </w:p>
        </w:tc>
        <w:tc>
          <w:tcPr>
            <w:tcW w:w="80" w:type="dxa"/>
            <w:tcBorders>
              <w:top w:val="nil"/>
              <w:left w:val="nil"/>
              <w:bottom w:val="nil"/>
              <w:right w:val="nil"/>
            </w:tcBorders>
            <w:shd w:val="clear" w:color="auto" w:fill="auto"/>
            <w:vAlign w:val="bottom"/>
            <w:hideMark/>
          </w:tcPr>
          <w:p w14:paraId="3B4F929D"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9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B4" w14:textId="77777777" w:rsidTr="009C1A36">
        <w:trPr>
          <w:trHeight w:val="300"/>
        </w:trPr>
        <w:tc>
          <w:tcPr>
            <w:tcW w:w="2681" w:type="dxa"/>
            <w:tcBorders>
              <w:top w:val="nil"/>
              <w:left w:val="nil"/>
              <w:bottom w:val="nil"/>
              <w:right w:val="nil"/>
            </w:tcBorders>
            <w:shd w:val="clear" w:color="auto" w:fill="auto"/>
            <w:noWrap/>
            <w:vAlign w:val="bottom"/>
            <w:hideMark/>
          </w:tcPr>
          <w:p w14:paraId="3B4F92A0"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trout cod</w:t>
            </w:r>
          </w:p>
        </w:tc>
        <w:tc>
          <w:tcPr>
            <w:tcW w:w="821" w:type="dxa"/>
            <w:tcBorders>
              <w:top w:val="nil"/>
              <w:left w:val="nil"/>
              <w:bottom w:val="nil"/>
              <w:right w:val="nil"/>
            </w:tcBorders>
            <w:shd w:val="clear" w:color="auto" w:fill="auto"/>
            <w:noWrap/>
            <w:vAlign w:val="bottom"/>
            <w:hideMark/>
          </w:tcPr>
          <w:p w14:paraId="3B4F92A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A2"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A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A4"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A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A6"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A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A8"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A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AA"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A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AC"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A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AE"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A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B0"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B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B2"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B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2C9" w14:textId="77777777" w:rsidTr="009C1A36">
        <w:trPr>
          <w:trHeight w:val="300"/>
        </w:trPr>
        <w:tc>
          <w:tcPr>
            <w:tcW w:w="2681" w:type="dxa"/>
            <w:tcBorders>
              <w:top w:val="nil"/>
              <w:left w:val="nil"/>
              <w:bottom w:val="nil"/>
              <w:right w:val="nil"/>
            </w:tcBorders>
            <w:shd w:val="clear" w:color="auto" w:fill="auto"/>
            <w:noWrap/>
            <w:vAlign w:val="bottom"/>
            <w:hideMark/>
          </w:tcPr>
          <w:p w14:paraId="3B4F92B5"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Murray cod</w:t>
            </w:r>
          </w:p>
        </w:tc>
        <w:tc>
          <w:tcPr>
            <w:tcW w:w="821" w:type="dxa"/>
            <w:tcBorders>
              <w:top w:val="nil"/>
              <w:left w:val="nil"/>
              <w:bottom w:val="nil"/>
              <w:right w:val="nil"/>
            </w:tcBorders>
            <w:shd w:val="clear" w:color="auto" w:fill="auto"/>
            <w:noWrap/>
            <w:vAlign w:val="bottom"/>
            <w:hideMark/>
          </w:tcPr>
          <w:p w14:paraId="3B4F92B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56</w:t>
            </w:r>
          </w:p>
        </w:tc>
        <w:tc>
          <w:tcPr>
            <w:tcW w:w="80" w:type="dxa"/>
            <w:tcBorders>
              <w:top w:val="nil"/>
              <w:left w:val="nil"/>
              <w:bottom w:val="nil"/>
              <w:right w:val="nil"/>
            </w:tcBorders>
            <w:shd w:val="clear" w:color="auto" w:fill="auto"/>
            <w:noWrap/>
            <w:vAlign w:val="bottom"/>
            <w:hideMark/>
          </w:tcPr>
          <w:p w14:paraId="3B4F92B7"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noWrap/>
            <w:vAlign w:val="bottom"/>
            <w:hideMark/>
          </w:tcPr>
          <w:p w14:paraId="3B4F92B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277</w:t>
            </w:r>
          </w:p>
        </w:tc>
        <w:tc>
          <w:tcPr>
            <w:tcW w:w="99" w:type="dxa"/>
            <w:tcBorders>
              <w:top w:val="nil"/>
              <w:left w:val="nil"/>
              <w:bottom w:val="nil"/>
              <w:right w:val="nil"/>
            </w:tcBorders>
            <w:shd w:val="clear" w:color="auto" w:fill="auto"/>
            <w:vAlign w:val="bottom"/>
            <w:hideMark/>
          </w:tcPr>
          <w:p w14:paraId="3B4F92B9"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B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66</w:t>
            </w:r>
          </w:p>
        </w:tc>
        <w:tc>
          <w:tcPr>
            <w:tcW w:w="80" w:type="dxa"/>
            <w:tcBorders>
              <w:top w:val="nil"/>
              <w:left w:val="nil"/>
              <w:bottom w:val="nil"/>
              <w:right w:val="nil"/>
            </w:tcBorders>
            <w:shd w:val="clear" w:color="auto" w:fill="auto"/>
            <w:noWrap/>
            <w:vAlign w:val="bottom"/>
            <w:hideMark/>
          </w:tcPr>
          <w:p w14:paraId="3B4F92BB"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noWrap/>
            <w:vAlign w:val="bottom"/>
            <w:hideMark/>
          </w:tcPr>
          <w:p w14:paraId="3B4F92B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42</w:t>
            </w:r>
          </w:p>
        </w:tc>
        <w:tc>
          <w:tcPr>
            <w:tcW w:w="99" w:type="dxa"/>
            <w:tcBorders>
              <w:top w:val="nil"/>
              <w:left w:val="nil"/>
              <w:bottom w:val="nil"/>
              <w:right w:val="nil"/>
            </w:tcBorders>
            <w:shd w:val="clear" w:color="auto" w:fill="auto"/>
            <w:vAlign w:val="bottom"/>
            <w:hideMark/>
          </w:tcPr>
          <w:p w14:paraId="3B4F92BD"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B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29</w:t>
            </w:r>
          </w:p>
        </w:tc>
        <w:tc>
          <w:tcPr>
            <w:tcW w:w="80" w:type="dxa"/>
            <w:tcBorders>
              <w:top w:val="nil"/>
              <w:left w:val="nil"/>
              <w:bottom w:val="nil"/>
              <w:right w:val="nil"/>
            </w:tcBorders>
            <w:shd w:val="clear" w:color="auto" w:fill="auto"/>
            <w:vAlign w:val="bottom"/>
            <w:hideMark/>
          </w:tcPr>
          <w:p w14:paraId="3B4F92BF"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noWrap/>
            <w:vAlign w:val="bottom"/>
            <w:hideMark/>
          </w:tcPr>
          <w:p w14:paraId="3B4F92C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95</w:t>
            </w:r>
          </w:p>
        </w:tc>
        <w:tc>
          <w:tcPr>
            <w:tcW w:w="99" w:type="dxa"/>
            <w:tcBorders>
              <w:top w:val="nil"/>
              <w:left w:val="nil"/>
              <w:bottom w:val="nil"/>
              <w:right w:val="nil"/>
            </w:tcBorders>
            <w:shd w:val="clear" w:color="auto" w:fill="auto"/>
            <w:vAlign w:val="bottom"/>
            <w:hideMark/>
          </w:tcPr>
          <w:p w14:paraId="3B4F92C1"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C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64</w:t>
            </w:r>
          </w:p>
        </w:tc>
        <w:tc>
          <w:tcPr>
            <w:tcW w:w="80" w:type="dxa"/>
            <w:tcBorders>
              <w:top w:val="nil"/>
              <w:left w:val="nil"/>
              <w:bottom w:val="nil"/>
              <w:right w:val="nil"/>
            </w:tcBorders>
            <w:shd w:val="clear" w:color="auto" w:fill="auto"/>
            <w:vAlign w:val="bottom"/>
            <w:hideMark/>
          </w:tcPr>
          <w:p w14:paraId="3B4F92C3"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noWrap/>
            <w:vAlign w:val="bottom"/>
            <w:hideMark/>
          </w:tcPr>
          <w:p w14:paraId="3B4F92C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57</w:t>
            </w:r>
          </w:p>
        </w:tc>
        <w:tc>
          <w:tcPr>
            <w:tcW w:w="99" w:type="dxa"/>
            <w:tcBorders>
              <w:top w:val="nil"/>
              <w:left w:val="nil"/>
              <w:bottom w:val="nil"/>
              <w:right w:val="nil"/>
            </w:tcBorders>
            <w:shd w:val="clear" w:color="auto" w:fill="auto"/>
            <w:vAlign w:val="bottom"/>
            <w:hideMark/>
          </w:tcPr>
          <w:p w14:paraId="3B4F92C5"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C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215</w:t>
            </w:r>
          </w:p>
        </w:tc>
        <w:tc>
          <w:tcPr>
            <w:tcW w:w="80" w:type="dxa"/>
            <w:tcBorders>
              <w:top w:val="nil"/>
              <w:left w:val="nil"/>
              <w:bottom w:val="nil"/>
              <w:right w:val="nil"/>
            </w:tcBorders>
            <w:shd w:val="clear" w:color="auto" w:fill="auto"/>
            <w:vAlign w:val="bottom"/>
            <w:hideMark/>
          </w:tcPr>
          <w:p w14:paraId="3B4F92C7"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noWrap/>
            <w:vAlign w:val="bottom"/>
            <w:hideMark/>
          </w:tcPr>
          <w:p w14:paraId="3B4F92C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471</w:t>
            </w:r>
          </w:p>
        </w:tc>
      </w:tr>
      <w:tr w:rsidR="008E6212" w:rsidRPr="00C834A5" w14:paraId="3B4F92DE" w14:textId="77777777" w:rsidTr="009C1A36">
        <w:trPr>
          <w:trHeight w:val="495"/>
        </w:trPr>
        <w:tc>
          <w:tcPr>
            <w:tcW w:w="2681" w:type="dxa"/>
            <w:tcBorders>
              <w:top w:val="nil"/>
              <w:left w:val="nil"/>
              <w:bottom w:val="nil"/>
              <w:right w:val="nil"/>
            </w:tcBorders>
            <w:shd w:val="clear" w:color="auto" w:fill="auto"/>
            <w:noWrap/>
            <w:vAlign w:val="bottom"/>
            <w:hideMark/>
          </w:tcPr>
          <w:p w14:paraId="3B4F92CA" w14:textId="77777777" w:rsidR="008E6212" w:rsidRPr="00C834A5" w:rsidRDefault="008E6212" w:rsidP="009C1A36">
            <w:pPr>
              <w:spacing w:after="0" w:line="240" w:lineRule="auto"/>
              <w:jc w:val="left"/>
              <w:rPr>
                <w:rFonts w:eastAsia="Times New Roman"/>
                <w:i/>
                <w:iCs/>
                <w:color w:val="000000"/>
                <w:szCs w:val="22"/>
                <w:lang w:eastAsia="en-AU"/>
              </w:rPr>
            </w:pPr>
            <w:r w:rsidRPr="00C834A5">
              <w:rPr>
                <w:rFonts w:eastAsia="Times New Roman"/>
                <w:i/>
                <w:iCs/>
                <w:color w:val="000000"/>
                <w:szCs w:val="22"/>
                <w:lang w:eastAsia="en-AU"/>
              </w:rPr>
              <w:t>Introduced</w:t>
            </w:r>
          </w:p>
        </w:tc>
        <w:tc>
          <w:tcPr>
            <w:tcW w:w="821" w:type="dxa"/>
            <w:tcBorders>
              <w:top w:val="nil"/>
              <w:left w:val="nil"/>
              <w:bottom w:val="nil"/>
              <w:right w:val="nil"/>
            </w:tcBorders>
            <w:shd w:val="clear" w:color="auto" w:fill="auto"/>
            <w:noWrap/>
            <w:vAlign w:val="bottom"/>
            <w:hideMark/>
          </w:tcPr>
          <w:p w14:paraId="3B4F92CB" w14:textId="77777777" w:rsidR="008E6212" w:rsidRPr="00C834A5" w:rsidRDefault="008E6212" w:rsidP="009C1A36">
            <w:pPr>
              <w:spacing w:after="0" w:line="240" w:lineRule="auto"/>
              <w:jc w:val="left"/>
              <w:rPr>
                <w:rFonts w:eastAsia="Times New Roman"/>
                <w:i/>
                <w:iCs/>
                <w:color w:val="000000"/>
                <w:szCs w:val="22"/>
                <w:lang w:eastAsia="en-AU"/>
              </w:rPr>
            </w:pPr>
          </w:p>
        </w:tc>
        <w:tc>
          <w:tcPr>
            <w:tcW w:w="80" w:type="dxa"/>
            <w:tcBorders>
              <w:top w:val="nil"/>
              <w:left w:val="nil"/>
              <w:bottom w:val="nil"/>
              <w:right w:val="nil"/>
            </w:tcBorders>
            <w:shd w:val="clear" w:color="auto" w:fill="auto"/>
            <w:noWrap/>
            <w:vAlign w:val="bottom"/>
            <w:hideMark/>
          </w:tcPr>
          <w:p w14:paraId="3B4F92CC"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4" w:type="dxa"/>
            <w:tcBorders>
              <w:top w:val="nil"/>
              <w:left w:val="nil"/>
              <w:bottom w:val="nil"/>
              <w:right w:val="nil"/>
            </w:tcBorders>
            <w:shd w:val="clear" w:color="auto" w:fill="auto"/>
            <w:vAlign w:val="bottom"/>
            <w:hideMark/>
          </w:tcPr>
          <w:p w14:paraId="3B4F92CD"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bottom"/>
            <w:hideMark/>
          </w:tcPr>
          <w:p w14:paraId="3B4F92CE"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2" w:type="dxa"/>
            <w:tcBorders>
              <w:top w:val="nil"/>
              <w:left w:val="nil"/>
              <w:bottom w:val="nil"/>
              <w:right w:val="nil"/>
            </w:tcBorders>
            <w:shd w:val="clear" w:color="auto" w:fill="auto"/>
            <w:vAlign w:val="bottom"/>
            <w:hideMark/>
          </w:tcPr>
          <w:p w14:paraId="3B4F92CF"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noWrap/>
            <w:vAlign w:val="bottom"/>
            <w:hideMark/>
          </w:tcPr>
          <w:p w14:paraId="3B4F92D0"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0" w:type="dxa"/>
            <w:tcBorders>
              <w:top w:val="nil"/>
              <w:left w:val="nil"/>
              <w:bottom w:val="nil"/>
              <w:right w:val="nil"/>
            </w:tcBorders>
            <w:shd w:val="clear" w:color="auto" w:fill="auto"/>
            <w:vAlign w:val="bottom"/>
            <w:hideMark/>
          </w:tcPr>
          <w:p w14:paraId="3B4F92D1"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bottom"/>
            <w:hideMark/>
          </w:tcPr>
          <w:p w14:paraId="3B4F92D2"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6" w:type="dxa"/>
            <w:tcBorders>
              <w:top w:val="nil"/>
              <w:left w:val="nil"/>
              <w:bottom w:val="nil"/>
              <w:right w:val="nil"/>
            </w:tcBorders>
            <w:shd w:val="clear" w:color="auto" w:fill="auto"/>
            <w:vAlign w:val="bottom"/>
            <w:hideMark/>
          </w:tcPr>
          <w:p w14:paraId="3B4F92D3"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bottom"/>
            <w:hideMark/>
          </w:tcPr>
          <w:p w14:paraId="3B4F92D4"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0" w:type="dxa"/>
            <w:tcBorders>
              <w:top w:val="nil"/>
              <w:left w:val="nil"/>
              <w:bottom w:val="nil"/>
              <w:right w:val="nil"/>
            </w:tcBorders>
            <w:shd w:val="clear" w:color="auto" w:fill="auto"/>
            <w:vAlign w:val="bottom"/>
            <w:hideMark/>
          </w:tcPr>
          <w:p w14:paraId="3B4F92D5"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bottom"/>
            <w:hideMark/>
          </w:tcPr>
          <w:p w14:paraId="3B4F92D6"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2" w:type="dxa"/>
            <w:tcBorders>
              <w:top w:val="nil"/>
              <w:left w:val="nil"/>
              <w:bottom w:val="nil"/>
              <w:right w:val="nil"/>
            </w:tcBorders>
            <w:shd w:val="clear" w:color="auto" w:fill="auto"/>
            <w:vAlign w:val="bottom"/>
            <w:hideMark/>
          </w:tcPr>
          <w:p w14:paraId="3B4F92D7"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bottom"/>
            <w:hideMark/>
          </w:tcPr>
          <w:p w14:paraId="3B4F92D8"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0" w:type="dxa"/>
            <w:tcBorders>
              <w:top w:val="nil"/>
              <w:left w:val="nil"/>
              <w:bottom w:val="nil"/>
              <w:right w:val="nil"/>
            </w:tcBorders>
            <w:shd w:val="clear" w:color="auto" w:fill="auto"/>
            <w:vAlign w:val="bottom"/>
            <w:hideMark/>
          </w:tcPr>
          <w:p w14:paraId="3B4F92D9"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99" w:type="dxa"/>
            <w:tcBorders>
              <w:top w:val="nil"/>
              <w:left w:val="nil"/>
              <w:bottom w:val="nil"/>
              <w:right w:val="nil"/>
            </w:tcBorders>
            <w:shd w:val="clear" w:color="auto" w:fill="auto"/>
            <w:vAlign w:val="bottom"/>
            <w:hideMark/>
          </w:tcPr>
          <w:p w14:paraId="3B4F92DA"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6" w:type="dxa"/>
            <w:tcBorders>
              <w:top w:val="nil"/>
              <w:left w:val="nil"/>
              <w:bottom w:val="nil"/>
              <w:right w:val="nil"/>
            </w:tcBorders>
            <w:shd w:val="clear" w:color="auto" w:fill="auto"/>
            <w:vAlign w:val="bottom"/>
            <w:hideMark/>
          </w:tcPr>
          <w:p w14:paraId="3B4F92DB"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c>
          <w:tcPr>
            <w:tcW w:w="80" w:type="dxa"/>
            <w:tcBorders>
              <w:top w:val="nil"/>
              <w:left w:val="nil"/>
              <w:bottom w:val="nil"/>
              <w:right w:val="nil"/>
            </w:tcBorders>
            <w:shd w:val="clear" w:color="auto" w:fill="auto"/>
            <w:vAlign w:val="bottom"/>
            <w:hideMark/>
          </w:tcPr>
          <w:p w14:paraId="3B4F92DC" w14:textId="77777777" w:rsidR="008E6212" w:rsidRPr="00C834A5" w:rsidRDefault="008E6212" w:rsidP="009C1A36">
            <w:pPr>
              <w:spacing w:after="0" w:line="240" w:lineRule="auto"/>
              <w:jc w:val="right"/>
              <w:rPr>
                <w:rFonts w:ascii="Times New Roman" w:eastAsia="Times New Roman" w:hAnsi="Times New Roman"/>
                <w:sz w:val="20"/>
                <w:lang w:eastAsia="en-AU"/>
              </w:rPr>
            </w:pPr>
          </w:p>
        </w:tc>
        <w:tc>
          <w:tcPr>
            <w:tcW w:w="822" w:type="dxa"/>
            <w:tcBorders>
              <w:top w:val="nil"/>
              <w:left w:val="nil"/>
              <w:bottom w:val="nil"/>
              <w:right w:val="nil"/>
            </w:tcBorders>
            <w:shd w:val="clear" w:color="auto" w:fill="auto"/>
            <w:noWrap/>
            <w:vAlign w:val="bottom"/>
            <w:hideMark/>
          </w:tcPr>
          <w:p w14:paraId="3B4F92DD" w14:textId="77777777" w:rsidR="008E6212" w:rsidRPr="00C834A5" w:rsidRDefault="008E6212" w:rsidP="009C1A36">
            <w:pPr>
              <w:spacing w:after="0" w:line="240" w:lineRule="auto"/>
              <w:jc w:val="center"/>
              <w:rPr>
                <w:rFonts w:ascii="Times New Roman" w:eastAsia="Times New Roman" w:hAnsi="Times New Roman"/>
                <w:sz w:val="20"/>
                <w:lang w:eastAsia="en-AU"/>
              </w:rPr>
            </w:pPr>
          </w:p>
        </w:tc>
      </w:tr>
      <w:tr w:rsidR="008E6212" w:rsidRPr="00C834A5" w14:paraId="3B4F92F3" w14:textId="77777777" w:rsidTr="009C1A36">
        <w:trPr>
          <w:trHeight w:val="300"/>
        </w:trPr>
        <w:tc>
          <w:tcPr>
            <w:tcW w:w="2681" w:type="dxa"/>
            <w:tcBorders>
              <w:top w:val="nil"/>
              <w:left w:val="nil"/>
              <w:bottom w:val="nil"/>
              <w:right w:val="nil"/>
            </w:tcBorders>
            <w:shd w:val="clear" w:color="auto" w:fill="auto"/>
            <w:noWrap/>
            <w:vAlign w:val="bottom"/>
            <w:hideMark/>
          </w:tcPr>
          <w:p w14:paraId="3B4F92DF"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 xml:space="preserve">gambusia </w:t>
            </w:r>
          </w:p>
        </w:tc>
        <w:tc>
          <w:tcPr>
            <w:tcW w:w="821" w:type="dxa"/>
            <w:tcBorders>
              <w:top w:val="nil"/>
              <w:left w:val="nil"/>
              <w:bottom w:val="nil"/>
              <w:right w:val="nil"/>
            </w:tcBorders>
            <w:shd w:val="clear" w:color="auto" w:fill="auto"/>
            <w:noWrap/>
            <w:vAlign w:val="bottom"/>
            <w:hideMark/>
          </w:tcPr>
          <w:p w14:paraId="3B4F92E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E1"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E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E3"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E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E5"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E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E7"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E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80" w:type="dxa"/>
            <w:tcBorders>
              <w:top w:val="nil"/>
              <w:left w:val="nil"/>
              <w:bottom w:val="nil"/>
              <w:right w:val="nil"/>
            </w:tcBorders>
            <w:shd w:val="clear" w:color="auto" w:fill="auto"/>
            <w:vAlign w:val="bottom"/>
            <w:hideMark/>
          </w:tcPr>
          <w:p w14:paraId="3B4F92E9"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E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EB"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E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ED"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E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EF"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F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80" w:type="dxa"/>
            <w:tcBorders>
              <w:top w:val="nil"/>
              <w:left w:val="nil"/>
              <w:bottom w:val="nil"/>
              <w:right w:val="nil"/>
            </w:tcBorders>
            <w:shd w:val="clear" w:color="auto" w:fill="auto"/>
            <w:vAlign w:val="bottom"/>
            <w:hideMark/>
          </w:tcPr>
          <w:p w14:paraId="3B4F92F1"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F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308" w14:textId="77777777" w:rsidTr="009C1A36">
        <w:trPr>
          <w:trHeight w:val="300"/>
        </w:trPr>
        <w:tc>
          <w:tcPr>
            <w:tcW w:w="2681" w:type="dxa"/>
            <w:tcBorders>
              <w:top w:val="nil"/>
              <w:left w:val="nil"/>
              <w:bottom w:val="nil"/>
              <w:right w:val="nil"/>
            </w:tcBorders>
            <w:shd w:val="clear" w:color="auto" w:fill="auto"/>
            <w:noWrap/>
            <w:vAlign w:val="bottom"/>
            <w:hideMark/>
          </w:tcPr>
          <w:p w14:paraId="3B4F92F4"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oriental weatherloach</w:t>
            </w:r>
          </w:p>
        </w:tc>
        <w:tc>
          <w:tcPr>
            <w:tcW w:w="821" w:type="dxa"/>
            <w:tcBorders>
              <w:top w:val="nil"/>
              <w:left w:val="nil"/>
              <w:bottom w:val="nil"/>
              <w:right w:val="nil"/>
            </w:tcBorders>
            <w:shd w:val="clear" w:color="auto" w:fill="auto"/>
            <w:noWrap/>
            <w:vAlign w:val="bottom"/>
            <w:hideMark/>
          </w:tcPr>
          <w:p w14:paraId="3B4F92F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F6"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2F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F8"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2F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2FA"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F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2FC"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2F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2FE"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2F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00"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0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02"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0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04"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30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06"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0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31D" w14:textId="77777777" w:rsidTr="009C1A36">
        <w:trPr>
          <w:trHeight w:val="300"/>
        </w:trPr>
        <w:tc>
          <w:tcPr>
            <w:tcW w:w="2681" w:type="dxa"/>
            <w:tcBorders>
              <w:top w:val="nil"/>
              <w:left w:val="nil"/>
              <w:bottom w:val="nil"/>
              <w:right w:val="nil"/>
            </w:tcBorders>
            <w:shd w:val="clear" w:color="auto" w:fill="auto"/>
            <w:noWrap/>
            <w:vAlign w:val="bottom"/>
            <w:hideMark/>
          </w:tcPr>
          <w:p w14:paraId="3B4F9309"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redfin perch</w:t>
            </w:r>
          </w:p>
        </w:tc>
        <w:tc>
          <w:tcPr>
            <w:tcW w:w="821" w:type="dxa"/>
            <w:tcBorders>
              <w:top w:val="nil"/>
              <w:left w:val="nil"/>
              <w:bottom w:val="nil"/>
              <w:right w:val="nil"/>
            </w:tcBorders>
            <w:shd w:val="clear" w:color="auto" w:fill="auto"/>
            <w:noWrap/>
            <w:vAlign w:val="bottom"/>
            <w:hideMark/>
          </w:tcPr>
          <w:p w14:paraId="3B4F930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30B"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30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0D"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0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noWrap/>
            <w:vAlign w:val="bottom"/>
            <w:hideMark/>
          </w:tcPr>
          <w:p w14:paraId="3B4F930F"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1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11"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31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13"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1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15"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1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17"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1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19"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31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1B"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1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332" w14:textId="77777777" w:rsidTr="009C1A36">
        <w:trPr>
          <w:trHeight w:val="300"/>
        </w:trPr>
        <w:tc>
          <w:tcPr>
            <w:tcW w:w="2681" w:type="dxa"/>
            <w:tcBorders>
              <w:top w:val="nil"/>
              <w:left w:val="nil"/>
              <w:bottom w:val="nil"/>
              <w:right w:val="nil"/>
            </w:tcBorders>
            <w:shd w:val="clear" w:color="auto" w:fill="auto"/>
            <w:noWrap/>
            <w:vAlign w:val="bottom"/>
            <w:hideMark/>
          </w:tcPr>
          <w:p w14:paraId="3B4F931E"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carp</w:t>
            </w:r>
          </w:p>
        </w:tc>
        <w:tc>
          <w:tcPr>
            <w:tcW w:w="821" w:type="dxa"/>
            <w:tcBorders>
              <w:top w:val="nil"/>
              <w:left w:val="nil"/>
              <w:bottom w:val="nil"/>
              <w:right w:val="nil"/>
            </w:tcBorders>
            <w:shd w:val="clear" w:color="auto" w:fill="auto"/>
            <w:noWrap/>
            <w:vAlign w:val="bottom"/>
            <w:hideMark/>
          </w:tcPr>
          <w:p w14:paraId="3B4F931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2</w:t>
            </w:r>
          </w:p>
        </w:tc>
        <w:tc>
          <w:tcPr>
            <w:tcW w:w="80" w:type="dxa"/>
            <w:tcBorders>
              <w:top w:val="nil"/>
              <w:left w:val="nil"/>
              <w:bottom w:val="nil"/>
              <w:right w:val="nil"/>
            </w:tcBorders>
            <w:shd w:val="clear" w:color="auto" w:fill="auto"/>
            <w:noWrap/>
            <w:vAlign w:val="bottom"/>
            <w:hideMark/>
          </w:tcPr>
          <w:p w14:paraId="3B4F9320" w14:textId="77777777" w:rsidR="008E6212" w:rsidRPr="00C834A5" w:rsidRDefault="008E6212" w:rsidP="009C1A36">
            <w:pPr>
              <w:spacing w:after="0" w:line="240" w:lineRule="auto"/>
              <w:jc w:val="right"/>
              <w:rPr>
                <w:rFonts w:eastAsia="Times New Roman"/>
                <w:color w:val="000000"/>
                <w:szCs w:val="22"/>
                <w:lang w:eastAsia="en-AU"/>
              </w:rPr>
            </w:pPr>
          </w:p>
        </w:tc>
        <w:tc>
          <w:tcPr>
            <w:tcW w:w="824" w:type="dxa"/>
            <w:tcBorders>
              <w:top w:val="nil"/>
              <w:left w:val="nil"/>
              <w:bottom w:val="nil"/>
              <w:right w:val="nil"/>
            </w:tcBorders>
            <w:shd w:val="clear" w:color="auto" w:fill="auto"/>
            <w:vAlign w:val="bottom"/>
            <w:hideMark/>
          </w:tcPr>
          <w:p w14:paraId="3B4F932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22"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23"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3</w:t>
            </w:r>
          </w:p>
        </w:tc>
        <w:tc>
          <w:tcPr>
            <w:tcW w:w="80" w:type="dxa"/>
            <w:tcBorders>
              <w:top w:val="nil"/>
              <w:left w:val="nil"/>
              <w:bottom w:val="nil"/>
              <w:right w:val="nil"/>
            </w:tcBorders>
            <w:shd w:val="clear" w:color="auto" w:fill="auto"/>
            <w:noWrap/>
            <w:vAlign w:val="bottom"/>
            <w:hideMark/>
          </w:tcPr>
          <w:p w14:paraId="3B4F9324"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25"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26"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327"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28"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29"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2A"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2B"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nil"/>
              <w:right w:val="nil"/>
            </w:tcBorders>
            <w:shd w:val="clear" w:color="auto" w:fill="auto"/>
            <w:vAlign w:val="bottom"/>
            <w:hideMark/>
          </w:tcPr>
          <w:p w14:paraId="3B4F932C" w14:textId="77777777" w:rsidR="008E6212" w:rsidRPr="00C834A5" w:rsidRDefault="008E6212" w:rsidP="009C1A36">
            <w:pPr>
              <w:spacing w:after="0" w:line="240" w:lineRule="auto"/>
              <w:jc w:val="right"/>
              <w:rPr>
                <w:rFonts w:eastAsia="Times New Roman"/>
                <w:color w:val="000000"/>
                <w:szCs w:val="22"/>
                <w:lang w:eastAsia="en-AU"/>
              </w:rPr>
            </w:pPr>
          </w:p>
        </w:tc>
        <w:tc>
          <w:tcPr>
            <w:tcW w:w="820" w:type="dxa"/>
            <w:tcBorders>
              <w:top w:val="nil"/>
              <w:left w:val="nil"/>
              <w:bottom w:val="nil"/>
              <w:right w:val="nil"/>
            </w:tcBorders>
            <w:shd w:val="clear" w:color="auto" w:fill="auto"/>
            <w:vAlign w:val="bottom"/>
            <w:hideMark/>
          </w:tcPr>
          <w:p w14:paraId="3B4F932D"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nil"/>
              <w:right w:val="nil"/>
            </w:tcBorders>
            <w:shd w:val="clear" w:color="auto" w:fill="auto"/>
            <w:vAlign w:val="bottom"/>
            <w:hideMark/>
          </w:tcPr>
          <w:p w14:paraId="3B4F932E" w14:textId="77777777" w:rsidR="008E6212" w:rsidRPr="00C834A5" w:rsidRDefault="008E6212" w:rsidP="009C1A36">
            <w:pPr>
              <w:spacing w:after="0" w:line="240" w:lineRule="auto"/>
              <w:jc w:val="right"/>
              <w:rPr>
                <w:rFonts w:eastAsia="Times New Roman"/>
                <w:color w:val="000000"/>
                <w:szCs w:val="22"/>
                <w:lang w:eastAsia="en-AU"/>
              </w:rPr>
            </w:pPr>
          </w:p>
        </w:tc>
        <w:tc>
          <w:tcPr>
            <w:tcW w:w="826" w:type="dxa"/>
            <w:tcBorders>
              <w:top w:val="nil"/>
              <w:left w:val="nil"/>
              <w:bottom w:val="nil"/>
              <w:right w:val="nil"/>
            </w:tcBorders>
            <w:shd w:val="clear" w:color="auto" w:fill="auto"/>
            <w:vAlign w:val="bottom"/>
            <w:hideMark/>
          </w:tcPr>
          <w:p w14:paraId="3B4F932F"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5</w:t>
            </w:r>
          </w:p>
        </w:tc>
        <w:tc>
          <w:tcPr>
            <w:tcW w:w="80" w:type="dxa"/>
            <w:tcBorders>
              <w:top w:val="nil"/>
              <w:left w:val="nil"/>
              <w:bottom w:val="nil"/>
              <w:right w:val="nil"/>
            </w:tcBorders>
            <w:shd w:val="clear" w:color="auto" w:fill="auto"/>
            <w:vAlign w:val="bottom"/>
            <w:hideMark/>
          </w:tcPr>
          <w:p w14:paraId="3B4F9330" w14:textId="77777777" w:rsidR="008E6212" w:rsidRPr="00C834A5" w:rsidRDefault="008E6212" w:rsidP="009C1A36">
            <w:pPr>
              <w:spacing w:after="0" w:line="240" w:lineRule="auto"/>
              <w:jc w:val="right"/>
              <w:rPr>
                <w:rFonts w:eastAsia="Times New Roman"/>
                <w:color w:val="000000"/>
                <w:szCs w:val="22"/>
                <w:lang w:eastAsia="en-AU"/>
              </w:rPr>
            </w:pPr>
          </w:p>
        </w:tc>
        <w:tc>
          <w:tcPr>
            <w:tcW w:w="822" w:type="dxa"/>
            <w:tcBorders>
              <w:top w:val="nil"/>
              <w:left w:val="nil"/>
              <w:bottom w:val="nil"/>
              <w:right w:val="nil"/>
            </w:tcBorders>
            <w:shd w:val="clear" w:color="auto" w:fill="auto"/>
            <w:vAlign w:val="bottom"/>
            <w:hideMark/>
          </w:tcPr>
          <w:p w14:paraId="3B4F9331"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r w:rsidR="008E6212" w:rsidRPr="00C834A5" w14:paraId="3B4F9347" w14:textId="77777777" w:rsidTr="009C1A36">
        <w:trPr>
          <w:trHeight w:val="300"/>
        </w:trPr>
        <w:tc>
          <w:tcPr>
            <w:tcW w:w="2681" w:type="dxa"/>
            <w:tcBorders>
              <w:top w:val="nil"/>
              <w:left w:val="nil"/>
              <w:bottom w:val="single" w:sz="4" w:space="0" w:color="auto"/>
              <w:right w:val="nil"/>
            </w:tcBorders>
            <w:shd w:val="clear" w:color="auto" w:fill="auto"/>
            <w:noWrap/>
            <w:vAlign w:val="bottom"/>
            <w:hideMark/>
          </w:tcPr>
          <w:p w14:paraId="3B4F9333" w14:textId="77777777" w:rsidR="008E6212" w:rsidRPr="00C834A5" w:rsidRDefault="008E6212" w:rsidP="009C1A36">
            <w:pPr>
              <w:spacing w:after="0" w:line="240" w:lineRule="auto"/>
              <w:jc w:val="left"/>
              <w:rPr>
                <w:rFonts w:eastAsia="Times New Roman"/>
                <w:color w:val="000000"/>
                <w:szCs w:val="22"/>
                <w:lang w:eastAsia="en-AU"/>
              </w:rPr>
            </w:pPr>
            <w:r w:rsidRPr="00C834A5">
              <w:rPr>
                <w:rFonts w:eastAsia="Times New Roman"/>
                <w:color w:val="000000"/>
                <w:szCs w:val="22"/>
                <w:lang w:eastAsia="en-AU"/>
              </w:rPr>
              <w:t>goldfish</w:t>
            </w:r>
          </w:p>
        </w:tc>
        <w:tc>
          <w:tcPr>
            <w:tcW w:w="821" w:type="dxa"/>
            <w:tcBorders>
              <w:top w:val="nil"/>
              <w:left w:val="nil"/>
              <w:bottom w:val="single" w:sz="4" w:space="0" w:color="auto"/>
              <w:right w:val="nil"/>
            </w:tcBorders>
            <w:shd w:val="clear" w:color="auto" w:fill="auto"/>
            <w:noWrap/>
            <w:vAlign w:val="bottom"/>
            <w:hideMark/>
          </w:tcPr>
          <w:p w14:paraId="3B4F933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single" w:sz="4" w:space="0" w:color="auto"/>
              <w:right w:val="nil"/>
            </w:tcBorders>
            <w:shd w:val="clear" w:color="auto" w:fill="auto"/>
            <w:noWrap/>
            <w:vAlign w:val="bottom"/>
            <w:hideMark/>
          </w:tcPr>
          <w:p w14:paraId="3B4F9335"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4" w:type="dxa"/>
            <w:tcBorders>
              <w:top w:val="nil"/>
              <w:left w:val="nil"/>
              <w:bottom w:val="single" w:sz="4" w:space="0" w:color="auto"/>
              <w:right w:val="nil"/>
            </w:tcBorders>
            <w:shd w:val="clear" w:color="auto" w:fill="auto"/>
            <w:vAlign w:val="bottom"/>
            <w:hideMark/>
          </w:tcPr>
          <w:p w14:paraId="3B4F933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single" w:sz="4" w:space="0" w:color="auto"/>
              <w:right w:val="nil"/>
            </w:tcBorders>
            <w:shd w:val="clear" w:color="auto" w:fill="auto"/>
            <w:vAlign w:val="bottom"/>
            <w:hideMark/>
          </w:tcPr>
          <w:p w14:paraId="3B4F9337"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2" w:type="dxa"/>
            <w:tcBorders>
              <w:top w:val="nil"/>
              <w:left w:val="nil"/>
              <w:bottom w:val="single" w:sz="4" w:space="0" w:color="auto"/>
              <w:right w:val="nil"/>
            </w:tcBorders>
            <w:shd w:val="clear" w:color="auto" w:fill="auto"/>
            <w:vAlign w:val="bottom"/>
            <w:hideMark/>
          </w:tcPr>
          <w:p w14:paraId="3B4F9338"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single" w:sz="4" w:space="0" w:color="auto"/>
              <w:right w:val="nil"/>
            </w:tcBorders>
            <w:shd w:val="clear" w:color="auto" w:fill="auto"/>
            <w:noWrap/>
            <w:vAlign w:val="bottom"/>
            <w:hideMark/>
          </w:tcPr>
          <w:p w14:paraId="3B4F9339"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0" w:type="dxa"/>
            <w:tcBorders>
              <w:top w:val="nil"/>
              <w:left w:val="nil"/>
              <w:bottom w:val="single" w:sz="4" w:space="0" w:color="auto"/>
              <w:right w:val="nil"/>
            </w:tcBorders>
            <w:shd w:val="clear" w:color="auto" w:fill="auto"/>
            <w:vAlign w:val="bottom"/>
            <w:hideMark/>
          </w:tcPr>
          <w:p w14:paraId="3B4F933A"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single" w:sz="4" w:space="0" w:color="auto"/>
              <w:right w:val="nil"/>
            </w:tcBorders>
            <w:shd w:val="clear" w:color="auto" w:fill="auto"/>
            <w:vAlign w:val="bottom"/>
            <w:hideMark/>
          </w:tcPr>
          <w:p w14:paraId="3B4F933B"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6" w:type="dxa"/>
            <w:tcBorders>
              <w:top w:val="nil"/>
              <w:left w:val="nil"/>
              <w:bottom w:val="single" w:sz="4" w:space="0" w:color="auto"/>
              <w:right w:val="nil"/>
            </w:tcBorders>
            <w:shd w:val="clear" w:color="auto" w:fill="auto"/>
            <w:vAlign w:val="bottom"/>
            <w:hideMark/>
          </w:tcPr>
          <w:p w14:paraId="3B4F933C"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single" w:sz="4" w:space="0" w:color="auto"/>
              <w:right w:val="nil"/>
            </w:tcBorders>
            <w:shd w:val="clear" w:color="auto" w:fill="auto"/>
            <w:vAlign w:val="bottom"/>
            <w:hideMark/>
          </w:tcPr>
          <w:p w14:paraId="3B4F933D"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0" w:type="dxa"/>
            <w:tcBorders>
              <w:top w:val="nil"/>
              <w:left w:val="nil"/>
              <w:bottom w:val="single" w:sz="4" w:space="0" w:color="auto"/>
              <w:right w:val="nil"/>
            </w:tcBorders>
            <w:shd w:val="clear" w:color="auto" w:fill="auto"/>
            <w:vAlign w:val="bottom"/>
            <w:hideMark/>
          </w:tcPr>
          <w:p w14:paraId="3B4F933E"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single" w:sz="4" w:space="0" w:color="auto"/>
              <w:right w:val="nil"/>
            </w:tcBorders>
            <w:shd w:val="clear" w:color="auto" w:fill="auto"/>
            <w:vAlign w:val="bottom"/>
            <w:hideMark/>
          </w:tcPr>
          <w:p w14:paraId="3B4F933F"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2" w:type="dxa"/>
            <w:tcBorders>
              <w:top w:val="nil"/>
              <w:left w:val="nil"/>
              <w:bottom w:val="single" w:sz="4" w:space="0" w:color="auto"/>
              <w:right w:val="nil"/>
            </w:tcBorders>
            <w:shd w:val="clear" w:color="auto" w:fill="auto"/>
            <w:vAlign w:val="bottom"/>
            <w:hideMark/>
          </w:tcPr>
          <w:p w14:paraId="3B4F9340"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single" w:sz="4" w:space="0" w:color="auto"/>
              <w:right w:val="nil"/>
            </w:tcBorders>
            <w:shd w:val="clear" w:color="auto" w:fill="auto"/>
            <w:vAlign w:val="bottom"/>
            <w:hideMark/>
          </w:tcPr>
          <w:p w14:paraId="3B4F9341"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0" w:type="dxa"/>
            <w:tcBorders>
              <w:top w:val="nil"/>
              <w:left w:val="nil"/>
              <w:bottom w:val="single" w:sz="4" w:space="0" w:color="auto"/>
              <w:right w:val="nil"/>
            </w:tcBorders>
            <w:shd w:val="clear" w:color="auto" w:fill="auto"/>
            <w:vAlign w:val="bottom"/>
            <w:hideMark/>
          </w:tcPr>
          <w:p w14:paraId="3B4F9342"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99" w:type="dxa"/>
            <w:tcBorders>
              <w:top w:val="nil"/>
              <w:left w:val="nil"/>
              <w:bottom w:val="single" w:sz="4" w:space="0" w:color="auto"/>
              <w:right w:val="nil"/>
            </w:tcBorders>
            <w:shd w:val="clear" w:color="auto" w:fill="auto"/>
            <w:vAlign w:val="bottom"/>
            <w:hideMark/>
          </w:tcPr>
          <w:p w14:paraId="3B4F9343"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6" w:type="dxa"/>
            <w:tcBorders>
              <w:top w:val="nil"/>
              <w:left w:val="nil"/>
              <w:bottom w:val="single" w:sz="4" w:space="0" w:color="auto"/>
              <w:right w:val="nil"/>
            </w:tcBorders>
            <w:shd w:val="clear" w:color="auto" w:fill="auto"/>
            <w:vAlign w:val="bottom"/>
            <w:hideMark/>
          </w:tcPr>
          <w:p w14:paraId="3B4F9344"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c>
          <w:tcPr>
            <w:tcW w:w="80" w:type="dxa"/>
            <w:tcBorders>
              <w:top w:val="nil"/>
              <w:left w:val="nil"/>
              <w:bottom w:val="single" w:sz="4" w:space="0" w:color="auto"/>
              <w:right w:val="nil"/>
            </w:tcBorders>
            <w:shd w:val="clear" w:color="auto" w:fill="auto"/>
            <w:vAlign w:val="bottom"/>
            <w:hideMark/>
          </w:tcPr>
          <w:p w14:paraId="3B4F9345" w14:textId="77777777" w:rsidR="008E6212" w:rsidRPr="00C834A5" w:rsidRDefault="008E6212" w:rsidP="009C1A36">
            <w:pPr>
              <w:spacing w:after="0" w:line="240" w:lineRule="auto"/>
              <w:jc w:val="center"/>
              <w:rPr>
                <w:rFonts w:eastAsia="Times New Roman"/>
                <w:color w:val="000000"/>
                <w:szCs w:val="22"/>
                <w:lang w:eastAsia="en-AU"/>
              </w:rPr>
            </w:pPr>
            <w:r w:rsidRPr="00C834A5">
              <w:rPr>
                <w:rFonts w:eastAsia="Times New Roman"/>
                <w:color w:val="000000"/>
                <w:szCs w:val="22"/>
                <w:lang w:eastAsia="en-AU"/>
              </w:rPr>
              <w:t> </w:t>
            </w:r>
          </w:p>
        </w:tc>
        <w:tc>
          <w:tcPr>
            <w:tcW w:w="822" w:type="dxa"/>
            <w:tcBorders>
              <w:top w:val="nil"/>
              <w:left w:val="nil"/>
              <w:bottom w:val="single" w:sz="4" w:space="0" w:color="auto"/>
              <w:right w:val="nil"/>
            </w:tcBorders>
            <w:shd w:val="clear" w:color="auto" w:fill="auto"/>
            <w:vAlign w:val="bottom"/>
            <w:hideMark/>
          </w:tcPr>
          <w:p w14:paraId="3B4F9346" w14:textId="77777777" w:rsidR="008E6212" w:rsidRPr="00C834A5" w:rsidRDefault="008E6212" w:rsidP="009C1A36">
            <w:pPr>
              <w:spacing w:after="0" w:line="240" w:lineRule="auto"/>
              <w:jc w:val="right"/>
              <w:rPr>
                <w:rFonts w:eastAsia="Times New Roman"/>
                <w:color w:val="000000"/>
                <w:szCs w:val="22"/>
                <w:lang w:eastAsia="en-AU"/>
              </w:rPr>
            </w:pPr>
            <w:r w:rsidRPr="00C834A5">
              <w:rPr>
                <w:rFonts w:eastAsia="Times New Roman"/>
                <w:color w:val="000000"/>
                <w:szCs w:val="22"/>
                <w:lang w:eastAsia="en-AU"/>
              </w:rPr>
              <w:t>-</w:t>
            </w:r>
          </w:p>
        </w:tc>
      </w:tr>
    </w:tbl>
    <w:p w14:paraId="3B4F9348" w14:textId="77777777" w:rsidR="008E6212" w:rsidRDefault="008E6212" w:rsidP="008E6212">
      <w:pPr>
        <w:rPr>
          <w:b/>
        </w:rPr>
        <w:sectPr w:rsidR="008E6212" w:rsidSect="009C1A36">
          <w:pgSz w:w="16838" w:h="11906" w:orient="landscape"/>
          <w:pgMar w:top="1440" w:right="1985" w:bottom="1440" w:left="1985" w:header="709" w:footer="709" w:gutter="0"/>
          <w:cols w:space="708"/>
          <w:docGrid w:linePitch="360"/>
        </w:sectPr>
      </w:pPr>
    </w:p>
    <w:p w14:paraId="3B4F9349" w14:textId="77777777" w:rsidR="008E6212" w:rsidRDefault="008E6212" w:rsidP="008E6212">
      <w:pPr>
        <w:spacing w:after="240" w:line="240" w:lineRule="auto"/>
        <w:rPr>
          <w:b/>
          <w:sz w:val="20"/>
        </w:rPr>
      </w:pPr>
      <w:r>
        <w:rPr>
          <w:noProof/>
          <w:sz w:val="24"/>
          <w:szCs w:val="24"/>
          <w:lang w:eastAsia="en-AU"/>
        </w:rPr>
        <w:lastRenderedPageBreak/>
        <w:drawing>
          <wp:inline distT="0" distB="0" distL="0" distR="0" wp14:anchorId="3B4F9664" wp14:editId="6AD40B4D">
            <wp:extent cx="4667250" cy="4667250"/>
            <wp:effectExtent l="0" t="0" r="0" b="0"/>
            <wp:docPr id="1" name="Picture 1" descr="multiyear_species_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year_species_abundance"/>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67250" cy="4667250"/>
                    </a:xfrm>
                    <a:prstGeom prst="rect">
                      <a:avLst/>
                    </a:prstGeom>
                    <a:noFill/>
                    <a:ln>
                      <a:noFill/>
                    </a:ln>
                  </pic:spPr>
                </pic:pic>
              </a:graphicData>
            </a:graphic>
          </wp:inline>
        </w:drawing>
      </w:r>
    </w:p>
    <w:p w14:paraId="3B4F934A" w14:textId="77777777" w:rsidR="008E6212" w:rsidRDefault="00F774C7" w:rsidP="008E6212">
      <w:pPr>
        <w:spacing w:after="240" w:line="240" w:lineRule="auto"/>
        <w:rPr>
          <w:sz w:val="24"/>
          <w:szCs w:val="24"/>
        </w:rPr>
      </w:pPr>
      <w:r>
        <w:rPr>
          <w:b/>
          <w:sz w:val="20"/>
        </w:rPr>
        <w:t>Figure D.6.</w:t>
      </w:r>
      <w:r w:rsidR="008E6212" w:rsidRPr="00287A09">
        <w:rPr>
          <w:b/>
          <w:sz w:val="20"/>
        </w:rPr>
        <w:t xml:space="preserve"> </w:t>
      </w:r>
      <w:r w:rsidR="008E6212">
        <w:rPr>
          <w:sz w:val="20"/>
        </w:rPr>
        <w:t xml:space="preserve">Comparison of total number of larvae caught in light traps the fish species found in the Edward Wakool River system, in 2014-15 and 2015-16. </w:t>
      </w:r>
    </w:p>
    <w:p w14:paraId="3B4F934B" w14:textId="77777777" w:rsidR="008E6212" w:rsidRPr="00C444A0" w:rsidRDefault="008E6212" w:rsidP="008E6212">
      <w:pPr>
        <w:spacing w:after="240" w:line="240" w:lineRule="auto"/>
        <w:rPr>
          <w:sz w:val="24"/>
          <w:szCs w:val="24"/>
        </w:rPr>
      </w:pPr>
    </w:p>
    <w:p w14:paraId="3B4F934C" w14:textId="77777777" w:rsidR="008E6212" w:rsidRPr="0039210F" w:rsidRDefault="008E6212" w:rsidP="008E6212">
      <w:pPr>
        <w:spacing w:after="240" w:line="320" w:lineRule="exact"/>
        <w:rPr>
          <w:sz w:val="24"/>
          <w:szCs w:val="24"/>
        </w:rPr>
      </w:pPr>
      <w:r w:rsidRPr="0039210F">
        <w:rPr>
          <w:i/>
          <w:sz w:val="24"/>
          <w:szCs w:val="24"/>
        </w:rPr>
        <w:t xml:space="preserve">Seasonal timing </w:t>
      </w:r>
      <w:r>
        <w:rPr>
          <w:i/>
          <w:sz w:val="24"/>
          <w:szCs w:val="24"/>
        </w:rPr>
        <w:t>of spawning</w:t>
      </w:r>
    </w:p>
    <w:p w14:paraId="3B4F934D" w14:textId="77777777" w:rsidR="008E6212" w:rsidRPr="00966906" w:rsidRDefault="008E6212" w:rsidP="008E6212">
      <w:pPr>
        <w:spacing w:after="240" w:line="320" w:lineRule="exact"/>
        <w:jc w:val="left"/>
      </w:pPr>
      <w:r w:rsidRPr="00966906">
        <w:t>The seasonal timing of the appearance of larvae in the Edward-Wakool River System reflected similar patterns to previous years (Watts et al. 2013, Watts et al. 2014</w:t>
      </w:r>
      <w:r>
        <w:t>b</w:t>
      </w:r>
      <w:r w:rsidRPr="00966906">
        <w:t>, Watts et al. 2015).</w:t>
      </w:r>
      <w:r w:rsidRPr="00966906">
        <w:rPr>
          <w:b/>
        </w:rPr>
        <w:t xml:space="preserve"> </w:t>
      </w:r>
      <w:r w:rsidRPr="00966906">
        <w:t>Australian smelt larvae were the first species detected as larvae in the 2015-2016 sampling period, occurring from September to early December (Figure</w:t>
      </w:r>
      <w:r w:rsidR="00F774C7">
        <w:t xml:space="preserve"> D.7</w:t>
      </w:r>
      <w:r w:rsidRPr="00966906">
        <w:t xml:space="preserve">). Larval sampling commenced on 15 September, and the appearance of smelt larvae in this first trip suggests the species had probably commenced spawning prior to this date. </w:t>
      </w:r>
    </w:p>
    <w:p w14:paraId="3B4F934E" w14:textId="77777777" w:rsidR="008E6212" w:rsidRPr="00966906" w:rsidRDefault="008E6212" w:rsidP="008E6212">
      <w:pPr>
        <w:spacing w:after="240" w:line="320" w:lineRule="exact"/>
        <w:jc w:val="left"/>
      </w:pPr>
      <w:r w:rsidRPr="00966906">
        <w:t xml:space="preserve">Murray cod larvae were found in all four study zones between late October and end of the November 2016. While </w:t>
      </w:r>
      <w:r w:rsidR="000038C7">
        <w:t xml:space="preserve">the </w:t>
      </w:r>
      <w:r w:rsidRPr="00966906">
        <w:t xml:space="preserve">spawning window for Murray cod </w:t>
      </w:r>
      <w:r w:rsidR="000038C7">
        <w:t xml:space="preserve">was </w:t>
      </w:r>
      <w:r w:rsidRPr="00966906">
        <w:t xml:space="preserve">consistent </w:t>
      </w:r>
      <w:r w:rsidR="000038C7">
        <w:t xml:space="preserve">with </w:t>
      </w:r>
      <w:r w:rsidRPr="00966906">
        <w:t xml:space="preserve">trends </w:t>
      </w:r>
      <w:r w:rsidR="000038C7">
        <w:t>in</w:t>
      </w:r>
      <w:r w:rsidRPr="00966906">
        <w:t xml:space="preserve"> the 2012/13 and 2013/14 spawning periods, the duration of the spawning appeared to be shorter compared with the 2014-15 season, which extended through to December (Figure </w:t>
      </w:r>
      <w:r w:rsidR="00F774C7">
        <w:t>D.7</w:t>
      </w:r>
      <w:r w:rsidRPr="00966906">
        <w:t>).</w:t>
      </w:r>
    </w:p>
    <w:p w14:paraId="3B4F934F" w14:textId="67ED8589" w:rsidR="008E6212" w:rsidRPr="00966906" w:rsidRDefault="008E6212" w:rsidP="008E6212">
      <w:pPr>
        <w:spacing w:after="240" w:line="320" w:lineRule="exact"/>
        <w:jc w:val="left"/>
      </w:pPr>
      <w:r w:rsidRPr="00966906">
        <w:lastRenderedPageBreak/>
        <w:t>Carp gudgeon had the longest spawning period of all fish, with larvae detected</w:t>
      </w:r>
      <w:r w:rsidR="004A6669">
        <w:t xml:space="preserve"> over </w:t>
      </w:r>
      <w:r w:rsidRPr="00966906">
        <w:t xml:space="preserve">more than four months. Carp gudgeon larvae first appearing first in Wakool River (Zone 3) and Wakool River (Zone 4) in mid October, and by mid November were present in Yallakool Creek (Zone 1) and Wakool River (Zone 2) (Figure </w:t>
      </w:r>
      <w:r w:rsidR="00F774C7">
        <w:t>D.7</w:t>
      </w:r>
      <w:r w:rsidRPr="00966906">
        <w:t xml:space="preserve">). Peak abundance of larval carp gudgeon occurred during </w:t>
      </w:r>
      <w:r w:rsidR="000038C7">
        <w:t xml:space="preserve">the </w:t>
      </w:r>
      <w:r w:rsidRPr="00966906">
        <w:t>summer months of December and January, as has been previously reported in the Edward Wakool (Watts et al. 2015). Flathead gudgeon had a narrower spawning window than carp gudgeon, detected as larvae in all study zones for 3 months between October 2015 and January</w:t>
      </w:r>
      <w:r w:rsidR="00F774C7">
        <w:t xml:space="preserve"> 2016 (Figure D.7</w:t>
      </w:r>
      <w:r w:rsidRPr="00966906">
        <w:t>)</w:t>
      </w:r>
      <w:r>
        <w:t>.</w:t>
      </w:r>
    </w:p>
    <w:p w14:paraId="3B4F9350" w14:textId="56139340" w:rsidR="008E6212" w:rsidRDefault="004A6669" w:rsidP="008E6212">
      <w:pPr>
        <w:spacing w:after="240" w:line="320" w:lineRule="exact"/>
        <w:jc w:val="left"/>
        <w:rPr>
          <w:b/>
        </w:rPr>
      </w:pPr>
      <w:r>
        <w:t>The small</w:t>
      </w:r>
      <w:r w:rsidR="008E6212" w:rsidRPr="00966906">
        <w:t xml:space="preserve"> numbers of larvae caught for </w:t>
      </w:r>
      <w:r w:rsidR="008E6212">
        <w:t>river blackfish, u</w:t>
      </w:r>
      <w:r w:rsidR="008E6212" w:rsidRPr="00966906">
        <w:t>nspecked h</w:t>
      </w:r>
      <w:r w:rsidR="008E6212">
        <w:t xml:space="preserve">ardyhead, obscure galaxias and </w:t>
      </w:r>
      <w:r w:rsidR="008E6212" w:rsidRPr="00966906">
        <w:t xml:space="preserve">Murray River rainbowfish, make it difficult to generalise spawning patterns (Figure </w:t>
      </w:r>
      <w:r w:rsidR="00F774C7">
        <w:t>D.7</w:t>
      </w:r>
      <w:r w:rsidR="008E6212" w:rsidRPr="00966906">
        <w:t>). However, it is worth noting that river blackfish where only collected as larvae from 4 of the 5 sites in Wakool River (Zone 2) between mid October and mid November</w:t>
      </w:r>
      <w:r>
        <w:t xml:space="preserve"> 2015</w:t>
      </w:r>
      <w:r w:rsidR="008E6212" w:rsidRPr="00966906">
        <w:t xml:space="preserve">. In previous years blackfish </w:t>
      </w:r>
      <w:r>
        <w:t>have</w:t>
      </w:r>
      <w:r w:rsidR="008E6212" w:rsidRPr="00966906">
        <w:t xml:space="preserve"> been recorded from </w:t>
      </w:r>
      <w:r>
        <w:t>only two of the five sites in z</w:t>
      </w:r>
      <w:r w:rsidR="008E6212" w:rsidRPr="00966906">
        <w:t xml:space="preserve">one 2. Obscure galaxias larvae were also detected at more sites and zones compared to </w:t>
      </w:r>
      <w:r>
        <w:t>2014-15</w:t>
      </w:r>
      <w:r w:rsidR="008E6212" w:rsidRPr="00966906">
        <w:t xml:space="preserve">, when they were first recorded. In the current year, they </w:t>
      </w:r>
      <w:r>
        <w:t>occurred</w:t>
      </w:r>
      <w:r w:rsidR="008E6212" w:rsidRPr="00966906">
        <w:t xml:space="preserve"> in </w:t>
      </w:r>
      <w:r w:rsidRPr="00966906">
        <w:t xml:space="preserve">both </w:t>
      </w:r>
      <w:r w:rsidR="008E6212" w:rsidRPr="00966906">
        <w:t>Yallakool Creek (zone 1) and in Wakool River</w:t>
      </w:r>
      <w:r w:rsidR="008E6212">
        <w:t xml:space="preserve"> </w:t>
      </w:r>
      <w:r w:rsidR="008E6212" w:rsidRPr="00966906">
        <w:t>(zone 4)</w:t>
      </w:r>
      <w:r w:rsidR="008E6212">
        <w:t>.</w:t>
      </w:r>
    </w:p>
    <w:p w14:paraId="3B4F9351" w14:textId="77777777" w:rsidR="008E6212" w:rsidRDefault="008E6212" w:rsidP="008E6212">
      <w:pPr>
        <w:spacing w:after="240" w:line="320" w:lineRule="exact"/>
        <w:jc w:val="left"/>
        <w:rPr>
          <w:i/>
          <w:sz w:val="24"/>
          <w:szCs w:val="24"/>
        </w:rPr>
      </w:pPr>
      <w:r w:rsidRPr="0039210F">
        <w:rPr>
          <w:i/>
          <w:sz w:val="24"/>
          <w:szCs w:val="24"/>
        </w:rPr>
        <w:t xml:space="preserve">Difference in total larval production across rivers </w:t>
      </w:r>
    </w:p>
    <w:p w14:paraId="3B4F9353" w14:textId="3BC8A5D8" w:rsidR="008E6212" w:rsidRPr="00966906" w:rsidRDefault="004A6669" w:rsidP="00EE1349">
      <w:pPr>
        <w:spacing w:after="240" w:line="320" w:lineRule="exact"/>
        <w:jc w:val="left"/>
        <w:rPr>
          <w:b/>
        </w:rPr>
        <w:sectPr w:rsidR="008E6212" w:rsidRPr="00966906" w:rsidSect="009C1A36">
          <w:footerReference w:type="default" r:id="rId107"/>
          <w:pgSz w:w="11906" w:h="16838"/>
          <w:pgMar w:top="1440" w:right="1985" w:bottom="1440" w:left="1985" w:header="709" w:footer="709" w:gutter="0"/>
          <w:cols w:space="708"/>
          <w:docGrid w:linePitch="360"/>
        </w:sectPr>
      </w:pPr>
      <w:r>
        <w:rPr>
          <w:rFonts w:cs="Calibri"/>
          <w:szCs w:val="22"/>
        </w:rPr>
        <w:t>It was</w:t>
      </w:r>
      <w:r w:rsidRPr="005866A7">
        <w:rPr>
          <w:rFonts w:cs="Calibri"/>
          <w:szCs w:val="22"/>
        </w:rPr>
        <w:t xml:space="preserve"> hypothesised that the total productio</w:t>
      </w:r>
      <w:r>
        <w:rPr>
          <w:rFonts w:cs="Calibri"/>
          <w:szCs w:val="22"/>
        </w:rPr>
        <w:t>n of fish larvae across the 2015-16</w:t>
      </w:r>
      <w:r w:rsidRPr="005866A7">
        <w:rPr>
          <w:rFonts w:cs="Calibri"/>
          <w:szCs w:val="22"/>
        </w:rPr>
        <w:t xml:space="preserve"> spawning se</w:t>
      </w:r>
      <w:r>
        <w:rPr>
          <w:rFonts w:cs="Calibri"/>
          <w:szCs w:val="22"/>
        </w:rPr>
        <w:t>ason would be significantly higher in the study zones</w:t>
      </w:r>
      <w:r w:rsidRPr="005866A7">
        <w:rPr>
          <w:rFonts w:cs="Calibri"/>
          <w:szCs w:val="22"/>
        </w:rPr>
        <w:t xml:space="preserve"> that received </w:t>
      </w:r>
      <w:r>
        <w:rPr>
          <w:rFonts w:cs="Calibri"/>
          <w:szCs w:val="22"/>
        </w:rPr>
        <w:t>an environmental base flow and fresh</w:t>
      </w:r>
      <w:r w:rsidRPr="005866A7">
        <w:rPr>
          <w:rFonts w:cs="Calibri"/>
          <w:szCs w:val="22"/>
        </w:rPr>
        <w:t xml:space="preserve"> </w:t>
      </w:r>
      <w:r>
        <w:rPr>
          <w:rFonts w:cs="Calibri"/>
          <w:szCs w:val="22"/>
        </w:rPr>
        <w:t>(Zone 1, 3 and 4) compared to</w:t>
      </w:r>
      <w:r w:rsidRPr="005866A7">
        <w:rPr>
          <w:rFonts w:cs="Calibri"/>
          <w:szCs w:val="22"/>
        </w:rPr>
        <w:t xml:space="preserve"> </w:t>
      </w:r>
      <w:r>
        <w:rPr>
          <w:rFonts w:cs="Calibri"/>
          <w:szCs w:val="22"/>
        </w:rPr>
        <w:t xml:space="preserve">zone 2 that received only a small environmental flow that had minimal impact on the hydrology of that zone (section 4). </w:t>
      </w:r>
      <w:r w:rsidR="008E6212">
        <w:rPr>
          <w:rFonts w:cs="Calibri"/>
        </w:rPr>
        <w:t xml:space="preserve">Statistical analyses did not support this hypothesis, we found </w:t>
      </w:r>
      <w:r w:rsidR="008E6212">
        <w:t>no significant difference in the mean total number of l</w:t>
      </w:r>
      <w:r>
        <w:t>arval fish for Australian smelt</w:t>
      </w:r>
      <w:r w:rsidR="008E6212">
        <w:t xml:space="preserve"> and Murray cod</w:t>
      </w:r>
      <w:r w:rsidR="00725983">
        <w:t xml:space="preserve"> (Table D.5, Figure D.8)</w:t>
      </w:r>
      <w:r w:rsidR="00EE1349">
        <w:t>, which is the same result as in 2014-15 (Watts et al. 2015). There was a</w:t>
      </w:r>
      <w:r w:rsidR="008E6212">
        <w:t xml:space="preserve"> significant difference in abundance of carp gudgeon larvae </w:t>
      </w:r>
      <w:r w:rsidR="00EE1349">
        <w:t>among hydrological zones</w:t>
      </w:r>
      <w:r w:rsidR="008E6212">
        <w:t xml:space="preserve"> (p&lt;0.01, Table </w:t>
      </w:r>
      <w:r w:rsidR="00045C8E">
        <w:t>D</w:t>
      </w:r>
      <w:r w:rsidR="00EE1349">
        <w:t>.</w:t>
      </w:r>
      <w:r w:rsidR="00045C8E">
        <w:t>5</w:t>
      </w:r>
      <w:r w:rsidR="00EE1349">
        <w:t>)</w:t>
      </w:r>
      <w:r w:rsidR="008E6212">
        <w:t xml:space="preserve">, however in contrast to our hypothesis, there was no consistent pattern in larval abundance with </w:t>
      </w:r>
      <w:r w:rsidR="00BC485A">
        <w:t xml:space="preserve">the </w:t>
      </w:r>
      <w:r w:rsidR="008E6212">
        <w:t>amount of environmental water delivered. Instead, we observed a significantly greater numbe</w:t>
      </w:r>
      <w:r w:rsidR="00EE1349">
        <w:t>r of larvae in the slower flowing</w:t>
      </w:r>
      <w:r w:rsidR="008E6212">
        <w:t xml:space="preserve"> river sections of zone 2, zone 3 and zone 4, t</w:t>
      </w:r>
      <w:r w:rsidR="00F774C7">
        <w:t xml:space="preserve">han </w:t>
      </w:r>
      <w:r w:rsidR="00EE1349">
        <w:t xml:space="preserve">in </w:t>
      </w:r>
      <w:r w:rsidR="00F774C7">
        <w:t xml:space="preserve">Yallakool Creek </w:t>
      </w:r>
      <w:r w:rsidR="00EE1349">
        <w:t xml:space="preserve">(Figure D.8) that had reduced area of slackwater and slow water </w:t>
      </w:r>
      <w:r w:rsidR="00F774C7">
        <w:t>(</w:t>
      </w:r>
      <w:r w:rsidR="00EE1349">
        <w:t>Section 4</w:t>
      </w:r>
      <w:r w:rsidR="008E6212">
        <w:t xml:space="preserve">). </w:t>
      </w:r>
      <w:r w:rsidR="00EE1349">
        <w:rPr>
          <w:b/>
        </w:rPr>
        <w:t xml:space="preserve"> I</w:t>
      </w:r>
      <w:r w:rsidR="00EE1349" w:rsidRPr="00EE1349">
        <w:t xml:space="preserve">n 2014-15 there was </w:t>
      </w:r>
      <w:r w:rsidR="00EE1349">
        <w:t xml:space="preserve">a slightly lower mean abundance </w:t>
      </w:r>
      <w:r w:rsidR="00EE1349" w:rsidRPr="00EE1349">
        <w:t xml:space="preserve">of carp gudgeon </w:t>
      </w:r>
      <w:r w:rsidR="00EE1349">
        <w:t xml:space="preserve">in zone 1 than the other three hydrological zones, however this pattern </w:t>
      </w:r>
      <w:r w:rsidR="00EE1349" w:rsidRPr="00EE1349">
        <w:t xml:space="preserve">was not </w:t>
      </w:r>
      <w:r w:rsidR="00EE1349">
        <w:t>statistically significant (Watts et al 2015).</w:t>
      </w:r>
    </w:p>
    <w:p w14:paraId="3B4F9354" w14:textId="77777777" w:rsidR="008E6212" w:rsidRPr="00F10391" w:rsidRDefault="008E6212" w:rsidP="008E6212">
      <w:pPr>
        <w:spacing w:after="0" w:line="240" w:lineRule="auto"/>
        <w:jc w:val="center"/>
      </w:pPr>
      <w:r>
        <w:rPr>
          <w:noProof/>
          <w:lang w:eastAsia="en-AU"/>
        </w:rPr>
        <w:lastRenderedPageBreak/>
        <w:drawing>
          <wp:inline distT="0" distB="0" distL="0" distR="0" wp14:anchorId="3B4F9666" wp14:editId="2FE06F0B">
            <wp:extent cx="8531860" cy="5047488"/>
            <wp:effectExtent l="0" t="0" r="254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5_16 bubbleplot.png"/>
                    <pic:cNvPicPr/>
                  </pic:nvPicPr>
                  <pic:blipFill>
                    <a:blip r:embed="rId108" cstate="email">
                      <a:extLst>
                        <a:ext uri="{28A0092B-C50C-407E-A947-70E740481C1C}">
                          <a14:useLocalDpi xmlns:a14="http://schemas.microsoft.com/office/drawing/2010/main"/>
                        </a:ext>
                      </a:extLst>
                    </a:blip>
                    <a:stretch>
                      <a:fillRect/>
                    </a:stretch>
                  </pic:blipFill>
                  <pic:spPr>
                    <a:xfrm>
                      <a:off x="0" y="0"/>
                      <a:ext cx="8535109" cy="5049410"/>
                    </a:xfrm>
                    <a:prstGeom prst="rect">
                      <a:avLst/>
                    </a:prstGeom>
                  </pic:spPr>
                </pic:pic>
              </a:graphicData>
            </a:graphic>
          </wp:inline>
        </w:drawing>
      </w:r>
    </w:p>
    <w:p w14:paraId="3B4F9355" w14:textId="77777777" w:rsidR="008E6212" w:rsidRPr="0083341E" w:rsidRDefault="008E6212" w:rsidP="008E6212">
      <w:pPr>
        <w:spacing w:after="120" w:line="240" w:lineRule="auto"/>
        <w:rPr>
          <w:sz w:val="20"/>
        </w:rPr>
        <w:sectPr w:rsidR="008E6212" w:rsidRPr="0083341E" w:rsidSect="009C1A36">
          <w:pgSz w:w="16838" w:h="11906" w:orient="landscape"/>
          <w:pgMar w:top="1440" w:right="1985" w:bottom="1440" w:left="1985" w:header="709" w:footer="709" w:gutter="0"/>
          <w:cols w:space="708"/>
          <w:docGrid w:linePitch="360"/>
        </w:sectPr>
      </w:pPr>
      <w:r w:rsidRPr="00C57CCB">
        <w:rPr>
          <w:b/>
          <w:sz w:val="20"/>
        </w:rPr>
        <w:t xml:space="preserve">Figure </w:t>
      </w:r>
      <w:r w:rsidR="00F774C7">
        <w:rPr>
          <w:b/>
          <w:sz w:val="20"/>
        </w:rPr>
        <w:t>D.7.</w:t>
      </w:r>
      <w:r w:rsidRPr="00C57CCB">
        <w:rPr>
          <w:b/>
          <w:sz w:val="20"/>
        </w:rPr>
        <w:t xml:space="preserve"> </w:t>
      </w:r>
      <w:r w:rsidRPr="00C57CCB">
        <w:rPr>
          <w:sz w:val="20"/>
        </w:rPr>
        <w:t>Bubble plots representing relative abundance of larval fish collected in light traps from each site acro</w:t>
      </w:r>
      <w:r>
        <w:rPr>
          <w:sz w:val="20"/>
        </w:rPr>
        <w:t>ss the 2015-16</w:t>
      </w:r>
      <w:r w:rsidRPr="00C57CCB">
        <w:rPr>
          <w:sz w:val="20"/>
        </w:rPr>
        <w:t xml:space="preserve"> sampling period.</w:t>
      </w:r>
      <w:r w:rsidRPr="00C57CCB">
        <w:rPr>
          <w:i/>
          <w:sz w:val="20"/>
        </w:rPr>
        <w:t xml:space="preserve"> </w:t>
      </w:r>
      <w:r w:rsidRPr="00C57CCB">
        <w:rPr>
          <w:sz w:val="20"/>
        </w:rPr>
        <w:t>Bubble size</w:t>
      </w:r>
      <w:r>
        <w:rPr>
          <w:sz w:val="20"/>
        </w:rPr>
        <w:t xml:space="preserve"> (count)</w:t>
      </w:r>
      <w:r w:rsidRPr="00C57CCB">
        <w:rPr>
          <w:sz w:val="20"/>
        </w:rPr>
        <w:t xml:space="preserve"> represents relative abundance based on maximum </w:t>
      </w:r>
      <w:r>
        <w:rPr>
          <w:sz w:val="20"/>
        </w:rPr>
        <w:t>number of individuals collected. Bubble colour (flow28) represents cumulative discharge over the 28 days prior to sampling.</w:t>
      </w:r>
    </w:p>
    <w:p w14:paraId="3B4F9356" w14:textId="77777777" w:rsidR="008E6212" w:rsidRPr="00E03DF0" w:rsidRDefault="008E6212" w:rsidP="008E6212">
      <w:pPr>
        <w:spacing w:after="120" w:line="240" w:lineRule="auto"/>
        <w:rPr>
          <w:sz w:val="20"/>
        </w:rPr>
      </w:pPr>
      <w:r w:rsidRPr="00E03DF0">
        <w:rPr>
          <w:b/>
          <w:sz w:val="20"/>
        </w:rPr>
        <w:lastRenderedPageBreak/>
        <w:t xml:space="preserve">Table </w:t>
      </w:r>
      <w:r>
        <w:rPr>
          <w:b/>
          <w:sz w:val="20"/>
        </w:rPr>
        <w:t>D</w:t>
      </w:r>
      <w:r w:rsidRPr="00E03DF0">
        <w:rPr>
          <w:b/>
          <w:sz w:val="20"/>
        </w:rPr>
        <w:t>.</w:t>
      </w:r>
      <w:r w:rsidR="00045C8E">
        <w:rPr>
          <w:b/>
          <w:sz w:val="20"/>
        </w:rPr>
        <w:t>5.</w:t>
      </w:r>
      <w:r w:rsidRPr="00E03DF0">
        <w:rPr>
          <w:sz w:val="20"/>
        </w:rPr>
        <w:t xml:space="preserve"> One-way ANOVAS comparing total mean larvae abundance for carp gudgeon, Murray cod, Australian smelt and flathead gudgeon across zones for the entire sampling period. </w:t>
      </w:r>
      <w:r w:rsidRPr="00E03DF0">
        <w:rPr>
          <w:i/>
          <w:sz w:val="20"/>
        </w:rPr>
        <w:t xml:space="preserve">P </w:t>
      </w:r>
      <w:r w:rsidRPr="00E03DF0">
        <w:rPr>
          <w:sz w:val="20"/>
        </w:rPr>
        <w:t>values &lt;0-05 used as significance threshold. * denotes significance.</w:t>
      </w:r>
    </w:p>
    <w:tbl>
      <w:tblPr>
        <w:tblW w:w="7371" w:type="dxa"/>
        <w:jc w:val="center"/>
        <w:tblLook w:val="04A0" w:firstRow="1" w:lastRow="0" w:firstColumn="1" w:lastColumn="0" w:noHBand="0" w:noVBand="1"/>
      </w:tblPr>
      <w:tblGrid>
        <w:gridCol w:w="2268"/>
        <w:gridCol w:w="814"/>
        <w:gridCol w:w="1134"/>
        <w:gridCol w:w="1454"/>
        <w:gridCol w:w="1159"/>
        <w:gridCol w:w="542"/>
      </w:tblGrid>
      <w:tr w:rsidR="008E6212" w:rsidRPr="00E03DF0" w14:paraId="3B4F935D" w14:textId="77777777" w:rsidTr="009C1A36">
        <w:trPr>
          <w:trHeight w:val="420"/>
          <w:jc w:val="center"/>
        </w:trPr>
        <w:tc>
          <w:tcPr>
            <w:tcW w:w="2268" w:type="dxa"/>
            <w:tcBorders>
              <w:top w:val="single" w:sz="4" w:space="0" w:color="auto"/>
              <w:left w:val="nil"/>
              <w:bottom w:val="single" w:sz="4" w:space="0" w:color="auto"/>
              <w:right w:val="nil"/>
            </w:tcBorders>
            <w:shd w:val="clear" w:color="auto" w:fill="D6E3BC" w:themeFill="accent3" w:themeFillTint="66"/>
            <w:noWrap/>
            <w:vAlign w:val="bottom"/>
          </w:tcPr>
          <w:p w14:paraId="3B4F9357" w14:textId="77777777" w:rsidR="008E6212" w:rsidRPr="00E03DF0" w:rsidRDefault="008E6212" w:rsidP="009C1A36">
            <w:pPr>
              <w:spacing w:after="0" w:line="240" w:lineRule="auto"/>
              <w:rPr>
                <w:rFonts w:eastAsia="Times New Roman"/>
                <w:color w:val="000000" w:themeColor="text1"/>
                <w:sz w:val="20"/>
                <w:lang w:eastAsia="en-AU"/>
              </w:rPr>
            </w:pPr>
            <w:r w:rsidRPr="00E03DF0">
              <w:rPr>
                <w:rFonts w:eastAsia="Times New Roman"/>
                <w:color w:val="000000" w:themeColor="text1"/>
                <w:sz w:val="20"/>
                <w:lang w:eastAsia="en-AU"/>
              </w:rPr>
              <w:t>Fish species</w:t>
            </w:r>
          </w:p>
        </w:tc>
        <w:tc>
          <w:tcPr>
            <w:tcW w:w="814" w:type="dxa"/>
            <w:tcBorders>
              <w:top w:val="single" w:sz="4" w:space="0" w:color="auto"/>
              <w:left w:val="nil"/>
              <w:bottom w:val="single" w:sz="4" w:space="0" w:color="auto"/>
              <w:right w:val="nil"/>
            </w:tcBorders>
            <w:shd w:val="clear" w:color="auto" w:fill="D6E3BC" w:themeFill="accent3" w:themeFillTint="66"/>
            <w:noWrap/>
            <w:vAlign w:val="bottom"/>
          </w:tcPr>
          <w:p w14:paraId="3B4F9358" w14:textId="77777777" w:rsidR="008E6212" w:rsidRPr="00E03DF0" w:rsidRDefault="008E6212" w:rsidP="009C1A36">
            <w:pPr>
              <w:spacing w:after="0" w:line="240" w:lineRule="auto"/>
              <w:rPr>
                <w:rFonts w:eastAsia="Times New Roman"/>
                <w:color w:val="000000" w:themeColor="text1"/>
                <w:sz w:val="20"/>
                <w:lang w:eastAsia="en-AU"/>
              </w:rPr>
            </w:pPr>
            <w:r w:rsidRPr="00E03DF0">
              <w:rPr>
                <w:rFonts w:eastAsia="Times New Roman"/>
                <w:color w:val="000000" w:themeColor="text1"/>
                <w:sz w:val="20"/>
                <w:lang w:eastAsia="en-AU"/>
              </w:rPr>
              <w:t>d.f</w:t>
            </w:r>
          </w:p>
        </w:tc>
        <w:tc>
          <w:tcPr>
            <w:tcW w:w="1134" w:type="dxa"/>
            <w:tcBorders>
              <w:top w:val="single" w:sz="4" w:space="0" w:color="auto"/>
              <w:left w:val="nil"/>
              <w:bottom w:val="single" w:sz="4" w:space="0" w:color="auto"/>
              <w:right w:val="nil"/>
            </w:tcBorders>
            <w:shd w:val="clear" w:color="auto" w:fill="D6E3BC" w:themeFill="accent3" w:themeFillTint="66"/>
            <w:noWrap/>
            <w:vAlign w:val="bottom"/>
          </w:tcPr>
          <w:p w14:paraId="3B4F9359" w14:textId="77777777" w:rsidR="008E6212" w:rsidRPr="00E03DF0" w:rsidRDefault="008E6212" w:rsidP="009C1A36">
            <w:pPr>
              <w:spacing w:after="0" w:line="240" w:lineRule="auto"/>
              <w:jc w:val="right"/>
              <w:rPr>
                <w:rFonts w:eastAsia="Times New Roman"/>
                <w:color w:val="000000" w:themeColor="text1"/>
                <w:sz w:val="20"/>
                <w:lang w:eastAsia="en-AU"/>
              </w:rPr>
            </w:pPr>
            <w:r w:rsidRPr="00E03DF0">
              <w:rPr>
                <w:rFonts w:eastAsia="Times New Roman"/>
                <w:color w:val="000000" w:themeColor="text1"/>
                <w:sz w:val="20"/>
                <w:lang w:eastAsia="en-AU"/>
              </w:rPr>
              <w:t>deviance</w:t>
            </w:r>
          </w:p>
        </w:tc>
        <w:tc>
          <w:tcPr>
            <w:tcW w:w="1454" w:type="dxa"/>
            <w:tcBorders>
              <w:top w:val="single" w:sz="4" w:space="0" w:color="auto"/>
              <w:left w:val="nil"/>
              <w:bottom w:val="single" w:sz="4" w:space="0" w:color="auto"/>
              <w:right w:val="nil"/>
            </w:tcBorders>
            <w:shd w:val="clear" w:color="auto" w:fill="D6E3BC" w:themeFill="accent3" w:themeFillTint="66"/>
            <w:noWrap/>
            <w:vAlign w:val="bottom"/>
          </w:tcPr>
          <w:p w14:paraId="3B4F935A" w14:textId="77777777" w:rsidR="008E6212" w:rsidRPr="00E03DF0" w:rsidRDefault="008E6212" w:rsidP="009C1A36">
            <w:pPr>
              <w:spacing w:after="0" w:line="240" w:lineRule="auto"/>
              <w:jc w:val="right"/>
              <w:rPr>
                <w:rFonts w:eastAsia="Times New Roman"/>
                <w:color w:val="000000" w:themeColor="text1"/>
                <w:sz w:val="20"/>
                <w:lang w:eastAsia="en-AU"/>
              </w:rPr>
            </w:pPr>
            <w:r w:rsidRPr="00E03DF0">
              <w:rPr>
                <w:rFonts w:eastAsia="Times New Roman"/>
                <w:color w:val="000000" w:themeColor="text1"/>
                <w:sz w:val="20"/>
                <w:lang w:eastAsia="en-AU"/>
              </w:rPr>
              <w:t>f-statistic</w:t>
            </w:r>
          </w:p>
        </w:tc>
        <w:tc>
          <w:tcPr>
            <w:tcW w:w="1159" w:type="dxa"/>
            <w:tcBorders>
              <w:top w:val="single" w:sz="4" w:space="0" w:color="auto"/>
              <w:left w:val="nil"/>
              <w:bottom w:val="single" w:sz="4" w:space="0" w:color="auto"/>
              <w:right w:val="nil"/>
            </w:tcBorders>
            <w:shd w:val="clear" w:color="auto" w:fill="D6E3BC" w:themeFill="accent3" w:themeFillTint="66"/>
            <w:noWrap/>
            <w:vAlign w:val="bottom"/>
          </w:tcPr>
          <w:p w14:paraId="3B4F935B" w14:textId="77777777" w:rsidR="008E6212" w:rsidRPr="00E03DF0" w:rsidRDefault="008E6212" w:rsidP="009C1A36">
            <w:pPr>
              <w:spacing w:after="0" w:line="240" w:lineRule="auto"/>
              <w:jc w:val="right"/>
              <w:rPr>
                <w:rFonts w:eastAsia="Times New Roman"/>
                <w:color w:val="000000" w:themeColor="text1"/>
                <w:sz w:val="20"/>
                <w:lang w:eastAsia="en-AU"/>
              </w:rPr>
            </w:pPr>
            <w:r w:rsidRPr="00E03DF0">
              <w:rPr>
                <w:rFonts w:eastAsia="Times New Roman"/>
                <w:i/>
                <w:color w:val="000000" w:themeColor="text1"/>
                <w:sz w:val="20"/>
                <w:lang w:eastAsia="en-AU"/>
              </w:rPr>
              <w:t>P</w:t>
            </w:r>
            <w:r w:rsidRPr="00E03DF0">
              <w:rPr>
                <w:rFonts w:eastAsia="Times New Roman"/>
                <w:color w:val="000000" w:themeColor="text1"/>
                <w:sz w:val="20"/>
                <w:lang w:eastAsia="en-AU"/>
              </w:rPr>
              <w:t xml:space="preserve"> value</w:t>
            </w:r>
          </w:p>
        </w:tc>
        <w:tc>
          <w:tcPr>
            <w:tcW w:w="542" w:type="dxa"/>
            <w:tcBorders>
              <w:top w:val="single" w:sz="4" w:space="0" w:color="auto"/>
              <w:left w:val="nil"/>
              <w:bottom w:val="single" w:sz="4" w:space="0" w:color="auto"/>
              <w:right w:val="nil"/>
            </w:tcBorders>
            <w:shd w:val="clear" w:color="auto" w:fill="D6E3BC" w:themeFill="accent3" w:themeFillTint="66"/>
            <w:noWrap/>
            <w:vAlign w:val="bottom"/>
          </w:tcPr>
          <w:p w14:paraId="3B4F935C" w14:textId="77777777" w:rsidR="008E6212" w:rsidRPr="00E03DF0" w:rsidRDefault="008E6212" w:rsidP="009C1A36">
            <w:pPr>
              <w:spacing w:after="0" w:line="240" w:lineRule="auto"/>
              <w:jc w:val="center"/>
              <w:rPr>
                <w:rFonts w:eastAsia="Times New Roman"/>
                <w:color w:val="000000" w:themeColor="text1"/>
                <w:sz w:val="20"/>
                <w:lang w:eastAsia="en-AU"/>
              </w:rPr>
            </w:pPr>
          </w:p>
        </w:tc>
      </w:tr>
      <w:tr w:rsidR="008E6212" w:rsidRPr="00E03DF0" w14:paraId="3B4F9364" w14:textId="77777777" w:rsidTr="009C1A36">
        <w:trPr>
          <w:trHeight w:val="420"/>
          <w:jc w:val="center"/>
        </w:trPr>
        <w:tc>
          <w:tcPr>
            <w:tcW w:w="2268" w:type="dxa"/>
            <w:tcBorders>
              <w:top w:val="single" w:sz="4" w:space="0" w:color="auto"/>
              <w:left w:val="nil"/>
              <w:right w:val="nil"/>
            </w:tcBorders>
            <w:shd w:val="clear" w:color="auto" w:fill="auto"/>
            <w:noWrap/>
            <w:vAlign w:val="center"/>
          </w:tcPr>
          <w:p w14:paraId="3B4F935E"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carp gudgeon</w:t>
            </w:r>
          </w:p>
        </w:tc>
        <w:tc>
          <w:tcPr>
            <w:tcW w:w="814" w:type="dxa"/>
            <w:tcBorders>
              <w:top w:val="single" w:sz="4" w:space="0" w:color="auto"/>
              <w:left w:val="nil"/>
              <w:right w:val="nil"/>
            </w:tcBorders>
            <w:shd w:val="clear" w:color="auto" w:fill="auto"/>
            <w:noWrap/>
            <w:vAlign w:val="bottom"/>
          </w:tcPr>
          <w:p w14:paraId="3B4F935F"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3,16</w:t>
            </w:r>
          </w:p>
        </w:tc>
        <w:tc>
          <w:tcPr>
            <w:tcW w:w="1134" w:type="dxa"/>
            <w:tcBorders>
              <w:top w:val="single" w:sz="4" w:space="0" w:color="auto"/>
              <w:left w:val="nil"/>
              <w:right w:val="nil"/>
            </w:tcBorders>
            <w:shd w:val="clear" w:color="auto" w:fill="auto"/>
            <w:noWrap/>
            <w:vAlign w:val="bottom"/>
          </w:tcPr>
          <w:p w14:paraId="3B4F9360"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33.787</w:t>
            </w:r>
          </w:p>
        </w:tc>
        <w:tc>
          <w:tcPr>
            <w:tcW w:w="1454" w:type="dxa"/>
            <w:tcBorders>
              <w:top w:val="single" w:sz="4" w:space="0" w:color="auto"/>
              <w:left w:val="nil"/>
              <w:right w:val="nil"/>
            </w:tcBorders>
            <w:shd w:val="clear" w:color="auto" w:fill="auto"/>
            <w:noWrap/>
            <w:vAlign w:val="bottom"/>
          </w:tcPr>
          <w:p w14:paraId="3B4F9361"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8.224</w:t>
            </w:r>
          </w:p>
        </w:tc>
        <w:tc>
          <w:tcPr>
            <w:tcW w:w="1159" w:type="dxa"/>
            <w:tcBorders>
              <w:top w:val="single" w:sz="4" w:space="0" w:color="auto"/>
              <w:left w:val="nil"/>
              <w:right w:val="nil"/>
            </w:tcBorders>
            <w:shd w:val="clear" w:color="auto" w:fill="auto"/>
            <w:noWrap/>
            <w:vAlign w:val="bottom"/>
          </w:tcPr>
          <w:p w14:paraId="3B4F9362"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0.0015</w:t>
            </w:r>
          </w:p>
        </w:tc>
        <w:tc>
          <w:tcPr>
            <w:tcW w:w="542" w:type="dxa"/>
            <w:tcBorders>
              <w:top w:val="single" w:sz="4" w:space="0" w:color="auto"/>
              <w:left w:val="nil"/>
              <w:right w:val="nil"/>
            </w:tcBorders>
            <w:shd w:val="clear" w:color="auto" w:fill="auto"/>
            <w:noWrap/>
            <w:vAlign w:val="bottom"/>
          </w:tcPr>
          <w:p w14:paraId="3B4F9363" w14:textId="77777777" w:rsidR="008E6212" w:rsidRPr="00E03DF0" w:rsidRDefault="008E6212" w:rsidP="009C1A36">
            <w:pPr>
              <w:spacing w:after="0" w:line="324" w:lineRule="exact"/>
              <w:jc w:val="center"/>
              <w:rPr>
                <w:rFonts w:eastAsia="Times New Roman"/>
                <w:color w:val="000000"/>
                <w:sz w:val="20"/>
                <w:lang w:eastAsia="en-AU"/>
              </w:rPr>
            </w:pPr>
            <w:r w:rsidRPr="00E03DF0">
              <w:rPr>
                <w:rFonts w:eastAsia="Times New Roman"/>
                <w:color w:val="000000"/>
                <w:sz w:val="20"/>
                <w:lang w:eastAsia="en-AU"/>
              </w:rPr>
              <w:t>*</w:t>
            </w:r>
          </w:p>
        </w:tc>
      </w:tr>
      <w:tr w:rsidR="008E6212" w:rsidRPr="00E03DF0" w14:paraId="3B4F936B" w14:textId="77777777" w:rsidTr="009C1A36">
        <w:trPr>
          <w:trHeight w:val="300"/>
          <w:jc w:val="center"/>
        </w:trPr>
        <w:tc>
          <w:tcPr>
            <w:tcW w:w="2268" w:type="dxa"/>
            <w:tcBorders>
              <w:left w:val="nil"/>
              <w:right w:val="nil"/>
            </w:tcBorders>
            <w:shd w:val="clear" w:color="auto" w:fill="auto"/>
            <w:noWrap/>
            <w:vAlign w:val="center"/>
          </w:tcPr>
          <w:p w14:paraId="3B4F9365"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Murray cod</w:t>
            </w:r>
          </w:p>
        </w:tc>
        <w:tc>
          <w:tcPr>
            <w:tcW w:w="814" w:type="dxa"/>
            <w:tcBorders>
              <w:left w:val="nil"/>
              <w:right w:val="nil"/>
            </w:tcBorders>
            <w:shd w:val="clear" w:color="auto" w:fill="auto"/>
            <w:noWrap/>
            <w:vAlign w:val="bottom"/>
          </w:tcPr>
          <w:p w14:paraId="3B4F9366"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3,16</w:t>
            </w:r>
          </w:p>
        </w:tc>
        <w:tc>
          <w:tcPr>
            <w:tcW w:w="1134" w:type="dxa"/>
            <w:tcBorders>
              <w:left w:val="nil"/>
              <w:right w:val="nil"/>
            </w:tcBorders>
            <w:shd w:val="clear" w:color="auto" w:fill="auto"/>
            <w:noWrap/>
            <w:vAlign w:val="bottom"/>
          </w:tcPr>
          <w:p w14:paraId="3B4F9367"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2.133</w:t>
            </w:r>
          </w:p>
        </w:tc>
        <w:tc>
          <w:tcPr>
            <w:tcW w:w="1454" w:type="dxa"/>
            <w:tcBorders>
              <w:left w:val="nil"/>
              <w:right w:val="nil"/>
            </w:tcBorders>
            <w:shd w:val="clear" w:color="auto" w:fill="auto"/>
            <w:noWrap/>
            <w:vAlign w:val="bottom"/>
          </w:tcPr>
          <w:p w14:paraId="3B4F9368"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0.929</w:t>
            </w:r>
          </w:p>
        </w:tc>
        <w:tc>
          <w:tcPr>
            <w:tcW w:w="1159" w:type="dxa"/>
            <w:tcBorders>
              <w:left w:val="nil"/>
              <w:right w:val="nil"/>
            </w:tcBorders>
            <w:shd w:val="clear" w:color="auto" w:fill="auto"/>
            <w:noWrap/>
            <w:vAlign w:val="bottom"/>
          </w:tcPr>
          <w:p w14:paraId="3B4F9369"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0.4493</w:t>
            </w:r>
          </w:p>
        </w:tc>
        <w:tc>
          <w:tcPr>
            <w:tcW w:w="542" w:type="dxa"/>
            <w:tcBorders>
              <w:left w:val="nil"/>
              <w:right w:val="nil"/>
            </w:tcBorders>
            <w:shd w:val="clear" w:color="auto" w:fill="auto"/>
            <w:noWrap/>
            <w:vAlign w:val="bottom"/>
          </w:tcPr>
          <w:p w14:paraId="3B4F936A" w14:textId="77777777" w:rsidR="008E6212" w:rsidRPr="00E03DF0" w:rsidRDefault="008E6212" w:rsidP="009C1A36">
            <w:pPr>
              <w:spacing w:after="0" w:line="324" w:lineRule="exact"/>
              <w:jc w:val="center"/>
              <w:rPr>
                <w:rFonts w:eastAsia="Times New Roman"/>
                <w:color w:val="000000"/>
                <w:sz w:val="20"/>
                <w:lang w:eastAsia="en-AU"/>
              </w:rPr>
            </w:pPr>
          </w:p>
        </w:tc>
      </w:tr>
      <w:tr w:rsidR="008E6212" w:rsidRPr="00E03DF0" w14:paraId="3B4F9372" w14:textId="77777777" w:rsidTr="009C1A36">
        <w:trPr>
          <w:trHeight w:val="300"/>
          <w:jc w:val="center"/>
        </w:trPr>
        <w:tc>
          <w:tcPr>
            <w:tcW w:w="2268" w:type="dxa"/>
            <w:tcBorders>
              <w:left w:val="nil"/>
              <w:right w:val="nil"/>
            </w:tcBorders>
            <w:shd w:val="clear" w:color="auto" w:fill="auto"/>
            <w:noWrap/>
            <w:vAlign w:val="bottom"/>
          </w:tcPr>
          <w:p w14:paraId="3B4F936C"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Australian smelt</w:t>
            </w:r>
          </w:p>
        </w:tc>
        <w:tc>
          <w:tcPr>
            <w:tcW w:w="814" w:type="dxa"/>
            <w:tcBorders>
              <w:left w:val="nil"/>
              <w:right w:val="nil"/>
            </w:tcBorders>
            <w:shd w:val="clear" w:color="auto" w:fill="auto"/>
            <w:noWrap/>
            <w:vAlign w:val="bottom"/>
          </w:tcPr>
          <w:p w14:paraId="3B4F936D"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3,16</w:t>
            </w:r>
          </w:p>
        </w:tc>
        <w:tc>
          <w:tcPr>
            <w:tcW w:w="1134" w:type="dxa"/>
            <w:tcBorders>
              <w:left w:val="nil"/>
              <w:right w:val="nil"/>
            </w:tcBorders>
            <w:shd w:val="clear" w:color="auto" w:fill="auto"/>
            <w:noWrap/>
            <w:vAlign w:val="bottom"/>
          </w:tcPr>
          <w:p w14:paraId="3B4F936E"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5.221</w:t>
            </w:r>
          </w:p>
        </w:tc>
        <w:tc>
          <w:tcPr>
            <w:tcW w:w="1454" w:type="dxa"/>
            <w:tcBorders>
              <w:left w:val="nil"/>
              <w:right w:val="nil"/>
            </w:tcBorders>
            <w:shd w:val="clear" w:color="auto" w:fill="auto"/>
            <w:noWrap/>
            <w:vAlign w:val="bottom"/>
          </w:tcPr>
          <w:p w14:paraId="3B4F936F"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1.807</w:t>
            </w:r>
          </w:p>
        </w:tc>
        <w:tc>
          <w:tcPr>
            <w:tcW w:w="1159" w:type="dxa"/>
            <w:tcBorders>
              <w:left w:val="nil"/>
              <w:right w:val="nil"/>
            </w:tcBorders>
            <w:shd w:val="clear" w:color="auto" w:fill="auto"/>
            <w:noWrap/>
            <w:vAlign w:val="bottom"/>
          </w:tcPr>
          <w:p w14:paraId="3B4F9370"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0.1865</w:t>
            </w:r>
          </w:p>
        </w:tc>
        <w:tc>
          <w:tcPr>
            <w:tcW w:w="542" w:type="dxa"/>
            <w:tcBorders>
              <w:left w:val="nil"/>
              <w:right w:val="nil"/>
            </w:tcBorders>
            <w:shd w:val="clear" w:color="auto" w:fill="auto"/>
            <w:noWrap/>
            <w:vAlign w:val="bottom"/>
          </w:tcPr>
          <w:p w14:paraId="3B4F9371" w14:textId="77777777" w:rsidR="008E6212" w:rsidRPr="00E03DF0" w:rsidRDefault="008E6212" w:rsidP="009C1A36">
            <w:pPr>
              <w:spacing w:after="0" w:line="324" w:lineRule="exact"/>
              <w:jc w:val="center"/>
              <w:rPr>
                <w:rFonts w:eastAsia="Times New Roman"/>
                <w:color w:val="000000"/>
                <w:sz w:val="20"/>
                <w:lang w:eastAsia="en-AU"/>
              </w:rPr>
            </w:pPr>
          </w:p>
        </w:tc>
      </w:tr>
      <w:tr w:rsidR="008E6212" w:rsidRPr="007A2492" w14:paraId="3B4F9379" w14:textId="77777777" w:rsidTr="009C1A36">
        <w:trPr>
          <w:trHeight w:val="300"/>
          <w:jc w:val="center"/>
        </w:trPr>
        <w:tc>
          <w:tcPr>
            <w:tcW w:w="2268" w:type="dxa"/>
            <w:tcBorders>
              <w:left w:val="nil"/>
              <w:bottom w:val="single" w:sz="4" w:space="0" w:color="auto"/>
              <w:right w:val="nil"/>
            </w:tcBorders>
            <w:shd w:val="clear" w:color="auto" w:fill="auto"/>
            <w:noWrap/>
            <w:vAlign w:val="center"/>
          </w:tcPr>
          <w:p w14:paraId="3B4F9373"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flathead gudgeon</w:t>
            </w:r>
          </w:p>
        </w:tc>
        <w:tc>
          <w:tcPr>
            <w:tcW w:w="814" w:type="dxa"/>
            <w:tcBorders>
              <w:left w:val="nil"/>
              <w:bottom w:val="single" w:sz="4" w:space="0" w:color="auto"/>
              <w:right w:val="nil"/>
            </w:tcBorders>
            <w:shd w:val="clear" w:color="auto" w:fill="auto"/>
            <w:noWrap/>
            <w:vAlign w:val="bottom"/>
          </w:tcPr>
          <w:p w14:paraId="3B4F9374" w14:textId="77777777" w:rsidR="008E6212" w:rsidRPr="00E03DF0" w:rsidRDefault="008E6212" w:rsidP="009C1A36">
            <w:pPr>
              <w:spacing w:after="0" w:line="324" w:lineRule="exact"/>
              <w:rPr>
                <w:rFonts w:eastAsia="Times New Roman"/>
                <w:color w:val="000000"/>
                <w:sz w:val="20"/>
                <w:lang w:eastAsia="en-AU"/>
              </w:rPr>
            </w:pPr>
            <w:r w:rsidRPr="00E03DF0">
              <w:rPr>
                <w:rFonts w:eastAsia="Times New Roman"/>
                <w:color w:val="000000"/>
                <w:sz w:val="20"/>
                <w:lang w:eastAsia="en-AU"/>
              </w:rPr>
              <w:t>3,16</w:t>
            </w:r>
          </w:p>
        </w:tc>
        <w:tc>
          <w:tcPr>
            <w:tcW w:w="1134" w:type="dxa"/>
            <w:tcBorders>
              <w:left w:val="nil"/>
              <w:bottom w:val="single" w:sz="4" w:space="0" w:color="auto"/>
              <w:right w:val="nil"/>
            </w:tcBorders>
            <w:shd w:val="clear" w:color="auto" w:fill="auto"/>
            <w:noWrap/>
            <w:vAlign w:val="bottom"/>
          </w:tcPr>
          <w:p w14:paraId="3B4F9375"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9.892</w:t>
            </w:r>
          </w:p>
        </w:tc>
        <w:tc>
          <w:tcPr>
            <w:tcW w:w="1454" w:type="dxa"/>
            <w:tcBorders>
              <w:left w:val="nil"/>
              <w:bottom w:val="single" w:sz="4" w:space="0" w:color="auto"/>
              <w:right w:val="nil"/>
            </w:tcBorders>
            <w:shd w:val="clear" w:color="auto" w:fill="auto"/>
            <w:noWrap/>
            <w:vAlign w:val="bottom"/>
          </w:tcPr>
          <w:p w14:paraId="3B4F9376"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4.335</w:t>
            </w:r>
          </w:p>
        </w:tc>
        <w:tc>
          <w:tcPr>
            <w:tcW w:w="1159" w:type="dxa"/>
            <w:tcBorders>
              <w:left w:val="nil"/>
              <w:bottom w:val="single" w:sz="4" w:space="0" w:color="auto"/>
              <w:right w:val="nil"/>
            </w:tcBorders>
            <w:shd w:val="clear" w:color="auto" w:fill="auto"/>
            <w:noWrap/>
            <w:vAlign w:val="bottom"/>
          </w:tcPr>
          <w:p w14:paraId="3B4F9377" w14:textId="77777777" w:rsidR="008E6212" w:rsidRPr="00E03DF0" w:rsidRDefault="008E6212" w:rsidP="009C1A36">
            <w:pPr>
              <w:spacing w:after="0" w:line="324" w:lineRule="exact"/>
              <w:jc w:val="right"/>
              <w:rPr>
                <w:rFonts w:eastAsia="Times New Roman"/>
                <w:color w:val="000000"/>
                <w:sz w:val="20"/>
                <w:lang w:eastAsia="en-AU"/>
              </w:rPr>
            </w:pPr>
            <w:r w:rsidRPr="00E03DF0">
              <w:rPr>
                <w:rFonts w:eastAsia="Times New Roman"/>
                <w:color w:val="000000"/>
                <w:sz w:val="20"/>
                <w:lang w:eastAsia="en-AU"/>
              </w:rPr>
              <w:t>0.0204</w:t>
            </w:r>
          </w:p>
        </w:tc>
        <w:tc>
          <w:tcPr>
            <w:tcW w:w="542" w:type="dxa"/>
            <w:tcBorders>
              <w:left w:val="nil"/>
              <w:bottom w:val="single" w:sz="4" w:space="0" w:color="auto"/>
              <w:right w:val="nil"/>
            </w:tcBorders>
            <w:shd w:val="clear" w:color="auto" w:fill="auto"/>
            <w:noWrap/>
            <w:vAlign w:val="bottom"/>
          </w:tcPr>
          <w:p w14:paraId="3B4F9378" w14:textId="77777777" w:rsidR="008E6212" w:rsidRPr="007A2492" w:rsidRDefault="008E6212" w:rsidP="009C1A36">
            <w:pPr>
              <w:spacing w:after="0" w:line="324" w:lineRule="exact"/>
              <w:jc w:val="center"/>
              <w:rPr>
                <w:rFonts w:eastAsia="Times New Roman"/>
                <w:color w:val="000000"/>
                <w:sz w:val="20"/>
                <w:lang w:eastAsia="en-AU"/>
              </w:rPr>
            </w:pPr>
            <w:r w:rsidRPr="00E03DF0">
              <w:rPr>
                <w:rFonts w:eastAsia="Times New Roman"/>
                <w:color w:val="000000"/>
                <w:sz w:val="20"/>
                <w:lang w:eastAsia="en-AU"/>
              </w:rPr>
              <w:t>*</w:t>
            </w:r>
          </w:p>
        </w:tc>
      </w:tr>
    </w:tbl>
    <w:p w14:paraId="3B4F937A" w14:textId="77777777" w:rsidR="008E6212" w:rsidRDefault="008E6212" w:rsidP="008E6212">
      <w:pPr>
        <w:spacing w:after="0" w:line="324" w:lineRule="exact"/>
      </w:pPr>
    </w:p>
    <w:p w14:paraId="3B4F937B" w14:textId="77777777" w:rsidR="008E6212" w:rsidRDefault="008E6212" w:rsidP="008E6212">
      <w:pPr>
        <w:spacing w:after="0" w:line="324" w:lineRule="exact"/>
        <w:jc w:val="left"/>
        <w:rPr>
          <w:b/>
        </w:rPr>
      </w:pPr>
    </w:p>
    <w:p w14:paraId="3B4F937C" w14:textId="77777777" w:rsidR="008E6212" w:rsidRPr="008608B0" w:rsidRDefault="008E6212" w:rsidP="008E6212">
      <w:pPr>
        <w:pStyle w:val="BodyText"/>
        <w:rPr>
          <w:b/>
          <w:i/>
          <w:color w:val="4F6228" w:themeColor="accent3" w:themeShade="80"/>
          <w:sz w:val="20"/>
          <w:szCs w:val="20"/>
        </w:rPr>
      </w:pPr>
      <w:r>
        <w:rPr>
          <w:b/>
          <w:noProof/>
          <w:lang w:val="en-AU" w:eastAsia="en-AU"/>
        </w:rPr>
        <w:drawing>
          <wp:inline distT="0" distB="0" distL="0" distR="0" wp14:anchorId="3B4F9668" wp14:editId="3B4F9669">
            <wp:extent cx="4791075" cy="51500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92758" cy="5151907"/>
                    </a:xfrm>
                    <a:prstGeom prst="rect">
                      <a:avLst/>
                    </a:prstGeom>
                    <a:noFill/>
                  </pic:spPr>
                </pic:pic>
              </a:graphicData>
            </a:graphic>
          </wp:inline>
        </w:drawing>
      </w:r>
    </w:p>
    <w:p w14:paraId="3B4F937D" w14:textId="77777777" w:rsidR="008E6212" w:rsidRDefault="00F774C7" w:rsidP="008E6212">
      <w:pPr>
        <w:spacing w:after="0" w:line="240" w:lineRule="auto"/>
        <w:jc w:val="left"/>
        <w:rPr>
          <w:sz w:val="20"/>
        </w:rPr>
      </w:pPr>
      <w:r>
        <w:rPr>
          <w:b/>
          <w:bCs/>
          <w:sz w:val="20"/>
        </w:rPr>
        <w:t>Figure D.8.</w:t>
      </w:r>
      <w:r w:rsidR="008E6212">
        <w:rPr>
          <w:b/>
          <w:bCs/>
          <w:sz w:val="20"/>
        </w:rPr>
        <w:t xml:space="preserve"> </w:t>
      </w:r>
      <w:r w:rsidR="008E6212">
        <w:rPr>
          <w:sz w:val="20"/>
        </w:rPr>
        <w:t xml:space="preserve">Mean total abundance (±SE) of larval sampled in the 2015-16 spawning season in the Edward- Wakool Selected Area, for </w:t>
      </w:r>
      <w:r w:rsidR="008E6212">
        <w:rPr>
          <w:i/>
          <w:iCs/>
          <w:sz w:val="20"/>
        </w:rPr>
        <w:t xml:space="preserve">a) </w:t>
      </w:r>
      <w:r w:rsidR="008E6212">
        <w:rPr>
          <w:iCs/>
          <w:sz w:val="20"/>
        </w:rPr>
        <w:t>carp gudgeon</w:t>
      </w:r>
      <w:r w:rsidR="008E6212" w:rsidRPr="00502A71">
        <w:rPr>
          <w:sz w:val="20"/>
        </w:rPr>
        <w:t>,</w:t>
      </w:r>
      <w:r w:rsidR="008E6212">
        <w:rPr>
          <w:sz w:val="20"/>
        </w:rPr>
        <w:t xml:space="preserve"> </w:t>
      </w:r>
      <w:r w:rsidR="008E6212">
        <w:rPr>
          <w:i/>
          <w:iCs/>
          <w:sz w:val="20"/>
        </w:rPr>
        <w:t xml:space="preserve">b) </w:t>
      </w:r>
      <w:r w:rsidR="008E6212">
        <w:rPr>
          <w:sz w:val="20"/>
        </w:rPr>
        <w:t xml:space="preserve">Murray cod, c) Australian smelt and </w:t>
      </w:r>
      <w:r w:rsidR="008E6212">
        <w:rPr>
          <w:i/>
          <w:iCs/>
          <w:sz w:val="20"/>
        </w:rPr>
        <w:t xml:space="preserve">d) </w:t>
      </w:r>
      <w:r w:rsidR="008E6212" w:rsidRPr="008819CE">
        <w:rPr>
          <w:iCs/>
          <w:sz w:val="20"/>
        </w:rPr>
        <w:t>flathead gudgeon</w:t>
      </w:r>
      <w:r w:rsidR="008E6212">
        <w:rPr>
          <w:sz w:val="20"/>
        </w:rPr>
        <w:t>. There was a significant difference in carp gudgeon larval abundance across the four study zone</w:t>
      </w:r>
      <w:r w:rsidR="000038C7">
        <w:rPr>
          <w:sz w:val="20"/>
        </w:rPr>
        <w:t>s</w:t>
      </w:r>
      <w:r w:rsidR="008E6212">
        <w:rPr>
          <w:sz w:val="20"/>
        </w:rPr>
        <w:t>.</w:t>
      </w:r>
    </w:p>
    <w:p w14:paraId="3B4F937E" w14:textId="77777777" w:rsidR="008E6212" w:rsidRPr="008608B0" w:rsidRDefault="008E6212" w:rsidP="008E6212">
      <w:pPr>
        <w:pStyle w:val="BodyText"/>
        <w:rPr>
          <w:b/>
          <w:i/>
          <w:color w:val="4F6228" w:themeColor="accent3" w:themeShade="80"/>
          <w:sz w:val="20"/>
          <w:szCs w:val="20"/>
        </w:rPr>
      </w:pPr>
    </w:p>
    <w:p w14:paraId="3B4F937F" w14:textId="77777777" w:rsidR="008E6212" w:rsidRPr="008608B0" w:rsidRDefault="008E6212" w:rsidP="008E6212">
      <w:pPr>
        <w:pStyle w:val="BodyText"/>
        <w:rPr>
          <w:b/>
          <w:i/>
          <w:color w:val="4F6228" w:themeColor="accent3" w:themeShade="80"/>
          <w:sz w:val="20"/>
          <w:szCs w:val="20"/>
        </w:rPr>
      </w:pPr>
    </w:p>
    <w:p w14:paraId="3B4F9380" w14:textId="77777777" w:rsidR="008E6212" w:rsidRDefault="008E6212" w:rsidP="008E6212">
      <w:pPr>
        <w:spacing w:after="0" w:line="240" w:lineRule="auto"/>
        <w:jc w:val="left"/>
        <w:rPr>
          <w:rFonts w:ascii="Arial" w:hAnsi="Arial"/>
          <w:b/>
          <w:i/>
          <w:color w:val="4F6228" w:themeColor="accent3" w:themeShade="80"/>
          <w:sz w:val="24"/>
          <w:szCs w:val="24"/>
          <w:lang w:val="en-US"/>
        </w:rPr>
      </w:pPr>
      <w:r>
        <w:rPr>
          <w:b/>
          <w:i/>
          <w:color w:val="4F6228" w:themeColor="accent3" w:themeShade="80"/>
        </w:rPr>
        <w:br w:type="page"/>
      </w:r>
    </w:p>
    <w:p w14:paraId="3B4F9381" w14:textId="77777777" w:rsidR="008E6212" w:rsidRPr="00337C70" w:rsidRDefault="008E6212" w:rsidP="008E6212">
      <w:pPr>
        <w:pStyle w:val="BodyText"/>
        <w:rPr>
          <w:rFonts w:asciiTheme="minorHAnsi" w:hAnsiTheme="minorHAnsi"/>
          <w:b/>
          <w:i/>
          <w:color w:val="4F6228" w:themeColor="accent3" w:themeShade="80"/>
        </w:rPr>
      </w:pPr>
      <w:r w:rsidRPr="00337C70">
        <w:rPr>
          <w:rFonts w:asciiTheme="minorHAnsi" w:hAnsiTheme="minorHAnsi"/>
          <w:b/>
          <w:i/>
          <w:color w:val="4F6228" w:themeColor="accent3" w:themeShade="80"/>
        </w:rPr>
        <w:lastRenderedPageBreak/>
        <w:t>Fish recruitment</w:t>
      </w:r>
    </w:p>
    <w:p w14:paraId="3B4F9382" w14:textId="77777777" w:rsidR="008E6212" w:rsidRDefault="008E6212" w:rsidP="008E6212">
      <w:pPr>
        <w:shd w:val="clear" w:color="auto" w:fill="FFFFFF"/>
        <w:spacing w:line="324" w:lineRule="exact"/>
        <w:jc w:val="left"/>
        <w:rPr>
          <w:rFonts w:cs="Arial"/>
          <w:color w:val="000000"/>
        </w:rPr>
      </w:pPr>
      <w:r>
        <w:rPr>
          <w:rFonts w:cs="Arial"/>
          <w:color w:val="000000"/>
        </w:rPr>
        <w:t>A total of eight native fish species and five alien species were sampled in the 2015/16 fish recruitment monitoring and this result was not different to the previous year of monitoring. A notable difference in 2015/16 was the increase in relative abundance of juvenile silver perch, particularly in the Wakool River Zones 3 and 4 (Table D.</w:t>
      </w:r>
      <w:r w:rsidR="00045C8E">
        <w:rPr>
          <w:rFonts w:cs="Arial"/>
          <w:color w:val="000000"/>
        </w:rPr>
        <w:t>6</w:t>
      </w:r>
      <w:r>
        <w:rPr>
          <w:rFonts w:cs="Arial"/>
          <w:color w:val="000000"/>
        </w:rPr>
        <w:t xml:space="preserve"> see </w:t>
      </w:r>
      <w:r w:rsidRPr="007505CD">
        <w:rPr>
          <w:rFonts w:cs="Arial"/>
          <w:i/>
          <w:color w:val="000000"/>
        </w:rPr>
        <w:t>Recruitment silver perch</w:t>
      </w:r>
      <w:r>
        <w:rPr>
          <w:rFonts w:cs="Arial"/>
          <w:color w:val="000000"/>
        </w:rPr>
        <w:t>). River blackfish remained present for the second year of monitoring—again only in Wakool River Zone 2, site 2.  Golden perch recrui</w:t>
      </w:r>
      <w:r w:rsidR="000038C7">
        <w:rPr>
          <w:rFonts w:cs="Arial"/>
          <w:color w:val="000000"/>
        </w:rPr>
        <w:t>ts were again not present, or w</w:t>
      </w:r>
      <w:r>
        <w:rPr>
          <w:rFonts w:cs="Arial"/>
          <w:color w:val="000000"/>
        </w:rPr>
        <w:t>ere not detected by our monitoring, for the second year of sampling in the Edward-Wakool and therefore growth and recruitment statistics could not be reported for this species.</w:t>
      </w:r>
    </w:p>
    <w:p w14:paraId="3B4F9383" w14:textId="77777777" w:rsidR="008E6212" w:rsidRDefault="008E6212" w:rsidP="008E6212">
      <w:pPr>
        <w:shd w:val="clear" w:color="auto" w:fill="FFFFFF"/>
        <w:spacing w:after="0" w:line="240" w:lineRule="auto"/>
        <w:rPr>
          <w:rFonts w:cs="Arial"/>
          <w:b/>
          <w:color w:val="000000"/>
          <w:sz w:val="20"/>
        </w:rPr>
      </w:pPr>
    </w:p>
    <w:p w14:paraId="3B4F9384" w14:textId="77777777" w:rsidR="008E6212" w:rsidRPr="00C938A6" w:rsidRDefault="008E6212" w:rsidP="008E6212">
      <w:pPr>
        <w:shd w:val="clear" w:color="auto" w:fill="FFFFFF"/>
        <w:spacing w:after="0" w:line="240" w:lineRule="auto"/>
        <w:rPr>
          <w:rFonts w:cs="Arial"/>
          <w:color w:val="000000"/>
          <w:sz w:val="20"/>
        </w:rPr>
      </w:pPr>
      <w:r>
        <w:rPr>
          <w:rFonts w:cs="Arial"/>
          <w:b/>
          <w:color w:val="000000"/>
          <w:sz w:val="20"/>
        </w:rPr>
        <w:t>Table D.</w:t>
      </w:r>
      <w:r w:rsidR="00045C8E">
        <w:rPr>
          <w:rFonts w:cs="Arial"/>
          <w:b/>
          <w:color w:val="000000"/>
          <w:sz w:val="20"/>
        </w:rPr>
        <w:t>6.</w:t>
      </w:r>
      <w:r w:rsidRPr="00C938A6">
        <w:rPr>
          <w:rFonts w:cs="Arial"/>
          <w:color w:val="000000"/>
          <w:sz w:val="20"/>
        </w:rPr>
        <w:t xml:space="preserve"> Number of Young-of-Year (YOY), age-class 1 (1+) recruits and older juvenile and adults of the three target species sampled in recruitment and growth monitoring in the Edward-Wakool system in 2014-15</w:t>
      </w:r>
      <w:r>
        <w:rPr>
          <w:rFonts w:cs="Arial"/>
          <w:color w:val="000000"/>
          <w:sz w:val="20"/>
        </w:rPr>
        <w:t xml:space="preserve"> and 2015-16</w:t>
      </w:r>
      <w:r w:rsidRPr="00C938A6">
        <w:rPr>
          <w:rFonts w:cs="Arial"/>
          <w:color w:val="000000"/>
          <w:sz w:val="20"/>
        </w:rPr>
        <w:t xml:space="preserve">. </w:t>
      </w:r>
    </w:p>
    <w:tbl>
      <w:tblPr>
        <w:tblW w:w="7648" w:type="dxa"/>
        <w:tblLook w:val="04A0" w:firstRow="1" w:lastRow="0" w:firstColumn="1" w:lastColumn="0" w:noHBand="0" w:noVBand="1"/>
      </w:tblPr>
      <w:tblGrid>
        <w:gridCol w:w="2268"/>
        <w:gridCol w:w="758"/>
        <w:gridCol w:w="801"/>
        <w:gridCol w:w="992"/>
        <w:gridCol w:w="284"/>
        <w:gridCol w:w="758"/>
        <w:gridCol w:w="801"/>
        <w:gridCol w:w="986"/>
      </w:tblGrid>
      <w:tr w:rsidR="008E6212" w:rsidRPr="00F70DE7" w14:paraId="3B4F9389" w14:textId="77777777" w:rsidTr="009C1A36">
        <w:trPr>
          <w:trHeight w:val="300"/>
        </w:trPr>
        <w:tc>
          <w:tcPr>
            <w:tcW w:w="2268" w:type="dxa"/>
            <w:tcBorders>
              <w:top w:val="single" w:sz="4" w:space="0" w:color="auto"/>
              <w:left w:val="nil"/>
              <w:bottom w:val="nil"/>
              <w:right w:val="nil"/>
            </w:tcBorders>
            <w:shd w:val="clear" w:color="auto" w:fill="D6E3BC"/>
            <w:noWrap/>
            <w:vAlign w:val="bottom"/>
          </w:tcPr>
          <w:p w14:paraId="3B4F9385" w14:textId="77777777" w:rsidR="008E6212" w:rsidRPr="00F70DE7" w:rsidRDefault="008E6212" w:rsidP="009C1A36">
            <w:pPr>
              <w:spacing w:after="0" w:line="240" w:lineRule="exact"/>
              <w:rPr>
                <w:rFonts w:eastAsia="Times New Roman"/>
                <w:color w:val="000000"/>
                <w:sz w:val="20"/>
                <w:lang w:eastAsia="en-AU"/>
              </w:rPr>
            </w:pPr>
          </w:p>
        </w:tc>
        <w:tc>
          <w:tcPr>
            <w:tcW w:w="2551" w:type="dxa"/>
            <w:gridSpan w:val="3"/>
            <w:tcBorders>
              <w:top w:val="single" w:sz="4" w:space="0" w:color="auto"/>
              <w:left w:val="nil"/>
              <w:bottom w:val="nil"/>
              <w:right w:val="nil"/>
            </w:tcBorders>
            <w:shd w:val="clear" w:color="auto" w:fill="D6E3BC"/>
            <w:noWrap/>
          </w:tcPr>
          <w:p w14:paraId="3B4F9386" w14:textId="77777777" w:rsidR="008E6212" w:rsidRPr="00A16BE8" w:rsidRDefault="008E6212" w:rsidP="009C1A36">
            <w:pPr>
              <w:spacing w:after="0" w:line="240" w:lineRule="exact"/>
              <w:jc w:val="center"/>
              <w:rPr>
                <w:rFonts w:eastAsia="Times New Roman"/>
                <w:color w:val="000000"/>
                <w:sz w:val="20"/>
                <w:lang w:eastAsia="en-AU"/>
              </w:rPr>
            </w:pPr>
            <w:r>
              <w:rPr>
                <w:rFonts w:eastAsia="Times New Roman"/>
                <w:color w:val="000000"/>
                <w:sz w:val="20"/>
                <w:lang w:eastAsia="en-AU"/>
              </w:rPr>
              <w:t>2014-15</w:t>
            </w:r>
          </w:p>
        </w:tc>
        <w:tc>
          <w:tcPr>
            <w:tcW w:w="284" w:type="dxa"/>
            <w:tcBorders>
              <w:top w:val="single" w:sz="4" w:space="0" w:color="auto"/>
              <w:left w:val="nil"/>
              <w:bottom w:val="nil"/>
              <w:right w:val="nil"/>
            </w:tcBorders>
            <w:shd w:val="clear" w:color="auto" w:fill="D6E3BC"/>
          </w:tcPr>
          <w:p w14:paraId="3B4F9387" w14:textId="77777777" w:rsidR="008E6212" w:rsidRDefault="008E6212" w:rsidP="009C1A36">
            <w:pPr>
              <w:spacing w:after="0" w:line="240" w:lineRule="exact"/>
              <w:jc w:val="center"/>
              <w:rPr>
                <w:rFonts w:eastAsia="Times New Roman"/>
                <w:color w:val="000000"/>
                <w:sz w:val="20"/>
                <w:lang w:eastAsia="en-AU"/>
              </w:rPr>
            </w:pPr>
          </w:p>
        </w:tc>
        <w:tc>
          <w:tcPr>
            <w:tcW w:w="2545" w:type="dxa"/>
            <w:gridSpan w:val="3"/>
            <w:tcBorders>
              <w:top w:val="single" w:sz="4" w:space="0" w:color="auto"/>
              <w:left w:val="nil"/>
              <w:bottom w:val="nil"/>
              <w:right w:val="nil"/>
            </w:tcBorders>
            <w:shd w:val="clear" w:color="auto" w:fill="D6E3BC"/>
          </w:tcPr>
          <w:p w14:paraId="3B4F9388" w14:textId="77777777" w:rsidR="008E6212" w:rsidRDefault="000E69C9" w:rsidP="009C1A36">
            <w:pPr>
              <w:spacing w:after="0" w:line="240" w:lineRule="exact"/>
              <w:jc w:val="center"/>
              <w:rPr>
                <w:rFonts w:eastAsia="Times New Roman"/>
                <w:color w:val="000000"/>
                <w:sz w:val="20"/>
                <w:lang w:eastAsia="en-AU"/>
              </w:rPr>
            </w:pPr>
            <w:r>
              <w:rPr>
                <w:rFonts w:eastAsia="Times New Roman"/>
                <w:color w:val="000000"/>
                <w:sz w:val="20"/>
                <w:lang w:eastAsia="en-AU"/>
              </w:rPr>
              <w:t>2015-</w:t>
            </w:r>
            <w:r w:rsidR="008E6212">
              <w:rPr>
                <w:rFonts w:eastAsia="Times New Roman"/>
                <w:color w:val="000000"/>
                <w:sz w:val="20"/>
                <w:lang w:eastAsia="en-AU"/>
              </w:rPr>
              <w:t>16</w:t>
            </w:r>
          </w:p>
        </w:tc>
      </w:tr>
      <w:tr w:rsidR="008E6212" w:rsidRPr="00F70DE7" w14:paraId="3B4F938E" w14:textId="77777777" w:rsidTr="009C1A36">
        <w:trPr>
          <w:trHeight w:val="300"/>
        </w:trPr>
        <w:tc>
          <w:tcPr>
            <w:tcW w:w="2268" w:type="dxa"/>
            <w:tcBorders>
              <w:left w:val="nil"/>
              <w:bottom w:val="nil"/>
              <w:right w:val="nil"/>
            </w:tcBorders>
            <w:shd w:val="clear" w:color="auto" w:fill="D6E3BC"/>
            <w:noWrap/>
            <w:vAlign w:val="bottom"/>
            <w:hideMark/>
          </w:tcPr>
          <w:p w14:paraId="3B4F938A"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 </w:t>
            </w:r>
          </w:p>
        </w:tc>
        <w:tc>
          <w:tcPr>
            <w:tcW w:w="2551" w:type="dxa"/>
            <w:gridSpan w:val="3"/>
            <w:tcBorders>
              <w:left w:val="nil"/>
              <w:bottom w:val="nil"/>
              <w:right w:val="nil"/>
            </w:tcBorders>
            <w:shd w:val="clear" w:color="auto" w:fill="D6E3BC"/>
            <w:noWrap/>
            <w:hideMark/>
          </w:tcPr>
          <w:p w14:paraId="3B4F938B" w14:textId="77777777" w:rsidR="008E6212" w:rsidRPr="00F70DE7" w:rsidRDefault="008E6212" w:rsidP="009C1A36">
            <w:pPr>
              <w:spacing w:after="0" w:line="240" w:lineRule="exact"/>
              <w:jc w:val="center"/>
              <w:rPr>
                <w:rFonts w:eastAsia="Times New Roman"/>
                <w:color w:val="000000"/>
                <w:sz w:val="20"/>
                <w:lang w:eastAsia="en-AU"/>
              </w:rPr>
            </w:pPr>
            <w:r w:rsidRPr="00F70DE7">
              <w:rPr>
                <w:rFonts w:eastAsia="Times New Roman"/>
                <w:color w:val="000000"/>
                <w:sz w:val="20"/>
                <w:lang w:eastAsia="en-AU"/>
              </w:rPr>
              <w:t>Stage of development</w:t>
            </w:r>
          </w:p>
        </w:tc>
        <w:tc>
          <w:tcPr>
            <w:tcW w:w="284" w:type="dxa"/>
            <w:tcBorders>
              <w:left w:val="nil"/>
              <w:bottom w:val="nil"/>
              <w:right w:val="nil"/>
            </w:tcBorders>
            <w:shd w:val="clear" w:color="auto" w:fill="D6E3BC"/>
          </w:tcPr>
          <w:p w14:paraId="3B4F938C" w14:textId="77777777" w:rsidR="008E6212" w:rsidRPr="00F70DE7" w:rsidRDefault="008E6212" w:rsidP="009C1A36">
            <w:pPr>
              <w:spacing w:after="0" w:line="240" w:lineRule="exact"/>
              <w:jc w:val="center"/>
              <w:rPr>
                <w:rFonts w:eastAsia="Times New Roman"/>
                <w:color w:val="000000"/>
                <w:sz w:val="20"/>
                <w:lang w:eastAsia="en-AU"/>
              </w:rPr>
            </w:pPr>
          </w:p>
        </w:tc>
        <w:tc>
          <w:tcPr>
            <w:tcW w:w="2545" w:type="dxa"/>
            <w:gridSpan w:val="3"/>
            <w:tcBorders>
              <w:left w:val="nil"/>
              <w:bottom w:val="single" w:sz="4" w:space="0" w:color="auto"/>
              <w:right w:val="nil"/>
            </w:tcBorders>
            <w:shd w:val="clear" w:color="auto" w:fill="D6E3BC"/>
          </w:tcPr>
          <w:p w14:paraId="3B4F938D" w14:textId="77777777" w:rsidR="008E6212" w:rsidRPr="00A16BE8" w:rsidRDefault="008E6212" w:rsidP="009C1A36">
            <w:pPr>
              <w:spacing w:after="0" w:line="240" w:lineRule="exact"/>
              <w:jc w:val="center"/>
              <w:rPr>
                <w:rFonts w:eastAsia="Times New Roman"/>
                <w:color w:val="000000"/>
                <w:sz w:val="20"/>
                <w:lang w:eastAsia="en-AU"/>
              </w:rPr>
            </w:pPr>
            <w:r w:rsidRPr="00F70DE7">
              <w:rPr>
                <w:rFonts w:eastAsia="Times New Roman"/>
                <w:color w:val="000000"/>
                <w:sz w:val="20"/>
                <w:lang w:eastAsia="en-AU"/>
              </w:rPr>
              <w:t>Stage of development</w:t>
            </w:r>
          </w:p>
        </w:tc>
      </w:tr>
      <w:tr w:rsidR="008E6212" w:rsidRPr="00F70DE7" w14:paraId="3B4F939C" w14:textId="77777777" w:rsidTr="009C1A36">
        <w:trPr>
          <w:trHeight w:val="585"/>
        </w:trPr>
        <w:tc>
          <w:tcPr>
            <w:tcW w:w="2268" w:type="dxa"/>
            <w:tcBorders>
              <w:top w:val="nil"/>
              <w:left w:val="nil"/>
              <w:bottom w:val="single" w:sz="4" w:space="0" w:color="auto"/>
              <w:right w:val="nil"/>
            </w:tcBorders>
            <w:shd w:val="clear" w:color="auto" w:fill="D6E3BC"/>
            <w:noWrap/>
            <w:vAlign w:val="bottom"/>
            <w:hideMark/>
          </w:tcPr>
          <w:p w14:paraId="3B4F938F"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 xml:space="preserve">Zone </w:t>
            </w:r>
          </w:p>
        </w:tc>
        <w:tc>
          <w:tcPr>
            <w:tcW w:w="758" w:type="dxa"/>
            <w:tcBorders>
              <w:top w:val="single" w:sz="4" w:space="0" w:color="auto"/>
              <w:left w:val="nil"/>
              <w:bottom w:val="single" w:sz="4" w:space="0" w:color="auto"/>
              <w:right w:val="nil"/>
            </w:tcBorders>
            <w:shd w:val="clear" w:color="auto" w:fill="D6E3BC"/>
            <w:vAlign w:val="bottom"/>
            <w:hideMark/>
          </w:tcPr>
          <w:p w14:paraId="3B4F9390"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YOY recruit</w:t>
            </w:r>
          </w:p>
        </w:tc>
        <w:tc>
          <w:tcPr>
            <w:tcW w:w="801" w:type="dxa"/>
            <w:tcBorders>
              <w:top w:val="single" w:sz="4" w:space="0" w:color="auto"/>
              <w:left w:val="nil"/>
              <w:bottom w:val="single" w:sz="4" w:space="0" w:color="auto"/>
              <w:right w:val="nil"/>
            </w:tcBorders>
            <w:shd w:val="clear" w:color="auto" w:fill="D6E3BC"/>
            <w:vAlign w:val="bottom"/>
            <w:hideMark/>
          </w:tcPr>
          <w:p w14:paraId="3B4F9391" w14:textId="77777777" w:rsidR="008E6212"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 xml:space="preserve">1+ </w:t>
            </w:r>
          </w:p>
          <w:p w14:paraId="3B4F9392"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recruit</w:t>
            </w:r>
          </w:p>
        </w:tc>
        <w:tc>
          <w:tcPr>
            <w:tcW w:w="992" w:type="dxa"/>
            <w:tcBorders>
              <w:top w:val="single" w:sz="4" w:space="0" w:color="auto"/>
              <w:left w:val="nil"/>
              <w:bottom w:val="single" w:sz="4" w:space="0" w:color="auto"/>
              <w:right w:val="nil"/>
            </w:tcBorders>
            <w:shd w:val="clear" w:color="auto" w:fill="D6E3BC"/>
            <w:vAlign w:val="bottom"/>
            <w:hideMark/>
          </w:tcPr>
          <w:p w14:paraId="3B4F9393" w14:textId="77777777" w:rsidR="008E6212"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 xml:space="preserve">Other </w:t>
            </w:r>
          </w:p>
          <w:p w14:paraId="3B4F9394"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Juvenile or Adult</w:t>
            </w:r>
          </w:p>
        </w:tc>
        <w:tc>
          <w:tcPr>
            <w:tcW w:w="284" w:type="dxa"/>
            <w:tcBorders>
              <w:top w:val="single" w:sz="4" w:space="0" w:color="auto"/>
              <w:left w:val="nil"/>
              <w:bottom w:val="single" w:sz="4" w:space="0" w:color="auto"/>
              <w:right w:val="nil"/>
            </w:tcBorders>
            <w:shd w:val="clear" w:color="auto" w:fill="D6E3BC"/>
          </w:tcPr>
          <w:p w14:paraId="3B4F9395" w14:textId="77777777" w:rsidR="008E6212" w:rsidRPr="00F70DE7" w:rsidRDefault="008E6212" w:rsidP="009C1A36">
            <w:pPr>
              <w:spacing w:after="0" w:line="240" w:lineRule="exact"/>
              <w:jc w:val="left"/>
              <w:rPr>
                <w:rFonts w:eastAsia="Times New Roman"/>
                <w:color w:val="000000"/>
                <w:sz w:val="20"/>
                <w:lang w:eastAsia="en-AU"/>
              </w:rPr>
            </w:pPr>
          </w:p>
        </w:tc>
        <w:tc>
          <w:tcPr>
            <w:tcW w:w="758" w:type="dxa"/>
            <w:tcBorders>
              <w:top w:val="single" w:sz="4" w:space="0" w:color="auto"/>
              <w:left w:val="nil"/>
              <w:bottom w:val="single" w:sz="4" w:space="0" w:color="auto"/>
              <w:right w:val="nil"/>
            </w:tcBorders>
            <w:shd w:val="clear" w:color="auto" w:fill="D6E3BC"/>
            <w:vAlign w:val="bottom"/>
          </w:tcPr>
          <w:p w14:paraId="3B4F9396" w14:textId="77777777" w:rsidR="008E6212" w:rsidRPr="00F70DE7" w:rsidRDefault="008E6212" w:rsidP="009C1A36">
            <w:pPr>
              <w:spacing w:after="0" w:line="240" w:lineRule="exact"/>
              <w:jc w:val="left"/>
              <w:rPr>
                <w:rFonts w:eastAsia="Times New Roman"/>
                <w:color w:val="000000"/>
                <w:sz w:val="20"/>
                <w:lang w:eastAsia="en-AU"/>
              </w:rPr>
            </w:pPr>
            <w:r w:rsidRPr="00F70DE7">
              <w:rPr>
                <w:rFonts w:eastAsia="Times New Roman"/>
                <w:color w:val="000000"/>
                <w:sz w:val="20"/>
                <w:lang w:eastAsia="en-AU"/>
              </w:rPr>
              <w:t>YOY recruit</w:t>
            </w:r>
          </w:p>
        </w:tc>
        <w:tc>
          <w:tcPr>
            <w:tcW w:w="801" w:type="dxa"/>
            <w:tcBorders>
              <w:top w:val="single" w:sz="4" w:space="0" w:color="auto"/>
              <w:left w:val="nil"/>
              <w:bottom w:val="single" w:sz="4" w:space="0" w:color="auto"/>
              <w:right w:val="nil"/>
            </w:tcBorders>
            <w:shd w:val="clear" w:color="auto" w:fill="D6E3BC"/>
            <w:vAlign w:val="bottom"/>
          </w:tcPr>
          <w:p w14:paraId="3B4F9397" w14:textId="77777777" w:rsidR="008E6212" w:rsidRDefault="008E6212" w:rsidP="009C1A36">
            <w:pPr>
              <w:spacing w:after="0" w:line="240" w:lineRule="exact"/>
              <w:jc w:val="left"/>
              <w:rPr>
                <w:rFonts w:eastAsia="Times New Roman"/>
                <w:color w:val="000000"/>
                <w:sz w:val="20"/>
                <w:lang w:eastAsia="en-AU"/>
              </w:rPr>
            </w:pPr>
            <w:r w:rsidRPr="00F70DE7">
              <w:rPr>
                <w:rFonts w:eastAsia="Times New Roman"/>
                <w:color w:val="000000"/>
                <w:sz w:val="20"/>
                <w:lang w:eastAsia="en-AU"/>
              </w:rPr>
              <w:t xml:space="preserve">1+ </w:t>
            </w:r>
          </w:p>
          <w:p w14:paraId="3B4F9398" w14:textId="77777777" w:rsidR="008E6212" w:rsidRPr="00F70DE7" w:rsidRDefault="008E6212" w:rsidP="009C1A36">
            <w:pPr>
              <w:spacing w:after="0" w:line="240" w:lineRule="exact"/>
              <w:jc w:val="left"/>
              <w:rPr>
                <w:rFonts w:eastAsia="Times New Roman"/>
                <w:color w:val="000000"/>
                <w:sz w:val="20"/>
                <w:lang w:eastAsia="en-AU"/>
              </w:rPr>
            </w:pPr>
            <w:r w:rsidRPr="00F70DE7">
              <w:rPr>
                <w:rFonts w:eastAsia="Times New Roman"/>
                <w:color w:val="000000"/>
                <w:sz w:val="20"/>
                <w:lang w:eastAsia="en-AU"/>
              </w:rPr>
              <w:t>recruit</w:t>
            </w:r>
          </w:p>
        </w:tc>
        <w:tc>
          <w:tcPr>
            <w:tcW w:w="986" w:type="dxa"/>
            <w:tcBorders>
              <w:top w:val="single" w:sz="4" w:space="0" w:color="auto"/>
              <w:left w:val="nil"/>
              <w:bottom w:val="single" w:sz="4" w:space="0" w:color="auto"/>
              <w:right w:val="nil"/>
            </w:tcBorders>
            <w:shd w:val="clear" w:color="auto" w:fill="D6E3BC"/>
            <w:vAlign w:val="bottom"/>
          </w:tcPr>
          <w:p w14:paraId="3B4F9399" w14:textId="77777777" w:rsidR="008E6212" w:rsidRDefault="008E6212" w:rsidP="009C1A36">
            <w:pPr>
              <w:spacing w:after="0" w:line="240" w:lineRule="exact"/>
              <w:jc w:val="left"/>
              <w:rPr>
                <w:rFonts w:eastAsia="Times New Roman"/>
                <w:color w:val="000000"/>
                <w:sz w:val="20"/>
                <w:lang w:eastAsia="en-AU"/>
              </w:rPr>
            </w:pPr>
            <w:r w:rsidRPr="00F70DE7">
              <w:rPr>
                <w:rFonts w:eastAsia="Times New Roman"/>
                <w:color w:val="000000"/>
                <w:sz w:val="20"/>
                <w:lang w:eastAsia="en-AU"/>
              </w:rPr>
              <w:t>Other</w:t>
            </w:r>
          </w:p>
          <w:p w14:paraId="3B4F939A" w14:textId="77777777" w:rsidR="008E6212" w:rsidRDefault="008E6212" w:rsidP="009C1A36">
            <w:pPr>
              <w:spacing w:after="0" w:line="240" w:lineRule="exact"/>
              <w:jc w:val="left"/>
              <w:rPr>
                <w:rFonts w:eastAsia="Times New Roman"/>
                <w:color w:val="000000"/>
                <w:sz w:val="20"/>
                <w:lang w:eastAsia="en-AU"/>
              </w:rPr>
            </w:pPr>
            <w:r w:rsidRPr="00F70DE7">
              <w:rPr>
                <w:rFonts w:eastAsia="Times New Roman"/>
                <w:color w:val="000000"/>
                <w:sz w:val="20"/>
                <w:lang w:eastAsia="en-AU"/>
              </w:rPr>
              <w:t xml:space="preserve"> Juvenile</w:t>
            </w:r>
          </w:p>
          <w:p w14:paraId="3B4F939B" w14:textId="77777777" w:rsidR="008E6212" w:rsidRPr="00F70DE7" w:rsidRDefault="008E6212" w:rsidP="009C1A36">
            <w:pPr>
              <w:spacing w:after="0" w:line="240" w:lineRule="exact"/>
              <w:jc w:val="left"/>
              <w:rPr>
                <w:rFonts w:eastAsia="Times New Roman"/>
                <w:color w:val="000000"/>
                <w:sz w:val="20"/>
                <w:lang w:eastAsia="en-AU"/>
              </w:rPr>
            </w:pPr>
            <w:r w:rsidRPr="00F70DE7">
              <w:rPr>
                <w:rFonts w:eastAsia="Times New Roman"/>
                <w:color w:val="000000"/>
                <w:sz w:val="20"/>
                <w:lang w:eastAsia="en-AU"/>
              </w:rPr>
              <w:t xml:space="preserve"> or Adult</w:t>
            </w:r>
          </w:p>
        </w:tc>
      </w:tr>
      <w:tr w:rsidR="008E6212" w:rsidRPr="00F70DE7" w14:paraId="3B4F93A5" w14:textId="77777777" w:rsidTr="009C1A36">
        <w:trPr>
          <w:trHeight w:val="300"/>
        </w:trPr>
        <w:tc>
          <w:tcPr>
            <w:tcW w:w="2268" w:type="dxa"/>
            <w:tcBorders>
              <w:top w:val="nil"/>
              <w:left w:val="nil"/>
              <w:bottom w:val="nil"/>
              <w:right w:val="nil"/>
            </w:tcBorders>
            <w:shd w:val="clear" w:color="auto" w:fill="auto"/>
            <w:noWrap/>
            <w:vAlign w:val="bottom"/>
          </w:tcPr>
          <w:p w14:paraId="3B4F939D" w14:textId="77777777" w:rsidR="008E6212" w:rsidRPr="00B42E56" w:rsidRDefault="008E6212" w:rsidP="009C1A36">
            <w:pPr>
              <w:spacing w:after="0" w:line="240" w:lineRule="exact"/>
              <w:ind w:left="-256" w:firstLine="256"/>
              <w:rPr>
                <w:rFonts w:eastAsia="Times New Roman"/>
                <w:i/>
                <w:color w:val="000000"/>
                <w:sz w:val="20"/>
                <w:lang w:eastAsia="en-AU"/>
              </w:rPr>
            </w:pPr>
            <w:r w:rsidRPr="00B42E56">
              <w:rPr>
                <w:rFonts w:eastAsia="Times New Roman"/>
                <w:i/>
                <w:color w:val="000000"/>
                <w:sz w:val="20"/>
                <w:lang w:eastAsia="en-AU"/>
              </w:rPr>
              <w:t>Murray cod</w:t>
            </w:r>
          </w:p>
        </w:tc>
        <w:tc>
          <w:tcPr>
            <w:tcW w:w="758" w:type="dxa"/>
            <w:tcBorders>
              <w:top w:val="nil"/>
              <w:left w:val="nil"/>
              <w:bottom w:val="nil"/>
              <w:right w:val="nil"/>
            </w:tcBorders>
            <w:shd w:val="clear" w:color="auto" w:fill="auto"/>
            <w:noWrap/>
            <w:vAlign w:val="bottom"/>
          </w:tcPr>
          <w:p w14:paraId="3B4F939E" w14:textId="77777777" w:rsidR="008E6212" w:rsidRPr="00F70DE7" w:rsidRDefault="008E6212" w:rsidP="009C1A36">
            <w:pPr>
              <w:spacing w:after="0" w:line="240" w:lineRule="exact"/>
              <w:rPr>
                <w:rFonts w:eastAsia="Times New Roman"/>
                <w:color w:val="000000"/>
                <w:sz w:val="20"/>
                <w:lang w:eastAsia="en-AU"/>
              </w:rPr>
            </w:pPr>
          </w:p>
        </w:tc>
        <w:tc>
          <w:tcPr>
            <w:tcW w:w="801" w:type="dxa"/>
            <w:tcBorders>
              <w:top w:val="nil"/>
              <w:left w:val="nil"/>
              <w:bottom w:val="nil"/>
              <w:right w:val="nil"/>
            </w:tcBorders>
            <w:shd w:val="clear" w:color="auto" w:fill="auto"/>
            <w:noWrap/>
            <w:vAlign w:val="bottom"/>
          </w:tcPr>
          <w:p w14:paraId="3B4F939F" w14:textId="77777777" w:rsidR="008E6212" w:rsidRPr="00F70DE7" w:rsidRDefault="008E6212" w:rsidP="009C1A36">
            <w:pPr>
              <w:spacing w:after="0" w:line="240" w:lineRule="exact"/>
              <w:rPr>
                <w:rFonts w:eastAsia="Times New Roman"/>
                <w:color w:val="000000"/>
                <w:sz w:val="20"/>
                <w:lang w:eastAsia="en-AU"/>
              </w:rPr>
            </w:pPr>
          </w:p>
        </w:tc>
        <w:tc>
          <w:tcPr>
            <w:tcW w:w="992" w:type="dxa"/>
            <w:tcBorders>
              <w:top w:val="nil"/>
              <w:left w:val="nil"/>
              <w:bottom w:val="nil"/>
              <w:right w:val="nil"/>
            </w:tcBorders>
            <w:shd w:val="clear" w:color="auto" w:fill="auto"/>
            <w:noWrap/>
            <w:vAlign w:val="bottom"/>
          </w:tcPr>
          <w:p w14:paraId="3B4F93A0" w14:textId="77777777" w:rsidR="008E6212" w:rsidRPr="00F70DE7" w:rsidRDefault="008E6212" w:rsidP="009C1A36">
            <w:pPr>
              <w:spacing w:after="0" w:line="240" w:lineRule="exact"/>
              <w:rPr>
                <w:rFonts w:eastAsia="Times New Roman"/>
                <w:color w:val="000000"/>
                <w:sz w:val="20"/>
                <w:lang w:eastAsia="en-AU"/>
              </w:rPr>
            </w:pPr>
          </w:p>
        </w:tc>
        <w:tc>
          <w:tcPr>
            <w:tcW w:w="284" w:type="dxa"/>
            <w:tcBorders>
              <w:top w:val="nil"/>
              <w:left w:val="nil"/>
              <w:bottom w:val="nil"/>
              <w:right w:val="nil"/>
            </w:tcBorders>
          </w:tcPr>
          <w:p w14:paraId="3B4F93A1"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A2" w14:textId="77777777" w:rsidR="008E6212" w:rsidRDefault="008E6212" w:rsidP="009C1A36">
            <w:pPr>
              <w:spacing w:after="0" w:line="240" w:lineRule="exact"/>
              <w:rPr>
                <w:rFonts w:eastAsia="Times New Roman"/>
                <w:color w:val="000000"/>
                <w:sz w:val="20"/>
                <w:lang w:eastAsia="en-AU"/>
              </w:rPr>
            </w:pPr>
          </w:p>
        </w:tc>
        <w:tc>
          <w:tcPr>
            <w:tcW w:w="801" w:type="dxa"/>
            <w:tcBorders>
              <w:top w:val="nil"/>
              <w:left w:val="nil"/>
              <w:bottom w:val="nil"/>
              <w:right w:val="nil"/>
            </w:tcBorders>
          </w:tcPr>
          <w:p w14:paraId="3B4F93A3" w14:textId="77777777" w:rsidR="008E6212" w:rsidRDefault="008E6212" w:rsidP="009C1A36">
            <w:pPr>
              <w:spacing w:after="0" w:line="240" w:lineRule="exact"/>
              <w:rPr>
                <w:rFonts w:eastAsia="Times New Roman"/>
                <w:color w:val="000000"/>
                <w:sz w:val="20"/>
                <w:lang w:eastAsia="en-AU"/>
              </w:rPr>
            </w:pPr>
          </w:p>
        </w:tc>
        <w:tc>
          <w:tcPr>
            <w:tcW w:w="986" w:type="dxa"/>
            <w:tcBorders>
              <w:top w:val="nil"/>
              <w:left w:val="nil"/>
              <w:bottom w:val="nil"/>
              <w:right w:val="nil"/>
            </w:tcBorders>
          </w:tcPr>
          <w:p w14:paraId="3B4F93A4" w14:textId="77777777" w:rsidR="008E6212" w:rsidRDefault="008E6212" w:rsidP="009C1A36">
            <w:pPr>
              <w:spacing w:after="0" w:line="240" w:lineRule="exact"/>
              <w:rPr>
                <w:rFonts w:eastAsia="Times New Roman"/>
                <w:color w:val="000000"/>
                <w:sz w:val="20"/>
                <w:lang w:eastAsia="en-AU"/>
              </w:rPr>
            </w:pPr>
          </w:p>
        </w:tc>
      </w:tr>
      <w:tr w:rsidR="008E6212" w:rsidRPr="00F70DE7" w14:paraId="3B4F93AE" w14:textId="77777777" w:rsidTr="009C1A36">
        <w:trPr>
          <w:trHeight w:val="300"/>
        </w:trPr>
        <w:tc>
          <w:tcPr>
            <w:tcW w:w="2268" w:type="dxa"/>
            <w:tcBorders>
              <w:top w:val="nil"/>
              <w:left w:val="nil"/>
              <w:bottom w:val="nil"/>
              <w:right w:val="nil"/>
            </w:tcBorders>
            <w:shd w:val="clear" w:color="auto" w:fill="auto"/>
            <w:noWrap/>
            <w:vAlign w:val="bottom"/>
          </w:tcPr>
          <w:p w14:paraId="3B4F93A6" w14:textId="77777777" w:rsidR="008E6212" w:rsidRPr="00F70DE7" w:rsidRDefault="008E6212" w:rsidP="009C1A36">
            <w:pPr>
              <w:spacing w:after="0" w:line="240" w:lineRule="exact"/>
              <w:ind w:left="-256" w:firstLine="256"/>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Yallakool Creek</w:t>
            </w:r>
          </w:p>
        </w:tc>
        <w:tc>
          <w:tcPr>
            <w:tcW w:w="758" w:type="dxa"/>
            <w:tcBorders>
              <w:top w:val="nil"/>
              <w:left w:val="nil"/>
              <w:bottom w:val="nil"/>
              <w:right w:val="nil"/>
            </w:tcBorders>
            <w:shd w:val="clear" w:color="auto" w:fill="auto"/>
            <w:noWrap/>
            <w:vAlign w:val="bottom"/>
            <w:hideMark/>
          </w:tcPr>
          <w:p w14:paraId="3B4F93A7"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5</w:t>
            </w:r>
          </w:p>
        </w:tc>
        <w:tc>
          <w:tcPr>
            <w:tcW w:w="801" w:type="dxa"/>
            <w:tcBorders>
              <w:top w:val="nil"/>
              <w:left w:val="nil"/>
              <w:bottom w:val="nil"/>
              <w:right w:val="nil"/>
            </w:tcBorders>
            <w:shd w:val="clear" w:color="auto" w:fill="auto"/>
            <w:noWrap/>
            <w:vAlign w:val="bottom"/>
            <w:hideMark/>
          </w:tcPr>
          <w:p w14:paraId="3B4F93A8"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w:t>
            </w:r>
            <w:r>
              <w:rPr>
                <w:rFonts w:eastAsia="Times New Roman"/>
                <w:color w:val="000000"/>
                <w:sz w:val="20"/>
                <w:lang w:eastAsia="en-AU"/>
              </w:rPr>
              <w:t>5</w:t>
            </w:r>
          </w:p>
        </w:tc>
        <w:tc>
          <w:tcPr>
            <w:tcW w:w="992" w:type="dxa"/>
            <w:tcBorders>
              <w:top w:val="nil"/>
              <w:left w:val="nil"/>
              <w:bottom w:val="nil"/>
              <w:right w:val="nil"/>
            </w:tcBorders>
            <w:shd w:val="clear" w:color="auto" w:fill="auto"/>
            <w:noWrap/>
            <w:vAlign w:val="bottom"/>
            <w:hideMark/>
          </w:tcPr>
          <w:p w14:paraId="3B4F93A9"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w:t>
            </w:r>
            <w:r>
              <w:rPr>
                <w:rFonts w:eastAsia="Times New Roman"/>
                <w:color w:val="000000"/>
                <w:sz w:val="20"/>
                <w:lang w:eastAsia="en-AU"/>
              </w:rPr>
              <w:t>7</w:t>
            </w:r>
          </w:p>
        </w:tc>
        <w:tc>
          <w:tcPr>
            <w:tcW w:w="284" w:type="dxa"/>
            <w:tcBorders>
              <w:top w:val="nil"/>
              <w:left w:val="nil"/>
              <w:bottom w:val="nil"/>
              <w:right w:val="nil"/>
            </w:tcBorders>
          </w:tcPr>
          <w:p w14:paraId="3B4F93AA"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AB"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20</w:t>
            </w:r>
          </w:p>
        </w:tc>
        <w:tc>
          <w:tcPr>
            <w:tcW w:w="801" w:type="dxa"/>
            <w:tcBorders>
              <w:top w:val="nil"/>
              <w:left w:val="nil"/>
              <w:bottom w:val="nil"/>
              <w:right w:val="nil"/>
            </w:tcBorders>
          </w:tcPr>
          <w:p w14:paraId="3B4F93AC"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8</w:t>
            </w:r>
          </w:p>
        </w:tc>
        <w:tc>
          <w:tcPr>
            <w:tcW w:w="986" w:type="dxa"/>
            <w:tcBorders>
              <w:top w:val="nil"/>
              <w:left w:val="nil"/>
              <w:bottom w:val="nil"/>
              <w:right w:val="nil"/>
            </w:tcBorders>
          </w:tcPr>
          <w:p w14:paraId="3B4F93AD"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10</w:t>
            </w:r>
          </w:p>
        </w:tc>
      </w:tr>
      <w:tr w:rsidR="008E6212" w:rsidRPr="00F70DE7" w14:paraId="3B4F93B7" w14:textId="77777777" w:rsidTr="009C1A36">
        <w:trPr>
          <w:trHeight w:val="300"/>
        </w:trPr>
        <w:tc>
          <w:tcPr>
            <w:tcW w:w="2268" w:type="dxa"/>
            <w:tcBorders>
              <w:top w:val="nil"/>
              <w:left w:val="nil"/>
              <w:bottom w:val="nil"/>
              <w:right w:val="nil"/>
            </w:tcBorders>
            <w:shd w:val="clear" w:color="auto" w:fill="auto"/>
            <w:noWrap/>
            <w:vAlign w:val="bottom"/>
          </w:tcPr>
          <w:p w14:paraId="3B4F93AF"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2</w:t>
            </w:r>
          </w:p>
        </w:tc>
        <w:tc>
          <w:tcPr>
            <w:tcW w:w="758" w:type="dxa"/>
            <w:tcBorders>
              <w:top w:val="nil"/>
              <w:left w:val="nil"/>
              <w:bottom w:val="nil"/>
              <w:right w:val="nil"/>
            </w:tcBorders>
            <w:shd w:val="clear" w:color="auto" w:fill="auto"/>
            <w:noWrap/>
            <w:vAlign w:val="bottom"/>
          </w:tcPr>
          <w:p w14:paraId="3B4F93B0"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5</w:t>
            </w:r>
          </w:p>
        </w:tc>
        <w:tc>
          <w:tcPr>
            <w:tcW w:w="801" w:type="dxa"/>
            <w:tcBorders>
              <w:top w:val="nil"/>
              <w:left w:val="nil"/>
              <w:bottom w:val="nil"/>
              <w:right w:val="nil"/>
            </w:tcBorders>
            <w:shd w:val="clear" w:color="auto" w:fill="auto"/>
            <w:noWrap/>
            <w:vAlign w:val="bottom"/>
          </w:tcPr>
          <w:p w14:paraId="3B4F93B1"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11</w:t>
            </w:r>
          </w:p>
        </w:tc>
        <w:tc>
          <w:tcPr>
            <w:tcW w:w="992" w:type="dxa"/>
            <w:tcBorders>
              <w:top w:val="nil"/>
              <w:left w:val="nil"/>
              <w:bottom w:val="nil"/>
              <w:right w:val="nil"/>
            </w:tcBorders>
            <w:shd w:val="clear" w:color="auto" w:fill="auto"/>
            <w:noWrap/>
            <w:vAlign w:val="bottom"/>
          </w:tcPr>
          <w:p w14:paraId="3B4F93B2"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11</w:t>
            </w:r>
          </w:p>
        </w:tc>
        <w:tc>
          <w:tcPr>
            <w:tcW w:w="284" w:type="dxa"/>
            <w:tcBorders>
              <w:top w:val="nil"/>
              <w:left w:val="nil"/>
              <w:bottom w:val="nil"/>
              <w:right w:val="nil"/>
            </w:tcBorders>
          </w:tcPr>
          <w:p w14:paraId="3B4F93B3"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B4"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9</w:t>
            </w:r>
          </w:p>
        </w:tc>
        <w:tc>
          <w:tcPr>
            <w:tcW w:w="801" w:type="dxa"/>
            <w:tcBorders>
              <w:top w:val="nil"/>
              <w:left w:val="nil"/>
              <w:bottom w:val="nil"/>
              <w:right w:val="nil"/>
            </w:tcBorders>
          </w:tcPr>
          <w:p w14:paraId="3B4F93B5"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16</w:t>
            </w:r>
          </w:p>
        </w:tc>
        <w:tc>
          <w:tcPr>
            <w:tcW w:w="986" w:type="dxa"/>
            <w:tcBorders>
              <w:top w:val="nil"/>
              <w:left w:val="nil"/>
              <w:bottom w:val="nil"/>
              <w:right w:val="nil"/>
            </w:tcBorders>
          </w:tcPr>
          <w:p w14:paraId="3B4F93B6"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19</w:t>
            </w:r>
          </w:p>
        </w:tc>
      </w:tr>
      <w:tr w:rsidR="008E6212" w:rsidRPr="00F70DE7" w14:paraId="3B4F93C0" w14:textId="77777777" w:rsidTr="009C1A36">
        <w:trPr>
          <w:trHeight w:val="300"/>
        </w:trPr>
        <w:tc>
          <w:tcPr>
            <w:tcW w:w="2268" w:type="dxa"/>
            <w:tcBorders>
              <w:top w:val="nil"/>
              <w:left w:val="nil"/>
              <w:bottom w:val="nil"/>
              <w:right w:val="nil"/>
            </w:tcBorders>
            <w:shd w:val="clear" w:color="auto" w:fill="auto"/>
            <w:noWrap/>
            <w:vAlign w:val="bottom"/>
            <w:hideMark/>
          </w:tcPr>
          <w:p w14:paraId="3B4F93B8"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3</w:t>
            </w:r>
          </w:p>
        </w:tc>
        <w:tc>
          <w:tcPr>
            <w:tcW w:w="758" w:type="dxa"/>
            <w:tcBorders>
              <w:top w:val="nil"/>
              <w:left w:val="nil"/>
              <w:bottom w:val="nil"/>
              <w:right w:val="nil"/>
            </w:tcBorders>
            <w:shd w:val="clear" w:color="auto" w:fill="auto"/>
            <w:noWrap/>
            <w:vAlign w:val="bottom"/>
            <w:hideMark/>
          </w:tcPr>
          <w:p w14:paraId="3B4F93B9"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3</w:t>
            </w:r>
          </w:p>
        </w:tc>
        <w:tc>
          <w:tcPr>
            <w:tcW w:w="801" w:type="dxa"/>
            <w:tcBorders>
              <w:top w:val="nil"/>
              <w:left w:val="nil"/>
              <w:bottom w:val="nil"/>
              <w:right w:val="nil"/>
            </w:tcBorders>
            <w:shd w:val="clear" w:color="auto" w:fill="auto"/>
            <w:noWrap/>
            <w:vAlign w:val="bottom"/>
            <w:hideMark/>
          </w:tcPr>
          <w:p w14:paraId="3B4F93BA"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14</w:t>
            </w:r>
          </w:p>
        </w:tc>
        <w:tc>
          <w:tcPr>
            <w:tcW w:w="992" w:type="dxa"/>
            <w:tcBorders>
              <w:top w:val="nil"/>
              <w:left w:val="nil"/>
              <w:bottom w:val="nil"/>
              <w:right w:val="nil"/>
            </w:tcBorders>
            <w:shd w:val="clear" w:color="auto" w:fill="auto"/>
            <w:noWrap/>
            <w:vAlign w:val="bottom"/>
            <w:hideMark/>
          </w:tcPr>
          <w:p w14:paraId="3B4F93BB"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13</w:t>
            </w:r>
          </w:p>
        </w:tc>
        <w:tc>
          <w:tcPr>
            <w:tcW w:w="284" w:type="dxa"/>
            <w:tcBorders>
              <w:top w:val="nil"/>
              <w:left w:val="nil"/>
              <w:bottom w:val="nil"/>
              <w:right w:val="nil"/>
            </w:tcBorders>
          </w:tcPr>
          <w:p w14:paraId="3B4F93BC"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BD"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7</w:t>
            </w:r>
          </w:p>
        </w:tc>
        <w:tc>
          <w:tcPr>
            <w:tcW w:w="801" w:type="dxa"/>
            <w:tcBorders>
              <w:top w:val="nil"/>
              <w:left w:val="nil"/>
              <w:bottom w:val="nil"/>
              <w:right w:val="nil"/>
            </w:tcBorders>
          </w:tcPr>
          <w:p w14:paraId="3B4F93BE"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9</w:t>
            </w:r>
          </w:p>
        </w:tc>
        <w:tc>
          <w:tcPr>
            <w:tcW w:w="986" w:type="dxa"/>
            <w:tcBorders>
              <w:top w:val="nil"/>
              <w:left w:val="nil"/>
              <w:bottom w:val="nil"/>
              <w:right w:val="nil"/>
            </w:tcBorders>
          </w:tcPr>
          <w:p w14:paraId="3B4F93BF"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16</w:t>
            </w:r>
          </w:p>
        </w:tc>
      </w:tr>
      <w:tr w:rsidR="008E6212" w:rsidRPr="00F70DE7" w14:paraId="3B4F93C9" w14:textId="77777777" w:rsidTr="009C1A36">
        <w:trPr>
          <w:trHeight w:val="300"/>
        </w:trPr>
        <w:tc>
          <w:tcPr>
            <w:tcW w:w="2268" w:type="dxa"/>
            <w:tcBorders>
              <w:top w:val="nil"/>
              <w:left w:val="nil"/>
              <w:bottom w:val="nil"/>
              <w:right w:val="nil"/>
            </w:tcBorders>
            <w:shd w:val="clear" w:color="auto" w:fill="auto"/>
            <w:noWrap/>
            <w:vAlign w:val="bottom"/>
            <w:hideMark/>
          </w:tcPr>
          <w:p w14:paraId="3B4F93C1"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4</w:t>
            </w:r>
          </w:p>
        </w:tc>
        <w:tc>
          <w:tcPr>
            <w:tcW w:w="758" w:type="dxa"/>
            <w:tcBorders>
              <w:top w:val="nil"/>
              <w:left w:val="nil"/>
              <w:bottom w:val="nil"/>
              <w:right w:val="nil"/>
            </w:tcBorders>
            <w:shd w:val="clear" w:color="auto" w:fill="auto"/>
            <w:noWrap/>
            <w:vAlign w:val="bottom"/>
            <w:hideMark/>
          </w:tcPr>
          <w:p w14:paraId="3B4F93C2"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7</w:t>
            </w:r>
          </w:p>
        </w:tc>
        <w:tc>
          <w:tcPr>
            <w:tcW w:w="801" w:type="dxa"/>
            <w:tcBorders>
              <w:top w:val="nil"/>
              <w:left w:val="nil"/>
              <w:bottom w:val="nil"/>
              <w:right w:val="nil"/>
            </w:tcBorders>
            <w:shd w:val="clear" w:color="auto" w:fill="auto"/>
            <w:noWrap/>
            <w:vAlign w:val="bottom"/>
            <w:hideMark/>
          </w:tcPr>
          <w:p w14:paraId="3B4F93C3"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6</w:t>
            </w:r>
          </w:p>
        </w:tc>
        <w:tc>
          <w:tcPr>
            <w:tcW w:w="992" w:type="dxa"/>
            <w:tcBorders>
              <w:top w:val="nil"/>
              <w:left w:val="nil"/>
              <w:bottom w:val="nil"/>
              <w:right w:val="nil"/>
            </w:tcBorders>
            <w:shd w:val="clear" w:color="auto" w:fill="auto"/>
            <w:noWrap/>
            <w:vAlign w:val="bottom"/>
            <w:hideMark/>
          </w:tcPr>
          <w:p w14:paraId="3B4F93C4"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14</w:t>
            </w:r>
          </w:p>
        </w:tc>
        <w:tc>
          <w:tcPr>
            <w:tcW w:w="284" w:type="dxa"/>
            <w:tcBorders>
              <w:top w:val="nil"/>
              <w:left w:val="nil"/>
              <w:bottom w:val="nil"/>
              <w:right w:val="nil"/>
            </w:tcBorders>
          </w:tcPr>
          <w:p w14:paraId="3B4F93C5"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C6"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4</w:t>
            </w:r>
          </w:p>
        </w:tc>
        <w:tc>
          <w:tcPr>
            <w:tcW w:w="801" w:type="dxa"/>
            <w:tcBorders>
              <w:top w:val="nil"/>
              <w:left w:val="nil"/>
              <w:bottom w:val="nil"/>
              <w:right w:val="nil"/>
            </w:tcBorders>
          </w:tcPr>
          <w:p w14:paraId="3B4F93C7"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17</w:t>
            </w:r>
          </w:p>
        </w:tc>
        <w:tc>
          <w:tcPr>
            <w:tcW w:w="986" w:type="dxa"/>
            <w:tcBorders>
              <w:top w:val="nil"/>
              <w:left w:val="nil"/>
              <w:bottom w:val="nil"/>
              <w:right w:val="nil"/>
            </w:tcBorders>
          </w:tcPr>
          <w:p w14:paraId="3B4F93C8"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11</w:t>
            </w:r>
          </w:p>
        </w:tc>
      </w:tr>
      <w:tr w:rsidR="008E6212" w:rsidRPr="00F70DE7" w14:paraId="3B4F93D2" w14:textId="77777777" w:rsidTr="009C1A36">
        <w:trPr>
          <w:trHeight w:val="300"/>
        </w:trPr>
        <w:tc>
          <w:tcPr>
            <w:tcW w:w="2268" w:type="dxa"/>
            <w:tcBorders>
              <w:top w:val="nil"/>
              <w:left w:val="nil"/>
              <w:bottom w:val="nil"/>
              <w:right w:val="nil"/>
            </w:tcBorders>
            <w:shd w:val="clear" w:color="auto" w:fill="auto"/>
            <w:noWrap/>
            <w:vAlign w:val="bottom"/>
          </w:tcPr>
          <w:p w14:paraId="3B4F93CA" w14:textId="77777777" w:rsidR="008E6212" w:rsidRPr="00B42E56" w:rsidRDefault="008E6212" w:rsidP="009C1A36">
            <w:pPr>
              <w:spacing w:after="0" w:line="240" w:lineRule="exact"/>
              <w:rPr>
                <w:rFonts w:eastAsia="Times New Roman"/>
                <w:i/>
                <w:color w:val="000000"/>
                <w:sz w:val="20"/>
                <w:lang w:eastAsia="en-AU"/>
              </w:rPr>
            </w:pPr>
            <w:r w:rsidRPr="00B42E56">
              <w:rPr>
                <w:rFonts w:eastAsia="Times New Roman"/>
                <w:i/>
                <w:color w:val="000000"/>
                <w:sz w:val="20"/>
                <w:lang w:eastAsia="en-AU"/>
              </w:rPr>
              <w:t>Silver perch</w:t>
            </w:r>
          </w:p>
        </w:tc>
        <w:tc>
          <w:tcPr>
            <w:tcW w:w="758" w:type="dxa"/>
            <w:tcBorders>
              <w:top w:val="nil"/>
              <w:left w:val="nil"/>
              <w:bottom w:val="nil"/>
              <w:right w:val="nil"/>
            </w:tcBorders>
            <w:shd w:val="clear" w:color="auto" w:fill="auto"/>
            <w:noWrap/>
            <w:vAlign w:val="bottom"/>
          </w:tcPr>
          <w:p w14:paraId="3B4F93CB" w14:textId="77777777" w:rsidR="008E6212" w:rsidRDefault="008E6212" w:rsidP="009C1A36">
            <w:pPr>
              <w:spacing w:after="0" w:line="240" w:lineRule="exact"/>
              <w:rPr>
                <w:rFonts w:eastAsia="Times New Roman"/>
                <w:color w:val="000000"/>
                <w:sz w:val="20"/>
                <w:lang w:eastAsia="en-AU"/>
              </w:rPr>
            </w:pPr>
          </w:p>
        </w:tc>
        <w:tc>
          <w:tcPr>
            <w:tcW w:w="801" w:type="dxa"/>
            <w:tcBorders>
              <w:top w:val="nil"/>
              <w:left w:val="nil"/>
              <w:bottom w:val="nil"/>
              <w:right w:val="nil"/>
            </w:tcBorders>
            <w:shd w:val="clear" w:color="auto" w:fill="auto"/>
            <w:noWrap/>
            <w:vAlign w:val="bottom"/>
          </w:tcPr>
          <w:p w14:paraId="3B4F93CC" w14:textId="77777777" w:rsidR="008E6212" w:rsidRDefault="008E6212" w:rsidP="009C1A36">
            <w:pPr>
              <w:spacing w:after="0" w:line="240" w:lineRule="exact"/>
              <w:rPr>
                <w:rFonts w:eastAsia="Times New Roman"/>
                <w:color w:val="000000"/>
                <w:sz w:val="20"/>
                <w:lang w:eastAsia="en-AU"/>
              </w:rPr>
            </w:pPr>
          </w:p>
        </w:tc>
        <w:tc>
          <w:tcPr>
            <w:tcW w:w="992" w:type="dxa"/>
            <w:tcBorders>
              <w:top w:val="nil"/>
              <w:left w:val="nil"/>
              <w:bottom w:val="nil"/>
              <w:right w:val="nil"/>
            </w:tcBorders>
            <w:shd w:val="clear" w:color="auto" w:fill="auto"/>
            <w:noWrap/>
            <w:vAlign w:val="bottom"/>
          </w:tcPr>
          <w:p w14:paraId="3B4F93CD" w14:textId="77777777" w:rsidR="008E6212" w:rsidRDefault="008E6212" w:rsidP="009C1A36">
            <w:pPr>
              <w:spacing w:after="0" w:line="240" w:lineRule="exact"/>
              <w:rPr>
                <w:rFonts w:eastAsia="Times New Roman"/>
                <w:color w:val="000000"/>
                <w:sz w:val="20"/>
                <w:lang w:eastAsia="en-AU"/>
              </w:rPr>
            </w:pPr>
          </w:p>
        </w:tc>
        <w:tc>
          <w:tcPr>
            <w:tcW w:w="284" w:type="dxa"/>
            <w:tcBorders>
              <w:top w:val="nil"/>
              <w:left w:val="nil"/>
              <w:bottom w:val="nil"/>
              <w:right w:val="nil"/>
            </w:tcBorders>
          </w:tcPr>
          <w:p w14:paraId="3B4F93CE"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CF" w14:textId="77777777" w:rsidR="008E6212" w:rsidRDefault="008E6212" w:rsidP="009C1A36">
            <w:pPr>
              <w:spacing w:after="0" w:line="240" w:lineRule="exact"/>
              <w:rPr>
                <w:rFonts w:eastAsia="Times New Roman"/>
                <w:color w:val="000000"/>
                <w:sz w:val="20"/>
                <w:lang w:eastAsia="en-AU"/>
              </w:rPr>
            </w:pPr>
          </w:p>
        </w:tc>
        <w:tc>
          <w:tcPr>
            <w:tcW w:w="801" w:type="dxa"/>
            <w:tcBorders>
              <w:top w:val="nil"/>
              <w:left w:val="nil"/>
              <w:bottom w:val="nil"/>
              <w:right w:val="nil"/>
            </w:tcBorders>
          </w:tcPr>
          <w:p w14:paraId="3B4F93D0" w14:textId="77777777" w:rsidR="008E6212" w:rsidRDefault="008E6212" w:rsidP="009C1A36">
            <w:pPr>
              <w:spacing w:after="0" w:line="240" w:lineRule="exact"/>
              <w:rPr>
                <w:rFonts w:eastAsia="Times New Roman"/>
                <w:color w:val="000000"/>
                <w:sz w:val="20"/>
                <w:lang w:eastAsia="en-AU"/>
              </w:rPr>
            </w:pPr>
          </w:p>
        </w:tc>
        <w:tc>
          <w:tcPr>
            <w:tcW w:w="986" w:type="dxa"/>
            <w:tcBorders>
              <w:top w:val="nil"/>
              <w:left w:val="nil"/>
              <w:bottom w:val="nil"/>
              <w:right w:val="nil"/>
            </w:tcBorders>
          </w:tcPr>
          <w:p w14:paraId="3B4F93D1" w14:textId="77777777" w:rsidR="008E6212" w:rsidRDefault="008E6212" w:rsidP="009C1A36">
            <w:pPr>
              <w:spacing w:after="0" w:line="240" w:lineRule="exact"/>
              <w:rPr>
                <w:rFonts w:eastAsia="Times New Roman"/>
                <w:color w:val="000000"/>
                <w:sz w:val="20"/>
                <w:lang w:eastAsia="en-AU"/>
              </w:rPr>
            </w:pPr>
          </w:p>
        </w:tc>
      </w:tr>
      <w:tr w:rsidR="008E6212" w:rsidRPr="00F70DE7" w14:paraId="3B4F93DB" w14:textId="77777777" w:rsidTr="009C1A36">
        <w:trPr>
          <w:trHeight w:val="300"/>
        </w:trPr>
        <w:tc>
          <w:tcPr>
            <w:tcW w:w="2268" w:type="dxa"/>
            <w:tcBorders>
              <w:top w:val="nil"/>
              <w:left w:val="nil"/>
              <w:bottom w:val="nil"/>
              <w:right w:val="nil"/>
            </w:tcBorders>
            <w:shd w:val="clear" w:color="auto" w:fill="auto"/>
            <w:noWrap/>
            <w:vAlign w:val="bottom"/>
            <w:hideMark/>
          </w:tcPr>
          <w:p w14:paraId="3B4F93D3"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3322B">
              <w:rPr>
                <w:rFonts w:eastAsia="Times New Roman"/>
                <w:color w:val="000000"/>
                <w:sz w:val="20"/>
                <w:lang w:eastAsia="en-AU"/>
              </w:rPr>
              <w:t>Yallakool Creek</w:t>
            </w:r>
          </w:p>
        </w:tc>
        <w:tc>
          <w:tcPr>
            <w:tcW w:w="758" w:type="dxa"/>
            <w:tcBorders>
              <w:top w:val="nil"/>
              <w:left w:val="nil"/>
              <w:bottom w:val="nil"/>
              <w:right w:val="nil"/>
            </w:tcBorders>
            <w:shd w:val="clear" w:color="auto" w:fill="auto"/>
            <w:noWrap/>
            <w:vAlign w:val="bottom"/>
            <w:hideMark/>
          </w:tcPr>
          <w:p w14:paraId="3B4F93D4"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hideMark/>
          </w:tcPr>
          <w:p w14:paraId="3B4F93D5"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w:t>
            </w:r>
          </w:p>
        </w:tc>
        <w:tc>
          <w:tcPr>
            <w:tcW w:w="992" w:type="dxa"/>
            <w:tcBorders>
              <w:top w:val="nil"/>
              <w:left w:val="nil"/>
              <w:bottom w:val="nil"/>
              <w:right w:val="nil"/>
            </w:tcBorders>
            <w:shd w:val="clear" w:color="auto" w:fill="auto"/>
            <w:noWrap/>
            <w:vAlign w:val="bottom"/>
            <w:hideMark/>
          </w:tcPr>
          <w:p w14:paraId="3B4F93D6"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6</w:t>
            </w:r>
          </w:p>
        </w:tc>
        <w:tc>
          <w:tcPr>
            <w:tcW w:w="284" w:type="dxa"/>
            <w:tcBorders>
              <w:top w:val="nil"/>
              <w:left w:val="nil"/>
              <w:bottom w:val="nil"/>
              <w:right w:val="nil"/>
            </w:tcBorders>
          </w:tcPr>
          <w:p w14:paraId="3B4F93D7"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D8"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tcPr>
          <w:p w14:paraId="3B4F93D9"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w:t>
            </w:r>
          </w:p>
        </w:tc>
        <w:tc>
          <w:tcPr>
            <w:tcW w:w="986" w:type="dxa"/>
            <w:tcBorders>
              <w:top w:val="nil"/>
              <w:left w:val="nil"/>
              <w:bottom w:val="nil"/>
              <w:right w:val="nil"/>
            </w:tcBorders>
          </w:tcPr>
          <w:p w14:paraId="3B4F93DA"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5</w:t>
            </w:r>
          </w:p>
        </w:tc>
      </w:tr>
      <w:tr w:rsidR="008E6212" w:rsidRPr="00F70DE7" w14:paraId="3B4F93E4" w14:textId="77777777" w:rsidTr="009C1A36">
        <w:trPr>
          <w:trHeight w:val="300"/>
        </w:trPr>
        <w:tc>
          <w:tcPr>
            <w:tcW w:w="2268" w:type="dxa"/>
            <w:tcBorders>
              <w:top w:val="nil"/>
              <w:left w:val="nil"/>
              <w:bottom w:val="nil"/>
              <w:right w:val="nil"/>
            </w:tcBorders>
            <w:shd w:val="clear" w:color="auto" w:fill="auto"/>
            <w:noWrap/>
            <w:vAlign w:val="bottom"/>
          </w:tcPr>
          <w:p w14:paraId="3B4F93DC"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2</w:t>
            </w:r>
          </w:p>
        </w:tc>
        <w:tc>
          <w:tcPr>
            <w:tcW w:w="758" w:type="dxa"/>
            <w:tcBorders>
              <w:top w:val="nil"/>
              <w:left w:val="nil"/>
              <w:bottom w:val="nil"/>
              <w:right w:val="nil"/>
            </w:tcBorders>
            <w:shd w:val="clear" w:color="auto" w:fill="auto"/>
            <w:noWrap/>
            <w:vAlign w:val="bottom"/>
          </w:tcPr>
          <w:p w14:paraId="3B4F93DD"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tcPr>
          <w:p w14:paraId="3B4F93DE"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992" w:type="dxa"/>
            <w:tcBorders>
              <w:top w:val="nil"/>
              <w:left w:val="nil"/>
              <w:bottom w:val="nil"/>
              <w:right w:val="nil"/>
            </w:tcBorders>
            <w:shd w:val="clear" w:color="auto" w:fill="auto"/>
            <w:noWrap/>
            <w:vAlign w:val="bottom"/>
          </w:tcPr>
          <w:p w14:paraId="3B4F93DF"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2</w:t>
            </w:r>
          </w:p>
        </w:tc>
        <w:tc>
          <w:tcPr>
            <w:tcW w:w="284" w:type="dxa"/>
            <w:tcBorders>
              <w:top w:val="nil"/>
              <w:left w:val="nil"/>
              <w:bottom w:val="nil"/>
              <w:right w:val="nil"/>
            </w:tcBorders>
          </w:tcPr>
          <w:p w14:paraId="3B4F93E0"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E1"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tcPr>
          <w:p w14:paraId="3B4F93E2"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986" w:type="dxa"/>
            <w:tcBorders>
              <w:top w:val="nil"/>
              <w:left w:val="nil"/>
              <w:bottom w:val="nil"/>
              <w:right w:val="nil"/>
            </w:tcBorders>
          </w:tcPr>
          <w:p w14:paraId="3B4F93E3"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3</w:t>
            </w:r>
          </w:p>
        </w:tc>
      </w:tr>
      <w:tr w:rsidR="008E6212" w:rsidRPr="00F70DE7" w14:paraId="3B4F93ED" w14:textId="77777777" w:rsidTr="009C1A36">
        <w:trPr>
          <w:trHeight w:val="300"/>
        </w:trPr>
        <w:tc>
          <w:tcPr>
            <w:tcW w:w="2268" w:type="dxa"/>
            <w:tcBorders>
              <w:top w:val="nil"/>
              <w:left w:val="nil"/>
              <w:bottom w:val="nil"/>
              <w:right w:val="nil"/>
            </w:tcBorders>
            <w:shd w:val="clear" w:color="auto" w:fill="auto"/>
            <w:noWrap/>
            <w:vAlign w:val="bottom"/>
            <w:hideMark/>
          </w:tcPr>
          <w:p w14:paraId="3B4F93E5"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3</w:t>
            </w:r>
          </w:p>
        </w:tc>
        <w:tc>
          <w:tcPr>
            <w:tcW w:w="758" w:type="dxa"/>
            <w:tcBorders>
              <w:top w:val="nil"/>
              <w:left w:val="nil"/>
              <w:bottom w:val="nil"/>
              <w:right w:val="nil"/>
            </w:tcBorders>
            <w:shd w:val="clear" w:color="auto" w:fill="auto"/>
            <w:noWrap/>
            <w:vAlign w:val="bottom"/>
            <w:hideMark/>
          </w:tcPr>
          <w:p w14:paraId="3B4F93E6"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hideMark/>
          </w:tcPr>
          <w:p w14:paraId="3B4F93E7"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w:t>
            </w:r>
          </w:p>
        </w:tc>
        <w:tc>
          <w:tcPr>
            <w:tcW w:w="992" w:type="dxa"/>
            <w:tcBorders>
              <w:top w:val="nil"/>
              <w:left w:val="nil"/>
              <w:bottom w:val="nil"/>
              <w:right w:val="nil"/>
            </w:tcBorders>
            <w:shd w:val="clear" w:color="auto" w:fill="auto"/>
            <w:noWrap/>
            <w:vAlign w:val="bottom"/>
            <w:hideMark/>
          </w:tcPr>
          <w:p w14:paraId="3B4F93E8"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5</w:t>
            </w:r>
          </w:p>
        </w:tc>
        <w:tc>
          <w:tcPr>
            <w:tcW w:w="284" w:type="dxa"/>
            <w:tcBorders>
              <w:top w:val="nil"/>
              <w:left w:val="nil"/>
              <w:bottom w:val="nil"/>
              <w:right w:val="nil"/>
            </w:tcBorders>
          </w:tcPr>
          <w:p w14:paraId="3B4F93E9"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EA"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tcPr>
          <w:p w14:paraId="3B4F93EB"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4</w:t>
            </w:r>
          </w:p>
        </w:tc>
        <w:tc>
          <w:tcPr>
            <w:tcW w:w="986" w:type="dxa"/>
            <w:tcBorders>
              <w:top w:val="nil"/>
              <w:left w:val="nil"/>
              <w:bottom w:val="nil"/>
              <w:right w:val="nil"/>
            </w:tcBorders>
          </w:tcPr>
          <w:p w14:paraId="3B4F93EC"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9</w:t>
            </w:r>
          </w:p>
        </w:tc>
      </w:tr>
      <w:tr w:rsidR="008E6212" w:rsidRPr="00F70DE7" w14:paraId="3B4F93F6" w14:textId="77777777" w:rsidTr="009C1A36">
        <w:trPr>
          <w:trHeight w:val="300"/>
        </w:trPr>
        <w:tc>
          <w:tcPr>
            <w:tcW w:w="2268" w:type="dxa"/>
            <w:tcBorders>
              <w:top w:val="nil"/>
              <w:left w:val="nil"/>
              <w:bottom w:val="nil"/>
              <w:right w:val="nil"/>
            </w:tcBorders>
            <w:shd w:val="clear" w:color="auto" w:fill="auto"/>
            <w:noWrap/>
            <w:vAlign w:val="bottom"/>
            <w:hideMark/>
          </w:tcPr>
          <w:p w14:paraId="3B4F93EE"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4</w:t>
            </w:r>
          </w:p>
        </w:tc>
        <w:tc>
          <w:tcPr>
            <w:tcW w:w="758" w:type="dxa"/>
            <w:tcBorders>
              <w:top w:val="nil"/>
              <w:left w:val="nil"/>
              <w:bottom w:val="nil"/>
              <w:right w:val="nil"/>
            </w:tcBorders>
            <w:shd w:val="clear" w:color="auto" w:fill="auto"/>
            <w:noWrap/>
            <w:vAlign w:val="bottom"/>
            <w:hideMark/>
          </w:tcPr>
          <w:p w14:paraId="3B4F93EF"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hideMark/>
          </w:tcPr>
          <w:p w14:paraId="3B4F93F0"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w:t>
            </w:r>
          </w:p>
        </w:tc>
        <w:tc>
          <w:tcPr>
            <w:tcW w:w="992" w:type="dxa"/>
            <w:tcBorders>
              <w:top w:val="nil"/>
              <w:left w:val="nil"/>
              <w:bottom w:val="nil"/>
              <w:right w:val="nil"/>
            </w:tcBorders>
            <w:shd w:val="clear" w:color="auto" w:fill="auto"/>
            <w:noWrap/>
            <w:vAlign w:val="bottom"/>
            <w:hideMark/>
          </w:tcPr>
          <w:p w14:paraId="3B4F93F1" w14:textId="77777777" w:rsidR="008E6212" w:rsidRPr="00F70DE7" w:rsidRDefault="008E6212" w:rsidP="009C1A36">
            <w:pPr>
              <w:spacing w:after="0" w:line="240" w:lineRule="exact"/>
              <w:rPr>
                <w:rFonts w:eastAsia="Times New Roman"/>
                <w:color w:val="000000"/>
                <w:sz w:val="20"/>
                <w:lang w:eastAsia="en-AU"/>
              </w:rPr>
            </w:pPr>
            <w:r w:rsidRPr="00F70DE7">
              <w:rPr>
                <w:rFonts w:eastAsia="Times New Roman"/>
                <w:color w:val="000000"/>
                <w:sz w:val="20"/>
                <w:lang w:eastAsia="en-AU"/>
              </w:rPr>
              <w:t>1</w:t>
            </w:r>
          </w:p>
        </w:tc>
        <w:tc>
          <w:tcPr>
            <w:tcW w:w="284" w:type="dxa"/>
            <w:tcBorders>
              <w:top w:val="nil"/>
              <w:left w:val="nil"/>
              <w:bottom w:val="nil"/>
              <w:right w:val="nil"/>
            </w:tcBorders>
          </w:tcPr>
          <w:p w14:paraId="3B4F93F2"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F3"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5</w:t>
            </w:r>
          </w:p>
        </w:tc>
        <w:tc>
          <w:tcPr>
            <w:tcW w:w="801" w:type="dxa"/>
            <w:tcBorders>
              <w:top w:val="nil"/>
              <w:left w:val="nil"/>
              <w:bottom w:val="nil"/>
              <w:right w:val="nil"/>
            </w:tcBorders>
          </w:tcPr>
          <w:p w14:paraId="3B4F93F4"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15</w:t>
            </w:r>
          </w:p>
        </w:tc>
        <w:tc>
          <w:tcPr>
            <w:tcW w:w="986" w:type="dxa"/>
            <w:tcBorders>
              <w:top w:val="nil"/>
              <w:left w:val="nil"/>
              <w:bottom w:val="nil"/>
              <w:right w:val="nil"/>
            </w:tcBorders>
          </w:tcPr>
          <w:p w14:paraId="3B4F93F5"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14</w:t>
            </w:r>
          </w:p>
        </w:tc>
      </w:tr>
      <w:tr w:rsidR="008E6212" w:rsidRPr="00F70DE7" w14:paraId="3B4F93FF" w14:textId="77777777" w:rsidTr="009C1A36">
        <w:trPr>
          <w:trHeight w:val="300"/>
        </w:trPr>
        <w:tc>
          <w:tcPr>
            <w:tcW w:w="2268" w:type="dxa"/>
            <w:tcBorders>
              <w:top w:val="nil"/>
              <w:left w:val="nil"/>
              <w:bottom w:val="nil"/>
              <w:right w:val="nil"/>
            </w:tcBorders>
            <w:shd w:val="clear" w:color="auto" w:fill="auto"/>
            <w:noWrap/>
            <w:vAlign w:val="bottom"/>
          </w:tcPr>
          <w:p w14:paraId="3B4F93F7" w14:textId="77777777" w:rsidR="008E6212" w:rsidRPr="00B42E56" w:rsidRDefault="008E6212" w:rsidP="009C1A36">
            <w:pPr>
              <w:spacing w:after="0" w:line="240" w:lineRule="exact"/>
              <w:rPr>
                <w:rFonts w:eastAsia="Times New Roman"/>
                <w:i/>
                <w:color w:val="000000"/>
                <w:sz w:val="20"/>
                <w:lang w:eastAsia="en-AU"/>
              </w:rPr>
            </w:pPr>
            <w:r w:rsidRPr="00B42E56">
              <w:rPr>
                <w:rFonts w:eastAsia="Times New Roman"/>
                <w:i/>
                <w:color w:val="000000"/>
                <w:sz w:val="20"/>
                <w:lang w:eastAsia="en-AU"/>
              </w:rPr>
              <w:t>Golden perch</w:t>
            </w:r>
          </w:p>
        </w:tc>
        <w:tc>
          <w:tcPr>
            <w:tcW w:w="758" w:type="dxa"/>
            <w:tcBorders>
              <w:top w:val="nil"/>
              <w:left w:val="nil"/>
              <w:bottom w:val="nil"/>
              <w:right w:val="nil"/>
            </w:tcBorders>
            <w:shd w:val="clear" w:color="auto" w:fill="auto"/>
            <w:noWrap/>
            <w:vAlign w:val="bottom"/>
          </w:tcPr>
          <w:p w14:paraId="3B4F93F8" w14:textId="77777777" w:rsidR="008E6212" w:rsidRDefault="008E6212" w:rsidP="009C1A36">
            <w:pPr>
              <w:spacing w:after="0" w:line="240" w:lineRule="exact"/>
              <w:rPr>
                <w:rFonts w:eastAsia="Times New Roman"/>
                <w:color w:val="000000"/>
                <w:sz w:val="20"/>
                <w:lang w:eastAsia="en-AU"/>
              </w:rPr>
            </w:pPr>
          </w:p>
        </w:tc>
        <w:tc>
          <w:tcPr>
            <w:tcW w:w="801" w:type="dxa"/>
            <w:tcBorders>
              <w:top w:val="nil"/>
              <w:left w:val="nil"/>
              <w:bottom w:val="nil"/>
              <w:right w:val="nil"/>
            </w:tcBorders>
            <w:shd w:val="clear" w:color="auto" w:fill="auto"/>
            <w:noWrap/>
            <w:vAlign w:val="bottom"/>
          </w:tcPr>
          <w:p w14:paraId="3B4F93F9" w14:textId="77777777" w:rsidR="008E6212" w:rsidRDefault="008E6212" w:rsidP="009C1A36">
            <w:pPr>
              <w:spacing w:after="0" w:line="240" w:lineRule="exact"/>
              <w:rPr>
                <w:rFonts w:eastAsia="Times New Roman"/>
                <w:color w:val="000000"/>
                <w:sz w:val="20"/>
                <w:lang w:eastAsia="en-AU"/>
              </w:rPr>
            </w:pPr>
          </w:p>
        </w:tc>
        <w:tc>
          <w:tcPr>
            <w:tcW w:w="992" w:type="dxa"/>
            <w:tcBorders>
              <w:top w:val="nil"/>
              <w:left w:val="nil"/>
              <w:bottom w:val="nil"/>
              <w:right w:val="nil"/>
            </w:tcBorders>
            <w:shd w:val="clear" w:color="auto" w:fill="auto"/>
            <w:noWrap/>
            <w:vAlign w:val="bottom"/>
          </w:tcPr>
          <w:p w14:paraId="3B4F93FA" w14:textId="77777777" w:rsidR="008E6212" w:rsidRDefault="008E6212" w:rsidP="009C1A36">
            <w:pPr>
              <w:spacing w:after="0" w:line="240" w:lineRule="exact"/>
              <w:rPr>
                <w:rFonts w:eastAsia="Times New Roman"/>
                <w:color w:val="000000"/>
                <w:sz w:val="20"/>
                <w:lang w:eastAsia="en-AU"/>
              </w:rPr>
            </w:pPr>
          </w:p>
        </w:tc>
        <w:tc>
          <w:tcPr>
            <w:tcW w:w="284" w:type="dxa"/>
            <w:tcBorders>
              <w:top w:val="nil"/>
              <w:left w:val="nil"/>
              <w:bottom w:val="nil"/>
              <w:right w:val="nil"/>
            </w:tcBorders>
          </w:tcPr>
          <w:p w14:paraId="3B4F93FB"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3FC" w14:textId="77777777" w:rsidR="008E6212" w:rsidRDefault="008E6212" w:rsidP="009C1A36">
            <w:pPr>
              <w:spacing w:after="0" w:line="240" w:lineRule="exact"/>
              <w:rPr>
                <w:rFonts w:eastAsia="Times New Roman"/>
                <w:color w:val="000000"/>
                <w:sz w:val="20"/>
                <w:lang w:eastAsia="en-AU"/>
              </w:rPr>
            </w:pPr>
          </w:p>
        </w:tc>
        <w:tc>
          <w:tcPr>
            <w:tcW w:w="801" w:type="dxa"/>
            <w:tcBorders>
              <w:top w:val="nil"/>
              <w:left w:val="nil"/>
              <w:bottom w:val="nil"/>
              <w:right w:val="nil"/>
            </w:tcBorders>
          </w:tcPr>
          <w:p w14:paraId="3B4F93FD" w14:textId="77777777" w:rsidR="008E6212" w:rsidRDefault="008E6212" w:rsidP="009C1A36">
            <w:pPr>
              <w:spacing w:after="0" w:line="240" w:lineRule="exact"/>
              <w:rPr>
                <w:rFonts w:eastAsia="Times New Roman"/>
                <w:color w:val="000000"/>
                <w:sz w:val="20"/>
                <w:lang w:eastAsia="en-AU"/>
              </w:rPr>
            </w:pPr>
          </w:p>
        </w:tc>
        <w:tc>
          <w:tcPr>
            <w:tcW w:w="986" w:type="dxa"/>
            <w:tcBorders>
              <w:top w:val="nil"/>
              <w:left w:val="nil"/>
              <w:bottom w:val="nil"/>
              <w:right w:val="nil"/>
            </w:tcBorders>
          </w:tcPr>
          <w:p w14:paraId="3B4F93FE" w14:textId="77777777" w:rsidR="008E6212" w:rsidRDefault="008E6212" w:rsidP="009C1A36">
            <w:pPr>
              <w:spacing w:after="0" w:line="240" w:lineRule="exact"/>
              <w:rPr>
                <w:rFonts w:eastAsia="Times New Roman"/>
                <w:color w:val="000000"/>
                <w:sz w:val="20"/>
                <w:lang w:eastAsia="en-AU"/>
              </w:rPr>
            </w:pPr>
          </w:p>
        </w:tc>
      </w:tr>
      <w:tr w:rsidR="008E6212" w:rsidRPr="00F70DE7" w14:paraId="3B4F9408" w14:textId="77777777" w:rsidTr="009C1A36">
        <w:trPr>
          <w:trHeight w:val="300"/>
        </w:trPr>
        <w:tc>
          <w:tcPr>
            <w:tcW w:w="2268" w:type="dxa"/>
            <w:tcBorders>
              <w:top w:val="nil"/>
              <w:left w:val="nil"/>
              <w:bottom w:val="nil"/>
              <w:right w:val="nil"/>
            </w:tcBorders>
            <w:shd w:val="clear" w:color="auto" w:fill="auto"/>
            <w:noWrap/>
            <w:vAlign w:val="bottom"/>
            <w:hideMark/>
          </w:tcPr>
          <w:p w14:paraId="3B4F9400"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Yallakool Creek</w:t>
            </w:r>
          </w:p>
        </w:tc>
        <w:tc>
          <w:tcPr>
            <w:tcW w:w="758" w:type="dxa"/>
            <w:tcBorders>
              <w:top w:val="nil"/>
              <w:left w:val="nil"/>
              <w:bottom w:val="nil"/>
              <w:right w:val="nil"/>
            </w:tcBorders>
            <w:shd w:val="clear" w:color="auto" w:fill="auto"/>
            <w:noWrap/>
            <w:vAlign w:val="bottom"/>
            <w:hideMark/>
          </w:tcPr>
          <w:p w14:paraId="3B4F9401"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hideMark/>
          </w:tcPr>
          <w:p w14:paraId="3B4F9402"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992" w:type="dxa"/>
            <w:tcBorders>
              <w:top w:val="nil"/>
              <w:left w:val="nil"/>
              <w:bottom w:val="nil"/>
              <w:right w:val="nil"/>
            </w:tcBorders>
            <w:shd w:val="clear" w:color="auto" w:fill="auto"/>
            <w:noWrap/>
            <w:vAlign w:val="bottom"/>
            <w:hideMark/>
          </w:tcPr>
          <w:p w14:paraId="3B4F9403"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284" w:type="dxa"/>
            <w:tcBorders>
              <w:top w:val="nil"/>
              <w:left w:val="nil"/>
              <w:bottom w:val="nil"/>
              <w:right w:val="nil"/>
            </w:tcBorders>
          </w:tcPr>
          <w:p w14:paraId="3B4F9404"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405"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tcPr>
          <w:p w14:paraId="3B4F9406"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986" w:type="dxa"/>
            <w:tcBorders>
              <w:top w:val="nil"/>
              <w:left w:val="nil"/>
              <w:bottom w:val="nil"/>
              <w:right w:val="nil"/>
            </w:tcBorders>
          </w:tcPr>
          <w:p w14:paraId="3B4F9407"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r>
      <w:tr w:rsidR="008E6212" w:rsidRPr="00F70DE7" w14:paraId="3B4F9411" w14:textId="77777777" w:rsidTr="009C1A36">
        <w:trPr>
          <w:trHeight w:val="300"/>
        </w:trPr>
        <w:tc>
          <w:tcPr>
            <w:tcW w:w="2268" w:type="dxa"/>
            <w:tcBorders>
              <w:top w:val="nil"/>
              <w:left w:val="nil"/>
              <w:bottom w:val="nil"/>
              <w:right w:val="nil"/>
            </w:tcBorders>
            <w:shd w:val="clear" w:color="auto" w:fill="auto"/>
            <w:noWrap/>
            <w:vAlign w:val="bottom"/>
          </w:tcPr>
          <w:p w14:paraId="3B4F9409"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2</w:t>
            </w:r>
          </w:p>
        </w:tc>
        <w:tc>
          <w:tcPr>
            <w:tcW w:w="758" w:type="dxa"/>
            <w:tcBorders>
              <w:top w:val="nil"/>
              <w:left w:val="nil"/>
              <w:bottom w:val="nil"/>
              <w:right w:val="nil"/>
            </w:tcBorders>
            <w:shd w:val="clear" w:color="auto" w:fill="auto"/>
            <w:noWrap/>
            <w:vAlign w:val="bottom"/>
          </w:tcPr>
          <w:p w14:paraId="3B4F940A"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tcPr>
          <w:p w14:paraId="3B4F940B"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992" w:type="dxa"/>
            <w:tcBorders>
              <w:top w:val="nil"/>
              <w:left w:val="nil"/>
              <w:bottom w:val="nil"/>
              <w:right w:val="nil"/>
            </w:tcBorders>
            <w:shd w:val="clear" w:color="auto" w:fill="auto"/>
            <w:noWrap/>
            <w:vAlign w:val="bottom"/>
          </w:tcPr>
          <w:p w14:paraId="3B4F940C" w14:textId="77777777" w:rsidR="008E6212" w:rsidRPr="00F70DE7"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284" w:type="dxa"/>
            <w:tcBorders>
              <w:top w:val="nil"/>
              <w:left w:val="nil"/>
              <w:bottom w:val="nil"/>
              <w:right w:val="nil"/>
            </w:tcBorders>
          </w:tcPr>
          <w:p w14:paraId="3B4F940D" w14:textId="77777777" w:rsidR="008E6212" w:rsidRPr="00F70DE7" w:rsidRDefault="008E6212" w:rsidP="009C1A36">
            <w:pPr>
              <w:spacing w:after="0" w:line="240" w:lineRule="exact"/>
              <w:rPr>
                <w:rFonts w:eastAsia="Times New Roman"/>
                <w:color w:val="000000"/>
                <w:sz w:val="20"/>
                <w:lang w:eastAsia="en-AU"/>
              </w:rPr>
            </w:pPr>
          </w:p>
        </w:tc>
        <w:tc>
          <w:tcPr>
            <w:tcW w:w="758" w:type="dxa"/>
            <w:tcBorders>
              <w:top w:val="nil"/>
              <w:left w:val="nil"/>
              <w:bottom w:val="nil"/>
              <w:right w:val="nil"/>
            </w:tcBorders>
          </w:tcPr>
          <w:p w14:paraId="3B4F940E"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tcPr>
          <w:p w14:paraId="3B4F940F"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c>
          <w:tcPr>
            <w:tcW w:w="986" w:type="dxa"/>
            <w:tcBorders>
              <w:top w:val="nil"/>
              <w:left w:val="nil"/>
              <w:bottom w:val="nil"/>
              <w:right w:val="nil"/>
            </w:tcBorders>
          </w:tcPr>
          <w:p w14:paraId="3B4F9410" w14:textId="77777777" w:rsidR="008E6212" w:rsidRDefault="008E6212" w:rsidP="009C1A36">
            <w:pPr>
              <w:spacing w:after="0" w:line="240" w:lineRule="exact"/>
              <w:rPr>
                <w:rFonts w:eastAsia="Times New Roman"/>
                <w:color w:val="000000"/>
                <w:sz w:val="20"/>
                <w:lang w:eastAsia="en-AU"/>
              </w:rPr>
            </w:pPr>
            <w:r>
              <w:rPr>
                <w:rFonts w:eastAsia="Times New Roman"/>
                <w:color w:val="000000"/>
                <w:sz w:val="20"/>
                <w:lang w:eastAsia="en-AU"/>
              </w:rPr>
              <w:t>-</w:t>
            </w:r>
          </w:p>
        </w:tc>
      </w:tr>
      <w:tr w:rsidR="008E6212" w:rsidRPr="00F70DE7" w14:paraId="3B4F941A" w14:textId="77777777" w:rsidTr="009C1A36">
        <w:trPr>
          <w:trHeight w:val="300"/>
        </w:trPr>
        <w:tc>
          <w:tcPr>
            <w:tcW w:w="2268" w:type="dxa"/>
            <w:tcBorders>
              <w:top w:val="nil"/>
              <w:left w:val="nil"/>
              <w:bottom w:val="nil"/>
              <w:right w:val="nil"/>
            </w:tcBorders>
            <w:shd w:val="clear" w:color="auto" w:fill="auto"/>
            <w:noWrap/>
            <w:vAlign w:val="bottom"/>
            <w:hideMark/>
          </w:tcPr>
          <w:p w14:paraId="3B4F9412"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3</w:t>
            </w:r>
          </w:p>
        </w:tc>
        <w:tc>
          <w:tcPr>
            <w:tcW w:w="758" w:type="dxa"/>
            <w:tcBorders>
              <w:top w:val="nil"/>
              <w:left w:val="nil"/>
              <w:bottom w:val="nil"/>
              <w:right w:val="nil"/>
            </w:tcBorders>
            <w:shd w:val="clear" w:color="auto" w:fill="auto"/>
            <w:noWrap/>
            <w:vAlign w:val="bottom"/>
            <w:hideMark/>
          </w:tcPr>
          <w:p w14:paraId="3B4F9413"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shd w:val="clear" w:color="auto" w:fill="auto"/>
            <w:noWrap/>
            <w:vAlign w:val="bottom"/>
            <w:hideMark/>
          </w:tcPr>
          <w:p w14:paraId="3B4F9414"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992" w:type="dxa"/>
            <w:tcBorders>
              <w:top w:val="nil"/>
              <w:left w:val="nil"/>
              <w:bottom w:val="nil"/>
              <w:right w:val="nil"/>
            </w:tcBorders>
            <w:shd w:val="clear" w:color="auto" w:fill="auto"/>
            <w:noWrap/>
            <w:vAlign w:val="bottom"/>
            <w:hideMark/>
          </w:tcPr>
          <w:p w14:paraId="3B4F9415" w14:textId="77777777" w:rsidR="008E6212" w:rsidRPr="00F70DE7" w:rsidRDefault="008E6212" w:rsidP="009C1A36">
            <w:pPr>
              <w:spacing w:after="0" w:line="240" w:lineRule="auto"/>
              <w:rPr>
                <w:rFonts w:eastAsia="Times New Roman"/>
                <w:color w:val="000000"/>
                <w:sz w:val="20"/>
                <w:lang w:eastAsia="en-AU"/>
              </w:rPr>
            </w:pPr>
            <w:r w:rsidRPr="00F70DE7">
              <w:rPr>
                <w:rFonts w:eastAsia="Times New Roman"/>
                <w:color w:val="000000"/>
                <w:sz w:val="20"/>
                <w:lang w:eastAsia="en-AU"/>
              </w:rPr>
              <w:t>1</w:t>
            </w:r>
          </w:p>
        </w:tc>
        <w:tc>
          <w:tcPr>
            <w:tcW w:w="284" w:type="dxa"/>
            <w:tcBorders>
              <w:top w:val="nil"/>
              <w:left w:val="nil"/>
              <w:bottom w:val="nil"/>
              <w:right w:val="nil"/>
            </w:tcBorders>
          </w:tcPr>
          <w:p w14:paraId="3B4F9416" w14:textId="77777777" w:rsidR="008E6212" w:rsidRPr="00F70DE7" w:rsidRDefault="008E6212" w:rsidP="009C1A36">
            <w:pPr>
              <w:spacing w:after="0" w:line="240" w:lineRule="auto"/>
              <w:rPr>
                <w:rFonts w:eastAsia="Times New Roman"/>
                <w:color w:val="000000"/>
                <w:sz w:val="20"/>
                <w:lang w:eastAsia="en-AU"/>
              </w:rPr>
            </w:pPr>
          </w:p>
        </w:tc>
        <w:tc>
          <w:tcPr>
            <w:tcW w:w="758" w:type="dxa"/>
            <w:tcBorders>
              <w:top w:val="nil"/>
              <w:left w:val="nil"/>
              <w:bottom w:val="nil"/>
              <w:right w:val="nil"/>
            </w:tcBorders>
          </w:tcPr>
          <w:p w14:paraId="3B4F9417"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nil"/>
              <w:right w:val="nil"/>
            </w:tcBorders>
          </w:tcPr>
          <w:p w14:paraId="3B4F9418"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986" w:type="dxa"/>
            <w:tcBorders>
              <w:top w:val="nil"/>
              <w:left w:val="nil"/>
              <w:bottom w:val="nil"/>
              <w:right w:val="nil"/>
            </w:tcBorders>
          </w:tcPr>
          <w:p w14:paraId="3B4F9419"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3</w:t>
            </w:r>
          </w:p>
        </w:tc>
      </w:tr>
      <w:tr w:rsidR="008E6212" w:rsidRPr="00F70DE7" w14:paraId="3B4F9423" w14:textId="77777777" w:rsidTr="009C1A36">
        <w:trPr>
          <w:trHeight w:val="106"/>
        </w:trPr>
        <w:tc>
          <w:tcPr>
            <w:tcW w:w="2268" w:type="dxa"/>
            <w:tcBorders>
              <w:top w:val="nil"/>
              <w:left w:val="nil"/>
              <w:bottom w:val="single" w:sz="4" w:space="0" w:color="auto"/>
              <w:right w:val="nil"/>
            </w:tcBorders>
            <w:shd w:val="clear" w:color="auto" w:fill="auto"/>
            <w:noWrap/>
            <w:vAlign w:val="bottom"/>
            <w:hideMark/>
          </w:tcPr>
          <w:p w14:paraId="3B4F941B"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 xml:space="preserve">   </w:t>
            </w:r>
            <w:r w:rsidRPr="00F70DE7">
              <w:rPr>
                <w:rFonts w:eastAsia="Times New Roman"/>
                <w:color w:val="000000"/>
                <w:sz w:val="20"/>
                <w:lang w:eastAsia="en-AU"/>
              </w:rPr>
              <w:t>Wakool River Zone 4</w:t>
            </w:r>
          </w:p>
        </w:tc>
        <w:tc>
          <w:tcPr>
            <w:tcW w:w="758" w:type="dxa"/>
            <w:tcBorders>
              <w:top w:val="nil"/>
              <w:left w:val="nil"/>
              <w:bottom w:val="single" w:sz="4" w:space="0" w:color="auto"/>
              <w:right w:val="nil"/>
            </w:tcBorders>
            <w:shd w:val="clear" w:color="auto" w:fill="auto"/>
            <w:noWrap/>
            <w:vAlign w:val="bottom"/>
            <w:hideMark/>
          </w:tcPr>
          <w:p w14:paraId="3B4F941C"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single" w:sz="4" w:space="0" w:color="auto"/>
              <w:right w:val="nil"/>
            </w:tcBorders>
            <w:shd w:val="clear" w:color="auto" w:fill="auto"/>
            <w:noWrap/>
            <w:vAlign w:val="bottom"/>
            <w:hideMark/>
          </w:tcPr>
          <w:p w14:paraId="3B4F941D"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992" w:type="dxa"/>
            <w:tcBorders>
              <w:top w:val="nil"/>
              <w:left w:val="nil"/>
              <w:bottom w:val="single" w:sz="4" w:space="0" w:color="auto"/>
              <w:right w:val="nil"/>
            </w:tcBorders>
            <w:shd w:val="clear" w:color="auto" w:fill="auto"/>
            <w:noWrap/>
            <w:vAlign w:val="bottom"/>
            <w:hideMark/>
          </w:tcPr>
          <w:p w14:paraId="3B4F941E" w14:textId="77777777" w:rsidR="008E6212" w:rsidRPr="00F70DE7" w:rsidRDefault="008E6212" w:rsidP="009C1A36">
            <w:pPr>
              <w:spacing w:after="0" w:line="240" w:lineRule="auto"/>
              <w:rPr>
                <w:rFonts w:eastAsia="Times New Roman"/>
                <w:color w:val="000000"/>
                <w:sz w:val="20"/>
                <w:lang w:eastAsia="en-AU"/>
              </w:rPr>
            </w:pPr>
            <w:r w:rsidRPr="00F70DE7">
              <w:rPr>
                <w:rFonts w:eastAsia="Times New Roman"/>
                <w:color w:val="000000"/>
                <w:sz w:val="20"/>
                <w:lang w:eastAsia="en-AU"/>
              </w:rPr>
              <w:t>2</w:t>
            </w:r>
          </w:p>
        </w:tc>
        <w:tc>
          <w:tcPr>
            <w:tcW w:w="284" w:type="dxa"/>
            <w:tcBorders>
              <w:top w:val="nil"/>
              <w:left w:val="nil"/>
              <w:bottom w:val="single" w:sz="4" w:space="0" w:color="auto"/>
              <w:right w:val="nil"/>
            </w:tcBorders>
          </w:tcPr>
          <w:p w14:paraId="3B4F941F" w14:textId="77777777" w:rsidR="008E6212" w:rsidRPr="00F70DE7" w:rsidRDefault="008E6212" w:rsidP="009C1A36">
            <w:pPr>
              <w:spacing w:after="0" w:line="240" w:lineRule="auto"/>
              <w:rPr>
                <w:rFonts w:eastAsia="Times New Roman"/>
                <w:color w:val="000000"/>
                <w:sz w:val="20"/>
                <w:lang w:eastAsia="en-AU"/>
              </w:rPr>
            </w:pPr>
          </w:p>
        </w:tc>
        <w:tc>
          <w:tcPr>
            <w:tcW w:w="758" w:type="dxa"/>
            <w:tcBorders>
              <w:top w:val="nil"/>
              <w:left w:val="nil"/>
              <w:bottom w:val="single" w:sz="4" w:space="0" w:color="auto"/>
              <w:right w:val="nil"/>
            </w:tcBorders>
          </w:tcPr>
          <w:p w14:paraId="3B4F9420"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801" w:type="dxa"/>
            <w:tcBorders>
              <w:top w:val="nil"/>
              <w:left w:val="nil"/>
              <w:bottom w:val="single" w:sz="4" w:space="0" w:color="auto"/>
              <w:right w:val="nil"/>
            </w:tcBorders>
          </w:tcPr>
          <w:p w14:paraId="3B4F9421"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w:t>
            </w:r>
          </w:p>
        </w:tc>
        <w:tc>
          <w:tcPr>
            <w:tcW w:w="986" w:type="dxa"/>
            <w:tcBorders>
              <w:top w:val="nil"/>
              <w:left w:val="nil"/>
              <w:bottom w:val="single" w:sz="4" w:space="0" w:color="auto"/>
              <w:right w:val="nil"/>
            </w:tcBorders>
          </w:tcPr>
          <w:p w14:paraId="3B4F9422" w14:textId="77777777" w:rsidR="008E6212" w:rsidRPr="00F70DE7" w:rsidRDefault="008E6212" w:rsidP="009C1A36">
            <w:pPr>
              <w:spacing w:after="0" w:line="240" w:lineRule="auto"/>
              <w:rPr>
                <w:rFonts w:eastAsia="Times New Roman"/>
                <w:color w:val="000000"/>
                <w:sz w:val="20"/>
                <w:lang w:eastAsia="en-AU"/>
              </w:rPr>
            </w:pPr>
            <w:r>
              <w:rPr>
                <w:rFonts w:eastAsia="Times New Roman"/>
                <w:color w:val="000000"/>
                <w:sz w:val="20"/>
                <w:lang w:eastAsia="en-AU"/>
              </w:rPr>
              <w:t>1</w:t>
            </w:r>
          </w:p>
        </w:tc>
      </w:tr>
    </w:tbl>
    <w:p w14:paraId="3B4F9424" w14:textId="77777777" w:rsidR="008E6212" w:rsidRDefault="008E6212" w:rsidP="008E6212">
      <w:pPr>
        <w:tabs>
          <w:tab w:val="left" w:pos="1985"/>
        </w:tabs>
        <w:spacing w:after="0" w:line="324" w:lineRule="exact"/>
        <w:jc w:val="left"/>
        <w:rPr>
          <w:rFonts w:cs="Arial"/>
          <w:i/>
          <w:color w:val="000000"/>
        </w:rPr>
      </w:pPr>
    </w:p>
    <w:p w14:paraId="3B4F9425" w14:textId="77777777" w:rsidR="008E6212" w:rsidRDefault="008E6212" w:rsidP="008E6212">
      <w:pPr>
        <w:tabs>
          <w:tab w:val="left" w:pos="1985"/>
        </w:tabs>
        <w:spacing w:after="0" w:line="324" w:lineRule="exact"/>
        <w:jc w:val="left"/>
        <w:rPr>
          <w:rFonts w:cs="Arial"/>
          <w:i/>
          <w:color w:val="000000"/>
        </w:rPr>
      </w:pPr>
    </w:p>
    <w:p w14:paraId="3B4F9426" w14:textId="77777777" w:rsidR="008E6212" w:rsidRPr="00AC338C" w:rsidRDefault="008E6212" w:rsidP="008E6212">
      <w:pPr>
        <w:tabs>
          <w:tab w:val="left" w:pos="1985"/>
        </w:tabs>
        <w:spacing w:after="0" w:line="324" w:lineRule="exact"/>
        <w:jc w:val="left"/>
        <w:rPr>
          <w:rFonts w:cs="Arial"/>
          <w:i/>
          <w:color w:val="000000"/>
        </w:rPr>
      </w:pPr>
      <w:r w:rsidRPr="00AC338C">
        <w:rPr>
          <w:rFonts w:cs="Arial"/>
          <w:i/>
          <w:color w:val="000000"/>
        </w:rPr>
        <w:t>Recruit growth</w:t>
      </w:r>
    </w:p>
    <w:p w14:paraId="3B4F9427" w14:textId="77777777" w:rsidR="008E6212" w:rsidRDefault="008E6212" w:rsidP="008E6212">
      <w:pPr>
        <w:pStyle w:val="ListParagraph"/>
        <w:shd w:val="clear" w:color="auto" w:fill="FFFFFF"/>
        <w:spacing w:after="0" w:line="324" w:lineRule="exact"/>
        <w:ind w:left="0"/>
        <w:jc w:val="left"/>
        <w:rPr>
          <w:rFonts w:cs="Arial"/>
          <w:color w:val="000000"/>
        </w:rPr>
      </w:pPr>
      <w:r>
        <w:t xml:space="preserve">Sections of otoliths from Murray cod and silver perch resulted in clearly discernible alternating patterns of opaque and translucent zones that were used to distinguish recruits and other age-classes. Only 5/73 and 4/31 annual otolith ages from Murray cod and silver perch respectively were not consistent among all three readings and otoliths with these discrepancies were not used </w:t>
      </w:r>
      <w:r w:rsidR="00007916">
        <w:t>in further analysis</w:t>
      </w:r>
      <w:r>
        <w:t>.</w:t>
      </w:r>
    </w:p>
    <w:p w14:paraId="3B4F9428" w14:textId="77777777" w:rsidR="008E6212" w:rsidRDefault="008E6212" w:rsidP="008E6212">
      <w:pPr>
        <w:pStyle w:val="ListParagraph"/>
        <w:shd w:val="clear" w:color="auto" w:fill="FFFFFF"/>
        <w:spacing w:after="0" w:line="324" w:lineRule="exact"/>
        <w:ind w:left="0"/>
        <w:jc w:val="left"/>
        <w:rPr>
          <w:rFonts w:cs="Arial"/>
          <w:i/>
          <w:color w:val="000000"/>
        </w:rPr>
      </w:pPr>
    </w:p>
    <w:p w14:paraId="3B4F9429" w14:textId="23E7235B" w:rsidR="008E6212" w:rsidRPr="0065432E" w:rsidRDefault="008E6212" w:rsidP="008E6212">
      <w:pPr>
        <w:pStyle w:val="ListParagraph"/>
        <w:shd w:val="clear" w:color="auto" w:fill="FFFFFF"/>
        <w:spacing w:after="0" w:line="324" w:lineRule="exact"/>
        <w:ind w:left="0"/>
        <w:jc w:val="left"/>
        <w:rPr>
          <w:rFonts w:cs="Arial"/>
          <w:i/>
          <w:color w:val="000000"/>
        </w:rPr>
      </w:pPr>
      <w:r w:rsidRPr="007A2492">
        <w:rPr>
          <w:rFonts w:cs="Arial"/>
          <w:color w:val="000000"/>
        </w:rPr>
        <w:lastRenderedPageBreak/>
        <w:t>Murray cod</w:t>
      </w:r>
      <w:r>
        <w:t xml:space="preserve"> YOY ranged from 46 to 89 mm TL, while 1+ recruits ranged from 140 to 221 mm TL.  The logistic growth model provided a significant (DF=90; F = 744; P&lt;0.001) fit to describe Murray </w:t>
      </w:r>
      <w:r w:rsidR="00F774C7">
        <w:t>cod age-length data (Figure D.9</w:t>
      </w:r>
      <w:r>
        <w:t>). Differences in growth curves among zones were not significant, so a single growth curve for the entire Edward-Wakool system was used to describe the age-length rela</w:t>
      </w:r>
      <w:r w:rsidR="00F774C7">
        <w:t>tionship in 2015/16 (Figure D.9</w:t>
      </w:r>
      <w:r>
        <w:t xml:space="preserve">). The growth index parameter for 2015/16 Murray cod recruits was not </w:t>
      </w:r>
      <w:r w:rsidR="00E615A2">
        <w:t xml:space="preserve">notably </w:t>
      </w:r>
      <w:r>
        <w:t>different to the previous year (Table D.</w:t>
      </w:r>
      <w:r w:rsidR="00045C8E">
        <w:t>7)</w:t>
      </w:r>
      <w:r w:rsidR="00EE1349">
        <w:t xml:space="preserve">. </w:t>
      </w:r>
      <w:r w:rsidR="00E615A2">
        <w:t xml:space="preserve"> T</w:t>
      </w:r>
      <w:r>
        <w:t>here were no significant differences</w:t>
      </w:r>
      <w:r w:rsidR="00F774C7">
        <w:t xml:space="preserve"> in YOY growth rate (Figure D.10</w:t>
      </w:r>
      <w:r>
        <w:t>) or length of 1+ r</w:t>
      </w:r>
      <w:r w:rsidR="00F774C7">
        <w:t>ecruits among zones (Figure D.11</w:t>
      </w:r>
      <w:r>
        <w:t>) in 2015/16. The fitted growth index parameters provide an overall index of recruit growth that can be compared among years in order to evaluate the long-term effects of Commonwealth environmental water delivery.</w:t>
      </w:r>
    </w:p>
    <w:p w14:paraId="3B4F942A" w14:textId="77777777" w:rsidR="008E6212" w:rsidRDefault="008E6212" w:rsidP="008E6212">
      <w:pPr>
        <w:pStyle w:val="ListParagraph"/>
        <w:shd w:val="clear" w:color="auto" w:fill="FFFFFF"/>
        <w:ind w:left="360"/>
        <w:rPr>
          <w:rFonts w:cs="Arial"/>
          <w:b/>
          <w:color w:val="000000"/>
        </w:rPr>
      </w:pPr>
    </w:p>
    <w:p w14:paraId="3B4F942B" w14:textId="77777777" w:rsidR="008E6212" w:rsidRDefault="008E6212" w:rsidP="008E6212">
      <w:pPr>
        <w:pStyle w:val="ListParagraph"/>
        <w:shd w:val="clear" w:color="auto" w:fill="FFFFFF"/>
        <w:spacing w:line="240" w:lineRule="auto"/>
        <w:ind w:left="360"/>
        <w:jc w:val="left"/>
        <w:rPr>
          <w:rFonts w:cs="Arial"/>
          <w:b/>
          <w:color w:val="000000"/>
          <w:sz w:val="20"/>
        </w:rPr>
      </w:pPr>
      <w:r>
        <w:rPr>
          <w:rFonts w:cs="Arial"/>
          <w:b/>
          <w:noProof/>
          <w:color w:val="000000"/>
          <w:lang w:eastAsia="en-AU"/>
        </w:rPr>
        <w:drawing>
          <wp:inline distT="0" distB="0" distL="0" distR="0" wp14:anchorId="3B4F966A" wp14:editId="14A768B5">
            <wp:extent cx="4638210" cy="3380740"/>
            <wp:effectExtent l="0" t="0" r="0" b="0"/>
            <wp:docPr id="8" name="Picture 8" descr="Growth and media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wth and median length"/>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l="6366" t="1720" r="6577" b="53441"/>
                    <a:stretch/>
                  </pic:blipFill>
                  <pic:spPr bwMode="auto">
                    <a:xfrm>
                      <a:off x="0" y="0"/>
                      <a:ext cx="4641974" cy="3383484"/>
                    </a:xfrm>
                    <a:prstGeom prst="rect">
                      <a:avLst/>
                    </a:prstGeom>
                    <a:noFill/>
                    <a:ln>
                      <a:noFill/>
                    </a:ln>
                    <a:extLst>
                      <a:ext uri="{53640926-AAD7-44D8-BBD7-CCE9431645EC}">
                        <a14:shadowObscured xmlns:a14="http://schemas.microsoft.com/office/drawing/2010/main"/>
                      </a:ext>
                    </a:extLst>
                  </pic:spPr>
                </pic:pic>
              </a:graphicData>
            </a:graphic>
          </wp:inline>
        </w:drawing>
      </w:r>
    </w:p>
    <w:p w14:paraId="3B4F942C" w14:textId="77777777" w:rsidR="008E6212" w:rsidRDefault="00F774C7" w:rsidP="008E6212">
      <w:pPr>
        <w:pStyle w:val="ListParagraph"/>
        <w:shd w:val="clear" w:color="auto" w:fill="FFFFFF"/>
        <w:spacing w:line="240" w:lineRule="auto"/>
        <w:ind w:left="360"/>
        <w:jc w:val="left"/>
        <w:rPr>
          <w:rFonts w:cs="Arial"/>
          <w:color w:val="000000"/>
          <w:sz w:val="20"/>
        </w:rPr>
      </w:pPr>
      <w:r>
        <w:rPr>
          <w:rFonts w:cs="Arial"/>
          <w:b/>
          <w:color w:val="000000"/>
          <w:sz w:val="20"/>
        </w:rPr>
        <w:t>Figure D.9.</w:t>
      </w:r>
      <w:r w:rsidR="008E6212" w:rsidRPr="00253CEB">
        <w:rPr>
          <w:rFonts w:cs="Arial"/>
          <w:b/>
          <w:color w:val="000000"/>
          <w:sz w:val="20"/>
        </w:rPr>
        <w:t xml:space="preserve"> </w:t>
      </w:r>
      <w:r w:rsidR="008E6212" w:rsidRPr="00253CEB">
        <w:rPr>
          <w:rFonts w:cs="Arial"/>
          <w:color w:val="000000"/>
          <w:sz w:val="20"/>
        </w:rPr>
        <w:t>Growth curves of Murray cod recruits sampled in the Edward-Wakool system in 2015-16.</w:t>
      </w:r>
    </w:p>
    <w:p w14:paraId="3B4F942D" w14:textId="77777777" w:rsidR="008E6212" w:rsidRDefault="008E6212" w:rsidP="008E6212">
      <w:pPr>
        <w:pStyle w:val="ListParagraph"/>
        <w:shd w:val="clear" w:color="auto" w:fill="FFFFFF"/>
        <w:spacing w:line="240" w:lineRule="auto"/>
        <w:ind w:left="357"/>
        <w:rPr>
          <w:rFonts w:cs="Arial"/>
          <w:b/>
          <w:color w:val="000000"/>
          <w:sz w:val="20"/>
        </w:rPr>
      </w:pPr>
    </w:p>
    <w:p w14:paraId="3B4F942E" w14:textId="77777777" w:rsidR="008E6212" w:rsidRDefault="00045C8E" w:rsidP="008E6212">
      <w:pPr>
        <w:pStyle w:val="ListParagraph"/>
        <w:shd w:val="clear" w:color="auto" w:fill="FFFFFF"/>
        <w:spacing w:line="240" w:lineRule="auto"/>
        <w:ind w:left="357"/>
        <w:rPr>
          <w:rFonts w:cs="Arial"/>
          <w:color w:val="000000"/>
          <w:sz w:val="20"/>
        </w:rPr>
      </w:pPr>
      <w:r>
        <w:rPr>
          <w:rFonts w:cs="Arial"/>
          <w:b/>
          <w:color w:val="000000"/>
          <w:sz w:val="20"/>
        </w:rPr>
        <w:t>Table D.7.</w:t>
      </w:r>
      <w:r w:rsidR="008E6212" w:rsidRPr="00C72ABB">
        <w:rPr>
          <w:rFonts w:cs="Arial"/>
          <w:b/>
          <w:color w:val="000000"/>
          <w:sz w:val="20"/>
        </w:rPr>
        <w:t xml:space="preserve"> </w:t>
      </w:r>
      <w:r w:rsidR="008E6212" w:rsidRPr="00C72ABB">
        <w:rPr>
          <w:rFonts w:cs="Arial"/>
          <w:color w:val="000000"/>
          <w:sz w:val="20"/>
        </w:rPr>
        <w:t>Logistic model growth index for Murray cod recruits sampled in the Edward-Wakool system in 2014-15</w:t>
      </w:r>
      <w:r w:rsidR="008E6212">
        <w:rPr>
          <w:rFonts w:cs="Arial"/>
          <w:color w:val="000000"/>
          <w:sz w:val="20"/>
        </w:rPr>
        <w:t xml:space="preserve"> and 2015-16</w:t>
      </w:r>
      <w:r w:rsidR="008E6212" w:rsidRPr="00C72ABB">
        <w:rPr>
          <w:rFonts w:cs="Arial"/>
          <w:color w:val="000000"/>
          <w:sz w:val="20"/>
        </w:rPr>
        <w:t>.</w:t>
      </w:r>
    </w:p>
    <w:tbl>
      <w:tblPr>
        <w:tblStyle w:val="TableGrid"/>
        <w:tblW w:w="7865" w:type="dxa"/>
        <w:tblInd w:w="357" w:type="dxa"/>
        <w:tblBorders>
          <w:left w:val="none" w:sz="0" w:space="0" w:color="auto"/>
          <w:right w:val="none" w:sz="0" w:space="0" w:color="auto"/>
        </w:tblBorders>
        <w:tblLook w:val="04A0" w:firstRow="1" w:lastRow="0" w:firstColumn="1" w:lastColumn="0" w:noHBand="0" w:noVBand="1"/>
      </w:tblPr>
      <w:tblGrid>
        <w:gridCol w:w="1159"/>
        <w:gridCol w:w="1886"/>
        <w:gridCol w:w="1134"/>
        <w:gridCol w:w="1418"/>
        <w:gridCol w:w="1134"/>
        <w:gridCol w:w="1134"/>
      </w:tblGrid>
      <w:tr w:rsidR="008E6212" w14:paraId="3B4F9435" w14:textId="77777777" w:rsidTr="009C1A36">
        <w:tc>
          <w:tcPr>
            <w:tcW w:w="1159" w:type="dxa"/>
            <w:tcBorders>
              <w:top w:val="single" w:sz="4" w:space="0" w:color="auto"/>
              <w:bottom w:val="single" w:sz="4" w:space="0" w:color="auto"/>
              <w:right w:val="nil"/>
            </w:tcBorders>
            <w:shd w:val="clear" w:color="auto" w:fill="D6E3BC" w:themeFill="accent3" w:themeFillTint="66"/>
          </w:tcPr>
          <w:p w14:paraId="3B4F942F" w14:textId="77777777" w:rsidR="008E6212" w:rsidRPr="00A273C6" w:rsidRDefault="008E6212" w:rsidP="009C1A36">
            <w:pPr>
              <w:pStyle w:val="ListParagraph"/>
              <w:spacing w:after="0" w:line="240" w:lineRule="auto"/>
              <w:ind w:left="0"/>
              <w:rPr>
                <w:rFonts w:cs="Arial"/>
                <w:color w:val="000000"/>
                <w:sz w:val="20"/>
              </w:rPr>
            </w:pPr>
            <w:r w:rsidRPr="00A273C6">
              <w:rPr>
                <w:rFonts w:cs="Arial"/>
                <w:color w:val="000000"/>
                <w:sz w:val="20"/>
              </w:rPr>
              <w:t>Year</w:t>
            </w:r>
          </w:p>
        </w:tc>
        <w:tc>
          <w:tcPr>
            <w:tcW w:w="1886" w:type="dxa"/>
            <w:tcBorders>
              <w:top w:val="single" w:sz="4" w:space="0" w:color="auto"/>
              <w:left w:val="nil"/>
              <w:bottom w:val="single" w:sz="4" w:space="0" w:color="auto"/>
              <w:right w:val="nil"/>
            </w:tcBorders>
            <w:shd w:val="clear" w:color="auto" w:fill="D6E3BC" w:themeFill="accent3" w:themeFillTint="66"/>
          </w:tcPr>
          <w:p w14:paraId="3B4F9430" w14:textId="77777777" w:rsidR="008E6212" w:rsidRPr="00A273C6" w:rsidRDefault="008E6212" w:rsidP="009C1A36">
            <w:pPr>
              <w:pStyle w:val="ListParagraph"/>
              <w:spacing w:after="0" w:line="240" w:lineRule="auto"/>
              <w:ind w:left="0"/>
              <w:rPr>
                <w:rFonts w:cs="Arial"/>
                <w:color w:val="000000"/>
                <w:sz w:val="20"/>
              </w:rPr>
            </w:pPr>
            <w:r w:rsidRPr="00A273C6">
              <w:rPr>
                <w:rFonts w:cs="Arial"/>
                <w:color w:val="000000"/>
                <w:sz w:val="20"/>
              </w:rPr>
              <w:t>Growth parameters</w:t>
            </w:r>
          </w:p>
        </w:tc>
        <w:tc>
          <w:tcPr>
            <w:tcW w:w="1134" w:type="dxa"/>
            <w:tcBorders>
              <w:top w:val="single" w:sz="4" w:space="0" w:color="auto"/>
              <w:left w:val="nil"/>
              <w:bottom w:val="single" w:sz="4" w:space="0" w:color="auto"/>
              <w:right w:val="nil"/>
            </w:tcBorders>
            <w:shd w:val="clear" w:color="auto" w:fill="D6E3BC" w:themeFill="accent3" w:themeFillTint="66"/>
          </w:tcPr>
          <w:p w14:paraId="3B4F9431" w14:textId="77777777" w:rsidR="008E6212" w:rsidRPr="00A273C6" w:rsidRDefault="008E6212" w:rsidP="009C1A36">
            <w:pPr>
              <w:pStyle w:val="ListParagraph"/>
              <w:spacing w:after="0" w:line="240" w:lineRule="auto"/>
              <w:ind w:left="0"/>
              <w:rPr>
                <w:rFonts w:cs="Arial"/>
                <w:color w:val="000000"/>
                <w:sz w:val="20"/>
              </w:rPr>
            </w:pPr>
            <w:r w:rsidRPr="00A273C6">
              <w:rPr>
                <w:rFonts w:cs="Arial"/>
                <w:color w:val="000000"/>
                <w:sz w:val="20"/>
              </w:rPr>
              <w:t>Estimate</w:t>
            </w:r>
          </w:p>
        </w:tc>
        <w:tc>
          <w:tcPr>
            <w:tcW w:w="1418" w:type="dxa"/>
            <w:tcBorders>
              <w:top w:val="single" w:sz="4" w:space="0" w:color="auto"/>
              <w:left w:val="nil"/>
              <w:bottom w:val="single" w:sz="4" w:space="0" w:color="auto"/>
              <w:right w:val="nil"/>
            </w:tcBorders>
            <w:shd w:val="clear" w:color="auto" w:fill="D6E3BC" w:themeFill="accent3" w:themeFillTint="66"/>
          </w:tcPr>
          <w:p w14:paraId="3B4F9432" w14:textId="77777777" w:rsidR="008E6212" w:rsidRPr="00A273C6" w:rsidRDefault="008E6212" w:rsidP="009C1A36">
            <w:pPr>
              <w:pStyle w:val="ListParagraph"/>
              <w:spacing w:after="0" w:line="240" w:lineRule="auto"/>
              <w:ind w:left="0"/>
              <w:rPr>
                <w:rFonts w:cs="Arial"/>
                <w:color w:val="000000"/>
                <w:sz w:val="20"/>
              </w:rPr>
            </w:pPr>
            <w:r w:rsidRPr="00A273C6">
              <w:rPr>
                <w:rFonts w:cs="Arial"/>
                <w:color w:val="000000"/>
                <w:sz w:val="20"/>
              </w:rPr>
              <w:t>Std. Error</w:t>
            </w:r>
          </w:p>
        </w:tc>
        <w:tc>
          <w:tcPr>
            <w:tcW w:w="1134" w:type="dxa"/>
            <w:tcBorders>
              <w:top w:val="single" w:sz="4" w:space="0" w:color="auto"/>
              <w:left w:val="nil"/>
              <w:bottom w:val="single" w:sz="4" w:space="0" w:color="auto"/>
              <w:right w:val="nil"/>
            </w:tcBorders>
            <w:shd w:val="clear" w:color="auto" w:fill="D6E3BC" w:themeFill="accent3" w:themeFillTint="66"/>
          </w:tcPr>
          <w:p w14:paraId="3B4F9433" w14:textId="77777777" w:rsidR="008E6212" w:rsidRPr="00A273C6" w:rsidRDefault="008E6212" w:rsidP="009C1A36">
            <w:pPr>
              <w:pStyle w:val="ListParagraph"/>
              <w:spacing w:after="0" w:line="240" w:lineRule="auto"/>
              <w:ind w:left="0"/>
              <w:rPr>
                <w:rFonts w:cs="Arial"/>
                <w:color w:val="000000"/>
                <w:sz w:val="20"/>
              </w:rPr>
            </w:pPr>
            <w:r w:rsidRPr="00A273C6">
              <w:rPr>
                <w:rFonts w:cs="Arial"/>
                <w:color w:val="000000"/>
                <w:sz w:val="20"/>
              </w:rPr>
              <w:t>t value</w:t>
            </w:r>
          </w:p>
        </w:tc>
        <w:tc>
          <w:tcPr>
            <w:tcW w:w="1134" w:type="dxa"/>
            <w:tcBorders>
              <w:top w:val="single" w:sz="4" w:space="0" w:color="auto"/>
              <w:left w:val="nil"/>
              <w:bottom w:val="single" w:sz="4" w:space="0" w:color="auto"/>
            </w:tcBorders>
            <w:shd w:val="clear" w:color="auto" w:fill="D6E3BC" w:themeFill="accent3" w:themeFillTint="66"/>
          </w:tcPr>
          <w:p w14:paraId="3B4F9434" w14:textId="77777777" w:rsidR="008E6212" w:rsidRPr="00A273C6" w:rsidRDefault="008E6212" w:rsidP="009C1A36">
            <w:pPr>
              <w:pStyle w:val="ListParagraph"/>
              <w:spacing w:after="0" w:line="240" w:lineRule="auto"/>
              <w:ind w:left="0"/>
              <w:rPr>
                <w:rFonts w:cs="Arial"/>
                <w:color w:val="000000"/>
                <w:sz w:val="20"/>
              </w:rPr>
            </w:pPr>
            <w:r w:rsidRPr="00A273C6">
              <w:rPr>
                <w:rFonts w:cs="Arial"/>
                <w:color w:val="000000"/>
                <w:sz w:val="20"/>
              </w:rPr>
              <w:t>P value</w:t>
            </w:r>
          </w:p>
        </w:tc>
      </w:tr>
      <w:tr w:rsidR="008E6212" w14:paraId="3B4F943C" w14:textId="77777777" w:rsidTr="009C1A36">
        <w:tc>
          <w:tcPr>
            <w:tcW w:w="1159" w:type="dxa"/>
            <w:tcBorders>
              <w:top w:val="single" w:sz="4" w:space="0" w:color="auto"/>
              <w:bottom w:val="nil"/>
              <w:right w:val="nil"/>
            </w:tcBorders>
          </w:tcPr>
          <w:p w14:paraId="3B4F9436"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2014-15</w:t>
            </w:r>
          </w:p>
        </w:tc>
        <w:tc>
          <w:tcPr>
            <w:tcW w:w="1886" w:type="dxa"/>
            <w:tcBorders>
              <w:top w:val="single" w:sz="4" w:space="0" w:color="auto"/>
              <w:left w:val="nil"/>
              <w:bottom w:val="nil"/>
              <w:right w:val="nil"/>
            </w:tcBorders>
            <w:vAlign w:val="bottom"/>
          </w:tcPr>
          <w:p w14:paraId="3B4F9437"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 xml:space="preserve">Growth index </w:t>
            </w:r>
          </w:p>
        </w:tc>
        <w:tc>
          <w:tcPr>
            <w:tcW w:w="1134" w:type="dxa"/>
            <w:tcBorders>
              <w:top w:val="single" w:sz="4" w:space="0" w:color="auto"/>
              <w:left w:val="nil"/>
              <w:bottom w:val="nil"/>
              <w:right w:val="nil"/>
            </w:tcBorders>
            <w:vAlign w:val="bottom"/>
          </w:tcPr>
          <w:p w14:paraId="3B4F9438"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1.02</w:t>
            </w:r>
          </w:p>
        </w:tc>
        <w:tc>
          <w:tcPr>
            <w:tcW w:w="1418" w:type="dxa"/>
            <w:tcBorders>
              <w:top w:val="single" w:sz="4" w:space="0" w:color="auto"/>
              <w:left w:val="nil"/>
              <w:bottom w:val="nil"/>
              <w:right w:val="nil"/>
            </w:tcBorders>
            <w:vAlign w:val="bottom"/>
          </w:tcPr>
          <w:p w14:paraId="3B4F9439"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0.14</w:t>
            </w:r>
          </w:p>
        </w:tc>
        <w:tc>
          <w:tcPr>
            <w:tcW w:w="1134" w:type="dxa"/>
            <w:tcBorders>
              <w:top w:val="single" w:sz="4" w:space="0" w:color="auto"/>
              <w:left w:val="nil"/>
              <w:bottom w:val="nil"/>
              <w:right w:val="nil"/>
            </w:tcBorders>
            <w:vAlign w:val="bottom"/>
          </w:tcPr>
          <w:p w14:paraId="3B4F943A"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7.29</w:t>
            </w:r>
          </w:p>
        </w:tc>
        <w:tc>
          <w:tcPr>
            <w:tcW w:w="1134" w:type="dxa"/>
            <w:tcBorders>
              <w:top w:val="single" w:sz="4" w:space="0" w:color="auto"/>
              <w:left w:val="nil"/>
              <w:bottom w:val="nil"/>
            </w:tcBorders>
            <w:vAlign w:val="bottom"/>
          </w:tcPr>
          <w:p w14:paraId="3B4F943B" w14:textId="77777777" w:rsidR="008E6212" w:rsidRDefault="008E6212" w:rsidP="009C1A36">
            <w:pPr>
              <w:pStyle w:val="ListParagraph"/>
              <w:spacing w:after="0" w:line="240" w:lineRule="auto"/>
              <w:ind w:left="0"/>
              <w:jc w:val="right"/>
              <w:rPr>
                <w:rFonts w:cs="Arial"/>
                <w:b/>
                <w:color w:val="000000"/>
                <w:sz w:val="20"/>
              </w:rPr>
            </w:pPr>
            <w:r w:rsidRPr="00253CEB">
              <w:rPr>
                <w:rFonts w:cs="Arial"/>
                <w:color w:val="000000"/>
                <w:sz w:val="20"/>
              </w:rPr>
              <w:t>&lt;0.0001</w:t>
            </w:r>
          </w:p>
        </w:tc>
      </w:tr>
      <w:tr w:rsidR="008E6212" w14:paraId="3B4F9443" w14:textId="77777777" w:rsidTr="009C1A36">
        <w:tc>
          <w:tcPr>
            <w:tcW w:w="1159" w:type="dxa"/>
            <w:tcBorders>
              <w:top w:val="nil"/>
              <w:bottom w:val="single" w:sz="4" w:space="0" w:color="auto"/>
              <w:right w:val="nil"/>
            </w:tcBorders>
          </w:tcPr>
          <w:p w14:paraId="3B4F943D"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2015-16</w:t>
            </w:r>
          </w:p>
        </w:tc>
        <w:tc>
          <w:tcPr>
            <w:tcW w:w="1886" w:type="dxa"/>
            <w:tcBorders>
              <w:top w:val="nil"/>
              <w:left w:val="nil"/>
              <w:bottom w:val="single" w:sz="4" w:space="0" w:color="auto"/>
              <w:right w:val="nil"/>
            </w:tcBorders>
            <w:vAlign w:val="bottom"/>
          </w:tcPr>
          <w:p w14:paraId="3B4F943E"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 xml:space="preserve">Growth index           </w:t>
            </w:r>
          </w:p>
        </w:tc>
        <w:tc>
          <w:tcPr>
            <w:tcW w:w="1134" w:type="dxa"/>
            <w:tcBorders>
              <w:top w:val="nil"/>
              <w:left w:val="nil"/>
              <w:bottom w:val="single" w:sz="4" w:space="0" w:color="auto"/>
              <w:right w:val="nil"/>
            </w:tcBorders>
            <w:vAlign w:val="bottom"/>
          </w:tcPr>
          <w:p w14:paraId="3B4F943F"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0.86</w:t>
            </w:r>
          </w:p>
        </w:tc>
        <w:tc>
          <w:tcPr>
            <w:tcW w:w="1418" w:type="dxa"/>
            <w:tcBorders>
              <w:top w:val="nil"/>
              <w:left w:val="nil"/>
              <w:bottom w:val="single" w:sz="4" w:space="0" w:color="auto"/>
              <w:right w:val="nil"/>
            </w:tcBorders>
            <w:vAlign w:val="bottom"/>
          </w:tcPr>
          <w:p w14:paraId="3B4F9440"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0.04</w:t>
            </w:r>
          </w:p>
        </w:tc>
        <w:tc>
          <w:tcPr>
            <w:tcW w:w="1134" w:type="dxa"/>
            <w:tcBorders>
              <w:top w:val="nil"/>
              <w:left w:val="nil"/>
              <w:bottom w:val="single" w:sz="4" w:space="0" w:color="auto"/>
              <w:right w:val="nil"/>
            </w:tcBorders>
            <w:vAlign w:val="bottom"/>
          </w:tcPr>
          <w:p w14:paraId="3B4F9441" w14:textId="77777777" w:rsidR="008E6212" w:rsidRDefault="008E6212" w:rsidP="009C1A36">
            <w:pPr>
              <w:pStyle w:val="ListParagraph"/>
              <w:spacing w:after="0" w:line="240" w:lineRule="auto"/>
              <w:ind w:left="0"/>
              <w:rPr>
                <w:rFonts w:cs="Arial"/>
                <w:b/>
                <w:color w:val="000000"/>
                <w:sz w:val="20"/>
              </w:rPr>
            </w:pPr>
            <w:r w:rsidRPr="00253CEB">
              <w:rPr>
                <w:rFonts w:cs="Arial"/>
                <w:color w:val="000000"/>
                <w:sz w:val="20"/>
              </w:rPr>
              <w:t>22.16</w:t>
            </w:r>
          </w:p>
        </w:tc>
        <w:tc>
          <w:tcPr>
            <w:tcW w:w="1134" w:type="dxa"/>
            <w:tcBorders>
              <w:top w:val="nil"/>
              <w:left w:val="nil"/>
              <w:bottom w:val="single" w:sz="4" w:space="0" w:color="auto"/>
            </w:tcBorders>
            <w:vAlign w:val="bottom"/>
          </w:tcPr>
          <w:p w14:paraId="3B4F9442" w14:textId="77777777" w:rsidR="008E6212" w:rsidRDefault="008E6212" w:rsidP="009C1A36">
            <w:pPr>
              <w:pStyle w:val="ListParagraph"/>
              <w:spacing w:after="0" w:line="240" w:lineRule="auto"/>
              <w:ind w:left="0"/>
              <w:jc w:val="right"/>
              <w:rPr>
                <w:rFonts w:cs="Arial"/>
                <w:b/>
                <w:color w:val="000000"/>
                <w:sz w:val="20"/>
              </w:rPr>
            </w:pPr>
            <w:r w:rsidRPr="00253CEB">
              <w:rPr>
                <w:rFonts w:cs="Arial"/>
                <w:color w:val="000000"/>
                <w:sz w:val="20"/>
              </w:rPr>
              <w:t>&lt;0.0001</w:t>
            </w:r>
          </w:p>
        </w:tc>
      </w:tr>
    </w:tbl>
    <w:p w14:paraId="3B4F9444" w14:textId="77777777" w:rsidR="008E6212" w:rsidRPr="00C72ABB" w:rsidRDefault="008E6212" w:rsidP="008E6212">
      <w:pPr>
        <w:pStyle w:val="ListParagraph"/>
        <w:shd w:val="clear" w:color="auto" w:fill="FFFFFF"/>
        <w:spacing w:line="240" w:lineRule="auto"/>
        <w:ind w:left="357"/>
        <w:rPr>
          <w:rFonts w:cs="Arial"/>
          <w:b/>
          <w:color w:val="000000"/>
          <w:sz w:val="20"/>
        </w:rPr>
      </w:pPr>
    </w:p>
    <w:p w14:paraId="3B4F9445" w14:textId="77777777" w:rsidR="008E6212" w:rsidRDefault="008E6212" w:rsidP="008E6212">
      <w:pPr>
        <w:spacing w:after="0" w:line="240" w:lineRule="auto"/>
        <w:jc w:val="center"/>
        <w:rPr>
          <w:rFonts w:cs="Arial"/>
          <w:b/>
          <w:color w:val="000000"/>
          <w:sz w:val="20"/>
        </w:rPr>
      </w:pPr>
      <w:r>
        <w:rPr>
          <w:noProof/>
          <w:lang w:eastAsia="en-AU"/>
        </w:rPr>
        <w:lastRenderedPageBreak/>
        <w:drawing>
          <wp:inline distT="0" distB="0" distL="0" distR="0" wp14:anchorId="3B4F966C" wp14:editId="7014134C">
            <wp:extent cx="2276475" cy="3653601"/>
            <wp:effectExtent l="0" t="0" r="0" b="4445"/>
            <wp:docPr id="7" name="Picture 7" descr="Fig YOY M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YOY MC growth"/>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276475" cy="3653601"/>
                    </a:xfrm>
                    <a:prstGeom prst="rect">
                      <a:avLst/>
                    </a:prstGeom>
                    <a:noFill/>
                    <a:ln>
                      <a:noFill/>
                    </a:ln>
                  </pic:spPr>
                </pic:pic>
              </a:graphicData>
            </a:graphic>
          </wp:inline>
        </w:drawing>
      </w:r>
    </w:p>
    <w:p w14:paraId="3B4F9446" w14:textId="77777777" w:rsidR="008E6212" w:rsidRPr="004456B7" w:rsidRDefault="008E6212" w:rsidP="008E6212">
      <w:pPr>
        <w:spacing w:after="0" w:line="240" w:lineRule="auto"/>
      </w:pPr>
      <w:r w:rsidRPr="00C72ABB">
        <w:rPr>
          <w:rFonts w:cs="Arial"/>
          <w:b/>
          <w:color w:val="000000"/>
          <w:sz w:val="20"/>
        </w:rPr>
        <w:t xml:space="preserve">Figure </w:t>
      </w:r>
      <w:r w:rsidR="00F774C7">
        <w:rPr>
          <w:rFonts w:cs="Arial"/>
          <w:b/>
          <w:color w:val="000000"/>
          <w:sz w:val="20"/>
        </w:rPr>
        <w:t>D.10.</w:t>
      </w:r>
      <w:r w:rsidRPr="00C72ABB">
        <w:rPr>
          <w:rFonts w:cs="Arial"/>
          <w:b/>
          <w:color w:val="000000"/>
          <w:sz w:val="20"/>
        </w:rPr>
        <w:t xml:space="preserve"> </w:t>
      </w:r>
      <w:r>
        <w:rPr>
          <w:rFonts w:cs="Arial"/>
          <w:color w:val="000000"/>
          <w:sz w:val="20"/>
        </w:rPr>
        <w:t>Daily growth rate</w:t>
      </w:r>
      <w:r w:rsidRPr="00C72ABB">
        <w:rPr>
          <w:rFonts w:cs="Arial"/>
          <w:color w:val="000000"/>
          <w:sz w:val="20"/>
        </w:rPr>
        <w:t xml:space="preserve"> of M</w:t>
      </w:r>
      <w:r>
        <w:rPr>
          <w:rFonts w:cs="Arial"/>
          <w:color w:val="000000"/>
          <w:sz w:val="20"/>
        </w:rPr>
        <w:t>urray cod young-of-y</w:t>
      </w:r>
      <w:r w:rsidRPr="00C72ABB">
        <w:rPr>
          <w:rFonts w:cs="Arial"/>
          <w:color w:val="000000"/>
          <w:sz w:val="20"/>
        </w:rPr>
        <w:t xml:space="preserve">ear (YOY) </w:t>
      </w:r>
      <w:r>
        <w:rPr>
          <w:rFonts w:cs="Arial"/>
          <w:color w:val="000000"/>
          <w:sz w:val="20"/>
        </w:rPr>
        <w:t>recruits</w:t>
      </w:r>
      <w:r w:rsidRPr="00C72ABB">
        <w:rPr>
          <w:rFonts w:cs="Arial"/>
          <w:color w:val="000000"/>
          <w:sz w:val="20"/>
        </w:rPr>
        <w:t xml:space="preserve"> sampled in the Edward-Wakool system in 2014-15</w:t>
      </w:r>
      <w:r>
        <w:rPr>
          <w:rFonts w:cs="Arial"/>
          <w:color w:val="000000"/>
          <w:sz w:val="20"/>
        </w:rPr>
        <w:t xml:space="preserve"> and 2015-16</w:t>
      </w:r>
      <w:r w:rsidRPr="00C72ABB">
        <w:rPr>
          <w:rFonts w:cs="Arial"/>
          <w:color w:val="000000"/>
          <w:sz w:val="20"/>
        </w:rPr>
        <w:t xml:space="preserve">. </w:t>
      </w:r>
      <w:r>
        <w:rPr>
          <w:rFonts w:cs="Arial"/>
          <w:color w:val="000000"/>
          <w:sz w:val="20"/>
        </w:rPr>
        <w:t>Box plots illustrate the median, upper and lower quartiles and 95% confidence intervals.</w:t>
      </w:r>
    </w:p>
    <w:p w14:paraId="3B4F9447" w14:textId="77777777" w:rsidR="008E6212" w:rsidRDefault="008E6212" w:rsidP="008E6212">
      <w:pPr>
        <w:shd w:val="clear" w:color="auto" w:fill="FFFFFF"/>
        <w:spacing w:after="0" w:line="240" w:lineRule="auto"/>
        <w:jc w:val="center"/>
        <w:rPr>
          <w:rFonts w:cs="Arial"/>
          <w:i/>
          <w:color w:val="000000"/>
        </w:rPr>
      </w:pPr>
      <w:r>
        <w:rPr>
          <w:rFonts w:cs="Arial"/>
          <w:i/>
          <w:noProof/>
          <w:color w:val="000000"/>
          <w:lang w:eastAsia="en-AU"/>
        </w:rPr>
        <w:drawing>
          <wp:inline distT="0" distB="0" distL="0" distR="0" wp14:anchorId="3B4F966E" wp14:editId="6D0B0AC9">
            <wp:extent cx="2495550" cy="4046837"/>
            <wp:effectExtent l="0" t="0" r="0" b="0"/>
            <wp:docPr id="5" name="Picture 5" descr="1+MC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MClength"/>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508713" cy="4068182"/>
                    </a:xfrm>
                    <a:prstGeom prst="rect">
                      <a:avLst/>
                    </a:prstGeom>
                    <a:noFill/>
                    <a:ln>
                      <a:noFill/>
                    </a:ln>
                  </pic:spPr>
                </pic:pic>
              </a:graphicData>
            </a:graphic>
          </wp:inline>
        </w:drawing>
      </w:r>
    </w:p>
    <w:p w14:paraId="3B4F9448" w14:textId="77777777" w:rsidR="008E6212" w:rsidRPr="000D796B" w:rsidRDefault="00F774C7" w:rsidP="008E6212">
      <w:pPr>
        <w:pStyle w:val="ListParagraph"/>
        <w:shd w:val="clear" w:color="auto" w:fill="FFFFFF"/>
        <w:spacing w:before="240" w:after="0" w:line="240" w:lineRule="auto"/>
        <w:ind w:left="0"/>
        <w:rPr>
          <w:rFonts w:cs="Arial"/>
          <w:color w:val="000000"/>
          <w:sz w:val="20"/>
        </w:rPr>
      </w:pPr>
      <w:r>
        <w:rPr>
          <w:rFonts w:cs="Arial"/>
          <w:b/>
          <w:color w:val="000000"/>
          <w:sz w:val="20"/>
        </w:rPr>
        <w:t>Figure D.11.</w:t>
      </w:r>
      <w:r w:rsidR="008E6212" w:rsidRPr="00C537B2">
        <w:rPr>
          <w:rFonts w:cs="Arial"/>
          <w:b/>
          <w:color w:val="000000"/>
          <w:sz w:val="20"/>
        </w:rPr>
        <w:t xml:space="preserve"> </w:t>
      </w:r>
      <w:r w:rsidR="008E6212" w:rsidRPr="00C537B2">
        <w:rPr>
          <w:rFonts w:cs="Arial"/>
          <w:color w:val="000000"/>
          <w:sz w:val="20"/>
        </w:rPr>
        <w:t>Length of Murray cod 1+ recruits sampled in the Edward-Wakool system in 2014-15 and 2015-16. Box plots illustrate the median, upper and lower quartiles and 95% confidence intervals.</w:t>
      </w:r>
    </w:p>
    <w:p w14:paraId="3B4F9449" w14:textId="77777777" w:rsidR="008E6212" w:rsidRPr="005B11DF" w:rsidRDefault="008E6212" w:rsidP="008E6212">
      <w:pPr>
        <w:spacing w:after="240" w:line="320" w:lineRule="exact"/>
        <w:jc w:val="left"/>
      </w:pPr>
      <w:r w:rsidRPr="00A273C6">
        <w:lastRenderedPageBreak/>
        <w:t>Silver perch YOY</w:t>
      </w:r>
      <w:r>
        <w:t xml:space="preserve"> ranged from 63 to 101 mm TL, while 1+ recruits ranged fr</w:t>
      </w:r>
      <w:r w:rsidR="00045C8E">
        <w:t>om 123 to 195 mm TL (Figure D.12</w:t>
      </w:r>
      <w:r>
        <w:t xml:space="preserve">).  Age-length curves were not developed for silver perch because sampling permit restrictions for this threatened species limited the number fish that could be euthanized; resulting in no samples retained for daily age estimation. However, the </w:t>
      </w:r>
      <w:r w:rsidR="00045C8E">
        <w:t>length distribution (Figure D.12</w:t>
      </w:r>
      <w:r>
        <w:t>) of YOY (median  = 72 mm) and 1+ (median = 164) silver perch recruits in 2015/16 can be compared statistically to future monitoring years—when silver perch recruits are present—in order to evaluate the long-term effects of Commonwealth environmental water delivery on the growth rate of recruits.   Zone-specific comparisons of silver perch recruit growth rates could not be made since fewer than 5 recruits were sampled</w:t>
      </w:r>
      <w:r w:rsidR="00045C8E">
        <w:t xml:space="preserve"> in 3 out of 4 zones</w:t>
      </w:r>
      <w:r>
        <w:t xml:space="preserve">. </w:t>
      </w:r>
    </w:p>
    <w:p w14:paraId="3B4F944A" w14:textId="77777777" w:rsidR="008E6212" w:rsidRDefault="008E6212" w:rsidP="008E6212">
      <w:pPr>
        <w:spacing w:after="0" w:line="240" w:lineRule="auto"/>
        <w:jc w:val="center"/>
        <w:rPr>
          <w:rFonts w:cs="Arial"/>
          <w:b/>
          <w:color w:val="000000"/>
          <w:sz w:val="20"/>
        </w:rPr>
      </w:pPr>
      <w:r>
        <w:rPr>
          <w:rFonts w:cs="Arial"/>
          <w:b/>
          <w:noProof/>
          <w:color w:val="000000"/>
          <w:sz w:val="20"/>
          <w:lang w:eastAsia="en-AU"/>
        </w:rPr>
        <w:drawing>
          <wp:inline distT="0" distB="0" distL="0" distR="0" wp14:anchorId="3B4F9670" wp14:editId="7C0DCEC6">
            <wp:extent cx="3543300" cy="2800350"/>
            <wp:effectExtent l="0" t="0" r="0" b="0"/>
            <wp:docPr id="4" name="Picture 4" descr="Growth and media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wth and median length"/>
                    <pic:cNvPicPr>
                      <a:picLocks noChangeAspect="1" noChangeArrowheads="1"/>
                    </pic:cNvPicPr>
                  </pic:nvPicPr>
                  <pic:blipFill>
                    <a:blip r:embed="rId113" cstate="email">
                      <a:extLst>
                        <a:ext uri="{28A0092B-C50C-407E-A947-70E740481C1C}">
                          <a14:useLocalDpi xmlns:a14="http://schemas.microsoft.com/office/drawing/2010/main"/>
                        </a:ext>
                      </a:extLst>
                    </a:blip>
                    <a:srcRect l="9952" t="46997" r="16385" b="12010"/>
                    <a:stretch>
                      <a:fillRect/>
                    </a:stretch>
                  </pic:blipFill>
                  <pic:spPr bwMode="auto">
                    <a:xfrm>
                      <a:off x="0" y="0"/>
                      <a:ext cx="3543300" cy="2800350"/>
                    </a:xfrm>
                    <a:prstGeom prst="rect">
                      <a:avLst/>
                    </a:prstGeom>
                    <a:noFill/>
                    <a:ln>
                      <a:noFill/>
                    </a:ln>
                  </pic:spPr>
                </pic:pic>
              </a:graphicData>
            </a:graphic>
          </wp:inline>
        </w:drawing>
      </w:r>
    </w:p>
    <w:p w14:paraId="3B4F944B" w14:textId="77777777" w:rsidR="008E6212" w:rsidRPr="00A273C6" w:rsidRDefault="00045C8E" w:rsidP="008E6212">
      <w:pPr>
        <w:spacing w:line="240" w:lineRule="auto"/>
        <w:jc w:val="left"/>
        <w:rPr>
          <w:rFonts w:cs="Arial"/>
          <w:b/>
          <w:color w:val="000000"/>
          <w:sz w:val="20"/>
        </w:rPr>
      </w:pPr>
      <w:r>
        <w:rPr>
          <w:rFonts w:cs="Arial"/>
          <w:b/>
          <w:color w:val="000000"/>
          <w:sz w:val="20"/>
        </w:rPr>
        <w:t>Figure D.12.</w:t>
      </w:r>
      <w:r w:rsidR="008E6212" w:rsidRPr="00C537B2">
        <w:rPr>
          <w:rFonts w:cs="Arial"/>
          <w:b/>
          <w:color w:val="000000"/>
          <w:sz w:val="20"/>
        </w:rPr>
        <w:t xml:space="preserve"> </w:t>
      </w:r>
      <w:r w:rsidR="008E6212" w:rsidRPr="00C537B2">
        <w:rPr>
          <w:rFonts w:cs="Arial"/>
          <w:color w:val="000000"/>
          <w:sz w:val="20"/>
        </w:rPr>
        <w:t>L</w:t>
      </w:r>
      <w:r w:rsidR="008E6212">
        <w:rPr>
          <w:rFonts w:cs="Arial"/>
          <w:color w:val="000000"/>
          <w:sz w:val="20"/>
        </w:rPr>
        <w:t>ength</w:t>
      </w:r>
      <w:r w:rsidR="008E6212" w:rsidRPr="00C72ABB">
        <w:rPr>
          <w:rFonts w:cs="Arial"/>
          <w:color w:val="000000"/>
          <w:sz w:val="20"/>
        </w:rPr>
        <w:t xml:space="preserve"> </w:t>
      </w:r>
      <w:r w:rsidR="008E6212">
        <w:rPr>
          <w:rFonts w:cs="Arial"/>
          <w:color w:val="000000"/>
          <w:sz w:val="20"/>
        </w:rPr>
        <w:t xml:space="preserve">distribution </w:t>
      </w:r>
      <w:r w:rsidR="008E6212" w:rsidRPr="00C72ABB">
        <w:rPr>
          <w:rFonts w:cs="Arial"/>
          <w:color w:val="000000"/>
          <w:sz w:val="20"/>
        </w:rPr>
        <w:t xml:space="preserve">of </w:t>
      </w:r>
      <w:r w:rsidR="008E6212">
        <w:rPr>
          <w:rFonts w:cs="Arial"/>
          <w:color w:val="000000"/>
          <w:sz w:val="20"/>
        </w:rPr>
        <w:t>Young-of-Year (n = 5) Silver perch</w:t>
      </w:r>
      <w:r w:rsidR="008E6212" w:rsidRPr="00C72ABB">
        <w:rPr>
          <w:rFonts w:cs="Arial"/>
          <w:color w:val="000000"/>
          <w:sz w:val="20"/>
        </w:rPr>
        <w:t xml:space="preserve"> </w:t>
      </w:r>
      <w:r w:rsidR="008E6212">
        <w:rPr>
          <w:rFonts w:cs="Arial"/>
          <w:color w:val="000000"/>
          <w:sz w:val="20"/>
        </w:rPr>
        <w:t>and 1+</w:t>
      </w:r>
      <w:r w:rsidR="008E6212" w:rsidRPr="00C72ABB">
        <w:rPr>
          <w:rFonts w:cs="Arial"/>
          <w:color w:val="000000"/>
          <w:sz w:val="20"/>
        </w:rPr>
        <w:t xml:space="preserve"> </w:t>
      </w:r>
      <w:r w:rsidR="008E6212">
        <w:rPr>
          <w:rFonts w:cs="Arial"/>
          <w:color w:val="000000"/>
          <w:sz w:val="20"/>
        </w:rPr>
        <w:t xml:space="preserve">recruits (n = 20) </w:t>
      </w:r>
      <w:r w:rsidR="008E6212" w:rsidRPr="00C72ABB">
        <w:rPr>
          <w:rFonts w:cs="Arial"/>
          <w:color w:val="000000"/>
          <w:sz w:val="20"/>
        </w:rPr>
        <w:t xml:space="preserve">sampled in the Edward-Wakool system in </w:t>
      </w:r>
      <w:r w:rsidR="008E6212">
        <w:rPr>
          <w:rFonts w:cs="Arial"/>
          <w:color w:val="000000"/>
          <w:sz w:val="20"/>
        </w:rPr>
        <w:t>2015-16</w:t>
      </w:r>
      <w:r w:rsidR="008E6212" w:rsidRPr="00C72ABB">
        <w:rPr>
          <w:rFonts w:cs="Arial"/>
          <w:color w:val="000000"/>
          <w:sz w:val="20"/>
        </w:rPr>
        <w:t xml:space="preserve">. </w:t>
      </w:r>
      <w:r w:rsidR="008E6212">
        <w:rPr>
          <w:rFonts w:cs="Arial"/>
          <w:color w:val="000000"/>
          <w:sz w:val="20"/>
        </w:rPr>
        <w:t xml:space="preserve">Box plots illustrate the median, upper and lower quartiles and 95% confidence intervals. </w:t>
      </w:r>
    </w:p>
    <w:p w14:paraId="3B4F944C" w14:textId="77777777" w:rsidR="008E6212" w:rsidRPr="00AC338C" w:rsidRDefault="008E6212" w:rsidP="008E6212">
      <w:pPr>
        <w:shd w:val="clear" w:color="auto" w:fill="FFFFFF"/>
        <w:spacing w:after="240" w:line="320" w:lineRule="exact"/>
        <w:jc w:val="left"/>
        <w:rPr>
          <w:rFonts w:cs="Arial"/>
          <w:i/>
          <w:color w:val="000000"/>
        </w:rPr>
      </w:pPr>
      <w:r>
        <w:rPr>
          <w:rFonts w:cs="Arial"/>
          <w:i/>
          <w:color w:val="000000"/>
        </w:rPr>
        <w:t>Recruitment</w:t>
      </w:r>
    </w:p>
    <w:p w14:paraId="3B4F944D" w14:textId="7544279B" w:rsidR="008E6212" w:rsidRDefault="008E6212" w:rsidP="008E6212">
      <w:pPr>
        <w:pStyle w:val="ListParagraph"/>
        <w:shd w:val="clear" w:color="auto" w:fill="FFFFFF"/>
        <w:spacing w:after="240" w:line="320" w:lineRule="exact"/>
        <w:ind w:left="0"/>
        <w:jc w:val="left"/>
        <w:rPr>
          <w:rFonts w:cs="Arial"/>
          <w:color w:val="000000"/>
        </w:rPr>
      </w:pPr>
      <w:r w:rsidRPr="00A273C6">
        <w:rPr>
          <w:rFonts w:cs="Arial"/>
          <w:color w:val="000000"/>
        </w:rPr>
        <w:t>Murray cod</w:t>
      </w:r>
      <w:r>
        <w:rPr>
          <w:rFonts w:cs="Arial"/>
          <w:color w:val="000000"/>
        </w:rPr>
        <w:t xml:space="preserve"> were the most abundant of the three species being targeted as part of fish recrui</w:t>
      </w:r>
      <w:r w:rsidR="007478C0">
        <w:rPr>
          <w:rFonts w:cs="Arial"/>
          <w:color w:val="000000"/>
        </w:rPr>
        <w:t>tment monitoring (Table D.6</w:t>
      </w:r>
      <w:r>
        <w:rPr>
          <w:rFonts w:cs="Arial"/>
          <w:color w:val="000000"/>
        </w:rPr>
        <w:t xml:space="preserve">). The same as </w:t>
      </w:r>
      <w:r w:rsidR="00E615A2">
        <w:rPr>
          <w:rFonts w:cs="Arial"/>
          <w:color w:val="000000"/>
        </w:rPr>
        <w:t xml:space="preserve">in </w:t>
      </w:r>
      <w:r>
        <w:rPr>
          <w:rFonts w:cs="Arial"/>
          <w:color w:val="000000"/>
        </w:rPr>
        <w:t xml:space="preserve">2014/15, Murray cod recruits were sampled consistently in all zones in 2015/16, including 40 YOY, 50 1+ recruits and 56 fish in older age-classes.  </w:t>
      </w:r>
    </w:p>
    <w:p w14:paraId="3B4F944E" w14:textId="5430448A" w:rsidR="008E6212" w:rsidRPr="00343CB1" w:rsidRDefault="008E6212" w:rsidP="008E6212">
      <w:pPr>
        <w:pStyle w:val="ListParagraph"/>
        <w:shd w:val="clear" w:color="auto" w:fill="FFFFFF"/>
        <w:spacing w:after="240" w:line="320" w:lineRule="exact"/>
        <w:ind w:left="0"/>
        <w:jc w:val="left"/>
        <w:rPr>
          <w:rFonts w:cs="Arial"/>
          <w:color w:val="000000"/>
        </w:rPr>
      </w:pPr>
      <w:r>
        <w:rPr>
          <w:rFonts w:cs="Arial"/>
          <w:color w:val="000000"/>
        </w:rPr>
        <w:t>Indices of YOY and 1+ recrui</w:t>
      </w:r>
      <w:r w:rsidR="00045C8E">
        <w:rPr>
          <w:rFonts w:cs="Arial"/>
          <w:color w:val="000000"/>
        </w:rPr>
        <w:t>tment of Murray cod (Figure D.13</w:t>
      </w:r>
      <w:r>
        <w:rPr>
          <w:rFonts w:cs="Arial"/>
          <w:color w:val="000000"/>
        </w:rPr>
        <w:t>) were developed for the Edward-Wakool system and compared among zones and years, taking into account differences in sampling gear catchability (Table D.</w:t>
      </w:r>
      <w:r w:rsidR="007478C0">
        <w:rPr>
          <w:rFonts w:cs="Arial"/>
          <w:color w:val="000000"/>
        </w:rPr>
        <w:t>8</w:t>
      </w:r>
      <w:r>
        <w:rPr>
          <w:rFonts w:cs="Arial"/>
          <w:color w:val="000000"/>
        </w:rPr>
        <w:t>. The recruitment index values for YOY and 1+ Murray cod have been relatively consistent in the Edward-W</w:t>
      </w:r>
      <w:r w:rsidR="00045C8E">
        <w:rPr>
          <w:rFonts w:cs="Arial"/>
          <w:color w:val="000000"/>
        </w:rPr>
        <w:t>akool (Figure D.13</w:t>
      </w:r>
      <w:r>
        <w:rPr>
          <w:rFonts w:cs="Arial"/>
          <w:color w:val="000000"/>
        </w:rPr>
        <w:t>) with no significant differences detected across monitoring years or zones (Table D.</w:t>
      </w:r>
      <w:r w:rsidR="007478C0">
        <w:rPr>
          <w:rFonts w:cs="Arial"/>
          <w:color w:val="000000"/>
        </w:rPr>
        <w:t>8</w:t>
      </w:r>
      <w:r>
        <w:rPr>
          <w:rFonts w:cs="Arial"/>
          <w:color w:val="000000"/>
        </w:rPr>
        <w:t>.</w:t>
      </w:r>
      <w:r w:rsidR="00E615A2">
        <w:rPr>
          <w:rFonts w:cs="Arial"/>
          <w:color w:val="000000"/>
        </w:rPr>
        <w:t>).</w:t>
      </w:r>
      <w:r>
        <w:rPr>
          <w:rFonts w:cs="Arial"/>
          <w:color w:val="000000"/>
        </w:rPr>
        <w:t xml:space="preserve"> </w:t>
      </w:r>
      <w:r w:rsidRPr="00D00F4A">
        <w:rPr>
          <w:rFonts w:cs="Arial"/>
          <w:color w:val="000000"/>
        </w:rPr>
        <w:t xml:space="preserve">Per 1000 seconds of sampling, backpack electrofishing was the most effective method of sampling Murray cod recruits and based on the recruitment index values (Table </w:t>
      </w:r>
      <w:r>
        <w:rPr>
          <w:rFonts w:cs="Arial"/>
          <w:color w:val="000000"/>
        </w:rPr>
        <w:t>D.</w:t>
      </w:r>
      <w:r w:rsidR="007478C0">
        <w:rPr>
          <w:rFonts w:cs="Arial"/>
          <w:color w:val="000000"/>
        </w:rPr>
        <w:t>8</w:t>
      </w:r>
      <w:r w:rsidR="00E615A2">
        <w:rPr>
          <w:rFonts w:cs="Arial"/>
          <w:color w:val="000000"/>
        </w:rPr>
        <w:t>)</w:t>
      </w:r>
      <w:r w:rsidRPr="00D00F4A">
        <w:rPr>
          <w:rFonts w:cs="Arial"/>
          <w:color w:val="000000"/>
        </w:rPr>
        <w:t>, 1+ recruits were samp</w:t>
      </w:r>
      <w:r>
        <w:rPr>
          <w:rFonts w:cs="Arial"/>
          <w:color w:val="000000"/>
        </w:rPr>
        <w:t xml:space="preserve">led more efficiently than YOY. </w:t>
      </w:r>
    </w:p>
    <w:p w14:paraId="3B4F944F" w14:textId="77777777" w:rsidR="008E6212" w:rsidRDefault="008E6212" w:rsidP="008E6212">
      <w:pPr>
        <w:pStyle w:val="ListParagraph"/>
        <w:shd w:val="clear" w:color="auto" w:fill="FFFFFF"/>
        <w:ind w:left="0"/>
        <w:jc w:val="center"/>
        <w:rPr>
          <w:rFonts w:cs="Arial"/>
          <w:b/>
          <w:color w:val="000000"/>
        </w:rPr>
      </w:pPr>
      <w:r>
        <w:rPr>
          <w:rFonts w:cs="Arial"/>
          <w:b/>
          <w:noProof/>
          <w:color w:val="000000"/>
          <w:lang w:eastAsia="en-AU"/>
        </w:rPr>
        <w:lastRenderedPageBreak/>
        <w:drawing>
          <wp:inline distT="0" distB="0" distL="0" distR="0" wp14:anchorId="3B4F9672" wp14:editId="3BCF92D2">
            <wp:extent cx="3895725" cy="6286500"/>
            <wp:effectExtent l="0" t="0" r="9525" b="0"/>
            <wp:docPr id="3" name="Picture 3" descr="MC1plusrec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1plusrecindex"/>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895725" cy="6286500"/>
                    </a:xfrm>
                    <a:prstGeom prst="rect">
                      <a:avLst/>
                    </a:prstGeom>
                    <a:noFill/>
                    <a:ln>
                      <a:noFill/>
                    </a:ln>
                  </pic:spPr>
                </pic:pic>
              </a:graphicData>
            </a:graphic>
          </wp:inline>
        </w:drawing>
      </w:r>
    </w:p>
    <w:p w14:paraId="3B4F9450" w14:textId="77777777" w:rsidR="008E6212" w:rsidRDefault="008E6212" w:rsidP="008E6212">
      <w:pPr>
        <w:pStyle w:val="ListParagraph"/>
        <w:shd w:val="clear" w:color="auto" w:fill="FFFFFF"/>
        <w:spacing w:line="240" w:lineRule="auto"/>
        <w:ind w:left="0"/>
        <w:jc w:val="left"/>
        <w:rPr>
          <w:rFonts w:cs="Arial"/>
          <w:color w:val="000000"/>
          <w:sz w:val="20"/>
        </w:rPr>
      </w:pPr>
      <w:r>
        <w:rPr>
          <w:rFonts w:cs="Arial"/>
          <w:b/>
          <w:color w:val="000000"/>
          <w:sz w:val="20"/>
        </w:rPr>
        <w:t>Figure D.1</w:t>
      </w:r>
      <w:r w:rsidR="00045C8E">
        <w:rPr>
          <w:rFonts w:cs="Arial"/>
          <w:b/>
          <w:color w:val="000000"/>
          <w:sz w:val="20"/>
        </w:rPr>
        <w:t>3</w:t>
      </w:r>
      <w:r w:rsidRPr="00B0587D">
        <w:rPr>
          <w:rFonts w:cs="Arial"/>
          <w:color w:val="000000"/>
          <w:sz w:val="20"/>
        </w:rPr>
        <w:t>: Recruitment indices expressed as</w:t>
      </w:r>
      <w:r>
        <w:rPr>
          <w:rFonts w:cs="Arial"/>
          <w:b/>
          <w:color w:val="000000"/>
          <w:sz w:val="20"/>
        </w:rPr>
        <w:t xml:space="preserve"> </w:t>
      </w:r>
      <w:r>
        <w:rPr>
          <w:rFonts w:cs="Arial"/>
          <w:color w:val="000000"/>
          <w:sz w:val="20"/>
        </w:rPr>
        <w:t>c</w:t>
      </w:r>
      <w:r w:rsidRPr="00A764E1">
        <w:rPr>
          <w:rFonts w:cs="Arial"/>
          <w:color w:val="000000"/>
          <w:sz w:val="20"/>
        </w:rPr>
        <w:t>atch per unit effort (1</w:t>
      </w:r>
      <w:r>
        <w:rPr>
          <w:rFonts w:cs="Arial"/>
          <w:color w:val="000000"/>
          <w:sz w:val="20"/>
        </w:rPr>
        <w:t xml:space="preserve">000 seconds) </w:t>
      </w:r>
      <w:r w:rsidR="000E69C9">
        <w:rPr>
          <w:rFonts w:cs="Arial"/>
          <w:color w:val="000000"/>
          <w:sz w:val="20"/>
        </w:rPr>
        <w:t>of</w:t>
      </w:r>
      <w:r>
        <w:rPr>
          <w:rFonts w:cs="Arial"/>
          <w:color w:val="000000"/>
          <w:sz w:val="20"/>
        </w:rPr>
        <w:t xml:space="preserve"> </w:t>
      </w:r>
      <w:r w:rsidRPr="00A764E1">
        <w:rPr>
          <w:rFonts w:cs="Arial"/>
          <w:color w:val="000000"/>
          <w:sz w:val="20"/>
        </w:rPr>
        <w:t xml:space="preserve">Young-of-Year </w:t>
      </w:r>
      <w:r>
        <w:rPr>
          <w:rFonts w:cs="Arial"/>
          <w:color w:val="000000"/>
          <w:sz w:val="20"/>
        </w:rPr>
        <w:t>(top</w:t>
      </w:r>
      <w:r w:rsidRPr="00A764E1">
        <w:rPr>
          <w:rFonts w:cs="Arial"/>
          <w:color w:val="000000"/>
          <w:sz w:val="20"/>
        </w:rPr>
        <w:t xml:space="preserve">) and </w:t>
      </w:r>
      <w:r>
        <w:rPr>
          <w:rFonts w:cs="Arial"/>
          <w:color w:val="000000"/>
          <w:sz w:val="20"/>
        </w:rPr>
        <w:t xml:space="preserve">age-class 1+ </w:t>
      </w:r>
      <w:r w:rsidRPr="00A764E1">
        <w:rPr>
          <w:rFonts w:cs="Arial"/>
          <w:color w:val="000000"/>
          <w:sz w:val="20"/>
        </w:rPr>
        <w:t>(</w:t>
      </w:r>
      <w:r>
        <w:rPr>
          <w:rFonts w:cs="Arial"/>
          <w:color w:val="000000"/>
          <w:sz w:val="20"/>
        </w:rPr>
        <w:t>bottom</w:t>
      </w:r>
      <w:r w:rsidRPr="00A764E1">
        <w:rPr>
          <w:rFonts w:cs="Arial"/>
          <w:color w:val="000000"/>
          <w:sz w:val="20"/>
        </w:rPr>
        <w:t xml:space="preserve">) Murray cod sampled in the Edward-Wakool system in 2014-15 </w:t>
      </w:r>
      <w:r>
        <w:rPr>
          <w:rFonts w:cs="Arial"/>
          <w:color w:val="000000"/>
          <w:sz w:val="20"/>
        </w:rPr>
        <w:t>and 2015-16</w:t>
      </w:r>
      <w:r w:rsidRPr="00A764E1">
        <w:rPr>
          <w:rFonts w:cs="Arial"/>
          <w:color w:val="000000"/>
          <w:sz w:val="20"/>
        </w:rPr>
        <w:t xml:space="preserve">. </w:t>
      </w:r>
      <w:r>
        <w:rPr>
          <w:rFonts w:cs="Arial"/>
          <w:color w:val="000000"/>
          <w:sz w:val="20"/>
        </w:rPr>
        <w:t xml:space="preserve">Values +/- SE represent the fitted estimates of a Generalized Linear Mixed Model including all fixed effects in Table </w:t>
      </w:r>
      <w:r w:rsidR="007478C0">
        <w:rPr>
          <w:rFonts w:cs="Arial"/>
          <w:color w:val="000000"/>
          <w:sz w:val="20"/>
        </w:rPr>
        <w:t>D8</w:t>
      </w:r>
      <w:r>
        <w:rPr>
          <w:rFonts w:cs="Arial"/>
          <w:color w:val="000000"/>
          <w:sz w:val="20"/>
        </w:rPr>
        <w:t>.</w:t>
      </w:r>
    </w:p>
    <w:p w14:paraId="3B4F9451" w14:textId="77777777" w:rsidR="008E6212" w:rsidRDefault="008E6212" w:rsidP="008E6212">
      <w:pPr>
        <w:pStyle w:val="ListParagraph"/>
        <w:shd w:val="clear" w:color="auto" w:fill="FFFFFF"/>
        <w:ind w:left="0"/>
        <w:jc w:val="left"/>
        <w:rPr>
          <w:rFonts w:cs="Arial"/>
          <w:color w:val="000000"/>
          <w:sz w:val="20"/>
        </w:rPr>
      </w:pPr>
    </w:p>
    <w:p w14:paraId="3B4F9452" w14:textId="77777777" w:rsidR="008E6212" w:rsidRDefault="008E6212" w:rsidP="008E6212">
      <w:pPr>
        <w:spacing w:after="0" w:line="240" w:lineRule="auto"/>
        <w:jc w:val="left"/>
        <w:rPr>
          <w:rFonts w:eastAsia="Times New Roman"/>
          <w:b/>
          <w:color w:val="000000"/>
          <w:sz w:val="20"/>
          <w:lang w:eastAsia="en-AU"/>
        </w:rPr>
      </w:pPr>
      <w:r>
        <w:rPr>
          <w:rFonts w:eastAsia="Times New Roman"/>
          <w:b/>
          <w:color w:val="000000"/>
          <w:sz w:val="20"/>
          <w:lang w:eastAsia="en-AU"/>
        </w:rPr>
        <w:br w:type="page"/>
      </w:r>
    </w:p>
    <w:p w14:paraId="3B4F9453" w14:textId="77777777" w:rsidR="008E6212" w:rsidRPr="00A764E1" w:rsidRDefault="008E6212" w:rsidP="008E6212">
      <w:pPr>
        <w:spacing w:after="240" w:line="240" w:lineRule="auto"/>
        <w:rPr>
          <w:sz w:val="20"/>
        </w:rPr>
      </w:pPr>
      <w:r>
        <w:rPr>
          <w:rFonts w:eastAsia="Times New Roman"/>
          <w:b/>
          <w:color w:val="000000"/>
          <w:sz w:val="20"/>
          <w:lang w:eastAsia="en-AU"/>
        </w:rPr>
        <w:lastRenderedPageBreak/>
        <w:t>Table D.</w:t>
      </w:r>
      <w:r w:rsidR="007478C0">
        <w:rPr>
          <w:rFonts w:eastAsia="Times New Roman"/>
          <w:b/>
          <w:color w:val="000000"/>
          <w:sz w:val="20"/>
          <w:lang w:eastAsia="en-AU"/>
        </w:rPr>
        <w:t>8.</w:t>
      </w:r>
      <w:r w:rsidRPr="00A764E1">
        <w:rPr>
          <w:rFonts w:eastAsia="Times New Roman"/>
          <w:color w:val="000000"/>
          <w:sz w:val="20"/>
          <w:lang w:eastAsia="en-AU"/>
        </w:rPr>
        <w:t xml:space="preserve">Recruitment </w:t>
      </w:r>
      <w:r>
        <w:rPr>
          <w:rFonts w:eastAsia="Times New Roman"/>
          <w:color w:val="000000"/>
          <w:sz w:val="20"/>
          <w:lang w:eastAsia="en-AU"/>
        </w:rPr>
        <w:t xml:space="preserve">indices for Young-of-Year (YOY) </w:t>
      </w:r>
      <w:r w:rsidRPr="00A764E1">
        <w:rPr>
          <w:rFonts w:eastAsia="Times New Roman"/>
          <w:color w:val="000000"/>
          <w:sz w:val="20"/>
          <w:lang w:eastAsia="en-AU"/>
        </w:rPr>
        <w:t xml:space="preserve">and age-class 1 (1+) Murray cod </w:t>
      </w:r>
      <w:r>
        <w:rPr>
          <w:rFonts w:eastAsia="Times New Roman"/>
          <w:color w:val="000000"/>
          <w:sz w:val="20"/>
          <w:lang w:eastAsia="en-AU"/>
        </w:rPr>
        <w:t>in</w:t>
      </w:r>
      <w:r w:rsidRPr="00A764E1">
        <w:rPr>
          <w:rFonts w:eastAsia="Times New Roman"/>
          <w:color w:val="000000"/>
          <w:sz w:val="20"/>
          <w:lang w:eastAsia="en-AU"/>
        </w:rPr>
        <w:t xml:space="preserve"> the Edward-Wakool system </w:t>
      </w:r>
      <w:r>
        <w:rPr>
          <w:rFonts w:eastAsia="Times New Roman"/>
          <w:color w:val="000000"/>
          <w:sz w:val="20"/>
          <w:lang w:eastAsia="en-AU"/>
        </w:rPr>
        <w:t>in</w:t>
      </w:r>
      <w:r w:rsidRPr="00A764E1">
        <w:rPr>
          <w:rFonts w:eastAsia="Times New Roman"/>
          <w:color w:val="000000"/>
          <w:sz w:val="20"/>
          <w:lang w:eastAsia="en-AU"/>
        </w:rPr>
        <w:t xml:space="preserve"> 2014-15</w:t>
      </w:r>
      <w:r>
        <w:rPr>
          <w:rFonts w:eastAsia="Times New Roman"/>
          <w:color w:val="000000"/>
          <w:sz w:val="20"/>
          <w:lang w:eastAsia="en-AU"/>
        </w:rPr>
        <w:t xml:space="preserve"> and 2015-16</w:t>
      </w:r>
      <w:r w:rsidRPr="00A764E1">
        <w:rPr>
          <w:rFonts w:eastAsia="Times New Roman"/>
          <w:color w:val="000000"/>
          <w:sz w:val="20"/>
          <w:lang w:eastAsia="en-AU"/>
        </w:rPr>
        <w:t xml:space="preserve">.  </w:t>
      </w:r>
      <w:r>
        <w:rPr>
          <w:rFonts w:eastAsia="Times New Roman"/>
          <w:color w:val="000000"/>
          <w:sz w:val="20"/>
          <w:lang w:eastAsia="en-AU"/>
        </w:rPr>
        <w:t>Differences among zones and years were not significant.  Values are reported only for significant (P&lt;0.05) effects.</w:t>
      </w:r>
    </w:p>
    <w:tbl>
      <w:tblPr>
        <w:tblW w:w="7265" w:type="dxa"/>
        <w:jc w:val="center"/>
        <w:tblLook w:val="04A0" w:firstRow="1" w:lastRow="0" w:firstColumn="1" w:lastColumn="0" w:noHBand="0" w:noVBand="1"/>
      </w:tblPr>
      <w:tblGrid>
        <w:gridCol w:w="2180"/>
        <w:gridCol w:w="700"/>
        <w:gridCol w:w="717"/>
        <w:gridCol w:w="943"/>
        <w:gridCol w:w="266"/>
        <w:gridCol w:w="807"/>
        <w:gridCol w:w="709"/>
        <w:gridCol w:w="943"/>
      </w:tblGrid>
      <w:tr w:rsidR="008E6212" w:rsidRPr="0053671A" w14:paraId="3B4F9458" w14:textId="77777777" w:rsidTr="009C1A36">
        <w:trPr>
          <w:trHeight w:val="300"/>
          <w:jc w:val="center"/>
        </w:trPr>
        <w:tc>
          <w:tcPr>
            <w:tcW w:w="2180" w:type="dxa"/>
            <w:tcBorders>
              <w:top w:val="single" w:sz="4" w:space="0" w:color="auto"/>
              <w:left w:val="nil"/>
              <w:right w:val="nil"/>
            </w:tcBorders>
            <w:shd w:val="clear" w:color="auto" w:fill="D6E3BC"/>
            <w:noWrap/>
            <w:vAlign w:val="bottom"/>
            <w:hideMark/>
          </w:tcPr>
          <w:p w14:paraId="3B4F9454"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 </w:t>
            </w:r>
          </w:p>
        </w:tc>
        <w:tc>
          <w:tcPr>
            <w:tcW w:w="2360" w:type="dxa"/>
            <w:gridSpan w:val="3"/>
            <w:tcBorders>
              <w:top w:val="single" w:sz="4" w:space="0" w:color="auto"/>
              <w:left w:val="nil"/>
              <w:bottom w:val="single" w:sz="4" w:space="0" w:color="auto"/>
              <w:right w:val="nil"/>
            </w:tcBorders>
            <w:shd w:val="clear" w:color="auto" w:fill="D6E3BC"/>
            <w:noWrap/>
            <w:vAlign w:val="bottom"/>
            <w:hideMark/>
          </w:tcPr>
          <w:p w14:paraId="3B4F9455"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 xml:space="preserve">       YOY recruitment index</w:t>
            </w:r>
          </w:p>
        </w:tc>
        <w:tc>
          <w:tcPr>
            <w:tcW w:w="266" w:type="dxa"/>
            <w:tcBorders>
              <w:top w:val="single" w:sz="4" w:space="0" w:color="auto"/>
              <w:left w:val="nil"/>
              <w:bottom w:val="nil"/>
              <w:right w:val="nil"/>
            </w:tcBorders>
            <w:shd w:val="clear" w:color="auto" w:fill="D6E3BC"/>
            <w:noWrap/>
            <w:vAlign w:val="bottom"/>
            <w:hideMark/>
          </w:tcPr>
          <w:p w14:paraId="3B4F9456" w14:textId="77777777" w:rsidR="008E6212" w:rsidRPr="00B62BAC" w:rsidRDefault="008E6212" w:rsidP="009C1A36">
            <w:pPr>
              <w:spacing w:after="0" w:line="240" w:lineRule="auto"/>
              <w:jc w:val="center"/>
              <w:rPr>
                <w:rFonts w:eastAsia="Times New Roman"/>
                <w:color w:val="000000"/>
                <w:sz w:val="20"/>
                <w:lang w:eastAsia="en-AU"/>
              </w:rPr>
            </w:pPr>
            <w:r w:rsidRPr="00B62BAC">
              <w:rPr>
                <w:rFonts w:eastAsia="Times New Roman"/>
                <w:color w:val="000000"/>
                <w:sz w:val="20"/>
                <w:lang w:eastAsia="en-AU"/>
              </w:rPr>
              <w:t> </w:t>
            </w:r>
          </w:p>
        </w:tc>
        <w:tc>
          <w:tcPr>
            <w:tcW w:w="2459" w:type="dxa"/>
            <w:gridSpan w:val="3"/>
            <w:tcBorders>
              <w:top w:val="single" w:sz="4" w:space="0" w:color="auto"/>
              <w:left w:val="nil"/>
              <w:bottom w:val="single" w:sz="4" w:space="0" w:color="auto"/>
              <w:right w:val="nil"/>
            </w:tcBorders>
            <w:shd w:val="clear" w:color="auto" w:fill="D6E3BC"/>
            <w:noWrap/>
            <w:vAlign w:val="bottom"/>
            <w:hideMark/>
          </w:tcPr>
          <w:p w14:paraId="3B4F9457" w14:textId="77777777" w:rsidR="008E6212" w:rsidRPr="00B62BAC" w:rsidRDefault="008E6212" w:rsidP="009C1A36">
            <w:pPr>
              <w:spacing w:after="0" w:line="240" w:lineRule="auto"/>
              <w:jc w:val="center"/>
              <w:rPr>
                <w:rFonts w:eastAsia="Times New Roman"/>
                <w:color w:val="000000"/>
                <w:sz w:val="20"/>
                <w:lang w:eastAsia="en-AU"/>
              </w:rPr>
            </w:pPr>
            <w:r w:rsidRPr="00B62BAC">
              <w:rPr>
                <w:rFonts w:eastAsia="Times New Roman"/>
                <w:color w:val="000000"/>
                <w:sz w:val="20"/>
                <w:lang w:eastAsia="en-AU"/>
              </w:rPr>
              <w:t>1+ recruitment index</w:t>
            </w:r>
          </w:p>
        </w:tc>
      </w:tr>
      <w:tr w:rsidR="008E6212" w:rsidRPr="0053671A" w14:paraId="3B4F9462" w14:textId="77777777" w:rsidTr="009C1A36">
        <w:trPr>
          <w:trHeight w:val="300"/>
          <w:jc w:val="center"/>
        </w:trPr>
        <w:tc>
          <w:tcPr>
            <w:tcW w:w="2180" w:type="dxa"/>
            <w:tcBorders>
              <w:left w:val="nil"/>
              <w:bottom w:val="single" w:sz="4" w:space="0" w:color="auto"/>
              <w:right w:val="nil"/>
            </w:tcBorders>
            <w:shd w:val="clear" w:color="auto" w:fill="D6E3BC"/>
            <w:noWrap/>
            <w:vAlign w:val="bottom"/>
            <w:hideMark/>
          </w:tcPr>
          <w:p w14:paraId="3B4F9459"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Fixed effects</w:t>
            </w:r>
          </w:p>
        </w:tc>
        <w:tc>
          <w:tcPr>
            <w:tcW w:w="700" w:type="dxa"/>
            <w:tcBorders>
              <w:top w:val="nil"/>
              <w:left w:val="nil"/>
              <w:bottom w:val="single" w:sz="4" w:space="0" w:color="auto"/>
              <w:right w:val="nil"/>
            </w:tcBorders>
            <w:shd w:val="clear" w:color="auto" w:fill="D6E3BC"/>
            <w:noWrap/>
            <w:vAlign w:val="bottom"/>
            <w:hideMark/>
          </w:tcPr>
          <w:p w14:paraId="3B4F945A"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 xml:space="preserve">value </w:t>
            </w:r>
          </w:p>
        </w:tc>
        <w:tc>
          <w:tcPr>
            <w:tcW w:w="717" w:type="dxa"/>
            <w:tcBorders>
              <w:top w:val="nil"/>
              <w:left w:val="nil"/>
              <w:bottom w:val="single" w:sz="4" w:space="0" w:color="auto"/>
              <w:right w:val="nil"/>
            </w:tcBorders>
            <w:shd w:val="clear" w:color="auto" w:fill="D6E3BC"/>
            <w:noWrap/>
            <w:vAlign w:val="bottom"/>
            <w:hideMark/>
          </w:tcPr>
          <w:p w14:paraId="3B4F945B"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 xml:space="preserve">Std. </w:t>
            </w:r>
          </w:p>
          <w:p w14:paraId="3B4F945C"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Error</w:t>
            </w:r>
          </w:p>
        </w:tc>
        <w:tc>
          <w:tcPr>
            <w:tcW w:w="943" w:type="dxa"/>
            <w:tcBorders>
              <w:top w:val="nil"/>
              <w:left w:val="nil"/>
              <w:bottom w:val="single" w:sz="4" w:space="0" w:color="auto"/>
              <w:right w:val="nil"/>
            </w:tcBorders>
            <w:shd w:val="clear" w:color="auto" w:fill="D6E3BC"/>
            <w:noWrap/>
            <w:vAlign w:val="bottom"/>
            <w:hideMark/>
          </w:tcPr>
          <w:p w14:paraId="3B4F945D"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p-value</w:t>
            </w:r>
          </w:p>
        </w:tc>
        <w:tc>
          <w:tcPr>
            <w:tcW w:w="266" w:type="dxa"/>
            <w:tcBorders>
              <w:top w:val="nil"/>
              <w:left w:val="nil"/>
              <w:bottom w:val="single" w:sz="4" w:space="0" w:color="auto"/>
              <w:right w:val="nil"/>
            </w:tcBorders>
            <w:shd w:val="clear" w:color="auto" w:fill="D6E3BC"/>
            <w:noWrap/>
            <w:vAlign w:val="bottom"/>
            <w:hideMark/>
          </w:tcPr>
          <w:p w14:paraId="3B4F945E"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 </w:t>
            </w:r>
          </w:p>
        </w:tc>
        <w:tc>
          <w:tcPr>
            <w:tcW w:w="807" w:type="dxa"/>
            <w:tcBorders>
              <w:top w:val="nil"/>
              <w:left w:val="nil"/>
              <w:bottom w:val="single" w:sz="4" w:space="0" w:color="auto"/>
              <w:right w:val="nil"/>
            </w:tcBorders>
            <w:shd w:val="clear" w:color="auto" w:fill="D6E3BC"/>
            <w:noWrap/>
            <w:vAlign w:val="bottom"/>
            <w:hideMark/>
          </w:tcPr>
          <w:p w14:paraId="3B4F945F"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 xml:space="preserve">value </w:t>
            </w:r>
          </w:p>
        </w:tc>
        <w:tc>
          <w:tcPr>
            <w:tcW w:w="709" w:type="dxa"/>
            <w:tcBorders>
              <w:top w:val="nil"/>
              <w:left w:val="nil"/>
              <w:bottom w:val="single" w:sz="4" w:space="0" w:color="auto"/>
              <w:right w:val="nil"/>
            </w:tcBorders>
            <w:shd w:val="clear" w:color="auto" w:fill="D6E3BC"/>
            <w:noWrap/>
            <w:vAlign w:val="bottom"/>
            <w:hideMark/>
          </w:tcPr>
          <w:p w14:paraId="3B4F9460"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Std. Error</w:t>
            </w:r>
          </w:p>
        </w:tc>
        <w:tc>
          <w:tcPr>
            <w:tcW w:w="943" w:type="dxa"/>
            <w:tcBorders>
              <w:top w:val="nil"/>
              <w:left w:val="nil"/>
              <w:bottom w:val="single" w:sz="4" w:space="0" w:color="auto"/>
              <w:right w:val="nil"/>
            </w:tcBorders>
            <w:shd w:val="clear" w:color="auto" w:fill="D6E3BC"/>
            <w:noWrap/>
            <w:vAlign w:val="bottom"/>
            <w:hideMark/>
          </w:tcPr>
          <w:p w14:paraId="3B4F9461"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p-value</w:t>
            </w:r>
          </w:p>
        </w:tc>
      </w:tr>
      <w:tr w:rsidR="008E6212" w:rsidRPr="0053671A" w14:paraId="3B4F946B" w14:textId="77777777" w:rsidTr="009C1A36">
        <w:trPr>
          <w:trHeight w:val="300"/>
          <w:jc w:val="center"/>
        </w:trPr>
        <w:tc>
          <w:tcPr>
            <w:tcW w:w="2180" w:type="dxa"/>
            <w:tcBorders>
              <w:top w:val="nil"/>
              <w:left w:val="nil"/>
              <w:bottom w:val="nil"/>
              <w:right w:val="nil"/>
            </w:tcBorders>
            <w:shd w:val="clear" w:color="auto" w:fill="auto"/>
            <w:noWrap/>
            <w:vAlign w:val="bottom"/>
          </w:tcPr>
          <w:p w14:paraId="3B4F9463" w14:textId="77777777" w:rsidR="008E6212" w:rsidRPr="00B62BAC" w:rsidRDefault="008E6212" w:rsidP="009C1A36">
            <w:pPr>
              <w:spacing w:after="0" w:line="240" w:lineRule="auto"/>
              <w:rPr>
                <w:rFonts w:eastAsia="Times New Roman"/>
                <w:color w:val="000000"/>
                <w:sz w:val="20"/>
                <w:lang w:eastAsia="en-AU"/>
              </w:rPr>
            </w:pPr>
            <w:r w:rsidRPr="00B62BAC">
              <w:rPr>
                <w:rFonts w:eastAsia="Times New Roman"/>
                <w:color w:val="000000"/>
                <w:sz w:val="20"/>
                <w:lang w:eastAsia="en-AU"/>
              </w:rPr>
              <w:t>Gear</w:t>
            </w:r>
          </w:p>
        </w:tc>
        <w:tc>
          <w:tcPr>
            <w:tcW w:w="700" w:type="dxa"/>
            <w:tcBorders>
              <w:top w:val="nil"/>
              <w:left w:val="nil"/>
              <w:bottom w:val="nil"/>
              <w:right w:val="nil"/>
            </w:tcBorders>
            <w:shd w:val="clear" w:color="auto" w:fill="auto"/>
            <w:noWrap/>
            <w:vAlign w:val="bottom"/>
          </w:tcPr>
          <w:p w14:paraId="3B4F9464" w14:textId="77777777" w:rsidR="008E6212" w:rsidRPr="00B62BAC" w:rsidRDefault="008E6212" w:rsidP="009C1A36">
            <w:pPr>
              <w:spacing w:after="0" w:line="240" w:lineRule="auto"/>
              <w:jc w:val="left"/>
              <w:rPr>
                <w:rFonts w:eastAsia="Times New Roman"/>
                <w:color w:val="000000"/>
                <w:sz w:val="20"/>
                <w:lang w:eastAsia="en-AU"/>
              </w:rPr>
            </w:pPr>
          </w:p>
        </w:tc>
        <w:tc>
          <w:tcPr>
            <w:tcW w:w="717" w:type="dxa"/>
            <w:tcBorders>
              <w:top w:val="nil"/>
              <w:left w:val="nil"/>
              <w:bottom w:val="nil"/>
              <w:right w:val="nil"/>
            </w:tcBorders>
            <w:shd w:val="clear" w:color="auto" w:fill="auto"/>
            <w:noWrap/>
            <w:vAlign w:val="bottom"/>
          </w:tcPr>
          <w:p w14:paraId="3B4F9465" w14:textId="77777777" w:rsidR="008E6212" w:rsidRPr="00B62BAC" w:rsidRDefault="008E6212" w:rsidP="009C1A36">
            <w:pPr>
              <w:spacing w:after="0" w:line="240" w:lineRule="auto"/>
              <w:jc w:val="left"/>
              <w:rPr>
                <w:rFonts w:eastAsia="Times New Roman"/>
                <w:color w:val="000000"/>
                <w:sz w:val="20"/>
                <w:lang w:eastAsia="en-AU"/>
              </w:rPr>
            </w:pPr>
          </w:p>
        </w:tc>
        <w:tc>
          <w:tcPr>
            <w:tcW w:w="943" w:type="dxa"/>
            <w:tcBorders>
              <w:top w:val="nil"/>
              <w:left w:val="nil"/>
              <w:bottom w:val="nil"/>
              <w:right w:val="nil"/>
            </w:tcBorders>
            <w:shd w:val="clear" w:color="auto" w:fill="auto"/>
            <w:noWrap/>
            <w:vAlign w:val="bottom"/>
          </w:tcPr>
          <w:p w14:paraId="3B4F9466"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p&lt;0.001</w:t>
            </w:r>
          </w:p>
        </w:tc>
        <w:tc>
          <w:tcPr>
            <w:tcW w:w="266" w:type="dxa"/>
            <w:tcBorders>
              <w:top w:val="nil"/>
              <w:left w:val="nil"/>
              <w:bottom w:val="nil"/>
              <w:right w:val="nil"/>
            </w:tcBorders>
            <w:shd w:val="clear" w:color="auto" w:fill="auto"/>
            <w:noWrap/>
            <w:vAlign w:val="bottom"/>
          </w:tcPr>
          <w:p w14:paraId="3B4F9467" w14:textId="77777777" w:rsidR="008E6212" w:rsidRPr="00B62BAC" w:rsidRDefault="008E6212" w:rsidP="009C1A36">
            <w:pPr>
              <w:spacing w:after="0" w:line="240" w:lineRule="auto"/>
              <w:rPr>
                <w:rFonts w:eastAsia="Times New Roman"/>
                <w:color w:val="000000"/>
                <w:sz w:val="20"/>
                <w:lang w:eastAsia="en-AU"/>
              </w:rPr>
            </w:pPr>
          </w:p>
        </w:tc>
        <w:tc>
          <w:tcPr>
            <w:tcW w:w="807" w:type="dxa"/>
            <w:tcBorders>
              <w:top w:val="nil"/>
              <w:left w:val="nil"/>
              <w:bottom w:val="nil"/>
              <w:right w:val="nil"/>
            </w:tcBorders>
            <w:shd w:val="clear" w:color="auto" w:fill="auto"/>
            <w:noWrap/>
            <w:vAlign w:val="bottom"/>
          </w:tcPr>
          <w:p w14:paraId="3B4F9468" w14:textId="77777777" w:rsidR="008E6212" w:rsidRPr="00B62BAC" w:rsidRDefault="008E6212" w:rsidP="009C1A36">
            <w:pPr>
              <w:spacing w:after="0" w:line="240" w:lineRule="auto"/>
              <w:jc w:val="right"/>
              <w:rPr>
                <w:rFonts w:eastAsia="Times New Roman"/>
                <w:color w:val="000000"/>
                <w:sz w:val="20"/>
                <w:lang w:eastAsia="en-AU"/>
              </w:rPr>
            </w:pPr>
          </w:p>
        </w:tc>
        <w:tc>
          <w:tcPr>
            <w:tcW w:w="709" w:type="dxa"/>
            <w:tcBorders>
              <w:top w:val="nil"/>
              <w:left w:val="nil"/>
              <w:bottom w:val="nil"/>
              <w:right w:val="nil"/>
            </w:tcBorders>
            <w:shd w:val="clear" w:color="auto" w:fill="auto"/>
            <w:noWrap/>
            <w:vAlign w:val="bottom"/>
          </w:tcPr>
          <w:p w14:paraId="3B4F9469" w14:textId="77777777" w:rsidR="008E6212" w:rsidRPr="00B62BAC" w:rsidRDefault="008E6212" w:rsidP="009C1A36">
            <w:pPr>
              <w:spacing w:after="0" w:line="240" w:lineRule="auto"/>
              <w:jc w:val="right"/>
              <w:rPr>
                <w:rFonts w:eastAsia="Times New Roman"/>
                <w:color w:val="000000"/>
                <w:sz w:val="20"/>
                <w:lang w:eastAsia="en-AU"/>
              </w:rPr>
            </w:pPr>
          </w:p>
        </w:tc>
        <w:tc>
          <w:tcPr>
            <w:tcW w:w="943" w:type="dxa"/>
            <w:tcBorders>
              <w:top w:val="nil"/>
              <w:left w:val="nil"/>
              <w:bottom w:val="nil"/>
              <w:right w:val="nil"/>
            </w:tcBorders>
            <w:shd w:val="clear" w:color="auto" w:fill="auto"/>
            <w:noWrap/>
            <w:vAlign w:val="bottom"/>
          </w:tcPr>
          <w:p w14:paraId="3B4F946A"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p&lt;0.001</w:t>
            </w:r>
          </w:p>
        </w:tc>
      </w:tr>
      <w:tr w:rsidR="008E6212" w:rsidRPr="0053671A" w14:paraId="3B4F9474" w14:textId="77777777" w:rsidTr="009C1A36">
        <w:trPr>
          <w:trHeight w:val="300"/>
          <w:jc w:val="center"/>
        </w:trPr>
        <w:tc>
          <w:tcPr>
            <w:tcW w:w="2180" w:type="dxa"/>
            <w:tcBorders>
              <w:top w:val="nil"/>
              <w:left w:val="nil"/>
              <w:bottom w:val="nil"/>
              <w:right w:val="nil"/>
            </w:tcBorders>
            <w:shd w:val="clear" w:color="auto" w:fill="auto"/>
            <w:noWrap/>
            <w:vAlign w:val="bottom"/>
          </w:tcPr>
          <w:p w14:paraId="3B4F946C"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Angling</w:t>
            </w:r>
          </w:p>
        </w:tc>
        <w:tc>
          <w:tcPr>
            <w:tcW w:w="700" w:type="dxa"/>
            <w:tcBorders>
              <w:top w:val="nil"/>
              <w:left w:val="nil"/>
              <w:bottom w:val="nil"/>
              <w:right w:val="nil"/>
            </w:tcBorders>
            <w:shd w:val="clear" w:color="auto" w:fill="auto"/>
            <w:noWrap/>
            <w:vAlign w:val="bottom"/>
          </w:tcPr>
          <w:p w14:paraId="3B4F946D"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0.00</w:t>
            </w:r>
          </w:p>
        </w:tc>
        <w:tc>
          <w:tcPr>
            <w:tcW w:w="717" w:type="dxa"/>
            <w:tcBorders>
              <w:top w:val="nil"/>
              <w:left w:val="nil"/>
              <w:bottom w:val="nil"/>
              <w:right w:val="nil"/>
            </w:tcBorders>
            <w:shd w:val="clear" w:color="auto" w:fill="auto"/>
            <w:noWrap/>
            <w:vAlign w:val="bottom"/>
          </w:tcPr>
          <w:p w14:paraId="3B4F946E"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0.08</w:t>
            </w:r>
          </w:p>
        </w:tc>
        <w:tc>
          <w:tcPr>
            <w:tcW w:w="943" w:type="dxa"/>
            <w:tcBorders>
              <w:top w:val="nil"/>
              <w:left w:val="nil"/>
              <w:bottom w:val="nil"/>
              <w:right w:val="nil"/>
            </w:tcBorders>
            <w:shd w:val="clear" w:color="auto" w:fill="auto"/>
            <w:noWrap/>
            <w:vAlign w:val="bottom"/>
          </w:tcPr>
          <w:p w14:paraId="3B4F946F" w14:textId="77777777" w:rsidR="008E6212" w:rsidRPr="00B62BAC" w:rsidRDefault="008E6212" w:rsidP="009C1A36">
            <w:pPr>
              <w:spacing w:after="0" w:line="240" w:lineRule="auto"/>
              <w:jc w:val="left"/>
              <w:rPr>
                <w:rFonts w:eastAsia="Times New Roman"/>
                <w:color w:val="000000"/>
                <w:sz w:val="20"/>
                <w:lang w:eastAsia="en-AU"/>
              </w:rPr>
            </w:pPr>
          </w:p>
        </w:tc>
        <w:tc>
          <w:tcPr>
            <w:tcW w:w="266" w:type="dxa"/>
            <w:tcBorders>
              <w:top w:val="nil"/>
              <w:left w:val="nil"/>
              <w:bottom w:val="nil"/>
              <w:right w:val="nil"/>
            </w:tcBorders>
            <w:shd w:val="clear" w:color="auto" w:fill="auto"/>
            <w:noWrap/>
            <w:vAlign w:val="bottom"/>
          </w:tcPr>
          <w:p w14:paraId="3B4F9470" w14:textId="77777777" w:rsidR="008E6212" w:rsidRPr="00B62BAC" w:rsidRDefault="008E6212" w:rsidP="009C1A36">
            <w:pPr>
              <w:spacing w:after="0" w:line="240" w:lineRule="auto"/>
              <w:rPr>
                <w:rFonts w:eastAsia="Times New Roman"/>
                <w:color w:val="000000"/>
                <w:sz w:val="20"/>
                <w:lang w:eastAsia="en-AU"/>
              </w:rPr>
            </w:pPr>
          </w:p>
        </w:tc>
        <w:tc>
          <w:tcPr>
            <w:tcW w:w="807" w:type="dxa"/>
            <w:tcBorders>
              <w:top w:val="nil"/>
              <w:left w:val="nil"/>
              <w:bottom w:val="nil"/>
              <w:right w:val="nil"/>
            </w:tcBorders>
            <w:shd w:val="clear" w:color="auto" w:fill="auto"/>
            <w:noWrap/>
            <w:vAlign w:val="bottom"/>
          </w:tcPr>
          <w:p w14:paraId="3B4F9471"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0.01</w:t>
            </w:r>
          </w:p>
        </w:tc>
        <w:tc>
          <w:tcPr>
            <w:tcW w:w="709" w:type="dxa"/>
            <w:tcBorders>
              <w:top w:val="nil"/>
              <w:left w:val="nil"/>
              <w:bottom w:val="nil"/>
              <w:right w:val="nil"/>
            </w:tcBorders>
            <w:shd w:val="clear" w:color="auto" w:fill="auto"/>
            <w:noWrap/>
            <w:vAlign w:val="bottom"/>
          </w:tcPr>
          <w:p w14:paraId="3B4F9472"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0.08</w:t>
            </w:r>
          </w:p>
        </w:tc>
        <w:tc>
          <w:tcPr>
            <w:tcW w:w="943" w:type="dxa"/>
            <w:tcBorders>
              <w:top w:val="nil"/>
              <w:left w:val="nil"/>
              <w:bottom w:val="nil"/>
              <w:right w:val="nil"/>
            </w:tcBorders>
            <w:shd w:val="clear" w:color="auto" w:fill="auto"/>
            <w:noWrap/>
            <w:vAlign w:val="bottom"/>
          </w:tcPr>
          <w:p w14:paraId="3B4F9473" w14:textId="77777777" w:rsidR="008E6212" w:rsidRPr="00B62BAC" w:rsidRDefault="008E6212" w:rsidP="009C1A36">
            <w:pPr>
              <w:spacing w:after="0" w:line="240" w:lineRule="auto"/>
              <w:rPr>
                <w:rFonts w:eastAsia="Times New Roman"/>
                <w:color w:val="000000"/>
                <w:sz w:val="20"/>
                <w:lang w:eastAsia="en-AU"/>
              </w:rPr>
            </w:pPr>
          </w:p>
        </w:tc>
      </w:tr>
      <w:tr w:rsidR="008E6212" w:rsidRPr="0053671A" w14:paraId="3B4F947D" w14:textId="77777777" w:rsidTr="009C1A36">
        <w:trPr>
          <w:trHeight w:val="300"/>
          <w:jc w:val="center"/>
        </w:trPr>
        <w:tc>
          <w:tcPr>
            <w:tcW w:w="2180" w:type="dxa"/>
            <w:tcBorders>
              <w:top w:val="nil"/>
              <w:left w:val="nil"/>
              <w:right w:val="nil"/>
            </w:tcBorders>
            <w:shd w:val="clear" w:color="auto" w:fill="auto"/>
            <w:noWrap/>
            <w:vAlign w:val="bottom"/>
          </w:tcPr>
          <w:p w14:paraId="3B4F9475"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Backpack EF</w:t>
            </w:r>
          </w:p>
        </w:tc>
        <w:tc>
          <w:tcPr>
            <w:tcW w:w="700" w:type="dxa"/>
            <w:tcBorders>
              <w:top w:val="nil"/>
              <w:left w:val="nil"/>
              <w:right w:val="nil"/>
            </w:tcBorders>
            <w:shd w:val="clear" w:color="auto" w:fill="auto"/>
            <w:noWrap/>
            <w:vAlign w:val="bottom"/>
          </w:tcPr>
          <w:p w14:paraId="3B4F9476"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0.64</w:t>
            </w:r>
          </w:p>
        </w:tc>
        <w:tc>
          <w:tcPr>
            <w:tcW w:w="717" w:type="dxa"/>
            <w:tcBorders>
              <w:top w:val="nil"/>
              <w:left w:val="nil"/>
              <w:right w:val="nil"/>
            </w:tcBorders>
            <w:shd w:val="clear" w:color="auto" w:fill="auto"/>
            <w:noWrap/>
            <w:vAlign w:val="bottom"/>
          </w:tcPr>
          <w:p w14:paraId="3B4F9477"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0.08</w:t>
            </w:r>
          </w:p>
        </w:tc>
        <w:tc>
          <w:tcPr>
            <w:tcW w:w="943" w:type="dxa"/>
            <w:tcBorders>
              <w:top w:val="nil"/>
              <w:left w:val="nil"/>
              <w:right w:val="nil"/>
            </w:tcBorders>
            <w:shd w:val="clear" w:color="auto" w:fill="auto"/>
            <w:noWrap/>
            <w:vAlign w:val="bottom"/>
          </w:tcPr>
          <w:p w14:paraId="3B4F9478" w14:textId="77777777" w:rsidR="008E6212" w:rsidRPr="00B62BAC" w:rsidRDefault="008E6212" w:rsidP="009C1A36">
            <w:pPr>
              <w:spacing w:after="0" w:line="240" w:lineRule="auto"/>
              <w:jc w:val="left"/>
              <w:rPr>
                <w:rFonts w:eastAsia="Times New Roman"/>
                <w:color w:val="000000"/>
                <w:sz w:val="20"/>
                <w:lang w:eastAsia="en-AU"/>
              </w:rPr>
            </w:pPr>
          </w:p>
        </w:tc>
        <w:tc>
          <w:tcPr>
            <w:tcW w:w="266" w:type="dxa"/>
            <w:tcBorders>
              <w:top w:val="nil"/>
              <w:left w:val="nil"/>
              <w:right w:val="nil"/>
            </w:tcBorders>
            <w:shd w:val="clear" w:color="auto" w:fill="auto"/>
            <w:noWrap/>
            <w:vAlign w:val="bottom"/>
          </w:tcPr>
          <w:p w14:paraId="3B4F9479" w14:textId="77777777" w:rsidR="008E6212" w:rsidRPr="00B62BAC" w:rsidRDefault="008E6212" w:rsidP="009C1A36">
            <w:pPr>
              <w:spacing w:after="0" w:line="240" w:lineRule="auto"/>
              <w:rPr>
                <w:rFonts w:eastAsia="Times New Roman"/>
                <w:color w:val="000000"/>
                <w:sz w:val="20"/>
                <w:lang w:eastAsia="en-AU"/>
              </w:rPr>
            </w:pPr>
          </w:p>
        </w:tc>
        <w:tc>
          <w:tcPr>
            <w:tcW w:w="807" w:type="dxa"/>
            <w:tcBorders>
              <w:top w:val="nil"/>
              <w:left w:val="nil"/>
              <w:right w:val="nil"/>
            </w:tcBorders>
            <w:shd w:val="clear" w:color="auto" w:fill="auto"/>
            <w:noWrap/>
            <w:vAlign w:val="bottom"/>
          </w:tcPr>
          <w:p w14:paraId="3B4F947A"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0.74</w:t>
            </w:r>
          </w:p>
        </w:tc>
        <w:tc>
          <w:tcPr>
            <w:tcW w:w="709" w:type="dxa"/>
            <w:tcBorders>
              <w:top w:val="nil"/>
              <w:left w:val="nil"/>
              <w:right w:val="nil"/>
            </w:tcBorders>
            <w:shd w:val="clear" w:color="auto" w:fill="auto"/>
            <w:noWrap/>
            <w:vAlign w:val="bottom"/>
          </w:tcPr>
          <w:p w14:paraId="3B4F947B"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0.8</w:t>
            </w:r>
          </w:p>
        </w:tc>
        <w:tc>
          <w:tcPr>
            <w:tcW w:w="943" w:type="dxa"/>
            <w:tcBorders>
              <w:top w:val="nil"/>
              <w:left w:val="nil"/>
              <w:right w:val="nil"/>
            </w:tcBorders>
            <w:shd w:val="clear" w:color="auto" w:fill="auto"/>
            <w:noWrap/>
            <w:vAlign w:val="bottom"/>
          </w:tcPr>
          <w:p w14:paraId="3B4F947C" w14:textId="77777777" w:rsidR="008E6212" w:rsidRPr="00B62BAC" w:rsidRDefault="008E6212" w:rsidP="009C1A36">
            <w:pPr>
              <w:spacing w:after="0" w:line="240" w:lineRule="auto"/>
              <w:rPr>
                <w:rFonts w:eastAsia="Times New Roman"/>
                <w:color w:val="000000"/>
                <w:sz w:val="20"/>
                <w:lang w:eastAsia="en-AU"/>
              </w:rPr>
            </w:pPr>
          </w:p>
        </w:tc>
      </w:tr>
      <w:tr w:rsidR="008E6212" w:rsidRPr="0053671A" w14:paraId="3B4F9486" w14:textId="77777777" w:rsidTr="009C1A36">
        <w:trPr>
          <w:trHeight w:val="80"/>
          <w:jc w:val="center"/>
        </w:trPr>
        <w:tc>
          <w:tcPr>
            <w:tcW w:w="2180" w:type="dxa"/>
            <w:tcBorders>
              <w:top w:val="nil"/>
              <w:left w:val="nil"/>
              <w:bottom w:val="single" w:sz="4" w:space="0" w:color="auto"/>
              <w:right w:val="nil"/>
            </w:tcBorders>
            <w:shd w:val="clear" w:color="auto" w:fill="auto"/>
            <w:noWrap/>
            <w:vAlign w:val="bottom"/>
          </w:tcPr>
          <w:p w14:paraId="3B4F947E"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Setlines</w:t>
            </w:r>
          </w:p>
        </w:tc>
        <w:tc>
          <w:tcPr>
            <w:tcW w:w="700" w:type="dxa"/>
            <w:tcBorders>
              <w:top w:val="nil"/>
              <w:left w:val="nil"/>
              <w:bottom w:val="single" w:sz="4" w:space="0" w:color="auto"/>
              <w:right w:val="nil"/>
            </w:tcBorders>
            <w:shd w:val="clear" w:color="auto" w:fill="auto"/>
            <w:noWrap/>
            <w:vAlign w:val="bottom"/>
          </w:tcPr>
          <w:p w14:paraId="3B4F947F"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0.00</w:t>
            </w:r>
          </w:p>
        </w:tc>
        <w:tc>
          <w:tcPr>
            <w:tcW w:w="717" w:type="dxa"/>
            <w:tcBorders>
              <w:top w:val="nil"/>
              <w:left w:val="nil"/>
              <w:bottom w:val="single" w:sz="4" w:space="0" w:color="auto"/>
              <w:right w:val="nil"/>
            </w:tcBorders>
            <w:shd w:val="clear" w:color="auto" w:fill="auto"/>
            <w:noWrap/>
            <w:vAlign w:val="bottom"/>
          </w:tcPr>
          <w:p w14:paraId="3B4F9480" w14:textId="77777777" w:rsidR="008E6212" w:rsidRPr="00B62BAC" w:rsidRDefault="008E6212" w:rsidP="009C1A36">
            <w:pPr>
              <w:spacing w:after="0" w:line="240" w:lineRule="auto"/>
              <w:jc w:val="left"/>
              <w:rPr>
                <w:rFonts w:eastAsia="Times New Roman"/>
                <w:color w:val="000000"/>
                <w:sz w:val="20"/>
                <w:lang w:eastAsia="en-AU"/>
              </w:rPr>
            </w:pPr>
            <w:r w:rsidRPr="00B62BAC">
              <w:rPr>
                <w:rFonts w:eastAsia="Times New Roman"/>
                <w:color w:val="000000"/>
                <w:sz w:val="20"/>
                <w:lang w:eastAsia="en-AU"/>
              </w:rPr>
              <w:t>0.08</w:t>
            </w:r>
          </w:p>
        </w:tc>
        <w:tc>
          <w:tcPr>
            <w:tcW w:w="943" w:type="dxa"/>
            <w:tcBorders>
              <w:top w:val="nil"/>
              <w:left w:val="nil"/>
              <w:bottom w:val="single" w:sz="4" w:space="0" w:color="auto"/>
              <w:right w:val="nil"/>
            </w:tcBorders>
            <w:shd w:val="clear" w:color="auto" w:fill="auto"/>
            <w:noWrap/>
            <w:vAlign w:val="bottom"/>
          </w:tcPr>
          <w:p w14:paraId="3B4F9481" w14:textId="77777777" w:rsidR="008E6212" w:rsidRPr="00B62BAC" w:rsidRDefault="008E6212" w:rsidP="009C1A36">
            <w:pPr>
              <w:spacing w:after="0" w:line="240" w:lineRule="auto"/>
              <w:jc w:val="left"/>
              <w:rPr>
                <w:rFonts w:eastAsia="Times New Roman"/>
                <w:color w:val="000000"/>
                <w:sz w:val="20"/>
                <w:lang w:eastAsia="en-AU"/>
              </w:rPr>
            </w:pPr>
          </w:p>
        </w:tc>
        <w:tc>
          <w:tcPr>
            <w:tcW w:w="266" w:type="dxa"/>
            <w:tcBorders>
              <w:top w:val="nil"/>
              <w:left w:val="nil"/>
              <w:bottom w:val="single" w:sz="4" w:space="0" w:color="auto"/>
              <w:right w:val="nil"/>
            </w:tcBorders>
            <w:shd w:val="clear" w:color="auto" w:fill="auto"/>
            <w:noWrap/>
            <w:vAlign w:val="bottom"/>
          </w:tcPr>
          <w:p w14:paraId="3B4F9482" w14:textId="77777777" w:rsidR="008E6212" w:rsidRPr="00B62BAC" w:rsidRDefault="008E6212" w:rsidP="009C1A36">
            <w:pPr>
              <w:spacing w:after="0" w:line="240" w:lineRule="auto"/>
              <w:rPr>
                <w:rFonts w:eastAsia="Times New Roman"/>
                <w:color w:val="000000"/>
                <w:sz w:val="20"/>
                <w:lang w:eastAsia="en-AU"/>
              </w:rPr>
            </w:pPr>
          </w:p>
        </w:tc>
        <w:tc>
          <w:tcPr>
            <w:tcW w:w="807" w:type="dxa"/>
            <w:tcBorders>
              <w:top w:val="nil"/>
              <w:left w:val="nil"/>
              <w:bottom w:val="single" w:sz="4" w:space="0" w:color="auto"/>
              <w:right w:val="nil"/>
            </w:tcBorders>
            <w:shd w:val="clear" w:color="auto" w:fill="auto"/>
            <w:noWrap/>
            <w:vAlign w:val="bottom"/>
          </w:tcPr>
          <w:p w14:paraId="3B4F9483"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0.01</w:t>
            </w:r>
          </w:p>
        </w:tc>
        <w:tc>
          <w:tcPr>
            <w:tcW w:w="709" w:type="dxa"/>
            <w:tcBorders>
              <w:top w:val="nil"/>
              <w:left w:val="nil"/>
              <w:bottom w:val="single" w:sz="4" w:space="0" w:color="auto"/>
              <w:right w:val="nil"/>
            </w:tcBorders>
            <w:shd w:val="clear" w:color="auto" w:fill="auto"/>
            <w:noWrap/>
            <w:vAlign w:val="bottom"/>
          </w:tcPr>
          <w:p w14:paraId="3B4F9484" w14:textId="77777777" w:rsidR="008E6212" w:rsidRPr="00B62BAC" w:rsidRDefault="008E6212" w:rsidP="009C1A36">
            <w:pPr>
              <w:spacing w:after="0" w:line="240" w:lineRule="auto"/>
              <w:jc w:val="right"/>
              <w:rPr>
                <w:rFonts w:eastAsia="Times New Roman"/>
                <w:color w:val="000000"/>
                <w:sz w:val="20"/>
                <w:lang w:eastAsia="en-AU"/>
              </w:rPr>
            </w:pPr>
            <w:r w:rsidRPr="00B62BAC">
              <w:rPr>
                <w:rFonts w:eastAsia="Times New Roman"/>
                <w:color w:val="000000"/>
                <w:sz w:val="20"/>
                <w:lang w:eastAsia="en-AU"/>
              </w:rPr>
              <w:t>0.08</w:t>
            </w:r>
          </w:p>
        </w:tc>
        <w:tc>
          <w:tcPr>
            <w:tcW w:w="943" w:type="dxa"/>
            <w:tcBorders>
              <w:top w:val="nil"/>
              <w:left w:val="nil"/>
              <w:bottom w:val="single" w:sz="4" w:space="0" w:color="auto"/>
              <w:right w:val="nil"/>
            </w:tcBorders>
            <w:shd w:val="clear" w:color="auto" w:fill="auto"/>
            <w:noWrap/>
            <w:vAlign w:val="bottom"/>
          </w:tcPr>
          <w:p w14:paraId="3B4F9485" w14:textId="77777777" w:rsidR="008E6212" w:rsidRPr="00B62BAC" w:rsidRDefault="008E6212" w:rsidP="009C1A36">
            <w:pPr>
              <w:spacing w:after="0" w:line="240" w:lineRule="auto"/>
              <w:rPr>
                <w:rFonts w:eastAsia="Times New Roman"/>
                <w:color w:val="000000"/>
                <w:sz w:val="20"/>
                <w:lang w:eastAsia="en-AU"/>
              </w:rPr>
            </w:pPr>
          </w:p>
        </w:tc>
      </w:tr>
    </w:tbl>
    <w:p w14:paraId="3B4F9487" w14:textId="77777777" w:rsidR="008E6212" w:rsidRDefault="008E6212" w:rsidP="008E6212">
      <w:pPr>
        <w:pStyle w:val="ListParagraph"/>
        <w:shd w:val="clear" w:color="auto" w:fill="FFFFFF"/>
        <w:ind w:left="0"/>
        <w:jc w:val="left"/>
        <w:rPr>
          <w:rFonts w:cs="Arial"/>
          <w:i/>
          <w:color w:val="000000"/>
        </w:rPr>
      </w:pPr>
    </w:p>
    <w:p w14:paraId="3B4F9488" w14:textId="7955C1AF" w:rsidR="008E6212" w:rsidRDefault="008E6212" w:rsidP="008E6212">
      <w:pPr>
        <w:pStyle w:val="ListParagraph"/>
        <w:shd w:val="clear" w:color="auto" w:fill="FFFFFF"/>
        <w:spacing w:after="240" w:line="324" w:lineRule="exact"/>
        <w:ind w:left="0"/>
        <w:jc w:val="left"/>
        <w:rPr>
          <w:rFonts w:cs="Arial"/>
          <w:color w:val="000000"/>
        </w:rPr>
      </w:pPr>
      <w:r w:rsidRPr="00A273C6">
        <w:rPr>
          <w:rFonts w:cs="Arial"/>
          <w:color w:val="000000"/>
        </w:rPr>
        <w:t>Silver perch</w:t>
      </w:r>
      <w:r>
        <w:rPr>
          <w:rFonts w:cs="Arial"/>
          <w:color w:val="000000"/>
        </w:rPr>
        <w:t xml:space="preserve"> 1+ recruits (n = 20) were significantly (Table D.</w:t>
      </w:r>
      <w:r w:rsidR="007478C0">
        <w:rPr>
          <w:rFonts w:cs="Arial"/>
          <w:color w:val="000000"/>
        </w:rPr>
        <w:t>9</w:t>
      </w:r>
      <w:r w:rsidR="00E66BAC">
        <w:rPr>
          <w:rFonts w:cs="Arial"/>
          <w:color w:val="000000"/>
        </w:rPr>
        <w:t>)</w:t>
      </w:r>
      <w:r>
        <w:rPr>
          <w:rFonts w:cs="Arial"/>
          <w:color w:val="000000"/>
        </w:rPr>
        <w:t xml:space="preserve"> more abundant in 2015/16, as compared with the previous sampling year where only three indiv</w:t>
      </w:r>
      <w:r w:rsidR="00045C8E">
        <w:rPr>
          <w:rFonts w:cs="Arial"/>
          <w:color w:val="000000"/>
        </w:rPr>
        <w:t>iduals were sampled (Figure D.14</w:t>
      </w:r>
      <w:r>
        <w:rPr>
          <w:rFonts w:cs="Arial"/>
          <w:color w:val="000000"/>
        </w:rPr>
        <w:t>). Five YOY recruits and 32 older silver perch were sampled in 2015/16, as compared with a total of 3 and 14 respectively the previous year (Table D.</w:t>
      </w:r>
      <w:r w:rsidR="007478C0">
        <w:rPr>
          <w:rFonts w:cs="Arial"/>
          <w:color w:val="000000"/>
        </w:rPr>
        <w:t>6</w:t>
      </w:r>
      <w:r w:rsidR="00E66BAC">
        <w:rPr>
          <w:rFonts w:cs="Arial"/>
          <w:color w:val="000000"/>
        </w:rPr>
        <w:t>)</w:t>
      </w:r>
      <w:r>
        <w:rPr>
          <w:rFonts w:cs="Arial"/>
          <w:color w:val="000000"/>
        </w:rPr>
        <w:t>. Due to the low sample size of YOY silver perch, recruitment statistics were only calculated for 1+ recruits. Angling and setlines (Table D.</w:t>
      </w:r>
      <w:r w:rsidR="007478C0">
        <w:rPr>
          <w:rFonts w:cs="Arial"/>
          <w:color w:val="000000"/>
        </w:rPr>
        <w:t>9</w:t>
      </w:r>
      <w:r w:rsidR="00E66BAC">
        <w:rPr>
          <w:rFonts w:cs="Arial"/>
          <w:color w:val="000000"/>
        </w:rPr>
        <w:t>)</w:t>
      </w:r>
      <w:r>
        <w:rPr>
          <w:rFonts w:cs="Arial"/>
          <w:color w:val="000000"/>
        </w:rPr>
        <w:t xml:space="preserve"> were significantly more effective at sampling 1+ silver perch, which is different to Murray cod recruits that were most effectively sampled using backpack electrofishing.  The increase in recruitment of silver perch in 2015/16 was attributable primarily to more 1+ silver perch sampled in Wakool </w:t>
      </w:r>
      <w:r w:rsidR="00045C8E">
        <w:rPr>
          <w:rFonts w:cs="Arial"/>
          <w:color w:val="000000"/>
        </w:rPr>
        <w:t>River Zones 3 and 4 (Figure D.14</w:t>
      </w:r>
      <w:r>
        <w:rPr>
          <w:rFonts w:cs="Arial"/>
          <w:color w:val="000000"/>
        </w:rPr>
        <w:t>) but there were no significant differences among zones, or their interaction with year, in the overall model (Table D.</w:t>
      </w:r>
      <w:r w:rsidR="007478C0">
        <w:rPr>
          <w:rFonts w:cs="Arial"/>
          <w:color w:val="000000"/>
        </w:rPr>
        <w:t>9</w:t>
      </w:r>
      <w:r w:rsidR="00E66BAC">
        <w:rPr>
          <w:rFonts w:cs="Arial"/>
          <w:color w:val="000000"/>
        </w:rPr>
        <w:t>)</w:t>
      </w:r>
      <w:r>
        <w:rPr>
          <w:rFonts w:cs="Arial"/>
          <w:color w:val="000000"/>
        </w:rPr>
        <w:t>.</w:t>
      </w:r>
      <w:r w:rsidR="00E615A2">
        <w:rPr>
          <w:rFonts w:cs="Arial"/>
          <w:color w:val="000000"/>
        </w:rPr>
        <w:t xml:space="preserve"> </w:t>
      </w:r>
      <w:r w:rsidR="00E615A2">
        <w:rPr>
          <w:rFonts w:cs="Arial"/>
        </w:rPr>
        <w:t xml:space="preserve">Two-dimensional hydraulic modelling showed that two zones had the largest </w:t>
      </w:r>
      <w:r w:rsidR="00E615A2" w:rsidRPr="00BB47D7">
        <w:rPr>
          <w:szCs w:val="22"/>
        </w:rPr>
        <w:t xml:space="preserve">increase in area of slackwater </w:t>
      </w:r>
      <w:r w:rsidR="00E615A2" w:rsidRPr="00BB47D7">
        <w:rPr>
          <w:rFonts w:eastAsia="Times New Roman"/>
          <w:color w:val="000000"/>
          <w:kern w:val="28"/>
          <w:szCs w:val="22"/>
        </w:rPr>
        <w:t>(&lt; 0.02 m.s</w:t>
      </w:r>
      <w:r w:rsidR="00E615A2" w:rsidRPr="00BB47D7">
        <w:rPr>
          <w:rFonts w:eastAsia="Times New Roman"/>
          <w:color w:val="000000"/>
          <w:kern w:val="28"/>
          <w:szCs w:val="22"/>
          <w:vertAlign w:val="superscript"/>
        </w:rPr>
        <w:t>-1</w:t>
      </w:r>
      <w:r w:rsidR="00E615A2" w:rsidRPr="00BB47D7">
        <w:rPr>
          <w:rFonts w:eastAsia="Times New Roman"/>
          <w:color w:val="000000"/>
          <w:kern w:val="28"/>
          <w:sz w:val="20"/>
        </w:rPr>
        <w:t>)</w:t>
      </w:r>
      <w:r w:rsidR="00E615A2">
        <w:rPr>
          <w:rFonts w:eastAsia="Times New Roman"/>
          <w:color w:val="000000"/>
          <w:kern w:val="28"/>
          <w:sz w:val="20"/>
        </w:rPr>
        <w:t xml:space="preserve"> </w:t>
      </w:r>
      <w:r w:rsidR="00E615A2">
        <w:t xml:space="preserve">and slow water </w:t>
      </w:r>
      <w:r w:rsidR="00E615A2" w:rsidRPr="003423D9">
        <w:rPr>
          <w:rFonts w:asciiTheme="minorHAnsi" w:hAnsiTheme="minorHAnsi"/>
          <w:bCs/>
          <w:szCs w:val="22"/>
        </w:rPr>
        <w:t>(</w:t>
      </w:r>
      <w:r w:rsidR="00E615A2" w:rsidRPr="003423D9">
        <w:rPr>
          <w:rFonts w:asciiTheme="minorHAnsi" w:hAnsiTheme="minorHAnsi"/>
          <w:szCs w:val="22"/>
        </w:rPr>
        <w:t>0.02 – 0.3 ms</w:t>
      </w:r>
      <w:r w:rsidR="00E615A2" w:rsidRPr="003423D9">
        <w:rPr>
          <w:rFonts w:asciiTheme="minorHAnsi" w:hAnsiTheme="minorHAnsi"/>
          <w:szCs w:val="22"/>
          <w:vertAlign w:val="superscript"/>
        </w:rPr>
        <w:t>-1</w:t>
      </w:r>
      <w:r w:rsidR="00E615A2" w:rsidRPr="003423D9">
        <w:rPr>
          <w:rFonts w:asciiTheme="minorHAnsi" w:hAnsiTheme="minorHAnsi"/>
          <w:szCs w:val="22"/>
        </w:rPr>
        <w:t xml:space="preserve">) </w:t>
      </w:r>
      <w:r w:rsidR="00E615A2">
        <w:t>during environmental watering actions in Yallakool Creek (Watts et al. 2015b).</w:t>
      </w:r>
    </w:p>
    <w:p w14:paraId="3B4F9489" w14:textId="77777777" w:rsidR="008E6212" w:rsidRDefault="008E6212" w:rsidP="008E6212">
      <w:pPr>
        <w:spacing w:after="240" w:line="240" w:lineRule="auto"/>
        <w:rPr>
          <w:rFonts w:cs="Arial"/>
          <w:color w:val="000000"/>
        </w:rPr>
      </w:pPr>
    </w:p>
    <w:p w14:paraId="3B4F948A" w14:textId="77777777" w:rsidR="008E6212" w:rsidRPr="00B62BAC" w:rsidRDefault="008E6212" w:rsidP="008E6212">
      <w:pPr>
        <w:spacing w:after="240" w:line="240" w:lineRule="auto"/>
        <w:rPr>
          <w:sz w:val="20"/>
        </w:rPr>
      </w:pPr>
      <w:r>
        <w:rPr>
          <w:rFonts w:eastAsia="Times New Roman"/>
          <w:b/>
          <w:color w:val="000000"/>
          <w:sz w:val="20"/>
          <w:lang w:eastAsia="en-AU"/>
        </w:rPr>
        <w:t>Table D.</w:t>
      </w:r>
      <w:r w:rsidR="007478C0">
        <w:rPr>
          <w:rFonts w:eastAsia="Times New Roman"/>
          <w:b/>
          <w:color w:val="000000"/>
          <w:sz w:val="20"/>
          <w:lang w:eastAsia="en-AU"/>
        </w:rPr>
        <w:t>9.</w:t>
      </w:r>
      <w:r w:rsidRPr="00A764E1">
        <w:rPr>
          <w:rFonts w:eastAsia="Times New Roman"/>
          <w:color w:val="000000"/>
          <w:sz w:val="20"/>
          <w:lang w:eastAsia="en-AU"/>
        </w:rPr>
        <w:t xml:space="preserve">Recruitment indices for age-class 1 (1+) </w:t>
      </w:r>
      <w:r>
        <w:rPr>
          <w:rFonts w:eastAsia="Times New Roman"/>
          <w:color w:val="000000"/>
          <w:sz w:val="20"/>
          <w:lang w:eastAsia="en-AU"/>
        </w:rPr>
        <w:t>Silver perch</w:t>
      </w:r>
      <w:r w:rsidRPr="00A764E1">
        <w:rPr>
          <w:rFonts w:eastAsia="Times New Roman"/>
          <w:color w:val="000000"/>
          <w:sz w:val="20"/>
          <w:lang w:eastAsia="en-AU"/>
        </w:rPr>
        <w:t xml:space="preserve"> for the Edward-Wakool system </w:t>
      </w:r>
      <w:r>
        <w:rPr>
          <w:rFonts w:eastAsia="Times New Roman"/>
          <w:color w:val="000000"/>
          <w:sz w:val="20"/>
          <w:lang w:eastAsia="en-AU"/>
        </w:rPr>
        <w:t>comparing years</w:t>
      </w:r>
      <w:r w:rsidRPr="00A764E1">
        <w:rPr>
          <w:rFonts w:eastAsia="Times New Roman"/>
          <w:color w:val="000000"/>
          <w:sz w:val="20"/>
          <w:lang w:eastAsia="en-AU"/>
        </w:rPr>
        <w:t xml:space="preserve"> 2014-15</w:t>
      </w:r>
      <w:r>
        <w:rPr>
          <w:rFonts w:eastAsia="Times New Roman"/>
          <w:color w:val="000000"/>
          <w:sz w:val="20"/>
          <w:lang w:eastAsia="en-AU"/>
        </w:rPr>
        <w:t xml:space="preserve"> and 2015-16 and sampling gear</w:t>
      </w:r>
      <w:r w:rsidRPr="00A764E1">
        <w:rPr>
          <w:rFonts w:eastAsia="Times New Roman"/>
          <w:color w:val="000000"/>
          <w:sz w:val="20"/>
          <w:lang w:eastAsia="en-AU"/>
        </w:rPr>
        <w:t xml:space="preserve">. </w:t>
      </w:r>
      <w:r>
        <w:rPr>
          <w:rFonts w:eastAsia="Times New Roman"/>
          <w:color w:val="000000"/>
          <w:sz w:val="20"/>
          <w:lang w:eastAsia="en-AU"/>
        </w:rPr>
        <w:t>Differences among zones were not significant</w:t>
      </w:r>
      <w:r w:rsidR="000E69C9">
        <w:rPr>
          <w:rFonts w:eastAsia="Times New Roman"/>
          <w:color w:val="000000"/>
          <w:sz w:val="20"/>
          <w:lang w:eastAsia="en-AU"/>
        </w:rPr>
        <w:t xml:space="preserve"> but year and sampling gear were significant factors</w:t>
      </w:r>
      <w:r>
        <w:rPr>
          <w:rFonts w:eastAsia="Times New Roman"/>
          <w:color w:val="000000"/>
          <w:sz w:val="20"/>
          <w:lang w:eastAsia="en-AU"/>
        </w:rPr>
        <w:t>.  Values are reported only for significant (P&lt;0.05) effects.</w:t>
      </w:r>
    </w:p>
    <w:tbl>
      <w:tblPr>
        <w:tblW w:w="6060" w:type="dxa"/>
        <w:jc w:val="center"/>
        <w:tblLook w:val="04A0" w:firstRow="1" w:lastRow="0" w:firstColumn="1" w:lastColumn="0" w:noHBand="0" w:noVBand="1"/>
      </w:tblPr>
      <w:tblGrid>
        <w:gridCol w:w="2180"/>
        <w:gridCol w:w="460"/>
        <w:gridCol w:w="1420"/>
        <w:gridCol w:w="1060"/>
        <w:gridCol w:w="940"/>
      </w:tblGrid>
      <w:tr w:rsidR="008E6212" w:rsidRPr="0053671A" w14:paraId="3B4F948E" w14:textId="77777777" w:rsidTr="009C1A36">
        <w:trPr>
          <w:trHeight w:val="300"/>
          <w:jc w:val="center"/>
        </w:trPr>
        <w:tc>
          <w:tcPr>
            <w:tcW w:w="2180" w:type="dxa"/>
            <w:tcBorders>
              <w:top w:val="single" w:sz="4" w:space="0" w:color="auto"/>
              <w:left w:val="nil"/>
              <w:right w:val="nil"/>
            </w:tcBorders>
            <w:shd w:val="clear" w:color="auto" w:fill="D6E3BC"/>
            <w:noWrap/>
            <w:vAlign w:val="bottom"/>
            <w:hideMark/>
          </w:tcPr>
          <w:p w14:paraId="3B4F948B"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 </w:t>
            </w:r>
          </w:p>
        </w:tc>
        <w:tc>
          <w:tcPr>
            <w:tcW w:w="460" w:type="dxa"/>
            <w:tcBorders>
              <w:top w:val="single" w:sz="4" w:space="0" w:color="auto"/>
              <w:left w:val="nil"/>
              <w:bottom w:val="nil"/>
              <w:right w:val="nil"/>
            </w:tcBorders>
            <w:shd w:val="clear" w:color="auto" w:fill="D6E3BC"/>
            <w:noWrap/>
            <w:vAlign w:val="bottom"/>
            <w:hideMark/>
          </w:tcPr>
          <w:p w14:paraId="3B4F948C" w14:textId="77777777" w:rsidR="008E6212" w:rsidRPr="00A273C6" w:rsidRDefault="008E6212" w:rsidP="009C1A36">
            <w:pPr>
              <w:spacing w:after="0" w:line="240" w:lineRule="auto"/>
              <w:jc w:val="center"/>
              <w:rPr>
                <w:rFonts w:eastAsia="Times New Roman"/>
                <w:color w:val="000000"/>
                <w:sz w:val="20"/>
                <w:lang w:eastAsia="en-AU"/>
              </w:rPr>
            </w:pPr>
            <w:r w:rsidRPr="00A273C6">
              <w:rPr>
                <w:rFonts w:eastAsia="Times New Roman"/>
                <w:color w:val="000000"/>
                <w:sz w:val="20"/>
                <w:lang w:eastAsia="en-AU"/>
              </w:rPr>
              <w:t> </w:t>
            </w:r>
          </w:p>
        </w:tc>
        <w:tc>
          <w:tcPr>
            <w:tcW w:w="3420" w:type="dxa"/>
            <w:gridSpan w:val="3"/>
            <w:tcBorders>
              <w:top w:val="single" w:sz="4" w:space="0" w:color="auto"/>
              <w:left w:val="nil"/>
              <w:bottom w:val="single" w:sz="4" w:space="0" w:color="auto"/>
              <w:right w:val="nil"/>
            </w:tcBorders>
            <w:shd w:val="clear" w:color="auto" w:fill="D6E3BC"/>
            <w:noWrap/>
            <w:vAlign w:val="bottom"/>
            <w:hideMark/>
          </w:tcPr>
          <w:p w14:paraId="3B4F948D" w14:textId="77777777" w:rsidR="008E6212" w:rsidRPr="00A273C6" w:rsidRDefault="008E6212" w:rsidP="009C1A36">
            <w:pPr>
              <w:spacing w:after="0" w:line="240" w:lineRule="auto"/>
              <w:jc w:val="center"/>
              <w:rPr>
                <w:rFonts w:eastAsia="Times New Roman"/>
                <w:color w:val="000000"/>
                <w:sz w:val="20"/>
                <w:lang w:eastAsia="en-AU"/>
              </w:rPr>
            </w:pPr>
            <w:r w:rsidRPr="00A273C6">
              <w:rPr>
                <w:rFonts w:eastAsia="Times New Roman"/>
                <w:color w:val="000000"/>
                <w:sz w:val="20"/>
                <w:lang w:eastAsia="en-AU"/>
              </w:rPr>
              <w:t>1+ recruitment index</w:t>
            </w:r>
          </w:p>
        </w:tc>
      </w:tr>
      <w:tr w:rsidR="008E6212" w:rsidRPr="0053671A" w14:paraId="3B4F9494" w14:textId="77777777" w:rsidTr="009C1A36">
        <w:trPr>
          <w:trHeight w:val="300"/>
          <w:jc w:val="center"/>
        </w:trPr>
        <w:tc>
          <w:tcPr>
            <w:tcW w:w="2180" w:type="dxa"/>
            <w:tcBorders>
              <w:left w:val="nil"/>
              <w:bottom w:val="single" w:sz="4" w:space="0" w:color="auto"/>
              <w:right w:val="nil"/>
            </w:tcBorders>
            <w:shd w:val="clear" w:color="auto" w:fill="D6E3BC"/>
            <w:noWrap/>
            <w:vAlign w:val="bottom"/>
            <w:hideMark/>
          </w:tcPr>
          <w:p w14:paraId="3B4F948F"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Fixed effects</w:t>
            </w:r>
          </w:p>
        </w:tc>
        <w:tc>
          <w:tcPr>
            <w:tcW w:w="460" w:type="dxa"/>
            <w:tcBorders>
              <w:top w:val="nil"/>
              <w:left w:val="nil"/>
              <w:bottom w:val="single" w:sz="4" w:space="0" w:color="auto"/>
              <w:right w:val="nil"/>
            </w:tcBorders>
            <w:shd w:val="clear" w:color="auto" w:fill="D6E3BC"/>
            <w:noWrap/>
            <w:vAlign w:val="bottom"/>
            <w:hideMark/>
          </w:tcPr>
          <w:p w14:paraId="3B4F9490"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 </w:t>
            </w:r>
          </w:p>
        </w:tc>
        <w:tc>
          <w:tcPr>
            <w:tcW w:w="1420" w:type="dxa"/>
            <w:tcBorders>
              <w:top w:val="nil"/>
              <w:left w:val="nil"/>
              <w:bottom w:val="single" w:sz="4" w:space="0" w:color="auto"/>
              <w:right w:val="nil"/>
            </w:tcBorders>
            <w:shd w:val="clear" w:color="auto" w:fill="D6E3BC"/>
            <w:noWrap/>
            <w:vAlign w:val="bottom"/>
            <w:hideMark/>
          </w:tcPr>
          <w:p w14:paraId="3B4F9491"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 xml:space="preserve">value </w:t>
            </w:r>
          </w:p>
        </w:tc>
        <w:tc>
          <w:tcPr>
            <w:tcW w:w="1060" w:type="dxa"/>
            <w:tcBorders>
              <w:top w:val="nil"/>
              <w:left w:val="nil"/>
              <w:bottom w:val="single" w:sz="4" w:space="0" w:color="auto"/>
              <w:right w:val="nil"/>
            </w:tcBorders>
            <w:shd w:val="clear" w:color="auto" w:fill="D6E3BC"/>
            <w:noWrap/>
            <w:vAlign w:val="bottom"/>
            <w:hideMark/>
          </w:tcPr>
          <w:p w14:paraId="3B4F9492"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Std. Error</w:t>
            </w:r>
          </w:p>
        </w:tc>
        <w:tc>
          <w:tcPr>
            <w:tcW w:w="940" w:type="dxa"/>
            <w:tcBorders>
              <w:top w:val="nil"/>
              <w:left w:val="nil"/>
              <w:bottom w:val="single" w:sz="4" w:space="0" w:color="auto"/>
              <w:right w:val="nil"/>
            </w:tcBorders>
            <w:shd w:val="clear" w:color="auto" w:fill="D6E3BC"/>
            <w:noWrap/>
            <w:vAlign w:val="bottom"/>
            <w:hideMark/>
          </w:tcPr>
          <w:p w14:paraId="3B4F9493"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p-value</w:t>
            </w:r>
          </w:p>
        </w:tc>
      </w:tr>
      <w:tr w:rsidR="008E6212" w:rsidRPr="0053671A" w14:paraId="3B4F949A" w14:textId="77777777" w:rsidTr="009C1A36">
        <w:trPr>
          <w:trHeight w:val="300"/>
          <w:jc w:val="center"/>
        </w:trPr>
        <w:tc>
          <w:tcPr>
            <w:tcW w:w="2180" w:type="dxa"/>
            <w:tcBorders>
              <w:top w:val="nil"/>
              <w:left w:val="nil"/>
              <w:bottom w:val="nil"/>
              <w:right w:val="nil"/>
            </w:tcBorders>
            <w:shd w:val="clear" w:color="auto" w:fill="auto"/>
            <w:noWrap/>
            <w:vAlign w:val="bottom"/>
          </w:tcPr>
          <w:p w14:paraId="3B4F9495"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Gear</w:t>
            </w:r>
          </w:p>
        </w:tc>
        <w:tc>
          <w:tcPr>
            <w:tcW w:w="460" w:type="dxa"/>
            <w:tcBorders>
              <w:top w:val="nil"/>
              <w:left w:val="nil"/>
              <w:bottom w:val="nil"/>
              <w:right w:val="nil"/>
            </w:tcBorders>
            <w:shd w:val="clear" w:color="auto" w:fill="auto"/>
            <w:noWrap/>
            <w:vAlign w:val="bottom"/>
          </w:tcPr>
          <w:p w14:paraId="3B4F9496" w14:textId="77777777" w:rsidR="008E6212" w:rsidRPr="00A273C6" w:rsidRDefault="008E6212" w:rsidP="009C1A36">
            <w:pPr>
              <w:spacing w:after="0" w:line="240" w:lineRule="auto"/>
              <w:rPr>
                <w:rFonts w:eastAsia="Times New Roman"/>
                <w:color w:val="000000"/>
                <w:sz w:val="20"/>
                <w:lang w:eastAsia="en-AU"/>
              </w:rPr>
            </w:pPr>
          </w:p>
        </w:tc>
        <w:tc>
          <w:tcPr>
            <w:tcW w:w="1420" w:type="dxa"/>
            <w:tcBorders>
              <w:top w:val="nil"/>
              <w:left w:val="nil"/>
              <w:bottom w:val="nil"/>
              <w:right w:val="nil"/>
            </w:tcBorders>
            <w:shd w:val="clear" w:color="auto" w:fill="auto"/>
            <w:noWrap/>
            <w:vAlign w:val="bottom"/>
          </w:tcPr>
          <w:p w14:paraId="3B4F9497" w14:textId="77777777" w:rsidR="008E6212" w:rsidRPr="00A273C6" w:rsidRDefault="008E6212" w:rsidP="009C1A36">
            <w:pPr>
              <w:spacing w:after="0" w:line="240" w:lineRule="auto"/>
              <w:jc w:val="right"/>
              <w:rPr>
                <w:rFonts w:eastAsia="Times New Roman"/>
                <w:color w:val="000000"/>
                <w:sz w:val="20"/>
                <w:lang w:eastAsia="en-AU"/>
              </w:rPr>
            </w:pPr>
          </w:p>
        </w:tc>
        <w:tc>
          <w:tcPr>
            <w:tcW w:w="1060" w:type="dxa"/>
            <w:tcBorders>
              <w:top w:val="nil"/>
              <w:left w:val="nil"/>
              <w:bottom w:val="nil"/>
              <w:right w:val="nil"/>
            </w:tcBorders>
            <w:shd w:val="clear" w:color="auto" w:fill="auto"/>
            <w:noWrap/>
            <w:vAlign w:val="bottom"/>
          </w:tcPr>
          <w:p w14:paraId="3B4F9498" w14:textId="77777777" w:rsidR="008E6212" w:rsidRPr="00A273C6" w:rsidRDefault="008E6212" w:rsidP="009C1A36">
            <w:pPr>
              <w:spacing w:after="0" w:line="240" w:lineRule="auto"/>
              <w:jc w:val="right"/>
              <w:rPr>
                <w:rFonts w:eastAsia="Times New Roman"/>
                <w:color w:val="000000"/>
                <w:sz w:val="20"/>
                <w:lang w:eastAsia="en-AU"/>
              </w:rPr>
            </w:pPr>
          </w:p>
        </w:tc>
        <w:tc>
          <w:tcPr>
            <w:tcW w:w="940" w:type="dxa"/>
            <w:tcBorders>
              <w:top w:val="nil"/>
              <w:left w:val="nil"/>
              <w:bottom w:val="nil"/>
              <w:right w:val="nil"/>
            </w:tcBorders>
            <w:shd w:val="clear" w:color="auto" w:fill="auto"/>
            <w:noWrap/>
            <w:vAlign w:val="bottom"/>
          </w:tcPr>
          <w:p w14:paraId="3B4F9499"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p&lt;0.05</w:t>
            </w:r>
          </w:p>
        </w:tc>
      </w:tr>
      <w:tr w:rsidR="008E6212" w:rsidRPr="0053671A" w14:paraId="3B4F94A0" w14:textId="77777777" w:rsidTr="009C1A36">
        <w:trPr>
          <w:trHeight w:val="300"/>
          <w:jc w:val="center"/>
        </w:trPr>
        <w:tc>
          <w:tcPr>
            <w:tcW w:w="2180" w:type="dxa"/>
            <w:tcBorders>
              <w:top w:val="nil"/>
              <w:left w:val="nil"/>
              <w:bottom w:val="nil"/>
              <w:right w:val="nil"/>
            </w:tcBorders>
            <w:shd w:val="clear" w:color="auto" w:fill="auto"/>
            <w:noWrap/>
            <w:vAlign w:val="bottom"/>
          </w:tcPr>
          <w:p w14:paraId="3B4F949B" w14:textId="77777777" w:rsidR="008E6212" w:rsidRPr="00A273C6" w:rsidRDefault="008E6212" w:rsidP="009C1A36">
            <w:pPr>
              <w:spacing w:after="0" w:line="240" w:lineRule="auto"/>
              <w:jc w:val="right"/>
              <w:rPr>
                <w:rFonts w:eastAsia="Times New Roman"/>
                <w:color w:val="000000"/>
                <w:sz w:val="20"/>
                <w:lang w:eastAsia="en-AU"/>
              </w:rPr>
            </w:pPr>
            <w:r w:rsidRPr="00A273C6">
              <w:rPr>
                <w:rFonts w:eastAsia="Times New Roman"/>
                <w:color w:val="000000"/>
                <w:sz w:val="20"/>
                <w:lang w:eastAsia="en-AU"/>
              </w:rPr>
              <w:t>Angling</w:t>
            </w:r>
          </w:p>
        </w:tc>
        <w:tc>
          <w:tcPr>
            <w:tcW w:w="460" w:type="dxa"/>
            <w:tcBorders>
              <w:top w:val="nil"/>
              <w:left w:val="nil"/>
              <w:bottom w:val="nil"/>
              <w:right w:val="nil"/>
            </w:tcBorders>
            <w:shd w:val="clear" w:color="auto" w:fill="auto"/>
            <w:noWrap/>
            <w:vAlign w:val="bottom"/>
          </w:tcPr>
          <w:p w14:paraId="3B4F949C" w14:textId="77777777" w:rsidR="008E6212" w:rsidRPr="00A273C6" w:rsidRDefault="008E6212" w:rsidP="009C1A36">
            <w:pPr>
              <w:spacing w:after="0" w:line="240" w:lineRule="auto"/>
              <w:jc w:val="left"/>
              <w:rPr>
                <w:rFonts w:eastAsia="Times New Roman"/>
                <w:color w:val="000000"/>
                <w:sz w:val="20"/>
                <w:lang w:eastAsia="en-AU"/>
              </w:rPr>
            </w:pPr>
          </w:p>
        </w:tc>
        <w:tc>
          <w:tcPr>
            <w:tcW w:w="1420" w:type="dxa"/>
            <w:tcBorders>
              <w:top w:val="nil"/>
              <w:left w:val="nil"/>
              <w:bottom w:val="nil"/>
              <w:right w:val="nil"/>
            </w:tcBorders>
            <w:shd w:val="clear" w:color="auto" w:fill="auto"/>
            <w:noWrap/>
            <w:vAlign w:val="bottom"/>
          </w:tcPr>
          <w:p w14:paraId="3B4F949D"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0.028</w:t>
            </w:r>
          </w:p>
        </w:tc>
        <w:tc>
          <w:tcPr>
            <w:tcW w:w="1060" w:type="dxa"/>
            <w:tcBorders>
              <w:top w:val="nil"/>
              <w:left w:val="nil"/>
              <w:bottom w:val="nil"/>
              <w:right w:val="nil"/>
            </w:tcBorders>
            <w:shd w:val="clear" w:color="auto" w:fill="auto"/>
            <w:noWrap/>
            <w:vAlign w:val="bottom"/>
          </w:tcPr>
          <w:p w14:paraId="3B4F949E"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0.007</w:t>
            </w:r>
          </w:p>
        </w:tc>
        <w:tc>
          <w:tcPr>
            <w:tcW w:w="940" w:type="dxa"/>
            <w:tcBorders>
              <w:top w:val="nil"/>
              <w:left w:val="nil"/>
              <w:bottom w:val="nil"/>
              <w:right w:val="nil"/>
            </w:tcBorders>
            <w:shd w:val="clear" w:color="auto" w:fill="auto"/>
            <w:noWrap/>
            <w:vAlign w:val="bottom"/>
          </w:tcPr>
          <w:p w14:paraId="3B4F949F" w14:textId="77777777" w:rsidR="008E6212" w:rsidRPr="00A273C6" w:rsidRDefault="008E6212" w:rsidP="009C1A36">
            <w:pPr>
              <w:spacing w:after="0" w:line="240" w:lineRule="auto"/>
              <w:rPr>
                <w:rFonts w:eastAsia="Times New Roman"/>
                <w:color w:val="000000"/>
                <w:sz w:val="20"/>
                <w:lang w:eastAsia="en-AU"/>
              </w:rPr>
            </w:pPr>
          </w:p>
        </w:tc>
      </w:tr>
      <w:tr w:rsidR="008E6212" w:rsidRPr="0053671A" w14:paraId="3B4F94A6" w14:textId="77777777" w:rsidTr="009C1A36">
        <w:trPr>
          <w:trHeight w:val="300"/>
          <w:jc w:val="center"/>
        </w:trPr>
        <w:tc>
          <w:tcPr>
            <w:tcW w:w="2180" w:type="dxa"/>
            <w:tcBorders>
              <w:top w:val="nil"/>
              <w:left w:val="nil"/>
              <w:bottom w:val="nil"/>
              <w:right w:val="nil"/>
            </w:tcBorders>
            <w:shd w:val="clear" w:color="auto" w:fill="auto"/>
            <w:noWrap/>
            <w:vAlign w:val="bottom"/>
          </w:tcPr>
          <w:p w14:paraId="3B4F94A1" w14:textId="77777777" w:rsidR="008E6212" w:rsidRPr="00A273C6" w:rsidRDefault="008E6212" w:rsidP="009C1A36">
            <w:pPr>
              <w:spacing w:after="0" w:line="240" w:lineRule="auto"/>
              <w:jc w:val="right"/>
              <w:rPr>
                <w:rFonts w:eastAsia="Times New Roman"/>
                <w:color w:val="000000"/>
                <w:sz w:val="20"/>
                <w:lang w:eastAsia="en-AU"/>
              </w:rPr>
            </w:pPr>
            <w:r w:rsidRPr="00A273C6">
              <w:rPr>
                <w:rFonts w:eastAsia="Times New Roman"/>
                <w:color w:val="000000"/>
                <w:sz w:val="20"/>
                <w:lang w:eastAsia="en-AU"/>
              </w:rPr>
              <w:t>Backpack EF</w:t>
            </w:r>
          </w:p>
        </w:tc>
        <w:tc>
          <w:tcPr>
            <w:tcW w:w="460" w:type="dxa"/>
            <w:tcBorders>
              <w:top w:val="nil"/>
              <w:left w:val="nil"/>
              <w:bottom w:val="nil"/>
              <w:right w:val="nil"/>
            </w:tcBorders>
            <w:shd w:val="clear" w:color="auto" w:fill="auto"/>
            <w:noWrap/>
            <w:vAlign w:val="bottom"/>
          </w:tcPr>
          <w:p w14:paraId="3B4F94A2" w14:textId="77777777" w:rsidR="008E6212" w:rsidRPr="00A273C6" w:rsidRDefault="008E6212" w:rsidP="009C1A36">
            <w:pPr>
              <w:spacing w:after="0" w:line="240" w:lineRule="auto"/>
              <w:jc w:val="left"/>
              <w:rPr>
                <w:rFonts w:eastAsia="Times New Roman"/>
                <w:color w:val="000000"/>
                <w:sz w:val="20"/>
                <w:lang w:eastAsia="en-AU"/>
              </w:rPr>
            </w:pPr>
          </w:p>
        </w:tc>
        <w:tc>
          <w:tcPr>
            <w:tcW w:w="1420" w:type="dxa"/>
            <w:tcBorders>
              <w:top w:val="nil"/>
              <w:left w:val="nil"/>
              <w:bottom w:val="nil"/>
              <w:right w:val="nil"/>
            </w:tcBorders>
            <w:shd w:val="clear" w:color="auto" w:fill="auto"/>
            <w:noWrap/>
            <w:vAlign w:val="bottom"/>
          </w:tcPr>
          <w:p w14:paraId="3B4F94A3"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0.000</w:t>
            </w:r>
          </w:p>
        </w:tc>
        <w:tc>
          <w:tcPr>
            <w:tcW w:w="1060" w:type="dxa"/>
            <w:tcBorders>
              <w:top w:val="nil"/>
              <w:left w:val="nil"/>
              <w:bottom w:val="nil"/>
              <w:right w:val="nil"/>
            </w:tcBorders>
            <w:shd w:val="clear" w:color="auto" w:fill="auto"/>
            <w:noWrap/>
            <w:vAlign w:val="bottom"/>
          </w:tcPr>
          <w:p w14:paraId="3B4F94A4"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0.007</w:t>
            </w:r>
          </w:p>
        </w:tc>
        <w:tc>
          <w:tcPr>
            <w:tcW w:w="940" w:type="dxa"/>
            <w:tcBorders>
              <w:top w:val="nil"/>
              <w:left w:val="nil"/>
              <w:bottom w:val="nil"/>
              <w:right w:val="nil"/>
            </w:tcBorders>
            <w:shd w:val="clear" w:color="auto" w:fill="auto"/>
            <w:noWrap/>
            <w:vAlign w:val="bottom"/>
          </w:tcPr>
          <w:p w14:paraId="3B4F94A5" w14:textId="77777777" w:rsidR="008E6212" w:rsidRPr="00A273C6" w:rsidRDefault="008E6212" w:rsidP="009C1A36">
            <w:pPr>
              <w:spacing w:after="0" w:line="240" w:lineRule="auto"/>
              <w:rPr>
                <w:rFonts w:eastAsia="Times New Roman"/>
                <w:color w:val="000000"/>
                <w:sz w:val="20"/>
                <w:lang w:eastAsia="en-AU"/>
              </w:rPr>
            </w:pPr>
          </w:p>
        </w:tc>
      </w:tr>
      <w:tr w:rsidR="008E6212" w:rsidRPr="0053671A" w14:paraId="3B4F94AC" w14:textId="77777777" w:rsidTr="009C1A36">
        <w:trPr>
          <w:trHeight w:val="300"/>
          <w:jc w:val="center"/>
        </w:trPr>
        <w:tc>
          <w:tcPr>
            <w:tcW w:w="2180" w:type="dxa"/>
            <w:tcBorders>
              <w:top w:val="nil"/>
              <w:left w:val="nil"/>
              <w:bottom w:val="nil"/>
              <w:right w:val="nil"/>
            </w:tcBorders>
            <w:shd w:val="clear" w:color="auto" w:fill="auto"/>
            <w:noWrap/>
            <w:vAlign w:val="bottom"/>
          </w:tcPr>
          <w:p w14:paraId="3B4F94A7" w14:textId="77777777" w:rsidR="008E6212" w:rsidRPr="00A273C6" w:rsidRDefault="008E6212" w:rsidP="009C1A36">
            <w:pPr>
              <w:spacing w:after="0" w:line="240" w:lineRule="auto"/>
              <w:jc w:val="right"/>
              <w:rPr>
                <w:rFonts w:eastAsia="Times New Roman"/>
                <w:color w:val="000000"/>
                <w:sz w:val="20"/>
                <w:lang w:eastAsia="en-AU"/>
              </w:rPr>
            </w:pPr>
            <w:r w:rsidRPr="00A273C6">
              <w:rPr>
                <w:rFonts w:eastAsia="Times New Roman"/>
                <w:color w:val="000000"/>
                <w:sz w:val="20"/>
                <w:lang w:eastAsia="en-AU"/>
              </w:rPr>
              <w:t>Setlines</w:t>
            </w:r>
          </w:p>
        </w:tc>
        <w:tc>
          <w:tcPr>
            <w:tcW w:w="460" w:type="dxa"/>
            <w:tcBorders>
              <w:top w:val="nil"/>
              <w:left w:val="nil"/>
              <w:bottom w:val="nil"/>
              <w:right w:val="nil"/>
            </w:tcBorders>
            <w:shd w:val="clear" w:color="auto" w:fill="auto"/>
            <w:noWrap/>
            <w:vAlign w:val="bottom"/>
          </w:tcPr>
          <w:p w14:paraId="3B4F94A8" w14:textId="77777777" w:rsidR="008E6212" w:rsidRPr="00A273C6" w:rsidRDefault="008E6212" w:rsidP="009C1A36">
            <w:pPr>
              <w:spacing w:after="0" w:line="240" w:lineRule="auto"/>
              <w:jc w:val="left"/>
              <w:rPr>
                <w:rFonts w:eastAsia="Times New Roman"/>
                <w:color w:val="000000"/>
                <w:sz w:val="20"/>
                <w:lang w:eastAsia="en-AU"/>
              </w:rPr>
            </w:pPr>
          </w:p>
        </w:tc>
        <w:tc>
          <w:tcPr>
            <w:tcW w:w="1420" w:type="dxa"/>
            <w:tcBorders>
              <w:top w:val="nil"/>
              <w:left w:val="nil"/>
              <w:bottom w:val="nil"/>
              <w:right w:val="nil"/>
            </w:tcBorders>
            <w:shd w:val="clear" w:color="auto" w:fill="auto"/>
            <w:noWrap/>
            <w:vAlign w:val="bottom"/>
          </w:tcPr>
          <w:p w14:paraId="3B4F94A9"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0.002</w:t>
            </w:r>
          </w:p>
        </w:tc>
        <w:tc>
          <w:tcPr>
            <w:tcW w:w="1060" w:type="dxa"/>
            <w:tcBorders>
              <w:top w:val="nil"/>
              <w:left w:val="nil"/>
              <w:bottom w:val="nil"/>
              <w:right w:val="nil"/>
            </w:tcBorders>
            <w:shd w:val="clear" w:color="auto" w:fill="auto"/>
            <w:noWrap/>
            <w:vAlign w:val="bottom"/>
          </w:tcPr>
          <w:p w14:paraId="3B4F94AA"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0.007</w:t>
            </w:r>
          </w:p>
        </w:tc>
        <w:tc>
          <w:tcPr>
            <w:tcW w:w="940" w:type="dxa"/>
            <w:tcBorders>
              <w:top w:val="nil"/>
              <w:left w:val="nil"/>
              <w:bottom w:val="nil"/>
              <w:right w:val="nil"/>
            </w:tcBorders>
            <w:shd w:val="clear" w:color="auto" w:fill="auto"/>
            <w:noWrap/>
            <w:vAlign w:val="bottom"/>
          </w:tcPr>
          <w:p w14:paraId="3B4F94AB" w14:textId="77777777" w:rsidR="008E6212" w:rsidRPr="00A273C6" w:rsidRDefault="008E6212" w:rsidP="009C1A36">
            <w:pPr>
              <w:spacing w:after="0" w:line="240" w:lineRule="auto"/>
              <w:rPr>
                <w:rFonts w:eastAsia="Times New Roman"/>
                <w:color w:val="000000"/>
                <w:sz w:val="20"/>
                <w:lang w:eastAsia="en-AU"/>
              </w:rPr>
            </w:pPr>
          </w:p>
        </w:tc>
      </w:tr>
      <w:tr w:rsidR="008E6212" w:rsidRPr="0053671A" w14:paraId="3B4F94B2" w14:textId="77777777" w:rsidTr="009C1A36">
        <w:trPr>
          <w:trHeight w:val="300"/>
          <w:jc w:val="center"/>
        </w:trPr>
        <w:tc>
          <w:tcPr>
            <w:tcW w:w="2180" w:type="dxa"/>
            <w:tcBorders>
              <w:top w:val="nil"/>
              <w:left w:val="nil"/>
              <w:bottom w:val="nil"/>
              <w:right w:val="nil"/>
            </w:tcBorders>
            <w:shd w:val="clear" w:color="auto" w:fill="auto"/>
            <w:noWrap/>
            <w:vAlign w:val="bottom"/>
            <w:hideMark/>
          </w:tcPr>
          <w:p w14:paraId="3B4F94AD"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Year</w:t>
            </w:r>
          </w:p>
        </w:tc>
        <w:tc>
          <w:tcPr>
            <w:tcW w:w="460" w:type="dxa"/>
            <w:tcBorders>
              <w:top w:val="nil"/>
              <w:left w:val="nil"/>
              <w:bottom w:val="nil"/>
              <w:right w:val="nil"/>
            </w:tcBorders>
            <w:shd w:val="clear" w:color="auto" w:fill="auto"/>
            <w:noWrap/>
            <w:vAlign w:val="bottom"/>
            <w:hideMark/>
          </w:tcPr>
          <w:p w14:paraId="3B4F94AE" w14:textId="77777777" w:rsidR="008E6212" w:rsidRPr="00A273C6" w:rsidRDefault="008E6212" w:rsidP="009C1A36">
            <w:pPr>
              <w:spacing w:after="0" w:line="240" w:lineRule="auto"/>
              <w:rPr>
                <w:rFonts w:eastAsia="Times New Roman"/>
                <w:color w:val="000000"/>
                <w:sz w:val="20"/>
                <w:lang w:eastAsia="en-AU"/>
              </w:rPr>
            </w:pPr>
          </w:p>
        </w:tc>
        <w:tc>
          <w:tcPr>
            <w:tcW w:w="1420" w:type="dxa"/>
            <w:tcBorders>
              <w:top w:val="nil"/>
              <w:left w:val="nil"/>
              <w:bottom w:val="nil"/>
              <w:right w:val="nil"/>
            </w:tcBorders>
            <w:shd w:val="clear" w:color="auto" w:fill="auto"/>
            <w:noWrap/>
            <w:vAlign w:val="bottom"/>
          </w:tcPr>
          <w:p w14:paraId="3B4F94AF" w14:textId="77777777" w:rsidR="008E6212" w:rsidRPr="00A273C6" w:rsidRDefault="008E6212" w:rsidP="009C1A36">
            <w:pPr>
              <w:spacing w:after="0" w:line="240" w:lineRule="auto"/>
              <w:jc w:val="left"/>
              <w:rPr>
                <w:rFonts w:eastAsia="Times New Roman"/>
                <w:color w:val="000000"/>
                <w:sz w:val="20"/>
                <w:lang w:eastAsia="en-AU"/>
              </w:rPr>
            </w:pPr>
          </w:p>
        </w:tc>
        <w:tc>
          <w:tcPr>
            <w:tcW w:w="1060" w:type="dxa"/>
            <w:tcBorders>
              <w:top w:val="nil"/>
              <w:left w:val="nil"/>
              <w:bottom w:val="nil"/>
              <w:right w:val="nil"/>
            </w:tcBorders>
            <w:shd w:val="clear" w:color="auto" w:fill="auto"/>
            <w:noWrap/>
            <w:vAlign w:val="bottom"/>
          </w:tcPr>
          <w:p w14:paraId="3B4F94B0" w14:textId="77777777" w:rsidR="008E6212" w:rsidRPr="00A273C6" w:rsidRDefault="008E6212" w:rsidP="009C1A36">
            <w:pPr>
              <w:spacing w:after="0" w:line="240" w:lineRule="auto"/>
              <w:jc w:val="right"/>
              <w:rPr>
                <w:rFonts w:eastAsia="Times New Roman"/>
                <w:color w:val="000000"/>
                <w:sz w:val="20"/>
                <w:lang w:eastAsia="en-AU"/>
              </w:rPr>
            </w:pPr>
          </w:p>
        </w:tc>
        <w:tc>
          <w:tcPr>
            <w:tcW w:w="940" w:type="dxa"/>
            <w:tcBorders>
              <w:top w:val="nil"/>
              <w:left w:val="nil"/>
              <w:bottom w:val="nil"/>
              <w:right w:val="nil"/>
            </w:tcBorders>
            <w:shd w:val="clear" w:color="auto" w:fill="auto"/>
            <w:noWrap/>
            <w:vAlign w:val="bottom"/>
          </w:tcPr>
          <w:p w14:paraId="3B4F94B1" w14:textId="77777777" w:rsidR="008E6212" w:rsidRPr="00A273C6" w:rsidRDefault="008E6212" w:rsidP="009C1A36">
            <w:pPr>
              <w:spacing w:after="0" w:line="240" w:lineRule="auto"/>
              <w:rPr>
                <w:rFonts w:eastAsia="Times New Roman"/>
                <w:color w:val="000000"/>
                <w:sz w:val="20"/>
                <w:lang w:eastAsia="en-AU"/>
              </w:rPr>
            </w:pPr>
            <w:r w:rsidRPr="00A273C6">
              <w:rPr>
                <w:rFonts w:eastAsia="Times New Roman"/>
                <w:color w:val="000000"/>
                <w:sz w:val="20"/>
                <w:lang w:eastAsia="en-AU"/>
              </w:rPr>
              <w:t>p&lt;0.05</w:t>
            </w:r>
          </w:p>
        </w:tc>
      </w:tr>
      <w:tr w:rsidR="008E6212" w:rsidRPr="0053671A" w14:paraId="3B4F94B8" w14:textId="77777777" w:rsidTr="009C1A36">
        <w:trPr>
          <w:trHeight w:val="300"/>
          <w:jc w:val="center"/>
        </w:trPr>
        <w:tc>
          <w:tcPr>
            <w:tcW w:w="2180" w:type="dxa"/>
            <w:tcBorders>
              <w:top w:val="nil"/>
              <w:left w:val="nil"/>
              <w:right w:val="nil"/>
            </w:tcBorders>
            <w:shd w:val="clear" w:color="auto" w:fill="auto"/>
            <w:noWrap/>
            <w:vAlign w:val="bottom"/>
          </w:tcPr>
          <w:p w14:paraId="3B4F94B3" w14:textId="77777777" w:rsidR="008E6212" w:rsidRPr="00A273C6" w:rsidRDefault="008E6212" w:rsidP="009C1A36">
            <w:pPr>
              <w:spacing w:after="0" w:line="240" w:lineRule="auto"/>
              <w:jc w:val="right"/>
              <w:rPr>
                <w:rFonts w:eastAsia="Times New Roman"/>
                <w:color w:val="000000"/>
                <w:sz w:val="20"/>
                <w:lang w:eastAsia="en-AU"/>
              </w:rPr>
            </w:pPr>
            <w:r w:rsidRPr="00A273C6">
              <w:rPr>
                <w:rFonts w:eastAsia="Times New Roman"/>
                <w:color w:val="000000"/>
                <w:sz w:val="20"/>
                <w:lang w:eastAsia="en-AU"/>
              </w:rPr>
              <w:t>2014-15</w:t>
            </w:r>
          </w:p>
        </w:tc>
        <w:tc>
          <w:tcPr>
            <w:tcW w:w="460" w:type="dxa"/>
            <w:tcBorders>
              <w:top w:val="nil"/>
              <w:left w:val="nil"/>
              <w:right w:val="nil"/>
            </w:tcBorders>
            <w:shd w:val="clear" w:color="auto" w:fill="auto"/>
            <w:noWrap/>
            <w:vAlign w:val="bottom"/>
          </w:tcPr>
          <w:p w14:paraId="3B4F94B4" w14:textId="77777777" w:rsidR="008E6212" w:rsidRPr="00A273C6" w:rsidRDefault="008E6212" w:rsidP="009C1A36">
            <w:pPr>
              <w:spacing w:after="0" w:line="240" w:lineRule="auto"/>
              <w:rPr>
                <w:rFonts w:eastAsia="Times New Roman"/>
                <w:color w:val="000000"/>
                <w:sz w:val="20"/>
                <w:lang w:eastAsia="en-AU"/>
              </w:rPr>
            </w:pPr>
          </w:p>
        </w:tc>
        <w:tc>
          <w:tcPr>
            <w:tcW w:w="1420" w:type="dxa"/>
            <w:tcBorders>
              <w:top w:val="nil"/>
              <w:left w:val="nil"/>
              <w:right w:val="nil"/>
            </w:tcBorders>
            <w:shd w:val="clear" w:color="auto" w:fill="auto"/>
            <w:noWrap/>
            <w:vAlign w:val="bottom"/>
          </w:tcPr>
          <w:p w14:paraId="3B4F94B5"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0.002</w:t>
            </w:r>
          </w:p>
        </w:tc>
        <w:tc>
          <w:tcPr>
            <w:tcW w:w="1060" w:type="dxa"/>
            <w:tcBorders>
              <w:top w:val="nil"/>
              <w:left w:val="nil"/>
              <w:right w:val="nil"/>
            </w:tcBorders>
            <w:shd w:val="clear" w:color="auto" w:fill="auto"/>
            <w:noWrap/>
            <w:vAlign w:val="bottom"/>
          </w:tcPr>
          <w:p w14:paraId="3B4F94B6"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0.006</w:t>
            </w:r>
          </w:p>
        </w:tc>
        <w:tc>
          <w:tcPr>
            <w:tcW w:w="940" w:type="dxa"/>
            <w:tcBorders>
              <w:top w:val="nil"/>
              <w:left w:val="nil"/>
              <w:right w:val="nil"/>
            </w:tcBorders>
            <w:shd w:val="clear" w:color="auto" w:fill="auto"/>
            <w:noWrap/>
            <w:vAlign w:val="bottom"/>
          </w:tcPr>
          <w:p w14:paraId="3B4F94B7" w14:textId="77777777" w:rsidR="008E6212" w:rsidRPr="00A273C6" w:rsidRDefault="008E6212" w:rsidP="009C1A36">
            <w:pPr>
              <w:spacing w:after="0" w:line="240" w:lineRule="auto"/>
              <w:rPr>
                <w:rFonts w:eastAsia="Times New Roman"/>
                <w:color w:val="000000"/>
                <w:sz w:val="20"/>
                <w:lang w:eastAsia="en-AU"/>
              </w:rPr>
            </w:pPr>
          </w:p>
        </w:tc>
      </w:tr>
      <w:tr w:rsidR="008E6212" w:rsidRPr="0053671A" w14:paraId="3B4F94BE" w14:textId="77777777" w:rsidTr="009C1A36">
        <w:trPr>
          <w:trHeight w:val="300"/>
          <w:jc w:val="center"/>
        </w:trPr>
        <w:tc>
          <w:tcPr>
            <w:tcW w:w="2180" w:type="dxa"/>
            <w:tcBorders>
              <w:top w:val="nil"/>
              <w:left w:val="nil"/>
              <w:bottom w:val="single" w:sz="4" w:space="0" w:color="auto"/>
              <w:right w:val="nil"/>
            </w:tcBorders>
            <w:shd w:val="clear" w:color="auto" w:fill="auto"/>
            <w:noWrap/>
            <w:vAlign w:val="bottom"/>
          </w:tcPr>
          <w:p w14:paraId="3B4F94B9" w14:textId="77777777" w:rsidR="008E6212" w:rsidRPr="00A273C6" w:rsidRDefault="008E6212" w:rsidP="009C1A36">
            <w:pPr>
              <w:spacing w:after="0" w:line="240" w:lineRule="auto"/>
              <w:jc w:val="right"/>
              <w:rPr>
                <w:rFonts w:eastAsia="Times New Roman"/>
                <w:color w:val="000000"/>
                <w:sz w:val="20"/>
                <w:lang w:eastAsia="en-AU"/>
              </w:rPr>
            </w:pPr>
            <w:r w:rsidRPr="00A273C6">
              <w:rPr>
                <w:rFonts w:eastAsia="Times New Roman"/>
                <w:color w:val="000000"/>
                <w:sz w:val="20"/>
                <w:lang w:eastAsia="en-AU"/>
              </w:rPr>
              <w:t>2015-16</w:t>
            </w:r>
          </w:p>
        </w:tc>
        <w:tc>
          <w:tcPr>
            <w:tcW w:w="460" w:type="dxa"/>
            <w:tcBorders>
              <w:top w:val="nil"/>
              <w:left w:val="nil"/>
              <w:bottom w:val="single" w:sz="4" w:space="0" w:color="auto"/>
              <w:right w:val="nil"/>
            </w:tcBorders>
            <w:shd w:val="clear" w:color="auto" w:fill="auto"/>
            <w:noWrap/>
            <w:vAlign w:val="bottom"/>
          </w:tcPr>
          <w:p w14:paraId="3B4F94BA" w14:textId="77777777" w:rsidR="008E6212" w:rsidRPr="00A273C6" w:rsidRDefault="008E6212" w:rsidP="009C1A36">
            <w:pPr>
              <w:spacing w:after="0" w:line="240" w:lineRule="auto"/>
              <w:rPr>
                <w:rFonts w:eastAsia="Times New Roman"/>
                <w:color w:val="000000"/>
                <w:sz w:val="20"/>
                <w:lang w:eastAsia="en-AU"/>
              </w:rPr>
            </w:pPr>
          </w:p>
        </w:tc>
        <w:tc>
          <w:tcPr>
            <w:tcW w:w="1420" w:type="dxa"/>
            <w:tcBorders>
              <w:top w:val="nil"/>
              <w:left w:val="nil"/>
              <w:bottom w:val="single" w:sz="4" w:space="0" w:color="auto"/>
              <w:right w:val="nil"/>
            </w:tcBorders>
            <w:shd w:val="clear" w:color="auto" w:fill="auto"/>
            <w:noWrap/>
            <w:vAlign w:val="bottom"/>
          </w:tcPr>
          <w:p w14:paraId="3B4F94BB"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0.018</w:t>
            </w:r>
          </w:p>
        </w:tc>
        <w:tc>
          <w:tcPr>
            <w:tcW w:w="1060" w:type="dxa"/>
            <w:tcBorders>
              <w:top w:val="nil"/>
              <w:left w:val="nil"/>
              <w:bottom w:val="single" w:sz="4" w:space="0" w:color="auto"/>
              <w:right w:val="nil"/>
            </w:tcBorders>
            <w:shd w:val="clear" w:color="auto" w:fill="auto"/>
            <w:noWrap/>
            <w:vAlign w:val="bottom"/>
          </w:tcPr>
          <w:p w14:paraId="3B4F94BC" w14:textId="77777777" w:rsidR="008E6212" w:rsidRPr="00A273C6" w:rsidRDefault="008E6212" w:rsidP="009C1A36">
            <w:pPr>
              <w:spacing w:after="0" w:line="240" w:lineRule="auto"/>
              <w:jc w:val="left"/>
              <w:rPr>
                <w:rFonts w:eastAsia="Times New Roman"/>
                <w:color w:val="000000"/>
                <w:sz w:val="20"/>
                <w:lang w:eastAsia="en-AU"/>
              </w:rPr>
            </w:pPr>
            <w:r w:rsidRPr="00A273C6">
              <w:rPr>
                <w:rFonts w:eastAsia="Times New Roman"/>
                <w:color w:val="000000"/>
                <w:sz w:val="20"/>
                <w:lang w:eastAsia="en-AU"/>
              </w:rPr>
              <w:t>0.006</w:t>
            </w:r>
          </w:p>
        </w:tc>
        <w:tc>
          <w:tcPr>
            <w:tcW w:w="940" w:type="dxa"/>
            <w:tcBorders>
              <w:top w:val="nil"/>
              <w:left w:val="nil"/>
              <w:bottom w:val="single" w:sz="4" w:space="0" w:color="auto"/>
              <w:right w:val="nil"/>
            </w:tcBorders>
            <w:shd w:val="clear" w:color="auto" w:fill="auto"/>
            <w:noWrap/>
            <w:vAlign w:val="bottom"/>
          </w:tcPr>
          <w:p w14:paraId="3B4F94BD" w14:textId="77777777" w:rsidR="008E6212" w:rsidRPr="00A273C6" w:rsidRDefault="008E6212" w:rsidP="009C1A36">
            <w:pPr>
              <w:spacing w:after="0" w:line="240" w:lineRule="auto"/>
              <w:rPr>
                <w:rFonts w:eastAsia="Times New Roman"/>
                <w:color w:val="000000"/>
                <w:sz w:val="20"/>
                <w:lang w:eastAsia="en-AU"/>
              </w:rPr>
            </w:pPr>
          </w:p>
        </w:tc>
      </w:tr>
    </w:tbl>
    <w:p w14:paraId="3B4F94BF" w14:textId="77777777" w:rsidR="008E6212" w:rsidRDefault="008E6212" w:rsidP="008E6212">
      <w:pPr>
        <w:pStyle w:val="ListParagraph"/>
        <w:shd w:val="clear" w:color="auto" w:fill="FFFFFF"/>
        <w:spacing w:after="240" w:line="240" w:lineRule="auto"/>
        <w:ind w:left="0"/>
        <w:rPr>
          <w:rFonts w:cs="Arial"/>
          <w:b/>
          <w:color w:val="000000"/>
          <w:sz w:val="20"/>
        </w:rPr>
      </w:pPr>
    </w:p>
    <w:p w14:paraId="3B4F94C0" w14:textId="77777777" w:rsidR="008E6212" w:rsidRDefault="008E6212" w:rsidP="008E6212">
      <w:pPr>
        <w:pStyle w:val="ListParagraph"/>
        <w:shd w:val="clear" w:color="auto" w:fill="FFFFFF"/>
        <w:spacing w:after="240" w:line="240" w:lineRule="auto"/>
        <w:ind w:left="0"/>
        <w:rPr>
          <w:rFonts w:cs="Arial"/>
          <w:b/>
          <w:color w:val="000000"/>
          <w:sz w:val="20"/>
        </w:rPr>
      </w:pPr>
    </w:p>
    <w:p w14:paraId="3B4F94C1" w14:textId="77777777" w:rsidR="008E6212" w:rsidRDefault="008E6212" w:rsidP="008E6212">
      <w:pPr>
        <w:pStyle w:val="ListParagraph"/>
        <w:shd w:val="clear" w:color="auto" w:fill="FFFFFF"/>
        <w:spacing w:after="240" w:line="240" w:lineRule="auto"/>
        <w:ind w:left="0"/>
        <w:jc w:val="center"/>
        <w:rPr>
          <w:rFonts w:cs="Arial"/>
          <w:b/>
          <w:color w:val="000000"/>
          <w:sz w:val="20"/>
        </w:rPr>
      </w:pPr>
      <w:r>
        <w:rPr>
          <w:rFonts w:cs="Arial"/>
          <w:b/>
          <w:noProof/>
          <w:color w:val="000000"/>
          <w:sz w:val="20"/>
          <w:lang w:eastAsia="en-AU"/>
        </w:rPr>
        <w:lastRenderedPageBreak/>
        <w:drawing>
          <wp:inline distT="0" distB="0" distL="0" distR="0" wp14:anchorId="3B4F9674" wp14:editId="5973F7A1">
            <wp:extent cx="4757358" cy="4350385"/>
            <wp:effectExtent l="0" t="0" r="5715" b="0"/>
            <wp:docPr id="2" name="Picture 2" descr="SP rec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 rec index"/>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790224" cy="4380439"/>
                    </a:xfrm>
                    <a:prstGeom prst="rect">
                      <a:avLst/>
                    </a:prstGeom>
                    <a:noFill/>
                    <a:ln>
                      <a:noFill/>
                    </a:ln>
                  </pic:spPr>
                </pic:pic>
              </a:graphicData>
            </a:graphic>
          </wp:inline>
        </w:drawing>
      </w:r>
    </w:p>
    <w:p w14:paraId="3B4F94C2" w14:textId="77777777" w:rsidR="008E6212" w:rsidRPr="00232BD6" w:rsidRDefault="00045C8E" w:rsidP="00916C24">
      <w:pPr>
        <w:pStyle w:val="ListParagraph"/>
        <w:shd w:val="clear" w:color="auto" w:fill="FFFFFF"/>
        <w:spacing w:after="240" w:line="240" w:lineRule="auto"/>
        <w:ind w:left="0"/>
        <w:jc w:val="left"/>
        <w:rPr>
          <w:rFonts w:cs="Arial"/>
          <w:color w:val="000000"/>
          <w:sz w:val="20"/>
        </w:rPr>
      </w:pPr>
      <w:r>
        <w:rPr>
          <w:rFonts w:cs="Arial"/>
          <w:b/>
          <w:color w:val="000000"/>
          <w:sz w:val="20"/>
        </w:rPr>
        <w:t>Figure D.14.</w:t>
      </w:r>
      <w:r w:rsidR="008E6212" w:rsidRPr="00A764E1">
        <w:rPr>
          <w:rFonts w:cs="Arial"/>
          <w:b/>
          <w:color w:val="000000"/>
          <w:sz w:val="20"/>
        </w:rPr>
        <w:t xml:space="preserve"> </w:t>
      </w:r>
      <w:r w:rsidR="008E6212" w:rsidRPr="00B0587D">
        <w:rPr>
          <w:rFonts w:cs="Arial"/>
          <w:color w:val="000000"/>
          <w:sz w:val="20"/>
        </w:rPr>
        <w:t xml:space="preserve">Recruitment indices expressed </w:t>
      </w:r>
      <w:r w:rsidR="008E6212">
        <w:rPr>
          <w:rFonts w:cs="Arial"/>
          <w:color w:val="000000"/>
          <w:sz w:val="20"/>
        </w:rPr>
        <w:t>c</w:t>
      </w:r>
      <w:r w:rsidR="008E6212" w:rsidRPr="00A764E1">
        <w:rPr>
          <w:rFonts w:cs="Arial"/>
          <w:color w:val="000000"/>
          <w:sz w:val="20"/>
        </w:rPr>
        <w:t xml:space="preserve">atch per unit effort (1000 seconds) </w:t>
      </w:r>
      <w:r w:rsidR="000E69C9">
        <w:rPr>
          <w:rFonts w:cs="Arial"/>
          <w:color w:val="000000"/>
          <w:sz w:val="20"/>
        </w:rPr>
        <w:t>of</w:t>
      </w:r>
      <w:r w:rsidR="008E6212" w:rsidRPr="00A764E1">
        <w:rPr>
          <w:rFonts w:cs="Arial"/>
          <w:color w:val="000000"/>
          <w:sz w:val="20"/>
        </w:rPr>
        <w:t xml:space="preserve"> age-class 1 (1+) </w:t>
      </w:r>
      <w:r w:rsidR="008E6212">
        <w:rPr>
          <w:rFonts w:cs="Arial"/>
          <w:color w:val="000000"/>
          <w:sz w:val="20"/>
        </w:rPr>
        <w:t xml:space="preserve">Silver perch </w:t>
      </w:r>
      <w:r w:rsidR="008E6212" w:rsidRPr="00A764E1">
        <w:rPr>
          <w:rFonts w:cs="Arial"/>
          <w:color w:val="000000"/>
          <w:sz w:val="20"/>
        </w:rPr>
        <w:t xml:space="preserve">in the Edward-Wakool system in 2014-15 </w:t>
      </w:r>
      <w:r w:rsidR="008E6212">
        <w:rPr>
          <w:rFonts w:cs="Arial"/>
          <w:color w:val="000000"/>
          <w:sz w:val="20"/>
        </w:rPr>
        <w:t>and 2015-16. Asterisks denote zone which received environmental water. Values +/- SE represent the fitted estimates of a Generalized Linear Mixed Model including all fixed effects in Table 10.5.</w:t>
      </w:r>
    </w:p>
    <w:p w14:paraId="3B4F94C3" w14:textId="77777777" w:rsidR="008E6212" w:rsidRPr="0057062F" w:rsidRDefault="008E6212" w:rsidP="008E6212">
      <w:pPr>
        <w:pStyle w:val="ListParagraph"/>
        <w:ind w:left="0"/>
        <w:rPr>
          <w:rFonts w:asciiTheme="minorHAnsi" w:hAnsiTheme="minorHAnsi" w:cs="Arial"/>
          <w:color w:val="000000"/>
        </w:rPr>
      </w:pPr>
    </w:p>
    <w:p w14:paraId="3B4F94C4" w14:textId="77777777" w:rsidR="008E6212" w:rsidRPr="00337C70" w:rsidRDefault="008E6212" w:rsidP="008E6212">
      <w:pPr>
        <w:pStyle w:val="BodyText"/>
        <w:rPr>
          <w:rFonts w:asciiTheme="minorHAnsi" w:hAnsiTheme="minorHAnsi"/>
          <w:b/>
          <w:i/>
          <w:color w:val="4F6228" w:themeColor="accent3" w:themeShade="80"/>
        </w:rPr>
      </w:pPr>
      <w:r w:rsidRPr="00337C70">
        <w:rPr>
          <w:rFonts w:asciiTheme="minorHAnsi" w:hAnsiTheme="minorHAnsi"/>
          <w:b/>
          <w:i/>
          <w:color w:val="4F6228" w:themeColor="accent3" w:themeShade="80"/>
        </w:rPr>
        <w:t>Adult fish community</w:t>
      </w:r>
    </w:p>
    <w:p w14:paraId="3B4F94C5" w14:textId="77777777" w:rsidR="008E6212" w:rsidRPr="003B0E23" w:rsidRDefault="008E6212" w:rsidP="008E6212">
      <w:pPr>
        <w:spacing w:after="0" w:line="324" w:lineRule="exact"/>
        <w:jc w:val="left"/>
        <w:rPr>
          <w:rFonts w:asciiTheme="minorHAnsi" w:hAnsiTheme="minorHAnsi"/>
          <w:szCs w:val="22"/>
        </w:rPr>
      </w:pPr>
      <w:r w:rsidRPr="003B0E23">
        <w:rPr>
          <w:rFonts w:asciiTheme="minorHAnsi" w:hAnsiTheme="minorHAnsi"/>
          <w:szCs w:val="22"/>
        </w:rPr>
        <w:t>Category 1 fish community sampling identified the same nine native fish species and three alien specie</w:t>
      </w:r>
      <w:r>
        <w:rPr>
          <w:rFonts w:asciiTheme="minorHAnsi" w:hAnsiTheme="minorHAnsi"/>
          <w:szCs w:val="22"/>
        </w:rPr>
        <w:t>s in zone 3 during 2016 (Table D.</w:t>
      </w:r>
      <w:r w:rsidR="007478C0">
        <w:rPr>
          <w:rFonts w:asciiTheme="minorHAnsi" w:hAnsiTheme="minorHAnsi"/>
          <w:szCs w:val="22"/>
        </w:rPr>
        <w:t>10</w:t>
      </w:r>
      <w:r w:rsidR="00E66BAC">
        <w:rPr>
          <w:rFonts w:asciiTheme="minorHAnsi" w:hAnsiTheme="minorHAnsi"/>
          <w:szCs w:val="22"/>
        </w:rPr>
        <w:t>)</w:t>
      </w:r>
      <w:r w:rsidRPr="003B0E23">
        <w:rPr>
          <w:rFonts w:asciiTheme="minorHAnsi" w:hAnsiTheme="minorHAnsi"/>
          <w:szCs w:val="22"/>
        </w:rPr>
        <w:t>. No silver perch or</w:t>
      </w:r>
      <w:r w:rsidR="00045C8E">
        <w:rPr>
          <w:rFonts w:asciiTheme="minorHAnsi" w:hAnsiTheme="minorHAnsi"/>
          <w:szCs w:val="22"/>
        </w:rPr>
        <w:t xml:space="preserve"> golden perch (Figure D.15</w:t>
      </w:r>
      <w:r w:rsidRPr="003B0E23">
        <w:rPr>
          <w:rFonts w:asciiTheme="minorHAnsi" w:hAnsiTheme="minorHAnsi"/>
          <w:szCs w:val="22"/>
        </w:rPr>
        <w:t>) new recruits were captured in 2016. Few bony herring and common carp recruits were captured in 2015 or 2016, although Murray cod new recruits represented the predomina</w:t>
      </w:r>
      <w:r>
        <w:rPr>
          <w:rFonts w:asciiTheme="minorHAnsi" w:hAnsiTheme="minorHAnsi"/>
          <w:szCs w:val="22"/>
        </w:rPr>
        <w:t xml:space="preserve">nt </w:t>
      </w:r>
      <w:r w:rsidR="00045C8E">
        <w:rPr>
          <w:rFonts w:asciiTheme="minorHAnsi" w:hAnsiTheme="minorHAnsi"/>
          <w:szCs w:val="22"/>
        </w:rPr>
        <w:t>catch in both years (Figure D.15</w:t>
      </w:r>
      <w:r w:rsidRPr="003B0E23">
        <w:rPr>
          <w:rFonts w:asciiTheme="minorHAnsi" w:hAnsiTheme="minorHAnsi"/>
          <w:szCs w:val="22"/>
        </w:rPr>
        <w:t>).</w:t>
      </w:r>
      <w:r>
        <w:rPr>
          <w:rFonts w:asciiTheme="minorHAnsi" w:hAnsiTheme="minorHAnsi"/>
          <w:szCs w:val="22"/>
        </w:rPr>
        <w:t xml:space="preserve"> </w:t>
      </w:r>
      <w:r w:rsidRPr="00873434">
        <w:rPr>
          <w:rFonts w:asciiTheme="minorHAnsi" w:hAnsiTheme="minorHAnsi"/>
          <w:szCs w:val="22"/>
        </w:rPr>
        <w:t xml:space="preserve">There were no significant differences in the abundance </w:t>
      </w:r>
      <w:r>
        <w:rPr>
          <w:rFonts w:asciiTheme="minorHAnsi" w:hAnsiTheme="minorHAnsi"/>
          <w:szCs w:val="22"/>
        </w:rPr>
        <w:t xml:space="preserve">of the fish assemblage between 2015 and 2016 in zone 3 </w:t>
      </w:r>
      <w:r w:rsidRPr="00873434">
        <w:rPr>
          <w:rFonts w:asciiTheme="minorHAnsi" w:hAnsiTheme="minorHAnsi"/>
          <w:szCs w:val="22"/>
        </w:rPr>
        <w:t>(Pseudo-F</w:t>
      </w:r>
      <w:r w:rsidRPr="00873434">
        <w:rPr>
          <w:rFonts w:asciiTheme="minorHAnsi" w:hAnsiTheme="minorHAnsi"/>
          <w:szCs w:val="22"/>
          <w:vertAlign w:val="subscript"/>
        </w:rPr>
        <w:t>1,18</w:t>
      </w:r>
      <w:r w:rsidRPr="00873434">
        <w:rPr>
          <w:rFonts w:asciiTheme="minorHAnsi" w:hAnsiTheme="minorHAnsi"/>
          <w:szCs w:val="22"/>
        </w:rPr>
        <w:t xml:space="preserve"> = </w:t>
      </w:r>
      <w:r>
        <w:rPr>
          <w:rFonts w:asciiTheme="minorHAnsi" w:hAnsiTheme="minorHAnsi"/>
          <w:szCs w:val="22"/>
        </w:rPr>
        <w:t>2</w:t>
      </w:r>
      <w:r w:rsidRPr="00873434">
        <w:rPr>
          <w:rFonts w:asciiTheme="minorHAnsi" w:hAnsiTheme="minorHAnsi"/>
          <w:szCs w:val="22"/>
        </w:rPr>
        <w:t>.</w:t>
      </w:r>
      <w:r>
        <w:rPr>
          <w:rFonts w:asciiTheme="minorHAnsi" w:hAnsiTheme="minorHAnsi"/>
          <w:szCs w:val="22"/>
        </w:rPr>
        <w:t>131</w:t>
      </w:r>
      <w:r w:rsidRPr="00873434">
        <w:rPr>
          <w:rFonts w:asciiTheme="minorHAnsi" w:hAnsiTheme="minorHAnsi"/>
          <w:szCs w:val="22"/>
        </w:rPr>
        <w:t xml:space="preserve">, </w:t>
      </w:r>
      <w:r>
        <w:rPr>
          <w:rFonts w:asciiTheme="minorHAnsi" w:hAnsiTheme="minorHAnsi"/>
          <w:szCs w:val="22"/>
        </w:rPr>
        <w:t>p=</w:t>
      </w:r>
      <w:r w:rsidRPr="00873434">
        <w:rPr>
          <w:rFonts w:asciiTheme="minorHAnsi" w:hAnsiTheme="minorHAnsi"/>
          <w:szCs w:val="22"/>
        </w:rPr>
        <w:t>0.</w:t>
      </w:r>
      <w:r>
        <w:rPr>
          <w:rFonts w:asciiTheme="minorHAnsi" w:hAnsiTheme="minorHAnsi"/>
          <w:szCs w:val="22"/>
        </w:rPr>
        <w:t>065</w:t>
      </w:r>
      <w:r w:rsidRPr="00873434">
        <w:rPr>
          <w:rFonts w:asciiTheme="minorHAnsi" w:hAnsiTheme="minorHAnsi"/>
          <w:szCs w:val="22"/>
        </w:rPr>
        <w:t>)</w:t>
      </w:r>
      <w:r>
        <w:rPr>
          <w:rFonts w:asciiTheme="minorHAnsi" w:hAnsiTheme="minorHAnsi"/>
          <w:szCs w:val="22"/>
        </w:rPr>
        <w:t>. Length-frequency distributions indicate that golden perch (p=0.033) and bony herring (p&lt;0.001) were significantly larger in 2016. There was a significant difference in the size of common carp between years (p=0.048) due to a greater proportion of individuals &lt;200 mm in 2016. No differences in the size distribution of Murray cod were observed (p=0.375).</w:t>
      </w:r>
    </w:p>
    <w:p w14:paraId="3B4F94C6" w14:textId="77777777" w:rsidR="008E6212" w:rsidRDefault="008E6212" w:rsidP="008E6212">
      <w:pPr>
        <w:spacing w:after="0" w:line="240" w:lineRule="auto"/>
        <w:rPr>
          <w:rFonts w:ascii="Times New Roman" w:hAnsi="Times New Roman"/>
          <w:sz w:val="24"/>
          <w:szCs w:val="24"/>
        </w:rPr>
      </w:pPr>
    </w:p>
    <w:p w14:paraId="3B4F94C7" w14:textId="77777777" w:rsidR="008E6212" w:rsidRDefault="008E6212" w:rsidP="008E6212">
      <w:pPr>
        <w:spacing w:after="0" w:line="240" w:lineRule="auto"/>
        <w:jc w:val="left"/>
        <w:rPr>
          <w:rFonts w:asciiTheme="minorHAnsi" w:hAnsiTheme="minorHAnsi"/>
          <w:b/>
          <w:sz w:val="20"/>
        </w:rPr>
      </w:pPr>
      <w:r>
        <w:rPr>
          <w:rFonts w:asciiTheme="minorHAnsi" w:hAnsiTheme="minorHAnsi"/>
          <w:b/>
          <w:sz w:val="20"/>
        </w:rPr>
        <w:br w:type="page"/>
      </w:r>
    </w:p>
    <w:p w14:paraId="3B4F94C8" w14:textId="77777777" w:rsidR="008E6212" w:rsidRPr="003B0E23" w:rsidRDefault="008E6212" w:rsidP="008E6212">
      <w:pPr>
        <w:spacing w:after="0" w:line="240" w:lineRule="auto"/>
        <w:rPr>
          <w:rFonts w:asciiTheme="minorHAnsi" w:hAnsiTheme="minorHAnsi"/>
          <w:sz w:val="20"/>
        </w:rPr>
      </w:pPr>
      <w:r w:rsidRPr="003B0E23">
        <w:rPr>
          <w:rFonts w:asciiTheme="minorHAnsi" w:hAnsiTheme="minorHAnsi"/>
          <w:b/>
          <w:sz w:val="20"/>
        </w:rPr>
        <w:lastRenderedPageBreak/>
        <w:t xml:space="preserve">Table </w:t>
      </w:r>
      <w:r w:rsidR="007478C0">
        <w:rPr>
          <w:rFonts w:asciiTheme="minorHAnsi" w:hAnsiTheme="minorHAnsi"/>
          <w:b/>
          <w:sz w:val="20"/>
        </w:rPr>
        <w:t>D.10</w:t>
      </w:r>
      <w:r w:rsidRPr="003B0E23">
        <w:rPr>
          <w:rFonts w:asciiTheme="minorHAnsi" w:hAnsiTheme="minorHAnsi"/>
          <w:b/>
          <w:sz w:val="20"/>
        </w:rPr>
        <w:t>.</w:t>
      </w:r>
      <w:r w:rsidRPr="003B0E23">
        <w:rPr>
          <w:rFonts w:asciiTheme="minorHAnsi" w:hAnsiTheme="minorHAnsi"/>
          <w:sz w:val="20"/>
        </w:rPr>
        <w:t xml:space="preserve"> Summary of fish captured during Category 1 standardised sampling in 2015 and 2016 in the Edward-Wakool LTIM project. BE = boat electrofishing, SFN = small fyke net and BT = bait trap.</w:t>
      </w:r>
    </w:p>
    <w:tbl>
      <w:tblPr>
        <w:tblStyle w:val="TableGrid"/>
        <w:tblW w:w="7488" w:type="dxa"/>
        <w:jc w:val="center"/>
        <w:tblLook w:val="04A0" w:firstRow="1" w:lastRow="0" w:firstColumn="1" w:lastColumn="0" w:noHBand="0" w:noVBand="1"/>
      </w:tblPr>
      <w:tblGrid>
        <w:gridCol w:w="2519"/>
        <w:gridCol w:w="566"/>
        <w:gridCol w:w="707"/>
        <w:gridCol w:w="425"/>
        <w:gridCol w:w="52"/>
        <w:gridCol w:w="622"/>
        <w:gridCol w:w="779"/>
        <w:gridCol w:w="622"/>
        <w:gridCol w:w="423"/>
        <w:gridCol w:w="773"/>
      </w:tblGrid>
      <w:tr w:rsidR="008E6212" w:rsidRPr="003B0E23" w14:paraId="3B4F94CC" w14:textId="77777777" w:rsidTr="009C1A36">
        <w:trPr>
          <w:jc w:val="center"/>
        </w:trPr>
        <w:tc>
          <w:tcPr>
            <w:tcW w:w="2519" w:type="dxa"/>
            <w:vMerge w:val="restart"/>
            <w:tcBorders>
              <w:top w:val="single" w:sz="4" w:space="0" w:color="auto"/>
              <w:left w:val="nil"/>
              <w:bottom w:val="nil"/>
              <w:right w:val="nil"/>
            </w:tcBorders>
            <w:shd w:val="clear" w:color="auto" w:fill="D6E3BC" w:themeFill="accent3" w:themeFillTint="66"/>
          </w:tcPr>
          <w:p w14:paraId="3B4F94C9" w14:textId="77777777" w:rsidR="008E6212" w:rsidRPr="003B0E23" w:rsidRDefault="008E6212" w:rsidP="009C1A36">
            <w:pPr>
              <w:spacing w:after="0" w:line="240" w:lineRule="auto"/>
              <w:rPr>
                <w:rFonts w:asciiTheme="minorHAnsi" w:hAnsiTheme="minorHAnsi"/>
                <w:b/>
                <w:sz w:val="20"/>
              </w:rPr>
            </w:pPr>
            <w:r w:rsidRPr="003B0E23">
              <w:rPr>
                <w:rFonts w:asciiTheme="minorHAnsi" w:hAnsiTheme="minorHAnsi"/>
                <w:b/>
                <w:sz w:val="20"/>
              </w:rPr>
              <w:t>Fish species</w:t>
            </w:r>
          </w:p>
        </w:tc>
        <w:tc>
          <w:tcPr>
            <w:tcW w:w="2372" w:type="dxa"/>
            <w:gridSpan w:val="5"/>
            <w:tcBorders>
              <w:top w:val="single" w:sz="4" w:space="0" w:color="auto"/>
              <w:left w:val="nil"/>
              <w:bottom w:val="single" w:sz="4" w:space="0" w:color="auto"/>
              <w:right w:val="nil"/>
            </w:tcBorders>
            <w:shd w:val="clear" w:color="auto" w:fill="D6E3BC" w:themeFill="accent3" w:themeFillTint="66"/>
          </w:tcPr>
          <w:p w14:paraId="3B4F94CA" w14:textId="77777777" w:rsidR="008E6212" w:rsidRPr="003B0E23" w:rsidRDefault="008E6212" w:rsidP="009C1A36">
            <w:pPr>
              <w:spacing w:after="0" w:line="240" w:lineRule="auto"/>
              <w:jc w:val="center"/>
              <w:rPr>
                <w:rFonts w:asciiTheme="minorHAnsi" w:hAnsiTheme="minorHAnsi"/>
                <w:b/>
                <w:sz w:val="20"/>
              </w:rPr>
            </w:pPr>
            <w:r w:rsidRPr="003B0E23">
              <w:rPr>
                <w:rFonts w:asciiTheme="minorHAnsi" w:hAnsiTheme="minorHAnsi"/>
                <w:b/>
                <w:sz w:val="20"/>
              </w:rPr>
              <w:t>2015</w:t>
            </w:r>
          </w:p>
        </w:tc>
        <w:tc>
          <w:tcPr>
            <w:tcW w:w="2597" w:type="dxa"/>
            <w:gridSpan w:val="4"/>
            <w:tcBorders>
              <w:top w:val="single" w:sz="4" w:space="0" w:color="auto"/>
              <w:left w:val="nil"/>
              <w:bottom w:val="single" w:sz="4" w:space="0" w:color="auto"/>
              <w:right w:val="nil"/>
            </w:tcBorders>
            <w:shd w:val="clear" w:color="auto" w:fill="D6E3BC" w:themeFill="accent3" w:themeFillTint="66"/>
          </w:tcPr>
          <w:p w14:paraId="3B4F94CB" w14:textId="77777777" w:rsidR="008E6212" w:rsidRPr="003B0E23" w:rsidRDefault="008E6212" w:rsidP="009C1A36">
            <w:pPr>
              <w:spacing w:after="0" w:line="240" w:lineRule="auto"/>
              <w:jc w:val="center"/>
              <w:rPr>
                <w:rFonts w:asciiTheme="minorHAnsi" w:hAnsiTheme="minorHAnsi"/>
                <w:b/>
                <w:sz w:val="20"/>
              </w:rPr>
            </w:pPr>
            <w:r w:rsidRPr="003B0E23">
              <w:rPr>
                <w:rFonts w:asciiTheme="minorHAnsi" w:hAnsiTheme="minorHAnsi"/>
                <w:b/>
                <w:sz w:val="20"/>
              </w:rPr>
              <w:t>2016</w:t>
            </w:r>
          </w:p>
        </w:tc>
      </w:tr>
      <w:tr w:rsidR="008E6212" w:rsidRPr="003B0E23" w14:paraId="3B4F94D6" w14:textId="77777777" w:rsidTr="009C1A36">
        <w:trPr>
          <w:jc w:val="center"/>
        </w:trPr>
        <w:tc>
          <w:tcPr>
            <w:tcW w:w="2519" w:type="dxa"/>
            <w:vMerge/>
            <w:tcBorders>
              <w:top w:val="nil"/>
              <w:left w:val="nil"/>
              <w:bottom w:val="nil"/>
              <w:right w:val="nil"/>
            </w:tcBorders>
            <w:shd w:val="clear" w:color="auto" w:fill="D6E3BC" w:themeFill="accent3" w:themeFillTint="66"/>
          </w:tcPr>
          <w:p w14:paraId="3B4F94CD" w14:textId="77777777" w:rsidR="008E6212" w:rsidRPr="003B0E23" w:rsidRDefault="008E6212" w:rsidP="009C1A36">
            <w:pPr>
              <w:spacing w:after="0" w:line="240" w:lineRule="auto"/>
              <w:rPr>
                <w:rFonts w:asciiTheme="minorHAnsi" w:hAnsiTheme="minorHAnsi"/>
                <w:sz w:val="20"/>
              </w:rPr>
            </w:pPr>
          </w:p>
        </w:tc>
        <w:tc>
          <w:tcPr>
            <w:tcW w:w="566" w:type="dxa"/>
            <w:tcBorders>
              <w:top w:val="single" w:sz="4" w:space="0" w:color="auto"/>
              <w:left w:val="nil"/>
              <w:bottom w:val="single" w:sz="4" w:space="0" w:color="auto"/>
              <w:right w:val="nil"/>
            </w:tcBorders>
            <w:shd w:val="clear" w:color="auto" w:fill="D6E3BC" w:themeFill="accent3" w:themeFillTint="66"/>
          </w:tcPr>
          <w:p w14:paraId="3B4F94CE"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BE</w:t>
            </w:r>
          </w:p>
        </w:tc>
        <w:tc>
          <w:tcPr>
            <w:tcW w:w="707" w:type="dxa"/>
            <w:tcBorders>
              <w:top w:val="single" w:sz="4" w:space="0" w:color="auto"/>
              <w:left w:val="nil"/>
              <w:bottom w:val="single" w:sz="4" w:space="0" w:color="auto"/>
              <w:right w:val="nil"/>
            </w:tcBorders>
            <w:shd w:val="clear" w:color="auto" w:fill="D6E3BC" w:themeFill="accent3" w:themeFillTint="66"/>
          </w:tcPr>
          <w:p w14:paraId="3B4F94CF"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SFN</w:t>
            </w:r>
          </w:p>
        </w:tc>
        <w:tc>
          <w:tcPr>
            <w:tcW w:w="425" w:type="dxa"/>
            <w:tcBorders>
              <w:top w:val="single" w:sz="4" w:space="0" w:color="auto"/>
              <w:left w:val="nil"/>
              <w:bottom w:val="single" w:sz="4" w:space="0" w:color="auto"/>
              <w:right w:val="nil"/>
            </w:tcBorders>
            <w:shd w:val="clear" w:color="auto" w:fill="D6E3BC" w:themeFill="accent3" w:themeFillTint="66"/>
          </w:tcPr>
          <w:p w14:paraId="3B4F94D0"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BT</w:t>
            </w:r>
          </w:p>
        </w:tc>
        <w:tc>
          <w:tcPr>
            <w:tcW w:w="674" w:type="dxa"/>
            <w:gridSpan w:val="2"/>
            <w:tcBorders>
              <w:top w:val="single" w:sz="4" w:space="0" w:color="auto"/>
              <w:left w:val="nil"/>
              <w:bottom w:val="single" w:sz="4" w:space="0" w:color="auto"/>
              <w:right w:val="nil"/>
            </w:tcBorders>
            <w:shd w:val="clear" w:color="auto" w:fill="D6E3BC" w:themeFill="accent3" w:themeFillTint="66"/>
          </w:tcPr>
          <w:p w14:paraId="3B4F94D1" w14:textId="77777777" w:rsidR="008E6212" w:rsidRPr="003B0E23" w:rsidRDefault="008E6212" w:rsidP="009C1A36">
            <w:pPr>
              <w:spacing w:after="0" w:line="240" w:lineRule="auto"/>
              <w:jc w:val="center"/>
              <w:rPr>
                <w:rFonts w:asciiTheme="minorHAnsi" w:hAnsiTheme="minorHAnsi"/>
                <w:b/>
                <w:sz w:val="20"/>
              </w:rPr>
            </w:pPr>
            <w:r w:rsidRPr="003B0E23">
              <w:rPr>
                <w:rFonts w:asciiTheme="minorHAnsi" w:hAnsiTheme="minorHAnsi"/>
                <w:b/>
                <w:sz w:val="20"/>
              </w:rPr>
              <w:t>Total</w:t>
            </w:r>
          </w:p>
        </w:tc>
        <w:tc>
          <w:tcPr>
            <w:tcW w:w="779" w:type="dxa"/>
            <w:tcBorders>
              <w:top w:val="single" w:sz="4" w:space="0" w:color="auto"/>
              <w:left w:val="nil"/>
              <w:bottom w:val="single" w:sz="4" w:space="0" w:color="auto"/>
              <w:right w:val="nil"/>
            </w:tcBorders>
            <w:shd w:val="clear" w:color="auto" w:fill="D6E3BC" w:themeFill="accent3" w:themeFillTint="66"/>
          </w:tcPr>
          <w:p w14:paraId="3B4F94D2"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BE</w:t>
            </w:r>
          </w:p>
        </w:tc>
        <w:tc>
          <w:tcPr>
            <w:tcW w:w="622" w:type="dxa"/>
            <w:tcBorders>
              <w:top w:val="single" w:sz="4" w:space="0" w:color="auto"/>
              <w:left w:val="nil"/>
              <w:bottom w:val="single" w:sz="4" w:space="0" w:color="auto"/>
              <w:right w:val="nil"/>
            </w:tcBorders>
            <w:shd w:val="clear" w:color="auto" w:fill="D6E3BC" w:themeFill="accent3" w:themeFillTint="66"/>
          </w:tcPr>
          <w:p w14:paraId="3B4F94D3"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SFN</w:t>
            </w:r>
          </w:p>
        </w:tc>
        <w:tc>
          <w:tcPr>
            <w:tcW w:w="423" w:type="dxa"/>
            <w:tcBorders>
              <w:top w:val="single" w:sz="4" w:space="0" w:color="auto"/>
              <w:left w:val="nil"/>
              <w:bottom w:val="single" w:sz="4" w:space="0" w:color="auto"/>
              <w:right w:val="nil"/>
            </w:tcBorders>
            <w:shd w:val="clear" w:color="auto" w:fill="D6E3BC" w:themeFill="accent3" w:themeFillTint="66"/>
          </w:tcPr>
          <w:p w14:paraId="3B4F94D4"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BT</w:t>
            </w:r>
          </w:p>
        </w:tc>
        <w:tc>
          <w:tcPr>
            <w:tcW w:w="773" w:type="dxa"/>
            <w:tcBorders>
              <w:top w:val="single" w:sz="4" w:space="0" w:color="auto"/>
              <w:left w:val="nil"/>
              <w:bottom w:val="single" w:sz="4" w:space="0" w:color="auto"/>
              <w:right w:val="nil"/>
            </w:tcBorders>
            <w:shd w:val="clear" w:color="auto" w:fill="D6E3BC" w:themeFill="accent3" w:themeFillTint="66"/>
          </w:tcPr>
          <w:p w14:paraId="3B4F94D5" w14:textId="77777777" w:rsidR="008E6212" w:rsidRPr="003B0E23" w:rsidRDefault="008E6212" w:rsidP="009C1A36">
            <w:pPr>
              <w:spacing w:after="0" w:line="240" w:lineRule="auto"/>
              <w:jc w:val="center"/>
              <w:rPr>
                <w:rFonts w:asciiTheme="minorHAnsi" w:hAnsiTheme="minorHAnsi"/>
                <w:b/>
                <w:sz w:val="20"/>
              </w:rPr>
            </w:pPr>
            <w:r w:rsidRPr="003B0E23">
              <w:rPr>
                <w:rFonts w:asciiTheme="minorHAnsi" w:hAnsiTheme="minorHAnsi"/>
                <w:b/>
                <w:sz w:val="20"/>
              </w:rPr>
              <w:t>Total</w:t>
            </w:r>
          </w:p>
        </w:tc>
      </w:tr>
      <w:tr w:rsidR="008E6212" w:rsidRPr="003B0E23" w14:paraId="3B4F94D8" w14:textId="77777777" w:rsidTr="009C1A36">
        <w:trPr>
          <w:jc w:val="center"/>
        </w:trPr>
        <w:tc>
          <w:tcPr>
            <w:tcW w:w="7488" w:type="dxa"/>
            <w:gridSpan w:val="10"/>
            <w:tcBorders>
              <w:top w:val="nil"/>
              <w:left w:val="nil"/>
              <w:bottom w:val="nil"/>
              <w:right w:val="nil"/>
            </w:tcBorders>
          </w:tcPr>
          <w:p w14:paraId="3B4F94D7"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i/>
                <w:sz w:val="20"/>
              </w:rPr>
              <w:t>native species</w:t>
            </w:r>
          </w:p>
        </w:tc>
      </w:tr>
      <w:tr w:rsidR="008E6212" w:rsidRPr="003B0E23" w14:paraId="3B4F94E2" w14:textId="77777777" w:rsidTr="009C1A36">
        <w:trPr>
          <w:jc w:val="center"/>
        </w:trPr>
        <w:tc>
          <w:tcPr>
            <w:tcW w:w="2519" w:type="dxa"/>
            <w:tcBorders>
              <w:top w:val="nil"/>
              <w:left w:val="nil"/>
              <w:bottom w:val="nil"/>
              <w:right w:val="nil"/>
            </w:tcBorders>
          </w:tcPr>
          <w:p w14:paraId="3B4F94D9"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Australian smelt</w:t>
            </w:r>
          </w:p>
        </w:tc>
        <w:tc>
          <w:tcPr>
            <w:tcW w:w="566" w:type="dxa"/>
            <w:tcBorders>
              <w:top w:val="nil"/>
              <w:left w:val="nil"/>
              <w:bottom w:val="nil"/>
              <w:right w:val="nil"/>
            </w:tcBorders>
          </w:tcPr>
          <w:p w14:paraId="3B4F94DA"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129</w:t>
            </w:r>
          </w:p>
        </w:tc>
        <w:tc>
          <w:tcPr>
            <w:tcW w:w="707" w:type="dxa"/>
            <w:tcBorders>
              <w:top w:val="nil"/>
              <w:left w:val="nil"/>
              <w:bottom w:val="nil"/>
              <w:right w:val="nil"/>
            </w:tcBorders>
          </w:tcPr>
          <w:p w14:paraId="3B4F94DB"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2</w:t>
            </w:r>
          </w:p>
        </w:tc>
        <w:tc>
          <w:tcPr>
            <w:tcW w:w="477" w:type="dxa"/>
            <w:gridSpan w:val="2"/>
            <w:tcBorders>
              <w:top w:val="nil"/>
              <w:left w:val="nil"/>
              <w:bottom w:val="nil"/>
              <w:right w:val="nil"/>
            </w:tcBorders>
          </w:tcPr>
          <w:p w14:paraId="3B4F94DC"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4DD"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131</w:t>
            </w:r>
          </w:p>
        </w:tc>
        <w:tc>
          <w:tcPr>
            <w:tcW w:w="779" w:type="dxa"/>
            <w:tcBorders>
              <w:top w:val="nil"/>
              <w:left w:val="nil"/>
              <w:bottom w:val="nil"/>
              <w:right w:val="nil"/>
            </w:tcBorders>
          </w:tcPr>
          <w:p w14:paraId="3B4F94DE"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52</w:t>
            </w:r>
          </w:p>
        </w:tc>
        <w:tc>
          <w:tcPr>
            <w:tcW w:w="622" w:type="dxa"/>
            <w:tcBorders>
              <w:top w:val="nil"/>
              <w:left w:val="nil"/>
              <w:bottom w:val="nil"/>
              <w:right w:val="nil"/>
            </w:tcBorders>
          </w:tcPr>
          <w:p w14:paraId="3B4F94DF"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w:t>
            </w:r>
          </w:p>
        </w:tc>
        <w:tc>
          <w:tcPr>
            <w:tcW w:w="423" w:type="dxa"/>
            <w:tcBorders>
              <w:top w:val="nil"/>
              <w:left w:val="nil"/>
              <w:bottom w:val="nil"/>
              <w:right w:val="nil"/>
            </w:tcBorders>
          </w:tcPr>
          <w:p w14:paraId="3B4F94E0"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4E1"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53</w:t>
            </w:r>
          </w:p>
        </w:tc>
      </w:tr>
      <w:tr w:rsidR="008E6212" w:rsidRPr="003B0E23" w14:paraId="3B4F94EC" w14:textId="77777777" w:rsidTr="009C1A36">
        <w:trPr>
          <w:jc w:val="center"/>
        </w:trPr>
        <w:tc>
          <w:tcPr>
            <w:tcW w:w="2519" w:type="dxa"/>
            <w:tcBorders>
              <w:top w:val="nil"/>
              <w:left w:val="nil"/>
              <w:bottom w:val="nil"/>
              <w:right w:val="nil"/>
            </w:tcBorders>
          </w:tcPr>
          <w:p w14:paraId="3B4F94E3"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bony herring</w:t>
            </w:r>
          </w:p>
        </w:tc>
        <w:tc>
          <w:tcPr>
            <w:tcW w:w="566" w:type="dxa"/>
            <w:tcBorders>
              <w:top w:val="nil"/>
              <w:left w:val="nil"/>
              <w:bottom w:val="nil"/>
              <w:right w:val="nil"/>
            </w:tcBorders>
          </w:tcPr>
          <w:p w14:paraId="3B4F94E4"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31</w:t>
            </w:r>
          </w:p>
        </w:tc>
        <w:tc>
          <w:tcPr>
            <w:tcW w:w="707" w:type="dxa"/>
            <w:tcBorders>
              <w:top w:val="nil"/>
              <w:left w:val="nil"/>
              <w:bottom w:val="nil"/>
              <w:right w:val="nil"/>
            </w:tcBorders>
          </w:tcPr>
          <w:p w14:paraId="3B4F94E5"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nil"/>
              <w:right w:val="nil"/>
            </w:tcBorders>
          </w:tcPr>
          <w:p w14:paraId="3B4F94E6"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4E7"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31</w:t>
            </w:r>
          </w:p>
        </w:tc>
        <w:tc>
          <w:tcPr>
            <w:tcW w:w="779" w:type="dxa"/>
            <w:tcBorders>
              <w:top w:val="nil"/>
              <w:left w:val="nil"/>
              <w:bottom w:val="nil"/>
              <w:right w:val="nil"/>
            </w:tcBorders>
          </w:tcPr>
          <w:p w14:paraId="3B4F94E8"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27</w:t>
            </w:r>
          </w:p>
        </w:tc>
        <w:tc>
          <w:tcPr>
            <w:tcW w:w="622" w:type="dxa"/>
            <w:tcBorders>
              <w:top w:val="nil"/>
              <w:left w:val="nil"/>
              <w:bottom w:val="nil"/>
              <w:right w:val="nil"/>
            </w:tcBorders>
          </w:tcPr>
          <w:p w14:paraId="3B4F94E9"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23" w:type="dxa"/>
            <w:tcBorders>
              <w:top w:val="nil"/>
              <w:left w:val="nil"/>
              <w:bottom w:val="nil"/>
              <w:right w:val="nil"/>
            </w:tcBorders>
          </w:tcPr>
          <w:p w14:paraId="3B4F94EA"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4EB"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27</w:t>
            </w:r>
          </w:p>
        </w:tc>
      </w:tr>
      <w:tr w:rsidR="008E6212" w:rsidRPr="003B0E23" w14:paraId="3B4F94F6" w14:textId="77777777" w:rsidTr="009C1A36">
        <w:trPr>
          <w:jc w:val="center"/>
        </w:trPr>
        <w:tc>
          <w:tcPr>
            <w:tcW w:w="2519" w:type="dxa"/>
            <w:tcBorders>
              <w:top w:val="nil"/>
              <w:left w:val="nil"/>
              <w:bottom w:val="nil"/>
              <w:right w:val="nil"/>
            </w:tcBorders>
          </w:tcPr>
          <w:p w14:paraId="3B4F94ED"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 xml:space="preserve">carp gudgeon </w:t>
            </w:r>
          </w:p>
        </w:tc>
        <w:tc>
          <w:tcPr>
            <w:tcW w:w="566" w:type="dxa"/>
            <w:tcBorders>
              <w:top w:val="nil"/>
              <w:left w:val="nil"/>
              <w:bottom w:val="nil"/>
              <w:right w:val="nil"/>
            </w:tcBorders>
          </w:tcPr>
          <w:p w14:paraId="3B4F94EE"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47</w:t>
            </w:r>
          </w:p>
        </w:tc>
        <w:tc>
          <w:tcPr>
            <w:tcW w:w="707" w:type="dxa"/>
            <w:tcBorders>
              <w:top w:val="nil"/>
              <w:left w:val="nil"/>
              <w:bottom w:val="nil"/>
              <w:right w:val="nil"/>
            </w:tcBorders>
          </w:tcPr>
          <w:p w14:paraId="3B4F94EF"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4302</w:t>
            </w:r>
          </w:p>
        </w:tc>
        <w:tc>
          <w:tcPr>
            <w:tcW w:w="477" w:type="dxa"/>
            <w:gridSpan w:val="2"/>
            <w:tcBorders>
              <w:top w:val="nil"/>
              <w:left w:val="nil"/>
              <w:bottom w:val="nil"/>
              <w:right w:val="nil"/>
            </w:tcBorders>
          </w:tcPr>
          <w:p w14:paraId="3B4F94F0"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51</w:t>
            </w:r>
          </w:p>
        </w:tc>
        <w:tc>
          <w:tcPr>
            <w:tcW w:w="622" w:type="dxa"/>
            <w:tcBorders>
              <w:top w:val="nil"/>
              <w:left w:val="nil"/>
              <w:bottom w:val="nil"/>
              <w:right w:val="nil"/>
            </w:tcBorders>
          </w:tcPr>
          <w:p w14:paraId="3B4F94F1"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4400</w:t>
            </w:r>
          </w:p>
        </w:tc>
        <w:tc>
          <w:tcPr>
            <w:tcW w:w="779" w:type="dxa"/>
            <w:tcBorders>
              <w:top w:val="nil"/>
              <w:left w:val="nil"/>
              <w:bottom w:val="nil"/>
              <w:right w:val="nil"/>
            </w:tcBorders>
          </w:tcPr>
          <w:p w14:paraId="3B4F94F2"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68</w:t>
            </w:r>
          </w:p>
        </w:tc>
        <w:tc>
          <w:tcPr>
            <w:tcW w:w="622" w:type="dxa"/>
            <w:tcBorders>
              <w:top w:val="nil"/>
              <w:left w:val="nil"/>
              <w:bottom w:val="nil"/>
              <w:right w:val="nil"/>
            </w:tcBorders>
          </w:tcPr>
          <w:p w14:paraId="3B4F94F3"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2367</w:t>
            </w:r>
          </w:p>
        </w:tc>
        <w:tc>
          <w:tcPr>
            <w:tcW w:w="423" w:type="dxa"/>
            <w:tcBorders>
              <w:top w:val="nil"/>
              <w:left w:val="nil"/>
              <w:bottom w:val="nil"/>
              <w:right w:val="nil"/>
            </w:tcBorders>
          </w:tcPr>
          <w:p w14:paraId="3B4F94F4"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15</w:t>
            </w:r>
          </w:p>
        </w:tc>
        <w:tc>
          <w:tcPr>
            <w:tcW w:w="773" w:type="dxa"/>
            <w:tcBorders>
              <w:top w:val="nil"/>
              <w:left w:val="nil"/>
              <w:bottom w:val="nil"/>
              <w:right w:val="nil"/>
            </w:tcBorders>
          </w:tcPr>
          <w:p w14:paraId="3B4F94F5"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2450</w:t>
            </w:r>
          </w:p>
        </w:tc>
      </w:tr>
      <w:tr w:rsidR="008E6212" w:rsidRPr="003B0E23" w14:paraId="3B4F9500" w14:textId="77777777" w:rsidTr="009C1A36">
        <w:trPr>
          <w:jc w:val="center"/>
        </w:trPr>
        <w:tc>
          <w:tcPr>
            <w:tcW w:w="2519" w:type="dxa"/>
            <w:tcBorders>
              <w:top w:val="nil"/>
              <w:left w:val="nil"/>
              <w:bottom w:val="nil"/>
              <w:right w:val="nil"/>
            </w:tcBorders>
          </w:tcPr>
          <w:p w14:paraId="3B4F94F7"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flatheaded gudgeon</w:t>
            </w:r>
          </w:p>
        </w:tc>
        <w:tc>
          <w:tcPr>
            <w:tcW w:w="566" w:type="dxa"/>
            <w:tcBorders>
              <w:top w:val="nil"/>
              <w:left w:val="nil"/>
              <w:bottom w:val="nil"/>
              <w:right w:val="nil"/>
            </w:tcBorders>
          </w:tcPr>
          <w:p w14:paraId="3B4F94F8"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07" w:type="dxa"/>
            <w:tcBorders>
              <w:top w:val="nil"/>
              <w:left w:val="nil"/>
              <w:bottom w:val="nil"/>
              <w:right w:val="nil"/>
            </w:tcBorders>
          </w:tcPr>
          <w:p w14:paraId="3B4F94F9"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nil"/>
              <w:right w:val="nil"/>
            </w:tcBorders>
          </w:tcPr>
          <w:p w14:paraId="3B4F94FA" w14:textId="77777777" w:rsidR="008E6212" w:rsidRPr="003B0E23" w:rsidRDefault="008E6212" w:rsidP="009C1A36">
            <w:pPr>
              <w:spacing w:after="0" w:line="240" w:lineRule="auto"/>
              <w:jc w:val="center"/>
              <w:rPr>
                <w:rFonts w:asciiTheme="minorHAnsi" w:hAnsiTheme="minorHAnsi"/>
                <w:sz w:val="20"/>
              </w:rPr>
            </w:pPr>
            <w:r w:rsidRPr="003B0E23">
              <w:rPr>
                <w:rFonts w:asciiTheme="minorHAnsi" w:hAnsiTheme="minorHAnsi"/>
                <w:sz w:val="20"/>
              </w:rPr>
              <w:t>1</w:t>
            </w:r>
          </w:p>
        </w:tc>
        <w:tc>
          <w:tcPr>
            <w:tcW w:w="622" w:type="dxa"/>
            <w:tcBorders>
              <w:top w:val="nil"/>
              <w:left w:val="nil"/>
              <w:bottom w:val="nil"/>
              <w:right w:val="nil"/>
            </w:tcBorders>
          </w:tcPr>
          <w:p w14:paraId="3B4F94FB"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w:t>
            </w:r>
          </w:p>
        </w:tc>
        <w:tc>
          <w:tcPr>
            <w:tcW w:w="779" w:type="dxa"/>
            <w:tcBorders>
              <w:top w:val="nil"/>
              <w:left w:val="nil"/>
              <w:bottom w:val="nil"/>
              <w:right w:val="nil"/>
            </w:tcBorders>
          </w:tcPr>
          <w:p w14:paraId="3B4F94FC"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4FD"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23" w:type="dxa"/>
            <w:tcBorders>
              <w:top w:val="nil"/>
              <w:left w:val="nil"/>
              <w:bottom w:val="nil"/>
              <w:right w:val="nil"/>
            </w:tcBorders>
          </w:tcPr>
          <w:p w14:paraId="3B4F94FE"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w:t>
            </w:r>
          </w:p>
        </w:tc>
        <w:tc>
          <w:tcPr>
            <w:tcW w:w="773" w:type="dxa"/>
            <w:tcBorders>
              <w:top w:val="nil"/>
              <w:left w:val="nil"/>
              <w:bottom w:val="nil"/>
              <w:right w:val="nil"/>
            </w:tcBorders>
          </w:tcPr>
          <w:p w14:paraId="3B4F94FF"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3</w:t>
            </w:r>
          </w:p>
        </w:tc>
      </w:tr>
      <w:tr w:rsidR="008E6212" w:rsidRPr="003B0E23" w14:paraId="3B4F950A" w14:textId="77777777" w:rsidTr="009C1A36">
        <w:trPr>
          <w:jc w:val="center"/>
        </w:trPr>
        <w:tc>
          <w:tcPr>
            <w:tcW w:w="2519" w:type="dxa"/>
            <w:tcBorders>
              <w:top w:val="nil"/>
              <w:left w:val="nil"/>
              <w:bottom w:val="nil"/>
              <w:right w:val="nil"/>
            </w:tcBorders>
          </w:tcPr>
          <w:p w14:paraId="3B4F9501"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golden perch</w:t>
            </w:r>
          </w:p>
        </w:tc>
        <w:tc>
          <w:tcPr>
            <w:tcW w:w="566" w:type="dxa"/>
            <w:tcBorders>
              <w:top w:val="nil"/>
              <w:left w:val="nil"/>
              <w:bottom w:val="nil"/>
              <w:right w:val="nil"/>
            </w:tcBorders>
          </w:tcPr>
          <w:p w14:paraId="3B4F9502"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107</w:t>
            </w:r>
          </w:p>
        </w:tc>
        <w:tc>
          <w:tcPr>
            <w:tcW w:w="707" w:type="dxa"/>
            <w:tcBorders>
              <w:top w:val="nil"/>
              <w:left w:val="nil"/>
              <w:bottom w:val="nil"/>
              <w:right w:val="nil"/>
            </w:tcBorders>
          </w:tcPr>
          <w:p w14:paraId="3B4F9503"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nil"/>
              <w:right w:val="nil"/>
            </w:tcBorders>
          </w:tcPr>
          <w:p w14:paraId="3B4F9504"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05"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107</w:t>
            </w:r>
          </w:p>
        </w:tc>
        <w:tc>
          <w:tcPr>
            <w:tcW w:w="779" w:type="dxa"/>
            <w:tcBorders>
              <w:top w:val="nil"/>
              <w:left w:val="nil"/>
              <w:bottom w:val="nil"/>
              <w:right w:val="nil"/>
            </w:tcBorders>
          </w:tcPr>
          <w:p w14:paraId="3B4F9506"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116</w:t>
            </w:r>
          </w:p>
        </w:tc>
        <w:tc>
          <w:tcPr>
            <w:tcW w:w="622" w:type="dxa"/>
            <w:tcBorders>
              <w:top w:val="nil"/>
              <w:left w:val="nil"/>
              <w:bottom w:val="nil"/>
              <w:right w:val="nil"/>
            </w:tcBorders>
          </w:tcPr>
          <w:p w14:paraId="3B4F9507"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23" w:type="dxa"/>
            <w:tcBorders>
              <w:top w:val="nil"/>
              <w:left w:val="nil"/>
              <w:bottom w:val="nil"/>
              <w:right w:val="nil"/>
            </w:tcBorders>
          </w:tcPr>
          <w:p w14:paraId="3B4F9508"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509"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116</w:t>
            </w:r>
          </w:p>
        </w:tc>
      </w:tr>
      <w:tr w:rsidR="008E6212" w:rsidRPr="003B0E23" w14:paraId="3B4F9514" w14:textId="77777777" w:rsidTr="009C1A36">
        <w:trPr>
          <w:jc w:val="center"/>
        </w:trPr>
        <w:tc>
          <w:tcPr>
            <w:tcW w:w="2519" w:type="dxa"/>
            <w:tcBorders>
              <w:top w:val="nil"/>
              <w:left w:val="nil"/>
              <w:bottom w:val="nil"/>
              <w:right w:val="nil"/>
            </w:tcBorders>
          </w:tcPr>
          <w:p w14:paraId="3B4F950B"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Murray cod</w:t>
            </w:r>
          </w:p>
        </w:tc>
        <w:tc>
          <w:tcPr>
            <w:tcW w:w="566" w:type="dxa"/>
            <w:tcBorders>
              <w:top w:val="nil"/>
              <w:left w:val="nil"/>
              <w:bottom w:val="nil"/>
              <w:right w:val="nil"/>
            </w:tcBorders>
          </w:tcPr>
          <w:p w14:paraId="3B4F950C"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210</w:t>
            </w:r>
          </w:p>
        </w:tc>
        <w:tc>
          <w:tcPr>
            <w:tcW w:w="707" w:type="dxa"/>
            <w:tcBorders>
              <w:top w:val="nil"/>
              <w:left w:val="nil"/>
              <w:bottom w:val="nil"/>
              <w:right w:val="nil"/>
            </w:tcBorders>
          </w:tcPr>
          <w:p w14:paraId="3B4F950D"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nil"/>
              <w:right w:val="nil"/>
            </w:tcBorders>
          </w:tcPr>
          <w:p w14:paraId="3B4F950E"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0F"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210</w:t>
            </w:r>
          </w:p>
        </w:tc>
        <w:tc>
          <w:tcPr>
            <w:tcW w:w="779" w:type="dxa"/>
            <w:tcBorders>
              <w:top w:val="nil"/>
              <w:left w:val="nil"/>
              <w:bottom w:val="nil"/>
              <w:right w:val="nil"/>
            </w:tcBorders>
          </w:tcPr>
          <w:p w14:paraId="3B4F9510"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333</w:t>
            </w:r>
          </w:p>
        </w:tc>
        <w:tc>
          <w:tcPr>
            <w:tcW w:w="622" w:type="dxa"/>
            <w:tcBorders>
              <w:top w:val="nil"/>
              <w:left w:val="nil"/>
              <w:bottom w:val="nil"/>
              <w:right w:val="nil"/>
            </w:tcBorders>
          </w:tcPr>
          <w:p w14:paraId="3B4F9511"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w:t>
            </w:r>
          </w:p>
        </w:tc>
        <w:tc>
          <w:tcPr>
            <w:tcW w:w="423" w:type="dxa"/>
            <w:tcBorders>
              <w:top w:val="nil"/>
              <w:left w:val="nil"/>
              <w:bottom w:val="nil"/>
              <w:right w:val="nil"/>
            </w:tcBorders>
          </w:tcPr>
          <w:p w14:paraId="3B4F9512"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513"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334</w:t>
            </w:r>
          </w:p>
        </w:tc>
      </w:tr>
      <w:tr w:rsidR="008E6212" w:rsidRPr="003B0E23" w14:paraId="3B4F951E" w14:textId="77777777" w:rsidTr="009C1A36">
        <w:trPr>
          <w:jc w:val="center"/>
        </w:trPr>
        <w:tc>
          <w:tcPr>
            <w:tcW w:w="2519" w:type="dxa"/>
            <w:tcBorders>
              <w:top w:val="nil"/>
              <w:left w:val="nil"/>
              <w:bottom w:val="nil"/>
              <w:right w:val="nil"/>
            </w:tcBorders>
          </w:tcPr>
          <w:p w14:paraId="3B4F9515"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Murray-Darling rainbowfish</w:t>
            </w:r>
          </w:p>
        </w:tc>
        <w:tc>
          <w:tcPr>
            <w:tcW w:w="566" w:type="dxa"/>
            <w:tcBorders>
              <w:top w:val="nil"/>
              <w:left w:val="nil"/>
              <w:bottom w:val="nil"/>
              <w:right w:val="nil"/>
            </w:tcBorders>
          </w:tcPr>
          <w:p w14:paraId="3B4F9516"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339</w:t>
            </w:r>
          </w:p>
        </w:tc>
        <w:tc>
          <w:tcPr>
            <w:tcW w:w="707" w:type="dxa"/>
            <w:tcBorders>
              <w:top w:val="nil"/>
              <w:left w:val="nil"/>
              <w:bottom w:val="nil"/>
              <w:right w:val="nil"/>
            </w:tcBorders>
          </w:tcPr>
          <w:p w14:paraId="3B4F9517"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168</w:t>
            </w:r>
          </w:p>
        </w:tc>
        <w:tc>
          <w:tcPr>
            <w:tcW w:w="477" w:type="dxa"/>
            <w:gridSpan w:val="2"/>
            <w:tcBorders>
              <w:top w:val="nil"/>
              <w:left w:val="nil"/>
              <w:bottom w:val="nil"/>
              <w:right w:val="nil"/>
            </w:tcBorders>
          </w:tcPr>
          <w:p w14:paraId="3B4F9518"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19"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507</w:t>
            </w:r>
          </w:p>
        </w:tc>
        <w:tc>
          <w:tcPr>
            <w:tcW w:w="779" w:type="dxa"/>
            <w:tcBorders>
              <w:top w:val="nil"/>
              <w:left w:val="nil"/>
              <w:bottom w:val="nil"/>
              <w:right w:val="nil"/>
            </w:tcBorders>
          </w:tcPr>
          <w:p w14:paraId="3B4F951A"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353</w:t>
            </w:r>
          </w:p>
        </w:tc>
        <w:tc>
          <w:tcPr>
            <w:tcW w:w="622" w:type="dxa"/>
            <w:tcBorders>
              <w:top w:val="nil"/>
              <w:left w:val="nil"/>
              <w:bottom w:val="nil"/>
              <w:right w:val="nil"/>
            </w:tcBorders>
          </w:tcPr>
          <w:p w14:paraId="3B4F951B"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77</w:t>
            </w:r>
          </w:p>
        </w:tc>
        <w:tc>
          <w:tcPr>
            <w:tcW w:w="423" w:type="dxa"/>
            <w:tcBorders>
              <w:top w:val="nil"/>
              <w:left w:val="nil"/>
              <w:bottom w:val="nil"/>
              <w:right w:val="nil"/>
            </w:tcBorders>
          </w:tcPr>
          <w:p w14:paraId="3B4F951C"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5</w:t>
            </w:r>
          </w:p>
        </w:tc>
        <w:tc>
          <w:tcPr>
            <w:tcW w:w="773" w:type="dxa"/>
            <w:tcBorders>
              <w:top w:val="nil"/>
              <w:left w:val="nil"/>
              <w:bottom w:val="nil"/>
              <w:right w:val="nil"/>
            </w:tcBorders>
          </w:tcPr>
          <w:p w14:paraId="3B4F951D"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435</w:t>
            </w:r>
          </w:p>
        </w:tc>
      </w:tr>
      <w:tr w:rsidR="008E6212" w:rsidRPr="003B0E23" w14:paraId="3B4F9528" w14:textId="77777777" w:rsidTr="009C1A36">
        <w:trPr>
          <w:jc w:val="center"/>
        </w:trPr>
        <w:tc>
          <w:tcPr>
            <w:tcW w:w="2519" w:type="dxa"/>
            <w:tcBorders>
              <w:top w:val="nil"/>
              <w:left w:val="nil"/>
              <w:bottom w:val="nil"/>
              <w:right w:val="nil"/>
            </w:tcBorders>
          </w:tcPr>
          <w:p w14:paraId="3B4F951F"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silver perch</w:t>
            </w:r>
          </w:p>
        </w:tc>
        <w:tc>
          <w:tcPr>
            <w:tcW w:w="566" w:type="dxa"/>
            <w:tcBorders>
              <w:top w:val="nil"/>
              <w:left w:val="nil"/>
              <w:bottom w:val="nil"/>
              <w:right w:val="nil"/>
            </w:tcBorders>
          </w:tcPr>
          <w:p w14:paraId="3B4F9520"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5</w:t>
            </w:r>
          </w:p>
        </w:tc>
        <w:tc>
          <w:tcPr>
            <w:tcW w:w="707" w:type="dxa"/>
            <w:tcBorders>
              <w:top w:val="nil"/>
              <w:left w:val="nil"/>
              <w:bottom w:val="nil"/>
              <w:right w:val="nil"/>
            </w:tcBorders>
          </w:tcPr>
          <w:p w14:paraId="3B4F9521"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nil"/>
              <w:right w:val="nil"/>
            </w:tcBorders>
          </w:tcPr>
          <w:p w14:paraId="3B4F9522"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23"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5</w:t>
            </w:r>
          </w:p>
        </w:tc>
        <w:tc>
          <w:tcPr>
            <w:tcW w:w="779" w:type="dxa"/>
            <w:tcBorders>
              <w:top w:val="nil"/>
              <w:left w:val="nil"/>
              <w:bottom w:val="nil"/>
              <w:right w:val="nil"/>
            </w:tcBorders>
          </w:tcPr>
          <w:p w14:paraId="3B4F9524"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5</w:t>
            </w:r>
          </w:p>
        </w:tc>
        <w:tc>
          <w:tcPr>
            <w:tcW w:w="622" w:type="dxa"/>
            <w:tcBorders>
              <w:top w:val="nil"/>
              <w:left w:val="nil"/>
              <w:bottom w:val="nil"/>
              <w:right w:val="nil"/>
            </w:tcBorders>
          </w:tcPr>
          <w:p w14:paraId="3B4F9525"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23" w:type="dxa"/>
            <w:tcBorders>
              <w:top w:val="nil"/>
              <w:left w:val="nil"/>
              <w:bottom w:val="nil"/>
              <w:right w:val="nil"/>
            </w:tcBorders>
          </w:tcPr>
          <w:p w14:paraId="3B4F9526"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527"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5</w:t>
            </w:r>
          </w:p>
        </w:tc>
      </w:tr>
      <w:tr w:rsidR="008E6212" w:rsidRPr="003B0E23" w14:paraId="3B4F9532" w14:textId="77777777" w:rsidTr="009C1A36">
        <w:trPr>
          <w:jc w:val="center"/>
        </w:trPr>
        <w:tc>
          <w:tcPr>
            <w:tcW w:w="2519" w:type="dxa"/>
            <w:tcBorders>
              <w:top w:val="nil"/>
              <w:left w:val="nil"/>
              <w:bottom w:val="nil"/>
              <w:right w:val="nil"/>
            </w:tcBorders>
          </w:tcPr>
          <w:p w14:paraId="3B4F9529"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un-specked hardyhead</w:t>
            </w:r>
          </w:p>
        </w:tc>
        <w:tc>
          <w:tcPr>
            <w:tcW w:w="566" w:type="dxa"/>
            <w:tcBorders>
              <w:top w:val="nil"/>
              <w:left w:val="nil"/>
              <w:bottom w:val="nil"/>
              <w:right w:val="nil"/>
            </w:tcBorders>
          </w:tcPr>
          <w:p w14:paraId="3B4F952A"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86</w:t>
            </w:r>
          </w:p>
        </w:tc>
        <w:tc>
          <w:tcPr>
            <w:tcW w:w="707" w:type="dxa"/>
            <w:tcBorders>
              <w:top w:val="nil"/>
              <w:left w:val="nil"/>
              <w:bottom w:val="nil"/>
              <w:right w:val="nil"/>
            </w:tcBorders>
          </w:tcPr>
          <w:p w14:paraId="3B4F952B"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64</w:t>
            </w:r>
          </w:p>
        </w:tc>
        <w:tc>
          <w:tcPr>
            <w:tcW w:w="477" w:type="dxa"/>
            <w:gridSpan w:val="2"/>
            <w:tcBorders>
              <w:top w:val="nil"/>
              <w:left w:val="nil"/>
              <w:bottom w:val="nil"/>
              <w:right w:val="nil"/>
            </w:tcBorders>
          </w:tcPr>
          <w:p w14:paraId="3B4F952C"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2D"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150</w:t>
            </w:r>
          </w:p>
        </w:tc>
        <w:tc>
          <w:tcPr>
            <w:tcW w:w="779" w:type="dxa"/>
            <w:tcBorders>
              <w:top w:val="nil"/>
              <w:left w:val="nil"/>
              <w:bottom w:val="nil"/>
              <w:right w:val="nil"/>
            </w:tcBorders>
          </w:tcPr>
          <w:p w14:paraId="3B4F952E"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565</w:t>
            </w:r>
          </w:p>
        </w:tc>
        <w:tc>
          <w:tcPr>
            <w:tcW w:w="622" w:type="dxa"/>
            <w:tcBorders>
              <w:top w:val="nil"/>
              <w:left w:val="nil"/>
              <w:bottom w:val="nil"/>
              <w:right w:val="nil"/>
            </w:tcBorders>
          </w:tcPr>
          <w:p w14:paraId="3B4F952F"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35</w:t>
            </w:r>
          </w:p>
        </w:tc>
        <w:tc>
          <w:tcPr>
            <w:tcW w:w="423" w:type="dxa"/>
            <w:tcBorders>
              <w:top w:val="nil"/>
              <w:left w:val="nil"/>
              <w:bottom w:val="nil"/>
              <w:right w:val="nil"/>
            </w:tcBorders>
          </w:tcPr>
          <w:p w14:paraId="3B4F9530"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531"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600</w:t>
            </w:r>
          </w:p>
        </w:tc>
      </w:tr>
      <w:tr w:rsidR="008E6212" w:rsidRPr="003B0E23" w14:paraId="3B4F9534" w14:textId="77777777" w:rsidTr="009C1A36">
        <w:trPr>
          <w:jc w:val="center"/>
        </w:trPr>
        <w:tc>
          <w:tcPr>
            <w:tcW w:w="7488" w:type="dxa"/>
            <w:gridSpan w:val="10"/>
            <w:tcBorders>
              <w:top w:val="nil"/>
              <w:left w:val="nil"/>
              <w:bottom w:val="nil"/>
              <w:right w:val="nil"/>
            </w:tcBorders>
          </w:tcPr>
          <w:p w14:paraId="3B4F9533" w14:textId="77777777" w:rsidR="008E6212" w:rsidRPr="003B0E23" w:rsidRDefault="008E6212" w:rsidP="009C1A36">
            <w:pPr>
              <w:spacing w:after="0" w:line="240" w:lineRule="auto"/>
              <w:jc w:val="left"/>
              <w:rPr>
                <w:rFonts w:asciiTheme="minorHAnsi" w:hAnsiTheme="minorHAnsi"/>
                <w:sz w:val="20"/>
              </w:rPr>
            </w:pPr>
            <w:r w:rsidRPr="003B0E23">
              <w:rPr>
                <w:rFonts w:asciiTheme="minorHAnsi" w:hAnsiTheme="minorHAnsi"/>
                <w:i/>
                <w:sz w:val="20"/>
              </w:rPr>
              <w:t>alien species</w:t>
            </w:r>
          </w:p>
        </w:tc>
      </w:tr>
      <w:tr w:rsidR="008E6212" w:rsidRPr="003B0E23" w14:paraId="3B4F953E" w14:textId="77777777" w:rsidTr="009C1A36">
        <w:trPr>
          <w:jc w:val="center"/>
        </w:trPr>
        <w:tc>
          <w:tcPr>
            <w:tcW w:w="2519" w:type="dxa"/>
            <w:tcBorders>
              <w:top w:val="nil"/>
              <w:left w:val="nil"/>
              <w:bottom w:val="nil"/>
              <w:right w:val="nil"/>
            </w:tcBorders>
          </w:tcPr>
          <w:p w14:paraId="3B4F9535" w14:textId="77777777" w:rsidR="008E6212" w:rsidRPr="003B0E23" w:rsidRDefault="008E6212" w:rsidP="009C1A36">
            <w:pPr>
              <w:spacing w:after="0" w:line="240" w:lineRule="auto"/>
              <w:rPr>
                <w:rFonts w:asciiTheme="minorHAnsi" w:hAnsiTheme="minorHAnsi"/>
                <w:i/>
                <w:sz w:val="20"/>
              </w:rPr>
            </w:pPr>
            <w:r w:rsidRPr="003B0E23">
              <w:rPr>
                <w:rFonts w:asciiTheme="minorHAnsi" w:hAnsiTheme="minorHAnsi"/>
                <w:sz w:val="20"/>
              </w:rPr>
              <w:t>common carp</w:t>
            </w:r>
          </w:p>
        </w:tc>
        <w:tc>
          <w:tcPr>
            <w:tcW w:w="566" w:type="dxa"/>
            <w:tcBorders>
              <w:top w:val="nil"/>
              <w:left w:val="nil"/>
              <w:bottom w:val="nil"/>
              <w:right w:val="nil"/>
            </w:tcBorders>
          </w:tcPr>
          <w:p w14:paraId="3B4F9536"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167</w:t>
            </w:r>
          </w:p>
        </w:tc>
        <w:tc>
          <w:tcPr>
            <w:tcW w:w="707" w:type="dxa"/>
            <w:tcBorders>
              <w:top w:val="nil"/>
              <w:left w:val="nil"/>
              <w:bottom w:val="nil"/>
              <w:right w:val="nil"/>
            </w:tcBorders>
          </w:tcPr>
          <w:p w14:paraId="3B4F9537"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nil"/>
              <w:right w:val="nil"/>
            </w:tcBorders>
          </w:tcPr>
          <w:p w14:paraId="3B4F9538"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39"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167</w:t>
            </w:r>
          </w:p>
        </w:tc>
        <w:tc>
          <w:tcPr>
            <w:tcW w:w="779" w:type="dxa"/>
            <w:tcBorders>
              <w:top w:val="nil"/>
              <w:left w:val="nil"/>
              <w:bottom w:val="nil"/>
              <w:right w:val="nil"/>
            </w:tcBorders>
          </w:tcPr>
          <w:p w14:paraId="3B4F953A"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176</w:t>
            </w:r>
          </w:p>
        </w:tc>
        <w:tc>
          <w:tcPr>
            <w:tcW w:w="622" w:type="dxa"/>
            <w:tcBorders>
              <w:top w:val="nil"/>
              <w:left w:val="nil"/>
              <w:bottom w:val="nil"/>
              <w:right w:val="nil"/>
            </w:tcBorders>
          </w:tcPr>
          <w:p w14:paraId="3B4F953B"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23" w:type="dxa"/>
            <w:tcBorders>
              <w:top w:val="nil"/>
              <w:left w:val="nil"/>
              <w:bottom w:val="nil"/>
              <w:right w:val="nil"/>
            </w:tcBorders>
          </w:tcPr>
          <w:p w14:paraId="3B4F953C"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nil"/>
              <w:right w:val="nil"/>
            </w:tcBorders>
          </w:tcPr>
          <w:p w14:paraId="3B4F953D"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176</w:t>
            </w:r>
          </w:p>
        </w:tc>
      </w:tr>
      <w:tr w:rsidR="008E6212" w:rsidRPr="003B0E23" w14:paraId="3B4F9548" w14:textId="77777777" w:rsidTr="009C1A36">
        <w:trPr>
          <w:jc w:val="center"/>
        </w:trPr>
        <w:tc>
          <w:tcPr>
            <w:tcW w:w="2519" w:type="dxa"/>
            <w:tcBorders>
              <w:top w:val="nil"/>
              <w:left w:val="nil"/>
              <w:bottom w:val="nil"/>
              <w:right w:val="nil"/>
            </w:tcBorders>
          </w:tcPr>
          <w:p w14:paraId="3B4F953F"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eastern gambusia</w:t>
            </w:r>
          </w:p>
        </w:tc>
        <w:tc>
          <w:tcPr>
            <w:tcW w:w="566" w:type="dxa"/>
            <w:tcBorders>
              <w:top w:val="nil"/>
              <w:left w:val="nil"/>
              <w:bottom w:val="nil"/>
              <w:right w:val="nil"/>
            </w:tcBorders>
          </w:tcPr>
          <w:p w14:paraId="3B4F9540"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18</w:t>
            </w:r>
          </w:p>
        </w:tc>
        <w:tc>
          <w:tcPr>
            <w:tcW w:w="707" w:type="dxa"/>
            <w:tcBorders>
              <w:top w:val="nil"/>
              <w:left w:val="nil"/>
              <w:bottom w:val="nil"/>
              <w:right w:val="nil"/>
            </w:tcBorders>
          </w:tcPr>
          <w:p w14:paraId="3B4F9541"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175</w:t>
            </w:r>
          </w:p>
        </w:tc>
        <w:tc>
          <w:tcPr>
            <w:tcW w:w="477" w:type="dxa"/>
            <w:gridSpan w:val="2"/>
            <w:tcBorders>
              <w:top w:val="nil"/>
              <w:left w:val="nil"/>
              <w:bottom w:val="nil"/>
              <w:right w:val="nil"/>
            </w:tcBorders>
          </w:tcPr>
          <w:p w14:paraId="3B4F9542"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nil"/>
              <w:right w:val="nil"/>
            </w:tcBorders>
          </w:tcPr>
          <w:p w14:paraId="3B4F9543"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193</w:t>
            </w:r>
          </w:p>
        </w:tc>
        <w:tc>
          <w:tcPr>
            <w:tcW w:w="779" w:type="dxa"/>
            <w:tcBorders>
              <w:top w:val="nil"/>
              <w:left w:val="nil"/>
              <w:bottom w:val="nil"/>
              <w:right w:val="nil"/>
            </w:tcBorders>
          </w:tcPr>
          <w:p w14:paraId="3B4F9544"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36</w:t>
            </w:r>
          </w:p>
        </w:tc>
        <w:tc>
          <w:tcPr>
            <w:tcW w:w="622" w:type="dxa"/>
            <w:tcBorders>
              <w:top w:val="nil"/>
              <w:left w:val="nil"/>
              <w:bottom w:val="nil"/>
              <w:right w:val="nil"/>
            </w:tcBorders>
          </w:tcPr>
          <w:p w14:paraId="3B4F9545"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366</w:t>
            </w:r>
          </w:p>
        </w:tc>
        <w:tc>
          <w:tcPr>
            <w:tcW w:w="423" w:type="dxa"/>
            <w:tcBorders>
              <w:top w:val="nil"/>
              <w:left w:val="nil"/>
              <w:bottom w:val="nil"/>
              <w:right w:val="nil"/>
            </w:tcBorders>
          </w:tcPr>
          <w:p w14:paraId="3B4F9546"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1</w:t>
            </w:r>
          </w:p>
        </w:tc>
        <w:tc>
          <w:tcPr>
            <w:tcW w:w="773" w:type="dxa"/>
            <w:tcBorders>
              <w:top w:val="nil"/>
              <w:left w:val="nil"/>
              <w:bottom w:val="nil"/>
              <w:right w:val="nil"/>
            </w:tcBorders>
          </w:tcPr>
          <w:p w14:paraId="3B4F9547"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403</w:t>
            </w:r>
          </w:p>
        </w:tc>
      </w:tr>
      <w:tr w:rsidR="008E6212" w:rsidRPr="003B0E23" w14:paraId="3B4F9552" w14:textId="77777777" w:rsidTr="009C1A36">
        <w:trPr>
          <w:jc w:val="center"/>
        </w:trPr>
        <w:tc>
          <w:tcPr>
            <w:tcW w:w="2519" w:type="dxa"/>
            <w:tcBorders>
              <w:top w:val="nil"/>
              <w:left w:val="nil"/>
              <w:bottom w:val="single" w:sz="4" w:space="0" w:color="auto"/>
              <w:right w:val="nil"/>
            </w:tcBorders>
          </w:tcPr>
          <w:p w14:paraId="3B4F9549" w14:textId="77777777" w:rsidR="008E6212" w:rsidRPr="003B0E23" w:rsidRDefault="008E6212" w:rsidP="009C1A36">
            <w:pPr>
              <w:spacing w:after="0" w:line="240" w:lineRule="auto"/>
              <w:rPr>
                <w:rFonts w:asciiTheme="minorHAnsi" w:hAnsiTheme="minorHAnsi"/>
                <w:sz w:val="20"/>
              </w:rPr>
            </w:pPr>
            <w:r w:rsidRPr="003B0E23">
              <w:rPr>
                <w:rFonts w:asciiTheme="minorHAnsi" w:hAnsiTheme="minorHAnsi"/>
                <w:sz w:val="20"/>
              </w:rPr>
              <w:t>goldfish</w:t>
            </w:r>
          </w:p>
        </w:tc>
        <w:tc>
          <w:tcPr>
            <w:tcW w:w="566" w:type="dxa"/>
            <w:tcBorders>
              <w:top w:val="nil"/>
              <w:left w:val="nil"/>
              <w:bottom w:val="single" w:sz="4" w:space="0" w:color="auto"/>
              <w:right w:val="nil"/>
            </w:tcBorders>
          </w:tcPr>
          <w:p w14:paraId="3B4F954A"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21</w:t>
            </w:r>
          </w:p>
        </w:tc>
        <w:tc>
          <w:tcPr>
            <w:tcW w:w="707" w:type="dxa"/>
            <w:tcBorders>
              <w:top w:val="nil"/>
              <w:left w:val="nil"/>
              <w:bottom w:val="single" w:sz="4" w:space="0" w:color="auto"/>
              <w:right w:val="nil"/>
            </w:tcBorders>
          </w:tcPr>
          <w:p w14:paraId="3B4F954B"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77" w:type="dxa"/>
            <w:gridSpan w:val="2"/>
            <w:tcBorders>
              <w:top w:val="nil"/>
              <w:left w:val="nil"/>
              <w:bottom w:val="single" w:sz="4" w:space="0" w:color="auto"/>
              <w:right w:val="nil"/>
            </w:tcBorders>
          </w:tcPr>
          <w:p w14:paraId="3B4F954C" w14:textId="77777777" w:rsidR="008E6212" w:rsidRPr="003B0E23" w:rsidRDefault="008E6212" w:rsidP="009C1A36">
            <w:pPr>
              <w:spacing w:after="0" w:line="240" w:lineRule="auto"/>
              <w:jc w:val="center"/>
              <w:rPr>
                <w:rFonts w:asciiTheme="minorHAnsi" w:hAnsiTheme="minorHAnsi"/>
                <w:sz w:val="20"/>
              </w:rPr>
            </w:pPr>
            <w:r>
              <w:rPr>
                <w:rFonts w:asciiTheme="minorHAnsi" w:hAnsiTheme="minorHAnsi"/>
                <w:sz w:val="20"/>
              </w:rPr>
              <w:t>-</w:t>
            </w:r>
          </w:p>
        </w:tc>
        <w:tc>
          <w:tcPr>
            <w:tcW w:w="622" w:type="dxa"/>
            <w:tcBorders>
              <w:top w:val="nil"/>
              <w:left w:val="nil"/>
              <w:bottom w:val="single" w:sz="4" w:space="0" w:color="auto"/>
              <w:right w:val="nil"/>
            </w:tcBorders>
          </w:tcPr>
          <w:p w14:paraId="3B4F954D"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21</w:t>
            </w:r>
          </w:p>
        </w:tc>
        <w:tc>
          <w:tcPr>
            <w:tcW w:w="779" w:type="dxa"/>
            <w:tcBorders>
              <w:top w:val="nil"/>
              <w:left w:val="nil"/>
              <w:bottom w:val="single" w:sz="4" w:space="0" w:color="auto"/>
              <w:right w:val="nil"/>
            </w:tcBorders>
          </w:tcPr>
          <w:p w14:paraId="3B4F954E" w14:textId="77777777" w:rsidR="008E6212" w:rsidRPr="003B0E23" w:rsidRDefault="008E6212" w:rsidP="009C1A36">
            <w:pPr>
              <w:spacing w:after="0" w:line="240" w:lineRule="auto"/>
              <w:jc w:val="right"/>
              <w:rPr>
                <w:rFonts w:asciiTheme="minorHAnsi" w:hAnsiTheme="minorHAnsi"/>
                <w:sz w:val="20"/>
              </w:rPr>
            </w:pPr>
            <w:r w:rsidRPr="003B0E23">
              <w:rPr>
                <w:rFonts w:asciiTheme="minorHAnsi" w:hAnsiTheme="minorHAnsi"/>
                <w:sz w:val="20"/>
              </w:rPr>
              <w:t>38</w:t>
            </w:r>
          </w:p>
        </w:tc>
        <w:tc>
          <w:tcPr>
            <w:tcW w:w="622" w:type="dxa"/>
            <w:tcBorders>
              <w:top w:val="nil"/>
              <w:left w:val="nil"/>
              <w:bottom w:val="single" w:sz="4" w:space="0" w:color="auto"/>
              <w:right w:val="nil"/>
            </w:tcBorders>
          </w:tcPr>
          <w:p w14:paraId="3B4F954F"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423" w:type="dxa"/>
            <w:tcBorders>
              <w:top w:val="nil"/>
              <w:left w:val="nil"/>
              <w:bottom w:val="single" w:sz="4" w:space="0" w:color="auto"/>
              <w:right w:val="nil"/>
            </w:tcBorders>
          </w:tcPr>
          <w:p w14:paraId="3B4F9550" w14:textId="77777777" w:rsidR="008E6212" w:rsidRPr="003B0E23" w:rsidRDefault="008E6212" w:rsidP="009C1A36">
            <w:pPr>
              <w:spacing w:after="0" w:line="240" w:lineRule="auto"/>
              <w:jc w:val="right"/>
              <w:rPr>
                <w:rFonts w:asciiTheme="minorHAnsi" w:hAnsiTheme="minorHAnsi"/>
                <w:sz w:val="20"/>
              </w:rPr>
            </w:pPr>
            <w:r>
              <w:rPr>
                <w:rFonts w:asciiTheme="minorHAnsi" w:hAnsiTheme="minorHAnsi"/>
                <w:sz w:val="20"/>
              </w:rPr>
              <w:t>-</w:t>
            </w:r>
          </w:p>
        </w:tc>
        <w:tc>
          <w:tcPr>
            <w:tcW w:w="773" w:type="dxa"/>
            <w:tcBorders>
              <w:top w:val="nil"/>
              <w:left w:val="nil"/>
              <w:bottom w:val="single" w:sz="4" w:space="0" w:color="auto"/>
              <w:right w:val="nil"/>
            </w:tcBorders>
          </w:tcPr>
          <w:p w14:paraId="3B4F9551" w14:textId="77777777" w:rsidR="008E6212" w:rsidRPr="003B0E23" w:rsidRDefault="008E6212" w:rsidP="009C1A36">
            <w:pPr>
              <w:spacing w:after="0" w:line="240" w:lineRule="auto"/>
              <w:jc w:val="right"/>
              <w:rPr>
                <w:rFonts w:asciiTheme="minorHAnsi" w:hAnsiTheme="minorHAnsi"/>
                <w:b/>
                <w:sz w:val="20"/>
              </w:rPr>
            </w:pPr>
            <w:r w:rsidRPr="003B0E23">
              <w:rPr>
                <w:rFonts w:asciiTheme="minorHAnsi" w:hAnsiTheme="minorHAnsi"/>
                <w:b/>
                <w:sz w:val="20"/>
              </w:rPr>
              <w:t>38</w:t>
            </w:r>
          </w:p>
        </w:tc>
      </w:tr>
    </w:tbl>
    <w:p w14:paraId="3B4F9553" w14:textId="77777777" w:rsidR="008E6212" w:rsidRPr="00723B39" w:rsidRDefault="008E6212" w:rsidP="008E6212">
      <w:pPr>
        <w:spacing w:after="0" w:line="240" w:lineRule="auto"/>
        <w:rPr>
          <w:rFonts w:ascii="Times New Roman" w:hAnsi="Times New Roman"/>
          <w:sz w:val="24"/>
          <w:szCs w:val="24"/>
        </w:rPr>
      </w:pPr>
    </w:p>
    <w:p w14:paraId="3B4F9554" w14:textId="77777777" w:rsidR="008E6212" w:rsidRDefault="008E6212" w:rsidP="008E6212">
      <w:pPr>
        <w:spacing w:after="0" w:line="240" w:lineRule="auto"/>
        <w:rPr>
          <w:rFonts w:ascii="Times New Roman" w:hAnsi="Times New Roman"/>
          <w:sz w:val="24"/>
          <w:szCs w:val="24"/>
        </w:rPr>
      </w:pPr>
    </w:p>
    <w:p w14:paraId="3B4F9555" w14:textId="77777777" w:rsidR="008E6212" w:rsidRDefault="008E6212" w:rsidP="008E6212">
      <w:pPr>
        <w:spacing w:after="0" w:line="240" w:lineRule="auto"/>
        <w:jc w:val="center"/>
        <w:rPr>
          <w:rFonts w:ascii="Times New Roman" w:hAnsi="Times New Roman"/>
          <w:sz w:val="24"/>
          <w:szCs w:val="24"/>
        </w:rPr>
      </w:pPr>
      <w:r w:rsidRPr="00174469">
        <w:rPr>
          <w:noProof/>
          <w:lang w:eastAsia="en-AU"/>
        </w:rPr>
        <w:drawing>
          <wp:inline distT="0" distB="0" distL="0" distR="0" wp14:anchorId="3B4F9676" wp14:editId="5C356A00">
            <wp:extent cx="4362450" cy="4847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67462" cy="4853273"/>
                    </a:xfrm>
                    <a:prstGeom prst="rect">
                      <a:avLst/>
                    </a:prstGeom>
                    <a:noFill/>
                    <a:ln>
                      <a:noFill/>
                    </a:ln>
                  </pic:spPr>
                </pic:pic>
              </a:graphicData>
            </a:graphic>
          </wp:inline>
        </w:drawing>
      </w:r>
    </w:p>
    <w:p w14:paraId="3B4F9556" w14:textId="77777777" w:rsidR="008E6212" w:rsidRPr="003B0E23" w:rsidRDefault="008E6212" w:rsidP="008E6212">
      <w:pPr>
        <w:spacing w:after="0" w:line="240" w:lineRule="auto"/>
        <w:rPr>
          <w:rFonts w:asciiTheme="minorHAnsi" w:hAnsiTheme="minorHAnsi"/>
          <w:sz w:val="20"/>
        </w:rPr>
      </w:pPr>
      <w:r w:rsidRPr="003B0E23">
        <w:rPr>
          <w:rFonts w:asciiTheme="minorHAnsi" w:hAnsiTheme="minorHAnsi"/>
          <w:b/>
          <w:sz w:val="20"/>
        </w:rPr>
        <w:t xml:space="preserve">Figure </w:t>
      </w:r>
      <w:r w:rsidR="00045C8E">
        <w:rPr>
          <w:rFonts w:asciiTheme="minorHAnsi" w:hAnsiTheme="minorHAnsi"/>
          <w:b/>
          <w:sz w:val="20"/>
        </w:rPr>
        <w:t>D.15</w:t>
      </w:r>
      <w:r w:rsidRPr="003B0E23">
        <w:rPr>
          <w:rFonts w:asciiTheme="minorHAnsi" w:hAnsiTheme="minorHAnsi"/>
          <w:b/>
          <w:sz w:val="20"/>
        </w:rPr>
        <w:t>.</w:t>
      </w:r>
      <w:r w:rsidRPr="003B0E23">
        <w:rPr>
          <w:rFonts w:asciiTheme="minorHAnsi" w:hAnsiTheme="minorHAnsi"/>
          <w:sz w:val="20"/>
        </w:rPr>
        <w:t xml:space="preserve"> Length-frequency histogram of golden perch captured during Category 1 sampling during the Edward-Wakool LTIM project in 2015 and 2016. The dashed line indicates approximate length at one year of age.</w:t>
      </w:r>
    </w:p>
    <w:p w14:paraId="3B4F9557" w14:textId="77777777" w:rsidR="008E6212" w:rsidRPr="0013127F" w:rsidRDefault="008E6212" w:rsidP="008E6212">
      <w:pPr>
        <w:pStyle w:val="BodyText"/>
        <w:spacing w:line="324" w:lineRule="exact"/>
        <w:rPr>
          <w:b/>
          <w:i/>
          <w:color w:val="76923C" w:themeColor="accent3" w:themeShade="BF"/>
        </w:rPr>
      </w:pPr>
    </w:p>
    <w:p w14:paraId="3B4F9558" w14:textId="77777777" w:rsidR="008E6212" w:rsidRPr="0057062F" w:rsidRDefault="008E6212" w:rsidP="008E6212">
      <w:pPr>
        <w:pStyle w:val="BodyText"/>
        <w:spacing w:line="324" w:lineRule="exact"/>
        <w:rPr>
          <w:rFonts w:asciiTheme="minorHAnsi" w:hAnsiTheme="minorHAnsi"/>
          <w:b/>
          <w:color w:val="4F6228" w:themeColor="accent3" w:themeShade="80"/>
          <w:sz w:val="26"/>
          <w:szCs w:val="26"/>
        </w:rPr>
      </w:pPr>
      <w:r w:rsidRPr="0057062F">
        <w:rPr>
          <w:rFonts w:asciiTheme="minorHAnsi" w:hAnsiTheme="minorHAnsi"/>
          <w:b/>
          <w:color w:val="4F6228" w:themeColor="accent3" w:themeShade="80"/>
          <w:sz w:val="26"/>
          <w:szCs w:val="26"/>
        </w:rPr>
        <w:lastRenderedPageBreak/>
        <w:t>D.6   Discussion</w:t>
      </w:r>
    </w:p>
    <w:p w14:paraId="3B4F9559" w14:textId="77777777" w:rsidR="008E6212" w:rsidRDefault="008E6212" w:rsidP="008E6212">
      <w:pPr>
        <w:pStyle w:val="BodyText"/>
        <w:spacing w:line="324" w:lineRule="exact"/>
        <w:rPr>
          <w:b/>
          <w:i/>
          <w:color w:val="4F6228" w:themeColor="accent3" w:themeShade="80"/>
        </w:rPr>
      </w:pPr>
    </w:p>
    <w:p w14:paraId="3B4F955A" w14:textId="77777777" w:rsidR="008E6212" w:rsidRPr="00337C70" w:rsidRDefault="008E6212" w:rsidP="008E6212">
      <w:pPr>
        <w:pStyle w:val="BodyText"/>
        <w:spacing w:after="240" w:line="320" w:lineRule="exact"/>
        <w:rPr>
          <w:rFonts w:ascii="Calibri" w:hAnsi="Calibri"/>
          <w:i/>
          <w:color w:val="000000" w:themeColor="text1"/>
          <w:sz w:val="22"/>
          <w:szCs w:val="22"/>
        </w:rPr>
      </w:pPr>
      <w:r w:rsidRPr="00337C70">
        <w:rPr>
          <w:rFonts w:ascii="Calibri" w:hAnsi="Calibri"/>
          <w:i/>
          <w:color w:val="000000" w:themeColor="text1"/>
        </w:rPr>
        <w:t xml:space="preserve">Periodic species (e.g. golden perch, silver perch) </w:t>
      </w:r>
    </w:p>
    <w:p w14:paraId="3B4F955B" w14:textId="3B7994BA" w:rsidR="008E6212" w:rsidRPr="00952FE1" w:rsidRDefault="008E6212" w:rsidP="008E6212">
      <w:pPr>
        <w:pStyle w:val="BodyText"/>
        <w:spacing w:after="240" w:line="320" w:lineRule="exact"/>
        <w:jc w:val="left"/>
        <w:rPr>
          <w:rFonts w:asciiTheme="minorHAnsi" w:hAnsiTheme="minorHAnsi"/>
          <w:sz w:val="22"/>
          <w:szCs w:val="22"/>
        </w:rPr>
      </w:pPr>
      <w:r w:rsidRPr="00952FE1">
        <w:rPr>
          <w:rFonts w:asciiTheme="minorHAnsi" w:hAnsiTheme="minorHAnsi"/>
          <w:sz w:val="22"/>
          <w:szCs w:val="22"/>
        </w:rPr>
        <w:t xml:space="preserve">Periodic species are characterised as relatively large, long-lived species that have high fecundity and low investment in offspring (i.e. a lot of small eggs and no parental care) (King et al. 2013). Within the Edward-Wakool system, bony herring, golden perch and silver perch are </w:t>
      </w:r>
      <w:r w:rsidR="00D71BC4">
        <w:rPr>
          <w:rFonts w:asciiTheme="minorHAnsi" w:hAnsiTheme="minorHAnsi"/>
          <w:sz w:val="22"/>
          <w:szCs w:val="22"/>
        </w:rPr>
        <w:t>representatives of this group</w:t>
      </w:r>
      <w:r w:rsidRPr="00952FE1">
        <w:rPr>
          <w:rFonts w:asciiTheme="minorHAnsi" w:hAnsiTheme="minorHAnsi"/>
          <w:sz w:val="22"/>
          <w:szCs w:val="22"/>
        </w:rPr>
        <w:t>. Spawning and recruitment in all three species is thought to benefit from higher flow events and even over-bank flooding (King et al. 2013), and as such the group represents an excellent target for environmental water delivery. However, it should be noted that existing flow-ecology relationships aren’t definitive and substantial flexibility has been documented through all species’ distributional ranges (e.g. Mallen-Cooper and Stuart 2003; Balcombe et al. 2006; Balcombe and Arthington 2009). Regardless of the conjecture, there is a general agreement that substantial reductions in populations, particularly of golden perch and silver perch, have resulted from alteration of the seasonal timing and magnitude of river flows as a result of water resource development within the Murray-Darling Basin (Lintermans 2007).</w:t>
      </w:r>
    </w:p>
    <w:p w14:paraId="3B4F955C" w14:textId="415E534F" w:rsidR="008E6212" w:rsidRPr="00952FE1" w:rsidRDefault="008E6212" w:rsidP="008E6212">
      <w:pPr>
        <w:pStyle w:val="BodyText"/>
        <w:spacing w:after="240" w:line="320" w:lineRule="exact"/>
        <w:jc w:val="left"/>
        <w:rPr>
          <w:rFonts w:asciiTheme="minorHAnsi" w:hAnsiTheme="minorHAnsi"/>
          <w:sz w:val="22"/>
          <w:szCs w:val="22"/>
        </w:rPr>
      </w:pPr>
      <w:r w:rsidRPr="00952FE1">
        <w:rPr>
          <w:rFonts w:asciiTheme="minorHAnsi" w:hAnsiTheme="minorHAnsi"/>
          <w:sz w:val="22"/>
          <w:szCs w:val="22"/>
        </w:rPr>
        <w:t xml:space="preserve">During the 2015-16 water delivery period both golden and silver perch adults remained present within the Edward-Wakool system, </w:t>
      </w:r>
      <w:r w:rsidR="00311249">
        <w:rPr>
          <w:rFonts w:asciiTheme="minorHAnsi" w:hAnsiTheme="minorHAnsi"/>
          <w:sz w:val="22"/>
          <w:szCs w:val="22"/>
        </w:rPr>
        <w:t>mainly</w:t>
      </w:r>
      <w:r w:rsidRPr="00952FE1">
        <w:rPr>
          <w:rFonts w:asciiTheme="minorHAnsi" w:hAnsiTheme="minorHAnsi"/>
          <w:sz w:val="22"/>
          <w:szCs w:val="22"/>
        </w:rPr>
        <w:t xml:space="preserve"> within zone 3. Previous monitoring has documented that the system supports adult populations of all three periodic species. Despite the presence of golden and silver perch in the focal areas during water delivery, there was no evidence from our larval fish monitoring to confirm a spawning response of either species (or bony herring) to water delivery. </w:t>
      </w:r>
      <w:r w:rsidR="00311249" w:rsidRPr="00311249">
        <w:rPr>
          <w:rFonts w:asciiTheme="minorHAnsi" w:hAnsiTheme="minorHAnsi"/>
          <w:sz w:val="22"/>
          <w:szCs w:val="22"/>
        </w:rPr>
        <w:t>Environmental watering actions in the Wakool-Yallakool system are currently constrained to a maximum of 600 ML.d</w:t>
      </w:r>
      <w:r w:rsidR="00311249" w:rsidRPr="00311249">
        <w:rPr>
          <w:rFonts w:asciiTheme="minorHAnsi" w:hAnsiTheme="minorHAnsi"/>
          <w:sz w:val="22"/>
          <w:szCs w:val="22"/>
          <w:vertAlign w:val="superscript"/>
        </w:rPr>
        <w:t>-1</w:t>
      </w:r>
      <w:r w:rsidR="00311249" w:rsidRPr="00311249">
        <w:rPr>
          <w:rFonts w:asciiTheme="minorHAnsi" w:hAnsiTheme="minorHAnsi"/>
          <w:sz w:val="22"/>
          <w:szCs w:val="22"/>
        </w:rPr>
        <w:t xml:space="preserve"> and actions of this magnitude (whilst not targeting golden perch and silver perch spawning) have not triggered spawning in these species in this part of the system.</w:t>
      </w:r>
      <w:r w:rsidR="00311249">
        <w:t xml:space="preserve"> </w:t>
      </w:r>
      <w:r w:rsidRPr="00952FE1">
        <w:rPr>
          <w:rFonts w:asciiTheme="minorHAnsi" w:hAnsiTheme="minorHAnsi"/>
          <w:sz w:val="22"/>
          <w:szCs w:val="22"/>
        </w:rPr>
        <w:t>In some cases, large-scale rapid pre-spawning movements are thought to precede spawning in golden and possibly silver perch. Indeed, Koster et al. (2014) demonstrated downstream pre-spawning movements of golden perch in the Goulburn River, Victoria. O’Connor et al. (2005) identified both downstream and upstream pre-spawning movements in Murray River golden perch, including the relocation of a number of fish to an area near the junction of the Wakool and Murray rivers. The majority of movements exhibited by both golden and silver perch in this study are consistent with existing literature regarding the timing of spawning. For example, golden perch movements in this study were earlier than silver perch movements, and this is consistent with a generally earlier spawning window for golden pe</w:t>
      </w:r>
      <w:r w:rsidR="004762DE">
        <w:rPr>
          <w:rFonts w:asciiTheme="minorHAnsi" w:hAnsiTheme="minorHAnsi"/>
          <w:sz w:val="22"/>
          <w:szCs w:val="22"/>
        </w:rPr>
        <w:t>rch (King et al. 2013, 2016).</w:t>
      </w:r>
      <w:r w:rsidR="00311249">
        <w:rPr>
          <w:rFonts w:asciiTheme="minorHAnsi" w:hAnsiTheme="minorHAnsi"/>
          <w:sz w:val="22"/>
          <w:szCs w:val="22"/>
        </w:rPr>
        <w:t xml:space="preserve"> However, the distances that golden perch moved during 2015-16 were very small, with almost all fish remaining within zone 3.</w:t>
      </w:r>
    </w:p>
    <w:p w14:paraId="3B4F955D" w14:textId="70B80C24" w:rsidR="008E6212" w:rsidRDefault="008E6212" w:rsidP="008E6212">
      <w:pPr>
        <w:pStyle w:val="BodyText"/>
        <w:spacing w:after="240" w:line="320" w:lineRule="exact"/>
        <w:jc w:val="left"/>
        <w:rPr>
          <w:rFonts w:asciiTheme="minorHAnsi" w:hAnsiTheme="minorHAnsi"/>
          <w:sz w:val="22"/>
          <w:szCs w:val="22"/>
        </w:rPr>
      </w:pPr>
      <w:r w:rsidRPr="00952FE1">
        <w:rPr>
          <w:rFonts w:asciiTheme="minorHAnsi" w:hAnsiTheme="minorHAnsi"/>
          <w:sz w:val="22"/>
          <w:szCs w:val="22"/>
        </w:rPr>
        <w:t xml:space="preserve">The results from the recruitment monitoring over two years has indicated an absence of 0+ and 1+ golden perch within the Edward-Wakool system. This result conforms with our lack of evidence of localised spawning in this species and more generally with our lack of </w:t>
      </w:r>
      <w:r w:rsidRPr="00952FE1">
        <w:rPr>
          <w:rFonts w:asciiTheme="minorHAnsi" w:hAnsiTheme="minorHAnsi"/>
          <w:sz w:val="22"/>
          <w:szCs w:val="22"/>
        </w:rPr>
        <w:lastRenderedPageBreak/>
        <w:t xml:space="preserve">captures of small sizes classes of golden perch throughout the broader system (this study; </w:t>
      </w:r>
      <w:r w:rsidRPr="00A67DBC">
        <w:rPr>
          <w:rFonts w:asciiTheme="minorHAnsi" w:hAnsiTheme="minorHAnsi"/>
          <w:sz w:val="22"/>
          <w:szCs w:val="22"/>
        </w:rPr>
        <w:t>Watts et al. 15, Watt</w:t>
      </w:r>
      <w:r w:rsidR="00311249">
        <w:rPr>
          <w:rFonts w:asciiTheme="minorHAnsi" w:hAnsiTheme="minorHAnsi"/>
          <w:sz w:val="22"/>
          <w:szCs w:val="22"/>
        </w:rPr>
        <w:t>s</w:t>
      </w:r>
      <w:r w:rsidRPr="00A67DBC">
        <w:rPr>
          <w:rFonts w:asciiTheme="minorHAnsi" w:hAnsiTheme="minorHAnsi"/>
          <w:sz w:val="22"/>
          <w:szCs w:val="22"/>
        </w:rPr>
        <w:t xml:space="preserve"> et al. 14b</w:t>
      </w:r>
      <w:r w:rsidR="00311249">
        <w:rPr>
          <w:rFonts w:asciiTheme="minorHAnsi" w:hAnsiTheme="minorHAnsi"/>
          <w:sz w:val="22"/>
          <w:szCs w:val="22"/>
        </w:rPr>
        <w:t>). Similarly, Thiem et al. (i</w:t>
      </w:r>
      <w:r w:rsidRPr="00952FE1">
        <w:rPr>
          <w:rFonts w:asciiTheme="minorHAnsi" w:hAnsiTheme="minorHAnsi"/>
          <w:sz w:val="22"/>
          <w:szCs w:val="22"/>
        </w:rPr>
        <w:t>n press) captured few juvenile golden perch at hypoxic blackwater affected sites within the system and identified that immigration into the system was the most likely explanation for the presence of older golden perch (i.e. pre-blackwater events). Indeed, Zampatti et al. (2014) recently identified large scale movements of juvenile golden perch, with fish spawned in the Darling River in 2009 later immig</w:t>
      </w:r>
      <w:r w:rsidR="00311249">
        <w:rPr>
          <w:rFonts w:asciiTheme="minorHAnsi" w:hAnsiTheme="minorHAnsi"/>
          <w:sz w:val="22"/>
          <w:szCs w:val="22"/>
        </w:rPr>
        <w:t>rating into the lower Murray (South Australia</w:t>
      </w:r>
      <w:r w:rsidRPr="00952FE1">
        <w:rPr>
          <w:rFonts w:asciiTheme="minorHAnsi" w:hAnsiTheme="minorHAnsi"/>
          <w:sz w:val="22"/>
          <w:szCs w:val="22"/>
        </w:rPr>
        <w:t xml:space="preserve">) during overbank flooding as 1+ juveniles. A similar result has been observed for fish captured in the Edward-Wakool as adults (i.e. Darling River origin; Thiem </w:t>
      </w:r>
      <w:r w:rsidRPr="00952FE1">
        <w:rPr>
          <w:rFonts w:asciiTheme="minorHAnsi" w:hAnsiTheme="minorHAnsi"/>
          <w:i/>
          <w:sz w:val="22"/>
          <w:szCs w:val="22"/>
        </w:rPr>
        <w:t>Unpublished data</w:t>
      </w:r>
      <w:r w:rsidRPr="00952FE1">
        <w:rPr>
          <w:rFonts w:asciiTheme="minorHAnsi" w:hAnsiTheme="minorHAnsi"/>
          <w:sz w:val="22"/>
          <w:szCs w:val="22"/>
        </w:rPr>
        <w:t>), although additional research is required to identify whether this result is consistent among years or a one-off event. Regardless of the source of immigrants, the collective results of recent monitoring including during 2015-16 indicate that the Edward-Wakool system sustains an adult population of golden perch.</w:t>
      </w:r>
      <w:r>
        <w:rPr>
          <w:rFonts w:asciiTheme="minorHAnsi" w:hAnsiTheme="minorHAnsi"/>
          <w:color w:val="76923C" w:themeColor="accent3" w:themeShade="BF"/>
          <w:sz w:val="22"/>
          <w:szCs w:val="22"/>
        </w:rPr>
        <w:t xml:space="preserve"> </w:t>
      </w:r>
      <w:r w:rsidRPr="00E778AF">
        <w:rPr>
          <w:rFonts w:asciiTheme="minorHAnsi" w:hAnsiTheme="minorHAnsi"/>
          <w:color w:val="76923C" w:themeColor="accent3" w:themeShade="BF"/>
          <w:sz w:val="22"/>
          <w:szCs w:val="22"/>
        </w:rPr>
        <w:t>I</w:t>
      </w:r>
      <w:r w:rsidRPr="00E778AF">
        <w:rPr>
          <w:rFonts w:asciiTheme="minorHAnsi" w:hAnsiTheme="minorHAnsi"/>
          <w:sz w:val="22"/>
          <w:szCs w:val="22"/>
        </w:rPr>
        <w:t xml:space="preserve">t appears </w:t>
      </w:r>
      <w:r>
        <w:rPr>
          <w:rFonts w:asciiTheme="minorHAnsi" w:hAnsiTheme="minorHAnsi"/>
          <w:sz w:val="22"/>
          <w:szCs w:val="22"/>
        </w:rPr>
        <w:t>however,</w:t>
      </w:r>
      <w:r w:rsidRPr="00E778AF">
        <w:rPr>
          <w:rFonts w:asciiTheme="minorHAnsi" w:hAnsiTheme="minorHAnsi"/>
          <w:sz w:val="22"/>
          <w:szCs w:val="22"/>
        </w:rPr>
        <w:t xml:space="preserve"> based on multiple lines of evidence</w:t>
      </w:r>
      <w:r>
        <w:rPr>
          <w:rFonts w:asciiTheme="minorHAnsi" w:hAnsiTheme="minorHAnsi"/>
          <w:sz w:val="22"/>
          <w:szCs w:val="22"/>
        </w:rPr>
        <w:t>,</w:t>
      </w:r>
      <w:r w:rsidRPr="00E778AF">
        <w:rPr>
          <w:rFonts w:asciiTheme="minorHAnsi" w:hAnsiTheme="minorHAnsi"/>
          <w:sz w:val="22"/>
          <w:szCs w:val="22"/>
        </w:rPr>
        <w:t xml:space="preserve"> that golden perch 1) </w:t>
      </w:r>
      <w:r w:rsidR="00311249">
        <w:rPr>
          <w:rFonts w:asciiTheme="minorHAnsi" w:hAnsiTheme="minorHAnsi"/>
          <w:sz w:val="22"/>
          <w:szCs w:val="22"/>
        </w:rPr>
        <w:t>did not spawn</w:t>
      </w:r>
      <w:r w:rsidRPr="00E778AF">
        <w:rPr>
          <w:rFonts w:asciiTheme="minorHAnsi" w:hAnsiTheme="minorHAnsi"/>
          <w:sz w:val="22"/>
          <w:szCs w:val="22"/>
        </w:rPr>
        <w:t xml:space="preserve"> in the focal zones in 2015</w:t>
      </w:r>
      <w:r w:rsidR="00311249">
        <w:rPr>
          <w:rFonts w:asciiTheme="minorHAnsi" w:hAnsiTheme="minorHAnsi"/>
          <w:sz w:val="22"/>
          <w:szCs w:val="22"/>
        </w:rPr>
        <w:t>-16</w:t>
      </w:r>
      <w:r w:rsidRPr="00E778AF">
        <w:rPr>
          <w:rFonts w:asciiTheme="minorHAnsi" w:hAnsiTheme="minorHAnsi"/>
          <w:sz w:val="22"/>
          <w:szCs w:val="22"/>
        </w:rPr>
        <w:t xml:space="preserve"> and 2) localised spawning has </w:t>
      </w:r>
      <w:r w:rsidR="00311249">
        <w:rPr>
          <w:rFonts w:asciiTheme="minorHAnsi" w:hAnsiTheme="minorHAnsi"/>
          <w:sz w:val="22"/>
          <w:szCs w:val="22"/>
        </w:rPr>
        <w:t xml:space="preserve">not </w:t>
      </w:r>
      <w:r w:rsidRPr="00E778AF">
        <w:rPr>
          <w:rFonts w:asciiTheme="minorHAnsi" w:hAnsiTheme="minorHAnsi"/>
          <w:sz w:val="22"/>
          <w:szCs w:val="22"/>
        </w:rPr>
        <w:t xml:space="preserve">occurred in </w:t>
      </w:r>
      <w:r w:rsidR="00311249">
        <w:rPr>
          <w:rFonts w:asciiTheme="minorHAnsi" w:hAnsiTheme="minorHAnsi"/>
          <w:sz w:val="22"/>
          <w:szCs w:val="22"/>
        </w:rPr>
        <w:t xml:space="preserve">this system </w:t>
      </w:r>
      <w:r w:rsidRPr="00E778AF">
        <w:rPr>
          <w:rFonts w:asciiTheme="minorHAnsi" w:hAnsiTheme="minorHAnsi"/>
          <w:sz w:val="22"/>
          <w:szCs w:val="22"/>
        </w:rPr>
        <w:t>the past 5+ years and contributed to recruitment.</w:t>
      </w:r>
    </w:p>
    <w:p w14:paraId="3B4F955E" w14:textId="42C39711" w:rsidR="008E6212" w:rsidRDefault="008E6212" w:rsidP="008E6212">
      <w:pPr>
        <w:pStyle w:val="BodyText"/>
        <w:spacing w:after="240" w:line="320" w:lineRule="exact"/>
        <w:jc w:val="left"/>
        <w:rPr>
          <w:rFonts w:asciiTheme="minorHAnsi" w:hAnsiTheme="minorHAnsi"/>
          <w:sz w:val="22"/>
          <w:szCs w:val="22"/>
        </w:rPr>
      </w:pPr>
      <w:r>
        <w:rPr>
          <w:rFonts w:asciiTheme="minorHAnsi" w:hAnsiTheme="minorHAnsi"/>
          <w:sz w:val="22"/>
          <w:szCs w:val="22"/>
        </w:rPr>
        <w:t>Unlike golden perch, the results from the past two years of LTIM monitoring are not as easy to interpret for silver perch. There was a population of adult silver perch present within the system duri</w:t>
      </w:r>
      <w:r w:rsidR="00311249">
        <w:rPr>
          <w:rFonts w:asciiTheme="minorHAnsi" w:hAnsiTheme="minorHAnsi"/>
          <w:sz w:val="22"/>
          <w:szCs w:val="22"/>
        </w:rPr>
        <w:t xml:space="preserve">ng environmental water delivery, so </w:t>
      </w:r>
      <w:r>
        <w:rPr>
          <w:rFonts w:asciiTheme="minorHAnsi" w:hAnsiTheme="minorHAnsi"/>
          <w:sz w:val="22"/>
          <w:szCs w:val="22"/>
        </w:rPr>
        <w:t>we could reasonably expect to capture eggs or larvae if a spawning response had occurred (typically October-January with a December peak; King et al. 2013). However no eggs or larvae were collected. Despite this result, both 0+ and 1+ silver perch were captured in 2015-16 and a smaller number of 1+ individuals were captured in 2014-15. There was a significant increase in the number of 1+ silver perch captured in 2015-16 compared with the previous year. The possible explanations for this result are 1) 0+ recruits were present i</w:t>
      </w:r>
      <w:r w:rsidR="00311249">
        <w:rPr>
          <w:rFonts w:asciiTheme="minorHAnsi" w:hAnsiTheme="minorHAnsi"/>
          <w:sz w:val="22"/>
          <w:szCs w:val="22"/>
        </w:rPr>
        <w:t>n 2014-15 and were under sampled,</w:t>
      </w:r>
      <w:r>
        <w:rPr>
          <w:rFonts w:asciiTheme="minorHAnsi" w:hAnsiTheme="minorHAnsi"/>
          <w:sz w:val="22"/>
          <w:szCs w:val="22"/>
        </w:rPr>
        <w:t xml:space="preserve"> 2) </w:t>
      </w:r>
      <w:r w:rsidR="006B7966">
        <w:rPr>
          <w:rFonts w:asciiTheme="minorHAnsi" w:hAnsiTheme="minorHAnsi"/>
          <w:sz w:val="22"/>
          <w:szCs w:val="22"/>
        </w:rPr>
        <w:t>rec</w:t>
      </w:r>
      <w:r w:rsidR="00311249">
        <w:rPr>
          <w:rFonts w:asciiTheme="minorHAnsi" w:hAnsiTheme="minorHAnsi"/>
          <w:sz w:val="22"/>
          <w:szCs w:val="22"/>
        </w:rPr>
        <w:t xml:space="preserve">ruits have </w:t>
      </w:r>
      <w:r>
        <w:rPr>
          <w:rFonts w:asciiTheme="minorHAnsi" w:hAnsiTheme="minorHAnsi"/>
          <w:sz w:val="22"/>
          <w:szCs w:val="22"/>
        </w:rPr>
        <w:t>i</w:t>
      </w:r>
      <w:r w:rsidR="00311249">
        <w:rPr>
          <w:rFonts w:asciiTheme="minorHAnsi" w:hAnsiTheme="minorHAnsi"/>
          <w:sz w:val="22"/>
          <w:szCs w:val="22"/>
        </w:rPr>
        <w:t>mmigrated</w:t>
      </w:r>
      <w:r>
        <w:rPr>
          <w:rFonts w:asciiTheme="minorHAnsi" w:hAnsiTheme="minorHAnsi"/>
          <w:sz w:val="22"/>
          <w:szCs w:val="22"/>
        </w:rPr>
        <w:t xml:space="preserve"> into the Edward-Wakool system</w:t>
      </w:r>
      <w:r w:rsidR="00311249">
        <w:rPr>
          <w:rFonts w:asciiTheme="minorHAnsi" w:hAnsiTheme="minorHAnsi"/>
          <w:sz w:val="22"/>
          <w:szCs w:val="22"/>
        </w:rPr>
        <w:t xml:space="preserve">, or 3) or </w:t>
      </w:r>
      <w:r w:rsidR="00BF1A19">
        <w:rPr>
          <w:rFonts w:asciiTheme="minorHAnsi" w:hAnsiTheme="minorHAnsi"/>
          <w:sz w:val="22"/>
          <w:szCs w:val="22"/>
        </w:rPr>
        <w:t xml:space="preserve">silver perch </w:t>
      </w:r>
      <w:r w:rsidR="00311249">
        <w:rPr>
          <w:rFonts w:asciiTheme="minorHAnsi" w:hAnsiTheme="minorHAnsi"/>
          <w:sz w:val="22"/>
          <w:szCs w:val="22"/>
        </w:rPr>
        <w:t xml:space="preserve">larvae from upstream </w:t>
      </w:r>
      <w:r w:rsidR="00BF1A19">
        <w:rPr>
          <w:rFonts w:asciiTheme="minorHAnsi" w:hAnsiTheme="minorHAnsi"/>
          <w:sz w:val="22"/>
          <w:szCs w:val="22"/>
        </w:rPr>
        <w:t>sites</w:t>
      </w:r>
      <w:r w:rsidR="00311249">
        <w:rPr>
          <w:rFonts w:asciiTheme="minorHAnsi" w:hAnsiTheme="minorHAnsi"/>
          <w:sz w:val="22"/>
          <w:szCs w:val="22"/>
        </w:rPr>
        <w:t xml:space="preserve"> may have drifted</w:t>
      </w:r>
      <w:r w:rsidR="00BF1A19">
        <w:rPr>
          <w:rFonts w:asciiTheme="minorHAnsi" w:hAnsiTheme="minorHAnsi"/>
          <w:sz w:val="22"/>
          <w:szCs w:val="22"/>
        </w:rPr>
        <w:t xml:space="preserve"> into and settled in the study area</w:t>
      </w:r>
      <w:r>
        <w:rPr>
          <w:rFonts w:asciiTheme="minorHAnsi" w:hAnsiTheme="minorHAnsi"/>
          <w:sz w:val="22"/>
          <w:szCs w:val="22"/>
        </w:rPr>
        <w:t xml:space="preserve">. While the former explanation cannot be ruled out, the latter </w:t>
      </w:r>
      <w:r w:rsidR="00BF1A19">
        <w:rPr>
          <w:rFonts w:asciiTheme="minorHAnsi" w:hAnsiTheme="minorHAnsi"/>
          <w:sz w:val="22"/>
          <w:szCs w:val="22"/>
        </w:rPr>
        <w:t xml:space="preserve">two explanations </w:t>
      </w:r>
      <w:r>
        <w:rPr>
          <w:rFonts w:asciiTheme="minorHAnsi" w:hAnsiTheme="minorHAnsi"/>
          <w:sz w:val="22"/>
          <w:szCs w:val="22"/>
        </w:rPr>
        <w:t>appears more likely as regular spawning has been observed in the nearby Murray River (see King et al. 2016). Regardless of the source population, it appears that the Edward-Wakool system is an important nursery area for silver perch, and a broad range of size and age classes occupy the system (</w:t>
      </w:r>
      <w:r w:rsidRPr="00A67DBC">
        <w:rPr>
          <w:rFonts w:asciiTheme="minorHAnsi" w:hAnsiTheme="minorHAnsi"/>
          <w:sz w:val="22"/>
          <w:szCs w:val="22"/>
        </w:rPr>
        <w:t xml:space="preserve">Watts et al. </w:t>
      </w:r>
      <w:r w:rsidR="004762DE">
        <w:rPr>
          <w:rFonts w:asciiTheme="minorHAnsi" w:hAnsiTheme="minorHAnsi"/>
          <w:sz w:val="22"/>
          <w:szCs w:val="22"/>
        </w:rPr>
        <w:t>20</w:t>
      </w:r>
      <w:r w:rsidRPr="00A67DBC">
        <w:rPr>
          <w:rFonts w:asciiTheme="minorHAnsi" w:hAnsiTheme="minorHAnsi"/>
          <w:sz w:val="22"/>
          <w:szCs w:val="22"/>
        </w:rPr>
        <w:t>14b</w:t>
      </w:r>
      <w:r>
        <w:rPr>
          <w:rFonts w:asciiTheme="minorHAnsi" w:hAnsiTheme="minorHAnsi"/>
          <w:sz w:val="22"/>
          <w:szCs w:val="22"/>
        </w:rPr>
        <w:t xml:space="preserve">). It may be that spawning in this species could be triggered in future flow delivery years through the provision of large volumes of water as the probability of spawning in the species increases with increasing discharge (King et al. 2016). </w:t>
      </w:r>
      <w:r w:rsidR="006B7966" w:rsidRPr="006B7966">
        <w:rPr>
          <w:rFonts w:asciiTheme="minorHAnsi" w:hAnsiTheme="minorHAnsi"/>
          <w:sz w:val="22"/>
          <w:szCs w:val="22"/>
        </w:rPr>
        <w:t>Most recruits were present in the zone 3 and zone 4 of the Wakool River which received Co</w:t>
      </w:r>
      <w:r w:rsidR="006B7966">
        <w:rPr>
          <w:rFonts w:asciiTheme="minorHAnsi" w:hAnsiTheme="minorHAnsi"/>
          <w:sz w:val="22"/>
          <w:szCs w:val="22"/>
        </w:rPr>
        <w:t xml:space="preserve">mmonwealth environmental water and these two </w:t>
      </w:r>
      <w:r w:rsidR="006B7966" w:rsidRPr="006B7966">
        <w:rPr>
          <w:rFonts w:asciiTheme="minorHAnsi" w:hAnsiTheme="minorHAnsi"/>
          <w:sz w:val="22"/>
          <w:szCs w:val="22"/>
        </w:rPr>
        <w:t>zones had the largest increase in area of slackwater (&lt; 0.02 m.s-1) and slow water (0.02 – 0.3 ms-1) during environmental watering actions in Yallakool Creek (Watts et al. 2015b).</w:t>
      </w:r>
      <w:r w:rsidR="006B7966">
        <w:rPr>
          <w:rFonts w:asciiTheme="minorHAnsi" w:hAnsiTheme="minorHAnsi"/>
          <w:sz w:val="22"/>
          <w:szCs w:val="22"/>
        </w:rPr>
        <w:t xml:space="preserve"> </w:t>
      </w:r>
      <w:r>
        <w:rPr>
          <w:rFonts w:asciiTheme="minorHAnsi" w:hAnsiTheme="minorHAnsi"/>
          <w:sz w:val="22"/>
          <w:szCs w:val="22"/>
        </w:rPr>
        <w:t>This monitoring program is well placed to report on such a response through the combined monitoring of adult movement, capture of eggs or larvae and subsequent capture of juveniles via the multiple indicators employed.</w:t>
      </w:r>
    </w:p>
    <w:p w14:paraId="3B4F955F" w14:textId="77777777" w:rsidR="008E6212" w:rsidRDefault="008E6212" w:rsidP="008E6212">
      <w:pPr>
        <w:pStyle w:val="BodyText"/>
        <w:spacing w:line="324" w:lineRule="exact"/>
        <w:rPr>
          <w:rFonts w:asciiTheme="minorHAnsi" w:hAnsiTheme="minorHAnsi"/>
          <w:b/>
          <w:i/>
          <w:color w:val="76923C" w:themeColor="accent3" w:themeShade="BF"/>
        </w:rPr>
      </w:pPr>
    </w:p>
    <w:p w14:paraId="64872C8F" w14:textId="77777777" w:rsidR="006B7966" w:rsidRDefault="006B7966" w:rsidP="008E6212">
      <w:pPr>
        <w:pStyle w:val="BodyText"/>
        <w:spacing w:line="324" w:lineRule="exact"/>
        <w:rPr>
          <w:rFonts w:asciiTheme="minorHAnsi" w:hAnsiTheme="minorHAnsi"/>
          <w:b/>
          <w:i/>
          <w:color w:val="76923C" w:themeColor="accent3" w:themeShade="BF"/>
        </w:rPr>
      </w:pPr>
    </w:p>
    <w:p w14:paraId="30C54B6F" w14:textId="77777777" w:rsidR="006B7966" w:rsidRDefault="006B7966" w:rsidP="008E6212">
      <w:pPr>
        <w:pStyle w:val="BodyText"/>
        <w:spacing w:line="324" w:lineRule="exact"/>
        <w:rPr>
          <w:rFonts w:asciiTheme="minorHAnsi" w:hAnsiTheme="minorHAnsi"/>
          <w:b/>
          <w:i/>
          <w:color w:val="76923C" w:themeColor="accent3" w:themeShade="BF"/>
        </w:rPr>
      </w:pPr>
    </w:p>
    <w:p w14:paraId="1BEBA0DE" w14:textId="77777777" w:rsidR="006B7966" w:rsidRDefault="006B7966" w:rsidP="008E6212">
      <w:pPr>
        <w:pStyle w:val="BodyText"/>
        <w:spacing w:line="324" w:lineRule="exact"/>
        <w:rPr>
          <w:rFonts w:asciiTheme="minorHAnsi" w:hAnsiTheme="minorHAnsi"/>
          <w:b/>
          <w:i/>
          <w:color w:val="76923C" w:themeColor="accent3" w:themeShade="BF"/>
        </w:rPr>
      </w:pPr>
    </w:p>
    <w:p w14:paraId="3B4F9560" w14:textId="77777777" w:rsidR="008E6212" w:rsidRPr="00337C70" w:rsidRDefault="008E6212" w:rsidP="00BC485A">
      <w:pPr>
        <w:pStyle w:val="BodyText"/>
        <w:spacing w:after="240" w:line="320" w:lineRule="exact"/>
        <w:rPr>
          <w:rFonts w:asciiTheme="minorHAnsi" w:hAnsiTheme="minorHAnsi"/>
          <w:i/>
          <w:color w:val="000000" w:themeColor="text1"/>
          <w:sz w:val="22"/>
          <w:szCs w:val="22"/>
        </w:rPr>
      </w:pPr>
      <w:r w:rsidRPr="00337C70">
        <w:rPr>
          <w:rFonts w:asciiTheme="minorHAnsi" w:hAnsiTheme="minorHAnsi"/>
          <w:i/>
          <w:color w:val="000000" w:themeColor="text1"/>
        </w:rPr>
        <w:t>Equilibrium species (e.g. Murray cod</w:t>
      </w:r>
      <w:r w:rsidRPr="00337C70">
        <w:rPr>
          <w:i/>
          <w:color w:val="000000" w:themeColor="text1"/>
        </w:rPr>
        <w:t xml:space="preserve">) </w:t>
      </w:r>
    </w:p>
    <w:p w14:paraId="3B4F9561" w14:textId="0885EB00" w:rsidR="008E6212" w:rsidRPr="0050294A" w:rsidRDefault="008E6212" w:rsidP="00BC485A">
      <w:pPr>
        <w:spacing w:after="240" w:line="320" w:lineRule="exact"/>
        <w:jc w:val="left"/>
        <w:rPr>
          <w:rFonts w:asciiTheme="minorHAnsi" w:hAnsiTheme="minorHAnsi"/>
          <w:szCs w:val="22"/>
        </w:rPr>
      </w:pPr>
      <w:r w:rsidRPr="0050294A">
        <w:rPr>
          <w:rFonts w:asciiTheme="minorHAnsi" w:hAnsiTheme="minorHAnsi"/>
          <w:szCs w:val="22"/>
        </w:rPr>
        <w:t xml:space="preserve">Murray cod spawning, as measured by the abundance of larvae, was consistent among all zones in 2015-16, which </w:t>
      </w:r>
      <w:r w:rsidR="006B7966">
        <w:rPr>
          <w:rFonts w:asciiTheme="minorHAnsi" w:hAnsiTheme="minorHAnsi"/>
          <w:szCs w:val="22"/>
        </w:rPr>
        <w:t>was the same as</w:t>
      </w:r>
      <w:r w:rsidRPr="0050294A">
        <w:rPr>
          <w:rFonts w:asciiTheme="minorHAnsi" w:hAnsiTheme="minorHAnsi"/>
          <w:szCs w:val="22"/>
        </w:rPr>
        <w:t xml:space="preserve"> results from the previous three years </w:t>
      </w:r>
      <w:r w:rsidR="006B7966">
        <w:rPr>
          <w:rFonts w:asciiTheme="minorHAnsi" w:hAnsiTheme="minorHAnsi"/>
          <w:szCs w:val="22"/>
        </w:rPr>
        <w:t xml:space="preserve">of monitoring and evaluation in this system </w:t>
      </w:r>
      <w:r w:rsidRPr="0050294A">
        <w:rPr>
          <w:rFonts w:asciiTheme="minorHAnsi" w:hAnsiTheme="minorHAnsi"/>
          <w:szCs w:val="22"/>
        </w:rPr>
        <w:t>(Watts et al. 2013, Watts et al. 2014</w:t>
      </w:r>
      <w:r>
        <w:rPr>
          <w:rFonts w:asciiTheme="minorHAnsi" w:hAnsiTheme="minorHAnsi"/>
          <w:szCs w:val="22"/>
        </w:rPr>
        <w:t>b</w:t>
      </w:r>
      <w:r w:rsidR="00BC485A">
        <w:rPr>
          <w:rFonts w:asciiTheme="minorHAnsi" w:hAnsiTheme="minorHAnsi"/>
          <w:szCs w:val="22"/>
        </w:rPr>
        <w:t>, Watts et al. 2015).</w:t>
      </w:r>
      <w:r w:rsidRPr="0050294A">
        <w:rPr>
          <w:rFonts w:asciiTheme="minorHAnsi" w:hAnsiTheme="minorHAnsi"/>
          <w:szCs w:val="22"/>
        </w:rPr>
        <w:t xml:space="preserve"> Irrespective of differences in hydrology and environmental flows in 2015-16 and in all previous years, Murray cod spawning started in mid-October, peaked</w:t>
      </w:r>
      <w:r w:rsidR="006B7966">
        <w:rPr>
          <w:rFonts w:asciiTheme="minorHAnsi" w:hAnsiTheme="minorHAnsi"/>
          <w:szCs w:val="22"/>
        </w:rPr>
        <w:t xml:space="preserve"> in November and ended by mid-</w:t>
      </w:r>
      <w:r w:rsidRPr="0050294A">
        <w:rPr>
          <w:rFonts w:asciiTheme="minorHAnsi" w:hAnsiTheme="minorHAnsi"/>
          <w:szCs w:val="22"/>
        </w:rPr>
        <w:t xml:space="preserve"> to late December. The steady seasonal and yearly spawning time and relatively large larvae of Murray cod aligns it with the ‘equilibrium’ life-history strategy of many medium to large and long-lived fish species (Winemiller and Rose 1992; Humphries et al. 1999). Results from the Edward-Wakool </w:t>
      </w:r>
      <w:r w:rsidR="006B7966">
        <w:rPr>
          <w:rFonts w:asciiTheme="minorHAnsi" w:hAnsiTheme="minorHAnsi"/>
          <w:szCs w:val="22"/>
        </w:rPr>
        <w:t>agree with</w:t>
      </w:r>
      <w:r w:rsidRPr="0050294A">
        <w:rPr>
          <w:rFonts w:asciiTheme="minorHAnsi" w:hAnsiTheme="minorHAnsi"/>
          <w:szCs w:val="22"/>
        </w:rPr>
        <w:t xml:space="preserve"> previous monitoring and research on Murray cod which has demonstrated spawning in this species is associated with rises in temperature up to and above 20°C during spring (Humphries 2005; Koehn and Harrington 2006; King et al. 2009</w:t>
      </w:r>
      <w:r>
        <w:rPr>
          <w:rFonts w:asciiTheme="minorHAnsi" w:hAnsiTheme="minorHAnsi"/>
          <w:szCs w:val="22"/>
        </w:rPr>
        <w:t>b).</w:t>
      </w:r>
    </w:p>
    <w:p w14:paraId="3B4F9562" w14:textId="1CEC45D9" w:rsidR="008E6212" w:rsidRDefault="008E6212" w:rsidP="008E6212">
      <w:pPr>
        <w:pStyle w:val="ListParagraph"/>
        <w:spacing w:after="240" w:line="320" w:lineRule="exact"/>
        <w:ind w:left="0"/>
        <w:jc w:val="left"/>
        <w:rPr>
          <w:rFonts w:asciiTheme="minorHAnsi" w:hAnsiTheme="minorHAnsi" w:cs="Arial"/>
          <w:color w:val="000000"/>
          <w:szCs w:val="22"/>
        </w:rPr>
      </w:pPr>
      <w:r w:rsidRPr="0050294A">
        <w:rPr>
          <w:rFonts w:asciiTheme="minorHAnsi" w:hAnsiTheme="minorHAnsi" w:cs="Arial"/>
          <w:color w:val="000000"/>
          <w:szCs w:val="22"/>
        </w:rPr>
        <w:t xml:space="preserve">Murray cod recruitment and growth of recruits in the Edward-Wakool remained steady in 2015-16, with </w:t>
      </w:r>
      <w:r w:rsidR="006B7966">
        <w:rPr>
          <w:rFonts w:asciiTheme="minorHAnsi" w:hAnsiTheme="minorHAnsi" w:cs="Arial"/>
          <w:color w:val="000000"/>
          <w:szCs w:val="22"/>
        </w:rPr>
        <w:t xml:space="preserve">no differences </w:t>
      </w:r>
      <w:r w:rsidRPr="0050294A">
        <w:rPr>
          <w:rFonts w:asciiTheme="minorHAnsi" w:hAnsiTheme="minorHAnsi" w:cs="Arial"/>
          <w:color w:val="000000"/>
          <w:szCs w:val="22"/>
        </w:rPr>
        <w:t>among zones or between years</w:t>
      </w:r>
      <w:r w:rsidRPr="0050294A">
        <w:rPr>
          <w:rFonts w:asciiTheme="minorHAnsi" w:hAnsiTheme="minorHAnsi"/>
          <w:szCs w:val="22"/>
        </w:rPr>
        <w:t xml:space="preserve"> (Watts et al. 2015)</w:t>
      </w:r>
      <w:r w:rsidRPr="0050294A">
        <w:rPr>
          <w:rFonts w:asciiTheme="minorHAnsi" w:hAnsiTheme="minorHAnsi" w:cs="Arial"/>
          <w:color w:val="000000"/>
          <w:szCs w:val="22"/>
        </w:rPr>
        <w:t>. The consistent presence of young-of-year and 1+ fish</w:t>
      </w:r>
      <w:r w:rsidR="006B7966">
        <w:rPr>
          <w:rFonts w:asciiTheme="minorHAnsi" w:hAnsiTheme="minorHAnsi" w:cs="Arial"/>
          <w:color w:val="000000"/>
          <w:szCs w:val="22"/>
        </w:rPr>
        <w:t>,</w:t>
      </w:r>
      <w:r w:rsidRPr="0050294A">
        <w:rPr>
          <w:rFonts w:asciiTheme="minorHAnsi" w:hAnsiTheme="minorHAnsi" w:cs="Arial"/>
          <w:color w:val="000000"/>
          <w:szCs w:val="22"/>
        </w:rPr>
        <w:t xml:space="preserve"> which are not hatchery releases</w:t>
      </w:r>
      <w:r w:rsidR="006B7966">
        <w:rPr>
          <w:rFonts w:asciiTheme="minorHAnsi" w:hAnsiTheme="minorHAnsi" w:cs="Arial"/>
          <w:color w:val="000000"/>
          <w:szCs w:val="22"/>
        </w:rPr>
        <w:t>,</w:t>
      </w:r>
      <w:r w:rsidRPr="0050294A">
        <w:rPr>
          <w:rFonts w:asciiTheme="minorHAnsi" w:hAnsiTheme="minorHAnsi" w:cs="Arial"/>
          <w:color w:val="000000"/>
          <w:szCs w:val="22"/>
        </w:rPr>
        <w:t xml:space="preserve"> indicates tha</w:t>
      </w:r>
      <w:r w:rsidR="006B7966">
        <w:rPr>
          <w:rFonts w:asciiTheme="minorHAnsi" w:hAnsiTheme="minorHAnsi" w:cs="Arial"/>
          <w:color w:val="000000"/>
          <w:szCs w:val="22"/>
        </w:rPr>
        <w:t>t spawning in the Edward-Wakool system</w:t>
      </w:r>
      <w:r w:rsidRPr="0050294A">
        <w:rPr>
          <w:rFonts w:asciiTheme="minorHAnsi" w:hAnsiTheme="minorHAnsi" w:cs="Arial"/>
          <w:color w:val="000000"/>
          <w:szCs w:val="22"/>
        </w:rPr>
        <w:t xml:space="preserve"> or perhaps nearby rivers, is resulting in successful and wide-spread recruitment of this species within the region.  Zone-specific differences in growth detected in the previous monitoring year </w:t>
      </w:r>
      <w:r w:rsidRPr="0050294A">
        <w:rPr>
          <w:rFonts w:asciiTheme="minorHAnsi" w:hAnsiTheme="minorHAnsi"/>
          <w:szCs w:val="22"/>
        </w:rPr>
        <w:t>(Watts et al. 2015)</w:t>
      </w:r>
      <w:r w:rsidRPr="0050294A">
        <w:rPr>
          <w:rFonts w:asciiTheme="minorHAnsi" w:hAnsiTheme="minorHAnsi" w:cs="Arial"/>
          <w:color w:val="000000"/>
          <w:szCs w:val="22"/>
        </w:rPr>
        <w:t xml:space="preserve"> were not detected in 2015-16, suggesting no discernible pattern or relationship with environmental </w:t>
      </w:r>
      <w:r w:rsidR="006B7966">
        <w:rPr>
          <w:rFonts w:asciiTheme="minorHAnsi" w:hAnsiTheme="minorHAnsi" w:cs="Arial"/>
          <w:color w:val="000000"/>
          <w:szCs w:val="22"/>
        </w:rPr>
        <w:t xml:space="preserve">watering.  </w:t>
      </w:r>
      <w:r w:rsidRPr="0050294A">
        <w:rPr>
          <w:rFonts w:asciiTheme="minorHAnsi" w:hAnsiTheme="minorHAnsi" w:cs="Arial"/>
          <w:color w:val="000000"/>
          <w:szCs w:val="22"/>
        </w:rPr>
        <w:t>Although it is well-established that many species, including Murray cod, do not require high flows to initiate</w:t>
      </w:r>
      <w:r w:rsidRPr="0050294A">
        <w:rPr>
          <w:rFonts w:asciiTheme="minorHAnsi" w:hAnsiTheme="minorHAnsi" w:cs="Arial"/>
          <w:i/>
          <w:color w:val="000000"/>
          <w:szCs w:val="22"/>
        </w:rPr>
        <w:t xml:space="preserve"> </w:t>
      </w:r>
      <w:r w:rsidRPr="0050294A">
        <w:rPr>
          <w:rFonts w:asciiTheme="minorHAnsi" w:hAnsiTheme="minorHAnsi" w:cs="Arial"/>
          <w:color w:val="000000"/>
          <w:szCs w:val="22"/>
        </w:rPr>
        <w:t xml:space="preserve">spawning </w:t>
      </w:r>
      <w:r w:rsidRPr="0050294A">
        <w:rPr>
          <w:rFonts w:asciiTheme="minorHAnsi" w:hAnsiTheme="minorHAnsi" w:cs="Arial"/>
          <w:noProof/>
          <w:color w:val="000000"/>
          <w:szCs w:val="22"/>
        </w:rPr>
        <w:t>(Humphries et al. 1999)</w:t>
      </w:r>
      <w:r w:rsidRPr="0050294A">
        <w:rPr>
          <w:rFonts w:asciiTheme="minorHAnsi" w:hAnsiTheme="minorHAnsi" w:cs="Arial"/>
          <w:color w:val="000000"/>
          <w:szCs w:val="22"/>
        </w:rPr>
        <w:t xml:space="preserve">, recruitment may be affected by alterations to the flow regime, and environmental </w:t>
      </w:r>
      <w:r w:rsidR="006B7966">
        <w:rPr>
          <w:rFonts w:asciiTheme="minorHAnsi" w:hAnsiTheme="minorHAnsi" w:cs="Arial"/>
          <w:color w:val="000000"/>
          <w:szCs w:val="22"/>
        </w:rPr>
        <w:t>watering</w:t>
      </w:r>
      <w:r w:rsidRPr="0050294A">
        <w:rPr>
          <w:rFonts w:asciiTheme="minorHAnsi" w:hAnsiTheme="minorHAnsi" w:cs="Arial"/>
          <w:color w:val="000000"/>
          <w:szCs w:val="22"/>
        </w:rPr>
        <w:t xml:space="preserve"> may be able to </w:t>
      </w:r>
      <w:r w:rsidR="006B7966">
        <w:rPr>
          <w:rFonts w:asciiTheme="minorHAnsi" w:hAnsiTheme="minorHAnsi" w:cs="Arial"/>
          <w:color w:val="000000"/>
          <w:szCs w:val="22"/>
        </w:rPr>
        <w:t>influence</w:t>
      </w:r>
      <w:r w:rsidRPr="0050294A">
        <w:rPr>
          <w:rFonts w:asciiTheme="minorHAnsi" w:hAnsiTheme="minorHAnsi" w:cs="Arial"/>
          <w:color w:val="000000"/>
          <w:szCs w:val="22"/>
        </w:rPr>
        <w:t xml:space="preserve"> this.</w:t>
      </w:r>
    </w:p>
    <w:p w14:paraId="3B4F9563" w14:textId="77777777" w:rsidR="008E6212" w:rsidRPr="00A01298" w:rsidRDefault="008E6212" w:rsidP="008E6212">
      <w:pPr>
        <w:pStyle w:val="ListParagraph"/>
        <w:spacing w:after="240" w:line="320" w:lineRule="exact"/>
        <w:ind w:left="0"/>
        <w:jc w:val="left"/>
        <w:rPr>
          <w:rFonts w:asciiTheme="minorHAnsi" w:hAnsiTheme="minorHAnsi" w:cs="Arial"/>
          <w:color w:val="000000"/>
          <w:szCs w:val="22"/>
        </w:rPr>
      </w:pPr>
      <w:r>
        <w:rPr>
          <w:rFonts w:asciiTheme="minorHAnsi" w:hAnsiTheme="minorHAnsi" w:cs="Arial"/>
          <w:color w:val="000000"/>
          <w:szCs w:val="22"/>
        </w:rPr>
        <w:t>The size distribution of adult Murray cod in the Edward-Wakool was the same in 2015-1</w:t>
      </w:r>
      <w:r w:rsidR="00BC485A">
        <w:rPr>
          <w:rFonts w:asciiTheme="minorHAnsi" w:hAnsiTheme="minorHAnsi" w:cs="Arial"/>
          <w:color w:val="000000"/>
          <w:szCs w:val="22"/>
        </w:rPr>
        <w:t>6 as it was the previous year.</w:t>
      </w:r>
      <w:r>
        <w:rPr>
          <w:rFonts w:asciiTheme="minorHAnsi" w:hAnsiTheme="minorHAnsi" w:cs="Arial"/>
          <w:color w:val="000000"/>
          <w:szCs w:val="22"/>
        </w:rPr>
        <w:t xml:space="preserve"> Two clear size-classes around 200 mm TL and 650 mm TL appear to be stable across years and, based on size-at-maturity estimates from elsewhere in the Murray-Darling (Forbes et al. 2015), the largest size-class is most likely contributing to a majority of the spawning and recruitment of the species in Edward-Wakool system.  As demonstrated by monitoring over the past two years, the current abundance of spawning adult Murray cod in the Edward-Wakool system appears to be generating consistent and wide-spread production of larvae which are supporting stable recruitment. </w:t>
      </w:r>
    </w:p>
    <w:p w14:paraId="3B4F9566" w14:textId="2F404F01" w:rsidR="008E6212" w:rsidRPr="00AE571E" w:rsidRDefault="008E6212" w:rsidP="008E6212">
      <w:pPr>
        <w:spacing w:after="240" w:line="320" w:lineRule="exact"/>
        <w:jc w:val="left"/>
        <w:rPr>
          <w:rFonts w:cs="Arial"/>
          <w:color w:val="000000"/>
          <w:szCs w:val="22"/>
        </w:rPr>
      </w:pPr>
      <w:r>
        <w:rPr>
          <w:rFonts w:cs="Arial"/>
          <w:color w:val="000000"/>
          <w:szCs w:val="22"/>
        </w:rPr>
        <w:t>In conclusion, the s</w:t>
      </w:r>
      <w:r w:rsidRPr="00AE571E">
        <w:rPr>
          <w:rFonts w:cs="Arial"/>
          <w:color w:val="000000"/>
          <w:szCs w:val="22"/>
        </w:rPr>
        <w:t xml:space="preserve">pawning, recruitment and adult populations of Murray cod in the Edward-Wakool system have been steady, across years, and across zones sampled, regardless of differences in hydrology. The consistency of larval production, recruits and </w:t>
      </w:r>
      <w:r w:rsidRPr="00AE571E">
        <w:rPr>
          <w:rFonts w:cs="Arial"/>
          <w:color w:val="000000"/>
          <w:szCs w:val="22"/>
        </w:rPr>
        <w:lastRenderedPageBreak/>
        <w:t>spawning-size adults is generally indicative of a sustainable population within the Edward-Wakool.  Environmental flows have had no measurable effect</w:t>
      </w:r>
      <w:r w:rsidR="00340FF7">
        <w:rPr>
          <w:rFonts w:cs="Arial"/>
          <w:color w:val="000000"/>
          <w:szCs w:val="22"/>
        </w:rPr>
        <w:t xml:space="preserve"> (positive or negative)</w:t>
      </w:r>
      <w:r w:rsidRPr="00AE571E">
        <w:rPr>
          <w:rFonts w:cs="Arial"/>
          <w:color w:val="000000"/>
          <w:szCs w:val="22"/>
        </w:rPr>
        <w:t xml:space="preserve"> on spawning of Murray cod in the Edward Wakool system for the past three years </w:t>
      </w:r>
      <w:r w:rsidRPr="00AE571E">
        <w:rPr>
          <w:rFonts w:asciiTheme="minorHAnsi" w:hAnsiTheme="minorHAnsi"/>
          <w:szCs w:val="22"/>
        </w:rPr>
        <w:t>(Watts et al. 2013, Watts et al. 2014</w:t>
      </w:r>
      <w:r>
        <w:rPr>
          <w:rFonts w:asciiTheme="minorHAnsi" w:hAnsiTheme="minorHAnsi"/>
          <w:szCs w:val="22"/>
        </w:rPr>
        <w:t>b</w:t>
      </w:r>
      <w:r w:rsidRPr="00AE571E">
        <w:rPr>
          <w:rFonts w:asciiTheme="minorHAnsi" w:hAnsiTheme="minorHAnsi"/>
          <w:szCs w:val="22"/>
        </w:rPr>
        <w:t>, Watts et al. 2015)</w:t>
      </w:r>
      <w:r w:rsidRPr="00AE571E">
        <w:rPr>
          <w:rFonts w:cs="Arial"/>
          <w:color w:val="000000"/>
          <w:szCs w:val="22"/>
        </w:rPr>
        <w:t xml:space="preserve">, although it remains less clear whether recruitment or growth of older age-classes may be affected by changes in hydrology.  </w:t>
      </w:r>
      <w:r w:rsidR="006B7966">
        <w:rPr>
          <w:rFonts w:cs="Arial"/>
          <w:color w:val="000000"/>
          <w:szCs w:val="22"/>
        </w:rPr>
        <w:t>E</w:t>
      </w:r>
      <w:r w:rsidRPr="00AE571E">
        <w:rPr>
          <w:rFonts w:cs="Arial"/>
          <w:color w:val="000000"/>
          <w:szCs w:val="22"/>
        </w:rPr>
        <w:t xml:space="preserve">nvironmental flow delivery objectives should focus on recruitment and growth outcomes required </w:t>
      </w:r>
      <w:r w:rsidR="000E69C9">
        <w:rPr>
          <w:rFonts w:cs="Arial"/>
          <w:color w:val="000000"/>
          <w:szCs w:val="22"/>
        </w:rPr>
        <w:t xml:space="preserve">for early life-history survival needed </w:t>
      </w:r>
      <w:r w:rsidRPr="00AE571E">
        <w:rPr>
          <w:rFonts w:cs="Arial"/>
          <w:color w:val="000000"/>
          <w:szCs w:val="22"/>
        </w:rPr>
        <w:t xml:space="preserve">to sustain adult populations. </w:t>
      </w:r>
    </w:p>
    <w:p w14:paraId="3B4F9568" w14:textId="5123A38B" w:rsidR="008E6212" w:rsidRPr="00337C70" w:rsidRDefault="008E6212" w:rsidP="006B7966">
      <w:pPr>
        <w:spacing w:after="0" w:line="240" w:lineRule="auto"/>
        <w:jc w:val="left"/>
        <w:rPr>
          <w:i/>
          <w:color w:val="000000" w:themeColor="text1"/>
        </w:rPr>
      </w:pPr>
      <w:r>
        <w:rPr>
          <w:b/>
          <w:i/>
          <w:color w:val="76923C" w:themeColor="accent3" w:themeShade="BF"/>
        </w:rPr>
        <w:br w:type="page"/>
      </w:r>
      <w:r w:rsidRPr="00337C70">
        <w:rPr>
          <w:i/>
          <w:color w:val="000000" w:themeColor="text1"/>
        </w:rPr>
        <w:lastRenderedPageBreak/>
        <w:t>Small bodied opportunistic species</w:t>
      </w:r>
    </w:p>
    <w:p w14:paraId="3B4F9569" w14:textId="77777777" w:rsidR="008E6212" w:rsidRDefault="008E6212" w:rsidP="008E6212">
      <w:pPr>
        <w:pStyle w:val="ListBullet"/>
        <w:spacing w:after="240" w:line="320" w:lineRule="exact"/>
        <w:contextualSpacing w:val="0"/>
        <w:jc w:val="left"/>
        <w:rPr>
          <w:rFonts w:asciiTheme="minorHAnsi" w:hAnsiTheme="minorHAnsi"/>
          <w:sz w:val="22"/>
          <w:szCs w:val="22"/>
        </w:rPr>
      </w:pPr>
      <w:r>
        <w:rPr>
          <w:rFonts w:asciiTheme="minorHAnsi" w:hAnsiTheme="minorHAnsi"/>
          <w:sz w:val="22"/>
          <w:szCs w:val="22"/>
        </w:rPr>
        <w:t>Opportunistic fish species are characterised by being small bodied and having fast growth rates, small eggs and frequent reproduction over an extended spawning season (Winemiller and Rose 1992). There are six native small bodied opportunistic species known to the Edward-Wakool selected area: Australian smelt, carp gudgeon, flathead gudgeon, unspecked hardyhead, Murray River rainbowfish and obscure galaxias. These species will spawn under a range of flow conditions, however the early life stages of these species are commonly found in slow flowing slackwater waters, suggesting that shallow, low flow environments are important nursery areas for this group of fish (Humphries et al. 1999, Lyon et al. 2010,</w:t>
      </w:r>
      <w:r w:rsidRPr="00D34F86">
        <w:rPr>
          <w:rFonts w:asciiTheme="minorHAnsi" w:hAnsiTheme="minorHAnsi"/>
          <w:sz w:val="22"/>
          <w:szCs w:val="22"/>
        </w:rPr>
        <w:t xml:space="preserve"> </w:t>
      </w:r>
      <w:r>
        <w:rPr>
          <w:rFonts w:asciiTheme="minorHAnsi" w:hAnsiTheme="minorHAnsi"/>
          <w:sz w:val="22"/>
          <w:szCs w:val="22"/>
        </w:rPr>
        <w:t xml:space="preserve">Bice et al. 2014). Instream submerged vegetation is also considered to be important for many opportunistic species (Bice et al. 2014). </w:t>
      </w:r>
    </w:p>
    <w:p w14:paraId="15834CAE" w14:textId="3810901E" w:rsidR="00887EE7" w:rsidRPr="00887EE7" w:rsidRDefault="008E6212" w:rsidP="00887EE7">
      <w:pPr>
        <w:pStyle w:val="BodyText"/>
        <w:spacing w:after="240" w:line="320" w:lineRule="exact"/>
        <w:jc w:val="left"/>
        <w:rPr>
          <w:rFonts w:asciiTheme="minorHAnsi" w:eastAsia="Times New Roman" w:hAnsiTheme="minorHAnsi"/>
          <w:sz w:val="22"/>
          <w:szCs w:val="22"/>
          <w:lang w:val="en-AU" w:eastAsia="en-AU"/>
        </w:rPr>
      </w:pPr>
      <w:r w:rsidRPr="00887EE7">
        <w:rPr>
          <w:rFonts w:asciiTheme="minorHAnsi" w:eastAsia="Times New Roman" w:hAnsiTheme="minorHAnsi"/>
          <w:sz w:val="22"/>
          <w:szCs w:val="22"/>
          <w:lang w:val="en-AU" w:eastAsia="en-AU"/>
        </w:rPr>
        <w:t xml:space="preserve">Populations of small bodied species from </w:t>
      </w:r>
      <w:r w:rsidR="006B7966" w:rsidRPr="00887EE7">
        <w:rPr>
          <w:rFonts w:asciiTheme="minorHAnsi" w:eastAsia="Times New Roman" w:hAnsiTheme="minorHAnsi"/>
          <w:sz w:val="22"/>
          <w:szCs w:val="22"/>
          <w:lang w:val="en-AU" w:eastAsia="en-AU"/>
        </w:rPr>
        <w:t>2015-16</w:t>
      </w:r>
      <w:r w:rsidRPr="00887EE7">
        <w:rPr>
          <w:rFonts w:asciiTheme="minorHAnsi" w:eastAsia="Times New Roman" w:hAnsiTheme="minorHAnsi"/>
          <w:sz w:val="22"/>
          <w:szCs w:val="22"/>
          <w:lang w:val="en-AU" w:eastAsia="en-AU"/>
        </w:rPr>
        <w:t xml:space="preserve"> </w:t>
      </w:r>
      <w:r w:rsidR="00887EE7">
        <w:rPr>
          <w:rFonts w:asciiTheme="minorHAnsi" w:eastAsia="Times New Roman" w:hAnsiTheme="minorHAnsi"/>
          <w:sz w:val="22"/>
          <w:szCs w:val="22"/>
          <w:lang w:val="en-AU" w:eastAsia="en-AU"/>
        </w:rPr>
        <w:t>were similar</w:t>
      </w:r>
      <w:r w:rsidR="006B7966" w:rsidRPr="00887EE7">
        <w:rPr>
          <w:rFonts w:asciiTheme="minorHAnsi" w:eastAsia="Times New Roman" w:hAnsiTheme="minorHAnsi"/>
          <w:sz w:val="22"/>
          <w:szCs w:val="22"/>
          <w:lang w:val="en-AU" w:eastAsia="en-AU"/>
        </w:rPr>
        <w:t xml:space="preserve"> to 2014-15</w:t>
      </w:r>
      <w:r w:rsidRPr="00887EE7">
        <w:rPr>
          <w:rFonts w:asciiTheme="minorHAnsi" w:eastAsia="Times New Roman" w:hAnsiTheme="minorHAnsi"/>
          <w:sz w:val="22"/>
          <w:szCs w:val="22"/>
          <w:lang w:val="en-AU" w:eastAsia="en-AU"/>
        </w:rPr>
        <w:t>, as evidenced by similar numbers of adults (collected under Cat</w:t>
      </w:r>
      <w:r w:rsidR="006B7966" w:rsidRPr="00887EE7">
        <w:rPr>
          <w:rFonts w:asciiTheme="minorHAnsi" w:eastAsia="Times New Roman" w:hAnsiTheme="minorHAnsi"/>
          <w:sz w:val="22"/>
          <w:szCs w:val="22"/>
          <w:lang w:val="en-AU" w:eastAsia="en-AU"/>
        </w:rPr>
        <w:t>egory</w:t>
      </w:r>
      <w:r w:rsidRPr="00887EE7">
        <w:rPr>
          <w:rFonts w:asciiTheme="minorHAnsi" w:eastAsia="Times New Roman" w:hAnsiTheme="minorHAnsi"/>
          <w:sz w:val="22"/>
          <w:szCs w:val="22"/>
          <w:lang w:val="en-AU" w:eastAsia="en-AU"/>
        </w:rPr>
        <w:t xml:space="preserve"> I basin</w:t>
      </w:r>
      <w:r w:rsidR="006B7966" w:rsidRPr="00887EE7">
        <w:rPr>
          <w:rFonts w:asciiTheme="minorHAnsi" w:eastAsia="Times New Roman" w:hAnsiTheme="minorHAnsi"/>
          <w:sz w:val="22"/>
          <w:szCs w:val="22"/>
          <w:lang w:val="en-AU" w:eastAsia="en-AU"/>
        </w:rPr>
        <w:t>-scale methods</w:t>
      </w:r>
      <w:r w:rsidRPr="00887EE7">
        <w:rPr>
          <w:rFonts w:asciiTheme="minorHAnsi" w:eastAsia="Times New Roman" w:hAnsiTheme="minorHAnsi"/>
          <w:sz w:val="22"/>
          <w:szCs w:val="22"/>
          <w:lang w:val="en-AU" w:eastAsia="en-AU"/>
        </w:rPr>
        <w:t>), and larvae collected for each species. For small bodied opportunistic species we had hypothesised that watering actions that provide a significant increase in low flow habitats (such as inundated slackwaters, backwaters and off channel wetlands) were likely to result an increase in habitat for both larvae and adult life stages (Humphries et al. 1999, Lyon et al. 2010).  The consistent result across years is</w:t>
      </w:r>
      <w:r w:rsidR="00051813" w:rsidRPr="00887EE7">
        <w:rPr>
          <w:rFonts w:asciiTheme="minorHAnsi" w:eastAsia="Times New Roman" w:hAnsiTheme="minorHAnsi"/>
          <w:sz w:val="22"/>
          <w:szCs w:val="22"/>
          <w:lang w:val="en-AU" w:eastAsia="en-AU"/>
        </w:rPr>
        <w:t xml:space="preserve"> </w:t>
      </w:r>
      <w:r w:rsidRPr="00887EE7">
        <w:rPr>
          <w:rFonts w:asciiTheme="minorHAnsi" w:eastAsia="Times New Roman" w:hAnsiTheme="minorHAnsi"/>
          <w:sz w:val="22"/>
          <w:szCs w:val="22"/>
          <w:lang w:val="en-AU" w:eastAsia="en-AU"/>
        </w:rPr>
        <w:t xml:space="preserve">likely to be attributable to the similar flow delivery patterns which occurred throughout the study zones during the 2015-16 and 2014-15, and thus the availability of slackwater habitat would have not have increased significantly this year. </w:t>
      </w:r>
      <w:r w:rsidR="00887EE7">
        <w:rPr>
          <w:rFonts w:asciiTheme="minorHAnsi" w:eastAsia="Times New Roman" w:hAnsiTheme="minorHAnsi"/>
          <w:sz w:val="22"/>
          <w:szCs w:val="22"/>
          <w:lang w:val="en-AU" w:eastAsia="en-AU"/>
        </w:rPr>
        <w:t>However, in 2015-16 t</w:t>
      </w:r>
      <w:r w:rsidR="00887EE7" w:rsidRPr="00887EE7">
        <w:rPr>
          <w:rFonts w:asciiTheme="minorHAnsi" w:eastAsia="Times New Roman" w:hAnsiTheme="minorHAnsi"/>
          <w:sz w:val="22"/>
          <w:szCs w:val="22"/>
          <w:lang w:val="en-AU" w:eastAsia="en-AU"/>
        </w:rPr>
        <w:t xml:space="preserve">here were significantly fewer larval carp gudgeon in zone 1 Yallakool Creek than in zones 2, 3 or 4. There were also fewer flathead gudgeon in zone 1 Yallakool Creek than in </w:t>
      </w:r>
      <w:r w:rsidR="00887EE7">
        <w:rPr>
          <w:rFonts w:asciiTheme="minorHAnsi" w:eastAsia="Times New Roman" w:hAnsiTheme="minorHAnsi"/>
          <w:sz w:val="22"/>
          <w:szCs w:val="22"/>
          <w:lang w:val="en-AU" w:eastAsia="en-AU"/>
        </w:rPr>
        <w:t>Wakool River zone 4</w:t>
      </w:r>
      <w:r w:rsidR="00887EE7" w:rsidRPr="00887EE7">
        <w:rPr>
          <w:rFonts w:asciiTheme="minorHAnsi" w:eastAsia="Times New Roman" w:hAnsiTheme="minorHAnsi"/>
          <w:sz w:val="22"/>
          <w:szCs w:val="22"/>
          <w:lang w:val="en-AU" w:eastAsia="en-AU"/>
        </w:rPr>
        <w:t xml:space="preserve">. This may be due to the </w:t>
      </w:r>
      <w:r w:rsidR="00887EE7">
        <w:rPr>
          <w:rFonts w:asciiTheme="minorHAnsi" w:eastAsia="Times New Roman" w:hAnsiTheme="minorHAnsi"/>
          <w:sz w:val="22"/>
          <w:szCs w:val="22"/>
          <w:lang w:val="en-AU" w:eastAsia="en-AU"/>
        </w:rPr>
        <w:t>increased</w:t>
      </w:r>
      <w:r w:rsidR="00887EE7" w:rsidRPr="00887EE7">
        <w:rPr>
          <w:rFonts w:asciiTheme="minorHAnsi" w:eastAsia="Times New Roman" w:hAnsiTheme="minorHAnsi"/>
          <w:sz w:val="22"/>
          <w:szCs w:val="22"/>
          <w:lang w:val="en-AU" w:eastAsia="en-AU"/>
        </w:rPr>
        <w:t xml:space="preserve"> area of slackwater and slow water in </w:t>
      </w:r>
      <w:r w:rsidR="00887EE7">
        <w:rPr>
          <w:rFonts w:asciiTheme="minorHAnsi" w:eastAsia="Times New Roman" w:hAnsiTheme="minorHAnsi"/>
          <w:sz w:val="22"/>
          <w:szCs w:val="22"/>
          <w:lang w:val="en-AU" w:eastAsia="en-AU"/>
        </w:rPr>
        <w:t xml:space="preserve">zones 3 and 4 than in </w:t>
      </w:r>
      <w:r w:rsidR="00887EE7" w:rsidRPr="00887EE7">
        <w:rPr>
          <w:rFonts w:asciiTheme="minorHAnsi" w:eastAsia="Times New Roman" w:hAnsiTheme="minorHAnsi"/>
          <w:sz w:val="22"/>
          <w:szCs w:val="22"/>
          <w:lang w:val="en-AU" w:eastAsia="en-AU"/>
        </w:rPr>
        <w:t>Yallakool Creek during th</w:t>
      </w:r>
      <w:r w:rsidR="00887EE7">
        <w:rPr>
          <w:rFonts w:asciiTheme="minorHAnsi" w:eastAsia="Times New Roman" w:hAnsiTheme="minorHAnsi"/>
          <w:sz w:val="22"/>
          <w:szCs w:val="22"/>
          <w:lang w:val="en-AU" w:eastAsia="en-AU"/>
        </w:rPr>
        <w:t>e environmental watering action, and the increasing abundance and cover of aquatic vegetation in these two zones over the past two years.</w:t>
      </w:r>
    </w:p>
    <w:p w14:paraId="3B4F956B" w14:textId="760D920E" w:rsidR="008E6212" w:rsidRPr="002360C1" w:rsidRDefault="00887EE7" w:rsidP="008E6212">
      <w:pPr>
        <w:spacing w:after="240" w:line="320" w:lineRule="exact"/>
        <w:jc w:val="left"/>
        <w:rPr>
          <w:rFonts w:asciiTheme="minorHAnsi" w:hAnsiTheme="minorHAnsi"/>
          <w:szCs w:val="22"/>
        </w:rPr>
      </w:pPr>
      <w:r>
        <w:rPr>
          <w:rFonts w:asciiTheme="minorHAnsi" w:hAnsiTheme="minorHAnsi"/>
          <w:szCs w:val="22"/>
        </w:rPr>
        <w:t>W</w:t>
      </w:r>
      <w:r w:rsidR="008E6212">
        <w:rPr>
          <w:rFonts w:asciiTheme="minorHAnsi" w:hAnsiTheme="minorHAnsi"/>
          <w:szCs w:val="22"/>
        </w:rPr>
        <w:t>e had hypothesised that the increased instream vegetation observed in 2014-15 and 2015-16 throughout the study zones would benefit species such as unspecked hardhead and Murray River rainbowfish because of its importance as a spawning substrate and refugia. We did not observe increases in the number of larvae caught of either of these species in 2015-16, although more unspecked hardy</w:t>
      </w:r>
      <w:r>
        <w:rPr>
          <w:rFonts w:asciiTheme="minorHAnsi" w:hAnsiTheme="minorHAnsi"/>
          <w:szCs w:val="22"/>
        </w:rPr>
        <w:t xml:space="preserve">head were collected under basin-scale </w:t>
      </w:r>
      <w:r w:rsidR="008E6212">
        <w:rPr>
          <w:rFonts w:asciiTheme="minorHAnsi" w:hAnsiTheme="minorHAnsi"/>
          <w:szCs w:val="22"/>
        </w:rPr>
        <w:t xml:space="preserve">surveys compared with 2014-15. Previous studies have found abundance of Murray River rainbowfish to be positively associated with </w:t>
      </w:r>
      <w:r w:rsidR="008E6212" w:rsidRPr="0029350D">
        <w:rPr>
          <w:rFonts w:asciiTheme="minorHAnsi" w:hAnsiTheme="minorHAnsi"/>
          <w:i/>
          <w:szCs w:val="22"/>
        </w:rPr>
        <w:t>Potamogetan tricarinatu</w:t>
      </w:r>
      <w:r w:rsidR="00BC485A">
        <w:rPr>
          <w:rFonts w:asciiTheme="minorHAnsi" w:hAnsiTheme="minorHAnsi"/>
          <w:i/>
          <w:szCs w:val="22"/>
        </w:rPr>
        <w:t>s</w:t>
      </w:r>
      <w:r w:rsidR="008E6212">
        <w:rPr>
          <w:rFonts w:asciiTheme="minorHAnsi" w:hAnsiTheme="minorHAnsi"/>
          <w:szCs w:val="22"/>
        </w:rPr>
        <w:t xml:space="preserve"> and </w:t>
      </w:r>
      <w:r w:rsidR="008E6212" w:rsidRPr="0029350D">
        <w:rPr>
          <w:rFonts w:asciiTheme="minorHAnsi" w:hAnsiTheme="minorHAnsi"/>
          <w:i/>
          <w:szCs w:val="22"/>
        </w:rPr>
        <w:t>Nicotiana galuca</w:t>
      </w:r>
      <w:r w:rsidR="008E6212">
        <w:rPr>
          <w:rFonts w:asciiTheme="minorHAnsi" w:hAnsiTheme="minorHAnsi"/>
          <w:szCs w:val="22"/>
        </w:rPr>
        <w:t xml:space="preserve"> (Bice et al. 2014). It may be possible that positive responses to improved habitat conditions may take several spawning seasons to be detected, especially if adult populations of these species were occurring in low numbers to begin with. Continued monitoring of the larval and adult populations of these species in coming years will be important in identifying the role of instream vegetation for small-bodied species.</w:t>
      </w:r>
    </w:p>
    <w:p w14:paraId="3B4F956C" w14:textId="77777777" w:rsidR="008E6212" w:rsidRDefault="008E6212" w:rsidP="008E6212">
      <w:pPr>
        <w:spacing w:after="0" w:line="240" w:lineRule="auto"/>
        <w:jc w:val="left"/>
        <w:rPr>
          <w:rFonts w:eastAsia="Times New Roman"/>
          <w:b/>
          <w:smallCaps/>
          <w:noProof/>
          <w:color w:val="4F6228"/>
          <w:spacing w:val="5"/>
          <w:sz w:val="48"/>
          <w:szCs w:val="48"/>
          <w:lang w:val="en-US" w:eastAsia="en-AU"/>
        </w:rPr>
      </w:pPr>
      <w:r>
        <w:br w:type="page"/>
      </w:r>
    </w:p>
    <w:p w14:paraId="3B4F956D" w14:textId="77777777" w:rsidR="008E6212" w:rsidRDefault="008E6212" w:rsidP="00417F7C">
      <w:pPr>
        <w:pStyle w:val="Heading1"/>
      </w:pPr>
      <w:bookmarkStart w:id="45" w:name="_Toc484078422"/>
      <w:r>
        <w:lastRenderedPageBreak/>
        <w:t>Appendix E: References</w:t>
      </w:r>
      <w:r w:rsidR="007F615E">
        <w:t xml:space="preserve"> for A</w:t>
      </w:r>
      <w:r w:rsidR="004D403B">
        <w:t>ppendices</w:t>
      </w:r>
      <w:bookmarkEnd w:id="45"/>
    </w:p>
    <w:p w14:paraId="3B4F956E" w14:textId="77777777" w:rsidR="008E6212" w:rsidRDefault="008E6212" w:rsidP="008E6212">
      <w:pPr>
        <w:pStyle w:val="EndNoteBibliography"/>
        <w:spacing w:after="240"/>
        <w:ind w:left="284" w:hanging="284"/>
      </w:pPr>
    </w:p>
    <w:p w14:paraId="3B4F956F" w14:textId="77777777" w:rsidR="008E6212" w:rsidRPr="00D36D67" w:rsidRDefault="008E6212" w:rsidP="008E6212">
      <w:pPr>
        <w:pStyle w:val="EndNoteBibliography"/>
        <w:spacing w:after="240"/>
        <w:ind w:left="284" w:hanging="284"/>
      </w:pPr>
      <w:r>
        <w:t>Al-Tebrineh J., Merrick C., Ryan D., Humpage A., Bowling L. &amp; Neilan</w:t>
      </w:r>
      <w:r w:rsidRPr="00D36D67">
        <w:t xml:space="preserve"> B.A. (2012) Community composition, toxigenicity, and environmental conditions during a cyanobacterial bloom occurring along 1,100 kilometers of the Murray River. </w:t>
      </w:r>
      <w:r w:rsidR="00916C24">
        <w:rPr>
          <w:i/>
        </w:rPr>
        <w:t>Applied and Environmental M</w:t>
      </w:r>
      <w:r w:rsidRPr="00D36D67">
        <w:rPr>
          <w:i/>
        </w:rPr>
        <w:t>icrobiology</w:t>
      </w:r>
      <w:r>
        <w:rPr>
          <w:i/>
        </w:rPr>
        <w:t>,</w:t>
      </w:r>
      <w:r w:rsidRPr="00D36D67">
        <w:t xml:space="preserve"> </w:t>
      </w:r>
      <w:r w:rsidRPr="00D36D67">
        <w:rPr>
          <w:b/>
        </w:rPr>
        <w:t>78</w:t>
      </w:r>
      <w:r w:rsidRPr="00D36D67">
        <w:t>, 263-272.</w:t>
      </w:r>
    </w:p>
    <w:p w14:paraId="3B4F9570" w14:textId="77777777" w:rsidR="008E6212" w:rsidRPr="00D36D67" w:rsidRDefault="008E6212" w:rsidP="008E6212">
      <w:pPr>
        <w:pStyle w:val="EndNoteBibliography"/>
        <w:spacing w:after="120"/>
        <w:ind w:left="284" w:hanging="284"/>
        <w:rPr>
          <w:rFonts w:asciiTheme="minorHAnsi" w:hAnsiTheme="minorHAnsi"/>
        </w:rPr>
      </w:pPr>
      <w:r>
        <w:rPr>
          <w:rFonts w:asciiTheme="minorHAnsi" w:hAnsiTheme="minorHAnsi"/>
        </w:rPr>
        <w:t>Anderson</w:t>
      </w:r>
      <w:r w:rsidRPr="00D36D67">
        <w:rPr>
          <w:rFonts w:asciiTheme="minorHAnsi" w:hAnsiTheme="minorHAnsi"/>
        </w:rPr>
        <w:t xml:space="preserve"> M.J., Gorley</w:t>
      </w:r>
      <w:r>
        <w:rPr>
          <w:rFonts w:asciiTheme="minorHAnsi" w:hAnsiTheme="minorHAnsi"/>
        </w:rPr>
        <w:t xml:space="preserve"> R.N. &amp; Clarke K.R. (2008)  </w:t>
      </w:r>
      <w:r w:rsidRPr="00407AED">
        <w:rPr>
          <w:rFonts w:asciiTheme="minorHAnsi" w:hAnsiTheme="minorHAnsi"/>
          <w:i/>
        </w:rPr>
        <w:t>PERMANOVA + for PRIMER: Guide to Software and Statistical Methods</w:t>
      </w:r>
      <w:r>
        <w:rPr>
          <w:rFonts w:asciiTheme="minorHAnsi" w:hAnsiTheme="minorHAnsi"/>
        </w:rPr>
        <w:t>.</w:t>
      </w:r>
      <w:r w:rsidRPr="00D36D67">
        <w:rPr>
          <w:rFonts w:asciiTheme="minorHAnsi" w:hAnsiTheme="minorHAnsi"/>
        </w:rPr>
        <w:t xml:space="preserve"> (PRIMER-E: Plymouth.)</w:t>
      </w:r>
    </w:p>
    <w:p w14:paraId="3B4F9571" w14:textId="77777777" w:rsidR="008E6212" w:rsidRPr="00D36D67" w:rsidRDefault="008E6212" w:rsidP="008E6212">
      <w:pPr>
        <w:pStyle w:val="EndNoteBibliography"/>
        <w:spacing w:after="240"/>
        <w:ind w:left="284" w:hanging="284"/>
      </w:pPr>
      <w:r w:rsidRPr="00D36D67">
        <w:t xml:space="preserve">ANZECC (2000) </w:t>
      </w:r>
      <w:r w:rsidRPr="00407AED">
        <w:rPr>
          <w:i/>
        </w:rPr>
        <w:t>National Water Quality Management Strategy: Australian and New Zealand guidelines for fresh and marine water quality</w:t>
      </w:r>
      <w:r w:rsidRPr="00D36D67">
        <w:t>.  Australian and New Zealand Environment and Conservation Council &amp; Agriculture and Resource Management Counci</w:t>
      </w:r>
      <w:r>
        <w:t>l of Australia and New Zealand,</w:t>
      </w:r>
      <w:r w:rsidRPr="00D36D67">
        <w:t xml:space="preserve"> Canberra.</w:t>
      </w:r>
    </w:p>
    <w:p w14:paraId="3B4F9572" w14:textId="77777777" w:rsidR="008E6212" w:rsidRPr="00D36D67" w:rsidRDefault="008E6212" w:rsidP="008E6212">
      <w:pPr>
        <w:pStyle w:val="EndNoteBibliography"/>
        <w:spacing w:after="240"/>
        <w:ind w:left="284" w:hanging="284"/>
      </w:pPr>
      <w:r>
        <w:t>Baker</w:t>
      </w:r>
      <w:r w:rsidRPr="00D36D67">
        <w:t xml:space="preserve"> P.D. (1999) Role of akinetes in the development of cyanobacterial populations in the lower Murray River, Australia. </w:t>
      </w:r>
      <w:r w:rsidRPr="00D36D67">
        <w:rPr>
          <w:i/>
        </w:rPr>
        <w:t>Marine and Freshwater Research</w:t>
      </w:r>
      <w:r>
        <w:rPr>
          <w:i/>
        </w:rPr>
        <w:t>,</w:t>
      </w:r>
      <w:r w:rsidRPr="00D36D67">
        <w:t xml:space="preserve"> </w:t>
      </w:r>
      <w:r w:rsidRPr="00D36D67">
        <w:rPr>
          <w:b/>
        </w:rPr>
        <w:t>50</w:t>
      </w:r>
      <w:r w:rsidRPr="00D36D67">
        <w:t>, 265-279.</w:t>
      </w:r>
    </w:p>
    <w:p w14:paraId="3B4F9573" w14:textId="77777777" w:rsidR="008E6212" w:rsidRPr="00BC485A" w:rsidRDefault="008E6212" w:rsidP="008E6212">
      <w:pPr>
        <w:pStyle w:val="EndNoteBibliography"/>
        <w:spacing w:after="240"/>
        <w:ind w:left="284" w:hanging="284"/>
      </w:pPr>
      <w:r>
        <w:t>Baldwin</w:t>
      </w:r>
      <w:r w:rsidRPr="00D36D67">
        <w:t xml:space="preserve"> D.S. (1999) Dissolved organic matter and phosphorus leached from fresh and 'terrestrially' aged river red gum leaves: implications for assessing river-floodplain </w:t>
      </w:r>
      <w:r w:rsidRPr="00BC485A">
        <w:t xml:space="preserve">interactions. </w:t>
      </w:r>
      <w:r w:rsidRPr="00BC485A">
        <w:rPr>
          <w:i/>
        </w:rPr>
        <w:t>Freshwater Biology,</w:t>
      </w:r>
      <w:r w:rsidRPr="00BC485A">
        <w:t xml:space="preserve"> </w:t>
      </w:r>
      <w:r w:rsidRPr="00BC485A">
        <w:rPr>
          <w:b/>
        </w:rPr>
        <w:t>41</w:t>
      </w:r>
      <w:r w:rsidRPr="00BC485A">
        <w:t>, 675-685.</w:t>
      </w:r>
    </w:p>
    <w:p w14:paraId="3B4F9574" w14:textId="77777777" w:rsidR="008E6212" w:rsidRPr="00D36D67" w:rsidRDefault="008E6212" w:rsidP="008E6212">
      <w:pPr>
        <w:pStyle w:val="EndNoteBibliography"/>
        <w:spacing w:after="240"/>
        <w:ind w:left="284" w:hanging="284"/>
      </w:pPr>
      <w:r w:rsidRPr="00BC485A">
        <w:t xml:space="preserve">Baldwin D.S., Colloff M.J., Mitrovic S.M., Bond N.R. &amp; Wolfenden B. (2016) Restoring dissolved organic carbon subsidies from floodplains to lowland river food webs: a role for environmental flows? </w:t>
      </w:r>
      <w:r w:rsidRPr="00BC485A">
        <w:rPr>
          <w:i/>
        </w:rPr>
        <w:t>Marine and Freshwater Research</w:t>
      </w:r>
      <w:r w:rsidR="00007916">
        <w:t xml:space="preserve">, </w:t>
      </w:r>
      <w:r w:rsidR="00007916" w:rsidRPr="00007916">
        <w:rPr>
          <w:b/>
        </w:rPr>
        <w:t>67</w:t>
      </w:r>
      <w:r w:rsidR="00007916">
        <w:t>, 1387-1399.</w:t>
      </w:r>
    </w:p>
    <w:p w14:paraId="3B4F9575" w14:textId="77777777" w:rsidR="008E6212" w:rsidRPr="00D36D67" w:rsidRDefault="008E6212" w:rsidP="008E6212">
      <w:pPr>
        <w:pStyle w:val="EndNoteBibliography"/>
        <w:spacing w:after="240"/>
        <w:ind w:left="284" w:hanging="284"/>
      </w:pPr>
      <w:r>
        <w:t>Baldwin D.S. &amp; Mitchell</w:t>
      </w:r>
      <w:r w:rsidRPr="00D36D67">
        <w:t xml:space="preserve"> A.M. (2000) The effects of drying and re-flooding on the sediment and soil nutrient dynamics of lowland river-floodplain systems: a synthesis. </w:t>
      </w:r>
      <w:r w:rsidRPr="00D36D67">
        <w:rPr>
          <w:i/>
        </w:rPr>
        <w:t>Regulated Rivers: Research &amp; Management</w:t>
      </w:r>
      <w:r>
        <w:rPr>
          <w:i/>
        </w:rPr>
        <w:t>,</w:t>
      </w:r>
      <w:r w:rsidRPr="00D36D67">
        <w:t xml:space="preserve"> </w:t>
      </w:r>
      <w:r w:rsidRPr="00D36D67">
        <w:rPr>
          <w:b/>
        </w:rPr>
        <w:t>16</w:t>
      </w:r>
      <w:r w:rsidRPr="00D36D67">
        <w:t>, 457-467.</w:t>
      </w:r>
    </w:p>
    <w:p w14:paraId="3B4F9576" w14:textId="77777777" w:rsidR="008E6212" w:rsidRPr="00D36D67" w:rsidRDefault="008E6212" w:rsidP="008E6212">
      <w:pPr>
        <w:pStyle w:val="EndNoteBibliography"/>
        <w:spacing w:after="240"/>
        <w:ind w:left="284" w:hanging="284"/>
      </w:pPr>
      <w:r w:rsidRPr="003E44F8">
        <w:t xml:space="preserve">Baldwin D.S. &amp; Valo W. (2015) Exploring the relationship between the optical properties of water and the quality and quantity of dissolved organic carbon in aquatic ecosystems: strong correlations do not always mean strong predictive power. </w:t>
      </w:r>
      <w:r w:rsidRPr="003E44F8">
        <w:rPr>
          <w:i/>
        </w:rPr>
        <w:t>Environmental Science: Processes &amp; Impacts</w:t>
      </w:r>
      <w:r w:rsidR="003E44F8" w:rsidRPr="003E44F8">
        <w:t xml:space="preserve">, </w:t>
      </w:r>
      <w:r w:rsidR="003E44F8" w:rsidRPr="003E44F8">
        <w:rPr>
          <w:b/>
        </w:rPr>
        <w:t>17(3),</w:t>
      </w:r>
      <w:r w:rsidR="003E44F8" w:rsidRPr="003E44F8">
        <w:t xml:space="preserve"> </w:t>
      </w:r>
      <w:r w:rsidR="00BC485A" w:rsidRPr="003E44F8">
        <w:t>619-30.</w:t>
      </w:r>
      <w:r w:rsidR="00BC485A">
        <w:t xml:space="preserve"> </w:t>
      </w:r>
    </w:p>
    <w:p w14:paraId="3B4F9577" w14:textId="77777777" w:rsidR="008E6212" w:rsidRPr="00D36D67" w:rsidRDefault="008E6212" w:rsidP="008E6212">
      <w:pPr>
        <w:pStyle w:val="EndNoteBibliography"/>
        <w:spacing w:after="120"/>
        <w:ind w:left="284" w:hanging="284"/>
        <w:rPr>
          <w:rFonts w:asciiTheme="minorHAnsi" w:hAnsiTheme="minorHAnsi"/>
        </w:rPr>
      </w:pPr>
      <w:r>
        <w:rPr>
          <w:rFonts w:asciiTheme="minorHAnsi" w:hAnsiTheme="minorHAnsi"/>
        </w:rPr>
        <w:t>Balcombe S.R. &amp; Arthington A.H. (2009)</w:t>
      </w:r>
      <w:r w:rsidRPr="00D36D67">
        <w:rPr>
          <w:rFonts w:asciiTheme="minorHAnsi" w:hAnsiTheme="minorHAnsi"/>
        </w:rPr>
        <w:t xml:space="preserve"> Temporal changes in fish abundance in response to hydrological variability in a dryland floodplain river. </w:t>
      </w:r>
      <w:r w:rsidRPr="001046EA">
        <w:rPr>
          <w:rFonts w:asciiTheme="minorHAnsi" w:hAnsiTheme="minorHAnsi"/>
          <w:i/>
        </w:rPr>
        <w:t>Marine and Freshwater Research</w:t>
      </w:r>
      <w:r>
        <w:rPr>
          <w:rFonts w:asciiTheme="minorHAnsi" w:hAnsiTheme="minorHAnsi"/>
        </w:rPr>
        <w:t>,</w:t>
      </w:r>
      <w:r w:rsidRPr="00D36D67">
        <w:rPr>
          <w:rFonts w:asciiTheme="minorHAnsi" w:hAnsiTheme="minorHAnsi"/>
        </w:rPr>
        <w:t xml:space="preserve"> </w:t>
      </w:r>
      <w:r w:rsidRPr="001046EA">
        <w:rPr>
          <w:rFonts w:asciiTheme="minorHAnsi" w:hAnsiTheme="minorHAnsi"/>
          <w:b/>
        </w:rPr>
        <w:t>60</w:t>
      </w:r>
      <w:r w:rsidRPr="00D36D67">
        <w:rPr>
          <w:rFonts w:asciiTheme="minorHAnsi" w:hAnsiTheme="minorHAnsi"/>
        </w:rPr>
        <w:t>, 146–159.</w:t>
      </w:r>
    </w:p>
    <w:p w14:paraId="3B4F9578" w14:textId="77777777" w:rsidR="008E6212" w:rsidRDefault="008E6212" w:rsidP="008E6212">
      <w:pPr>
        <w:pStyle w:val="EndNoteBibliography"/>
        <w:spacing w:after="120"/>
        <w:ind w:left="284" w:hanging="284"/>
        <w:rPr>
          <w:rFonts w:asciiTheme="minorHAnsi" w:hAnsiTheme="minorHAnsi"/>
        </w:rPr>
      </w:pPr>
      <w:r>
        <w:rPr>
          <w:rFonts w:asciiTheme="minorHAnsi" w:hAnsiTheme="minorHAnsi"/>
        </w:rPr>
        <w:t>Balcombe S.R., Arthington A.H., Foster</w:t>
      </w:r>
      <w:r w:rsidRPr="00D36D67">
        <w:rPr>
          <w:rFonts w:asciiTheme="minorHAnsi" w:hAnsiTheme="minorHAnsi"/>
        </w:rPr>
        <w:t xml:space="preserve"> N.D., </w:t>
      </w:r>
      <w:r>
        <w:rPr>
          <w:rFonts w:asciiTheme="minorHAnsi" w:hAnsiTheme="minorHAnsi"/>
        </w:rPr>
        <w:t>Thoms M.C., Wilson G.A. &amp; Bunn</w:t>
      </w:r>
      <w:r w:rsidRPr="00D36D67">
        <w:rPr>
          <w:rFonts w:asciiTheme="minorHAnsi" w:hAnsiTheme="minorHAnsi"/>
        </w:rPr>
        <w:t xml:space="preserve"> S.E. (2006) Fish assemblages of an Australian dryland river: abundance, assemblage structure and recruitment patterns in the Warrego River, Murray–Darling Basin. </w:t>
      </w:r>
      <w:r w:rsidRPr="00D36D67">
        <w:rPr>
          <w:rFonts w:asciiTheme="minorHAnsi" w:hAnsiTheme="minorHAnsi"/>
          <w:i/>
        </w:rPr>
        <w:t>Marine and Freshwater Research</w:t>
      </w:r>
      <w:r>
        <w:rPr>
          <w:rFonts w:asciiTheme="minorHAnsi" w:hAnsiTheme="minorHAnsi"/>
          <w:i/>
        </w:rPr>
        <w:t>,</w:t>
      </w:r>
      <w:r w:rsidRPr="00D36D67">
        <w:rPr>
          <w:rFonts w:asciiTheme="minorHAnsi" w:hAnsiTheme="minorHAnsi"/>
        </w:rPr>
        <w:t xml:space="preserve"> </w:t>
      </w:r>
      <w:r w:rsidRPr="001046EA">
        <w:rPr>
          <w:rFonts w:asciiTheme="minorHAnsi" w:hAnsiTheme="minorHAnsi"/>
          <w:b/>
        </w:rPr>
        <w:t>57</w:t>
      </w:r>
      <w:r w:rsidRPr="00D36D67">
        <w:rPr>
          <w:rFonts w:asciiTheme="minorHAnsi" w:hAnsiTheme="minorHAnsi"/>
        </w:rPr>
        <w:t>, 619–633.</w:t>
      </w:r>
    </w:p>
    <w:p w14:paraId="3B4F9579" w14:textId="77777777" w:rsidR="008E6212" w:rsidRPr="00D36D67" w:rsidRDefault="008E6212" w:rsidP="008E6212">
      <w:pPr>
        <w:spacing w:after="240" w:line="240" w:lineRule="auto"/>
        <w:ind w:left="284" w:hanging="284"/>
        <w:jc w:val="left"/>
        <w:rPr>
          <w:rFonts w:cs="Calibri"/>
          <w:bCs/>
        </w:rPr>
      </w:pPr>
      <w:r w:rsidRPr="00500034">
        <w:rPr>
          <w:rFonts w:cs="Calibri"/>
          <w:bCs/>
        </w:rPr>
        <w:t>Bernot M.J., S</w:t>
      </w:r>
      <w:r>
        <w:rPr>
          <w:rFonts w:cs="Calibri"/>
          <w:bCs/>
        </w:rPr>
        <w:t>obota D.J. &amp;</w:t>
      </w:r>
      <w:r w:rsidRPr="00500034">
        <w:rPr>
          <w:rFonts w:cs="Calibri"/>
          <w:bCs/>
        </w:rPr>
        <w:t xml:space="preserve"> 30 other authors. </w:t>
      </w:r>
      <w:r>
        <w:rPr>
          <w:rFonts w:cs="Calibri"/>
          <w:bCs/>
        </w:rPr>
        <w:t xml:space="preserve">(2010) </w:t>
      </w:r>
      <w:r w:rsidRPr="00500034">
        <w:rPr>
          <w:rFonts w:cs="Calibri"/>
          <w:bCs/>
        </w:rPr>
        <w:t>Inter-regional comparison of land-u</w:t>
      </w:r>
      <w:r>
        <w:rPr>
          <w:rFonts w:cs="Calibri"/>
          <w:bCs/>
        </w:rPr>
        <w:t>se effects on stream metabolism</w:t>
      </w:r>
      <w:r w:rsidRPr="00500034">
        <w:rPr>
          <w:rFonts w:cs="Calibri"/>
          <w:bCs/>
        </w:rPr>
        <w:t xml:space="preserve">, </w:t>
      </w:r>
      <w:r w:rsidRPr="001046EA">
        <w:rPr>
          <w:rFonts w:cs="Calibri"/>
          <w:bCs/>
          <w:i/>
        </w:rPr>
        <w:t>Freshwater Biology</w:t>
      </w:r>
      <w:r w:rsidRPr="00500034">
        <w:rPr>
          <w:rFonts w:cs="Calibri"/>
          <w:bCs/>
        </w:rPr>
        <w:t xml:space="preserve">, </w:t>
      </w:r>
      <w:r w:rsidRPr="00500034">
        <w:rPr>
          <w:rFonts w:cs="Calibri"/>
          <w:b/>
        </w:rPr>
        <w:t>55</w:t>
      </w:r>
      <w:r>
        <w:rPr>
          <w:rFonts w:cs="Calibri"/>
          <w:bCs/>
        </w:rPr>
        <w:t>, 1874–1890.</w:t>
      </w:r>
    </w:p>
    <w:p w14:paraId="3B4F957A" w14:textId="77777777" w:rsidR="008E6212" w:rsidRPr="008B41C9" w:rsidRDefault="008E6212" w:rsidP="008E6212">
      <w:pPr>
        <w:pStyle w:val="EndNoteBibliography"/>
        <w:spacing w:after="240"/>
        <w:ind w:left="284" w:hanging="284"/>
      </w:pPr>
      <w:r>
        <w:t>Bertilsson S. &amp; Bergh</w:t>
      </w:r>
      <w:r w:rsidRPr="008B41C9">
        <w:t xml:space="preserve"> S. (1999) Photochemical reactivity of XAD-4 and XAD-8 adsorbable dissolved organic compounds from humic waters. </w:t>
      </w:r>
      <w:r w:rsidRPr="008B41C9">
        <w:rPr>
          <w:i/>
        </w:rPr>
        <w:t>Chemosphere</w:t>
      </w:r>
      <w:r>
        <w:rPr>
          <w:i/>
        </w:rPr>
        <w:t>,</w:t>
      </w:r>
      <w:r w:rsidRPr="008B41C9">
        <w:t xml:space="preserve"> </w:t>
      </w:r>
      <w:r w:rsidRPr="008B41C9">
        <w:rPr>
          <w:b/>
        </w:rPr>
        <w:t>39</w:t>
      </w:r>
      <w:r w:rsidRPr="008B41C9">
        <w:t>, 2289-2300.</w:t>
      </w:r>
    </w:p>
    <w:p w14:paraId="3B4F957B" w14:textId="77777777" w:rsidR="008E6212" w:rsidRPr="008B41C9" w:rsidRDefault="008E6212" w:rsidP="008E6212">
      <w:pPr>
        <w:pStyle w:val="EndNoteBibliography"/>
        <w:spacing w:after="240" w:line="320" w:lineRule="exact"/>
        <w:ind w:left="284" w:hanging="284"/>
        <w:rPr>
          <w:rFonts w:asciiTheme="minorHAnsi" w:hAnsiTheme="minorHAnsi"/>
        </w:rPr>
      </w:pPr>
      <w:r>
        <w:rPr>
          <w:rFonts w:asciiTheme="minorHAnsi" w:hAnsiTheme="minorHAnsi"/>
        </w:rPr>
        <w:lastRenderedPageBreak/>
        <w:t>Bice C.M., Gehrig S.L., Zampatti B.P., Nicol J.M., Wilson P., Leight S.L. &amp; Narsland</w:t>
      </w:r>
      <w:r w:rsidRPr="008B41C9">
        <w:rPr>
          <w:rFonts w:asciiTheme="minorHAnsi" w:hAnsiTheme="minorHAnsi"/>
        </w:rPr>
        <w:t xml:space="preserve"> K. (2014) Flow-induced alterations to fish assemblages, habitat and fish-habitat associations in a regulated lowland river. </w:t>
      </w:r>
      <w:r w:rsidRPr="008B41C9">
        <w:rPr>
          <w:rFonts w:asciiTheme="minorHAnsi" w:hAnsiTheme="minorHAnsi"/>
          <w:i/>
        </w:rPr>
        <w:t>Hydrobiologia</w:t>
      </w:r>
      <w:r>
        <w:rPr>
          <w:rFonts w:asciiTheme="minorHAnsi" w:hAnsiTheme="minorHAnsi"/>
          <w:i/>
        </w:rPr>
        <w:t>,</w:t>
      </w:r>
      <w:r w:rsidRPr="008B41C9">
        <w:rPr>
          <w:rFonts w:asciiTheme="minorHAnsi" w:hAnsiTheme="minorHAnsi"/>
        </w:rPr>
        <w:t xml:space="preserve"> </w:t>
      </w:r>
      <w:r w:rsidRPr="001046EA">
        <w:rPr>
          <w:rFonts w:asciiTheme="minorHAnsi" w:hAnsiTheme="minorHAnsi"/>
          <w:b/>
        </w:rPr>
        <w:t>722</w:t>
      </w:r>
      <w:r w:rsidRPr="008B41C9">
        <w:rPr>
          <w:rFonts w:asciiTheme="minorHAnsi" w:hAnsiTheme="minorHAnsi"/>
        </w:rPr>
        <w:t>, 205-222.</w:t>
      </w:r>
    </w:p>
    <w:p w14:paraId="3B4F957C" w14:textId="77777777" w:rsidR="008E6212" w:rsidRPr="008B41C9" w:rsidRDefault="008E6212" w:rsidP="008E6212">
      <w:pPr>
        <w:spacing w:after="240" w:line="320" w:lineRule="exact"/>
        <w:ind w:left="284" w:hanging="284"/>
        <w:jc w:val="left"/>
        <w:rPr>
          <w:color w:val="000000" w:themeColor="text1"/>
        </w:rPr>
      </w:pPr>
      <w:r>
        <w:rPr>
          <w:color w:val="000000" w:themeColor="text1"/>
        </w:rPr>
        <w:t>Blom C.W., Voesenek L.A., Banga M., Engelaar</w:t>
      </w:r>
      <w:r w:rsidRPr="008B41C9">
        <w:rPr>
          <w:color w:val="000000" w:themeColor="text1"/>
        </w:rPr>
        <w:t xml:space="preserve"> W.M</w:t>
      </w:r>
      <w:r>
        <w:rPr>
          <w:color w:val="000000" w:themeColor="text1"/>
        </w:rPr>
        <w:t>, Rijnders</w:t>
      </w:r>
      <w:r w:rsidRPr="008B41C9">
        <w:rPr>
          <w:color w:val="000000" w:themeColor="text1"/>
        </w:rPr>
        <w:t xml:space="preserve"> J.H</w:t>
      </w:r>
      <w:r>
        <w:rPr>
          <w:color w:val="000000" w:themeColor="text1"/>
        </w:rPr>
        <w:t>, Vandesteeg H.M. &amp; Visser E.J.</w:t>
      </w:r>
      <w:r w:rsidRPr="008B41C9">
        <w:rPr>
          <w:color w:val="000000" w:themeColor="text1"/>
        </w:rPr>
        <w:t xml:space="preserve"> (1994) Physiological ecology of riverside species - adaptive responses of plants to submergence. </w:t>
      </w:r>
      <w:r w:rsidRPr="008B41C9">
        <w:rPr>
          <w:i/>
          <w:iCs/>
          <w:color w:val="000000" w:themeColor="text1"/>
        </w:rPr>
        <w:t>Annals of Botany</w:t>
      </w:r>
      <w:r>
        <w:rPr>
          <w:i/>
          <w:iCs/>
          <w:color w:val="000000" w:themeColor="text1"/>
        </w:rPr>
        <w:t>,</w:t>
      </w:r>
      <w:r w:rsidRPr="008B41C9">
        <w:rPr>
          <w:i/>
          <w:iCs/>
          <w:color w:val="000000" w:themeColor="text1"/>
        </w:rPr>
        <w:t xml:space="preserve"> </w:t>
      </w:r>
      <w:r w:rsidRPr="001046EA">
        <w:rPr>
          <w:b/>
          <w:color w:val="000000" w:themeColor="text1"/>
        </w:rPr>
        <w:t>74</w:t>
      </w:r>
      <w:r w:rsidRPr="008B41C9">
        <w:rPr>
          <w:color w:val="000000" w:themeColor="text1"/>
        </w:rPr>
        <w:t>, 253-263.</w:t>
      </w:r>
    </w:p>
    <w:p w14:paraId="3B4F957D" w14:textId="77777777" w:rsidR="008E6212" w:rsidRPr="008B41C9" w:rsidRDefault="008E6212" w:rsidP="008E6212">
      <w:pPr>
        <w:spacing w:after="240" w:line="320" w:lineRule="exact"/>
        <w:ind w:left="284" w:hanging="284"/>
        <w:jc w:val="left"/>
        <w:rPr>
          <w:color w:val="000000" w:themeColor="text1"/>
        </w:rPr>
      </w:pPr>
      <w:r>
        <w:rPr>
          <w:color w:val="000000" w:themeColor="text1"/>
        </w:rPr>
        <w:t>Blom C.W</w:t>
      </w:r>
      <w:r w:rsidRPr="008B41C9">
        <w:rPr>
          <w:color w:val="000000" w:themeColor="text1"/>
        </w:rPr>
        <w:t xml:space="preserve">. </w:t>
      </w:r>
      <w:r>
        <w:rPr>
          <w:color w:val="000000" w:themeColor="text1"/>
        </w:rPr>
        <w:t>&amp; Voesenek L.A.</w:t>
      </w:r>
      <w:r w:rsidRPr="008B41C9">
        <w:rPr>
          <w:color w:val="000000" w:themeColor="text1"/>
        </w:rPr>
        <w:t xml:space="preserve"> (1996) Flooding - the survival strategies of plants. </w:t>
      </w:r>
      <w:r w:rsidRPr="008B41C9">
        <w:rPr>
          <w:i/>
          <w:iCs/>
          <w:color w:val="000000" w:themeColor="text1"/>
        </w:rPr>
        <w:t>Trends in Ecology &amp; Evolution</w:t>
      </w:r>
      <w:r>
        <w:rPr>
          <w:i/>
          <w:iCs/>
          <w:color w:val="000000" w:themeColor="text1"/>
        </w:rPr>
        <w:t>,</w:t>
      </w:r>
      <w:r w:rsidRPr="008B41C9">
        <w:rPr>
          <w:i/>
          <w:iCs/>
          <w:color w:val="000000" w:themeColor="text1"/>
        </w:rPr>
        <w:t xml:space="preserve"> </w:t>
      </w:r>
      <w:r w:rsidRPr="001046EA">
        <w:rPr>
          <w:b/>
          <w:color w:val="000000" w:themeColor="text1"/>
        </w:rPr>
        <w:t>11</w:t>
      </w:r>
      <w:r w:rsidRPr="008B41C9">
        <w:rPr>
          <w:color w:val="000000" w:themeColor="text1"/>
        </w:rPr>
        <w:t>, 290-295.</w:t>
      </w:r>
    </w:p>
    <w:p w14:paraId="3B4F957E" w14:textId="77777777" w:rsidR="008E6212" w:rsidRDefault="008E6212" w:rsidP="008E6212">
      <w:pPr>
        <w:autoSpaceDE w:val="0"/>
        <w:autoSpaceDN w:val="0"/>
        <w:adjustRightInd w:val="0"/>
        <w:spacing w:after="240" w:line="320" w:lineRule="exact"/>
        <w:ind w:left="284" w:hanging="284"/>
        <w:jc w:val="left"/>
        <w:rPr>
          <w:color w:val="000000" w:themeColor="text1"/>
        </w:rPr>
      </w:pPr>
      <w:r w:rsidRPr="008B41C9">
        <w:rPr>
          <w:color w:val="000000" w:themeColor="text1"/>
        </w:rPr>
        <w:t xml:space="preserve">Brock M.A. &amp; Casanova M.T. (1997) Plant life at the edges of wetlands; ecological responses to wetting and drying patterns. In: </w:t>
      </w:r>
      <w:r w:rsidRPr="00407AED">
        <w:rPr>
          <w:i/>
          <w:color w:val="000000" w:themeColor="text1"/>
        </w:rPr>
        <w:t>Frontiers in Ecology; Building the Links</w:t>
      </w:r>
      <w:r w:rsidRPr="008B41C9">
        <w:rPr>
          <w:color w:val="000000" w:themeColor="text1"/>
        </w:rPr>
        <w:t xml:space="preserve"> (Eds N. Klomp &amp; I. Lunt), pp. 181–192. Elsevier Science, Oxford.</w:t>
      </w:r>
    </w:p>
    <w:p w14:paraId="3B4F957F" w14:textId="77777777" w:rsidR="008E6212" w:rsidRPr="008B41C9" w:rsidRDefault="008E6212" w:rsidP="008E6212">
      <w:pPr>
        <w:autoSpaceDE w:val="0"/>
        <w:autoSpaceDN w:val="0"/>
        <w:adjustRightInd w:val="0"/>
        <w:spacing w:after="240" w:line="320" w:lineRule="exact"/>
        <w:ind w:left="284" w:hanging="284"/>
        <w:jc w:val="left"/>
        <w:rPr>
          <w:color w:val="000000" w:themeColor="text1"/>
        </w:rPr>
      </w:pPr>
      <w:r w:rsidRPr="003E44F8">
        <w:t xml:space="preserve">Bureau of Meteorology (2016) </w:t>
      </w:r>
      <w:r w:rsidRPr="003E44F8">
        <w:rPr>
          <w:i/>
        </w:rPr>
        <w:t>Special Climate Statement 55- prolonged March heatwave affects many parts of Australia</w:t>
      </w:r>
      <w:r w:rsidRPr="003E44F8">
        <w:t>. Bureau of</w:t>
      </w:r>
      <w:r w:rsidR="00007916">
        <w:t xml:space="preserve"> Meteorology, No. 55, Melbourne</w:t>
      </w:r>
      <w:r w:rsidR="003E44F8" w:rsidRPr="003E44F8">
        <w:t>.</w:t>
      </w:r>
      <w:r w:rsidR="00007916">
        <w:t xml:space="preserve"> </w:t>
      </w:r>
      <w:hyperlink r:id="rId116" w:history="1">
        <w:r w:rsidR="00007916" w:rsidRPr="00E66A14">
          <w:rPr>
            <w:rStyle w:val="Hyperlink"/>
            <w:rFonts w:cs="Arial"/>
          </w:rPr>
          <w:t>http://www.bom.gov.au/climate/current/statements/scs55.pdf</w:t>
        </w:r>
      </w:hyperlink>
    </w:p>
    <w:p w14:paraId="3B4F9580" w14:textId="77777777" w:rsidR="008E6212" w:rsidRPr="008B41C9" w:rsidRDefault="008E6212" w:rsidP="008E6212">
      <w:pPr>
        <w:autoSpaceDE w:val="0"/>
        <w:autoSpaceDN w:val="0"/>
        <w:adjustRightInd w:val="0"/>
        <w:spacing w:after="240" w:line="320" w:lineRule="exact"/>
        <w:ind w:left="284" w:hanging="284"/>
        <w:jc w:val="left"/>
        <w:rPr>
          <w:color w:val="000000" w:themeColor="text1"/>
        </w:rPr>
      </w:pPr>
      <w:r>
        <w:rPr>
          <w:color w:val="000000" w:themeColor="text1"/>
        </w:rPr>
        <w:t>Casanova</w:t>
      </w:r>
      <w:r w:rsidRPr="002A2796">
        <w:rPr>
          <w:color w:val="000000" w:themeColor="text1"/>
        </w:rPr>
        <w:t xml:space="preserve"> M.T. (2011) Using water plant functional groups to investigate environmental water brequirements. </w:t>
      </w:r>
      <w:r w:rsidRPr="002A2796">
        <w:rPr>
          <w:i/>
          <w:color w:val="000000" w:themeColor="text1"/>
        </w:rPr>
        <w:t>Freshwater Biology</w:t>
      </w:r>
      <w:r>
        <w:rPr>
          <w:i/>
          <w:color w:val="000000" w:themeColor="text1"/>
        </w:rPr>
        <w:t>,</w:t>
      </w:r>
      <w:r>
        <w:rPr>
          <w:color w:val="000000" w:themeColor="text1"/>
        </w:rPr>
        <w:t xml:space="preserve"> </w:t>
      </w:r>
      <w:r w:rsidRPr="001046EA">
        <w:rPr>
          <w:b/>
          <w:color w:val="000000" w:themeColor="text1"/>
        </w:rPr>
        <w:t>56</w:t>
      </w:r>
      <w:r>
        <w:rPr>
          <w:color w:val="000000" w:themeColor="text1"/>
        </w:rPr>
        <w:t>, 2637-2652.</w:t>
      </w:r>
    </w:p>
    <w:p w14:paraId="3B4F9581" w14:textId="77777777" w:rsidR="00916C24" w:rsidRDefault="00916C24" w:rsidP="00916C24">
      <w:pPr>
        <w:spacing w:after="240" w:line="320" w:lineRule="exact"/>
        <w:ind w:left="284" w:hanging="284"/>
        <w:jc w:val="left"/>
        <w:rPr>
          <w:rFonts w:asciiTheme="minorHAnsi" w:hAnsiTheme="minorHAnsi"/>
          <w:lang w:eastAsia="en-AU"/>
        </w:rPr>
      </w:pPr>
      <w:r>
        <w:rPr>
          <w:rFonts w:asciiTheme="minorHAnsi" w:hAnsiTheme="minorHAnsi"/>
          <w:lang w:eastAsia="en-AU"/>
        </w:rPr>
        <w:t>Commonwealth Environmental Water Office (2015) Integrated planning for the use, carryover and trade of Commonwealth environmental water: Mid-Murray region 2015-16. Commonwealth Environmental Water Office.</w:t>
      </w:r>
    </w:p>
    <w:p w14:paraId="3B4F9582" w14:textId="77777777" w:rsidR="008E6212" w:rsidRDefault="008E6212" w:rsidP="008E6212">
      <w:pPr>
        <w:pStyle w:val="EndNoteBibliography"/>
        <w:spacing w:after="240" w:line="320" w:lineRule="exact"/>
        <w:ind w:left="284" w:hanging="284"/>
      </w:pPr>
      <w:r>
        <w:t>Cirés S. &amp;</w:t>
      </w:r>
      <w:r w:rsidRPr="00D36D67">
        <w:t xml:space="preserve"> B</w:t>
      </w:r>
      <w:r>
        <w:t>allot</w:t>
      </w:r>
      <w:r w:rsidRPr="00D36D67">
        <w:t xml:space="preserve"> A. (2016) A review of the phylogeny, ecology and toxin production of bloom-forming Aphanizomenon spp. and related species within the Nostocales (cyanobacteria). </w:t>
      </w:r>
      <w:r w:rsidRPr="00D36D67">
        <w:rPr>
          <w:i/>
        </w:rPr>
        <w:t>Harmful Algae</w:t>
      </w:r>
      <w:r>
        <w:rPr>
          <w:i/>
        </w:rPr>
        <w:t>,</w:t>
      </w:r>
      <w:r w:rsidRPr="00D36D67">
        <w:t xml:space="preserve"> </w:t>
      </w:r>
      <w:r w:rsidRPr="00D36D67">
        <w:rPr>
          <w:b/>
        </w:rPr>
        <w:t>54</w:t>
      </w:r>
      <w:r w:rsidRPr="00D36D67">
        <w:t>, 21-43.</w:t>
      </w:r>
    </w:p>
    <w:p w14:paraId="3B4F9583" w14:textId="77777777" w:rsidR="008E6212" w:rsidRPr="008B41C9" w:rsidRDefault="008E6212" w:rsidP="008E6212">
      <w:pPr>
        <w:autoSpaceDE w:val="0"/>
        <w:autoSpaceDN w:val="0"/>
        <w:adjustRightInd w:val="0"/>
        <w:spacing w:after="240" w:line="320" w:lineRule="exact"/>
        <w:ind w:left="284" w:hanging="284"/>
        <w:jc w:val="left"/>
        <w:rPr>
          <w:color w:val="000000" w:themeColor="text1"/>
        </w:rPr>
      </w:pPr>
      <w:r w:rsidRPr="008B41C9">
        <w:rPr>
          <w:color w:val="000000" w:themeColor="text1"/>
        </w:rPr>
        <w:t>Chiew F</w:t>
      </w:r>
      <w:r>
        <w:rPr>
          <w:color w:val="000000" w:themeColor="text1"/>
        </w:rPr>
        <w:t>.</w:t>
      </w:r>
      <w:r w:rsidRPr="008B41C9">
        <w:rPr>
          <w:color w:val="000000" w:themeColor="text1"/>
        </w:rPr>
        <w:t>H</w:t>
      </w:r>
      <w:r>
        <w:rPr>
          <w:color w:val="000000" w:themeColor="text1"/>
        </w:rPr>
        <w:t>.</w:t>
      </w:r>
      <w:r w:rsidRPr="008B41C9">
        <w:rPr>
          <w:color w:val="000000" w:themeColor="text1"/>
        </w:rPr>
        <w:t>, Potter N</w:t>
      </w:r>
      <w:r>
        <w:rPr>
          <w:color w:val="000000" w:themeColor="text1"/>
        </w:rPr>
        <w:t>.</w:t>
      </w:r>
      <w:r w:rsidRPr="008B41C9">
        <w:rPr>
          <w:color w:val="000000" w:themeColor="text1"/>
        </w:rPr>
        <w:t>J</w:t>
      </w:r>
      <w:r>
        <w:rPr>
          <w:color w:val="000000" w:themeColor="text1"/>
        </w:rPr>
        <w:t>.</w:t>
      </w:r>
      <w:r w:rsidRPr="008B41C9">
        <w:rPr>
          <w:color w:val="000000" w:themeColor="text1"/>
        </w:rPr>
        <w:t>, Vaze J</w:t>
      </w:r>
      <w:r>
        <w:rPr>
          <w:color w:val="000000" w:themeColor="text1"/>
        </w:rPr>
        <w:t>. &amp; others</w:t>
      </w:r>
      <w:r w:rsidRPr="008B41C9">
        <w:rPr>
          <w:color w:val="000000" w:themeColor="text1"/>
        </w:rPr>
        <w:t xml:space="preserve">. (2014) Observed hydrologic non-stationarity in far south-eastern Australia: implications for modelling and prediction. </w:t>
      </w:r>
      <w:r w:rsidRPr="008B41C9">
        <w:rPr>
          <w:i/>
          <w:color w:val="000000" w:themeColor="text1"/>
        </w:rPr>
        <w:t>Stochastic Environmental Research Risk Assessment</w:t>
      </w:r>
      <w:r>
        <w:rPr>
          <w:i/>
          <w:color w:val="000000" w:themeColor="text1"/>
        </w:rPr>
        <w:t>,</w:t>
      </w:r>
      <w:r w:rsidRPr="008B41C9">
        <w:rPr>
          <w:i/>
          <w:color w:val="000000" w:themeColor="text1"/>
        </w:rPr>
        <w:t xml:space="preserve"> </w:t>
      </w:r>
      <w:r w:rsidRPr="001046EA">
        <w:rPr>
          <w:b/>
          <w:color w:val="000000" w:themeColor="text1"/>
        </w:rPr>
        <w:t>28</w:t>
      </w:r>
      <w:r w:rsidRPr="008B41C9">
        <w:rPr>
          <w:color w:val="000000" w:themeColor="text1"/>
        </w:rPr>
        <w:t>, 3-15</w:t>
      </w:r>
      <w:r>
        <w:rPr>
          <w:color w:val="000000" w:themeColor="text1"/>
        </w:rPr>
        <w:t>.</w:t>
      </w:r>
    </w:p>
    <w:p w14:paraId="3B4F9584" w14:textId="77777777" w:rsidR="00D07C77" w:rsidRPr="00D07C77" w:rsidRDefault="00D07C77" w:rsidP="00D07C77">
      <w:pPr>
        <w:autoSpaceDE w:val="0"/>
        <w:autoSpaceDN w:val="0"/>
        <w:adjustRightInd w:val="0"/>
        <w:spacing w:after="240" w:line="320" w:lineRule="exact"/>
        <w:ind w:left="284" w:hanging="284"/>
        <w:jc w:val="left"/>
        <w:rPr>
          <w:color w:val="000000" w:themeColor="text1"/>
        </w:rPr>
      </w:pPr>
      <w:r>
        <w:rPr>
          <w:color w:val="000000" w:themeColor="text1"/>
        </w:rPr>
        <w:t xml:space="preserve">Choudhry G.G. (1984) </w:t>
      </w:r>
      <w:r w:rsidRPr="00D07C77">
        <w:rPr>
          <w:color w:val="000000" w:themeColor="text1"/>
        </w:rPr>
        <w:t>Humic Substances-Structural, Photophysical, Photochemical and Free Radical Aspects and Interaction</w:t>
      </w:r>
      <w:r>
        <w:rPr>
          <w:color w:val="000000" w:themeColor="text1"/>
        </w:rPr>
        <w:t>s with Environmental Chemicals.</w:t>
      </w:r>
      <w:r w:rsidRPr="00D07C77">
        <w:rPr>
          <w:color w:val="000000" w:themeColor="text1"/>
        </w:rPr>
        <w:t xml:space="preserve"> (Gordon and Breach Science Publishers: New York) 185pp</w:t>
      </w:r>
    </w:p>
    <w:p w14:paraId="3B4F9585" w14:textId="77777777" w:rsidR="008E6212" w:rsidRDefault="008E6212" w:rsidP="008E6212">
      <w:pPr>
        <w:pStyle w:val="EndNoteBibliography"/>
        <w:spacing w:after="240" w:line="320" w:lineRule="exact"/>
        <w:ind w:left="284" w:hanging="284"/>
        <w:rPr>
          <w:rFonts w:asciiTheme="minorHAnsi" w:hAnsiTheme="minorHAnsi"/>
        </w:rPr>
      </w:pPr>
      <w:r>
        <w:rPr>
          <w:rFonts w:asciiTheme="minorHAnsi" w:hAnsiTheme="minorHAnsi"/>
        </w:rPr>
        <w:t>Crook D.A., O’Mahony D.J. &amp;</w:t>
      </w:r>
      <w:r w:rsidRPr="00D36D67">
        <w:rPr>
          <w:rFonts w:asciiTheme="minorHAnsi" w:hAnsiTheme="minorHAnsi"/>
        </w:rPr>
        <w:t xml:space="preserve"> Sanger, A.C. (2011) Quantitative measurement of calcein fluorescence for non-lethal, field based discrimination of hatchery and wild fish. </w:t>
      </w:r>
      <w:r w:rsidRPr="00D36D67">
        <w:rPr>
          <w:rFonts w:asciiTheme="minorHAnsi" w:hAnsiTheme="minorHAnsi"/>
          <w:i/>
        </w:rPr>
        <w:t>American Fisheries Society Symposium</w:t>
      </w:r>
      <w:r w:rsidRPr="00D36D67">
        <w:rPr>
          <w:rFonts w:asciiTheme="minorHAnsi" w:hAnsiTheme="minorHAnsi"/>
        </w:rPr>
        <w:t>,</w:t>
      </w:r>
      <w:r w:rsidRPr="00175D07">
        <w:rPr>
          <w:rFonts w:asciiTheme="minorHAnsi" w:hAnsiTheme="minorHAnsi"/>
        </w:rPr>
        <w:t xml:space="preserve"> pp. 1-8.</w:t>
      </w:r>
    </w:p>
    <w:p w14:paraId="3B4F9586" w14:textId="77777777" w:rsidR="008E6212" w:rsidRPr="00D36D67" w:rsidRDefault="008E6212" w:rsidP="008E6212">
      <w:pPr>
        <w:pStyle w:val="EndNoteBibliography"/>
        <w:spacing w:after="240" w:line="320" w:lineRule="exact"/>
        <w:ind w:left="284" w:hanging="284"/>
      </w:pPr>
      <w:r>
        <w:t>Fergusson K.M., &amp; Saint</w:t>
      </w:r>
      <w:r w:rsidRPr="00D36D67">
        <w:t xml:space="preserve"> C.P. (2003) Multiplex PCR assay for Cylindrospermopsis raciborskii and cylindrospermopsin-producing cyanobacteria. </w:t>
      </w:r>
      <w:r w:rsidRPr="00D36D67">
        <w:rPr>
          <w:i/>
        </w:rPr>
        <w:t>Environmental Toxicology</w:t>
      </w:r>
      <w:r>
        <w:rPr>
          <w:i/>
        </w:rPr>
        <w:t>,</w:t>
      </w:r>
      <w:r w:rsidRPr="00D36D67">
        <w:t xml:space="preserve"> </w:t>
      </w:r>
      <w:r w:rsidRPr="00D36D67">
        <w:rPr>
          <w:b/>
        </w:rPr>
        <w:t>18</w:t>
      </w:r>
      <w:r w:rsidRPr="00D36D67">
        <w:t>, 120-125.</w:t>
      </w:r>
    </w:p>
    <w:p w14:paraId="3B4F9587" w14:textId="77777777" w:rsidR="008E6212" w:rsidRPr="00D36D67" w:rsidRDefault="008E6212" w:rsidP="008E6212">
      <w:pPr>
        <w:pStyle w:val="EndNoteBibliography"/>
        <w:spacing w:after="240" w:line="320" w:lineRule="exact"/>
        <w:ind w:left="284" w:hanging="284"/>
        <w:rPr>
          <w:rFonts w:cs="Segoe UI"/>
          <w:lang w:eastAsia="en-AU"/>
        </w:rPr>
      </w:pPr>
      <w:r>
        <w:rPr>
          <w:rFonts w:cs="Segoe UI"/>
          <w:lang w:eastAsia="en-AU"/>
        </w:rPr>
        <w:lastRenderedPageBreak/>
        <w:t>Forbes J.P., Watts R.J., Robinson W.A., Baumgartner L.J., Allen</w:t>
      </w:r>
      <w:r w:rsidRPr="00D36D67">
        <w:rPr>
          <w:rFonts w:cs="Segoe UI"/>
          <w:lang w:eastAsia="en-AU"/>
        </w:rPr>
        <w:t xml:space="preserve"> M.S.,</w:t>
      </w:r>
      <w:r>
        <w:rPr>
          <w:rFonts w:cs="Segoe UI"/>
          <w:lang w:eastAsia="en-AU"/>
        </w:rPr>
        <w:t xml:space="preserve"> McGuffie P.L., Cameron M. &amp; Crook</w:t>
      </w:r>
      <w:r w:rsidRPr="00D36D67">
        <w:rPr>
          <w:rFonts w:cs="Segoe UI"/>
          <w:lang w:eastAsia="en-AU"/>
        </w:rPr>
        <w:t xml:space="preserve"> D.A. (2015) System-specific variability in Murray cod and golden perch maturation and growth influences fisheries management options. </w:t>
      </w:r>
      <w:r w:rsidRPr="00D36D67">
        <w:rPr>
          <w:rFonts w:cs="Segoe UI"/>
          <w:i/>
          <w:lang w:eastAsia="en-AU"/>
        </w:rPr>
        <w:t xml:space="preserve">North American Journal of Fisheries Management, </w:t>
      </w:r>
      <w:r w:rsidRPr="001046EA">
        <w:rPr>
          <w:rFonts w:cs="Segoe UI"/>
          <w:b/>
          <w:bCs/>
          <w:lang w:eastAsia="en-AU"/>
        </w:rPr>
        <w:t>35</w:t>
      </w:r>
      <w:r w:rsidRPr="00D36D67">
        <w:rPr>
          <w:rFonts w:cs="Segoe UI"/>
          <w:lang w:eastAsia="en-AU"/>
        </w:rPr>
        <w:t>, 1226-1238.</w:t>
      </w:r>
    </w:p>
    <w:p w14:paraId="3B4F9588" w14:textId="77777777" w:rsidR="008E6212" w:rsidRPr="00D36D67" w:rsidRDefault="008E6212" w:rsidP="008E6212">
      <w:pPr>
        <w:pStyle w:val="EndNoteBibliography"/>
        <w:spacing w:after="240" w:line="320" w:lineRule="exact"/>
        <w:ind w:left="284" w:hanging="284"/>
      </w:pPr>
      <w:r>
        <w:t>Hadwen W.L., Fellows C.S., Westhorpe D.P., Rees G.N., Mitrovic S.M., Taylor B., Baldwin D.S., Silvester</w:t>
      </w:r>
      <w:r w:rsidRPr="00D36D67">
        <w:t xml:space="preserve"> E.</w:t>
      </w:r>
      <w:r>
        <w:t xml:space="preserve"> &amp; Croome</w:t>
      </w:r>
      <w:r w:rsidRPr="00D36D67">
        <w:t xml:space="preserve"> R. (2010) Longitudinal trends in river functioning: patterns of nutrient and carbon processing in three Australian Rivers. </w:t>
      </w:r>
      <w:r w:rsidRPr="00D36D67">
        <w:rPr>
          <w:i/>
        </w:rPr>
        <w:t>River Research and Applications</w:t>
      </w:r>
      <w:r>
        <w:rPr>
          <w:i/>
        </w:rPr>
        <w:t>,</w:t>
      </w:r>
      <w:r w:rsidRPr="00D36D67">
        <w:t xml:space="preserve"> </w:t>
      </w:r>
      <w:r w:rsidRPr="00D36D67">
        <w:rPr>
          <w:b/>
        </w:rPr>
        <w:t>26</w:t>
      </w:r>
      <w:r w:rsidRPr="00D36D67">
        <w:t>, 1129-1152.</w:t>
      </w:r>
    </w:p>
    <w:p w14:paraId="3B4F9589" w14:textId="77777777" w:rsidR="008E6212" w:rsidRPr="00D36D67"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Hale J., Stoffels R., Butcher R., Shackleton M., Brooks S. &amp;</w:t>
      </w:r>
      <w:r w:rsidRPr="00D36D67">
        <w:rPr>
          <w:rFonts w:asciiTheme="minorHAnsi" w:hAnsiTheme="minorHAnsi"/>
          <w:szCs w:val="22"/>
        </w:rPr>
        <w:t xml:space="preserve"> G</w:t>
      </w:r>
      <w:r>
        <w:rPr>
          <w:rFonts w:asciiTheme="minorHAnsi" w:hAnsiTheme="minorHAnsi"/>
          <w:szCs w:val="22"/>
        </w:rPr>
        <w:t>awne</w:t>
      </w:r>
      <w:r w:rsidRPr="00D36D67">
        <w:rPr>
          <w:rFonts w:asciiTheme="minorHAnsi" w:hAnsiTheme="minorHAnsi"/>
          <w:szCs w:val="22"/>
        </w:rPr>
        <w:t xml:space="preserve"> B. (2014) </w:t>
      </w:r>
      <w:r w:rsidRPr="00407AED">
        <w:rPr>
          <w:rFonts w:asciiTheme="minorHAnsi" w:hAnsiTheme="minorHAnsi"/>
          <w:i/>
          <w:szCs w:val="22"/>
        </w:rPr>
        <w:t>Commonwealth Environmental Water Office Long Term Intervention Monitoring Project – Standard Methods.</w:t>
      </w:r>
      <w:r w:rsidRPr="00D36D67">
        <w:rPr>
          <w:rFonts w:asciiTheme="minorHAnsi" w:hAnsiTheme="minorHAnsi"/>
          <w:szCs w:val="22"/>
        </w:rPr>
        <w:t xml:space="preserve"> Final Report prepared for the Commonwealth Environmental Water Office by The Murray-Darling Freshwater Research Centre, MDFRC Publication 29.2/2014, January, 182 pp.</w:t>
      </w:r>
    </w:p>
    <w:p w14:paraId="3B4F958A" w14:textId="77777777" w:rsidR="008E6212" w:rsidRPr="00D36D67" w:rsidRDefault="008E6212" w:rsidP="008E6212">
      <w:pPr>
        <w:pStyle w:val="EndNoteBibliography"/>
        <w:spacing w:after="240" w:line="320" w:lineRule="exact"/>
        <w:ind w:left="284" w:hanging="284"/>
      </w:pPr>
      <w:r>
        <w:t xml:space="preserve">Howitt J.A., Baldwin D.S., Rees G.N., &amp; Hart, </w:t>
      </w:r>
      <w:r w:rsidRPr="00D36D67">
        <w:t xml:space="preserve">B.T. (2008) Photodegradation, interaction with iron oxides and bioavailability of dissolved organic matter from forested floodplain sources. </w:t>
      </w:r>
      <w:r w:rsidRPr="00D36D67">
        <w:rPr>
          <w:i/>
        </w:rPr>
        <w:t>Marine and Freshwater Research</w:t>
      </w:r>
      <w:r>
        <w:rPr>
          <w:i/>
        </w:rPr>
        <w:t>,</w:t>
      </w:r>
      <w:r w:rsidRPr="00D36D67">
        <w:t xml:space="preserve"> </w:t>
      </w:r>
      <w:r w:rsidRPr="00D36D67">
        <w:rPr>
          <w:b/>
        </w:rPr>
        <w:t>59</w:t>
      </w:r>
      <w:r w:rsidRPr="00D36D67">
        <w:t>, 780-791.</w:t>
      </w:r>
    </w:p>
    <w:p w14:paraId="3B4F958B" w14:textId="77777777" w:rsidR="008E6212" w:rsidRPr="00175D07" w:rsidRDefault="008E6212" w:rsidP="008E6212">
      <w:pPr>
        <w:pStyle w:val="EndNoteBibliography"/>
        <w:spacing w:after="240" w:line="320" w:lineRule="exact"/>
        <w:ind w:left="284" w:hanging="284"/>
        <w:rPr>
          <w:rFonts w:asciiTheme="minorHAnsi" w:hAnsiTheme="minorHAnsi"/>
        </w:rPr>
      </w:pPr>
      <w:r>
        <w:rPr>
          <w:rFonts w:asciiTheme="minorHAnsi" w:hAnsiTheme="minorHAnsi"/>
        </w:rPr>
        <w:t>Humphries P., King A.J. &amp; Koehn</w:t>
      </w:r>
      <w:r w:rsidRPr="00175D07">
        <w:rPr>
          <w:rFonts w:asciiTheme="minorHAnsi" w:hAnsiTheme="minorHAnsi"/>
        </w:rPr>
        <w:t xml:space="preserve"> J.D. (1999) Fish, flows and flood plains: links between freshwater fishes and their environment in the Murray-Darling River system, Australia. </w:t>
      </w:r>
      <w:r w:rsidRPr="00175D07">
        <w:rPr>
          <w:rFonts w:asciiTheme="minorHAnsi" w:hAnsiTheme="minorHAnsi"/>
          <w:i/>
        </w:rPr>
        <w:t>Environmental Biology of Fishes,</w:t>
      </w:r>
      <w:r w:rsidRPr="00175D07">
        <w:rPr>
          <w:rFonts w:asciiTheme="minorHAnsi" w:hAnsiTheme="minorHAnsi"/>
        </w:rPr>
        <w:t xml:space="preserve"> </w:t>
      </w:r>
      <w:r w:rsidRPr="001046EA">
        <w:rPr>
          <w:rFonts w:asciiTheme="minorHAnsi" w:hAnsiTheme="minorHAnsi"/>
          <w:b/>
        </w:rPr>
        <w:t>56</w:t>
      </w:r>
      <w:r w:rsidRPr="00175D07">
        <w:rPr>
          <w:rFonts w:asciiTheme="minorHAnsi" w:hAnsiTheme="minorHAnsi"/>
        </w:rPr>
        <w:t>, 129-151.</w:t>
      </w:r>
    </w:p>
    <w:p w14:paraId="3B4F958C" w14:textId="77777777" w:rsidR="008E6212" w:rsidRDefault="008E6212" w:rsidP="008E6212">
      <w:pPr>
        <w:pStyle w:val="EndNoteBibliography"/>
        <w:spacing w:after="240" w:line="320" w:lineRule="exact"/>
        <w:ind w:left="284" w:hanging="284"/>
        <w:rPr>
          <w:rFonts w:asciiTheme="minorHAnsi" w:hAnsiTheme="minorHAnsi" w:cs="Segoe UI"/>
          <w:lang w:eastAsia="en-AU"/>
        </w:rPr>
      </w:pPr>
      <w:r>
        <w:rPr>
          <w:rFonts w:asciiTheme="minorHAnsi" w:hAnsiTheme="minorHAnsi" w:cs="Segoe UI"/>
          <w:lang w:eastAsia="en-AU"/>
        </w:rPr>
        <w:t>Humphries</w:t>
      </w:r>
      <w:r w:rsidRPr="00175D07">
        <w:rPr>
          <w:rFonts w:asciiTheme="minorHAnsi" w:hAnsiTheme="minorHAnsi" w:cs="Segoe UI"/>
          <w:lang w:eastAsia="en-AU"/>
        </w:rPr>
        <w:t xml:space="preserve"> P. (2005) Spawning time and early life history of Murray cod, Maccullochella peelii (Mitchell) in an Australian river</w:t>
      </w:r>
      <w:r w:rsidRPr="00175D07">
        <w:rPr>
          <w:rFonts w:asciiTheme="minorHAnsi" w:hAnsiTheme="minorHAnsi" w:cs="Segoe UI"/>
          <w:i/>
          <w:lang w:eastAsia="en-AU"/>
        </w:rPr>
        <w:t>. Environmental Biology of Fishes</w:t>
      </w:r>
      <w:r>
        <w:rPr>
          <w:rFonts w:asciiTheme="minorHAnsi" w:hAnsiTheme="minorHAnsi" w:cs="Segoe UI"/>
          <w:i/>
          <w:lang w:eastAsia="en-AU"/>
        </w:rPr>
        <w:t>,</w:t>
      </w:r>
      <w:r w:rsidRPr="00175D07">
        <w:rPr>
          <w:rFonts w:asciiTheme="minorHAnsi" w:hAnsiTheme="minorHAnsi" w:cs="Segoe UI"/>
          <w:lang w:eastAsia="en-AU"/>
        </w:rPr>
        <w:t xml:space="preserve"> </w:t>
      </w:r>
      <w:r w:rsidRPr="001046EA">
        <w:rPr>
          <w:rFonts w:asciiTheme="minorHAnsi" w:hAnsiTheme="minorHAnsi" w:cs="Segoe UI"/>
          <w:b/>
          <w:bCs/>
          <w:lang w:eastAsia="en-AU"/>
        </w:rPr>
        <w:t>72</w:t>
      </w:r>
      <w:r w:rsidRPr="00175D07">
        <w:rPr>
          <w:rFonts w:asciiTheme="minorHAnsi" w:hAnsiTheme="minorHAnsi" w:cs="Segoe UI"/>
          <w:lang w:eastAsia="en-AU"/>
        </w:rPr>
        <w:t>, 393-407.</w:t>
      </w:r>
    </w:p>
    <w:p w14:paraId="3B4F958D" w14:textId="77777777" w:rsidR="008E6212" w:rsidRPr="008B41C9" w:rsidRDefault="008E6212" w:rsidP="008E6212">
      <w:pPr>
        <w:spacing w:after="240" w:line="320" w:lineRule="exact"/>
        <w:ind w:left="284" w:hanging="284"/>
        <w:jc w:val="left"/>
        <w:rPr>
          <w:color w:val="000000" w:themeColor="text1"/>
        </w:rPr>
      </w:pPr>
      <w:r>
        <w:rPr>
          <w:color w:val="000000" w:themeColor="text1"/>
        </w:rPr>
        <w:t>Johansson M.E. &amp; Nilsson</w:t>
      </w:r>
      <w:r w:rsidRPr="008B41C9">
        <w:rPr>
          <w:color w:val="000000" w:themeColor="text1"/>
        </w:rPr>
        <w:t xml:space="preserve"> C. (2002) Responses of Riparian Plants to Flooding in Free-Flowing and Regulated Boreal Rivers: an Experimental Study. </w:t>
      </w:r>
      <w:r w:rsidRPr="008B41C9">
        <w:rPr>
          <w:i/>
          <w:iCs/>
          <w:color w:val="000000" w:themeColor="text1"/>
        </w:rPr>
        <w:t>Journal of Applied Ecology</w:t>
      </w:r>
      <w:r>
        <w:rPr>
          <w:i/>
          <w:iCs/>
          <w:color w:val="000000" w:themeColor="text1"/>
        </w:rPr>
        <w:t>,</w:t>
      </w:r>
      <w:r w:rsidRPr="008B41C9">
        <w:rPr>
          <w:i/>
          <w:iCs/>
          <w:color w:val="000000" w:themeColor="text1"/>
        </w:rPr>
        <w:t xml:space="preserve"> </w:t>
      </w:r>
      <w:r w:rsidRPr="001046EA">
        <w:rPr>
          <w:b/>
          <w:color w:val="000000" w:themeColor="text1"/>
        </w:rPr>
        <w:t>39</w:t>
      </w:r>
      <w:r w:rsidRPr="008B41C9">
        <w:rPr>
          <w:color w:val="000000" w:themeColor="text1"/>
        </w:rPr>
        <w:t>, 971-986.</w:t>
      </w:r>
    </w:p>
    <w:p w14:paraId="3B4F958E" w14:textId="77777777" w:rsidR="008E6212" w:rsidRPr="008B41C9"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King A.J., Ward K.A., O'Connor P., Green D., Tonkin Z. &amp; Mahoney J. (2009</w:t>
      </w:r>
      <w:r w:rsidRPr="008B41C9">
        <w:rPr>
          <w:rFonts w:asciiTheme="minorHAnsi" w:hAnsiTheme="minorHAnsi"/>
          <w:szCs w:val="22"/>
        </w:rPr>
        <w:t xml:space="preserve">) Adaptive management of an environmental watering event to enhance native fish spawning and recruitment. </w:t>
      </w:r>
      <w:r w:rsidRPr="008B41C9">
        <w:rPr>
          <w:rFonts w:asciiTheme="minorHAnsi" w:hAnsiTheme="minorHAnsi"/>
          <w:i/>
          <w:szCs w:val="22"/>
        </w:rPr>
        <w:t>Freshwater Biology,</w:t>
      </w:r>
      <w:r w:rsidRPr="008B41C9">
        <w:rPr>
          <w:rFonts w:asciiTheme="minorHAnsi" w:hAnsiTheme="minorHAnsi"/>
          <w:szCs w:val="22"/>
        </w:rPr>
        <w:t xml:space="preserve"> </w:t>
      </w:r>
      <w:r w:rsidRPr="001046EA">
        <w:rPr>
          <w:rFonts w:asciiTheme="minorHAnsi" w:hAnsiTheme="minorHAnsi"/>
          <w:b/>
          <w:szCs w:val="22"/>
        </w:rPr>
        <w:t>55</w:t>
      </w:r>
      <w:r w:rsidRPr="008B41C9">
        <w:rPr>
          <w:rFonts w:asciiTheme="minorHAnsi" w:hAnsiTheme="minorHAnsi"/>
          <w:szCs w:val="22"/>
        </w:rPr>
        <w:t>, 17-31.</w:t>
      </w:r>
    </w:p>
    <w:p w14:paraId="3B4F958F" w14:textId="77777777" w:rsidR="008E6212" w:rsidRPr="008B41C9" w:rsidRDefault="008E6212" w:rsidP="008E6212">
      <w:pPr>
        <w:pStyle w:val="EndNoteBibliography"/>
        <w:spacing w:after="240" w:line="320" w:lineRule="exact"/>
        <w:ind w:left="284" w:hanging="284"/>
        <w:rPr>
          <w:rFonts w:asciiTheme="minorHAnsi" w:hAnsiTheme="minorHAnsi"/>
        </w:rPr>
      </w:pPr>
      <w:r>
        <w:rPr>
          <w:rFonts w:asciiTheme="minorHAnsi" w:hAnsiTheme="minorHAnsi"/>
        </w:rPr>
        <w:t>King A., Humphries P. &amp; McCasker</w:t>
      </w:r>
      <w:r w:rsidRPr="008B41C9">
        <w:rPr>
          <w:rFonts w:asciiTheme="minorHAnsi" w:hAnsiTheme="minorHAnsi"/>
        </w:rPr>
        <w:t xml:space="preserve"> N. (2013) Reproduction and early life history.</w:t>
      </w:r>
      <w:r>
        <w:rPr>
          <w:rFonts w:asciiTheme="minorHAnsi" w:hAnsiTheme="minorHAnsi"/>
        </w:rPr>
        <w:t>In (Eds Humphries P. &amp; Walker K.)</w:t>
      </w:r>
      <w:r w:rsidRPr="008B41C9">
        <w:rPr>
          <w:rFonts w:asciiTheme="minorHAnsi" w:hAnsiTheme="minorHAnsi"/>
        </w:rPr>
        <w:t xml:space="preserve"> </w:t>
      </w:r>
      <w:r w:rsidRPr="008B41C9">
        <w:rPr>
          <w:rFonts w:asciiTheme="minorHAnsi" w:hAnsiTheme="minorHAnsi"/>
          <w:i/>
        </w:rPr>
        <w:t>Ecology of Australian Freshwater Fishes. Melbourne: CSIRO Publishing</w:t>
      </w:r>
      <w:r w:rsidRPr="008B41C9">
        <w:rPr>
          <w:rFonts w:asciiTheme="minorHAnsi" w:hAnsiTheme="minorHAnsi"/>
        </w:rPr>
        <w:t>, 159-193.</w:t>
      </w:r>
    </w:p>
    <w:p w14:paraId="3B4F9590" w14:textId="77777777" w:rsidR="008E6212" w:rsidRPr="008B41C9"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King A.J., Gwinn D.C., Tonkin</w:t>
      </w:r>
      <w:r w:rsidRPr="008B41C9">
        <w:rPr>
          <w:rFonts w:asciiTheme="minorHAnsi" w:hAnsiTheme="minorHAnsi"/>
          <w:szCs w:val="22"/>
        </w:rPr>
        <w:t xml:space="preserve"> Z., Maho</w:t>
      </w:r>
      <w:r>
        <w:rPr>
          <w:rFonts w:asciiTheme="minorHAnsi" w:hAnsiTheme="minorHAnsi"/>
          <w:szCs w:val="22"/>
        </w:rPr>
        <w:t>ney J., Raymond S. &amp;</w:t>
      </w:r>
      <w:r w:rsidRPr="008B41C9">
        <w:rPr>
          <w:rFonts w:asciiTheme="minorHAnsi" w:hAnsiTheme="minorHAnsi"/>
          <w:szCs w:val="22"/>
        </w:rPr>
        <w:t xml:space="preserve"> Beesley, L. (2016) Using abiotic drivers of fish spawning to inform environmental flow management. </w:t>
      </w:r>
      <w:r w:rsidRPr="008B41C9">
        <w:rPr>
          <w:rFonts w:asciiTheme="minorHAnsi" w:hAnsiTheme="minorHAnsi"/>
          <w:i/>
          <w:szCs w:val="22"/>
        </w:rPr>
        <w:t>Journal of Applied Ecology</w:t>
      </w:r>
      <w:r w:rsidRPr="008B41C9">
        <w:rPr>
          <w:rFonts w:asciiTheme="minorHAnsi" w:hAnsiTheme="minorHAnsi"/>
          <w:szCs w:val="22"/>
        </w:rPr>
        <w:t xml:space="preserve">, </w:t>
      </w:r>
      <w:r w:rsidRPr="001046EA">
        <w:rPr>
          <w:rFonts w:asciiTheme="minorHAnsi" w:hAnsiTheme="minorHAnsi"/>
          <w:b/>
          <w:szCs w:val="22"/>
        </w:rPr>
        <w:t>53</w:t>
      </w:r>
      <w:r w:rsidRPr="008B41C9">
        <w:rPr>
          <w:rFonts w:asciiTheme="minorHAnsi" w:hAnsiTheme="minorHAnsi"/>
          <w:szCs w:val="22"/>
        </w:rPr>
        <w:t>, 34-43.</w:t>
      </w:r>
    </w:p>
    <w:p w14:paraId="3B4F9591" w14:textId="77777777" w:rsidR="008E6212" w:rsidRPr="008B41C9" w:rsidRDefault="008E6212" w:rsidP="008E6212">
      <w:pPr>
        <w:spacing w:after="240" w:line="320" w:lineRule="exact"/>
        <w:ind w:left="284" w:hanging="284"/>
        <w:jc w:val="left"/>
        <w:rPr>
          <w:rFonts w:asciiTheme="minorHAnsi" w:hAnsiTheme="minorHAnsi"/>
          <w:szCs w:val="22"/>
        </w:rPr>
      </w:pPr>
      <w:r>
        <w:rPr>
          <w:rFonts w:asciiTheme="minorHAnsi" w:hAnsiTheme="minorHAnsi" w:cs="Segoe UI"/>
          <w:szCs w:val="22"/>
          <w:lang w:eastAsia="en-AU"/>
        </w:rPr>
        <w:lastRenderedPageBreak/>
        <w:t>Koehn J.D., &amp; Harrington</w:t>
      </w:r>
      <w:r w:rsidRPr="008B41C9">
        <w:rPr>
          <w:rFonts w:asciiTheme="minorHAnsi" w:hAnsiTheme="minorHAnsi" w:cs="Segoe UI"/>
          <w:szCs w:val="22"/>
          <w:lang w:eastAsia="en-AU"/>
        </w:rPr>
        <w:t xml:space="preserve"> D. (2006) Environmental conditions and timing for the spawning of Murray cod (</w:t>
      </w:r>
      <w:r w:rsidRPr="008B41C9">
        <w:rPr>
          <w:rFonts w:asciiTheme="minorHAnsi" w:hAnsiTheme="minorHAnsi" w:cs="Segoe UI"/>
          <w:i/>
          <w:szCs w:val="22"/>
          <w:lang w:eastAsia="en-AU"/>
        </w:rPr>
        <w:t>Maccullochella peelii peelii</w:t>
      </w:r>
      <w:r w:rsidRPr="008B41C9">
        <w:rPr>
          <w:rFonts w:asciiTheme="minorHAnsi" w:hAnsiTheme="minorHAnsi" w:cs="Segoe UI"/>
          <w:szCs w:val="22"/>
          <w:lang w:eastAsia="en-AU"/>
        </w:rPr>
        <w:t xml:space="preserve">) and the endangered trout cod </w:t>
      </w:r>
      <w:r w:rsidRPr="008B41C9">
        <w:rPr>
          <w:rFonts w:asciiTheme="minorHAnsi" w:hAnsiTheme="minorHAnsi" w:cs="Segoe UI"/>
          <w:i/>
          <w:szCs w:val="22"/>
          <w:lang w:eastAsia="en-AU"/>
        </w:rPr>
        <w:t>(M. macquariensis</w:t>
      </w:r>
      <w:r w:rsidRPr="008B41C9">
        <w:rPr>
          <w:rFonts w:asciiTheme="minorHAnsi" w:hAnsiTheme="minorHAnsi" w:cs="Segoe UI"/>
          <w:szCs w:val="22"/>
          <w:lang w:eastAsia="en-AU"/>
        </w:rPr>
        <w:t xml:space="preserve">) in southeastern Australian rivers. </w:t>
      </w:r>
      <w:r w:rsidRPr="008B41C9">
        <w:rPr>
          <w:rFonts w:asciiTheme="minorHAnsi" w:hAnsiTheme="minorHAnsi" w:cs="Segoe UI"/>
          <w:i/>
          <w:szCs w:val="22"/>
          <w:lang w:eastAsia="en-AU"/>
        </w:rPr>
        <w:t>River Research and Applications,</w:t>
      </w:r>
      <w:r w:rsidRPr="008B41C9">
        <w:rPr>
          <w:rFonts w:asciiTheme="minorHAnsi" w:hAnsiTheme="minorHAnsi" w:cs="Segoe UI"/>
          <w:szCs w:val="22"/>
          <w:lang w:eastAsia="en-AU"/>
        </w:rPr>
        <w:t xml:space="preserve"> </w:t>
      </w:r>
      <w:r w:rsidRPr="000A05C9">
        <w:rPr>
          <w:rFonts w:asciiTheme="minorHAnsi" w:hAnsiTheme="minorHAnsi" w:cs="Segoe UI"/>
          <w:b/>
          <w:bCs/>
          <w:szCs w:val="22"/>
          <w:lang w:eastAsia="en-AU"/>
        </w:rPr>
        <w:t>22</w:t>
      </w:r>
      <w:r w:rsidRPr="008B41C9">
        <w:rPr>
          <w:rFonts w:asciiTheme="minorHAnsi" w:hAnsiTheme="minorHAnsi" w:cs="Segoe UI"/>
          <w:szCs w:val="22"/>
          <w:lang w:eastAsia="en-AU"/>
        </w:rPr>
        <w:t>, 327-342.</w:t>
      </w:r>
    </w:p>
    <w:p w14:paraId="3B4F9592" w14:textId="77777777" w:rsidR="008E6212" w:rsidRPr="008B41C9"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Koster W.M., Dawson D.R., O’Mahony D.J., Moloney P. &amp; Crook</w:t>
      </w:r>
      <w:r w:rsidRPr="008B41C9">
        <w:rPr>
          <w:rFonts w:asciiTheme="minorHAnsi" w:hAnsiTheme="minorHAnsi"/>
          <w:szCs w:val="22"/>
        </w:rPr>
        <w:t xml:space="preserve"> D.A. (2014) Timing, Frequency and Environmental Conditions Associated with Mainstem–Tributary Movement by a Lowland River Fish, Golden Perch (Macquaria ambigua</w:t>
      </w:r>
      <w:r w:rsidRPr="008B41C9">
        <w:rPr>
          <w:rFonts w:asciiTheme="minorHAnsi" w:hAnsiTheme="minorHAnsi"/>
          <w:i/>
          <w:szCs w:val="22"/>
        </w:rPr>
        <w:t>). PLoS ONE,</w:t>
      </w:r>
      <w:r w:rsidRPr="008B41C9">
        <w:rPr>
          <w:rFonts w:asciiTheme="minorHAnsi" w:hAnsiTheme="minorHAnsi"/>
          <w:szCs w:val="22"/>
        </w:rPr>
        <w:t xml:space="preserve"> </w:t>
      </w:r>
      <w:r w:rsidRPr="000A05C9">
        <w:rPr>
          <w:rFonts w:asciiTheme="minorHAnsi" w:hAnsiTheme="minorHAnsi"/>
          <w:b/>
          <w:szCs w:val="22"/>
        </w:rPr>
        <w:t>9</w:t>
      </w:r>
      <w:r w:rsidRPr="008B41C9">
        <w:rPr>
          <w:rFonts w:asciiTheme="minorHAnsi" w:hAnsiTheme="minorHAnsi"/>
          <w:szCs w:val="22"/>
        </w:rPr>
        <w:t>, e96044.</w:t>
      </w:r>
    </w:p>
    <w:p w14:paraId="3B4F9593" w14:textId="77777777" w:rsidR="008E6212" w:rsidRPr="008B41C9"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Lintermans</w:t>
      </w:r>
      <w:r w:rsidRPr="008B41C9">
        <w:rPr>
          <w:rFonts w:asciiTheme="minorHAnsi" w:hAnsiTheme="minorHAnsi"/>
          <w:szCs w:val="22"/>
        </w:rPr>
        <w:t xml:space="preserve"> M. (2007) </w:t>
      </w:r>
      <w:r w:rsidRPr="00407AED">
        <w:rPr>
          <w:rFonts w:asciiTheme="minorHAnsi" w:hAnsiTheme="minorHAnsi"/>
          <w:i/>
          <w:szCs w:val="22"/>
        </w:rPr>
        <w:t>Fishes of the Murray-Darling Basin: an introductory guide</w:t>
      </w:r>
      <w:r w:rsidRPr="008B41C9">
        <w:rPr>
          <w:rFonts w:asciiTheme="minorHAnsi" w:hAnsiTheme="minorHAnsi"/>
          <w:szCs w:val="22"/>
        </w:rPr>
        <w:t>. Murray-Darling Basin Commission, Canberra.</w:t>
      </w:r>
    </w:p>
    <w:p w14:paraId="3B4F9594" w14:textId="77777777" w:rsidR="008E6212" w:rsidRPr="008B41C9" w:rsidRDefault="008E6212" w:rsidP="008E6212">
      <w:pPr>
        <w:tabs>
          <w:tab w:val="left" w:pos="0"/>
        </w:tabs>
        <w:spacing w:after="240" w:line="320" w:lineRule="exact"/>
        <w:ind w:left="284" w:hanging="284"/>
        <w:jc w:val="left"/>
        <w:rPr>
          <w:rFonts w:cs="Calibri"/>
          <w:color w:val="000000" w:themeColor="text1"/>
        </w:rPr>
      </w:pPr>
      <w:r>
        <w:rPr>
          <w:rFonts w:cs="Calibri"/>
          <w:color w:val="000000" w:themeColor="text1"/>
        </w:rPr>
        <w:t>Lowe B.J., Watts R.J., Roberts J. &amp;</w:t>
      </w:r>
      <w:r w:rsidRPr="008B41C9">
        <w:rPr>
          <w:rFonts w:cs="Calibri"/>
          <w:color w:val="000000" w:themeColor="text1"/>
        </w:rPr>
        <w:t xml:space="preserve"> Robertson, A. </w:t>
      </w:r>
      <w:r>
        <w:rPr>
          <w:rFonts w:cs="Calibri"/>
          <w:color w:val="000000" w:themeColor="text1"/>
        </w:rPr>
        <w:t>(2010)</w:t>
      </w:r>
      <w:r w:rsidRPr="008B41C9">
        <w:rPr>
          <w:rFonts w:cs="Calibri"/>
          <w:color w:val="000000" w:themeColor="text1"/>
        </w:rPr>
        <w:t xml:space="preserve"> The effect of experimental inundation and sediment deposition on the survival and growth of two herbaceous riverbank plant species. </w:t>
      </w:r>
      <w:r w:rsidRPr="008B41C9">
        <w:rPr>
          <w:rFonts w:cs="Calibri"/>
          <w:i/>
          <w:color w:val="000000" w:themeColor="text1"/>
        </w:rPr>
        <w:t>Plant Ecology</w:t>
      </w:r>
      <w:r>
        <w:rPr>
          <w:rFonts w:cs="Calibri"/>
          <w:i/>
          <w:color w:val="000000" w:themeColor="text1"/>
        </w:rPr>
        <w:t>,</w:t>
      </w:r>
      <w:r w:rsidRPr="008B41C9">
        <w:rPr>
          <w:rFonts w:cs="Calibri"/>
          <w:i/>
          <w:color w:val="000000" w:themeColor="text1"/>
        </w:rPr>
        <w:t xml:space="preserve"> </w:t>
      </w:r>
      <w:r w:rsidRPr="000A05C9">
        <w:rPr>
          <w:rFonts w:cs="Calibri"/>
          <w:b/>
          <w:color w:val="000000" w:themeColor="text1"/>
        </w:rPr>
        <w:t>209</w:t>
      </w:r>
      <w:r w:rsidRPr="008B41C9">
        <w:rPr>
          <w:rFonts w:cs="Calibri"/>
          <w:color w:val="000000" w:themeColor="text1"/>
        </w:rPr>
        <w:t>, 57-69.</w:t>
      </w:r>
    </w:p>
    <w:p w14:paraId="3B4F9595" w14:textId="77777777" w:rsidR="008E6212" w:rsidRPr="00D36D67"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Lyon J., Stuart I., Ramsey</w:t>
      </w:r>
      <w:r w:rsidRPr="00D36D67">
        <w:rPr>
          <w:rFonts w:asciiTheme="minorHAnsi" w:hAnsiTheme="minorHAnsi"/>
          <w:szCs w:val="22"/>
        </w:rPr>
        <w:t xml:space="preserve"> D. </w:t>
      </w:r>
      <w:r>
        <w:rPr>
          <w:rFonts w:asciiTheme="minorHAnsi" w:hAnsiTheme="minorHAnsi"/>
          <w:szCs w:val="22"/>
        </w:rPr>
        <w:t xml:space="preserve">&amp; O'Mahony </w:t>
      </w:r>
      <w:r w:rsidRPr="00D36D67">
        <w:rPr>
          <w:rFonts w:asciiTheme="minorHAnsi" w:hAnsiTheme="minorHAnsi"/>
          <w:szCs w:val="22"/>
        </w:rPr>
        <w:t xml:space="preserve">J. (2010) The effect of water level on lateral movements of fish between river and off-channel habitats and implications for management. </w:t>
      </w:r>
      <w:r w:rsidRPr="00D36D67">
        <w:rPr>
          <w:rFonts w:asciiTheme="minorHAnsi" w:hAnsiTheme="minorHAnsi"/>
          <w:i/>
          <w:szCs w:val="22"/>
        </w:rPr>
        <w:t>Marine and Freshwater Research</w:t>
      </w:r>
      <w:r w:rsidRPr="00D36D67">
        <w:rPr>
          <w:rFonts w:asciiTheme="minorHAnsi" w:hAnsiTheme="minorHAnsi"/>
          <w:szCs w:val="22"/>
        </w:rPr>
        <w:t xml:space="preserve">, </w:t>
      </w:r>
      <w:r w:rsidRPr="000A05C9">
        <w:rPr>
          <w:rFonts w:asciiTheme="minorHAnsi" w:hAnsiTheme="minorHAnsi"/>
          <w:b/>
          <w:szCs w:val="22"/>
        </w:rPr>
        <w:t>61</w:t>
      </w:r>
      <w:r w:rsidRPr="00D36D67">
        <w:rPr>
          <w:rFonts w:asciiTheme="minorHAnsi" w:hAnsiTheme="minorHAnsi"/>
          <w:szCs w:val="22"/>
        </w:rPr>
        <w:t>, 271-278.</w:t>
      </w:r>
    </w:p>
    <w:p w14:paraId="3B4F9596" w14:textId="77777777" w:rsidR="008E6212" w:rsidRPr="00D36D67" w:rsidRDefault="008E6212" w:rsidP="008E6212">
      <w:pPr>
        <w:pStyle w:val="EndNoteBibliography"/>
        <w:spacing w:after="240" w:line="320" w:lineRule="exact"/>
        <w:ind w:left="284" w:hanging="284"/>
      </w:pPr>
      <w:r>
        <w:t>Maier H.R., Burch M.D.</w:t>
      </w:r>
      <w:r w:rsidRPr="00D36D67">
        <w:t xml:space="preserve"> </w:t>
      </w:r>
      <w:r>
        <w:t>&amp; Bormans</w:t>
      </w:r>
      <w:r w:rsidRPr="00D36D67">
        <w:t xml:space="preserve"> M. (2001) Flow management strategies to control blooms of the cyanobacterium, Anabaena circinalis, in the River Murray at Morgan, South Australia. </w:t>
      </w:r>
      <w:r w:rsidRPr="00D36D67">
        <w:rPr>
          <w:i/>
        </w:rPr>
        <w:t>Regulated Rivers: Research &amp; Management</w:t>
      </w:r>
      <w:r>
        <w:rPr>
          <w:i/>
        </w:rPr>
        <w:t>,</w:t>
      </w:r>
      <w:r w:rsidRPr="00D36D67">
        <w:t xml:space="preserve"> </w:t>
      </w:r>
      <w:r w:rsidRPr="00D36D67">
        <w:rPr>
          <w:b/>
        </w:rPr>
        <w:t>17</w:t>
      </w:r>
      <w:r w:rsidRPr="00D36D67">
        <w:t>, 637-650.</w:t>
      </w:r>
    </w:p>
    <w:p w14:paraId="3B4F9597" w14:textId="77777777" w:rsidR="008E6212" w:rsidRPr="00D36D67" w:rsidRDefault="008E6212" w:rsidP="008E6212">
      <w:pPr>
        <w:pStyle w:val="EndNoteBibliography"/>
        <w:spacing w:after="240" w:line="320" w:lineRule="exact"/>
        <w:ind w:left="284" w:hanging="284"/>
      </w:pPr>
      <w:r>
        <w:t>Maier H.R. &amp; Dandy</w:t>
      </w:r>
      <w:r w:rsidRPr="00D36D67">
        <w:t xml:space="preserve"> G.C. (1997) 11th Biennial Conference on Modelling and SimulationModelling cyanobacteria (blue-green algae) in the River Murray using artificial neural networks. </w:t>
      </w:r>
      <w:r w:rsidRPr="00D36D67">
        <w:rPr>
          <w:i/>
        </w:rPr>
        <w:t>Mathematics and Computers in Simulation</w:t>
      </w:r>
      <w:r>
        <w:rPr>
          <w:i/>
        </w:rPr>
        <w:t>,</w:t>
      </w:r>
      <w:r w:rsidRPr="00D36D67">
        <w:t xml:space="preserve"> </w:t>
      </w:r>
      <w:r w:rsidRPr="00D36D67">
        <w:rPr>
          <w:b/>
        </w:rPr>
        <w:t>43</w:t>
      </w:r>
      <w:r w:rsidRPr="00D36D67">
        <w:t>, 377-386.</w:t>
      </w:r>
    </w:p>
    <w:p w14:paraId="3B4F9598" w14:textId="77777777" w:rsidR="008E6212" w:rsidRDefault="008E6212" w:rsidP="008E6212">
      <w:pPr>
        <w:pStyle w:val="EndNoteBibliography"/>
        <w:spacing w:after="240" w:line="320" w:lineRule="exact"/>
        <w:ind w:left="284" w:hanging="284"/>
        <w:rPr>
          <w:rFonts w:asciiTheme="minorHAnsi" w:hAnsiTheme="minorHAnsi"/>
        </w:rPr>
      </w:pPr>
      <w:r>
        <w:rPr>
          <w:rFonts w:asciiTheme="minorHAnsi" w:hAnsiTheme="minorHAnsi"/>
        </w:rPr>
        <w:t>Mallen‐Cooper, M. &amp; Stuart</w:t>
      </w:r>
      <w:r w:rsidRPr="00D36D67">
        <w:rPr>
          <w:rFonts w:asciiTheme="minorHAnsi" w:hAnsiTheme="minorHAnsi"/>
        </w:rPr>
        <w:t xml:space="preserve"> I. (2003) Age, growth and non‐flood recruitment of two potamodromous fishes in a large semi‐arid/temperate river system. </w:t>
      </w:r>
      <w:r w:rsidRPr="00D36D67">
        <w:rPr>
          <w:rFonts w:asciiTheme="minorHAnsi" w:hAnsiTheme="minorHAnsi"/>
          <w:i/>
        </w:rPr>
        <w:t>River Research and Applications,</w:t>
      </w:r>
      <w:r w:rsidRPr="00D36D67">
        <w:rPr>
          <w:rFonts w:asciiTheme="minorHAnsi" w:hAnsiTheme="minorHAnsi"/>
        </w:rPr>
        <w:t xml:space="preserve"> </w:t>
      </w:r>
      <w:r w:rsidRPr="000A05C9">
        <w:rPr>
          <w:rFonts w:asciiTheme="minorHAnsi" w:hAnsiTheme="minorHAnsi"/>
          <w:b/>
        </w:rPr>
        <w:t>19</w:t>
      </w:r>
      <w:r w:rsidRPr="00D36D67">
        <w:rPr>
          <w:rFonts w:asciiTheme="minorHAnsi" w:hAnsiTheme="minorHAnsi"/>
        </w:rPr>
        <w:t>, 697-719.</w:t>
      </w:r>
    </w:p>
    <w:p w14:paraId="3B4F9599" w14:textId="77777777" w:rsidR="008E6212" w:rsidRPr="00D36D67" w:rsidRDefault="008E6212" w:rsidP="008E6212">
      <w:pPr>
        <w:spacing w:after="240" w:line="320" w:lineRule="exact"/>
        <w:ind w:left="284" w:hanging="284"/>
        <w:jc w:val="left"/>
      </w:pPr>
      <w:r w:rsidRPr="008F6594">
        <w:t>Marcarelli A.M., Baxter C.</w:t>
      </w:r>
      <w:r w:rsidRPr="006C3E6B">
        <w:t xml:space="preserve">V., </w:t>
      </w:r>
      <w:r>
        <w:t>M</w:t>
      </w:r>
      <w:r w:rsidRPr="006C3E6B">
        <w:t>ineau M.</w:t>
      </w:r>
      <w:r>
        <w:t xml:space="preserve">M. &amp; Hall R.O. Jr. </w:t>
      </w:r>
      <w:r w:rsidRPr="008F6594">
        <w:t xml:space="preserve"> </w:t>
      </w:r>
      <w:r>
        <w:t>(</w:t>
      </w:r>
      <w:r w:rsidRPr="008F6594">
        <w:t>2011</w:t>
      </w:r>
      <w:r>
        <w:t>)</w:t>
      </w:r>
      <w:r w:rsidRPr="008F6594">
        <w:t xml:space="preserve"> </w:t>
      </w:r>
      <w:r>
        <w:t xml:space="preserve">Quantity and quality: unifying food web and ecosystem perspectives on the role of resource subsidies in freshwaters. </w:t>
      </w:r>
      <w:r w:rsidRPr="00407AED">
        <w:rPr>
          <w:i/>
        </w:rPr>
        <w:t>Ecology</w:t>
      </w:r>
      <w:r w:rsidRPr="008F6594">
        <w:t xml:space="preserve">, </w:t>
      </w:r>
      <w:r w:rsidRPr="006C3E6B">
        <w:rPr>
          <w:b/>
          <w:bCs/>
        </w:rPr>
        <w:t>92</w:t>
      </w:r>
      <w:r>
        <w:t xml:space="preserve">, </w:t>
      </w:r>
      <w:r w:rsidRPr="008F6594">
        <w:t>1215–1225</w:t>
      </w:r>
      <w:r>
        <w:t xml:space="preserve">. </w:t>
      </w:r>
    </w:p>
    <w:p w14:paraId="3B4F959A" w14:textId="77777777" w:rsidR="008E6212" w:rsidRPr="00D36D67" w:rsidRDefault="008E6212" w:rsidP="008E6212">
      <w:pPr>
        <w:pStyle w:val="EndNoteBibliography"/>
        <w:spacing w:after="240" w:line="320" w:lineRule="exact"/>
        <w:ind w:left="284" w:hanging="284"/>
      </w:pPr>
      <w:r>
        <w:t>Moran M.A.</w:t>
      </w:r>
      <w:r w:rsidRPr="00D36D67">
        <w:t xml:space="preserve"> </w:t>
      </w:r>
      <w:r>
        <w:t>&amp; Hodson</w:t>
      </w:r>
      <w:r w:rsidRPr="00D36D67">
        <w:t xml:space="preserve"> R.E. (1990) Bacterial production on humic and nonhumic components of dissolved organic carbon. </w:t>
      </w:r>
      <w:r w:rsidRPr="00D36D67">
        <w:rPr>
          <w:i/>
        </w:rPr>
        <w:t>Limnology and Oceanography</w:t>
      </w:r>
      <w:r>
        <w:rPr>
          <w:i/>
        </w:rPr>
        <w:t>,</w:t>
      </w:r>
      <w:r w:rsidRPr="00D36D67">
        <w:t xml:space="preserve"> </w:t>
      </w:r>
      <w:r w:rsidRPr="00D36D67">
        <w:rPr>
          <w:b/>
        </w:rPr>
        <w:t>35</w:t>
      </w:r>
      <w:r w:rsidRPr="00D36D67">
        <w:t>, 1744-1756.</w:t>
      </w:r>
    </w:p>
    <w:p w14:paraId="3B4F959B" w14:textId="77777777" w:rsidR="008E6212" w:rsidRDefault="008E6212" w:rsidP="008E6212">
      <w:pPr>
        <w:pStyle w:val="EndNoteBibliography"/>
        <w:spacing w:after="240" w:line="320" w:lineRule="exact"/>
        <w:ind w:left="284" w:hanging="284"/>
      </w:pPr>
      <w:r>
        <w:t>Moran M.A. &amp; Zepp</w:t>
      </w:r>
      <w:r w:rsidRPr="00D36D67">
        <w:t xml:space="preserve"> R.G. (1997) Role of photoreactions in the formation of biologically labile compounds from dissolved organic matter. </w:t>
      </w:r>
      <w:r w:rsidRPr="00D36D67">
        <w:rPr>
          <w:i/>
        </w:rPr>
        <w:t>Limnology and Oceanography</w:t>
      </w:r>
      <w:r>
        <w:rPr>
          <w:i/>
        </w:rPr>
        <w:t>,</w:t>
      </w:r>
      <w:r w:rsidRPr="00D36D67">
        <w:t xml:space="preserve"> </w:t>
      </w:r>
      <w:r w:rsidRPr="00D36D67">
        <w:rPr>
          <w:b/>
        </w:rPr>
        <w:t>42</w:t>
      </w:r>
      <w:r w:rsidRPr="00D36D67">
        <w:t>, 1307-1316.</w:t>
      </w:r>
    </w:p>
    <w:p w14:paraId="3B4F959C" w14:textId="77777777" w:rsidR="008E6212" w:rsidRPr="008B41C9" w:rsidRDefault="008E6212" w:rsidP="008E6212">
      <w:pPr>
        <w:spacing w:after="240" w:line="320" w:lineRule="exact"/>
        <w:ind w:left="284" w:hanging="284"/>
        <w:jc w:val="left"/>
        <w:rPr>
          <w:color w:val="000000" w:themeColor="text1"/>
        </w:rPr>
      </w:pPr>
      <w:r w:rsidRPr="008B41C9">
        <w:rPr>
          <w:color w:val="000000" w:themeColor="text1"/>
        </w:rPr>
        <w:lastRenderedPageBreak/>
        <w:t xml:space="preserve">Nicol J. (2004) </w:t>
      </w:r>
      <w:r w:rsidRPr="00407AED">
        <w:rPr>
          <w:i/>
          <w:color w:val="000000" w:themeColor="text1"/>
        </w:rPr>
        <w:t>Vegetation Dynamics of the Menindee Lakes with Reference to the Seed Bank</w:t>
      </w:r>
      <w:r w:rsidRPr="008B41C9">
        <w:rPr>
          <w:color w:val="000000" w:themeColor="text1"/>
        </w:rPr>
        <w:t>. PhD Thesis. The Univ</w:t>
      </w:r>
      <w:r>
        <w:rPr>
          <w:color w:val="000000" w:themeColor="text1"/>
        </w:rPr>
        <w:t>ersity of Adelaide, Adelaide, South Australia</w:t>
      </w:r>
      <w:r w:rsidRPr="008B41C9">
        <w:rPr>
          <w:color w:val="000000" w:themeColor="text1"/>
        </w:rPr>
        <w:t>.</w:t>
      </w:r>
    </w:p>
    <w:p w14:paraId="3B4F959D" w14:textId="77777777" w:rsidR="008E6212" w:rsidRPr="00D36D67" w:rsidRDefault="008E6212" w:rsidP="008E6212">
      <w:pPr>
        <w:pStyle w:val="EndNoteBibliography"/>
        <w:spacing w:after="240" w:line="320" w:lineRule="exact"/>
        <w:ind w:left="284" w:hanging="284"/>
      </w:pPr>
      <w:r>
        <w:t>O'Connell M., Baldwin D.S., Robertson A.I. &amp;</w:t>
      </w:r>
      <w:r w:rsidRPr="00D36D67">
        <w:t xml:space="preserve"> Rees, G. (2000) Release and bioavailability of dissolved organic matter from floodplain litter: influence of origin and oxygen levels. </w:t>
      </w:r>
      <w:r w:rsidRPr="00D36D67">
        <w:rPr>
          <w:i/>
        </w:rPr>
        <w:t>Freshwater Biology</w:t>
      </w:r>
      <w:r>
        <w:rPr>
          <w:i/>
        </w:rPr>
        <w:t>,</w:t>
      </w:r>
      <w:r w:rsidRPr="00D36D67">
        <w:t xml:space="preserve"> </w:t>
      </w:r>
      <w:r w:rsidRPr="00D36D67">
        <w:rPr>
          <w:b/>
        </w:rPr>
        <w:t>45</w:t>
      </w:r>
      <w:r w:rsidRPr="00D36D67">
        <w:t>, 333-342.</w:t>
      </w:r>
    </w:p>
    <w:p w14:paraId="3B4F959E" w14:textId="77777777" w:rsidR="008E6212" w:rsidRPr="00D36D67"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 xml:space="preserve">O'Connor J.P., O'Mahony D.J. &amp; O'Mahony </w:t>
      </w:r>
      <w:r w:rsidRPr="00D36D67">
        <w:rPr>
          <w:rFonts w:asciiTheme="minorHAnsi" w:hAnsiTheme="minorHAnsi"/>
          <w:szCs w:val="22"/>
        </w:rPr>
        <w:t>J.M. (2005) Movements of Macquaria ambigua, in the Murray River, south</w:t>
      </w:r>
      <w:r w:rsidRPr="00D36D67">
        <w:rPr>
          <w:rFonts w:asciiTheme="minorHAnsi" w:hAnsiTheme="minorHAnsi" w:cs="Cambria Math"/>
          <w:szCs w:val="22"/>
        </w:rPr>
        <w:t>‐</w:t>
      </w:r>
      <w:r w:rsidRPr="00D36D67">
        <w:rPr>
          <w:rFonts w:asciiTheme="minorHAnsi" w:hAnsiTheme="minorHAnsi"/>
          <w:szCs w:val="22"/>
        </w:rPr>
        <w:t xml:space="preserve">eastern Australia. </w:t>
      </w:r>
      <w:r w:rsidRPr="00D36D67">
        <w:rPr>
          <w:rFonts w:asciiTheme="minorHAnsi" w:hAnsiTheme="minorHAnsi"/>
          <w:i/>
          <w:szCs w:val="22"/>
        </w:rPr>
        <w:t>Journal of Fish Biology</w:t>
      </w:r>
      <w:r w:rsidRPr="00D36D67">
        <w:rPr>
          <w:rFonts w:asciiTheme="minorHAnsi" w:hAnsiTheme="minorHAnsi"/>
          <w:szCs w:val="22"/>
        </w:rPr>
        <w:t xml:space="preserve">, </w:t>
      </w:r>
      <w:r w:rsidRPr="000A05C9">
        <w:rPr>
          <w:rFonts w:asciiTheme="minorHAnsi" w:hAnsiTheme="minorHAnsi"/>
          <w:b/>
          <w:szCs w:val="22"/>
        </w:rPr>
        <w:t>66</w:t>
      </w:r>
      <w:r w:rsidRPr="00D36D67">
        <w:rPr>
          <w:rFonts w:asciiTheme="minorHAnsi" w:hAnsiTheme="minorHAnsi"/>
          <w:szCs w:val="22"/>
        </w:rPr>
        <w:t>, 392-403.</w:t>
      </w:r>
    </w:p>
    <w:p w14:paraId="3B4F959F" w14:textId="77777777" w:rsidR="008E6212" w:rsidRPr="00D36D67" w:rsidRDefault="008E6212" w:rsidP="008E6212">
      <w:pPr>
        <w:spacing w:after="240" w:line="320" w:lineRule="exact"/>
        <w:ind w:left="284" w:hanging="284"/>
        <w:jc w:val="left"/>
        <w:rPr>
          <w:rFonts w:asciiTheme="minorHAnsi" w:hAnsiTheme="minorHAnsi"/>
          <w:szCs w:val="22"/>
        </w:rPr>
      </w:pPr>
      <w:r w:rsidRPr="00D36D67">
        <w:rPr>
          <w:rFonts w:asciiTheme="minorHAnsi" w:hAnsiTheme="minorHAnsi"/>
          <w:szCs w:val="22"/>
        </w:rPr>
        <w:t xml:space="preserve">Ogle D.H. (2015) FSA: Fisheries Stock Analysis. R package version 0.7.7 [Cited 25 November 2015.] Available from URL: </w:t>
      </w:r>
      <w:hyperlink r:id="rId117" w:history="1">
        <w:r w:rsidRPr="00663A45">
          <w:rPr>
            <w:rStyle w:val="Hyperlink"/>
            <w:rFonts w:asciiTheme="minorHAnsi" w:hAnsiTheme="minorHAnsi"/>
            <w:szCs w:val="22"/>
          </w:rPr>
          <w:t>https://www.rforge.net/FSA/</w:t>
        </w:r>
      </w:hyperlink>
      <w:r>
        <w:rPr>
          <w:rFonts w:asciiTheme="minorHAnsi" w:hAnsiTheme="minorHAnsi"/>
          <w:szCs w:val="22"/>
        </w:rPr>
        <w:t xml:space="preserve"> </w:t>
      </w:r>
    </w:p>
    <w:p w14:paraId="3B4F95A0" w14:textId="77777777" w:rsidR="008E6212" w:rsidRPr="00D36D67" w:rsidRDefault="008E6212" w:rsidP="008E6212">
      <w:pPr>
        <w:pStyle w:val="EndNoteBibliography"/>
        <w:spacing w:after="240" w:line="320" w:lineRule="exact"/>
        <w:ind w:left="284" w:hanging="284"/>
        <w:rPr>
          <w:rFonts w:asciiTheme="minorHAnsi" w:hAnsiTheme="minorHAnsi"/>
        </w:rPr>
      </w:pPr>
      <w:r>
        <w:rPr>
          <w:rFonts w:asciiTheme="minorHAnsi" w:hAnsiTheme="minorHAnsi"/>
        </w:rPr>
        <w:t>Pepin P., Robert D., Bouchard C., Dower</w:t>
      </w:r>
      <w:r w:rsidRPr="00D36D67">
        <w:rPr>
          <w:rFonts w:asciiTheme="minorHAnsi" w:hAnsiTheme="minorHAnsi"/>
        </w:rPr>
        <w:t xml:space="preserve"> J.F., Fa</w:t>
      </w:r>
      <w:r>
        <w:rPr>
          <w:rFonts w:asciiTheme="minorHAnsi" w:hAnsiTheme="minorHAnsi"/>
        </w:rPr>
        <w:t>lardeau M., Fortier L., Jenkins G.P., Leclerc V., Levesque K. &amp; Llopiz</w:t>
      </w:r>
      <w:r w:rsidRPr="00D36D67">
        <w:rPr>
          <w:rFonts w:asciiTheme="minorHAnsi" w:hAnsiTheme="minorHAnsi"/>
        </w:rPr>
        <w:t xml:space="preserve"> J.K. (2015) Once upon a larva: revisiting the relationship between feeding success and growth in fish larvae. </w:t>
      </w:r>
      <w:r w:rsidRPr="00D36D67">
        <w:rPr>
          <w:rFonts w:asciiTheme="minorHAnsi" w:hAnsiTheme="minorHAnsi"/>
          <w:i/>
        </w:rPr>
        <w:t>ICES Journal of Marine Science: Journal du Conseil,</w:t>
      </w:r>
      <w:r w:rsidRPr="00D36D67">
        <w:rPr>
          <w:rFonts w:asciiTheme="minorHAnsi" w:hAnsiTheme="minorHAnsi"/>
        </w:rPr>
        <w:t xml:space="preserve"> </w:t>
      </w:r>
      <w:r w:rsidRPr="000A05C9">
        <w:rPr>
          <w:rFonts w:asciiTheme="minorHAnsi" w:hAnsiTheme="minorHAnsi"/>
          <w:b/>
        </w:rPr>
        <w:t>72</w:t>
      </w:r>
      <w:r w:rsidRPr="00D36D67">
        <w:rPr>
          <w:rFonts w:asciiTheme="minorHAnsi" w:hAnsiTheme="minorHAnsi"/>
        </w:rPr>
        <w:t>, 359-373.</w:t>
      </w:r>
    </w:p>
    <w:p w14:paraId="3B4F95A1" w14:textId="77777777" w:rsidR="008E6212" w:rsidRDefault="008E6212" w:rsidP="008E6212">
      <w:pPr>
        <w:pStyle w:val="EndNoteBibliography"/>
        <w:spacing w:after="240" w:line="320" w:lineRule="exact"/>
        <w:ind w:left="284" w:hanging="284"/>
        <w:rPr>
          <w:rFonts w:asciiTheme="minorHAnsi" w:hAnsiTheme="minorHAnsi"/>
        </w:rPr>
      </w:pPr>
      <w:r w:rsidRPr="00D36D67">
        <w:rPr>
          <w:rFonts w:asciiTheme="minorHAnsi" w:hAnsiTheme="minorHAnsi"/>
        </w:rPr>
        <w:t xml:space="preserve">R Development Core Team. (2015) </w:t>
      </w:r>
      <w:r w:rsidRPr="00407AED">
        <w:rPr>
          <w:rFonts w:asciiTheme="minorHAnsi" w:hAnsiTheme="minorHAnsi"/>
          <w:i/>
        </w:rPr>
        <w:t>R: A Language and Environment for Statistical Computing</w:t>
      </w:r>
      <w:r w:rsidRPr="00D36D67">
        <w:rPr>
          <w:rFonts w:asciiTheme="minorHAnsi" w:hAnsiTheme="minorHAnsi"/>
        </w:rPr>
        <w:t xml:space="preserve">. R Foundation for Statistical Computing, Vienna, Austria [Cited 25 November 2015.] Available from URL: </w:t>
      </w:r>
      <w:hyperlink r:id="rId118" w:history="1">
        <w:r w:rsidRPr="00D36D67">
          <w:rPr>
            <w:rStyle w:val="Hyperlink"/>
            <w:rFonts w:asciiTheme="minorHAnsi" w:hAnsiTheme="minorHAnsi"/>
          </w:rPr>
          <w:t>http://www.R-project.org</w:t>
        </w:r>
      </w:hyperlink>
    </w:p>
    <w:p w14:paraId="3B4F95A2" w14:textId="77777777" w:rsidR="008E6212" w:rsidRPr="00B7596C" w:rsidRDefault="008E6212" w:rsidP="00192F1A">
      <w:pPr>
        <w:spacing w:after="240" w:line="320" w:lineRule="exact"/>
        <w:ind w:left="284" w:hanging="284"/>
        <w:jc w:val="left"/>
        <w:rPr>
          <w:noProof/>
          <w:szCs w:val="22"/>
          <w:lang w:val="en-US"/>
        </w:rPr>
      </w:pPr>
      <w:r w:rsidRPr="008B41C9">
        <w:rPr>
          <w:color w:val="000000" w:themeColor="text1"/>
        </w:rPr>
        <w:t>R</w:t>
      </w:r>
      <w:r>
        <w:rPr>
          <w:color w:val="000000" w:themeColor="text1"/>
        </w:rPr>
        <w:t>oberts</w:t>
      </w:r>
      <w:r w:rsidRPr="008B41C9">
        <w:rPr>
          <w:color w:val="000000" w:themeColor="text1"/>
        </w:rPr>
        <w:t xml:space="preserve"> J. </w:t>
      </w:r>
      <w:r>
        <w:rPr>
          <w:color w:val="000000" w:themeColor="text1"/>
        </w:rPr>
        <w:t>&amp; Marston</w:t>
      </w:r>
      <w:r w:rsidRPr="008B41C9">
        <w:rPr>
          <w:color w:val="000000" w:themeColor="text1"/>
        </w:rPr>
        <w:t xml:space="preserve"> F. (2011) </w:t>
      </w:r>
      <w:r w:rsidRPr="00407AED">
        <w:rPr>
          <w:i/>
          <w:color w:val="000000" w:themeColor="text1"/>
        </w:rPr>
        <w:t>Water regime for wetland and floodplain plants: A source book for the Murray-</w:t>
      </w:r>
      <w:r w:rsidRPr="00B7596C">
        <w:rPr>
          <w:noProof/>
          <w:szCs w:val="22"/>
          <w:lang w:val="en-US"/>
        </w:rPr>
        <w:t>Darling Basin. National Water Commission, Canberra.</w:t>
      </w:r>
    </w:p>
    <w:p w14:paraId="3B4F95A3" w14:textId="77777777" w:rsidR="008E6212" w:rsidRPr="003E44F8" w:rsidRDefault="008E6212" w:rsidP="00B7596C">
      <w:pPr>
        <w:tabs>
          <w:tab w:val="left" w:pos="840"/>
        </w:tabs>
        <w:spacing w:after="240" w:line="320" w:lineRule="exact"/>
        <w:ind w:left="364" w:right="121" w:hanging="364"/>
        <w:rPr>
          <w:rFonts w:cs="Calibri"/>
          <w:szCs w:val="22"/>
        </w:rPr>
      </w:pPr>
      <w:r w:rsidRPr="003E44F8">
        <w:rPr>
          <w:noProof/>
          <w:szCs w:val="22"/>
          <w:lang w:val="en-US"/>
        </w:rPr>
        <w:t>Robertson A., Burns A. &amp; Hillman T. (2016) Scale dependent lateral exchanges of organic carbon in a dryland river during a high flow experiment. Marine and Freshwater Research</w:t>
      </w:r>
      <w:r w:rsidR="003E44F8" w:rsidRPr="003E44F8">
        <w:rPr>
          <w:noProof/>
          <w:szCs w:val="22"/>
          <w:lang w:val="en-US"/>
        </w:rPr>
        <w:t xml:space="preserve">, </w:t>
      </w:r>
      <w:r w:rsidR="003E44F8" w:rsidRPr="003E44F8">
        <w:rPr>
          <w:b/>
          <w:noProof/>
          <w:szCs w:val="22"/>
          <w:lang w:val="en-US"/>
        </w:rPr>
        <w:t xml:space="preserve">67, </w:t>
      </w:r>
      <w:r w:rsidR="003E44F8" w:rsidRPr="003E44F8">
        <w:rPr>
          <w:noProof/>
          <w:szCs w:val="22"/>
          <w:lang w:val="en-US"/>
        </w:rPr>
        <w:t>1</w:t>
      </w:r>
      <w:r w:rsidR="00916C24">
        <w:rPr>
          <w:noProof/>
          <w:szCs w:val="22"/>
          <w:lang w:val="en-US"/>
        </w:rPr>
        <w:t>293-1301</w:t>
      </w:r>
      <w:r w:rsidR="003E44F8" w:rsidRPr="003E44F8">
        <w:rPr>
          <w:noProof/>
          <w:szCs w:val="22"/>
          <w:lang w:val="en-US"/>
        </w:rPr>
        <w:t>.</w:t>
      </w:r>
    </w:p>
    <w:p w14:paraId="3B4F95A4" w14:textId="77777777" w:rsidR="00192F1A" w:rsidRPr="00B7596C" w:rsidRDefault="00192F1A" w:rsidP="00B7596C">
      <w:pPr>
        <w:tabs>
          <w:tab w:val="left" w:pos="840"/>
        </w:tabs>
        <w:spacing w:after="240" w:line="320" w:lineRule="exact"/>
        <w:ind w:left="364" w:right="121" w:hanging="364"/>
        <w:rPr>
          <w:rFonts w:cs="Calibri"/>
          <w:szCs w:val="22"/>
        </w:rPr>
      </w:pPr>
      <w:r w:rsidRPr="00B7596C">
        <w:rPr>
          <w:rFonts w:cs="Calibri"/>
          <w:szCs w:val="22"/>
        </w:rPr>
        <w:t>Ryder D.S. (2004) Response of epixylic biofilm metabolism to water level variability in a regulated floodplain river</w:t>
      </w:r>
      <w:r w:rsidR="00B7596C">
        <w:rPr>
          <w:rFonts w:cs="Calibri"/>
          <w:szCs w:val="22"/>
        </w:rPr>
        <w:t>.</w:t>
      </w:r>
      <w:r w:rsidR="00B7596C" w:rsidRPr="00B7596C">
        <w:rPr>
          <w:rFonts w:cs="Calibri"/>
          <w:szCs w:val="22"/>
        </w:rPr>
        <w:t xml:space="preserve"> </w:t>
      </w:r>
      <w:r w:rsidRPr="00B7596C">
        <w:rPr>
          <w:rFonts w:cs="Calibri"/>
          <w:i/>
          <w:szCs w:val="22"/>
        </w:rPr>
        <w:t>Journal of the North American Benthological Society</w:t>
      </w:r>
      <w:r w:rsidRPr="00B7596C">
        <w:rPr>
          <w:rFonts w:cs="Calibri"/>
          <w:szCs w:val="22"/>
        </w:rPr>
        <w:t xml:space="preserve"> </w:t>
      </w:r>
      <w:r w:rsidRPr="00916C24">
        <w:rPr>
          <w:rFonts w:cs="Calibri"/>
          <w:b/>
          <w:szCs w:val="22"/>
        </w:rPr>
        <w:t>23</w:t>
      </w:r>
      <w:r w:rsidRPr="00B7596C">
        <w:rPr>
          <w:rFonts w:cs="Calibri"/>
          <w:szCs w:val="22"/>
        </w:rPr>
        <w:t>(2):214-22</w:t>
      </w:r>
    </w:p>
    <w:p w14:paraId="3B4F95A5" w14:textId="77777777" w:rsidR="00192F1A" w:rsidRPr="00D1256B" w:rsidRDefault="00192F1A" w:rsidP="00192F1A">
      <w:pPr>
        <w:tabs>
          <w:tab w:val="left" w:pos="840"/>
        </w:tabs>
        <w:spacing w:after="240" w:line="320" w:lineRule="exact"/>
        <w:ind w:left="364" w:right="121" w:hanging="364"/>
        <w:rPr>
          <w:rFonts w:cs="Calibri"/>
          <w:szCs w:val="22"/>
        </w:rPr>
      </w:pPr>
      <w:r w:rsidRPr="00D1256B">
        <w:rPr>
          <w:rFonts w:cs="Calibri"/>
          <w:szCs w:val="22"/>
        </w:rPr>
        <w:t xml:space="preserve">Ryder D.S., Watts R.J., Nye E., &amp; Burns, A. </w:t>
      </w:r>
      <w:r w:rsidR="00B7596C">
        <w:rPr>
          <w:rFonts w:cs="Calibri"/>
          <w:szCs w:val="22"/>
        </w:rPr>
        <w:t>(</w:t>
      </w:r>
      <w:r w:rsidRPr="00D1256B">
        <w:rPr>
          <w:rFonts w:cs="Calibri"/>
          <w:szCs w:val="22"/>
        </w:rPr>
        <w:t>2006</w:t>
      </w:r>
      <w:r w:rsidR="00B7596C">
        <w:rPr>
          <w:rFonts w:cs="Calibri"/>
          <w:szCs w:val="22"/>
        </w:rPr>
        <w:t>)</w:t>
      </w:r>
      <w:r w:rsidRPr="00D1256B">
        <w:rPr>
          <w:rFonts w:cs="Calibri"/>
          <w:szCs w:val="22"/>
        </w:rPr>
        <w:t xml:space="preserve"> Can flow velocity regulate epixylic biofilm structure in a regulated floodplain river? </w:t>
      </w:r>
      <w:r w:rsidRPr="00D1256B">
        <w:rPr>
          <w:rFonts w:cs="Calibri"/>
          <w:i/>
          <w:szCs w:val="22"/>
        </w:rPr>
        <w:t>Marine and Freshwater Research</w:t>
      </w:r>
      <w:r w:rsidRPr="00D1256B">
        <w:rPr>
          <w:rFonts w:cs="Calibri"/>
          <w:szCs w:val="22"/>
        </w:rPr>
        <w:t xml:space="preserve">, </w:t>
      </w:r>
      <w:r w:rsidRPr="00916C24">
        <w:rPr>
          <w:rFonts w:cs="Calibri"/>
          <w:b/>
          <w:szCs w:val="22"/>
        </w:rPr>
        <w:t>57</w:t>
      </w:r>
      <w:r w:rsidRPr="00D1256B">
        <w:rPr>
          <w:rFonts w:cs="Calibri"/>
          <w:szCs w:val="22"/>
        </w:rPr>
        <w:t xml:space="preserve">(1), 29-36. </w:t>
      </w:r>
    </w:p>
    <w:p w14:paraId="3B4F95A6" w14:textId="77777777" w:rsidR="008E6212" w:rsidRDefault="008E6212" w:rsidP="00192F1A">
      <w:pPr>
        <w:pStyle w:val="EndNoteBibliography"/>
        <w:spacing w:after="240" w:line="320" w:lineRule="exact"/>
        <w:ind w:left="284" w:hanging="284"/>
      </w:pPr>
      <w:r>
        <w:t>Shaw G.R., Sukenik A., Livne A., Chiswell R.K., Smith M.J., Seawright A.A., Norris R.L., Eaglesham G.K. &amp; Moore</w:t>
      </w:r>
      <w:r w:rsidRPr="00D36D67">
        <w:t xml:space="preserve"> M.R. (1999) Blooms of the cylindrospermopsin containing cyanobacterium, Aphanizomenon ovalisporum (Fofti), in newly constructed lakes, Queensland, Australia. </w:t>
      </w:r>
      <w:r w:rsidRPr="00D36D67">
        <w:rPr>
          <w:i/>
        </w:rPr>
        <w:t>Environmental Toxicology</w:t>
      </w:r>
      <w:r>
        <w:rPr>
          <w:i/>
        </w:rPr>
        <w:t>,</w:t>
      </w:r>
      <w:r w:rsidRPr="00D36D67">
        <w:t xml:space="preserve"> </w:t>
      </w:r>
      <w:r w:rsidRPr="00D36D67">
        <w:rPr>
          <w:b/>
        </w:rPr>
        <w:t>14</w:t>
      </w:r>
      <w:r w:rsidRPr="00D36D67">
        <w:t>, 167-177.</w:t>
      </w:r>
    </w:p>
    <w:p w14:paraId="3B4F95A7" w14:textId="77777777" w:rsidR="008E6212" w:rsidRPr="00D36D67" w:rsidRDefault="008E6212" w:rsidP="008E6212">
      <w:pPr>
        <w:spacing w:after="240" w:line="320" w:lineRule="exact"/>
        <w:ind w:left="284" w:hanging="284"/>
        <w:jc w:val="left"/>
        <w:rPr>
          <w:rFonts w:cs="Calibri"/>
          <w:bCs/>
        </w:rPr>
      </w:pPr>
      <w:r>
        <w:rPr>
          <w:rFonts w:cs="Calibri"/>
          <w:bCs/>
        </w:rPr>
        <w:lastRenderedPageBreak/>
        <w:t>Song</w:t>
      </w:r>
      <w:r w:rsidRPr="003475D6">
        <w:rPr>
          <w:rFonts w:cs="Calibri"/>
          <w:bCs/>
        </w:rPr>
        <w:t xml:space="preserve"> C., Dod</w:t>
      </w:r>
      <w:r>
        <w:rPr>
          <w:rFonts w:cs="Calibri"/>
          <w:bCs/>
        </w:rPr>
        <w:t>ds W.K., Trentman M.</w:t>
      </w:r>
      <w:r w:rsidRPr="003475D6">
        <w:rPr>
          <w:rFonts w:cs="Calibri"/>
          <w:bCs/>
        </w:rPr>
        <w:t>T.</w:t>
      </w:r>
      <w:r>
        <w:rPr>
          <w:rFonts w:cs="Calibri"/>
          <w:bCs/>
        </w:rPr>
        <w:t>, Rüegg J. &amp; Ballantyne, F. (2016)</w:t>
      </w:r>
      <w:r w:rsidRPr="003475D6">
        <w:rPr>
          <w:rFonts w:cs="Calibri"/>
          <w:bCs/>
        </w:rPr>
        <w:t xml:space="preserve"> Methods of approximation influence aquatic ecosystem metabolism estimates</w:t>
      </w:r>
      <w:r w:rsidRPr="000A05C9">
        <w:rPr>
          <w:rFonts w:cs="Calibri"/>
          <w:bCs/>
          <w:i/>
        </w:rPr>
        <w:t>. Limnology &amp; Oceanography. Methods</w:t>
      </w:r>
      <w:r>
        <w:rPr>
          <w:rFonts w:cs="Calibri"/>
          <w:bCs/>
        </w:rPr>
        <w:t>,</w:t>
      </w:r>
      <w:r w:rsidRPr="003475D6">
        <w:rPr>
          <w:rFonts w:cs="Calibri"/>
          <w:bCs/>
        </w:rPr>
        <w:t xml:space="preserve"> doi:10.1002/lom3.10112</w:t>
      </w:r>
      <w:r>
        <w:rPr>
          <w:rFonts w:cs="Calibri"/>
          <w:bCs/>
        </w:rPr>
        <w:t xml:space="preserve"> </w:t>
      </w:r>
    </w:p>
    <w:p w14:paraId="3B4F95A8" w14:textId="77777777" w:rsidR="008E6212" w:rsidRPr="00D36D67" w:rsidRDefault="008E6212" w:rsidP="008E6212">
      <w:pPr>
        <w:pStyle w:val="EndNoteBibliography"/>
        <w:spacing w:after="240" w:line="320" w:lineRule="exact"/>
        <w:ind w:left="284" w:hanging="284"/>
      </w:pPr>
      <w:r>
        <w:rPr>
          <w:rFonts w:asciiTheme="minorHAnsi" w:hAnsiTheme="minorHAnsi"/>
        </w:rPr>
        <w:t>Thiem J.D., Hatin D., Dumont</w:t>
      </w:r>
      <w:r w:rsidRPr="00D36D67">
        <w:rPr>
          <w:rFonts w:asciiTheme="minorHAnsi" w:hAnsiTheme="minorHAnsi"/>
        </w:rPr>
        <w:t xml:space="preserve"> P., Van Der K</w:t>
      </w:r>
      <w:r>
        <w:rPr>
          <w:rFonts w:asciiTheme="minorHAnsi" w:hAnsiTheme="minorHAnsi"/>
        </w:rPr>
        <w:t>raak G. &amp; Cooke S.J. (2013)</w:t>
      </w:r>
      <w:r w:rsidRPr="00D36D67">
        <w:rPr>
          <w:rFonts w:asciiTheme="minorHAnsi" w:hAnsiTheme="minorHAnsi"/>
        </w:rPr>
        <w:t xml:space="preserve"> Biology of lake sturgeon (</w:t>
      </w:r>
      <w:r w:rsidRPr="00754E1C">
        <w:rPr>
          <w:rFonts w:asciiTheme="minorHAnsi" w:hAnsiTheme="minorHAnsi"/>
          <w:i/>
        </w:rPr>
        <w:t>Acipenser fulvescens</w:t>
      </w:r>
      <w:r w:rsidRPr="00D36D67">
        <w:rPr>
          <w:rFonts w:asciiTheme="minorHAnsi" w:hAnsiTheme="minorHAnsi"/>
        </w:rPr>
        <w:t xml:space="preserve">) spawning below a dam on the Richelieu River, Quebec: behaviour, egg deposition, and endocrinology. </w:t>
      </w:r>
      <w:r w:rsidRPr="000A05C9">
        <w:rPr>
          <w:rFonts w:asciiTheme="minorHAnsi" w:hAnsiTheme="minorHAnsi"/>
          <w:i/>
        </w:rPr>
        <w:t>Canadian Journal of Zoology</w:t>
      </w:r>
      <w:r w:rsidRPr="00175D07">
        <w:rPr>
          <w:rFonts w:asciiTheme="minorHAnsi" w:hAnsiTheme="minorHAnsi"/>
        </w:rPr>
        <w:t xml:space="preserve">, </w:t>
      </w:r>
      <w:r w:rsidRPr="000A05C9">
        <w:rPr>
          <w:rFonts w:asciiTheme="minorHAnsi" w:hAnsiTheme="minorHAnsi"/>
          <w:b/>
        </w:rPr>
        <w:t>91</w:t>
      </w:r>
      <w:r w:rsidRPr="00175D07">
        <w:rPr>
          <w:rFonts w:asciiTheme="minorHAnsi" w:hAnsiTheme="minorHAnsi"/>
        </w:rPr>
        <w:t>, 175-186.</w:t>
      </w:r>
    </w:p>
    <w:p w14:paraId="3B4F95A9" w14:textId="77777777" w:rsidR="008E6212"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Thiem J.D., Wooden I.J., Baumgartner L.J., Butler G.L., Forbes J.P. &amp; Conallin</w:t>
      </w:r>
      <w:r w:rsidRPr="00175D07">
        <w:rPr>
          <w:rFonts w:asciiTheme="minorHAnsi" w:hAnsiTheme="minorHAnsi"/>
          <w:szCs w:val="22"/>
        </w:rPr>
        <w:t xml:space="preserve"> J. (In press) Recovery from a fish kill in a semi-arid Australian river: Can stocking augment natural recruitment processes? </w:t>
      </w:r>
      <w:r w:rsidRPr="00175D07">
        <w:rPr>
          <w:rFonts w:asciiTheme="minorHAnsi" w:hAnsiTheme="minorHAnsi"/>
          <w:i/>
          <w:szCs w:val="22"/>
        </w:rPr>
        <w:t>Austral Ecology</w:t>
      </w:r>
      <w:r w:rsidRPr="00175D07">
        <w:rPr>
          <w:rFonts w:asciiTheme="minorHAnsi" w:hAnsiTheme="minorHAnsi"/>
          <w:szCs w:val="22"/>
        </w:rPr>
        <w:t>.</w:t>
      </w:r>
    </w:p>
    <w:p w14:paraId="3B4F95AA" w14:textId="77777777" w:rsidR="008E6212" w:rsidRPr="008B41C9" w:rsidRDefault="008E6212" w:rsidP="008E6212">
      <w:pPr>
        <w:spacing w:after="240" w:line="320" w:lineRule="exact"/>
        <w:ind w:left="284" w:hanging="284"/>
        <w:jc w:val="left"/>
        <w:rPr>
          <w:color w:val="000000" w:themeColor="text1"/>
        </w:rPr>
      </w:pPr>
      <w:r>
        <w:rPr>
          <w:color w:val="000000" w:themeColor="text1"/>
        </w:rPr>
        <w:t>Toner M. &amp; Keddy</w:t>
      </w:r>
      <w:r w:rsidRPr="008B41C9">
        <w:rPr>
          <w:color w:val="000000" w:themeColor="text1"/>
        </w:rPr>
        <w:t xml:space="preserve"> P. (1997) River hydrology and riparian wetlands - a predictive model for ecological assembly. </w:t>
      </w:r>
      <w:r w:rsidRPr="008B41C9">
        <w:rPr>
          <w:i/>
          <w:iCs/>
          <w:color w:val="000000" w:themeColor="text1"/>
        </w:rPr>
        <w:t>Ecological Applications</w:t>
      </w:r>
      <w:r>
        <w:rPr>
          <w:i/>
          <w:iCs/>
          <w:color w:val="000000" w:themeColor="text1"/>
        </w:rPr>
        <w:t>,</w:t>
      </w:r>
      <w:r w:rsidRPr="008B41C9">
        <w:rPr>
          <w:i/>
          <w:iCs/>
          <w:color w:val="000000" w:themeColor="text1"/>
        </w:rPr>
        <w:t xml:space="preserve"> </w:t>
      </w:r>
      <w:r w:rsidRPr="008B41C9">
        <w:rPr>
          <w:b/>
          <w:bCs/>
          <w:color w:val="000000" w:themeColor="text1"/>
        </w:rPr>
        <w:t>7</w:t>
      </w:r>
      <w:r w:rsidRPr="008B41C9">
        <w:rPr>
          <w:color w:val="000000" w:themeColor="text1"/>
        </w:rPr>
        <w:t>, 236-246.</w:t>
      </w:r>
    </w:p>
    <w:p w14:paraId="3B4F95AB" w14:textId="77777777" w:rsidR="008E6212" w:rsidRPr="00500034" w:rsidRDefault="008E6212" w:rsidP="008E6212">
      <w:pPr>
        <w:spacing w:after="240" w:line="320" w:lineRule="exact"/>
        <w:ind w:left="284" w:hanging="284"/>
        <w:jc w:val="left"/>
        <w:rPr>
          <w:color w:val="000000" w:themeColor="text1"/>
        </w:rPr>
      </w:pPr>
      <w:r w:rsidRPr="008B41C9">
        <w:rPr>
          <w:color w:val="000000" w:themeColor="text1"/>
        </w:rPr>
        <w:t>van Dijk A</w:t>
      </w:r>
      <w:r>
        <w:rPr>
          <w:color w:val="000000" w:themeColor="text1"/>
        </w:rPr>
        <w:t>.</w:t>
      </w:r>
      <w:r w:rsidRPr="008B41C9">
        <w:rPr>
          <w:color w:val="000000" w:themeColor="text1"/>
        </w:rPr>
        <w:t>I</w:t>
      </w:r>
      <w:r>
        <w:rPr>
          <w:color w:val="000000" w:themeColor="text1"/>
        </w:rPr>
        <w:t>.,</w:t>
      </w:r>
      <w:r w:rsidRPr="008B41C9">
        <w:rPr>
          <w:color w:val="000000" w:themeColor="text1"/>
        </w:rPr>
        <w:t xml:space="preserve"> Beck H</w:t>
      </w:r>
      <w:r>
        <w:rPr>
          <w:color w:val="000000" w:themeColor="text1"/>
        </w:rPr>
        <w:t>.</w:t>
      </w:r>
      <w:r w:rsidRPr="008B41C9">
        <w:rPr>
          <w:color w:val="000000" w:themeColor="text1"/>
        </w:rPr>
        <w:t>E</w:t>
      </w:r>
      <w:r>
        <w:rPr>
          <w:color w:val="000000" w:themeColor="text1"/>
        </w:rPr>
        <w:t>.</w:t>
      </w:r>
      <w:r w:rsidRPr="008B41C9">
        <w:rPr>
          <w:color w:val="000000" w:themeColor="text1"/>
        </w:rPr>
        <w:t xml:space="preserve">, Crosbie </w:t>
      </w:r>
      <w:r>
        <w:rPr>
          <w:color w:val="000000" w:themeColor="text1"/>
        </w:rPr>
        <w:t>.</w:t>
      </w:r>
      <w:r w:rsidRPr="008B41C9">
        <w:rPr>
          <w:color w:val="000000" w:themeColor="text1"/>
        </w:rPr>
        <w:t>R</w:t>
      </w:r>
      <w:r>
        <w:rPr>
          <w:color w:val="000000" w:themeColor="text1"/>
        </w:rPr>
        <w:t>.</w:t>
      </w:r>
      <w:r w:rsidRPr="008B41C9">
        <w:rPr>
          <w:color w:val="000000" w:themeColor="text1"/>
        </w:rPr>
        <w:t>S, de Jeu R</w:t>
      </w:r>
      <w:r>
        <w:rPr>
          <w:color w:val="000000" w:themeColor="text1"/>
        </w:rPr>
        <w:t>.</w:t>
      </w:r>
      <w:r w:rsidRPr="008B41C9">
        <w:rPr>
          <w:color w:val="000000" w:themeColor="text1"/>
        </w:rPr>
        <w:t>A</w:t>
      </w:r>
      <w:r>
        <w:rPr>
          <w:color w:val="000000" w:themeColor="text1"/>
        </w:rPr>
        <w:t>.</w:t>
      </w:r>
      <w:r w:rsidRPr="008B41C9">
        <w:rPr>
          <w:color w:val="000000" w:themeColor="text1"/>
        </w:rPr>
        <w:t>, Liu Y</w:t>
      </w:r>
      <w:r>
        <w:rPr>
          <w:color w:val="000000" w:themeColor="text1"/>
        </w:rPr>
        <w:t>.</w:t>
      </w:r>
      <w:r w:rsidRPr="008B41C9">
        <w:rPr>
          <w:color w:val="000000" w:themeColor="text1"/>
        </w:rPr>
        <w:t>Y</w:t>
      </w:r>
      <w:r>
        <w:rPr>
          <w:color w:val="000000" w:themeColor="text1"/>
        </w:rPr>
        <w:t>.</w:t>
      </w:r>
      <w:r w:rsidRPr="008B41C9">
        <w:rPr>
          <w:color w:val="000000" w:themeColor="text1"/>
        </w:rPr>
        <w:t>, Podger G</w:t>
      </w:r>
      <w:r>
        <w:rPr>
          <w:color w:val="000000" w:themeColor="text1"/>
        </w:rPr>
        <w:t>.</w:t>
      </w:r>
      <w:r w:rsidRPr="008B41C9">
        <w:rPr>
          <w:color w:val="000000" w:themeColor="text1"/>
        </w:rPr>
        <w:t>M</w:t>
      </w:r>
      <w:r>
        <w:rPr>
          <w:color w:val="000000" w:themeColor="text1"/>
        </w:rPr>
        <w:t>.</w:t>
      </w:r>
      <w:r w:rsidRPr="008B41C9">
        <w:rPr>
          <w:color w:val="000000" w:themeColor="text1"/>
        </w:rPr>
        <w:t>, Timbal B</w:t>
      </w:r>
      <w:r>
        <w:rPr>
          <w:color w:val="000000" w:themeColor="text1"/>
        </w:rPr>
        <w:t>. &amp;</w:t>
      </w:r>
      <w:r w:rsidRPr="008B41C9">
        <w:rPr>
          <w:color w:val="000000" w:themeColor="text1"/>
        </w:rPr>
        <w:t xml:space="preserve"> Viney N</w:t>
      </w:r>
      <w:r>
        <w:rPr>
          <w:color w:val="000000" w:themeColor="text1"/>
        </w:rPr>
        <w:t>.</w:t>
      </w:r>
      <w:r w:rsidRPr="008B41C9">
        <w:rPr>
          <w:color w:val="000000" w:themeColor="text1"/>
        </w:rPr>
        <w:t>R</w:t>
      </w:r>
      <w:r>
        <w:rPr>
          <w:color w:val="000000" w:themeColor="text1"/>
        </w:rPr>
        <w:t>.</w:t>
      </w:r>
      <w:r w:rsidRPr="008B41C9">
        <w:rPr>
          <w:color w:val="000000" w:themeColor="text1"/>
        </w:rPr>
        <w:t xml:space="preserve"> (2013) The Millennium Drought in southeast Australia (2001–2009): Natural and human causes and implications for water resources, ecosystems, economy, and society. </w:t>
      </w:r>
      <w:r w:rsidRPr="00407AED">
        <w:rPr>
          <w:i/>
          <w:color w:val="000000" w:themeColor="text1"/>
        </w:rPr>
        <w:t>Water Resources Res</w:t>
      </w:r>
      <w:r>
        <w:rPr>
          <w:i/>
          <w:color w:val="000000" w:themeColor="text1"/>
        </w:rPr>
        <w:t>earch,</w:t>
      </w:r>
      <w:r w:rsidRPr="008B41C9">
        <w:rPr>
          <w:color w:val="000000" w:themeColor="text1"/>
        </w:rPr>
        <w:t xml:space="preserve"> </w:t>
      </w:r>
      <w:r w:rsidRPr="00407AED">
        <w:rPr>
          <w:b/>
          <w:color w:val="000000" w:themeColor="text1"/>
        </w:rPr>
        <w:t>49</w:t>
      </w:r>
      <w:r>
        <w:rPr>
          <w:color w:val="000000" w:themeColor="text1"/>
        </w:rPr>
        <w:t>,</w:t>
      </w:r>
      <w:r w:rsidRPr="008B41C9">
        <w:rPr>
          <w:color w:val="000000" w:themeColor="text1"/>
        </w:rPr>
        <w:t>:doi:10.1002/wrcr.20123.</w:t>
      </w:r>
      <w:r>
        <w:rPr>
          <w:color w:val="000000" w:themeColor="text1"/>
        </w:rPr>
        <w:t xml:space="preserve"> </w:t>
      </w:r>
    </w:p>
    <w:p w14:paraId="3B4F95AC" w14:textId="77777777" w:rsidR="008E6212" w:rsidRPr="00175D07"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Walsh C.T., Reinfelds I.V., Ives M.C., Gray C.A., West R.J. &amp; van der Meulen</w:t>
      </w:r>
      <w:r w:rsidRPr="00175D07">
        <w:rPr>
          <w:rFonts w:asciiTheme="minorHAnsi" w:hAnsiTheme="minorHAnsi"/>
          <w:szCs w:val="22"/>
        </w:rPr>
        <w:t xml:space="preserve"> D.E. (2013) Environmental influences on the spatial ecology and spawning behaviour of an estuarine-resident fish, </w:t>
      </w:r>
      <w:r w:rsidRPr="00175D07">
        <w:rPr>
          <w:rFonts w:asciiTheme="minorHAnsi" w:hAnsiTheme="minorHAnsi"/>
          <w:i/>
          <w:szCs w:val="22"/>
        </w:rPr>
        <w:t>Macquaria colonorum</w:t>
      </w:r>
      <w:r w:rsidRPr="00175D07">
        <w:rPr>
          <w:rFonts w:asciiTheme="minorHAnsi" w:hAnsiTheme="minorHAnsi"/>
          <w:szCs w:val="22"/>
        </w:rPr>
        <w:t xml:space="preserve">. </w:t>
      </w:r>
      <w:r w:rsidRPr="00175D07">
        <w:rPr>
          <w:rFonts w:asciiTheme="minorHAnsi" w:hAnsiTheme="minorHAnsi"/>
          <w:i/>
          <w:szCs w:val="22"/>
        </w:rPr>
        <w:t>Estuarine, Coastal and Shelf Science</w:t>
      </w:r>
      <w:r w:rsidRPr="00175D07">
        <w:rPr>
          <w:rFonts w:asciiTheme="minorHAnsi" w:hAnsiTheme="minorHAnsi"/>
          <w:szCs w:val="22"/>
        </w:rPr>
        <w:t xml:space="preserve">, </w:t>
      </w:r>
      <w:r w:rsidRPr="000A05C9">
        <w:rPr>
          <w:rFonts w:asciiTheme="minorHAnsi" w:hAnsiTheme="minorHAnsi"/>
          <w:b/>
          <w:szCs w:val="22"/>
        </w:rPr>
        <w:t>118</w:t>
      </w:r>
      <w:r w:rsidRPr="00175D07">
        <w:rPr>
          <w:rFonts w:asciiTheme="minorHAnsi" w:hAnsiTheme="minorHAnsi"/>
          <w:szCs w:val="22"/>
        </w:rPr>
        <w:t>, 60-71.</w:t>
      </w:r>
    </w:p>
    <w:p w14:paraId="3B4F95AD" w14:textId="77777777" w:rsidR="008E6212" w:rsidRPr="00D36D67" w:rsidRDefault="008E6212" w:rsidP="008E6212">
      <w:pPr>
        <w:spacing w:after="240" w:line="320" w:lineRule="exact"/>
        <w:ind w:left="284" w:hanging="284"/>
        <w:jc w:val="left"/>
        <w:rPr>
          <w:rFonts w:asciiTheme="minorHAnsi" w:hAnsiTheme="minorHAnsi"/>
          <w:szCs w:val="22"/>
        </w:rPr>
      </w:pPr>
      <w:r>
        <w:rPr>
          <w:rStyle w:val="Strong"/>
          <w:b w:val="0"/>
          <w:szCs w:val="22"/>
        </w:rPr>
        <w:t>Watts</w:t>
      </w:r>
      <w:r w:rsidRPr="00D36D67">
        <w:rPr>
          <w:rStyle w:val="Strong"/>
          <w:b w:val="0"/>
          <w:szCs w:val="22"/>
        </w:rPr>
        <w:t xml:space="preserve"> R.</w:t>
      </w:r>
      <w:r>
        <w:rPr>
          <w:szCs w:val="22"/>
        </w:rPr>
        <w:t>, McCasker</w:t>
      </w:r>
      <w:r w:rsidRPr="00D36D67">
        <w:rPr>
          <w:szCs w:val="22"/>
        </w:rPr>
        <w:t xml:space="preserve"> N., Baumgar</w:t>
      </w:r>
      <w:r>
        <w:rPr>
          <w:szCs w:val="22"/>
        </w:rPr>
        <w:t>tner L., Bowen P., Burns A., Conallin A., Dyer J., Grace M., Healy S., Howitt</w:t>
      </w:r>
      <w:r w:rsidRPr="00D36D67">
        <w:rPr>
          <w:szCs w:val="22"/>
        </w:rPr>
        <w:t xml:space="preserve"> J., </w:t>
      </w:r>
      <w:r>
        <w:rPr>
          <w:rStyle w:val="Strong"/>
          <w:b w:val="0"/>
          <w:szCs w:val="22"/>
        </w:rPr>
        <w:t>Kopf</w:t>
      </w:r>
      <w:r w:rsidRPr="00D36D67">
        <w:rPr>
          <w:rStyle w:val="Strong"/>
          <w:b w:val="0"/>
          <w:szCs w:val="22"/>
        </w:rPr>
        <w:t xml:space="preserve"> R.</w:t>
      </w:r>
      <w:r w:rsidRPr="00D36D67">
        <w:rPr>
          <w:szCs w:val="22"/>
        </w:rPr>
        <w:t xml:space="preserve">, </w:t>
      </w:r>
      <w:r>
        <w:rPr>
          <w:rStyle w:val="Strong"/>
          <w:b w:val="0"/>
          <w:szCs w:val="22"/>
        </w:rPr>
        <w:t>Wassens</w:t>
      </w:r>
      <w:r w:rsidRPr="00D36D67">
        <w:rPr>
          <w:rStyle w:val="Strong"/>
          <w:b w:val="0"/>
          <w:szCs w:val="22"/>
        </w:rPr>
        <w:t xml:space="preserve"> S.</w:t>
      </w:r>
      <w:r>
        <w:rPr>
          <w:szCs w:val="22"/>
        </w:rPr>
        <w:t>, Watkins S. &amp; Wooden</w:t>
      </w:r>
      <w:r w:rsidRPr="00D36D67">
        <w:rPr>
          <w:szCs w:val="22"/>
        </w:rPr>
        <w:t xml:space="preserve"> I. (2013) </w:t>
      </w:r>
      <w:r w:rsidRPr="00407AED">
        <w:rPr>
          <w:i/>
          <w:szCs w:val="22"/>
        </w:rPr>
        <w:t>Monitoring of ecosystem responses to the delivery of environmental water in the Edward-Wakool river system, 2012-2013</w:t>
      </w:r>
      <w:r w:rsidRPr="00D36D67">
        <w:rPr>
          <w:szCs w:val="22"/>
        </w:rPr>
        <w:t>. Report 2. Prepared for Commonwealth Environmental Water Office.</w:t>
      </w:r>
    </w:p>
    <w:p w14:paraId="3B4F95AE" w14:textId="77777777" w:rsidR="008E6212" w:rsidRPr="00D36D67" w:rsidRDefault="008E6212" w:rsidP="008E6212">
      <w:pPr>
        <w:spacing w:after="240" w:line="320" w:lineRule="exact"/>
        <w:ind w:left="284" w:hanging="284"/>
        <w:jc w:val="left"/>
        <w:rPr>
          <w:rFonts w:asciiTheme="minorHAnsi" w:hAnsiTheme="minorHAnsi"/>
          <w:szCs w:val="22"/>
        </w:rPr>
      </w:pPr>
      <w:r>
        <w:rPr>
          <w:rFonts w:asciiTheme="minorHAnsi" w:hAnsiTheme="minorHAnsi"/>
          <w:szCs w:val="22"/>
        </w:rPr>
        <w:t>Watts R.J., McCasker N., Baumgartner L., Bond N., Bowen P., Conallin A., Grace M., Healy</w:t>
      </w:r>
      <w:r w:rsidRPr="00D36D67">
        <w:rPr>
          <w:rFonts w:asciiTheme="minorHAnsi" w:hAnsiTheme="minorHAnsi"/>
          <w:szCs w:val="22"/>
        </w:rPr>
        <w:t xml:space="preserve"> S., </w:t>
      </w:r>
      <w:r>
        <w:rPr>
          <w:rFonts w:asciiTheme="minorHAnsi" w:hAnsiTheme="minorHAnsi"/>
          <w:szCs w:val="22"/>
        </w:rPr>
        <w:t>Howitt J.A., Kopf R.K., Scott N., Thiem J. &amp;</w:t>
      </w:r>
      <w:r w:rsidRPr="00D36D67">
        <w:rPr>
          <w:rFonts w:asciiTheme="minorHAnsi" w:hAnsiTheme="minorHAnsi"/>
          <w:szCs w:val="22"/>
        </w:rPr>
        <w:t xml:space="preserve"> Wooden I. (2014a) </w:t>
      </w:r>
      <w:r w:rsidRPr="00407AED">
        <w:rPr>
          <w:rFonts w:asciiTheme="minorHAnsi" w:hAnsiTheme="minorHAnsi"/>
          <w:i/>
          <w:szCs w:val="22"/>
        </w:rPr>
        <w:t>Monitoring and Evaluation Plan for the Edward-Wakool Selected Area</w:t>
      </w:r>
      <w:r>
        <w:rPr>
          <w:rFonts w:asciiTheme="minorHAnsi" w:hAnsiTheme="minorHAnsi"/>
          <w:szCs w:val="22"/>
        </w:rPr>
        <w:t>. Insititute for Land, Water and Society, Charles Sturt University. Prepared for Commonwealth Environmental Water Office.</w:t>
      </w:r>
    </w:p>
    <w:p w14:paraId="3B4F95AF" w14:textId="77777777" w:rsidR="008E6212" w:rsidRPr="007559DA" w:rsidRDefault="008E6212" w:rsidP="008E6212">
      <w:pPr>
        <w:spacing w:after="240" w:line="320" w:lineRule="exact"/>
        <w:ind w:left="284" w:hanging="284"/>
        <w:jc w:val="left"/>
        <w:rPr>
          <w:color w:val="000000" w:themeColor="text1"/>
        </w:rPr>
      </w:pPr>
      <w:r>
        <w:rPr>
          <w:color w:val="000000" w:themeColor="text1"/>
        </w:rPr>
        <w:t>Watts R.J., McCasker N., Thiem J., Howitt J.A., Grace M. Healy S., Kopf</w:t>
      </w:r>
      <w:r w:rsidRPr="002A2796">
        <w:rPr>
          <w:color w:val="000000" w:themeColor="text1"/>
        </w:rPr>
        <w:t xml:space="preserve"> R.K., Dy</w:t>
      </w:r>
      <w:r>
        <w:rPr>
          <w:color w:val="000000" w:themeColor="text1"/>
        </w:rPr>
        <w:t>er J.G., Conallin A., Wooden I., Baumgartner L. &amp;</w:t>
      </w:r>
      <w:r w:rsidRPr="002A2796">
        <w:rPr>
          <w:color w:val="000000" w:themeColor="text1"/>
        </w:rPr>
        <w:t xml:space="preserve"> Bowen P. </w:t>
      </w:r>
      <w:r>
        <w:rPr>
          <w:color w:val="000000" w:themeColor="text1"/>
        </w:rPr>
        <w:t>(</w:t>
      </w:r>
      <w:r w:rsidRPr="002A2796">
        <w:rPr>
          <w:color w:val="000000" w:themeColor="text1"/>
        </w:rPr>
        <w:t>2014</w:t>
      </w:r>
      <w:r>
        <w:rPr>
          <w:color w:val="000000" w:themeColor="text1"/>
        </w:rPr>
        <w:t>b)</w:t>
      </w:r>
      <w:r w:rsidRPr="002A2796">
        <w:rPr>
          <w:color w:val="000000" w:themeColor="text1"/>
        </w:rPr>
        <w:t xml:space="preserve"> </w:t>
      </w:r>
      <w:r w:rsidRPr="001A6D4F">
        <w:rPr>
          <w:i/>
          <w:color w:val="000000" w:themeColor="text1"/>
        </w:rPr>
        <w:t>Monitoring the ecosystem responses to Commonwealth environmental water delivered to the Edward-Wakool river system, 2013-14.</w:t>
      </w:r>
      <w:r w:rsidRPr="002A2796">
        <w:rPr>
          <w:color w:val="000000" w:themeColor="text1"/>
        </w:rPr>
        <w:t xml:space="preserve"> Institute for Land, Water and Society, Charles Sturt University, Final Report. Prepared for Commonwealth Environmental Water Office.</w:t>
      </w:r>
      <w:r>
        <w:rPr>
          <w:color w:val="000000" w:themeColor="text1"/>
        </w:rPr>
        <w:t xml:space="preserve"> </w:t>
      </w:r>
    </w:p>
    <w:p w14:paraId="3B4F95B0" w14:textId="77777777" w:rsidR="008E6212" w:rsidRDefault="008E6212" w:rsidP="008E6212">
      <w:pPr>
        <w:spacing w:after="240" w:line="320" w:lineRule="exact"/>
        <w:ind w:left="284" w:hanging="284"/>
        <w:jc w:val="left"/>
        <w:rPr>
          <w:szCs w:val="22"/>
        </w:rPr>
      </w:pPr>
      <w:r>
        <w:rPr>
          <w:bCs/>
          <w:szCs w:val="22"/>
        </w:rPr>
        <w:lastRenderedPageBreak/>
        <w:t>Watts R., McCasker N., Thiem J., Howitt J., Grace M., Kopf</w:t>
      </w:r>
      <w:r w:rsidRPr="00175D07">
        <w:rPr>
          <w:bCs/>
          <w:szCs w:val="22"/>
        </w:rPr>
        <w:t xml:space="preserve"> R.</w:t>
      </w:r>
      <w:r>
        <w:rPr>
          <w:bCs/>
          <w:szCs w:val="22"/>
        </w:rPr>
        <w:t>, Healy S. &amp; Bond N. (2015)</w:t>
      </w:r>
      <w:r w:rsidRPr="00175D07">
        <w:rPr>
          <w:bCs/>
          <w:szCs w:val="22"/>
        </w:rPr>
        <w:t xml:space="preserve"> </w:t>
      </w:r>
      <w:r w:rsidRPr="001A6D4F">
        <w:rPr>
          <w:bCs/>
          <w:i/>
          <w:szCs w:val="22"/>
        </w:rPr>
        <w:t>Commonwealth Environmental Water Office Long Term Intervention Monitoring Project: Edward-Wakool Selected Area Technical Report, 2014-15</w:t>
      </w:r>
      <w:r w:rsidRPr="00175D07">
        <w:rPr>
          <w:bCs/>
          <w:szCs w:val="22"/>
        </w:rPr>
        <w:t xml:space="preserve">. Prepared for </w:t>
      </w:r>
      <w:r w:rsidRPr="00175D07">
        <w:rPr>
          <w:szCs w:val="22"/>
        </w:rPr>
        <w:t>Commonwealth Environmental Water Office.</w:t>
      </w:r>
      <w:r>
        <w:rPr>
          <w:szCs w:val="22"/>
        </w:rPr>
        <w:t xml:space="preserve"> </w:t>
      </w:r>
    </w:p>
    <w:p w14:paraId="3B4F95B1" w14:textId="77777777" w:rsidR="008E6212" w:rsidRPr="006714C7" w:rsidRDefault="008E6212" w:rsidP="008E6212">
      <w:pPr>
        <w:pStyle w:val="EndNoteBibliography"/>
        <w:spacing w:after="240" w:line="320" w:lineRule="exact"/>
        <w:ind w:left="284" w:hanging="284"/>
      </w:pPr>
      <w:r>
        <w:t>Wehr J.D., Peterson J. &amp;</w:t>
      </w:r>
      <w:r w:rsidRPr="00D36D67">
        <w:t xml:space="preserve"> Findlay, S. (1999) Influence of three contrasting detrital carbon sources on planktonic bacterial metabolism in a mesotrophic lake. </w:t>
      </w:r>
      <w:r w:rsidRPr="00D36D67">
        <w:rPr>
          <w:i/>
        </w:rPr>
        <w:t>Microbial Ecology</w:t>
      </w:r>
      <w:r>
        <w:rPr>
          <w:i/>
        </w:rPr>
        <w:t>,</w:t>
      </w:r>
      <w:r w:rsidRPr="00D36D67">
        <w:t xml:space="preserve"> </w:t>
      </w:r>
      <w:r w:rsidRPr="00D36D67">
        <w:rPr>
          <w:b/>
        </w:rPr>
        <w:t>37</w:t>
      </w:r>
      <w:r w:rsidRPr="00D36D67">
        <w:t>, 23-35.</w:t>
      </w:r>
    </w:p>
    <w:p w14:paraId="3B4F95B2" w14:textId="77777777" w:rsidR="008E6212" w:rsidRDefault="008E6212" w:rsidP="008E6212">
      <w:pPr>
        <w:spacing w:after="240" w:line="320" w:lineRule="exact"/>
        <w:ind w:left="284" w:hanging="284"/>
        <w:jc w:val="left"/>
        <w:rPr>
          <w:rFonts w:asciiTheme="minorHAnsi" w:hAnsiTheme="minorHAnsi"/>
          <w:szCs w:val="22"/>
        </w:rPr>
      </w:pPr>
      <w:r>
        <w:rPr>
          <w:rFonts w:asciiTheme="minorHAnsi" w:hAnsiTheme="minorHAnsi" w:cs="Segoe UI"/>
          <w:szCs w:val="22"/>
          <w:lang w:eastAsia="en-AU"/>
        </w:rPr>
        <w:t>Winemiller K.O. &amp; Rose</w:t>
      </w:r>
      <w:r w:rsidRPr="00175D07">
        <w:rPr>
          <w:rFonts w:asciiTheme="minorHAnsi" w:hAnsiTheme="minorHAnsi" w:cs="Segoe UI"/>
          <w:szCs w:val="22"/>
          <w:lang w:eastAsia="en-AU"/>
        </w:rPr>
        <w:t xml:space="preserve"> K.A. (1992) Patterns of life-history diversification in North American fishes: implications for population regulation. </w:t>
      </w:r>
      <w:r w:rsidRPr="00175D07">
        <w:rPr>
          <w:rFonts w:asciiTheme="minorHAnsi" w:hAnsiTheme="minorHAnsi" w:cs="Segoe UI"/>
          <w:i/>
          <w:szCs w:val="22"/>
          <w:lang w:eastAsia="en-AU"/>
        </w:rPr>
        <w:t>Canadian Journal of Fisheries and Aquatic Sciences</w:t>
      </w:r>
      <w:r w:rsidRPr="00175D07">
        <w:rPr>
          <w:rFonts w:asciiTheme="minorHAnsi" w:hAnsiTheme="minorHAnsi" w:cs="Segoe UI"/>
          <w:szCs w:val="22"/>
          <w:lang w:eastAsia="en-AU"/>
        </w:rPr>
        <w:t xml:space="preserve">, </w:t>
      </w:r>
      <w:r w:rsidRPr="000A05C9">
        <w:rPr>
          <w:rFonts w:asciiTheme="minorHAnsi" w:hAnsiTheme="minorHAnsi" w:cs="Segoe UI"/>
          <w:b/>
          <w:bCs/>
          <w:szCs w:val="22"/>
          <w:lang w:eastAsia="en-AU"/>
        </w:rPr>
        <w:t>49</w:t>
      </w:r>
      <w:r w:rsidRPr="00175D07">
        <w:rPr>
          <w:rFonts w:asciiTheme="minorHAnsi" w:hAnsiTheme="minorHAnsi" w:cs="Segoe UI"/>
          <w:szCs w:val="22"/>
          <w:lang w:eastAsia="en-AU"/>
        </w:rPr>
        <w:t>, 2196-2218.</w:t>
      </w:r>
    </w:p>
    <w:p w14:paraId="3B4F95B3" w14:textId="77777777" w:rsidR="006D72D5" w:rsidRPr="00175472" w:rsidRDefault="008E6212" w:rsidP="00175472">
      <w:pPr>
        <w:spacing w:after="240" w:line="320" w:lineRule="exact"/>
        <w:ind w:left="284" w:hanging="284"/>
        <w:jc w:val="left"/>
        <w:rPr>
          <w:rFonts w:asciiTheme="minorHAnsi" w:hAnsiTheme="minorHAnsi"/>
          <w:szCs w:val="22"/>
        </w:rPr>
      </w:pPr>
      <w:r>
        <w:rPr>
          <w:rFonts w:asciiTheme="minorHAnsi" w:hAnsiTheme="minorHAnsi"/>
          <w:szCs w:val="22"/>
        </w:rPr>
        <w:t>Zampatti B.P., Wilson P.J., Baumgartner L., Koster W., Livore J.P., McCasker N., Thiem J., Tonkin Z. &amp; Ye</w:t>
      </w:r>
      <w:r w:rsidRPr="00175D07">
        <w:rPr>
          <w:rFonts w:asciiTheme="minorHAnsi" w:hAnsiTheme="minorHAnsi"/>
          <w:szCs w:val="22"/>
        </w:rPr>
        <w:t xml:space="preserve"> Q. (2014) </w:t>
      </w:r>
      <w:r w:rsidRPr="001A6D4F">
        <w:rPr>
          <w:rFonts w:asciiTheme="minorHAnsi" w:hAnsiTheme="minorHAnsi"/>
          <w:i/>
          <w:szCs w:val="22"/>
        </w:rPr>
        <w:t>Reproduction and recruitment of golden perch (Macquaria ambigua ambigua) in the southern Murray–Darling Basin in 2013–2014: an exploration of river-scale response, connectivity and population dynamics</w:t>
      </w:r>
      <w:r w:rsidRPr="00175D07">
        <w:rPr>
          <w:rFonts w:asciiTheme="minorHAnsi" w:hAnsiTheme="minorHAnsi"/>
          <w:szCs w:val="22"/>
        </w:rPr>
        <w:t>. South Australian Research and Development Institute (Aquatic Sciences), A</w:t>
      </w:r>
      <w:r>
        <w:rPr>
          <w:rFonts w:asciiTheme="minorHAnsi" w:hAnsiTheme="minorHAnsi"/>
          <w:szCs w:val="22"/>
        </w:rPr>
        <w:t xml:space="preserve">delaide. </w:t>
      </w:r>
      <w:bookmarkEnd w:id="0"/>
      <w:bookmarkEnd w:id="1"/>
    </w:p>
    <w:sectPr w:rsidR="006D72D5" w:rsidRPr="00175472" w:rsidSect="008E21B1">
      <w:pgSz w:w="11906"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15053" w14:textId="77777777" w:rsidR="00176965" w:rsidRDefault="00176965" w:rsidP="003D4358">
      <w:pPr>
        <w:spacing w:after="0" w:line="240" w:lineRule="auto"/>
      </w:pPr>
      <w:r>
        <w:separator/>
      </w:r>
    </w:p>
  </w:endnote>
  <w:endnote w:type="continuationSeparator" w:id="0">
    <w:p w14:paraId="0E59CB11" w14:textId="77777777" w:rsidR="00176965" w:rsidRDefault="00176965" w:rsidP="003D4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eridien-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Neue LT 45 Lt">
    <w:altName w:val="HelveticaNeue LT 45 L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entury Gothic,Bold">
    <w:panose1 w:val="00000000000000000000"/>
    <w:charset w:val="00"/>
    <w:family w:val="swiss"/>
    <w:notTrueType/>
    <w:pitch w:val="default"/>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vPSPAL-R">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CAAAB" w14:textId="77777777" w:rsidR="00176965" w:rsidRDefault="001769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467943"/>
      <w:docPartObj>
        <w:docPartGallery w:val="Page Numbers (Bottom of Page)"/>
        <w:docPartUnique/>
      </w:docPartObj>
    </w:sdtPr>
    <w:sdtEndPr>
      <w:rPr>
        <w:noProof/>
      </w:rPr>
    </w:sdtEndPr>
    <w:sdtContent>
      <w:p w14:paraId="3B4F969F" w14:textId="77777777" w:rsidR="00176965" w:rsidRDefault="00176965">
        <w:pPr>
          <w:pStyle w:val="Footer"/>
          <w:jc w:val="center"/>
        </w:pPr>
        <w:r>
          <w:fldChar w:fldCharType="begin"/>
        </w:r>
        <w:r>
          <w:instrText xml:space="preserve"> PAGE   \* MERGEFORMAT </w:instrText>
        </w:r>
        <w:r>
          <w:fldChar w:fldCharType="separate"/>
        </w:r>
        <w:r w:rsidR="00787526">
          <w:rPr>
            <w:noProof/>
          </w:rPr>
          <w:t>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5137E" w14:textId="77777777" w:rsidR="00176965" w:rsidRDefault="001769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069200"/>
      <w:docPartObj>
        <w:docPartGallery w:val="Page Numbers (Bottom of Page)"/>
        <w:docPartUnique/>
      </w:docPartObj>
    </w:sdtPr>
    <w:sdtEndPr>
      <w:rPr>
        <w:noProof/>
      </w:rPr>
    </w:sdtEndPr>
    <w:sdtContent>
      <w:p w14:paraId="3B4F96A0" w14:textId="77777777" w:rsidR="00176965" w:rsidRDefault="00176965">
        <w:pPr>
          <w:pStyle w:val="Footer"/>
          <w:jc w:val="center"/>
        </w:pPr>
        <w:r>
          <w:fldChar w:fldCharType="begin"/>
        </w:r>
        <w:r>
          <w:instrText xml:space="preserve"> PAGE   \* MERGEFORMAT </w:instrText>
        </w:r>
        <w:r>
          <w:fldChar w:fldCharType="separate"/>
        </w:r>
        <w:r>
          <w:rPr>
            <w:noProof/>
          </w:rPr>
          <w:t>154</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720183"/>
      <w:docPartObj>
        <w:docPartGallery w:val="Page Numbers (Bottom of Page)"/>
        <w:docPartUnique/>
      </w:docPartObj>
    </w:sdtPr>
    <w:sdtEndPr>
      <w:rPr>
        <w:noProof/>
      </w:rPr>
    </w:sdtEndPr>
    <w:sdtContent>
      <w:p w14:paraId="3B4F96A1" w14:textId="77777777" w:rsidR="00176965" w:rsidRPr="00364562" w:rsidRDefault="00176965" w:rsidP="00364562">
        <w:pPr>
          <w:pStyle w:val="Footer"/>
          <w:jc w:val="center"/>
        </w:pPr>
        <w:r>
          <w:fldChar w:fldCharType="begin"/>
        </w:r>
        <w:r>
          <w:instrText xml:space="preserve"> PAGE   \* MERGEFORMAT </w:instrText>
        </w:r>
        <w:r>
          <w:fldChar w:fldCharType="separate"/>
        </w:r>
        <w:r>
          <w:rPr>
            <w:noProof/>
          </w:rPr>
          <w:t>177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F8951E" w14:textId="77777777" w:rsidR="00176965" w:rsidRDefault="00176965" w:rsidP="003D4358">
      <w:pPr>
        <w:spacing w:after="0" w:line="240" w:lineRule="auto"/>
      </w:pPr>
      <w:r>
        <w:separator/>
      </w:r>
    </w:p>
  </w:footnote>
  <w:footnote w:type="continuationSeparator" w:id="0">
    <w:p w14:paraId="22235AD1" w14:textId="77777777" w:rsidR="00176965" w:rsidRDefault="00176965" w:rsidP="003D43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4390D" w14:textId="77777777" w:rsidR="00176965" w:rsidRDefault="001769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F969E" w14:textId="77777777" w:rsidR="00176965" w:rsidRPr="00A15430" w:rsidRDefault="00176965" w:rsidP="00797636">
    <w:pPr>
      <w:pBdr>
        <w:bottom w:val="single" w:sz="4" w:space="1" w:color="auto"/>
      </w:pBdr>
      <w:spacing w:line="240" w:lineRule="auto"/>
      <w:rPr>
        <w:b/>
        <w:bCs/>
        <w:i/>
        <w:sz w:val="20"/>
      </w:rPr>
    </w:pPr>
    <w:r w:rsidRPr="008C6047">
      <w:rPr>
        <w:b/>
        <w:bCs/>
        <w:i/>
        <w:sz w:val="20"/>
      </w:rPr>
      <w:t>W</w:t>
    </w:r>
    <w:r>
      <w:rPr>
        <w:b/>
        <w:bCs/>
        <w:i/>
        <w:sz w:val="20"/>
      </w:rPr>
      <w:t>atts, R.J. et al. (2016</w:t>
    </w:r>
    <w:r w:rsidRPr="008C6047">
      <w:rPr>
        <w:b/>
        <w:bCs/>
        <w:i/>
        <w:sz w:val="20"/>
      </w:rPr>
      <w:t>).</w:t>
    </w:r>
    <w:r w:rsidRPr="001B2C5A">
      <w:rPr>
        <w:b/>
        <w:bCs/>
        <w:i/>
        <w:sz w:val="20"/>
      </w:rPr>
      <w:t xml:space="preserve"> Commonwealth Environmental Water Office Long Term Intervention Monitoring Project: Edward-Wakool </w:t>
    </w:r>
    <w:r>
      <w:rPr>
        <w:b/>
        <w:bCs/>
        <w:i/>
        <w:sz w:val="20"/>
      </w:rPr>
      <w:t xml:space="preserve">River System </w:t>
    </w:r>
    <w:r w:rsidRPr="001B2C5A">
      <w:rPr>
        <w:b/>
        <w:bCs/>
        <w:i/>
        <w:sz w:val="20"/>
      </w:rPr>
      <w:t xml:space="preserve">Selected Area </w:t>
    </w:r>
    <w:r>
      <w:rPr>
        <w:b/>
        <w:bCs/>
        <w:i/>
        <w:sz w:val="20"/>
      </w:rPr>
      <w:t>Evaluation</w:t>
    </w:r>
    <w:r w:rsidRPr="001B2C5A">
      <w:rPr>
        <w:b/>
        <w:bCs/>
        <w:i/>
        <w:sz w:val="20"/>
      </w:rPr>
      <w:t xml:space="preserve"> Report, 201</w:t>
    </w:r>
    <w:r>
      <w:rPr>
        <w:b/>
        <w:bCs/>
        <w:i/>
        <w:sz w:val="20"/>
      </w:rPr>
      <w:t>5-16</w:t>
    </w:r>
    <w:r w:rsidRPr="008C6047">
      <w:rPr>
        <w:b/>
        <w:bCs/>
        <w:i/>
        <w:sz w:val="20"/>
      </w:rPr>
      <w:t>.</w:t>
    </w:r>
    <w:r>
      <w:rPr>
        <w:b/>
        <w:bCs/>
        <w:i/>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4299D" w14:textId="77777777" w:rsidR="00176965" w:rsidRDefault="00176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16883E6"/>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pStyle w:val="IntenseQuot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pStyle w:val="LightList-Accent31"/>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CD79F1"/>
    <w:multiLevelType w:val="hybridMultilevel"/>
    <w:tmpl w:val="B0F091EA"/>
    <w:lvl w:ilvl="0" w:tplc="F15CD80C">
      <w:start w:val="1"/>
      <w:numFmt w:val="decimal"/>
      <w:pStyle w:val="TableNew"/>
      <w:lvlText w:val="Table %1."/>
      <w:lvlJc w:val="left"/>
      <w:pPr>
        <w:tabs>
          <w:tab w:val="num" w:pos="1134"/>
        </w:tabs>
        <w:ind w:left="1134" w:hanging="1134"/>
      </w:pPr>
      <w:rPr>
        <w:rFonts w:ascii="Arial Bold" w:hAnsi="Arial Bold" w:hint="default"/>
        <w:b/>
        <w:i w:val="0"/>
        <w:sz w:val="18"/>
        <w:szCs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353507"/>
    <w:multiLevelType w:val="hybridMultilevel"/>
    <w:tmpl w:val="25E88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612AF"/>
    <w:multiLevelType w:val="hybridMultilevel"/>
    <w:tmpl w:val="CA12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F5743"/>
    <w:multiLevelType w:val="hybridMultilevel"/>
    <w:tmpl w:val="01986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BB2D9C"/>
    <w:multiLevelType w:val="hybridMultilevel"/>
    <w:tmpl w:val="CEC03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7E2123"/>
    <w:multiLevelType w:val="multilevel"/>
    <w:tmpl w:val="DEEC8C18"/>
    <w:name w:val="StandardBulletedList"/>
    <w:lvl w:ilvl="0">
      <w:start w:val="1"/>
      <w:numFmt w:val="bullet"/>
      <w:lvlText w:val=""/>
      <w:lvlJc w:val="left"/>
      <w:pPr>
        <w:tabs>
          <w:tab w:val="num" w:pos="4638"/>
        </w:tabs>
        <w:ind w:left="4638" w:hanging="360"/>
      </w:pPr>
      <w:rPr>
        <w:rFonts w:ascii="Symbol" w:hAnsi="Symbol" w:hint="default"/>
        <w:sz w:val="20"/>
      </w:rPr>
    </w:lvl>
    <w:lvl w:ilvl="1">
      <w:start w:val="1"/>
      <w:numFmt w:val="decimal"/>
      <w:lvlText w:val="%2."/>
      <w:lvlJc w:val="left"/>
      <w:pPr>
        <w:tabs>
          <w:tab w:val="num" w:pos="5358"/>
        </w:tabs>
        <w:ind w:left="5358" w:hanging="360"/>
      </w:pPr>
    </w:lvl>
    <w:lvl w:ilvl="2">
      <w:start w:val="1"/>
      <w:numFmt w:val="decimal"/>
      <w:lvlText w:val="%3."/>
      <w:lvlJc w:val="left"/>
      <w:pPr>
        <w:tabs>
          <w:tab w:val="num" w:pos="6078"/>
        </w:tabs>
        <w:ind w:left="6078" w:hanging="360"/>
      </w:pPr>
    </w:lvl>
    <w:lvl w:ilvl="3">
      <w:start w:val="1"/>
      <w:numFmt w:val="decimal"/>
      <w:lvlText w:val="%4."/>
      <w:lvlJc w:val="left"/>
      <w:pPr>
        <w:tabs>
          <w:tab w:val="num" w:pos="6798"/>
        </w:tabs>
        <w:ind w:left="6798" w:hanging="360"/>
      </w:pPr>
    </w:lvl>
    <w:lvl w:ilvl="4">
      <w:start w:val="1"/>
      <w:numFmt w:val="decimal"/>
      <w:lvlText w:val="%5."/>
      <w:lvlJc w:val="left"/>
      <w:pPr>
        <w:tabs>
          <w:tab w:val="num" w:pos="7518"/>
        </w:tabs>
        <w:ind w:left="7518" w:hanging="360"/>
      </w:pPr>
    </w:lvl>
    <w:lvl w:ilvl="5">
      <w:start w:val="1"/>
      <w:numFmt w:val="decimal"/>
      <w:lvlText w:val="%6."/>
      <w:lvlJc w:val="left"/>
      <w:pPr>
        <w:tabs>
          <w:tab w:val="num" w:pos="8238"/>
        </w:tabs>
        <w:ind w:left="8238" w:hanging="360"/>
      </w:pPr>
    </w:lvl>
    <w:lvl w:ilvl="6">
      <w:start w:val="1"/>
      <w:numFmt w:val="decimal"/>
      <w:lvlText w:val="%7."/>
      <w:lvlJc w:val="left"/>
      <w:pPr>
        <w:tabs>
          <w:tab w:val="num" w:pos="8958"/>
        </w:tabs>
        <w:ind w:left="8958" w:hanging="360"/>
      </w:pPr>
    </w:lvl>
    <w:lvl w:ilvl="7">
      <w:start w:val="1"/>
      <w:numFmt w:val="decimal"/>
      <w:lvlText w:val="%8."/>
      <w:lvlJc w:val="left"/>
      <w:pPr>
        <w:tabs>
          <w:tab w:val="num" w:pos="9678"/>
        </w:tabs>
        <w:ind w:left="9678" w:hanging="360"/>
      </w:pPr>
    </w:lvl>
    <w:lvl w:ilvl="8">
      <w:start w:val="1"/>
      <w:numFmt w:val="decimal"/>
      <w:lvlText w:val="%9."/>
      <w:lvlJc w:val="left"/>
      <w:pPr>
        <w:tabs>
          <w:tab w:val="num" w:pos="10398"/>
        </w:tabs>
        <w:ind w:left="10398" w:hanging="360"/>
      </w:pPr>
    </w:lvl>
  </w:abstractNum>
  <w:abstractNum w:abstractNumId="8"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9" w15:restartNumberingAfterBreak="0">
    <w:nsid w:val="19712A30"/>
    <w:multiLevelType w:val="hybridMultilevel"/>
    <w:tmpl w:val="80000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C29C7"/>
    <w:multiLevelType w:val="hybridMultilevel"/>
    <w:tmpl w:val="98FC71D4"/>
    <w:lvl w:ilvl="0" w:tplc="3C32B3A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E777EF0"/>
    <w:multiLevelType w:val="multilevel"/>
    <w:tmpl w:val="9BC2EC8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FB42A6"/>
    <w:multiLevelType w:val="hybridMultilevel"/>
    <w:tmpl w:val="1D769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E55ECB"/>
    <w:multiLevelType w:val="hybridMultilevel"/>
    <w:tmpl w:val="B10480DA"/>
    <w:lvl w:ilvl="0" w:tplc="0C090001">
      <w:start w:val="1"/>
      <w:numFmt w:val="bullet"/>
      <w:lvlText w:val=""/>
      <w:lvlJc w:val="left"/>
      <w:pPr>
        <w:ind w:left="720" w:hanging="360"/>
      </w:pPr>
      <w:rPr>
        <w:rFonts w:ascii="Symbol" w:hAnsi="Symbol" w:hint="default"/>
      </w:rPr>
    </w:lvl>
    <w:lvl w:ilvl="1" w:tplc="C9963BAA">
      <w:numFmt w:val="bullet"/>
      <w:lvlText w:val="•"/>
      <w:lvlJc w:val="left"/>
      <w:pPr>
        <w:ind w:left="1440" w:hanging="360"/>
      </w:pPr>
      <w:rPr>
        <w:rFonts w:ascii="Meridien-Roman" w:eastAsia="Calibri" w:hAnsi="Meridien-Roman" w:cs="Meridien-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FB5D7F"/>
    <w:multiLevelType w:val="hybridMultilevel"/>
    <w:tmpl w:val="1A1E5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2378E9"/>
    <w:multiLevelType w:val="hybridMultilevel"/>
    <w:tmpl w:val="8AFC8640"/>
    <w:lvl w:ilvl="0" w:tplc="56A4274C">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cs="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6" w15:restartNumberingAfterBreak="0">
    <w:nsid w:val="289A5B8A"/>
    <w:multiLevelType w:val="multilevel"/>
    <w:tmpl w:val="45D42CA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9166B9F"/>
    <w:multiLevelType w:val="hybridMultilevel"/>
    <w:tmpl w:val="084A4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66F11"/>
    <w:multiLevelType w:val="hybridMultilevel"/>
    <w:tmpl w:val="6810CD9C"/>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rPr>
        <w:rFonts w:hint="default"/>
      </w:rPr>
    </w:lvl>
    <w:lvl w:ilvl="2" w:tplc="0C090005">
      <w:start w:val="1"/>
      <w:numFmt w:val="upperLetter"/>
      <w:lvlText w:val="%3."/>
      <w:lvlJc w:val="left"/>
      <w:pPr>
        <w:ind w:left="1800" w:hanging="360"/>
      </w:pPr>
      <w:rPr>
        <w:rFont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D66FF5"/>
    <w:multiLevelType w:val="hybridMultilevel"/>
    <w:tmpl w:val="72548D36"/>
    <w:lvl w:ilvl="0" w:tplc="BBA66E20">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DB7995"/>
    <w:multiLevelType w:val="hybridMultilevel"/>
    <w:tmpl w:val="D84C9E88"/>
    <w:lvl w:ilvl="0" w:tplc="9AF081F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3B445697"/>
    <w:multiLevelType w:val="hybridMultilevel"/>
    <w:tmpl w:val="FE548FD6"/>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3BBD04B1"/>
    <w:multiLevelType w:val="hybridMultilevel"/>
    <w:tmpl w:val="294498D8"/>
    <w:lvl w:ilvl="0" w:tplc="8076ACA4">
      <w:start w:val="1"/>
      <w:numFmt w:val="bullet"/>
      <w:lvlText w:val=""/>
      <w:lvlJc w:val="left"/>
      <w:pPr>
        <w:ind w:left="720" w:hanging="360"/>
      </w:pPr>
      <w:rPr>
        <w:rFonts w:ascii="Symbol" w:hAnsi="Symbol" w:hint="default"/>
      </w:rPr>
    </w:lvl>
    <w:lvl w:ilvl="1" w:tplc="9412FE98" w:tentative="1">
      <w:start w:val="1"/>
      <w:numFmt w:val="bullet"/>
      <w:lvlText w:val="o"/>
      <w:lvlJc w:val="left"/>
      <w:pPr>
        <w:ind w:left="1440" w:hanging="360"/>
      </w:pPr>
      <w:rPr>
        <w:rFonts w:ascii="Courier New" w:hAnsi="Courier New" w:cs="Courier New" w:hint="default"/>
      </w:rPr>
    </w:lvl>
    <w:lvl w:ilvl="2" w:tplc="A3C41934" w:tentative="1">
      <w:start w:val="1"/>
      <w:numFmt w:val="bullet"/>
      <w:lvlText w:val=""/>
      <w:lvlJc w:val="left"/>
      <w:pPr>
        <w:ind w:left="2160" w:hanging="360"/>
      </w:pPr>
      <w:rPr>
        <w:rFonts w:ascii="Wingdings" w:hAnsi="Wingdings" w:hint="default"/>
      </w:rPr>
    </w:lvl>
    <w:lvl w:ilvl="3" w:tplc="3084BE28" w:tentative="1">
      <w:start w:val="1"/>
      <w:numFmt w:val="bullet"/>
      <w:lvlText w:val=""/>
      <w:lvlJc w:val="left"/>
      <w:pPr>
        <w:ind w:left="2880" w:hanging="360"/>
      </w:pPr>
      <w:rPr>
        <w:rFonts w:ascii="Symbol" w:hAnsi="Symbol" w:hint="default"/>
      </w:rPr>
    </w:lvl>
    <w:lvl w:ilvl="4" w:tplc="BBA64520" w:tentative="1">
      <w:start w:val="1"/>
      <w:numFmt w:val="bullet"/>
      <w:lvlText w:val="o"/>
      <w:lvlJc w:val="left"/>
      <w:pPr>
        <w:ind w:left="3600" w:hanging="360"/>
      </w:pPr>
      <w:rPr>
        <w:rFonts w:ascii="Courier New" w:hAnsi="Courier New" w:cs="Courier New" w:hint="default"/>
      </w:rPr>
    </w:lvl>
    <w:lvl w:ilvl="5" w:tplc="369C8838" w:tentative="1">
      <w:start w:val="1"/>
      <w:numFmt w:val="bullet"/>
      <w:lvlText w:val=""/>
      <w:lvlJc w:val="left"/>
      <w:pPr>
        <w:ind w:left="4320" w:hanging="360"/>
      </w:pPr>
      <w:rPr>
        <w:rFonts w:ascii="Wingdings" w:hAnsi="Wingdings" w:hint="default"/>
      </w:rPr>
    </w:lvl>
    <w:lvl w:ilvl="6" w:tplc="6B180640" w:tentative="1">
      <w:start w:val="1"/>
      <w:numFmt w:val="bullet"/>
      <w:lvlText w:val=""/>
      <w:lvlJc w:val="left"/>
      <w:pPr>
        <w:ind w:left="5040" w:hanging="360"/>
      </w:pPr>
      <w:rPr>
        <w:rFonts w:ascii="Symbol" w:hAnsi="Symbol" w:hint="default"/>
      </w:rPr>
    </w:lvl>
    <w:lvl w:ilvl="7" w:tplc="380EDD5E" w:tentative="1">
      <w:start w:val="1"/>
      <w:numFmt w:val="bullet"/>
      <w:lvlText w:val="o"/>
      <w:lvlJc w:val="left"/>
      <w:pPr>
        <w:ind w:left="5760" w:hanging="360"/>
      </w:pPr>
      <w:rPr>
        <w:rFonts w:ascii="Courier New" w:hAnsi="Courier New" w:cs="Courier New" w:hint="default"/>
      </w:rPr>
    </w:lvl>
    <w:lvl w:ilvl="8" w:tplc="E4AC6176" w:tentative="1">
      <w:start w:val="1"/>
      <w:numFmt w:val="bullet"/>
      <w:lvlText w:val=""/>
      <w:lvlJc w:val="left"/>
      <w:pPr>
        <w:ind w:left="6480" w:hanging="360"/>
      </w:pPr>
      <w:rPr>
        <w:rFonts w:ascii="Wingdings" w:hAnsi="Wingdings" w:hint="default"/>
      </w:rPr>
    </w:lvl>
  </w:abstractNum>
  <w:abstractNum w:abstractNumId="23" w15:restartNumberingAfterBreak="0">
    <w:nsid w:val="3DE42204"/>
    <w:multiLevelType w:val="multilevel"/>
    <w:tmpl w:val="739C9E4C"/>
    <w:styleLink w:val="MurrumListStyle"/>
    <w:lvl w:ilvl="0">
      <w:start w:val="1"/>
      <w:numFmt w:val="decimal"/>
      <w:suff w:val="space"/>
      <w:lvlText w:val="%1."/>
      <w:lvlJc w:val="left"/>
      <w:pPr>
        <w:ind w:left="785" w:hanging="360"/>
      </w:pPr>
      <w:rPr>
        <w:rFonts w:cs="Times New Roman" w:hint="default"/>
      </w:rPr>
    </w:lvl>
    <w:lvl w:ilvl="1">
      <w:start w:val="1"/>
      <w:numFmt w:val="decimal"/>
      <w:pStyle w:val="MurrumH2"/>
      <w:lvlText w:val="%1.%2."/>
      <w:lvlJc w:val="left"/>
      <w:pPr>
        <w:ind w:left="432" w:hanging="432"/>
      </w:pPr>
      <w:rPr>
        <w:rFonts w:cs="Times New Roman" w:hint="default"/>
      </w:rPr>
    </w:lvl>
    <w:lvl w:ilvl="2">
      <w:start w:val="1"/>
      <w:numFmt w:val="decimal"/>
      <w:pStyle w:val="MurrumH3"/>
      <w:lvlText w:val="%1.%2.%3."/>
      <w:lvlJc w:val="left"/>
      <w:pPr>
        <w:ind w:left="1072" w:hanging="504"/>
      </w:pPr>
      <w:rPr>
        <w:rFonts w:cs="Times New Roman" w:hint="default"/>
      </w:rPr>
    </w:lvl>
    <w:lvl w:ilvl="3">
      <w:start w:val="1"/>
      <w:numFmt w:val="decimal"/>
      <w:lvlText w:val="%1.%2.%3.%4."/>
      <w:lvlJc w:val="left"/>
      <w:pPr>
        <w:ind w:left="2448" w:hanging="648"/>
      </w:pPr>
      <w:rPr>
        <w:rFonts w:cs="Times New Roman" w:hint="default"/>
      </w:rPr>
    </w:lvl>
    <w:lvl w:ilvl="4">
      <w:start w:val="1"/>
      <w:numFmt w:val="decimal"/>
      <w:lvlText w:val="%1.%2.%3.%4.%5."/>
      <w:lvlJc w:val="left"/>
      <w:pPr>
        <w:ind w:left="2952" w:hanging="792"/>
      </w:pPr>
      <w:rPr>
        <w:rFonts w:cs="Times New Roman" w:hint="default"/>
      </w:rPr>
    </w:lvl>
    <w:lvl w:ilvl="5">
      <w:start w:val="1"/>
      <w:numFmt w:val="decimal"/>
      <w:lvlText w:val="%1.%2.%3.%4.%5.%6."/>
      <w:lvlJc w:val="left"/>
      <w:pPr>
        <w:ind w:left="3456" w:hanging="936"/>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464" w:hanging="1224"/>
      </w:pPr>
      <w:rPr>
        <w:rFonts w:cs="Times New Roman" w:hint="default"/>
      </w:rPr>
    </w:lvl>
    <w:lvl w:ilvl="8">
      <w:start w:val="1"/>
      <w:numFmt w:val="decimal"/>
      <w:lvlText w:val="%1.%2.%3.%4.%5.%6.%7.%8.%9."/>
      <w:lvlJc w:val="left"/>
      <w:pPr>
        <w:ind w:left="5040" w:hanging="1440"/>
      </w:pPr>
      <w:rPr>
        <w:rFonts w:cs="Times New Roman" w:hint="default"/>
      </w:rPr>
    </w:lvl>
  </w:abstractNum>
  <w:abstractNum w:abstractNumId="24" w15:restartNumberingAfterBreak="0">
    <w:nsid w:val="42270B02"/>
    <w:multiLevelType w:val="hybridMultilevel"/>
    <w:tmpl w:val="FBFEF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477344"/>
    <w:multiLevelType w:val="multilevel"/>
    <w:tmpl w:val="83303C0A"/>
    <w:lvl w:ilvl="0">
      <w:start w:val="1"/>
      <w:numFmt w:val="decimal"/>
      <w:pStyle w:val="ChapterTitle-FinalReport"/>
      <w:lvlText w:val="%1."/>
      <w:lvlJc w:val="left"/>
      <w:pPr>
        <w:tabs>
          <w:tab w:val="num" w:pos="1134"/>
        </w:tabs>
        <w:ind w:left="1134" w:hanging="1134"/>
      </w:pPr>
      <w:rPr>
        <w:rFonts w:ascii="Times New Roman" w:hAnsi="Times New Roman" w:cs="Times New Roman" w:hint="default"/>
        <w:b/>
        <w:i w:val="0"/>
        <w:sz w:val="28"/>
      </w:rPr>
    </w:lvl>
    <w:lvl w:ilvl="1">
      <w:start w:val="1"/>
      <w:numFmt w:val="decimal"/>
      <w:pStyle w:val="SubHeading1-FinalReport"/>
      <w:lvlText w:val="%1.%2."/>
      <w:lvlJc w:val="left"/>
      <w:pPr>
        <w:tabs>
          <w:tab w:val="num" w:pos="1134"/>
        </w:tabs>
        <w:ind w:left="1134" w:hanging="1134"/>
      </w:pPr>
      <w:rPr>
        <w:rFonts w:ascii="Times New Roman" w:hAnsi="Times New Roman" w:cs="Times New Roman" w:hint="default"/>
        <w:b/>
        <w:i w:val="0"/>
        <w:sz w:val="22"/>
      </w:rPr>
    </w:lvl>
    <w:lvl w:ilvl="2">
      <w:start w:val="1"/>
      <w:numFmt w:val="decimal"/>
      <w:pStyle w:val="SubHeading2-FinalReport"/>
      <w:lvlText w:val="%1.%2.%3."/>
      <w:lvlJc w:val="left"/>
      <w:pPr>
        <w:tabs>
          <w:tab w:val="num" w:pos="1134"/>
        </w:tabs>
        <w:ind w:left="1134" w:hanging="1134"/>
      </w:pPr>
      <w:rPr>
        <w:rFonts w:ascii="Times New Roman" w:hAnsi="Times New Roman" w:cs="Times New Roman" w:hint="default"/>
        <w:b/>
        <w:i/>
        <w:sz w:val="22"/>
      </w:rPr>
    </w:lvl>
    <w:lvl w:ilvl="3">
      <w:start w:val="1"/>
      <w:numFmt w:val="decimal"/>
      <w:pStyle w:val="SubHeading3-FinalReport"/>
      <w:lvlText w:val="%1.%2.%3.%4."/>
      <w:lvlJc w:val="left"/>
      <w:pPr>
        <w:tabs>
          <w:tab w:val="num" w:pos="1134"/>
        </w:tabs>
        <w:ind w:left="1134" w:hanging="1134"/>
      </w:pPr>
      <w:rPr>
        <w:rFonts w:ascii="Times New Roman" w:hAnsi="Times New Roman" w:cs="Times New Roman" w:hint="default"/>
        <w:b w:val="0"/>
        <w:i/>
        <w:sz w:val="22"/>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48C458E2"/>
    <w:multiLevelType w:val="hybridMultilevel"/>
    <w:tmpl w:val="1A4AFDC0"/>
    <w:lvl w:ilvl="0" w:tplc="95E85C9E">
      <w:start w:val="1"/>
      <w:numFmt w:val="bullet"/>
      <w:pStyle w:val="dotpoint"/>
      <w:lvlText w:val="o"/>
      <w:lvlJc w:val="left"/>
      <w:pPr>
        <w:ind w:left="720" w:hanging="360"/>
      </w:pPr>
      <w:rPr>
        <w:rFonts w:ascii="Courier New" w:hAnsi="Courier New"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9B90732"/>
    <w:multiLevelType w:val="hybridMultilevel"/>
    <w:tmpl w:val="697E830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8" w15:restartNumberingAfterBreak="0">
    <w:nsid w:val="4C367099"/>
    <w:multiLevelType w:val="multilevel"/>
    <w:tmpl w:val="739C9E4C"/>
    <w:numStyleLink w:val="MurrumListStyle"/>
  </w:abstractNum>
  <w:abstractNum w:abstractNumId="29" w15:restartNumberingAfterBreak="0">
    <w:nsid w:val="4CB90C77"/>
    <w:multiLevelType w:val="hybridMultilevel"/>
    <w:tmpl w:val="6CA8E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D17CDC"/>
    <w:multiLevelType w:val="hybridMultilevel"/>
    <w:tmpl w:val="472A8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BC39E2"/>
    <w:multiLevelType w:val="hybridMultilevel"/>
    <w:tmpl w:val="971C8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233969"/>
    <w:multiLevelType w:val="hybridMultilevel"/>
    <w:tmpl w:val="AC06F2EC"/>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3" w15:restartNumberingAfterBreak="0">
    <w:nsid w:val="57C01F3C"/>
    <w:multiLevelType w:val="hybridMultilevel"/>
    <w:tmpl w:val="F228B1DC"/>
    <w:lvl w:ilvl="0" w:tplc="F5960384">
      <w:start w:val="1"/>
      <w:numFmt w:val="bullet"/>
      <w:lvlText w:val=""/>
      <w:lvlJc w:val="left"/>
      <w:pPr>
        <w:ind w:left="720" w:hanging="360"/>
      </w:pPr>
      <w:rPr>
        <w:rFonts w:ascii="Symbol" w:hAnsi="Symbol" w:hint="default"/>
      </w:rPr>
    </w:lvl>
    <w:lvl w:ilvl="1" w:tplc="574ECB2C" w:tentative="1">
      <w:start w:val="1"/>
      <w:numFmt w:val="bullet"/>
      <w:lvlText w:val="o"/>
      <w:lvlJc w:val="left"/>
      <w:pPr>
        <w:ind w:left="1440" w:hanging="360"/>
      </w:pPr>
      <w:rPr>
        <w:rFonts w:ascii="Courier New" w:hAnsi="Courier New" w:cs="Courier New" w:hint="default"/>
      </w:rPr>
    </w:lvl>
    <w:lvl w:ilvl="2" w:tplc="DADCB70A" w:tentative="1">
      <w:start w:val="1"/>
      <w:numFmt w:val="bullet"/>
      <w:lvlText w:val=""/>
      <w:lvlJc w:val="left"/>
      <w:pPr>
        <w:ind w:left="2160" w:hanging="360"/>
      </w:pPr>
      <w:rPr>
        <w:rFonts w:ascii="Wingdings" w:hAnsi="Wingdings" w:hint="default"/>
      </w:rPr>
    </w:lvl>
    <w:lvl w:ilvl="3" w:tplc="9064E81A" w:tentative="1">
      <w:start w:val="1"/>
      <w:numFmt w:val="bullet"/>
      <w:lvlText w:val=""/>
      <w:lvlJc w:val="left"/>
      <w:pPr>
        <w:ind w:left="2880" w:hanging="360"/>
      </w:pPr>
      <w:rPr>
        <w:rFonts w:ascii="Symbol" w:hAnsi="Symbol" w:hint="default"/>
      </w:rPr>
    </w:lvl>
    <w:lvl w:ilvl="4" w:tplc="E8F23F5C" w:tentative="1">
      <w:start w:val="1"/>
      <w:numFmt w:val="bullet"/>
      <w:lvlText w:val="o"/>
      <w:lvlJc w:val="left"/>
      <w:pPr>
        <w:ind w:left="3600" w:hanging="360"/>
      </w:pPr>
      <w:rPr>
        <w:rFonts w:ascii="Courier New" w:hAnsi="Courier New" w:cs="Courier New" w:hint="default"/>
      </w:rPr>
    </w:lvl>
    <w:lvl w:ilvl="5" w:tplc="16307F02" w:tentative="1">
      <w:start w:val="1"/>
      <w:numFmt w:val="bullet"/>
      <w:lvlText w:val=""/>
      <w:lvlJc w:val="left"/>
      <w:pPr>
        <w:ind w:left="4320" w:hanging="360"/>
      </w:pPr>
      <w:rPr>
        <w:rFonts w:ascii="Wingdings" w:hAnsi="Wingdings" w:hint="default"/>
      </w:rPr>
    </w:lvl>
    <w:lvl w:ilvl="6" w:tplc="083E9138" w:tentative="1">
      <w:start w:val="1"/>
      <w:numFmt w:val="bullet"/>
      <w:lvlText w:val=""/>
      <w:lvlJc w:val="left"/>
      <w:pPr>
        <w:ind w:left="5040" w:hanging="360"/>
      </w:pPr>
      <w:rPr>
        <w:rFonts w:ascii="Symbol" w:hAnsi="Symbol" w:hint="default"/>
      </w:rPr>
    </w:lvl>
    <w:lvl w:ilvl="7" w:tplc="ADFA053E" w:tentative="1">
      <w:start w:val="1"/>
      <w:numFmt w:val="bullet"/>
      <w:lvlText w:val="o"/>
      <w:lvlJc w:val="left"/>
      <w:pPr>
        <w:ind w:left="5760" w:hanging="360"/>
      </w:pPr>
      <w:rPr>
        <w:rFonts w:ascii="Courier New" w:hAnsi="Courier New" w:cs="Courier New" w:hint="default"/>
      </w:rPr>
    </w:lvl>
    <w:lvl w:ilvl="8" w:tplc="7AC2C23A" w:tentative="1">
      <w:start w:val="1"/>
      <w:numFmt w:val="bullet"/>
      <w:lvlText w:val=""/>
      <w:lvlJc w:val="left"/>
      <w:pPr>
        <w:ind w:left="6480" w:hanging="360"/>
      </w:pPr>
      <w:rPr>
        <w:rFonts w:ascii="Wingdings" w:hAnsi="Wingdings" w:hint="default"/>
      </w:rPr>
    </w:lvl>
  </w:abstractNum>
  <w:abstractNum w:abstractNumId="34" w15:restartNumberingAfterBreak="0">
    <w:nsid w:val="584468F2"/>
    <w:multiLevelType w:val="hybridMultilevel"/>
    <w:tmpl w:val="B4CA4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2B6FF1"/>
    <w:multiLevelType w:val="hybridMultilevel"/>
    <w:tmpl w:val="A08CA07C"/>
    <w:lvl w:ilvl="0" w:tplc="88B2B678">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6" w15:restartNumberingAfterBreak="0">
    <w:nsid w:val="6241132A"/>
    <w:multiLevelType w:val="hybridMultilevel"/>
    <w:tmpl w:val="C8A054F6"/>
    <w:lvl w:ilvl="0" w:tplc="B6042BA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4D5F0B"/>
    <w:multiLevelType w:val="hybridMultilevel"/>
    <w:tmpl w:val="DF9C1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932F43"/>
    <w:multiLevelType w:val="hybridMultilevel"/>
    <w:tmpl w:val="C07CFACA"/>
    <w:lvl w:ilvl="0" w:tplc="0C09000F">
      <w:start w:val="1"/>
      <w:numFmt w:val="decimal"/>
      <w:lvlText w:val="%1."/>
      <w:lvlJc w:val="left"/>
      <w:pPr>
        <w:ind w:left="6" w:hanging="360"/>
      </w:p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9" w15:restartNumberingAfterBreak="0">
    <w:nsid w:val="6B4D2A14"/>
    <w:multiLevelType w:val="hybridMultilevel"/>
    <w:tmpl w:val="1898B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F3F05DF"/>
    <w:multiLevelType w:val="hybridMultilevel"/>
    <w:tmpl w:val="D24A2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cs="Times New Roman" w:hint="default"/>
        <w:sz w:val="22"/>
      </w:rPr>
    </w:lvl>
    <w:lvl w:ilvl="1">
      <w:start w:val="1"/>
      <w:numFmt w:val="lowerLetter"/>
      <w:pStyle w:val="ListNumber2"/>
      <w:lvlText w:val="%2."/>
      <w:lvlJc w:val="left"/>
      <w:pPr>
        <w:ind w:left="738" w:hanging="369"/>
      </w:pPr>
    </w:lvl>
    <w:lvl w:ilvl="2">
      <w:start w:val="1"/>
      <w:numFmt w:val="lowerRoman"/>
      <w:pStyle w:val="ListNumber3"/>
      <w:lvlText w:val="%3."/>
      <w:lvlJc w:val="left"/>
      <w:pPr>
        <w:ind w:left="1107" w:hanging="369"/>
      </w:pPr>
    </w:lvl>
    <w:lvl w:ilvl="3">
      <w:start w:val="1"/>
      <w:numFmt w:val="none"/>
      <w:pStyle w:val="ListNumber4"/>
      <w:lvlText w:val="%4"/>
      <w:lvlJc w:val="left"/>
      <w:pPr>
        <w:ind w:left="1476" w:hanging="369"/>
      </w:pPr>
    </w:lvl>
    <w:lvl w:ilvl="4">
      <w:start w:val="1"/>
      <w:numFmt w:val="none"/>
      <w:pStyle w:val="ListNumber5"/>
      <w:lvlText w:val=""/>
      <w:lvlJc w:val="left"/>
      <w:pPr>
        <w:ind w:left="1845" w:hanging="369"/>
      </w:pPr>
    </w:lvl>
    <w:lvl w:ilvl="5">
      <w:start w:val="1"/>
      <w:numFmt w:val="none"/>
      <w:lvlText w:val=""/>
      <w:lvlJc w:val="left"/>
      <w:pPr>
        <w:ind w:left="2214" w:hanging="369"/>
      </w:pPr>
    </w:lvl>
    <w:lvl w:ilvl="6">
      <w:start w:val="1"/>
      <w:numFmt w:val="none"/>
      <w:lvlText w:val=""/>
      <w:lvlJc w:val="left"/>
      <w:pPr>
        <w:ind w:left="2583" w:hanging="369"/>
      </w:pPr>
    </w:lvl>
    <w:lvl w:ilvl="7">
      <w:start w:val="1"/>
      <w:numFmt w:val="none"/>
      <w:lvlText w:val=""/>
      <w:lvlJc w:val="left"/>
      <w:pPr>
        <w:ind w:left="2952" w:hanging="369"/>
      </w:pPr>
    </w:lvl>
    <w:lvl w:ilvl="8">
      <w:start w:val="1"/>
      <w:numFmt w:val="none"/>
      <w:lvlText w:val=""/>
      <w:lvlJc w:val="left"/>
      <w:pPr>
        <w:ind w:left="3321" w:hanging="369"/>
      </w:pPr>
    </w:lvl>
  </w:abstractNum>
  <w:abstractNum w:abstractNumId="42" w15:restartNumberingAfterBreak="0">
    <w:nsid w:val="7DBB4B3A"/>
    <w:multiLevelType w:val="hybridMultilevel"/>
    <w:tmpl w:val="7B9EF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8"/>
    <w:lvlOverride w:ilvl="0">
      <w:lvl w:ilvl="0">
        <w:start w:val="1"/>
        <w:numFmt w:val="decimal"/>
        <w:suff w:val="space"/>
        <w:lvlText w:val="%1."/>
        <w:lvlJc w:val="left"/>
        <w:pPr>
          <w:ind w:left="785" w:hanging="360"/>
        </w:pPr>
        <w:rPr>
          <w:rFonts w:cs="Times New Roman" w:hint="default"/>
        </w:rPr>
      </w:lvl>
    </w:lvlOverride>
    <w:lvlOverride w:ilvl="1">
      <w:lvl w:ilvl="1">
        <w:start w:val="1"/>
        <w:numFmt w:val="decimal"/>
        <w:pStyle w:val="MurrumH2"/>
        <w:lvlText w:val="%1.%2."/>
        <w:lvlJc w:val="left"/>
        <w:pPr>
          <w:ind w:left="432" w:hanging="432"/>
        </w:pPr>
        <w:rPr>
          <w:rFonts w:cs="Times New Roman" w:hint="default"/>
          <w:b/>
          <w:sz w:val="40"/>
          <w:szCs w:val="32"/>
        </w:rPr>
      </w:lvl>
    </w:lvlOverride>
    <w:lvlOverride w:ilvl="2">
      <w:lvl w:ilvl="2">
        <w:start w:val="1"/>
        <w:numFmt w:val="decimal"/>
        <w:pStyle w:val="MurrumH3"/>
        <w:lvlText w:val="%1.%2.%3."/>
        <w:lvlJc w:val="left"/>
        <w:pPr>
          <w:ind w:left="1072" w:hanging="504"/>
        </w:pPr>
        <w:rPr>
          <w:rFonts w:cs="Times New Roman" w:hint="default"/>
        </w:rPr>
      </w:lvl>
    </w:lvlOverride>
    <w:lvlOverride w:ilvl="3">
      <w:lvl w:ilvl="3">
        <w:start w:val="1"/>
        <w:numFmt w:val="decimal"/>
        <w:lvlText w:val="%1.%2.%3.%4."/>
        <w:lvlJc w:val="left"/>
        <w:pPr>
          <w:ind w:left="2448" w:hanging="648"/>
        </w:pPr>
        <w:rPr>
          <w:rFonts w:cs="Times New Roman" w:hint="default"/>
        </w:rPr>
      </w:lvl>
    </w:lvlOverride>
    <w:lvlOverride w:ilvl="4">
      <w:lvl w:ilvl="4">
        <w:start w:val="1"/>
        <w:numFmt w:val="decimal"/>
        <w:lvlText w:val="%1.%2.%3.%4.%5."/>
        <w:lvlJc w:val="left"/>
        <w:pPr>
          <w:ind w:left="2952" w:hanging="792"/>
        </w:pPr>
        <w:rPr>
          <w:rFonts w:cs="Times New Roman" w:hint="default"/>
        </w:rPr>
      </w:lvl>
    </w:lvlOverride>
    <w:lvlOverride w:ilvl="5">
      <w:lvl w:ilvl="5">
        <w:start w:val="1"/>
        <w:numFmt w:val="decimal"/>
        <w:lvlText w:val="%1.%2.%3.%4.%5.%6."/>
        <w:lvlJc w:val="left"/>
        <w:pPr>
          <w:ind w:left="3456" w:hanging="936"/>
        </w:pPr>
        <w:rPr>
          <w:rFonts w:cs="Times New Roman" w:hint="default"/>
        </w:rPr>
      </w:lvl>
    </w:lvlOverride>
    <w:lvlOverride w:ilvl="6">
      <w:lvl w:ilvl="6">
        <w:start w:val="1"/>
        <w:numFmt w:val="decimal"/>
        <w:lvlText w:val="%1.%2.%3.%4.%5.%6.%7."/>
        <w:lvlJc w:val="left"/>
        <w:pPr>
          <w:ind w:left="3960" w:hanging="1080"/>
        </w:pPr>
        <w:rPr>
          <w:rFonts w:cs="Times New Roman" w:hint="default"/>
        </w:rPr>
      </w:lvl>
    </w:lvlOverride>
    <w:lvlOverride w:ilvl="7">
      <w:lvl w:ilvl="7">
        <w:start w:val="1"/>
        <w:numFmt w:val="decimal"/>
        <w:lvlText w:val="%1.%2.%3.%4.%5.%6.%7.%8."/>
        <w:lvlJc w:val="left"/>
        <w:pPr>
          <w:ind w:left="4464" w:hanging="1224"/>
        </w:pPr>
        <w:rPr>
          <w:rFonts w:cs="Times New Roman" w:hint="default"/>
        </w:rPr>
      </w:lvl>
    </w:lvlOverride>
    <w:lvlOverride w:ilvl="8">
      <w:lvl w:ilvl="8">
        <w:start w:val="1"/>
        <w:numFmt w:val="decimal"/>
        <w:lvlText w:val="%1.%2.%3.%4.%5.%6.%7.%8.%9."/>
        <w:lvlJc w:val="left"/>
        <w:pPr>
          <w:ind w:left="5040" w:hanging="1440"/>
        </w:pPr>
        <w:rPr>
          <w:rFonts w:cs="Times New Roman" w:hint="default"/>
        </w:rPr>
      </w:lvl>
    </w:lvlOverride>
  </w:num>
  <w:num w:numId="4">
    <w:abstractNumId w:val="25"/>
  </w:num>
  <w:num w:numId="5">
    <w:abstractNumId w:val="1"/>
  </w:num>
  <w:num w:numId="6">
    <w:abstractNumId w:val="0"/>
  </w:num>
  <w:num w:numId="7">
    <w:abstractNumId w:val="41"/>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32"/>
  </w:num>
  <w:num w:numId="12">
    <w:abstractNumId w:val="17"/>
  </w:num>
  <w:num w:numId="13">
    <w:abstractNumId w:val="8"/>
  </w:num>
  <w:num w:numId="14">
    <w:abstractNumId w:val="39"/>
  </w:num>
  <w:num w:numId="15">
    <w:abstractNumId w:val="20"/>
  </w:num>
  <w:num w:numId="16">
    <w:abstractNumId w:val="33"/>
  </w:num>
  <w:num w:numId="17">
    <w:abstractNumId w:val="6"/>
  </w:num>
  <w:num w:numId="18">
    <w:abstractNumId w:val="3"/>
  </w:num>
  <w:num w:numId="19">
    <w:abstractNumId w:val="11"/>
  </w:num>
  <w:num w:numId="20">
    <w:abstractNumId w:val="16"/>
  </w:num>
  <w:num w:numId="21">
    <w:abstractNumId w:val="4"/>
  </w:num>
  <w:num w:numId="22">
    <w:abstractNumId w:val="14"/>
  </w:num>
  <w:num w:numId="23">
    <w:abstractNumId w:val="22"/>
  </w:num>
  <w:num w:numId="24">
    <w:abstractNumId w:val="21"/>
  </w:num>
  <w:num w:numId="25">
    <w:abstractNumId w:val="10"/>
  </w:num>
  <w:num w:numId="26">
    <w:abstractNumId w:val="27"/>
  </w:num>
  <w:num w:numId="27">
    <w:abstractNumId w:val="34"/>
  </w:num>
  <w:num w:numId="28">
    <w:abstractNumId w:val="7"/>
  </w:num>
  <w:num w:numId="29">
    <w:abstractNumId w:val="13"/>
  </w:num>
  <w:num w:numId="30">
    <w:abstractNumId w:val="30"/>
  </w:num>
  <w:num w:numId="31">
    <w:abstractNumId w:val="37"/>
  </w:num>
  <w:num w:numId="32">
    <w:abstractNumId w:val="29"/>
  </w:num>
  <w:num w:numId="33">
    <w:abstractNumId w:val="12"/>
  </w:num>
  <w:num w:numId="34">
    <w:abstractNumId w:val="40"/>
  </w:num>
  <w:num w:numId="35">
    <w:abstractNumId w:val="38"/>
  </w:num>
  <w:num w:numId="36">
    <w:abstractNumId w:val="36"/>
  </w:num>
  <w:num w:numId="37">
    <w:abstractNumId w:val="35"/>
  </w:num>
  <w:num w:numId="38">
    <w:abstractNumId w:val="42"/>
  </w:num>
  <w:num w:numId="39">
    <w:abstractNumId w:val="24"/>
  </w:num>
  <w:num w:numId="40">
    <w:abstractNumId w:val="9"/>
  </w:num>
  <w:num w:numId="41">
    <w:abstractNumId w:val="5"/>
  </w:num>
  <w:num w:numId="42">
    <w:abstractNumId w:val="31"/>
  </w:num>
  <w:num w:numId="43">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xvsda2b05fxpeaw2dp552mtrd5trxdrf0s&quot;&gt;main database&lt;record-ids&gt;&lt;item&gt;906&lt;/item&gt;&lt;item&gt;1147&lt;/item&gt;&lt;item&gt;1259&lt;/item&gt;&lt;item&gt;1326&lt;/item&gt;&lt;item&gt;1337&lt;/item&gt;&lt;item&gt;1696&lt;/item&gt;&lt;item&gt;1754&lt;/item&gt;&lt;item&gt;2473&lt;/item&gt;&lt;item&gt;2531&lt;/item&gt;&lt;item&gt;2647&lt;/item&gt;&lt;item&gt;2733&lt;/item&gt;&lt;item&gt;2755&lt;/item&gt;&lt;item&gt;2791&lt;/item&gt;&lt;item&gt;2834&lt;/item&gt;&lt;item&gt;2935&lt;/item&gt;&lt;item&gt;2951&lt;/item&gt;&lt;item&gt;2955&lt;/item&gt;&lt;item&gt;2983&lt;/item&gt;&lt;item&gt;3062&lt;/item&gt;&lt;item&gt;3063&lt;/item&gt;&lt;item&gt;3094&lt;/item&gt;&lt;item&gt;3106&lt;/item&gt;&lt;item&gt;3124&lt;/item&gt;&lt;item&gt;3161&lt;/item&gt;&lt;item&gt;3162&lt;/item&gt;&lt;item&gt;3163&lt;/item&gt;&lt;item&gt;3164&lt;/item&gt;&lt;item&gt;3165&lt;/item&gt;&lt;item&gt;3166&lt;/item&gt;&lt;item&gt;3168&lt;/item&gt;&lt;item&gt;3171&lt;/item&gt;&lt;item&gt;3172&lt;/item&gt;&lt;item&gt;3177&lt;/item&gt;&lt;item&gt;3178&lt;/item&gt;&lt;item&gt;3179&lt;/item&gt;&lt;item&gt;3181&lt;/item&gt;&lt;item&gt;3182&lt;/item&gt;&lt;item&gt;3184&lt;/item&gt;&lt;item&gt;3185&lt;/item&gt;&lt;item&gt;3186&lt;/item&gt;&lt;item&gt;3199&lt;/item&gt;&lt;item&gt;3205&lt;/item&gt;&lt;item&gt;3208&lt;/item&gt;&lt;item&gt;3216&lt;/item&gt;&lt;item&gt;3217&lt;/item&gt;&lt;item&gt;3218&lt;/item&gt;&lt;item&gt;3219&lt;/item&gt;&lt;item&gt;3220&lt;/item&gt;&lt;item&gt;3222&lt;/item&gt;&lt;item&gt;3223&lt;/item&gt;&lt;item&gt;3248&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item&gt;3263&lt;/item&gt;&lt;item&gt;3265&lt;/item&gt;&lt;item&gt;3266&lt;/item&gt;&lt;item&gt;3267&lt;/item&gt;&lt;item&gt;3268&lt;/item&gt;&lt;item&gt;3269&lt;/item&gt;&lt;item&gt;3270&lt;/item&gt;&lt;item&gt;3271&lt;/item&gt;&lt;/record-ids&gt;&lt;/item&gt;&lt;/Libraries&gt;"/>
  </w:docVars>
  <w:rsids>
    <w:rsidRoot w:val="003D4358"/>
    <w:rsid w:val="00000076"/>
    <w:rsid w:val="00000318"/>
    <w:rsid w:val="00000472"/>
    <w:rsid w:val="00000B8C"/>
    <w:rsid w:val="00000FED"/>
    <w:rsid w:val="000010A0"/>
    <w:rsid w:val="000010E4"/>
    <w:rsid w:val="0000118E"/>
    <w:rsid w:val="000011E6"/>
    <w:rsid w:val="00001306"/>
    <w:rsid w:val="0000180C"/>
    <w:rsid w:val="00001AC1"/>
    <w:rsid w:val="00001E11"/>
    <w:rsid w:val="0000218C"/>
    <w:rsid w:val="000022FB"/>
    <w:rsid w:val="00002561"/>
    <w:rsid w:val="00002774"/>
    <w:rsid w:val="000028D4"/>
    <w:rsid w:val="00002BDF"/>
    <w:rsid w:val="00003368"/>
    <w:rsid w:val="000038C7"/>
    <w:rsid w:val="00003CDE"/>
    <w:rsid w:val="00004021"/>
    <w:rsid w:val="0000447F"/>
    <w:rsid w:val="000048E0"/>
    <w:rsid w:val="00005496"/>
    <w:rsid w:val="00005BFF"/>
    <w:rsid w:val="00005EEB"/>
    <w:rsid w:val="00005F4B"/>
    <w:rsid w:val="0000604C"/>
    <w:rsid w:val="00006AA2"/>
    <w:rsid w:val="00006C43"/>
    <w:rsid w:val="00006C65"/>
    <w:rsid w:val="00006CBE"/>
    <w:rsid w:val="00006E85"/>
    <w:rsid w:val="000070E1"/>
    <w:rsid w:val="000076FD"/>
    <w:rsid w:val="000077DC"/>
    <w:rsid w:val="00007916"/>
    <w:rsid w:val="00007A57"/>
    <w:rsid w:val="00007B4B"/>
    <w:rsid w:val="00007F7F"/>
    <w:rsid w:val="00007FB4"/>
    <w:rsid w:val="0001002D"/>
    <w:rsid w:val="00010189"/>
    <w:rsid w:val="0001069D"/>
    <w:rsid w:val="00010AFE"/>
    <w:rsid w:val="00012407"/>
    <w:rsid w:val="0001263E"/>
    <w:rsid w:val="00012C75"/>
    <w:rsid w:val="000136AC"/>
    <w:rsid w:val="0001389A"/>
    <w:rsid w:val="00014B24"/>
    <w:rsid w:val="00014C6E"/>
    <w:rsid w:val="000155CA"/>
    <w:rsid w:val="0001607F"/>
    <w:rsid w:val="000169D1"/>
    <w:rsid w:val="00017291"/>
    <w:rsid w:val="0001737B"/>
    <w:rsid w:val="0001769D"/>
    <w:rsid w:val="00017957"/>
    <w:rsid w:val="00017C45"/>
    <w:rsid w:val="00017CB3"/>
    <w:rsid w:val="00022456"/>
    <w:rsid w:val="00022E13"/>
    <w:rsid w:val="00023224"/>
    <w:rsid w:val="000232C2"/>
    <w:rsid w:val="000236BC"/>
    <w:rsid w:val="00023981"/>
    <w:rsid w:val="00024AD6"/>
    <w:rsid w:val="000254C2"/>
    <w:rsid w:val="00025851"/>
    <w:rsid w:val="00025DDA"/>
    <w:rsid w:val="0002623B"/>
    <w:rsid w:val="0002630A"/>
    <w:rsid w:val="00026BF1"/>
    <w:rsid w:val="00026BF2"/>
    <w:rsid w:val="000271AF"/>
    <w:rsid w:val="00027E80"/>
    <w:rsid w:val="00027FC8"/>
    <w:rsid w:val="00030110"/>
    <w:rsid w:val="000303AD"/>
    <w:rsid w:val="000303F9"/>
    <w:rsid w:val="000304BF"/>
    <w:rsid w:val="000304E0"/>
    <w:rsid w:val="0003072D"/>
    <w:rsid w:val="00030863"/>
    <w:rsid w:val="000311A7"/>
    <w:rsid w:val="0003143B"/>
    <w:rsid w:val="00031C81"/>
    <w:rsid w:val="0003256D"/>
    <w:rsid w:val="00032A00"/>
    <w:rsid w:val="00032F7C"/>
    <w:rsid w:val="00033119"/>
    <w:rsid w:val="0003336C"/>
    <w:rsid w:val="000335FE"/>
    <w:rsid w:val="0003365C"/>
    <w:rsid w:val="00033C35"/>
    <w:rsid w:val="00034747"/>
    <w:rsid w:val="00034940"/>
    <w:rsid w:val="000354E3"/>
    <w:rsid w:val="00035F7C"/>
    <w:rsid w:val="00036304"/>
    <w:rsid w:val="00036528"/>
    <w:rsid w:val="000367EB"/>
    <w:rsid w:val="00036CD6"/>
    <w:rsid w:val="00037BAE"/>
    <w:rsid w:val="00037F02"/>
    <w:rsid w:val="0004030C"/>
    <w:rsid w:val="000408C9"/>
    <w:rsid w:val="00040B24"/>
    <w:rsid w:val="00040C45"/>
    <w:rsid w:val="00041326"/>
    <w:rsid w:val="00041B8F"/>
    <w:rsid w:val="00041CBE"/>
    <w:rsid w:val="000421DE"/>
    <w:rsid w:val="00042426"/>
    <w:rsid w:val="00042A47"/>
    <w:rsid w:val="00042C87"/>
    <w:rsid w:val="00042DFD"/>
    <w:rsid w:val="000434F7"/>
    <w:rsid w:val="00043617"/>
    <w:rsid w:val="000444AE"/>
    <w:rsid w:val="00044643"/>
    <w:rsid w:val="00044DE1"/>
    <w:rsid w:val="00045264"/>
    <w:rsid w:val="000458AA"/>
    <w:rsid w:val="0004597B"/>
    <w:rsid w:val="00045B27"/>
    <w:rsid w:val="00045C8E"/>
    <w:rsid w:val="00045DA0"/>
    <w:rsid w:val="000460B5"/>
    <w:rsid w:val="00046251"/>
    <w:rsid w:val="000462F7"/>
    <w:rsid w:val="000464E2"/>
    <w:rsid w:val="0004661D"/>
    <w:rsid w:val="00046914"/>
    <w:rsid w:val="0004717B"/>
    <w:rsid w:val="000471B0"/>
    <w:rsid w:val="00047422"/>
    <w:rsid w:val="00047D23"/>
    <w:rsid w:val="00047D9D"/>
    <w:rsid w:val="000504AD"/>
    <w:rsid w:val="00050725"/>
    <w:rsid w:val="00051512"/>
    <w:rsid w:val="0005178A"/>
    <w:rsid w:val="00051813"/>
    <w:rsid w:val="00051D45"/>
    <w:rsid w:val="00051EE1"/>
    <w:rsid w:val="00052289"/>
    <w:rsid w:val="00052348"/>
    <w:rsid w:val="0005244A"/>
    <w:rsid w:val="00052477"/>
    <w:rsid w:val="000529FF"/>
    <w:rsid w:val="00053856"/>
    <w:rsid w:val="00053A16"/>
    <w:rsid w:val="00053B0F"/>
    <w:rsid w:val="00053D27"/>
    <w:rsid w:val="0005434C"/>
    <w:rsid w:val="00054678"/>
    <w:rsid w:val="00054718"/>
    <w:rsid w:val="00054B0C"/>
    <w:rsid w:val="00054C1E"/>
    <w:rsid w:val="00054F26"/>
    <w:rsid w:val="000552CC"/>
    <w:rsid w:val="0005531A"/>
    <w:rsid w:val="00055354"/>
    <w:rsid w:val="000558D0"/>
    <w:rsid w:val="00055920"/>
    <w:rsid w:val="00055EAA"/>
    <w:rsid w:val="0005645C"/>
    <w:rsid w:val="000565FF"/>
    <w:rsid w:val="000566C4"/>
    <w:rsid w:val="00056851"/>
    <w:rsid w:val="00056BE3"/>
    <w:rsid w:val="00056E18"/>
    <w:rsid w:val="00056F24"/>
    <w:rsid w:val="00056FA0"/>
    <w:rsid w:val="000572D6"/>
    <w:rsid w:val="00057856"/>
    <w:rsid w:val="00057DD3"/>
    <w:rsid w:val="000602B4"/>
    <w:rsid w:val="000604B2"/>
    <w:rsid w:val="00060642"/>
    <w:rsid w:val="0006073E"/>
    <w:rsid w:val="00060C43"/>
    <w:rsid w:val="00060FCB"/>
    <w:rsid w:val="0006173A"/>
    <w:rsid w:val="00062455"/>
    <w:rsid w:val="0006247C"/>
    <w:rsid w:val="00062837"/>
    <w:rsid w:val="00062B04"/>
    <w:rsid w:val="000632BD"/>
    <w:rsid w:val="00063AAE"/>
    <w:rsid w:val="00063D61"/>
    <w:rsid w:val="00064254"/>
    <w:rsid w:val="00065225"/>
    <w:rsid w:val="00065B96"/>
    <w:rsid w:val="00066046"/>
    <w:rsid w:val="00066057"/>
    <w:rsid w:val="000661CE"/>
    <w:rsid w:val="000664ED"/>
    <w:rsid w:val="00066C8C"/>
    <w:rsid w:val="00066DDA"/>
    <w:rsid w:val="00067CF0"/>
    <w:rsid w:val="00070D41"/>
    <w:rsid w:val="00070EDC"/>
    <w:rsid w:val="0007117D"/>
    <w:rsid w:val="000717D9"/>
    <w:rsid w:val="000718A3"/>
    <w:rsid w:val="0007224D"/>
    <w:rsid w:val="00072C97"/>
    <w:rsid w:val="00072CDE"/>
    <w:rsid w:val="000732AD"/>
    <w:rsid w:val="0007338E"/>
    <w:rsid w:val="000734B1"/>
    <w:rsid w:val="0007392D"/>
    <w:rsid w:val="00074D2A"/>
    <w:rsid w:val="00074DF8"/>
    <w:rsid w:val="00074E88"/>
    <w:rsid w:val="00074FE7"/>
    <w:rsid w:val="000751B0"/>
    <w:rsid w:val="000757B4"/>
    <w:rsid w:val="00077775"/>
    <w:rsid w:val="00077AD4"/>
    <w:rsid w:val="00077BDD"/>
    <w:rsid w:val="00077D07"/>
    <w:rsid w:val="00080486"/>
    <w:rsid w:val="000808A6"/>
    <w:rsid w:val="000813E3"/>
    <w:rsid w:val="0008155B"/>
    <w:rsid w:val="00081606"/>
    <w:rsid w:val="00082043"/>
    <w:rsid w:val="000824D0"/>
    <w:rsid w:val="0008260E"/>
    <w:rsid w:val="00082E15"/>
    <w:rsid w:val="0008361C"/>
    <w:rsid w:val="00083A75"/>
    <w:rsid w:val="00083D2B"/>
    <w:rsid w:val="000842A2"/>
    <w:rsid w:val="00084F55"/>
    <w:rsid w:val="000856D5"/>
    <w:rsid w:val="000858D7"/>
    <w:rsid w:val="00085D64"/>
    <w:rsid w:val="00085EAB"/>
    <w:rsid w:val="00085FA6"/>
    <w:rsid w:val="000863FF"/>
    <w:rsid w:val="00086885"/>
    <w:rsid w:val="000868CE"/>
    <w:rsid w:val="00086959"/>
    <w:rsid w:val="00086C2A"/>
    <w:rsid w:val="00086FEE"/>
    <w:rsid w:val="00086FF4"/>
    <w:rsid w:val="000872D2"/>
    <w:rsid w:val="0008796E"/>
    <w:rsid w:val="00087F65"/>
    <w:rsid w:val="000901C7"/>
    <w:rsid w:val="000905A8"/>
    <w:rsid w:val="00090B0F"/>
    <w:rsid w:val="00091208"/>
    <w:rsid w:val="0009147C"/>
    <w:rsid w:val="00091743"/>
    <w:rsid w:val="00092180"/>
    <w:rsid w:val="00092AA4"/>
    <w:rsid w:val="00092E09"/>
    <w:rsid w:val="000934CD"/>
    <w:rsid w:val="00093B24"/>
    <w:rsid w:val="00093C2A"/>
    <w:rsid w:val="0009435E"/>
    <w:rsid w:val="0009501A"/>
    <w:rsid w:val="0009516D"/>
    <w:rsid w:val="000952A6"/>
    <w:rsid w:val="000954C6"/>
    <w:rsid w:val="0009589A"/>
    <w:rsid w:val="0009650E"/>
    <w:rsid w:val="00096C51"/>
    <w:rsid w:val="00096E57"/>
    <w:rsid w:val="00096F4B"/>
    <w:rsid w:val="0009713A"/>
    <w:rsid w:val="000974B5"/>
    <w:rsid w:val="00097512"/>
    <w:rsid w:val="0009777A"/>
    <w:rsid w:val="00097FE4"/>
    <w:rsid w:val="000A0280"/>
    <w:rsid w:val="000A097B"/>
    <w:rsid w:val="000A0B6B"/>
    <w:rsid w:val="000A0DF0"/>
    <w:rsid w:val="000A1B27"/>
    <w:rsid w:val="000A1C85"/>
    <w:rsid w:val="000A204A"/>
    <w:rsid w:val="000A218C"/>
    <w:rsid w:val="000A269E"/>
    <w:rsid w:val="000A2A70"/>
    <w:rsid w:val="000A2BC9"/>
    <w:rsid w:val="000A3542"/>
    <w:rsid w:val="000A3633"/>
    <w:rsid w:val="000A377E"/>
    <w:rsid w:val="000A4BC5"/>
    <w:rsid w:val="000A4C59"/>
    <w:rsid w:val="000A4C5A"/>
    <w:rsid w:val="000A511A"/>
    <w:rsid w:val="000A544D"/>
    <w:rsid w:val="000A5595"/>
    <w:rsid w:val="000A7373"/>
    <w:rsid w:val="000A7760"/>
    <w:rsid w:val="000A7FFB"/>
    <w:rsid w:val="000B0293"/>
    <w:rsid w:val="000B0417"/>
    <w:rsid w:val="000B0C8D"/>
    <w:rsid w:val="000B11BF"/>
    <w:rsid w:val="000B1443"/>
    <w:rsid w:val="000B154F"/>
    <w:rsid w:val="000B1771"/>
    <w:rsid w:val="000B2D5D"/>
    <w:rsid w:val="000B2DB6"/>
    <w:rsid w:val="000B2E9A"/>
    <w:rsid w:val="000B3666"/>
    <w:rsid w:val="000B392B"/>
    <w:rsid w:val="000B3D78"/>
    <w:rsid w:val="000B480E"/>
    <w:rsid w:val="000B513B"/>
    <w:rsid w:val="000B53FF"/>
    <w:rsid w:val="000B5816"/>
    <w:rsid w:val="000B5D36"/>
    <w:rsid w:val="000B5FD7"/>
    <w:rsid w:val="000B61B6"/>
    <w:rsid w:val="000B6FEC"/>
    <w:rsid w:val="000B7C55"/>
    <w:rsid w:val="000C028D"/>
    <w:rsid w:val="000C0806"/>
    <w:rsid w:val="000C0AE4"/>
    <w:rsid w:val="000C13D2"/>
    <w:rsid w:val="000C1ACC"/>
    <w:rsid w:val="000C1DEB"/>
    <w:rsid w:val="000C1F42"/>
    <w:rsid w:val="000C2237"/>
    <w:rsid w:val="000C25FB"/>
    <w:rsid w:val="000C2720"/>
    <w:rsid w:val="000C28CD"/>
    <w:rsid w:val="000C2A4D"/>
    <w:rsid w:val="000C2A6F"/>
    <w:rsid w:val="000C30D3"/>
    <w:rsid w:val="000C3552"/>
    <w:rsid w:val="000C3771"/>
    <w:rsid w:val="000C38A8"/>
    <w:rsid w:val="000C3F9C"/>
    <w:rsid w:val="000C41CB"/>
    <w:rsid w:val="000C4278"/>
    <w:rsid w:val="000C5C16"/>
    <w:rsid w:val="000C5EE6"/>
    <w:rsid w:val="000C6016"/>
    <w:rsid w:val="000C6192"/>
    <w:rsid w:val="000C63DB"/>
    <w:rsid w:val="000C6BA7"/>
    <w:rsid w:val="000C6BDD"/>
    <w:rsid w:val="000C7234"/>
    <w:rsid w:val="000C7605"/>
    <w:rsid w:val="000C7D76"/>
    <w:rsid w:val="000D0387"/>
    <w:rsid w:val="000D0526"/>
    <w:rsid w:val="000D0669"/>
    <w:rsid w:val="000D0967"/>
    <w:rsid w:val="000D09FF"/>
    <w:rsid w:val="000D0DB3"/>
    <w:rsid w:val="000D0DCB"/>
    <w:rsid w:val="000D105B"/>
    <w:rsid w:val="000D13BE"/>
    <w:rsid w:val="000D16F8"/>
    <w:rsid w:val="000D17D4"/>
    <w:rsid w:val="000D1CC6"/>
    <w:rsid w:val="000D1FB1"/>
    <w:rsid w:val="000D26CC"/>
    <w:rsid w:val="000D2D0D"/>
    <w:rsid w:val="000D2DB0"/>
    <w:rsid w:val="000D30CA"/>
    <w:rsid w:val="000D3A12"/>
    <w:rsid w:val="000D3D27"/>
    <w:rsid w:val="000D4074"/>
    <w:rsid w:val="000D4B51"/>
    <w:rsid w:val="000D4E0B"/>
    <w:rsid w:val="000D4FBF"/>
    <w:rsid w:val="000D50A6"/>
    <w:rsid w:val="000D5416"/>
    <w:rsid w:val="000D5675"/>
    <w:rsid w:val="000D569B"/>
    <w:rsid w:val="000D58BB"/>
    <w:rsid w:val="000D5B75"/>
    <w:rsid w:val="000D64E2"/>
    <w:rsid w:val="000D666F"/>
    <w:rsid w:val="000D6CBF"/>
    <w:rsid w:val="000D6E21"/>
    <w:rsid w:val="000D7392"/>
    <w:rsid w:val="000D78E6"/>
    <w:rsid w:val="000D7937"/>
    <w:rsid w:val="000E02CD"/>
    <w:rsid w:val="000E049D"/>
    <w:rsid w:val="000E0975"/>
    <w:rsid w:val="000E0D45"/>
    <w:rsid w:val="000E0F8B"/>
    <w:rsid w:val="000E10A7"/>
    <w:rsid w:val="000E1152"/>
    <w:rsid w:val="000E11F2"/>
    <w:rsid w:val="000E1549"/>
    <w:rsid w:val="000E15F6"/>
    <w:rsid w:val="000E1FA3"/>
    <w:rsid w:val="000E3759"/>
    <w:rsid w:val="000E3882"/>
    <w:rsid w:val="000E43F3"/>
    <w:rsid w:val="000E44DD"/>
    <w:rsid w:val="000E469C"/>
    <w:rsid w:val="000E484B"/>
    <w:rsid w:val="000E4E8A"/>
    <w:rsid w:val="000E5066"/>
    <w:rsid w:val="000E522F"/>
    <w:rsid w:val="000E52D3"/>
    <w:rsid w:val="000E5A28"/>
    <w:rsid w:val="000E606D"/>
    <w:rsid w:val="000E6186"/>
    <w:rsid w:val="000E63F8"/>
    <w:rsid w:val="000E6630"/>
    <w:rsid w:val="000E673A"/>
    <w:rsid w:val="000E6759"/>
    <w:rsid w:val="000E69C9"/>
    <w:rsid w:val="000E6CE3"/>
    <w:rsid w:val="000E6DA4"/>
    <w:rsid w:val="000E6EFC"/>
    <w:rsid w:val="000E7247"/>
    <w:rsid w:val="000E741F"/>
    <w:rsid w:val="000E7CA6"/>
    <w:rsid w:val="000E7CB0"/>
    <w:rsid w:val="000F07D1"/>
    <w:rsid w:val="000F0F9E"/>
    <w:rsid w:val="000F0FDF"/>
    <w:rsid w:val="000F2207"/>
    <w:rsid w:val="000F236C"/>
    <w:rsid w:val="000F2AEB"/>
    <w:rsid w:val="000F2CF3"/>
    <w:rsid w:val="000F30AA"/>
    <w:rsid w:val="000F3967"/>
    <w:rsid w:val="000F3A05"/>
    <w:rsid w:val="000F3E83"/>
    <w:rsid w:val="000F40CE"/>
    <w:rsid w:val="000F4114"/>
    <w:rsid w:val="000F41C5"/>
    <w:rsid w:val="000F4257"/>
    <w:rsid w:val="000F47A7"/>
    <w:rsid w:val="000F47F5"/>
    <w:rsid w:val="000F5796"/>
    <w:rsid w:val="000F5A97"/>
    <w:rsid w:val="000F6005"/>
    <w:rsid w:val="000F6424"/>
    <w:rsid w:val="000F6526"/>
    <w:rsid w:val="000F6B94"/>
    <w:rsid w:val="000F7707"/>
    <w:rsid w:val="001006F2"/>
    <w:rsid w:val="00100AAE"/>
    <w:rsid w:val="00100ECB"/>
    <w:rsid w:val="001012C1"/>
    <w:rsid w:val="00102122"/>
    <w:rsid w:val="001022E3"/>
    <w:rsid w:val="0010331B"/>
    <w:rsid w:val="0010371E"/>
    <w:rsid w:val="001038F4"/>
    <w:rsid w:val="001041B0"/>
    <w:rsid w:val="0010455D"/>
    <w:rsid w:val="00105A03"/>
    <w:rsid w:val="001062BB"/>
    <w:rsid w:val="001064DA"/>
    <w:rsid w:val="0010688E"/>
    <w:rsid w:val="00106F71"/>
    <w:rsid w:val="0011009D"/>
    <w:rsid w:val="00110120"/>
    <w:rsid w:val="0011031E"/>
    <w:rsid w:val="00110704"/>
    <w:rsid w:val="00111A24"/>
    <w:rsid w:val="00112051"/>
    <w:rsid w:val="00112114"/>
    <w:rsid w:val="00112CD3"/>
    <w:rsid w:val="0011305D"/>
    <w:rsid w:val="001130BF"/>
    <w:rsid w:val="001133E8"/>
    <w:rsid w:val="00113421"/>
    <w:rsid w:val="001134A0"/>
    <w:rsid w:val="001139F1"/>
    <w:rsid w:val="00113BF0"/>
    <w:rsid w:val="00113C82"/>
    <w:rsid w:val="001148AE"/>
    <w:rsid w:val="00114FB2"/>
    <w:rsid w:val="0011558C"/>
    <w:rsid w:val="00115A7E"/>
    <w:rsid w:val="00115C34"/>
    <w:rsid w:val="00116064"/>
    <w:rsid w:val="00116153"/>
    <w:rsid w:val="0011625C"/>
    <w:rsid w:val="00116302"/>
    <w:rsid w:val="00116BE4"/>
    <w:rsid w:val="00116E4B"/>
    <w:rsid w:val="00116EDF"/>
    <w:rsid w:val="00116F49"/>
    <w:rsid w:val="0011739D"/>
    <w:rsid w:val="00117EB3"/>
    <w:rsid w:val="00117F2C"/>
    <w:rsid w:val="00120454"/>
    <w:rsid w:val="00120BE6"/>
    <w:rsid w:val="001213D1"/>
    <w:rsid w:val="00121BC4"/>
    <w:rsid w:val="00122D20"/>
    <w:rsid w:val="0012382B"/>
    <w:rsid w:val="00123BCE"/>
    <w:rsid w:val="00123BDD"/>
    <w:rsid w:val="00123CE0"/>
    <w:rsid w:val="00123D8B"/>
    <w:rsid w:val="00123FCC"/>
    <w:rsid w:val="00124327"/>
    <w:rsid w:val="0012481D"/>
    <w:rsid w:val="00124B65"/>
    <w:rsid w:val="0012505E"/>
    <w:rsid w:val="00125679"/>
    <w:rsid w:val="00125954"/>
    <w:rsid w:val="00125E10"/>
    <w:rsid w:val="0012612B"/>
    <w:rsid w:val="00126598"/>
    <w:rsid w:val="0012677A"/>
    <w:rsid w:val="00127CA0"/>
    <w:rsid w:val="00130077"/>
    <w:rsid w:val="001300C7"/>
    <w:rsid w:val="001304B2"/>
    <w:rsid w:val="001306B0"/>
    <w:rsid w:val="00130DD6"/>
    <w:rsid w:val="001311C6"/>
    <w:rsid w:val="0013127F"/>
    <w:rsid w:val="00131506"/>
    <w:rsid w:val="00131B4D"/>
    <w:rsid w:val="00131B79"/>
    <w:rsid w:val="00131BA4"/>
    <w:rsid w:val="001321F4"/>
    <w:rsid w:val="0013281B"/>
    <w:rsid w:val="00133158"/>
    <w:rsid w:val="00133B75"/>
    <w:rsid w:val="00133CFD"/>
    <w:rsid w:val="001344AD"/>
    <w:rsid w:val="001349AF"/>
    <w:rsid w:val="0013624C"/>
    <w:rsid w:val="00136A58"/>
    <w:rsid w:val="00136A92"/>
    <w:rsid w:val="0013710B"/>
    <w:rsid w:val="001371F5"/>
    <w:rsid w:val="001402B5"/>
    <w:rsid w:val="00140347"/>
    <w:rsid w:val="0014038C"/>
    <w:rsid w:val="0014040D"/>
    <w:rsid w:val="00140573"/>
    <w:rsid w:val="00140C4B"/>
    <w:rsid w:val="00140C77"/>
    <w:rsid w:val="00140D24"/>
    <w:rsid w:val="00140EF9"/>
    <w:rsid w:val="00141079"/>
    <w:rsid w:val="001413A3"/>
    <w:rsid w:val="00141837"/>
    <w:rsid w:val="00141F8B"/>
    <w:rsid w:val="001423F0"/>
    <w:rsid w:val="0014263C"/>
    <w:rsid w:val="0014264D"/>
    <w:rsid w:val="00142AE8"/>
    <w:rsid w:val="00142EF2"/>
    <w:rsid w:val="00143052"/>
    <w:rsid w:val="001430F9"/>
    <w:rsid w:val="001436D3"/>
    <w:rsid w:val="00143EBA"/>
    <w:rsid w:val="0014481A"/>
    <w:rsid w:val="00144E1C"/>
    <w:rsid w:val="00145301"/>
    <w:rsid w:val="0014543E"/>
    <w:rsid w:val="001458D2"/>
    <w:rsid w:val="001459A3"/>
    <w:rsid w:val="00145E37"/>
    <w:rsid w:val="00145EB3"/>
    <w:rsid w:val="00146A82"/>
    <w:rsid w:val="00146F64"/>
    <w:rsid w:val="001472CC"/>
    <w:rsid w:val="001474CD"/>
    <w:rsid w:val="0014773F"/>
    <w:rsid w:val="0015003B"/>
    <w:rsid w:val="001503C2"/>
    <w:rsid w:val="0015099A"/>
    <w:rsid w:val="00150DD5"/>
    <w:rsid w:val="00151451"/>
    <w:rsid w:val="00151761"/>
    <w:rsid w:val="00151937"/>
    <w:rsid w:val="00151B0D"/>
    <w:rsid w:val="00151D8C"/>
    <w:rsid w:val="001526E6"/>
    <w:rsid w:val="00153BB4"/>
    <w:rsid w:val="00153C15"/>
    <w:rsid w:val="0015409A"/>
    <w:rsid w:val="00154100"/>
    <w:rsid w:val="0015451F"/>
    <w:rsid w:val="001547BB"/>
    <w:rsid w:val="001547FE"/>
    <w:rsid w:val="00154BE1"/>
    <w:rsid w:val="00154E45"/>
    <w:rsid w:val="001551A5"/>
    <w:rsid w:val="00155EF3"/>
    <w:rsid w:val="00155FC0"/>
    <w:rsid w:val="00156263"/>
    <w:rsid w:val="001575A8"/>
    <w:rsid w:val="00157897"/>
    <w:rsid w:val="0015799A"/>
    <w:rsid w:val="00157EA8"/>
    <w:rsid w:val="001600C2"/>
    <w:rsid w:val="0016014F"/>
    <w:rsid w:val="001608CC"/>
    <w:rsid w:val="00160EF4"/>
    <w:rsid w:val="00161435"/>
    <w:rsid w:val="00161E72"/>
    <w:rsid w:val="00161EDA"/>
    <w:rsid w:val="00162111"/>
    <w:rsid w:val="001621B2"/>
    <w:rsid w:val="001625D5"/>
    <w:rsid w:val="001628B2"/>
    <w:rsid w:val="00162A84"/>
    <w:rsid w:val="001635D0"/>
    <w:rsid w:val="001635EC"/>
    <w:rsid w:val="0016373D"/>
    <w:rsid w:val="00163ACE"/>
    <w:rsid w:val="00163B8B"/>
    <w:rsid w:val="001643AC"/>
    <w:rsid w:val="0016442D"/>
    <w:rsid w:val="00164C10"/>
    <w:rsid w:val="00164C82"/>
    <w:rsid w:val="00165176"/>
    <w:rsid w:val="001657B6"/>
    <w:rsid w:val="001666B0"/>
    <w:rsid w:val="001666D2"/>
    <w:rsid w:val="00166D86"/>
    <w:rsid w:val="00166F1C"/>
    <w:rsid w:val="001677F8"/>
    <w:rsid w:val="00167A43"/>
    <w:rsid w:val="00167C42"/>
    <w:rsid w:val="001700C6"/>
    <w:rsid w:val="00170100"/>
    <w:rsid w:val="0017018D"/>
    <w:rsid w:val="00172947"/>
    <w:rsid w:val="00173246"/>
    <w:rsid w:val="00173491"/>
    <w:rsid w:val="001739FF"/>
    <w:rsid w:val="00173E99"/>
    <w:rsid w:val="00175472"/>
    <w:rsid w:val="001754E7"/>
    <w:rsid w:val="00175824"/>
    <w:rsid w:val="00175B52"/>
    <w:rsid w:val="00175BC2"/>
    <w:rsid w:val="00175C68"/>
    <w:rsid w:val="00175D07"/>
    <w:rsid w:val="00176537"/>
    <w:rsid w:val="0017687B"/>
    <w:rsid w:val="00176965"/>
    <w:rsid w:val="00176976"/>
    <w:rsid w:val="001769A6"/>
    <w:rsid w:val="001774B5"/>
    <w:rsid w:val="00177DD4"/>
    <w:rsid w:val="0018009E"/>
    <w:rsid w:val="001805A2"/>
    <w:rsid w:val="00180914"/>
    <w:rsid w:val="00180BBF"/>
    <w:rsid w:val="00180D4F"/>
    <w:rsid w:val="0018119E"/>
    <w:rsid w:val="0018186E"/>
    <w:rsid w:val="0018195B"/>
    <w:rsid w:val="00181BF3"/>
    <w:rsid w:val="00181EB9"/>
    <w:rsid w:val="00181F18"/>
    <w:rsid w:val="00182122"/>
    <w:rsid w:val="00182255"/>
    <w:rsid w:val="00183005"/>
    <w:rsid w:val="0018366C"/>
    <w:rsid w:val="00183A4F"/>
    <w:rsid w:val="00183AB3"/>
    <w:rsid w:val="00183DDE"/>
    <w:rsid w:val="00184042"/>
    <w:rsid w:val="001850A7"/>
    <w:rsid w:val="00185150"/>
    <w:rsid w:val="0018604F"/>
    <w:rsid w:val="00186B30"/>
    <w:rsid w:val="00187DB9"/>
    <w:rsid w:val="00187EF7"/>
    <w:rsid w:val="00190394"/>
    <w:rsid w:val="00190725"/>
    <w:rsid w:val="00191B05"/>
    <w:rsid w:val="00191B11"/>
    <w:rsid w:val="00192193"/>
    <w:rsid w:val="001922B5"/>
    <w:rsid w:val="0019275F"/>
    <w:rsid w:val="00192A3C"/>
    <w:rsid w:val="00192F1A"/>
    <w:rsid w:val="00193B1C"/>
    <w:rsid w:val="00193D29"/>
    <w:rsid w:val="00193D83"/>
    <w:rsid w:val="00194172"/>
    <w:rsid w:val="001941A0"/>
    <w:rsid w:val="0019442F"/>
    <w:rsid w:val="00194454"/>
    <w:rsid w:val="0019479C"/>
    <w:rsid w:val="00194AE2"/>
    <w:rsid w:val="00194C8C"/>
    <w:rsid w:val="00194E1A"/>
    <w:rsid w:val="00195686"/>
    <w:rsid w:val="001960EF"/>
    <w:rsid w:val="00196543"/>
    <w:rsid w:val="0019683D"/>
    <w:rsid w:val="00196E47"/>
    <w:rsid w:val="00197D76"/>
    <w:rsid w:val="001A01AC"/>
    <w:rsid w:val="001A0ABC"/>
    <w:rsid w:val="001A10B4"/>
    <w:rsid w:val="001A1335"/>
    <w:rsid w:val="001A19DC"/>
    <w:rsid w:val="001A1ABD"/>
    <w:rsid w:val="001A1B68"/>
    <w:rsid w:val="001A203B"/>
    <w:rsid w:val="001A2B48"/>
    <w:rsid w:val="001A2C2F"/>
    <w:rsid w:val="001A2D1B"/>
    <w:rsid w:val="001A2F18"/>
    <w:rsid w:val="001A34C6"/>
    <w:rsid w:val="001A4057"/>
    <w:rsid w:val="001A43F5"/>
    <w:rsid w:val="001A496F"/>
    <w:rsid w:val="001A59E1"/>
    <w:rsid w:val="001A6E43"/>
    <w:rsid w:val="001A7002"/>
    <w:rsid w:val="001A7311"/>
    <w:rsid w:val="001A7B04"/>
    <w:rsid w:val="001B0884"/>
    <w:rsid w:val="001B0AC4"/>
    <w:rsid w:val="001B10C3"/>
    <w:rsid w:val="001B1DEE"/>
    <w:rsid w:val="001B1E41"/>
    <w:rsid w:val="001B211F"/>
    <w:rsid w:val="001B2648"/>
    <w:rsid w:val="001B27C6"/>
    <w:rsid w:val="001B286D"/>
    <w:rsid w:val="001B2C5A"/>
    <w:rsid w:val="001B2D8C"/>
    <w:rsid w:val="001B2DDE"/>
    <w:rsid w:val="001B329E"/>
    <w:rsid w:val="001B3A04"/>
    <w:rsid w:val="001B3DCF"/>
    <w:rsid w:val="001B3EC2"/>
    <w:rsid w:val="001B3F30"/>
    <w:rsid w:val="001B4148"/>
    <w:rsid w:val="001B436C"/>
    <w:rsid w:val="001B43F6"/>
    <w:rsid w:val="001B43FE"/>
    <w:rsid w:val="001B4447"/>
    <w:rsid w:val="001B53BF"/>
    <w:rsid w:val="001B56A7"/>
    <w:rsid w:val="001B57C6"/>
    <w:rsid w:val="001B676B"/>
    <w:rsid w:val="001B6BD1"/>
    <w:rsid w:val="001B79D7"/>
    <w:rsid w:val="001C0619"/>
    <w:rsid w:val="001C072E"/>
    <w:rsid w:val="001C1043"/>
    <w:rsid w:val="001C1170"/>
    <w:rsid w:val="001C1306"/>
    <w:rsid w:val="001C15FE"/>
    <w:rsid w:val="001C1640"/>
    <w:rsid w:val="001C2686"/>
    <w:rsid w:val="001C2E53"/>
    <w:rsid w:val="001C2E55"/>
    <w:rsid w:val="001C32E8"/>
    <w:rsid w:val="001C3469"/>
    <w:rsid w:val="001C433A"/>
    <w:rsid w:val="001C441F"/>
    <w:rsid w:val="001C47A5"/>
    <w:rsid w:val="001C4883"/>
    <w:rsid w:val="001C4C5A"/>
    <w:rsid w:val="001C5373"/>
    <w:rsid w:val="001C5531"/>
    <w:rsid w:val="001C56EA"/>
    <w:rsid w:val="001C5DCC"/>
    <w:rsid w:val="001C63D9"/>
    <w:rsid w:val="001C67C3"/>
    <w:rsid w:val="001C69B0"/>
    <w:rsid w:val="001C6A10"/>
    <w:rsid w:val="001C7158"/>
    <w:rsid w:val="001C735B"/>
    <w:rsid w:val="001C7796"/>
    <w:rsid w:val="001C7A33"/>
    <w:rsid w:val="001C7CBF"/>
    <w:rsid w:val="001D00F4"/>
    <w:rsid w:val="001D0150"/>
    <w:rsid w:val="001D0702"/>
    <w:rsid w:val="001D0CE9"/>
    <w:rsid w:val="001D0DC1"/>
    <w:rsid w:val="001D0E92"/>
    <w:rsid w:val="001D14D8"/>
    <w:rsid w:val="001D15F1"/>
    <w:rsid w:val="001D1854"/>
    <w:rsid w:val="001D2113"/>
    <w:rsid w:val="001D2C02"/>
    <w:rsid w:val="001D3E87"/>
    <w:rsid w:val="001D3F64"/>
    <w:rsid w:val="001D4EA7"/>
    <w:rsid w:val="001D5947"/>
    <w:rsid w:val="001D5E3E"/>
    <w:rsid w:val="001D5FB3"/>
    <w:rsid w:val="001D63E4"/>
    <w:rsid w:val="001D69B4"/>
    <w:rsid w:val="001D6DFB"/>
    <w:rsid w:val="001D7084"/>
    <w:rsid w:val="001D7479"/>
    <w:rsid w:val="001D7505"/>
    <w:rsid w:val="001D78E1"/>
    <w:rsid w:val="001E0645"/>
    <w:rsid w:val="001E0EDE"/>
    <w:rsid w:val="001E16ED"/>
    <w:rsid w:val="001E1B61"/>
    <w:rsid w:val="001E1DBA"/>
    <w:rsid w:val="001E1F4E"/>
    <w:rsid w:val="001E225E"/>
    <w:rsid w:val="001E2530"/>
    <w:rsid w:val="001E2A6C"/>
    <w:rsid w:val="001E2E59"/>
    <w:rsid w:val="001E2EEA"/>
    <w:rsid w:val="001E3156"/>
    <w:rsid w:val="001E3C65"/>
    <w:rsid w:val="001E44BE"/>
    <w:rsid w:val="001E4987"/>
    <w:rsid w:val="001E4D71"/>
    <w:rsid w:val="001E54E7"/>
    <w:rsid w:val="001E6336"/>
    <w:rsid w:val="001E6598"/>
    <w:rsid w:val="001E6C51"/>
    <w:rsid w:val="001E6D65"/>
    <w:rsid w:val="001E6DFB"/>
    <w:rsid w:val="001E7499"/>
    <w:rsid w:val="001E7E0E"/>
    <w:rsid w:val="001E7F5E"/>
    <w:rsid w:val="001F020C"/>
    <w:rsid w:val="001F024E"/>
    <w:rsid w:val="001F05B2"/>
    <w:rsid w:val="001F0AFB"/>
    <w:rsid w:val="001F0F0F"/>
    <w:rsid w:val="001F11B1"/>
    <w:rsid w:val="001F13A0"/>
    <w:rsid w:val="001F1411"/>
    <w:rsid w:val="001F1C76"/>
    <w:rsid w:val="001F1D8E"/>
    <w:rsid w:val="001F1FE0"/>
    <w:rsid w:val="001F2F03"/>
    <w:rsid w:val="001F319C"/>
    <w:rsid w:val="001F3337"/>
    <w:rsid w:val="001F34A7"/>
    <w:rsid w:val="001F3BF9"/>
    <w:rsid w:val="001F3E19"/>
    <w:rsid w:val="001F413C"/>
    <w:rsid w:val="001F4547"/>
    <w:rsid w:val="001F4680"/>
    <w:rsid w:val="001F4D6A"/>
    <w:rsid w:val="001F5569"/>
    <w:rsid w:val="001F5832"/>
    <w:rsid w:val="001F5B29"/>
    <w:rsid w:val="001F61E9"/>
    <w:rsid w:val="001F6A6B"/>
    <w:rsid w:val="001F6F99"/>
    <w:rsid w:val="001F70D5"/>
    <w:rsid w:val="001F7112"/>
    <w:rsid w:val="001F7E41"/>
    <w:rsid w:val="00200A1C"/>
    <w:rsid w:val="00200A9F"/>
    <w:rsid w:val="00200B93"/>
    <w:rsid w:val="0020146E"/>
    <w:rsid w:val="002029C1"/>
    <w:rsid w:val="00202A3F"/>
    <w:rsid w:val="002035D0"/>
    <w:rsid w:val="002037BD"/>
    <w:rsid w:val="00205408"/>
    <w:rsid w:val="002056DD"/>
    <w:rsid w:val="00205995"/>
    <w:rsid w:val="002059B5"/>
    <w:rsid w:val="00205A71"/>
    <w:rsid w:val="00205AA8"/>
    <w:rsid w:val="00205C8A"/>
    <w:rsid w:val="00205FE8"/>
    <w:rsid w:val="00206027"/>
    <w:rsid w:val="00206580"/>
    <w:rsid w:val="0020669F"/>
    <w:rsid w:val="00207942"/>
    <w:rsid w:val="00207AE3"/>
    <w:rsid w:val="00207DFB"/>
    <w:rsid w:val="00207E31"/>
    <w:rsid w:val="00207EAF"/>
    <w:rsid w:val="00207FAE"/>
    <w:rsid w:val="002102BD"/>
    <w:rsid w:val="0021038F"/>
    <w:rsid w:val="00210F18"/>
    <w:rsid w:val="00210FC9"/>
    <w:rsid w:val="002114EB"/>
    <w:rsid w:val="002117E4"/>
    <w:rsid w:val="00211821"/>
    <w:rsid w:val="00211DFD"/>
    <w:rsid w:val="00211F3B"/>
    <w:rsid w:val="00211FAD"/>
    <w:rsid w:val="002121EC"/>
    <w:rsid w:val="00212C92"/>
    <w:rsid w:val="00212CEA"/>
    <w:rsid w:val="002132FA"/>
    <w:rsid w:val="002135B1"/>
    <w:rsid w:val="002137D7"/>
    <w:rsid w:val="00213B52"/>
    <w:rsid w:val="00213F2B"/>
    <w:rsid w:val="00214840"/>
    <w:rsid w:val="00215333"/>
    <w:rsid w:val="0021578D"/>
    <w:rsid w:val="00215AD0"/>
    <w:rsid w:val="00215C98"/>
    <w:rsid w:val="00215F7B"/>
    <w:rsid w:val="00215FDE"/>
    <w:rsid w:val="002165C7"/>
    <w:rsid w:val="002167AA"/>
    <w:rsid w:val="00216877"/>
    <w:rsid w:val="00217378"/>
    <w:rsid w:val="00217427"/>
    <w:rsid w:val="00217553"/>
    <w:rsid w:val="00217915"/>
    <w:rsid w:val="0022024C"/>
    <w:rsid w:val="00220336"/>
    <w:rsid w:val="00220391"/>
    <w:rsid w:val="00221973"/>
    <w:rsid w:val="00221DA6"/>
    <w:rsid w:val="002224EC"/>
    <w:rsid w:val="00222A41"/>
    <w:rsid w:val="00222C19"/>
    <w:rsid w:val="00222EA7"/>
    <w:rsid w:val="002237E7"/>
    <w:rsid w:val="0022392A"/>
    <w:rsid w:val="002239DE"/>
    <w:rsid w:val="0022423A"/>
    <w:rsid w:val="002242ED"/>
    <w:rsid w:val="00224306"/>
    <w:rsid w:val="002243B6"/>
    <w:rsid w:val="002245B4"/>
    <w:rsid w:val="00224C75"/>
    <w:rsid w:val="00224E6D"/>
    <w:rsid w:val="00224F05"/>
    <w:rsid w:val="0022520E"/>
    <w:rsid w:val="002254B2"/>
    <w:rsid w:val="0022651F"/>
    <w:rsid w:val="00226529"/>
    <w:rsid w:val="00226B73"/>
    <w:rsid w:val="00226F34"/>
    <w:rsid w:val="00227A5F"/>
    <w:rsid w:val="00227BF2"/>
    <w:rsid w:val="00227F80"/>
    <w:rsid w:val="002307C6"/>
    <w:rsid w:val="002307DC"/>
    <w:rsid w:val="00230D4E"/>
    <w:rsid w:val="00231500"/>
    <w:rsid w:val="002315D6"/>
    <w:rsid w:val="00231A76"/>
    <w:rsid w:val="00231F26"/>
    <w:rsid w:val="00232299"/>
    <w:rsid w:val="00233391"/>
    <w:rsid w:val="0023387A"/>
    <w:rsid w:val="00234302"/>
    <w:rsid w:val="00234483"/>
    <w:rsid w:val="00234AFE"/>
    <w:rsid w:val="00234D7D"/>
    <w:rsid w:val="00235926"/>
    <w:rsid w:val="00235A18"/>
    <w:rsid w:val="002360C1"/>
    <w:rsid w:val="002361D1"/>
    <w:rsid w:val="002365E8"/>
    <w:rsid w:val="002367F9"/>
    <w:rsid w:val="00236E98"/>
    <w:rsid w:val="0023755E"/>
    <w:rsid w:val="00237AF5"/>
    <w:rsid w:val="00237BA9"/>
    <w:rsid w:val="00240A46"/>
    <w:rsid w:val="002416D9"/>
    <w:rsid w:val="002444F5"/>
    <w:rsid w:val="00244640"/>
    <w:rsid w:val="002453CB"/>
    <w:rsid w:val="00245448"/>
    <w:rsid w:val="00245A45"/>
    <w:rsid w:val="00245C83"/>
    <w:rsid w:val="002460A1"/>
    <w:rsid w:val="00246470"/>
    <w:rsid w:val="00246B2D"/>
    <w:rsid w:val="002473EF"/>
    <w:rsid w:val="00247686"/>
    <w:rsid w:val="002479C6"/>
    <w:rsid w:val="0025071C"/>
    <w:rsid w:val="00250FF8"/>
    <w:rsid w:val="002518D0"/>
    <w:rsid w:val="00252352"/>
    <w:rsid w:val="00252749"/>
    <w:rsid w:val="002527F2"/>
    <w:rsid w:val="00252C48"/>
    <w:rsid w:val="0025300E"/>
    <w:rsid w:val="00253775"/>
    <w:rsid w:val="00253CEB"/>
    <w:rsid w:val="0025435D"/>
    <w:rsid w:val="0025451E"/>
    <w:rsid w:val="0025471F"/>
    <w:rsid w:val="00254934"/>
    <w:rsid w:val="00254DB4"/>
    <w:rsid w:val="0025554A"/>
    <w:rsid w:val="00256501"/>
    <w:rsid w:val="00256B1A"/>
    <w:rsid w:val="00256BDD"/>
    <w:rsid w:val="00256D83"/>
    <w:rsid w:val="0025707D"/>
    <w:rsid w:val="0025743B"/>
    <w:rsid w:val="00257B61"/>
    <w:rsid w:val="00257E09"/>
    <w:rsid w:val="00257FA0"/>
    <w:rsid w:val="002601A0"/>
    <w:rsid w:val="002616E1"/>
    <w:rsid w:val="00261F9A"/>
    <w:rsid w:val="0026226B"/>
    <w:rsid w:val="002623C4"/>
    <w:rsid w:val="00262AFB"/>
    <w:rsid w:val="002631FA"/>
    <w:rsid w:val="00263222"/>
    <w:rsid w:val="002636CB"/>
    <w:rsid w:val="0026386E"/>
    <w:rsid w:val="00263CCF"/>
    <w:rsid w:val="00263DC4"/>
    <w:rsid w:val="00264C9A"/>
    <w:rsid w:val="002654A9"/>
    <w:rsid w:val="002656D2"/>
    <w:rsid w:val="00265865"/>
    <w:rsid w:val="00265A8C"/>
    <w:rsid w:val="00265BF4"/>
    <w:rsid w:val="00265C5F"/>
    <w:rsid w:val="00265D2A"/>
    <w:rsid w:val="002661EA"/>
    <w:rsid w:val="00266881"/>
    <w:rsid w:val="00266EEA"/>
    <w:rsid w:val="00267361"/>
    <w:rsid w:val="00267AC4"/>
    <w:rsid w:val="00270B44"/>
    <w:rsid w:val="0027160E"/>
    <w:rsid w:val="0027182D"/>
    <w:rsid w:val="002729D2"/>
    <w:rsid w:val="002733B0"/>
    <w:rsid w:val="002738EC"/>
    <w:rsid w:val="00274245"/>
    <w:rsid w:val="00274412"/>
    <w:rsid w:val="00274DFE"/>
    <w:rsid w:val="0027506C"/>
    <w:rsid w:val="00275EC4"/>
    <w:rsid w:val="00276123"/>
    <w:rsid w:val="002763E5"/>
    <w:rsid w:val="0027648F"/>
    <w:rsid w:val="00276A17"/>
    <w:rsid w:val="00276AEB"/>
    <w:rsid w:val="00276D2C"/>
    <w:rsid w:val="00277074"/>
    <w:rsid w:val="002772DC"/>
    <w:rsid w:val="00277395"/>
    <w:rsid w:val="0027742B"/>
    <w:rsid w:val="00277925"/>
    <w:rsid w:val="002779D5"/>
    <w:rsid w:val="00280A80"/>
    <w:rsid w:val="00280BE1"/>
    <w:rsid w:val="0028115D"/>
    <w:rsid w:val="002813D6"/>
    <w:rsid w:val="00281466"/>
    <w:rsid w:val="00281BCD"/>
    <w:rsid w:val="00281CCB"/>
    <w:rsid w:val="00281DFC"/>
    <w:rsid w:val="002824D0"/>
    <w:rsid w:val="002829FA"/>
    <w:rsid w:val="0028328F"/>
    <w:rsid w:val="00283892"/>
    <w:rsid w:val="00283F91"/>
    <w:rsid w:val="00284CCD"/>
    <w:rsid w:val="00284FF2"/>
    <w:rsid w:val="00285E6C"/>
    <w:rsid w:val="00286FEF"/>
    <w:rsid w:val="00287024"/>
    <w:rsid w:val="0028716C"/>
    <w:rsid w:val="0028726B"/>
    <w:rsid w:val="00287A09"/>
    <w:rsid w:val="00287F51"/>
    <w:rsid w:val="002900E1"/>
    <w:rsid w:val="00290970"/>
    <w:rsid w:val="00290BEA"/>
    <w:rsid w:val="00290DB6"/>
    <w:rsid w:val="00290E46"/>
    <w:rsid w:val="00291460"/>
    <w:rsid w:val="00291610"/>
    <w:rsid w:val="002918AB"/>
    <w:rsid w:val="00291C9B"/>
    <w:rsid w:val="00291DBA"/>
    <w:rsid w:val="0029227D"/>
    <w:rsid w:val="00292377"/>
    <w:rsid w:val="002931E0"/>
    <w:rsid w:val="0029350D"/>
    <w:rsid w:val="00293704"/>
    <w:rsid w:val="0029462E"/>
    <w:rsid w:val="00294B5C"/>
    <w:rsid w:val="00294E87"/>
    <w:rsid w:val="0029503A"/>
    <w:rsid w:val="00295045"/>
    <w:rsid w:val="002950DF"/>
    <w:rsid w:val="00295A23"/>
    <w:rsid w:val="00295CCE"/>
    <w:rsid w:val="00296CD6"/>
    <w:rsid w:val="00296EB2"/>
    <w:rsid w:val="00296EE8"/>
    <w:rsid w:val="00296FBF"/>
    <w:rsid w:val="0029724B"/>
    <w:rsid w:val="00297352"/>
    <w:rsid w:val="0029746C"/>
    <w:rsid w:val="0029748D"/>
    <w:rsid w:val="0029750B"/>
    <w:rsid w:val="0029766F"/>
    <w:rsid w:val="002A0360"/>
    <w:rsid w:val="002A03B9"/>
    <w:rsid w:val="002A0480"/>
    <w:rsid w:val="002A04F3"/>
    <w:rsid w:val="002A06A3"/>
    <w:rsid w:val="002A0C6B"/>
    <w:rsid w:val="002A0D49"/>
    <w:rsid w:val="002A135A"/>
    <w:rsid w:val="002A1427"/>
    <w:rsid w:val="002A1527"/>
    <w:rsid w:val="002A16E6"/>
    <w:rsid w:val="002A1B5F"/>
    <w:rsid w:val="002A1BE9"/>
    <w:rsid w:val="002A23BF"/>
    <w:rsid w:val="002A23E2"/>
    <w:rsid w:val="002A2940"/>
    <w:rsid w:val="002A30B6"/>
    <w:rsid w:val="002A3B1D"/>
    <w:rsid w:val="002A3EB9"/>
    <w:rsid w:val="002A4026"/>
    <w:rsid w:val="002A474E"/>
    <w:rsid w:val="002A49B3"/>
    <w:rsid w:val="002A4CE5"/>
    <w:rsid w:val="002A528A"/>
    <w:rsid w:val="002A5BA8"/>
    <w:rsid w:val="002A5C77"/>
    <w:rsid w:val="002A6121"/>
    <w:rsid w:val="002A696C"/>
    <w:rsid w:val="002A7520"/>
    <w:rsid w:val="002A7960"/>
    <w:rsid w:val="002A7DCA"/>
    <w:rsid w:val="002B00C2"/>
    <w:rsid w:val="002B0FC7"/>
    <w:rsid w:val="002B10D6"/>
    <w:rsid w:val="002B1135"/>
    <w:rsid w:val="002B167A"/>
    <w:rsid w:val="002B1E5E"/>
    <w:rsid w:val="002B1FC0"/>
    <w:rsid w:val="002B2090"/>
    <w:rsid w:val="002B21C8"/>
    <w:rsid w:val="002B2694"/>
    <w:rsid w:val="002B3297"/>
    <w:rsid w:val="002B38FD"/>
    <w:rsid w:val="002B3F48"/>
    <w:rsid w:val="002B4024"/>
    <w:rsid w:val="002B4155"/>
    <w:rsid w:val="002B47BA"/>
    <w:rsid w:val="002B55BC"/>
    <w:rsid w:val="002B58A4"/>
    <w:rsid w:val="002B593C"/>
    <w:rsid w:val="002B6064"/>
    <w:rsid w:val="002B6186"/>
    <w:rsid w:val="002B63C6"/>
    <w:rsid w:val="002B6491"/>
    <w:rsid w:val="002B6586"/>
    <w:rsid w:val="002B6CA1"/>
    <w:rsid w:val="002B6D58"/>
    <w:rsid w:val="002C0398"/>
    <w:rsid w:val="002C0790"/>
    <w:rsid w:val="002C08CC"/>
    <w:rsid w:val="002C08F4"/>
    <w:rsid w:val="002C0CB8"/>
    <w:rsid w:val="002C1C4F"/>
    <w:rsid w:val="002C1FDB"/>
    <w:rsid w:val="002C27F3"/>
    <w:rsid w:val="002C3585"/>
    <w:rsid w:val="002C3DAF"/>
    <w:rsid w:val="002C4315"/>
    <w:rsid w:val="002C4A5D"/>
    <w:rsid w:val="002C4AED"/>
    <w:rsid w:val="002C57E4"/>
    <w:rsid w:val="002C5C45"/>
    <w:rsid w:val="002C6055"/>
    <w:rsid w:val="002C642E"/>
    <w:rsid w:val="002C68B5"/>
    <w:rsid w:val="002C6CED"/>
    <w:rsid w:val="002C7349"/>
    <w:rsid w:val="002C74D1"/>
    <w:rsid w:val="002C781F"/>
    <w:rsid w:val="002D0605"/>
    <w:rsid w:val="002D0748"/>
    <w:rsid w:val="002D0D70"/>
    <w:rsid w:val="002D109E"/>
    <w:rsid w:val="002D14B5"/>
    <w:rsid w:val="002D1736"/>
    <w:rsid w:val="002D17F7"/>
    <w:rsid w:val="002D1FE5"/>
    <w:rsid w:val="002D2D9C"/>
    <w:rsid w:val="002D2EBD"/>
    <w:rsid w:val="002D3DBF"/>
    <w:rsid w:val="002D4288"/>
    <w:rsid w:val="002D42AF"/>
    <w:rsid w:val="002D47C7"/>
    <w:rsid w:val="002D4BB8"/>
    <w:rsid w:val="002D4BF3"/>
    <w:rsid w:val="002D4C85"/>
    <w:rsid w:val="002D5B8F"/>
    <w:rsid w:val="002D5C93"/>
    <w:rsid w:val="002D5E6A"/>
    <w:rsid w:val="002D5F13"/>
    <w:rsid w:val="002D5F41"/>
    <w:rsid w:val="002D63DD"/>
    <w:rsid w:val="002D6984"/>
    <w:rsid w:val="002D6C32"/>
    <w:rsid w:val="002D70D5"/>
    <w:rsid w:val="002D7198"/>
    <w:rsid w:val="002D7947"/>
    <w:rsid w:val="002D7CE2"/>
    <w:rsid w:val="002D7F80"/>
    <w:rsid w:val="002D7FC4"/>
    <w:rsid w:val="002E052B"/>
    <w:rsid w:val="002E0672"/>
    <w:rsid w:val="002E1A02"/>
    <w:rsid w:val="002E1B15"/>
    <w:rsid w:val="002E1F80"/>
    <w:rsid w:val="002E20CD"/>
    <w:rsid w:val="002E21B4"/>
    <w:rsid w:val="002E2967"/>
    <w:rsid w:val="002E2A18"/>
    <w:rsid w:val="002E2CB6"/>
    <w:rsid w:val="002E36CA"/>
    <w:rsid w:val="002E3B49"/>
    <w:rsid w:val="002E3F0C"/>
    <w:rsid w:val="002E4064"/>
    <w:rsid w:val="002E4233"/>
    <w:rsid w:val="002E539B"/>
    <w:rsid w:val="002E5B9B"/>
    <w:rsid w:val="002E5C55"/>
    <w:rsid w:val="002E5EE0"/>
    <w:rsid w:val="002E7293"/>
    <w:rsid w:val="002E742E"/>
    <w:rsid w:val="002F02B8"/>
    <w:rsid w:val="002F0502"/>
    <w:rsid w:val="002F05CB"/>
    <w:rsid w:val="002F1095"/>
    <w:rsid w:val="002F111F"/>
    <w:rsid w:val="002F1182"/>
    <w:rsid w:val="002F1542"/>
    <w:rsid w:val="002F1C52"/>
    <w:rsid w:val="002F227A"/>
    <w:rsid w:val="002F23A2"/>
    <w:rsid w:val="002F26FD"/>
    <w:rsid w:val="002F35CA"/>
    <w:rsid w:val="002F365A"/>
    <w:rsid w:val="002F3E92"/>
    <w:rsid w:val="002F3EA4"/>
    <w:rsid w:val="002F423D"/>
    <w:rsid w:val="002F443C"/>
    <w:rsid w:val="002F4529"/>
    <w:rsid w:val="002F4617"/>
    <w:rsid w:val="002F4955"/>
    <w:rsid w:val="002F4D97"/>
    <w:rsid w:val="002F5A42"/>
    <w:rsid w:val="002F5E77"/>
    <w:rsid w:val="002F6459"/>
    <w:rsid w:val="002F6625"/>
    <w:rsid w:val="002F66A2"/>
    <w:rsid w:val="002F6DA1"/>
    <w:rsid w:val="002F6E09"/>
    <w:rsid w:val="002F700D"/>
    <w:rsid w:val="002F7380"/>
    <w:rsid w:val="003001C4"/>
    <w:rsid w:val="003001DF"/>
    <w:rsid w:val="0030087D"/>
    <w:rsid w:val="00301C2F"/>
    <w:rsid w:val="00301E21"/>
    <w:rsid w:val="00302051"/>
    <w:rsid w:val="00302312"/>
    <w:rsid w:val="0030232D"/>
    <w:rsid w:val="0030280B"/>
    <w:rsid w:val="00302949"/>
    <w:rsid w:val="00302D76"/>
    <w:rsid w:val="00303498"/>
    <w:rsid w:val="003036ED"/>
    <w:rsid w:val="00303B0B"/>
    <w:rsid w:val="00303B94"/>
    <w:rsid w:val="00303BE9"/>
    <w:rsid w:val="00303DD5"/>
    <w:rsid w:val="00303F81"/>
    <w:rsid w:val="003053DF"/>
    <w:rsid w:val="00305BAE"/>
    <w:rsid w:val="00305C20"/>
    <w:rsid w:val="00306331"/>
    <w:rsid w:val="00306365"/>
    <w:rsid w:val="00306662"/>
    <w:rsid w:val="00306F67"/>
    <w:rsid w:val="00307767"/>
    <w:rsid w:val="003106EF"/>
    <w:rsid w:val="00310A7C"/>
    <w:rsid w:val="00310E3B"/>
    <w:rsid w:val="00310F1F"/>
    <w:rsid w:val="00311249"/>
    <w:rsid w:val="00311EEE"/>
    <w:rsid w:val="00312313"/>
    <w:rsid w:val="00312C58"/>
    <w:rsid w:val="00312EC3"/>
    <w:rsid w:val="003131FC"/>
    <w:rsid w:val="00313C41"/>
    <w:rsid w:val="00314572"/>
    <w:rsid w:val="00314680"/>
    <w:rsid w:val="003146F3"/>
    <w:rsid w:val="00314985"/>
    <w:rsid w:val="00314B51"/>
    <w:rsid w:val="00314B8C"/>
    <w:rsid w:val="00315193"/>
    <w:rsid w:val="0031530F"/>
    <w:rsid w:val="0031534B"/>
    <w:rsid w:val="003153BD"/>
    <w:rsid w:val="00315CB4"/>
    <w:rsid w:val="003166B6"/>
    <w:rsid w:val="003167A8"/>
    <w:rsid w:val="00316BAA"/>
    <w:rsid w:val="00316C1C"/>
    <w:rsid w:val="00316FB9"/>
    <w:rsid w:val="0031721E"/>
    <w:rsid w:val="003179C6"/>
    <w:rsid w:val="0032000B"/>
    <w:rsid w:val="00320C67"/>
    <w:rsid w:val="0032103B"/>
    <w:rsid w:val="00321194"/>
    <w:rsid w:val="003212AF"/>
    <w:rsid w:val="003216F0"/>
    <w:rsid w:val="0032189D"/>
    <w:rsid w:val="003218A1"/>
    <w:rsid w:val="00321AEB"/>
    <w:rsid w:val="00322663"/>
    <w:rsid w:val="00322813"/>
    <w:rsid w:val="003232D5"/>
    <w:rsid w:val="0032396B"/>
    <w:rsid w:val="00324474"/>
    <w:rsid w:val="00324513"/>
    <w:rsid w:val="00324584"/>
    <w:rsid w:val="00324611"/>
    <w:rsid w:val="00324697"/>
    <w:rsid w:val="00324756"/>
    <w:rsid w:val="00324F70"/>
    <w:rsid w:val="00325A02"/>
    <w:rsid w:val="00325DB6"/>
    <w:rsid w:val="0032656F"/>
    <w:rsid w:val="00326E6D"/>
    <w:rsid w:val="00326F7F"/>
    <w:rsid w:val="003275FE"/>
    <w:rsid w:val="003277E0"/>
    <w:rsid w:val="00330436"/>
    <w:rsid w:val="003308E1"/>
    <w:rsid w:val="0033109C"/>
    <w:rsid w:val="00331CF8"/>
    <w:rsid w:val="0033213B"/>
    <w:rsid w:val="003324CA"/>
    <w:rsid w:val="003325FA"/>
    <w:rsid w:val="00332D6B"/>
    <w:rsid w:val="00332EB2"/>
    <w:rsid w:val="0033327A"/>
    <w:rsid w:val="00333437"/>
    <w:rsid w:val="0033375B"/>
    <w:rsid w:val="00333FCA"/>
    <w:rsid w:val="00333FFE"/>
    <w:rsid w:val="00334CC8"/>
    <w:rsid w:val="00334EED"/>
    <w:rsid w:val="003353FA"/>
    <w:rsid w:val="00335777"/>
    <w:rsid w:val="0033584E"/>
    <w:rsid w:val="00336165"/>
    <w:rsid w:val="003364B2"/>
    <w:rsid w:val="00336A4D"/>
    <w:rsid w:val="003374FD"/>
    <w:rsid w:val="00337FD4"/>
    <w:rsid w:val="00340043"/>
    <w:rsid w:val="00340324"/>
    <w:rsid w:val="00340368"/>
    <w:rsid w:val="0034080F"/>
    <w:rsid w:val="00340FF3"/>
    <w:rsid w:val="00340FF7"/>
    <w:rsid w:val="0034149F"/>
    <w:rsid w:val="0034152B"/>
    <w:rsid w:val="003423D9"/>
    <w:rsid w:val="00342EFF"/>
    <w:rsid w:val="0034401B"/>
    <w:rsid w:val="00344043"/>
    <w:rsid w:val="00345169"/>
    <w:rsid w:val="00345890"/>
    <w:rsid w:val="003458B9"/>
    <w:rsid w:val="003458F4"/>
    <w:rsid w:val="00345B5F"/>
    <w:rsid w:val="00345D22"/>
    <w:rsid w:val="00345E81"/>
    <w:rsid w:val="00346175"/>
    <w:rsid w:val="00346192"/>
    <w:rsid w:val="003462D6"/>
    <w:rsid w:val="00346483"/>
    <w:rsid w:val="00346BE5"/>
    <w:rsid w:val="00346FBA"/>
    <w:rsid w:val="0034725D"/>
    <w:rsid w:val="00347BF0"/>
    <w:rsid w:val="00347F16"/>
    <w:rsid w:val="00350131"/>
    <w:rsid w:val="00350224"/>
    <w:rsid w:val="0035070C"/>
    <w:rsid w:val="003509B7"/>
    <w:rsid w:val="003509D2"/>
    <w:rsid w:val="00350B60"/>
    <w:rsid w:val="00350B90"/>
    <w:rsid w:val="00350F10"/>
    <w:rsid w:val="0035121A"/>
    <w:rsid w:val="003516E1"/>
    <w:rsid w:val="00352816"/>
    <w:rsid w:val="00353138"/>
    <w:rsid w:val="0035354F"/>
    <w:rsid w:val="00353896"/>
    <w:rsid w:val="00353C24"/>
    <w:rsid w:val="00353F6C"/>
    <w:rsid w:val="00354953"/>
    <w:rsid w:val="00354B70"/>
    <w:rsid w:val="003551E4"/>
    <w:rsid w:val="003559C7"/>
    <w:rsid w:val="00355A20"/>
    <w:rsid w:val="00355EA0"/>
    <w:rsid w:val="00355F23"/>
    <w:rsid w:val="00356085"/>
    <w:rsid w:val="0035661F"/>
    <w:rsid w:val="00356D3A"/>
    <w:rsid w:val="00356DE7"/>
    <w:rsid w:val="00356FFB"/>
    <w:rsid w:val="003571ED"/>
    <w:rsid w:val="00357512"/>
    <w:rsid w:val="00357771"/>
    <w:rsid w:val="003578E1"/>
    <w:rsid w:val="00357A54"/>
    <w:rsid w:val="00357F9B"/>
    <w:rsid w:val="00360AFE"/>
    <w:rsid w:val="003612BD"/>
    <w:rsid w:val="0036149F"/>
    <w:rsid w:val="00361A33"/>
    <w:rsid w:val="003621ED"/>
    <w:rsid w:val="003629CF"/>
    <w:rsid w:val="00363199"/>
    <w:rsid w:val="003640E0"/>
    <w:rsid w:val="0036418E"/>
    <w:rsid w:val="00364562"/>
    <w:rsid w:val="00364A13"/>
    <w:rsid w:val="00364FEA"/>
    <w:rsid w:val="00365430"/>
    <w:rsid w:val="0036552E"/>
    <w:rsid w:val="00365540"/>
    <w:rsid w:val="00365F0F"/>
    <w:rsid w:val="00367586"/>
    <w:rsid w:val="00367944"/>
    <w:rsid w:val="00367C3C"/>
    <w:rsid w:val="00367ECA"/>
    <w:rsid w:val="003702A3"/>
    <w:rsid w:val="003708AC"/>
    <w:rsid w:val="003708EB"/>
    <w:rsid w:val="0037096A"/>
    <w:rsid w:val="00371399"/>
    <w:rsid w:val="003713BD"/>
    <w:rsid w:val="003726E8"/>
    <w:rsid w:val="00375145"/>
    <w:rsid w:val="0037541D"/>
    <w:rsid w:val="00377604"/>
    <w:rsid w:val="003779AA"/>
    <w:rsid w:val="003800CE"/>
    <w:rsid w:val="0038073B"/>
    <w:rsid w:val="00380B54"/>
    <w:rsid w:val="00380E37"/>
    <w:rsid w:val="00381166"/>
    <w:rsid w:val="00381C61"/>
    <w:rsid w:val="0038295C"/>
    <w:rsid w:val="003831E3"/>
    <w:rsid w:val="00383252"/>
    <w:rsid w:val="003832CC"/>
    <w:rsid w:val="00383E0E"/>
    <w:rsid w:val="00383E22"/>
    <w:rsid w:val="00383F6A"/>
    <w:rsid w:val="003844B1"/>
    <w:rsid w:val="00384927"/>
    <w:rsid w:val="00384C3A"/>
    <w:rsid w:val="00384CA7"/>
    <w:rsid w:val="00385C45"/>
    <w:rsid w:val="00385F33"/>
    <w:rsid w:val="003862AF"/>
    <w:rsid w:val="00386444"/>
    <w:rsid w:val="003868C4"/>
    <w:rsid w:val="003874F9"/>
    <w:rsid w:val="003910E9"/>
    <w:rsid w:val="003918B6"/>
    <w:rsid w:val="00391D45"/>
    <w:rsid w:val="00391EF4"/>
    <w:rsid w:val="003920D2"/>
    <w:rsid w:val="0039319E"/>
    <w:rsid w:val="003933DF"/>
    <w:rsid w:val="00393A0D"/>
    <w:rsid w:val="00393D55"/>
    <w:rsid w:val="00393E7B"/>
    <w:rsid w:val="00394DD7"/>
    <w:rsid w:val="00394E85"/>
    <w:rsid w:val="003952F6"/>
    <w:rsid w:val="0039532F"/>
    <w:rsid w:val="003954BF"/>
    <w:rsid w:val="003960AD"/>
    <w:rsid w:val="00396649"/>
    <w:rsid w:val="00396D70"/>
    <w:rsid w:val="003973BA"/>
    <w:rsid w:val="00397498"/>
    <w:rsid w:val="003976AC"/>
    <w:rsid w:val="003A0553"/>
    <w:rsid w:val="003A05F7"/>
    <w:rsid w:val="003A0A28"/>
    <w:rsid w:val="003A144E"/>
    <w:rsid w:val="003A1637"/>
    <w:rsid w:val="003A1985"/>
    <w:rsid w:val="003A19F3"/>
    <w:rsid w:val="003A2151"/>
    <w:rsid w:val="003A2492"/>
    <w:rsid w:val="003A2843"/>
    <w:rsid w:val="003A2AC2"/>
    <w:rsid w:val="003A2CA2"/>
    <w:rsid w:val="003A2CB1"/>
    <w:rsid w:val="003A2CF6"/>
    <w:rsid w:val="003A2DD6"/>
    <w:rsid w:val="003A30D5"/>
    <w:rsid w:val="003A38EF"/>
    <w:rsid w:val="003A3A7F"/>
    <w:rsid w:val="003A4166"/>
    <w:rsid w:val="003A4190"/>
    <w:rsid w:val="003A47ED"/>
    <w:rsid w:val="003A4FF6"/>
    <w:rsid w:val="003A581B"/>
    <w:rsid w:val="003A5CB0"/>
    <w:rsid w:val="003A5D86"/>
    <w:rsid w:val="003A67DC"/>
    <w:rsid w:val="003A693D"/>
    <w:rsid w:val="003A7328"/>
    <w:rsid w:val="003B005C"/>
    <w:rsid w:val="003B0D1D"/>
    <w:rsid w:val="003B0D42"/>
    <w:rsid w:val="003B0E23"/>
    <w:rsid w:val="003B1056"/>
    <w:rsid w:val="003B1355"/>
    <w:rsid w:val="003B2876"/>
    <w:rsid w:val="003B2E69"/>
    <w:rsid w:val="003B2ECB"/>
    <w:rsid w:val="003B33C8"/>
    <w:rsid w:val="003B3DB9"/>
    <w:rsid w:val="003B3E69"/>
    <w:rsid w:val="003B3E6B"/>
    <w:rsid w:val="003B3F9D"/>
    <w:rsid w:val="003B4238"/>
    <w:rsid w:val="003B4344"/>
    <w:rsid w:val="003B4408"/>
    <w:rsid w:val="003B5539"/>
    <w:rsid w:val="003B5D67"/>
    <w:rsid w:val="003B622C"/>
    <w:rsid w:val="003B7227"/>
    <w:rsid w:val="003B779D"/>
    <w:rsid w:val="003B7A2F"/>
    <w:rsid w:val="003B7DB1"/>
    <w:rsid w:val="003C0422"/>
    <w:rsid w:val="003C13D4"/>
    <w:rsid w:val="003C22C7"/>
    <w:rsid w:val="003C23BE"/>
    <w:rsid w:val="003C29A2"/>
    <w:rsid w:val="003C3A60"/>
    <w:rsid w:val="003C3B8A"/>
    <w:rsid w:val="003C3C87"/>
    <w:rsid w:val="003C401F"/>
    <w:rsid w:val="003C4474"/>
    <w:rsid w:val="003C447A"/>
    <w:rsid w:val="003C5389"/>
    <w:rsid w:val="003C5CB8"/>
    <w:rsid w:val="003C5F3D"/>
    <w:rsid w:val="003C6775"/>
    <w:rsid w:val="003C7128"/>
    <w:rsid w:val="003C731A"/>
    <w:rsid w:val="003C747F"/>
    <w:rsid w:val="003C757F"/>
    <w:rsid w:val="003C75DF"/>
    <w:rsid w:val="003C761C"/>
    <w:rsid w:val="003C783E"/>
    <w:rsid w:val="003C7910"/>
    <w:rsid w:val="003D022D"/>
    <w:rsid w:val="003D03C9"/>
    <w:rsid w:val="003D0C55"/>
    <w:rsid w:val="003D1861"/>
    <w:rsid w:val="003D1CDA"/>
    <w:rsid w:val="003D1F27"/>
    <w:rsid w:val="003D2052"/>
    <w:rsid w:val="003D2264"/>
    <w:rsid w:val="003D28F1"/>
    <w:rsid w:val="003D2929"/>
    <w:rsid w:val="003D2A6A"/>
    <w:rsid w:val="003D2E6B"/>
    <w:rsid w:val="003D2EB4"/>
    <w:rsid w:val="003D2F1F"/>
    <w:rsid w:val="003D3157"/>
    <w:rsid w:val="003D32F9"/>
    <w:rsid w:val="003D35D1"/>
    <w:rsid w:val="003D4358"/>
    <w:rsid w:val="003D4486"/>
    <w:rsid w:val="003D449E"/>
    <w:rsid w:val="003D4876"/>
    <w:rsid w:val="003D48F0"/>
    <w:rsid w:val="003D48FF"/>
    <w:rsid w:val="003D4F18"/>
    <w:rsid w:val="003D521C"/>
    <w:rsid w:val="003D5507"/>
    <w:rsid w:val="003D5670"/>
    <w:rsid w:val="003D5808"/>
    <w:rsid w:val="003D5A6F"/>
    <w:rsid w:val="003D5EAE"/>
    <w:rsid w:val="003D6418"/>
    <w:rsid w:val="003D665B"/>
    <w:rsid w:val="003D6858"/>
    <w:rsid w:val="003D7227"/>
    <w:rsid w:val="003D757D"/>
    <w:rsid w:val="003D7A0C"/>
    <w:rsid w:val="003D7E99"/>
    <w:rsid w:val="003D7EFB"/>
    <w:rsid w:val="003E02B6"/>
    <w:rsid w:val="003E0D6A"/>
    <w:rsid w:val="003E10BB"/>
    <w:rsid w:val="003E132F"/>
    <w:rsid w:val="003E17B1"/>
    <w:rsid w:val="003E1D3B"/>
    <w:rsid w:val="003E1F9C"/>
    <w:rsid w:val="003E201A"/>
    <w:rsid w:val="003E21A0"/>
    <w:rsid w:val="003E26CB"/>
    <w:rsid w:val="003E2ABB"/>
    <w:rsid w:val="003E2DF5"/>
    <w:rsid w:val="003E372B"/>
    <w:rsid w:val="003E3759"/>
    <w:rsid w:val="003E3E10"/>
    <w:rsid w:val="003E3EE7"/>
    <w:rsid w:val="003E3FD2"/>
    <w:rsid w:val="003E44F8"/>
    <w:rsid w:val="003E466F"/>
    <w:rsid w:val="003E475A"/>
    <w:rsid w:val="003E47E8"/>
    <w:rsid w:val="003E49AE"/>
    <w:rsid w:val="003E4D3D"/>
    <w:rsid w:val="003E5B7A"/>
    <w:rsid w:val="003E7141"/>
    <w:rsid w:val="003E72CA"/>
    <w:rsid w:val="003E73EE"/>
    <w:rsid w:val="003E770B"/>
    <w:rsid w:val="003E7844"/>
    <w:rsid w:val="003F06B2"/>
    <w:rsid w:val="003F0728"/>
    <w:rsid w:val="003F0BC4"/>
    <w:rsid w:val="003F0CD5"/>
    <w:rsid w:val="003F0DB0"/>
    <w:rsid w:val="003F10CB"/>
    <w:rsid w:val="003F1281"/>
    <w:rsid w:val="003F16CE"/>
    <w:rsid w:val="003F1849"/>
    <w:rsid w:val="003F1B22"/>
    <w:rsid w:val="003F212D"/>
    <w:rsid w:val="003F2532"/>
    <w:rsid w:val="003F2589"/>
    <w:rsid w:val="003F3044"/>
    <w:rsid w:val="003F38DB"/>
    <w:rsid w:val="003F3976"/>
    <w:rsid w:val="003F3B8D"/>
    <w:rsid w:val="003F3BAF"/>
    <w:rsid w:val="003F3E1D"/>
    <w:rsid w:val="003F3E4A"/>
    <w:rsid w:val="003F40A7"/>
    <w:rsid w:val="003F43C5"/>
    <w:rsid w:val="003F4E69"/>
    <w:rsid w:val="003F5C5B"/>
    <w:rsid w:val="003F5DA7"/>
    <w:rsid w:val="003F64E3"/>
    <w:rsid w:val="003F6A32"/>
    <w:rsid w:val="003F739D"/>
    <w:rsid w:val="003F73A8"/>
    <w:rsid w:val="003F7AB7"/>
    <w:rsid w:val="003F7C06"/>
    <w:rsid w:val="003F7D07"/>
    <w:rsid w:val="003F7F1D"/>
    <w:rsid w:val="00400244"/>
    <w:rsid w:val="004005B6"/>
    <w:rsid w:val="0040090B"/>
    <w:rsid w:val="004009F8"/>
    <w:rsid w:val="004012F4"/>
    <w:rsid w:val="00401578"/>
    <w:rsid w:val="0040167F"/>
    <w:rsid w:val="004018F8"/>
    <w:rsid w:val="00401DCC"/>
    <w:rsid w:val="00401E92"/>
    <w:rsid w:val="00402EEA"/>
    <w:rsid w:val="004032BE"/>
    <w:rsid w:val="00403302"/>
    <w:rsid w:val="00403490"/>
    <w:rsid w:val="00403753"/>
    <w:rsid w:val="00403F2C"/>
    <w:rsid w:val="00404057"/>
    <w:rsid w:val="0040492F"/>
    <w:rsid w:val="00404A70"/>
    <w:rsid w:val="00404B61"/>
    <w:rsid w:val="00404B86"/>
    <w:rsid w:val="004055DF"/>
    <w:rsid w:val="00405E9E"/>
    <w:rsid w:val="00406638"/>
    <w:rsid w:val="004075A8"/>
    <w:rsid w:val="00407A94"/>
    <w:rsid w:val="00407D53"/>
    <w:rsid w:val="00407EDC"/>
    <w:rsid w:val="00411543"/>
    <w:rsid w:val="004119BD"/>
    <w:rsid w:val="00411EF8"/>
    <w:rsid w:val="00411FFF"/>
    <w:rsid w:val="00412721"/>
    <w:rsid w:val="00413134"/>
    <w:rsid w:val="0041313E"/>
    <w:rsid w:val="004136D8"/>
    <w:rsid w:val="00413E51"/>
    <w:rsid w:val="00414152"/>
    <w:rsid w:val="00414BA6"/>
    <w:rsid w:val="004150A9"/>
    <w:rsid w:val="0041539D"/>
    <w:rsid w:val="0041554B"/>
    <w:rsid w:val="00415D0F"/>
    <w:rsid w:val="00416474"/>
    <w:rsid w:val="00417DAA"/>
    <w:rsid w:val="00417DD3"/>
    <w:rsid w:val="00417F7C"/>
    <w:rsid w:val="004203F0"/>
    <w:rsid w:val="0042069B"/>
    <w:rsid w:val="00420883"/>
    <w:rsid w:val="00420B92"/>
    <w:rsid w:val="00420D7E"/>
    <w:rsid w:val="004210AD"/>
    <w:rsid w:val="004212BB"/>
    <w:rsid w:val="00421EA3"/>
    <w:rsid w:val="00422563"/>
    <w:rsid w:val="004226EF"/>
    <w:rsid w:val="004228E1"/>
    <w:rsid w:val="00422F6C"/>
    <w:rsid w:val="00423361"/>
    <w:rsid w:val="004237F5"/>
    <w:rsid w:val="00424AE0"/>
    <w:rsid w:val="0042507D"/>
    <w:rsid w:val="00425453"/>
    <w:rsid w:val="00425755"/>
    <w:rsid w:val="004263A6"/>
    <w:rsid w:val="004274BD"/>
    <w:rsid w:val="00427ABB"/>
    <w:rsid w:val="00427B5F"/>
    <w:rsid w:val="004300E1"/>
    <w:rsid w:val="00430A21"/>
    <w:rsid w:val="00430B0F"/>
    <w:rsid w:val="00430C37"/>
    <w:rsid w:val="00430F36"/>
    <w:rsid w:val="00431271"/>
    <w:rsid w:val="004313C7"/>
    <w:rsid w:val="0043149C"/>
    <w:rsid w:val="00431667"/>
    <w:rsid w:val="00431746"/>
    <w:rsid w:val="00431CEC"/>
    <w:rsid w:val="00431FF7"/>
    <w:rsid w:val="0043299D"/>
    <w:rsid w:val="0043310E"/>
    <w:rsid w:val="0043384F"/>
    <w:rsid w:val="00433A11"/>
    <w:rsid w:val="00434190"/>
    <w:rsid w:val="00434880"/>
    <w:rsid w:val="004349CF"/>
    <w:rsid w:val="00434A53"/>
    <w:rsid w:val="00434D16"/>
    <w:rsid w:val="00434E9E"/>
    <w:rsid w:val="004350A7"/>
    <w:rsid w:val="004351A9"/>
    <w:rsid w:val="00435A99"/>
    <w:rsid w:val="00435EB3"/>
    <w:rsid w:val="004372F5"/>
    <w:rsid w:val="004373E2"/>
    <w:rsid w:val="00437782"/>
    <w:rsid w:val="00437DF8"/>
    <w:rsid w:val="00437EE0"/>
    <w:rsid w:val="0044033A"/>
    <w:rsid w:val="00440DFC"/>
    <w:rsid w:val="0044193C"/>
    <w:rsid w:val="00442293"/>
    <w:rsid w:val="00442402"/>
    <w:rsid w:val="00442A0E"/>
    <w:rsid w:val="00442B49"/>
    <w:rsid w:val="004430A3"/>
    <w:rsid w:val="00443373"/>
    <w:rsid w:val="00443623"/>
    <w:rsid w:val="00443D79"/>
    <w:rsid w:val="00444385"/>
    <w:rsid w:val="004447CF"/>
    <w:rsid w:val="004456B8"/>
    <w:rsid w:val="00445A8B"/>
    <w:rsid w:val="00445C46"/>
    <w:rsid w:val="00446951"/>
    <w:rsid w:val="00446E95"/>
    <w:rsid w:val="00447C4B"/>
    <w:rsid w:val="00447EBB"/>
    <w:rsid w:val="00450153"/>
    <w:rsid w:val="004501DC"/>
    <w:rsid w:val="00450AFE"/>
    <w:rsid w:val="00451616"/>
    <w:rsid w:val="004516CC"/>
    <w:rsid w:val="00451797"/>
    <w:rsid w:val="00451988"/>
    <w:rsid w:val="0045286E"/>
    <w:rsid w:val="00452CB2"/>
    <w:rsid w:val="00452CDD"/>
    <w:rsid w:val="00452D3E"/>
    <w:rsid w:val="004535F2"/>
    <w:rsid w:val="00453D37"/>
    <w:rsid w:val="004542B3"/>
    <w:rsid w:val="00454328"/>
    <w:rsid w:val="004557A5"/>
    <w:rsid w:val="00455928"/>
    <w:rsid w:val="00456730"/>
    <w:rsid w:val="004567E0"/>
    <w:rsid w:val="00456B96"/>
    <w:rsid w:val="00456D68"/>
    <w:rsid w:val="004607B7"/>
    <w:rsid w:val="004612B2"/>
    <w:rsid w:val="00461C74"/>
    <w:rsid w:val="004623D4"/>
    <w:rsid w:val="00462414"/>
    <w:rsid w:val="004626DF"/>
    <w:rsid w:val="00462A01"/>
    <w:rsid w:val="00463772"/>
    <w:rsid w:val="0046384A"/>
    <w:rsid w:val="00463A95"/>
    <w:rsid w:val="00464ADD"/>
    <w:rsid w:val="00464BD4"/>
    <w:rsid w:val="004654F7"/>
    <w:rsid w:val="004659CB"/>
    <w:rsid w:val="00465DFD"/>
    <w:rsid w:val="00466851"/>
    <w:rsid w:val="00466D27"/>
    <w:rsid w:val="0046745E"/>
    <w:rsid w:val="00467ACA"/>
    <w:rsid w:val="00470187"/>
    <w:rsid w:val="004708E9"/>
    <w:rsid w:val="0047146C"/>
    <w:rsid w:val="004716A3"/>
    <w:rsid w:val="00471AA8"/>
    <w:rsid w:val="00472436"/>
    <w:rsid w:val="00472521"/>
    <w:rsid w:val="004727E5"/>
    <w:rsid w:val="00472F41"/>
    <w:rsid w:val="004734AF"/>
    <w:rsid w:val="00473803"/>
    <w:rsid w:val="00473ADE"/>
    <w:rsid w:val="00474F69"/>
    <w:rsid w:val="004752A7"/>
    <w:rsid w:val="00475485"/>
    <w:rsid w:val="00475A78"/>
    <w:rsid w:val="004760EB"/>
    <w:rsid w:val="004762DE"/>
    <w:rsid w:val="00476835"/>
    <w:rsid w:val="004774EB"/>
    <w:rsid w:val="00477AB1"/>
    <w:rsid w:val="00477B3A"/>
    <w:rsid w:val="00480378"/>
    <w:rsid w:val="00480760"/>
    <w:rsid w:val="004809B2"/>
    <w:rsid w:val="00480FF0"/>
    <w:rsid w:val="00481B23"/>
    <w:rsid w:val="004826F1"/>
    <w:rsid w:val="00482ABF"/>
    <w:rsid w:val="00482E90"/>
    <w:rsid w:val="00484250"/>
    <w:rsid w:val="004846B1"/>
    <w:rsid w:val="00484AE6"/>
    <w:rsid w:val="00485033"/>
    <w:rsid w:val="004852A3"/>
    <w:rsid w:val="00485464"/>
    <w:rsid w:val="004856E9"/>
    <w:rsid w:val="004860C0"/>
    <w:rsid w:val="0048694B"/>
    <w:rsid w:val="00486E80"/>
    <w:rsid w:val="00486F2E"/>
    <w:rsid w:val="00487110"/>
    <w:rsid w:val="0048726D"/>
    <w:rsid w:val="0048745F"/>
    <w:rsid w:val="0048767E"/>
    <w:rsid w:val="00487BDA"/>
    <w:rsid w:val="00487D89"/>
    <w:rsid w:val="00490163"/>
    <w:rsid w:val="00490AE6"/>
    <w:rsid w:val="00490D03"/>
    <w:rsid w:val="00490F20"/>
    <w:rsid w:val="00491185"/>
    <w:rsid w:val="00491403"/>
    <w:rsid w:val="0049154A"/>
    <w:rsid w:val="00491A4D"/>
    <w:rsid w:val="00491E39"/>
    <w:rsid w:val="004925C4"/>
    <w:rsid w:val="004932ED"/>
    <w:rsid w:val="004932FD"/>
    <w:rsid w:val="00494152"/>
    <w:rsid w:val="004948C8"/>
    <w:rsid w:val="00494B78"/>
    <w:rsid w:val="00495171"/>
    <w:rsid w:val="00495E63"/>
    <w:rsid w:val="00495FC9"/>
    <w:rsid w:val="004963F6"/>
    <w:rsid w:val="00496498"/>
    <w:rsid w:val="00496ADA"/>
    <w:rsid w:val="004976E8"/>
    <w:rsid w:val="00497D0E"/>
    <w:rsid w:val="00497F33"/>
    <w:rsid w:val="004A0162"/>
    <w:rsid w:val="004A07A6"/>
    <w:rsid w:val="004A0E99"/>
    <w:rsid w:val="004A0FE5"/>
    <w:rsid w:val="004A1898"/>
    <w:rsid w:val="004A1AFA"/>
    <w:rsid w:val="004A1F7B"/>
    <w:rsid w:val="004A2440"/>
    <w:rsid w:val="004A2986"/>
    <w:rsid w:val="004A33AB"/>
    <w:rsid w:val="004A38D0"/>
    <w:rsid w:val="004A38F1"/>
    <w:rsid w:val="004A3D2F"/>
    <w:rsid w:val="004A52CE"/>
    <w:rsid w:val="004A57ED"/>
    <w:rsid w:val="004A5951"/>
    <w:rsid w:val="004A5A0D"/>
    <w:rsid w:val="004A5C8B"/>
    <w:rsid w:val="004A6669"/>
    <w:rsid w:val="004A6675"/>
    <w:rsid w:val="004A68C8"/>
    <w:rsid w:val="004A6A72"/>
    <w:rsid w:val="004A7140"/>
    <w:rsid w:val="004A7186"/>
    <w:rsid w:val="004A72D7"/>
    <w:rsid w:val="004A789D"/>
    <w:rsid w:val="004B025E"/>
    <w:rsid w:val="004B04D2"/>
    <w:rsid w:val="004B0C5D"/>
    <w:rsid w:val="004B100E"/>
    <w:rsid w:val="004B1976"/>
    <w:rsid w:val="004B1DD4"/>
    <w:rsid w:val="004B239C"/>
    <w:rsid w:val="004B25EB"/>
    <w:rsid w:val="004B2617"/>
    <w:rsid w:val="004B2A71"/>
    <w:rsid w:val="004B2B83"/>
    <w:rsid w:val="004B2CBE"/>
    <w:rsid w:val="004B2CF1"/>
    <w:rsid w:val="004B30D7"/>
    <w:rsid w:val="004B30EC"/>
    <w:rsid w:val="004B312B"/>
    <w:rsid w:val="004B312E"/>
    <w:rsid w:val="004B32EC"/>
    <w:rsid w:val="004B34E0"/>
    <w:rsid w:val="004B3B84"/>
    <w:rsid w:val="004B3B85"/>
    <w:rsid w:val="004B4740"/>
    <w:rsid w:val="004B4FB0"/>
    <w:rsid w:val="004B5233"/>
    <w:rsid w:val="004B54DB"/>
    <w:rsid w:val="004B54EB"/>
    <w:rsid w:val="004B55BE"/>
    <w:rsid w:val="004B5857"/>
    <w:rsid w:val="004B58B4"/>
    <w:rsid w:val="004B5CE8"/>
    <w:rsid w:val="004B73DA"/>
    <w:rsid w:val="004B7700"/>
    <w:rsid w:val="004B773C"/>
    <w:rsid w:val="004B7BC1"/>
    <w:rsid w:val="004B7D23"/>
    <w:rsid w:val="004B7F17"/>
    <w:rsid w:val="004C0238"/>
    <w:rsid w:val="004C077C"/>
    <w:rsid w:val="004C12A6"/>
    <w:rsid w:val="004C15F4"/>
    <w:rsid w:val="004C189F"/>
    <w:rsid w:val="004C2D74"/>
    <w:rsid w:val="004C2D96"/>
    <w:rsid w:val="004C33F2"/>
    <w:rsid w:val="004C348C"/>
    <w:rsid w:val="004C3AC9"/>
    <w:rsid w:val="004C3CAB"/>
    <w:rsid w:val="004C4022"/>
    <w:rsid w:val="004C42F6"/>
    <w:rsid w:val="004C4465"/>
    <w:rsid w:val="004C47B2"/>
    <w:rsid w:val="004C4AE3"/>
    <w:rsid w:val="004C4D3B"/>
    <w:rsid w:val="004C5157"/>
    <w:rsid w:val="004C531B"/>
    <w:rsid w:val="004C5452"/>
    <w:rsid w:val="004C5939"/>
    <w:rsid w:val="004C6237"/>
    <w:rsid w:val="004C6273"/>
    <w:rsid w:val="004C63E2"/>
    <w:rsid w:val="004C6835"/>
    <w:rsid w:val="004C69C1"/>
    <w:rsid w:val="004C6A4B"/>
    <w:rsid w:val="004C6DDB"/>
    <w:rsid w:val="004C6DE4"/>
    <w:rsid w:val="004C7558"/>
    <w:rsid w:val="004C76BA"/>
    <w:rsid w:val="004C7BD6"/>
    <w:rsid w:val="004C7F5D"/>
    <w:rsid w:val="004D061C"/>
    <w:rsid w:val="004D18F1"/>
    <w:rsid w:val="004D1B6E"/>
    <w:rsid w:val="004D1B89"/>
    <w:rsid w:val="004D200A"/>
    <w:rsid w:val="004D2510"/>
    <w:rsid w:val="004D2513"/>
    <w:rsid w:val="004D26D8"/>
    <w:rsid w:val="004D2772"/>
    <w:rsid w:val="004D298D"/>
    <w:rsid w:val="004D29C3"/>
    <w:rsid w:val="004D2BF7"/>
    <w:rsid w:val="004D2F69"/>
    <w:rsid w:val="004D3653"/>
    <w:rsid w:val="004D37F9"/>
    <w:rsid w:val="004D3CD3"/>
    <w:rsid w:val="004D403B"/>
    <w:rsid w:val="004D4CC0"/>
    <w:rsid w:val="004D50C3"/>
    <w:rsid w:val="004D547C"/>
    <w:rsid w:val="004D599F"/>
    <w:rsid w:val="004D5F63"/>
    <w:rsid w:val="004D5FA2"/>
    <w:rsid w:val="004D5FB1"/>
    <w:rsid w:val="004D648E"/>
    <w:rsid w:val="004D70AF"/>
    <w:rsid w:val="004D740E"/>
    <w:rsid w:val="004D769F"/>
    <w:rsid w:val="004D79C6"/>
    <w:rsid w:val="004D7E2A"/>
    <w:rsid w:val="004E01FA"/>
    <w:rsid w:val="004E07DD"/>
    <w:rsid w:val="004E0B69"/>
    <w:rsid w:val="004E0D53"/>
    <w:rsid w:val="004E10B3"/>
    <w:rsid w:val="004E187A"/>
    <w:rsid w:val="004E2F10"/>
    <w:rsid w:val="004E459B"/>
    <w:rsid w:val="004E487A"/>
    <w:rsid w:val="004E49E6"/>
    <w:rsid w:val="004E4A0C"/>
    <w:rsid w:val="004E50E1"/>
    <w:rsid w:val="004E56E9"/>
    <w:rsid w:val="004E57BA"/>
    <w:rsid w:val="004E5CA4"/>
    <w:rsid w:val="004E5FD5"/>
    <w:rsid w:val="004E6662"/>
    <w:rsid w:val="004E6A8D"/>
    <w:rsid w:val="004E6C15"/>
    <w:rsid w:val="004E71A4"/>
    <w:rsid w:val="004E73A6"/>
    <w:rsid w:val="004E749B"/>
    <w:rsid w:val="004E7A30"/>
    <w:rsid w:val="004F022B"/>
    <w:rsid w:val="004F04BD"/>
    <w:rsid w:val="004F0686"/>
    <w:rsid w:val="004F0CFA"/>
    <w:rsid w:val="004F0F4F"/>
    <w:rsid w:val="004F1050"/>
    <w:rsid w:val="004F1346"/>
    <w:rsid w:val="004F192C"/>
    <w:rsid w:val="004F1C13"/>
    <w:rsid w:val="004F1C54"/>
    <w:rsid w:val="004F1CDA"/>
    <w:rsid w:val="004F247A"/>
    <w:rsid w:val="004F2656"/>
    <w:rsid w:val="004F2960"/>
    <w:rsid w:val="004F2A51"/>
    <w:rsid w:val="004F2D6B"/>
    <w:rsid w:val="004F2E0C"/>
    <w:rsid w:val="004F2E5F"/>
    <w:rsid w:val="004F346C"/>
    <w:rsid w:val="004F399E"/>
    <w:rsid w:val="004F3A9D"/>
    <w:rsid w:val="004F4A0E"/>
    <w:rsid w:val="004F4D2D"/>
    <w:rsid w:val="004F527E"/>
    <w:rsid w:val="004F5535"/>
    <w:rsid w:val="004F5C74"/>
    <w:rsid w:val="004F5E9F"/>
    <w:rsid w:val="004F6088"/>
    <w:rsid w:val="004F6401"/>
    <w:rsid w:val="004F6599"/>
    <w:rsid w:val="004F662D"/>
    <w:rsid w:val="004F72A8"/>
    <w:rsid w:val="004F72F8"/>
    <w:rsid w:val="004F7622"/>
    <w:rsid w:val="0050051F"/>
    <w:rsid w:val="005006DB"/>
    <w:rsid w:val="005013EA"/>
    <w:rsid w:val="00501495"/>
    <w:rsid w:val="0050172D"/>
    <w:rsid w:val="0050255E"/>
    <w:rsid w:val="0050278F"/>
    <w:rsid w:val="005027EA"/>
    <w:rsid w:val="00502DE6"/>
    <w:rsid w:val="00503158"/>
    <w:rsid w:val="005035A7"/>
    <w:rsid w:val="0050392F"/>
    <w:rsid w:val="00503BC4"/>
    <w:rsid w:val="0050418B"/>
    <w:rsid w:val="00504A93"/>
    <w:rsid w:val="005052B3"/>
    <w:rsid w:val="005054EC"/>
    <w:rsid w:val="005055E3"/>
    <w:rsid w:val="00506A5E"/>
    <w:rsid w:val="0050725E"/>
    <w:rsid w:val="00507617"/>
    <w:rsid w:val="005104F1"/>
    <w:rsid w:val="005113C0"/>
    <w:rsid w:val="005116F4"/>
    <w:rsid w:val="00511758"/>
    <w:rsid w:val="00511F80"/>
    <w:rsid w:val="00511FE2"/>
    <w:rsid w:val="005126A0"/>
    <w:rsid w:val="005127D6"/>
    <w:rsid w:val="005129EF"/>
    <w:rsid w:val="00512C27"/>
    <w:rsid w:val="00512E13"/>
    <w:rsid w:val="005130D6"/>
    <w:rsid w:val="005132B2"/>
    <w:rsid w:val="00513594"/>
    <w:rsid w:val="005137E9"/>
    <w:rsid w:val="00513B49"/>
    <w:rsid w:val="00513B9C"/>
    <w:rsid w:val="00513E08"/>
    <w:rsid w:val="00513EBA"/>
    <w:rsid w:val="00514BAC"/>
    <w:rsid w:val="00514F17"/>
    <w:rsid w:val="005152E9"/>
    <w:rsid w:val="005153BD"/>
    <w:rsid w:val="00515A8C"/>
    <w:rsid w:val="00515DD3"/>
    <w:rsid w:val="005160B2"/>
    <w:rsid w:val="0051616D"/>
    <w:rsid w:val="005166D1"/>
    <w:rsid w:val="00516D83"/>
    <w:rsid w:val="00516F9B"/>
    <w:rsid w:val="00517438"/>
    <w:rsid w:val="00517940"/>
    <w:rsid w:val="00517E59"/>
    <w:rsid w:val="0052035F"/>
    <w:rsid w:val="00520472"/>
    <w:rsid w:val="005208ED"/>
    <w:rsid w:val="00520EE5"/>
    <w:rsid w:val="00520FFB"/>
    <w:rsid w:val="005211B5"/>
    <w:rsid w:val="00521E67"/>
    <w:rsid w:val="00521FDB"/>
    <w:rsid w:val="0052207D"/>
    <w:rsid w:val="00523617"/>
    <w:rsid w:val="005239D6"/>
    <w:rsid w:val="00523A33"/>
    <w:rsid w:val="00523D94"/>
    <w:rsid w:val="00524044"/>
    <w:rsid w:val="00524156"/>
    <w:rsid w:val="00524F8A"/>
    <w:rsid w:val="0052537E"/>
    <w:rsid w:val="005253AA"/>
    <w:rsid w:val="00525638"/>
    <w:rsid w:val="00525B01"/>
    <w:rsid w:val="00526A63"/>
    <w:rsid w:val="00526D5E"/>
    <w:rsid w:val="00527388"/>
    <w:rsid w:val="005273ED"/>
    <w:rsid w:val="00527548"/>
    <w:rsid w:val="00527AC6"/>
    <w:rsid w:val="00527CDA"/>
    <w:rsid w:val="00527E0B"/>
    <w:rsid w:val="00527E13"/>
    <w:rsid w:val="00530468"/>
    <w:rsid w:val="00531239"/>
    <w:rsid w:val="00531302"/>
    <w:rsid w:val="0053151A"/>
    <w:rsid w:val="00531A77"/>
    <w:rsid w:val="00532F29"/>
    <w:rsid w:val="0053313F"/>
    <w:rsid w:val="0053339D"/>
    <w:rsid w:val="0053375F"/>
    <w:rsid w:val="00533D45"/>
    <w:rsid w:val="00533E13"/>
    <w:rsid w:val="00534C00"/>
    <w:rsid w:val="00535252"/>
    <w:rsid w:val="005354A0"/>
    <w:rsid w:val="0053569C"/>
    <w:rsid w:val="00535D79"/>
    <w:rsid w:val="00535F8B"/>
    <w:rsid w:val="0053692C"/>
    <w:rsid w:val="00536D6D"/>
    <w:rsid w:val="00536E2A"/>
    <w:rsid w:val="00537925"/>
    <w:rsid w:val="00537BE3"/>
    <w:rsid w:val="00537DD4"/>
    <w:rsid w:val="00541CEA"/>
    <w:rsid w:val="00542892"/>
    <w:rsid w:val="00542D7C"/>
    <w:rsid w:val="00542DFB"/>
    <w:rsid w:val="00543098"/>
    <w:rsid w:val="005432B1"/>
    <w:rsid w:val="00543C76"/>
    <w:rsid w:val="005443BF"/>
    <w:rsid w:val="00544F92"/>
    <w:rsid w:val="00545449"/>
    <w:rsid w:val="00545789"/>
    <w:rsid w:val="005462A1"/>
    <w:rsid w:val="005468D1"/>
    <w:rsid w:val="00546987"/>
    <w:rsid w:val="005469A6"/>
    <w:rsid w:val="00546B6B"/>
    <w:rsid w:val="00546D43"/>
    <w:rsid w:val="00547862"/>
    <w:rsid w:val="00547BB1"/>
    <w:rsid w:val="00547DB7"/>
    <w:rsid w:val="00547E86"/>
    <w:rsid w:val="005500A3"/>
    <w:rsid w:val="00550394"/>
    <w:rsid w:val="005503D5"/>
    <w:rsid w:val="005515DF"/>
    <w:rsid w:val="00551B01"/>
    <w:rsid w:val="00551FCE"/>
    <w:rsid w:val="0055201D"/>
    <w:rsid w:val="00553400"/>
    <w:rsid w:val="005534C8"/>
    <w:rsid w:val="005539A7"/>
    <w:rsid w:val="00553C9A"/>
    <w:rsid w:val="00553CE0"/>
    <w:rsid w:val="00553D3D"/>
    <w:rsid w:val="00553D4D"/>
    <w:rsid w:val="00554BF4"/>
    <w:rsid w:val="00554E3B"/>
    <w:rsid w:val="005556A5"/>
    <w:rsid w:val="00555906"/>
    <w:rsid w:val="00555B23"/>
    <w:rsid w:val="00555B5C"/>
    <w:rsid w:val="00556135"/>
    <w:rsid w:val="00556886"/>
    <w:rsid w:val="0055720A"/>
    <w:rsid w:val="00557706"/>
    <w:rsid w:val="00557E21"/>
    <w:rsid w:val="00560001"/>
    <w:rsid w:val="00560878"/>
    <w:rsid w:val="00560CDD"/>
    <w:rsid w:val="00560F17"/>
    <w:rsid w:val="005610D0"/>
    <w:rsid w:val="0056113B"/>
    <w:rsid w:val="005617F0"/>
    <w:rsid w:val="00561C71"/>
    <w:rsid w:val="00562EBC"/>
    <w:rsid w:val="005636C4"/>
    <w:rsid w:val="005636DF"/>
    <w:rsid w:val="00563816"/>
    <w:rsid w:val="00564290"/>
    <w:rsid w:val="0056482B"/>
    <w:rsid w:val="0056525F"/>
    <w:rsid w:val="00565379"/>
    <w:rsid w:val="005665D1"/>
    <w:rsid w:val="00566824"/>
    <w:rsid w:val="00566879"/>
    <w:rsid w:val="00566A00"/>
    <w:rsid w:val="00566E10"/>
    <w:rsid w:val="00567166"/>
    <w:rsid w:val="00567537"/>
    <w:rsid w:val="005679A5"/>
    <w:rsid w:val="00567B13"/>
    <w:rsid w:val="00567CCA"/>
    <w:rsid w:val="005700BE"/>
    <w:rsid w:val="00570428"/>
    <w:rsid w:val="00570B2F"/>
    <w:rsid w:val="00570CEF"/>
    <w:rsid w:val="005711BA"/>
    <w:rsid w:val="00571A87"/>
    <w:rsid w:val="00572637"/>
    <w:rsid w:val="00572645"/>
    <w:rsid w:val="00572AC3"/>
    <w:rsid w:val="00572C5D"/>
    <w:rsid w:val="00572DF3"/>
    <w:rsid w:val="00573582"/>
    <w:rsid w:val="00573A30"/>
    <w:rsid w:val="00573F64"/>
    <w:rsid w:val="005743C0"/>
    <w:rsid w:val="00574CF9"/>
    <w:rsid w:val="00575450"/>
    <w:rsid w:val="00575A96"/>
    <w:rsid w:val="00575E0D"/>
    <w:rsid w:val="0057622F"/>
    <w:rsid w:val="005764CC"/>
    <w:rsid w:val="00576659"/>
    <w:rsid w:val="00576D95"/>
    <w:rsid w:val="00577383"/>
    <w:rsid w:val="00580189"/>
    <w:rsid w:val="00580301"/>
    <w:rsid w:val="00580868"/>
    <w:rsid w:val="00581394"/>
    <w:rsid w:val="005814B8"/>
    <w:rsid w:val="0058162C"/>
    <w:rsid w:val="00581826"/>
    <w:rsid w:val="005818A5"/>
    <w:rsid w:val="00581B1F"/>
    <w:rsid w:val="00581C42"/>
    <w:rsid w:val="005824E6"/>
    <w:rsid w:val="0058295E"/>
    <w:rsid w:val="005831AD"/>
    <w:rsid w:val="00583307"/>
    <w:rsid w:val="0058341B"/>
    <w:rsid w:val="0058366C"/>
    <w:rsid w:val="00583B42"/>
    <w:rsid w:val="00583C18"/>
    <w:rsid w:val="00583CAB"/>
    <w:rsid w:val="00584AB4"/>
    <w:rsid w:val="00584F6C"/>
    <w:rsid w:val="00584F9B"/>
    <w:rsid w:val="0058524E"/>
    <w:rsid w:val="005874C7"/>
    <w:rsid w:val="00587CAA"/>
    <w:rsid w:val="005903BD"/>
    <w:rsid w:val="00591000"/>
    <w:rsid w:val="0059118C"/>
    <w:rsid w:val="005911AC"/>
    <w:rsid w:val="005913E8"/>
    <w:rsid w:val="005929ED"/>
    <w:rsid w:val="00592C35"/>
    <w:rsid w:val="0059374A"/>
    <w:rsid w:val="00593824"/>
    <w:rsid w:val="00593853"/>
    <w:rsid w:val="00593B57"/>
    <w:rsid w:val="005941AD"/>
    <w:rsid w:val="005943D3"/>
    <w:rsid w:val="00594461"/>
    <w:rsid w:val="005944CC"/>
    <w:rsid w:val="005947AC"/>
    <w:rsid w:val="00594E9C"/>
    <w:rsid w:val="00594FEF"/>
    <w:rsid w:val="0059591D"/>
    <w:rsid w:val="00595AB4"/>
    <w:rsid w:val="00596053"/>
    <w:rsid w:val="00596A5B"/>
    <w:rsid w:val="00597A26"/>
    <w:rsid w:val="00597C77"/>
    <w:rsid w:val="005A0C54"/>
    <w:rsid w:val="005A0CE7"/>
    <w:rsid w:val="005A0E1C"/>
    <w:rsid w:val="005A1094"/>
    <w:rsid w:val="005A1D68"/>
    <w:rsid w:val="005A21B0"/>
    <w:rsid w:val="005A272E"/>
    <w:rsid w:val="005A2732"/>
    <w:rsid w:val="005A27E5"/>
    <w:rsid w:val="005A2888"/>
    <w:rsid w:val="005A2ADA"/>
    <w:rsid w:val="005A2C7A"/>
    <w:rsid w:val="005A2FCB"/>
    <w:rsid w:val="005A328A"/>
    <w:rsid w:val="005A329B"/>
    <w:rsid w:val="005A3892"/>
    <w:rsid w:val="005A3B35"/>
    <w:rsid w:val="005A46BB"/>
    <w:rsid w:val="005A4878"/>
    <w:rsid w:val="005A4E29"/>
    <w:rsid w:val="005A4F76"/>
    <w:rsid w:val="005A5737"/>
    <w:rsid w:val="005A5A58"/>
    <w:rsid w:val="005A5BC2"/>
    <w:rsid w:val="005A5DB0"/>
    <w:rsid w:val="005A6056"/>
    <w:rsid w:val="005A6F39"/>
    <w:rsid w:val="005A6FD7"/>
    <w:rsid w:val="005A70C8"/>
    <w:rsid w:val="005A7EB6"/>
    <w:rsid w:val="005B029B"/>
    <w:rsid w:val="005B048A"/>
    <w:rsid w:val="005B0A25"/>
    <w:rsid w:val="005B0AF7"/>
    <w:rsid w:val="005B1197"/>
    <w:rsid w:val="005B144F"/>
    <w:rsid w:val="005B1F82"/>
    <w:rsid w:val="005B225C"/>
    <w:rsid w:val="005B2671"/>
    <w:rsid w:val="005B2913"/>
    <w:rsid w:val="005B2FC9"/>
    <w:rsid w:val="005B4161"/>
    <w:rsid w:val="005B4503"/>
    <w:rsid w:val="005B4D17"/>
    <w:rsid w:val="005B4E7F"/>
    <w:rsid w:val="005B4EFE"/>
    <w:rsid w:val="005B4FBF"/>
    <w:rsid w:val="005B5217"/>
    <w:rsid w:val="005B558B"/>
    <w:rsid w:val="005B58C1"/>
    <w:rsid w:val="005B5A27"/>
    <w:rsid w:val="005B6056"/>
    <w:rsid w:val="005B60DE"/>
    <w:rsid w:val="005B793A"/>
    <w:rsid w:val="005B7DFE"/>
    <w:rsid w:val="005C011D"/>
    <w:rsid w:val="005C060A"/>
    <w:rsid w:val="005C0F5D"/>
    <w:rsid w:val="005C1273"/>
    <w:rsid w:val="005C1648"/>
    <w:rsid w:val="005C1E25"/>
    <w:rsid w:val="005C20F8"/>
    <w:rsid w:val="005C23DF"/>
    <w:rsid w:val="005C2807"/>
    <w:rsid w:val="005C29CE"/>
    <w:rsid w:val="005C2ECA"/>
    <w:rsid w:val="005C3AB4"/>
    <w:rsid w:val="005C3BA6"/>
    <w:rsid w:val="005C42AD"/>
    <w:rsid w:val="005C43AB"/>
    <w:rsid w:val="005C444C"/>
    <w:rsid w:val="005C4BF8"/>
    <w:rsid w:val="005C540E"/>
    <w:rsid w:val="005C58B2"/>
    <w:rsid w:val="005C687E"/>
    <w:rsid w:val="005C6B56"/>
    <w:rsid w:val="005C6BB6"/>
    <w:rsid w:val="005C6CDA"/>
    <w:rsid w:val="005C6E39"/>
    <w:rsid w:val="005C7920"/>
    <w:rsid w:val="005C7A7A"/>
    <w:rsid w:val="005C7D7B"/>
    <w:rsid w:val="005C7DA0"/>
    <w:rsid w:val="005D03B8"/>
    <w:rsid w:val="005D11E9"/>
    <w:rsid w:val="005D1439"/>
    <w:rsid w:val="005D201A"/>
    <w:rsid w:val="005D2031"/>
    <w:rsid w:val="005D249F"/>
    <w:rsid w:val="005D25E0"/>
    <w:rsid w:val="005D2B7D"/>
    <w:rsid w:val="005D2FA1"/>
    <w:rsid w:val="005D36E6"/>
    <w:rsid w:val="005D38E3"/>
    <w:rsid w:val="005D3EB2"/>
    <w:rsid w:val="005D3F34"/>
    <w:rsid w:val="005D4BFA"/>
    <w:rsid w:val="005D4E1E"/>
    <w:rsid w:val="005D5565"/>
    <w:rsid w:val="005D5E00"/>
    <w:rsid w:val="005D6194"/>
    <w:rsid w:val="005D6655"/>
    <w:rsid w:val="005D6AEC"/>
    <w:rsid w:val="005D6CCE"/>
    <w:rsid w:val="005D6FB3"/>
    <w:rsid w:val="005D7104"/>
    <w:rsid w:val="005D716B"/>
    <w:rsid w:val="005D73F8"/>
    <w:rsid w:val="005D7A19"/>
    <w:rsid w:val="005D7BEA"/>
    <w:rsid w:val="005E0431"/>
    <w:rsid w:val="005E04EB"/>
    <w:rsid w:val="005E0C02"/>
    <w:rsid w:val="005E0C0A"/>
    <w:rsid w:val="005E0C96"/>
    <w:rsid w:val="005E0F20"/>
    <w:rsid w:val="005E1E63"/>
    <w:rsid w:val="005E230B"/>
    <w:rsid w:val="005E263F"/>
    <w:rsid w:val="005E292C"/>
    <w:rsid w:val="005E2AB8"/>
    <w:rsid w:val="005E2C59"/>
    <w:rsid w:val="005E3B40"/>
    <w:rsid w:val="005E4168"/>
    <w:rsid w:val="005E4695"/>
    <w:rsid w:val="005E4A09"/>
    <w:rsid w:val="005E4D7E"/>
    <w:rsid w:val="005E528B"/>
    <w:rsid w:val="005E5FAB"/>
    <w:rsid w:val="005E685F"/>
    <w:rsid w:val="005E6C35"/>
    <w:rsid w:val="005E6C5B"/>
    <w:rsid w:val="005E70FA"/>
    <w:rsid w:val="005E7544"/>
    <w:rsid w:val="005E7BB9"/>
    <w:rsid w:val="005E7D42"/>
    <w:rsid w:val="005F0B3C"/>
    <w:rsid w:val="005F0F46"/>
    <w:rsid w:val="005F21EE"/>
    <w:rsid w:val="005F2648"/>
    <w:rsid w:val="005F2B8A"/>
    <w:rsid w:val="005F2CA0"/>
    <w:rsid w:val="005F34F2"/>
    <w:rsid w:val="005F59AF"/>
    <w:rsid w:val="005F5AA2"/>
    <w:rsid w:val="005F6387"/>
    <w:rsid w:val="005F6DB8"/>
    <w:rsid w:val="005F6F06"/>
    <w:rsid w:val="005F7678"/>
    <w:rsid w:val="006000CC"/>
    <w:rsid w:val="006002AE"/>
    <w:rsid w:val="0060062F"/>
    <w:rsid w:val="006007DA"/>
    <w:rsid w:val="006012CC"/>
    <w:rsid w:val="0060140F"/>
    <w:rsid w:val="00601488"/>
    <w:rsid w:val="0060195F"/>
    <w:rsid w:val="00601C26"/>
    <w:rsid w:val="00601EEE"/>
    <w:rsid w:val="0060229E"/>
    <w:rsid w:val="00602752"/>
    <w:rsid w:val="00602C2D"/>
    <w:rsid w:val="00602C74"/>
    <w:rsid w:val="006032E0"/>
    <w:rsid w:val="006038A2"/>
    <w:rsid w:val="00604078"/>
    <w:rsid w:val="0060448B"/>
    <w:rsid w:val="0060461D"/>
    <w:rsid w:val="00604BF0"/>
    <w:rsid w:val="0060539F"/>
    <w:rsid w:val="006059E8"/>
    <w:rsid w:val="00605A9B"/>
    <w:rsid w:val="00606CB1"/>
    <w:rsid w:val="0060730F"/>
    <w:rsid w:val="00610845"/>
    <w:rsid w:val="0061086D"/>
    <w:rsid w:val="00610E08"/>
    <w:rsid w:val="00611E0D"/>
    <w:rsid w:val="006126D1"/>
    <w:rsid w:val="00613316"/>
    <w:rsid w:val="00613736"/>
    <w:rsid w:val="006140AF"/>
    <w:rsid w:val="0061480D"/>
    <w:rsid w:val="00614997"/>
    <w:rsid w:val="006152A8"/>
    <w:rsid w:val="0061577C"/>
    <w:rsid w:val="00615897"/>
    <w:rsid w:val="0061597C"/>
    <w:rsid w:val="00616296"/>
    <w:rsid w:val="00616460"/>
    <w:rsid w:val="0061728F"/>
    <w:rsid w:val="006172D4"/>
    <w:rsid w:val="0061767A"/>
    <w:rsid w:val="00620132"/>
    <w:rsid w:val="00620214"/>
    <w:rsid w:val="00620A33"/>
    <w:rsid w:val="00620BA1"/>
    <w:rsid w:val="00620D7F"/>
    <w:rsid w:val="00621059"/>
    <w:rsid w:val="00621DEE"/>
    <w:rsid w:val="0062265B"/>
    <w:rsid w:val="0062273E"/>
    <w:rsid w:val="006234EF"/>
    <w:rsid w:val="00623A59"/>
    <w:rsid w:val="00623E72"/>
    <w:rsid w:val="006240C5"/>
    <w:rsid w:val="00624C28"/>
    <w:rsid w:val="00625214"/>
    <w:rsid w:val="006252F2"/>
    <w:rsid w:val="00625C91"/>
    <w:rsid w:val="00625DAD"/>
    <w:rsid w:val="00625FA7"/>
    <w:rsid w:val="006266E3"/>
    <w:rsid w:val="00626702"/>
    <w:rsid w:val="00626970"/>
    <w:rsid w:val="00626A69"/>
    <w:rsid w:val="00626E49"/>
    <w:rsid w:val="00626F5D"/>
    <w:rsid w:val="00627007"/>
    <w:rsid w:val="00627F4E"/>
    <w:rsid w:val="006302FF"/>
    <w:rsid w:val="0063073F"/>
    <w:rsid w:val="00630836"/>
    <w:rsid w:val="00630916"/>
    <w:rsid w:val="0063127D"/>
    <w:rsid w:val="00631579"/>
    <w:rsid w:val="006317AB"/>
    <w:rsid w:val="00631DC8"/>
    <w:rsid w:val="006321AE"/>
    <w:rsid w:val="00632BC6"/>
    <w:rsid w:val="006333EB"/>
    <w:rsid w:val="00633B7A"/>
    <w:rsid w:val="00634125"/>
    <w:rsid w:val="006343E3"/>
    <w:rsid w:val="006344FB"/>
    <w:rsid w:val="006345B2"/>
    <w:rsid w:val="00634743"/>
    <w:rsid w:val="00634A28"/>
    <w:rsid w:val="00634BCC"/>
    <w:rsid w:val="00635215"/>
    <w:rsid w:val="0063537D"/>
    <w:rsid w:val="00635448"/>
    <w:rsid w:val="006361B4"/>
    <w:rsid w:val="006363BD"/>
    <w:rsid w:val="00636967"/>
    <w:rsid w:val="00636D60"/>
    <w:rsid w:val="00636E6E"/>
    <w:rsid w:val="00637341"/>
    <w:rsid w:val="006375B3"/>
    <w:rsid w:val="006375DF"/>
    <w:rsid w:val="00637AB1"/>
    <w:rsid w:val="00640A9B"/>
    <w:rsid w:val="00640C85"/>
    <w:rsid w:val="00641F70"/>
    <w:rsid w:val="00641FD0"/>
    <w:rsid w:val="00642960"/>
    <w:rsid w:val="00643089"/>
    <w:rsid w:val="00643A01"/>
    <w:rsid w:val="00643C2C"/>
    <w:rsid w:val="00644043"/>
    <w:rsid w:val="00644290"/>
    <w:rsid w:val="00644864"/>
    <w:rsid w:val="006450ED"/>
    <w:rsid w:val="0064533C"/>
    <w:rsid w:val="0064617B"/>
    <w:rsid w:val="006465A6"/>
    <w:rsid w:val="00646C38"/>
    <w:rsid w:val="00646D01"/>
    <w:rsid w:val="00646DA0"/>
    <w:rsid w:val="00646F61"/>
    <w:rsid w:val="006470AD"/>
    <w:rsid w:val="006470EA"/>
    <w:rsid w:val="0064748F"/>
    <w:rsid w:val="00650191"/>
    <w:rsid w:val="0065039E"/>
    <w:rsid w:val="006508B3"/>
    <w:rsid w:val="00650E52"/>
    <w:rsid w:val="006518B0"/>
    <w:rsid w:val="00651C29"/>
    <w:rsid w:val="0065206E"/>
    <w:rsid w:val="0065216C"/>
    <w:rsid w:val="006526D6"/>
    <w:rsid w:val="006536A7"/>
    <w:rsid w:val="00653A2D"/>
    <w:rsid w:val="00655203"/>
    <w:rsid w:val="0065522C"/>
    <w:rsid w:val="006553D5"/>
    <w:rsid w:val="00655A41"/>
    <w:rsid w:val="00655C91"/>
    <w:rsid w:val="00655D14"/>
    <w:rsid w:val="006560C7"/>
    <w:rsid w:val="006563D1"/>
    <w:rsid w:val="00656D5F"/>
    <w:rsid w:val="006579FF"/>
    <w:rsid w:val="006604D0"/>
    <w:rsid w:val="00661005"/>
    <w:rsid w:val="006618AE"/>
    <w:rsid w:val="00661E12"/>
    <w:rsid w:val="006620D7"/>
    <w:rsid w:val="0066234C"/>
    <w:rsid w:val="00662C4C"/>
    <w:rsid w:val="00662C79"/>
    <w:rsid w:val="00662E94"/>
    <w:rsid w:val="00663386"/>
    <w:rsid w:val="00663BA0"/>
    <w:rsid w:val="00663F89"/>
    <w:rsid w:val="00664043"/>
    <w:rsid w:val="00664D19"/>
    <w:rsid w:val="006655DB"/>
    <w:rsid w:val="00665938"/>
    <w:rsid w:val="00665A9F"/>
    <w:rsid w:val="00665B24"/>
    <w:rsid w:val="00666216"/>
    <w:rsid w:val="006668A0"/>
    <w:rsid w:val="00666AD9"/>
    <w:rsid w:val="00667763"/>
    <w:rsid w:val="00667E7D"/>
    <w:rsid w:val="0067007E"/>
    <w:rsid w:val="00670821"/>
    <w:rsid w:val="00670F95"/>
    <w:rsid w:val="00671636"/>
    <w:rsid w:val="006719BC"/>
    <w:rsid w:val="00671CEE"/>
    <w:rsid w:val="00671FFB"/>
    <w:rsid w:val="00672372"/>
    <w:rsid w:val="00672F6D"/>
    <w:rsid w:val="006734C0"/>
    <w:rsid w:val="00673723"/>
    <w:rsid w:val="00673B35"/>
    <w:rsid w:val="00674247"/>
    <w:rsid w:val="006747AB"/>
    <w:rsid w:val="0067485D"/>
    <w:rsid w:val="00674B28"/>
    <w:rsid w:val="00674CA1"/>
    <w:rsid w:val="00674D25"/>
    <w:rsid w:val="00674F16"/>
    <w:rsid w:val="00675105"/>
    <w:rsid w:val="00675848"/>
    <w:rsid w:val="0067595E"/>
    <w:rsid w:val="006759C8"/>
    <w:rsid w:val="00675EAA"/>
    <w:rsid w:val="00675EBD"/>
    <w:rsid w:val="00676000"/>
    <w:rsid w:val="0067649B"/>
    <w:rsid w:val="0067666E"/>
    <w:rsid w:val="0067677D"/>
    <w:rsid w:val="00676878"/>
    <w:rsid w:val="00676C1D"/>
    <w:rsid w:val="00676C73"/>
    <w:rsid w:val="006772D5"/>
    <w:rsid w:val="00677648"/>
    <w:rsid w:val="00677813"/>
    <w:rsid w:val="00677A2A"/>
    <w:rsid w:val="00677FA3"/>
    <w:rsid w:val="00680293"/>
    <w:rsid w:val="006803E9"/>
    <w:rsid w:val="00680BB6"/>
    <w:rsid w:val="006812A8"/>
    <w:rsid w:val="0068135A"/>
    <w:rsid w:val="00681495"/>
    <w:rsid w:val="00681F67"/>
    <w:rsid w:val="00682558"/>
    <w:rsid w:val="00682C24"/>
    <w:rsid w:val="00682C39"/>
    <w:rsid w:val="00683493"/>
    <w:rsid w:val="00683AFF"/>
    <w:rsid w:val="00683CC6"/>
    <w:rsid w:val="00684092"/>
    <w:rsid w:val="006847A6"/>
    <w:rsid w:val="006850E6"/>
    <w:rsid w:val="0068532A"/>
    <w:rsid w:val="006853B2"/>
    <w:rsid w:val="00685A0B"/>
    <w:rsid w:val="00685D86"/>
    <w:rsid w:val="00686C81"/>
    <w:rsid w:val="00686C9D"/>
    <w:rsid w:val="00686CD3"/>
    <w:rsid w:val="00686FE6"/>
    <w:rsid w:val="00686FFF"/>
    <w:rsid w:val="006875A3"/>
    <w:rsid w:val="00687A85"/>
    <w:rsid w:val="00690225"/>
    <w:rsid w:val="00690679"/>
    <w:rsid w:val="00690685"/>
    <w:rsid w:val="00691012"/>
    <w:rsid w:val="00691472"/>
    <w:rsid w:val="006914FC"/>
    <w:rsid w:val="006916FB"/>
    <w:rsid w:val="00691BFE"/>
    <w:rsid w:val="00691D38"/>
    <w:rsid w:val="00691FB5"/>
    <w:rsid w:val="0069211F"/>
    <w:rsid w:val="00692797"/>
    <w:rsid w:val="006927D3"/>
    <w:rsid w:val="006928EB"/>
    <w:rsid w:val="00692C07"/>
    <w:rsid w:val="00693420"/>
    <w:rsid w:val="00693454"/>
    <w:rsid w:val="006939AD"/>
    <w:rsid w:val="00693B79"/>
    <w:rsid w:val="0069406E"/>
    <w:rsid w:val="006941B1"/>
    <w:rsid w:val="00694373"/>
    <w:rsid w:val="00694418"/>
    <w:rsid w:val="006947E9"/>
    <w:rsid w:val="00695182"/>
    <w:rsid w:val="006953CE"/>
    <w:rsid w:val="00695C4A"/>
    <w:rsid w:val="00695F03"/>
    <w:rsid w:val="0069616B"/>
    <w:rsid w:val="0069629C"/>
    <w:rsid w:val="00696E37"/>
    <w:rsid w:val="00696FC8"/>
    <w:rsid w:val="0069706E"/>
    <w:rsid w:val="00697158"/>
    <w:rsid w:val="0069733D"/>
    <w:rsid w:val="00697DA8"/>
    <w:rsid w:val="006A0A49"/>
    <w:rsid w:val="006A1909"/>
    <w:rsid w:val="006A1A80"/>
    <w:rsid w:val="006A28CA"/>
    <w:rsid w:val="006A29A7"/>
    <w:rsid w:val="006A2E08"/>
    <w:rsid w:val="006A3128"/>
    <w:rsid w:val="006A35F6"/>
    <w:rsid w:val="006A3769"/>
    <w:rsid w:val="006A380E"/>
    <w:rsid w:val="006A3D66"/>
    <w:rsid w:val="006A4045"/>
    <w:rsid w:val="006A431B"/>
    <w:rsid w:val="006A52A2"/>
    <w:rsid w:val="006A578E"/>
    <w:rsid w:val="006A5DC8"/>
    <w:rsid w:val="006A5F79"/>
    <w:rsid w:val="006A5FC5"/>
    <w:rsid w:val="006A6905"/>
    <w:rsid w:val="006A6DCB"/>
    <w:rsid w:val="006A70DE"/>
    <w:rsid w:val="006A76E4"/>
    <w:rsid w:val="006A7E04"/>
    <w:rsid w:val="006B0671"/>
    <w:rsid w:val="006B1395"/>
    <w:rsid w:val="006B1833"/>
    <w:rsid w:val="006B19B6"/>
    <w:rsid w:val="006B1BE0"/>
    <w:rsid w:val="006B1CC8"/>
    <w:rsid w:val="006B1DA2"/>
    <w:rsid w:val="006B2204"/>
    <w:rsid w:val="006B3261"/>
    <w:rsid w:val="006B336F"/>
    <w:rsid w:val="006B35F8"/>
    <w:rsid w:val="006B3922"/>
    <w:rsid w:val="006B3AD9"/>
    <w:rsid w:val="006B3BA2"/>
    <w:rsid w:val="006B3BCE"/>
    <w:rsid w:val="006B3EAC"/>
    <w:rsid w:val="006B3F88"/>
    <w:rsid w:val="006B41FE"/>
    <w:rsid w:val="006B4384"/>
    <w:rsid w:val="006B46F7"/>
    <w:rsid w:val="006B4A73"/>
    <w:rsid w:val="006B4BD8"/>
    <w:rsid w:val="006B4E72"/>
    <w:rsid w:val="006B4F6C"/>
    <w:rsid w:val="006B51C2"/>
    <w:rsid w:val="006B588C"/>
    <w:rsid w:val="006B5DCE"/>
    <w:rsid w:val="006B6207"/>
    <w:rsid w:val="006B66A5"/>
    <w:rsid w:val="006B69EC"/>
    <w:rsid w:val="006B6A67"/>
    <w:rsid w:val="006B73F6"/>
    <w:rsid w:val="006B758A"/>
    <w:rsid w:val="006B7888"/>
    <w:rsid w:val="006B7966"/>
    <w:rsid w:val="006B7E32"/>
    <w:rsid w:val="006C009A"/>
    <w:rsid w:val="006C00D4"/>
    <w:rsid w:val="006C0327"/>
    <w:rsid w:val="006C0C81"/>
    <w:rsid w:val="006C1F77"/>
    <w:rsid w:val="006C28E1"/>
    <w:rsid w:val="006C2CF8"/>
    <w:rsid w:val="006C30B1"/>
    <w:rsid w:val="006C3344"/>
    <w:rsid w:val="006C39DD"/>
    <w:rsid w:val="006C41A9"/>
    <w:rsid w:val="006C439E"/>
    <w:rsid w:val="006C4416"/>
    <w:rsid w:val="006C4962"/>
    <w:rsid w:val="006C503F"/>
    <w:rsid w:val="006C542B"/>
    <w:rsid w:val="006C609D"/>
    <w:rsid w:val="006C62A1"/>
    <w:rsid w:val="006C62E4"/>
    <w:rsid w:val="006C687C"/>
    <w:rsid w:val="006C6D14"/>
    <w:rsid w:val="006C6FB6"/>
    <w:rsid w:val="006C703E"/>
    <w:rsid w:val="006C73F3"/>
    <w:rsid w:val="006C7865"/>
    <w:rsid w:val="006C7920"/>
    <w:rsid w:val="006D009B"/>
    <w:rsid w:val="006D0314"/>
    <w:rsid w:val="006D04F6"/>
    <w:rsid w:val="006D0604"/>
    <w:rsid w:val="006D09C8"/>
    <w:rsid w:val="006D0CE5"/>
    <w:rsid w:val="006D1907"/>
    <w:rsid w:val="006D19CC"/>
    <w:rsid w:val="006D1BD6"/>
    <w:rsid w:val="006D20DC"/>
    <w:rsid w:val="006D2245"/>
    <w:rsid w:val="006D2ACF"/>
    <w:rsid w:val="006D3508"/>
    <w:rsid w:val="006D35FD"/>
    <w:rsid w:val="006D39D9"/>
    <w:rsid w:val="006D3D95"/>
    <w:rsid w:val="006D4187"/>
    <w:rsid w:val="006D4705"/>
    <w:rsid w:val="006D49A3"/>
    <w:rsid w:val="006D54A5"/>
    <w:rsid w:val="006D5563"/>
    <w:rsid w:val="006D5EFA"/>
    <w:rsid w:val="006D6DA2"/>
    <w:rsid w:val="006D72D5"/>
    <w:rsid w:val="006D754E"/>
    <w:rsid w:val="006D757A"/>
    <w:rsid w:val="006D7617"/>
    <w:rsid w:val="006D7A31"/>
    <w:rsid w:val="006D7DC9"/>
    <w:rsid w:val="006E0562"/>
    <w:rsid w:val="006E0594"/>
    <w:rsid w:val="006E0725"/>
    <w:rsid w:val="006E07FE"/>
    <w:rsid w:val="006E0EA9"/>
    <w:rsid w:val="006E193D"/>
    <w:rsid w:val="006E1C1D"/>
    <w:rsid w:val="006E1E6A"/>
    <w:rsid w:val="006E26EE"/>
    <w:rsid w:val="006E282C"/>
    <w:rsid w:val="006E2A98"/>
    <w:rsid w:val="006E3015"/>
    <w:rsid w:val="006E34C3"/>
    <w:rsid w:val="006E3682"/>
    <w:rsid w:val="006E3944"/>
    <w:rsid w:val="006E449E"/>
    <w:rsid w:val="006E476E"/>
    <w:rsid w:val="006E47CF"/>
    <w:rsid w:val="006E4856"/>
    <w:rsid w:val="006E4F4B"/>
    <w:rsid w:val="006E4FF9"/>
    <w:rsid w:val="006E5104"/>
    <w:rsid w:val="006E6397"/>
    <w:rsid w:val="006E63C4"/>
    <w:rsid w:val="006E6536"/>
    <w:rsid w:val="006E6687"/>
    <w:rsid w:val="006E6983"/>
    <w:rsid w:val="006E6E02"/>
    <w:rsid w:val="006E77A5"/>
    <w:rsid w:val="006E780F"/>
    <w:rsid w:val="006E7DCB"/>
    <w:rsid w:val="006E7E46"/>
    <w:rsid w:val="006E7E83"/>
    <w:rsid w:val="006F02D6"/>
    <w:rsid w:val="006F0413"/>
    <w:rsid w:val="006F1392"/>
    <w:rsid w:val="006F158D"/>
    <w:rsid w:val="006F1AD3"/>
    <w:rsid w:val="006F2064"/>
    <w:rsid w:val="006F23EC"/>
    <w:rsid w:val="006F2474"/>
    <w:rsid w:val="006F2603"/>
    <w:rsid w:val="006F2669"/>
    <w:rsid w:val="006F2922"/>
    <w:rsid w:val="006F292E"/>
    <w:rsid w:val="006F3617"/>
    <w:rsid w:val="006F3A78"/>
    <w:rsid w:val="006F4D9D"/>
    <w:rsid w:val="006F5361"/>
    <w:rsid w:val="006F5932"/>
    <w:rsid w:val="006F5C3F"/>
    <w:rsid w:val="006F600B"/>
    <w:rsid w:val="006F6800"/>
    <w:rsid w:val="006F69CD"/>
    <w:rsid w:val="006F6D2D"/>
    <w:rsid w:val="006F779C"/>
    <w:rsid w:val="00700E20"/>
    <w:rsid w:val="00700EE3"/>
    <w:rsid w:val="007010B0"/>
    <w:rsid w:val="0070168B"/>
    <w:rsid w:val="00701A3E"/>
    <w:rsid w:val="00701C87"/>
    <w:rsid w:val="00702E30"/>
    <w:rsid w:val="00703B4B"/>
    <w:rsid w:val="007048B4"/>
    <w:rsid w:val="00704B27"/>
    <w:rsid w:val="00704E7D"/>
    <w:rsid w:val="00704FC0"/>
    <w:rsid w:val="0070523A"/>
    <w:rsid w:val="0070618E"/>
    <w:rsid w:val="00706AE8"/>
    <w:rsid w:val="00706FB0"/>
    <w:rsid w:val="007073C6"/>
    <w:rsid w:val="00707492"/>
    <w:rsid w:val="00707639"/>
    <w:rsid w:val="00707665"/>
    <w:rsid w:val="00707FE8"/>
    <w:rsid w:val="00710335"/>
    <w:rsid w:val="00710C4B"/>
    <w:rsid w:val="00711135"/>
    <w:rsid w:val="007114CC"/>
    <w:rsid w:val="007116B8"/>
    <w:rsid w:val="007117B9"/>
    <w:rsid w:val="00711C72"/>
    <w:rsid w:val="0071233E"/>
    <w:rsid w:val="00712699"/>
    <w:rsid w:val="00712836"/>
    <w:rsid w:val="0071399C"/>
    <w:rsid w:val="00713D3D"/>
    <w:rsid w:val="00713F91"/>
    <w:rsid w:val="0071595B"/>
    <w:rsid w:val="00715E46"/>
    <w:rsid w:val="00715F9C"/>
    <w:rsid w:val="00716262"/>
    <w:rsid w:val="0071647E"/>
    <w:rsid w:val="007169CE"/>
    <w:rsid w:val="00716EB5"/>
    <w:rsid w:val="00717952"/>
    <w:rsid w:val="00720025"/>
    <w:rsid w:val="007202A1"/>
    <w:rsid w:val="0072055D"/>
    <w:rsid w:val="007205B2"/>
    <w:rsid w:val="007206AD"/>
    <w:rsid w:val="00721193"/>
    <w:rsid w:val="00721478"/>
    <w:rsid w:val="007226D1"/>
    <w:rsid w:val="00722A08"/>
    <w:rsid w:val="00722AA2"/>
    <w:rsid w:val="00724387"/>
    <w:rsid w:val="00724469"/>
    <w:rsid w:val="0072480E"/>
    <w:rsid w:val="00724817"/>
    <w:rsid w:val="00724822"/>
    <w:rsid w:val="007248AD"/>
    <w:rsid w:val="00724A45"/>
    <w:rsid w:val="00724C6D"/>
    <w:rsid w:val="00724DF7"/>
    <w:rsid w:val="00724EE3"/>
    <w:rsid w:val="00725736"/>
    <w:rsid w:val="00725983"/>
    <w:rsid w:val="00725AE9"/>
    <w:rsid w:val="00725B20"/>
    <w:rsid w:val="00725C33"/>
    <w:rsid w:val="00725E65"/>
    <w:rsid w:val="007261CF"/>
    <w:rsid w:val="00726699"/>
    <w:rsid w:val="00726EB8"/>
    <w:rsid w:val="0072712D"/>
    <w:rsid w:val="00727D30"/>
    <w:rsid w:val="00730338"/>
    <w:rsid w:val="00730429"/>
    <w:rsid w:val="0073197F"/>
    <w:rsid w:val="007321F0"/>
    <w:rsid w:val="00732666"/>
    <w:rsid w:val="0073293F"/>
    <w:rsid w:val="00732A82"/>
    <w:rsid w:val="00732D66"/>
    <w:rsid w:val="00732E36"/>
    <w:rsid w:val="00733494"/>
    <w:rsid w:val="00733F23"/>
    <w:rsid w:val="00734389"/>
    <w:rsid w:val="007343D9"/>
    <w:rsid w:val="00734C18"/>
    <w:rsid w:val="00734F56"/>
    <w:rsid w:val="0073582C"/>
    <w:rsid w:val="00735887"/>
    <w:rsid w:val="00735CE6"/>
    <w:rsid w:val="00735F4E"/>
    <w:rsid w:val="00735FC8"/>
    <w:rsid w:val="00736290"/>
    <w:rsid w:val="0073643F"/>
    <w:rsid w:val="007370A3"/>
    <w:rsid w:val="00737732"/>
    <w:rsid w:val="00737C42"/>
    <w:rsid w:val="00737E17"/>
    <w:rsid w:val="00740A7A"/>
    <w:rsid w:val="00740CC3"/>
    <w:rsid w:val="007411A9"/>
    <w:rsid w:val="00741A43"/>
    <w:rsid w:val="00741AC3"/>
    <w:rsid w:val="00741CA9"/>
    <w:rsid w:val="00741D16"/>
    <w:rsid w:val="0074210D"/>
    <w:rsid w:val="007425F6"/>
    <w:rsid w:val="007428D9"/>
    <w:rsid w:val="00742EF1"/>
    <w:rsid w:val="00743563"/>
    <w:rsid w:val="007438EA"/>
    <w:rsid w:val="00743D43"/>
    <w:rsid w:val="007440CB"/>
    <w:rsid w:val="007441C6"/>
    <w:rsid w:val="00744772"/>
    <w:rsid w:val="00744FC0"/>
    <w:rsid w:val="00745423"/>
    <w:rsid w:val="007455B7"/>
    <w:rsid w:val="00745665"/>
    <w:rsid w:val="00745821"/>
    <w:rsid w:val="007459C5"/>
    <w:rsid w:val="007474CC"/>
    <w:rsid w:val="007478C0"/>
    <w:rsid w:val="00747FBF"/>
    <w:rsid w:val="007500C2"/>
    <w:rsid w:val="00750310"/>
    <w:rsid w:val="00751B0C"/>
    <w:rsid w:val="007525DE"/>
    <w:rsid w:val="00752C11"/>
    <w:rsid w:val="00752E66"/>
    <w:rsid w:val="00753450"/>
    <w:rsid w:val="007543AE"/>
    <w:rsid w:val="00754505"/>
    <w:rsid w:val="00754962"/>
    <w:rsid w:val="00754C38"/>
    <w:rsid w:val="00754C97"/>
    <w:rsid w:val="00754EB3"/>
    <w:rsid w:val="007553B5"/>
    <w:rsid w:val="00755600"/>
    <w:rsid w:val="0075648F"/>
    <w:rsid w:val="007565B2"/>
    <w:rsid w:val="0075667C"/>
    <w:rsid w:val="0075680F"/>
    <w:rsid w:val="00756F4D"/>
    <w:rsid w:val="00756FBA"/>
    <w:rsid w:val="00757272"/>
    <w:rsid w:val="00757385"/>
    <w:rsid w:val="007575C7"/>
    <w:rsid w:val="00757AA7"/>
    <w:rsid w:val="00757F42"/>
    <w:rsid w:val="00757F82"/>
    <w:rsid w:val="00760202"/>
    <w:rsid w:val="007606D9"/>
    <w:rsid w:val="00760BAD"/>
    <w:rsid w:val="00760F59"/>
    <w:rsid w:val="007616AA"/>
    <w:rsid w:val="00761ACE"/>
    <w:rsid w:val="00761FD7"/>
    <w:rsid w:val="00762381"/>
    <w:rsid w:val="007623DE"/>
    <w:rsid w:val="00762527"/>
    <w:rsid w:val="00762538"/>
    <w:rsid w:val="007629C4"/>
    <w:rsid w:val="00762B70"/>
    <w:rsid w:val="00762BB5"/>
    <w:rsid w:val="00763405"/>
    <w:rsid w:val="00763AD3"/>
    <w:rsid w:val="00763D2C"/>
    <w:rsid w:val="00763D8C"/>
    <w:rsid w:val="0076426B"/>
    <w:rsid w:val="0076449A"/>
    <w:rsid w:val="00764584"/>
    <w:rsid w:val="00764D83"/>
    <w:rsid w:val="00764F6D"/>
    <w:rsid w:val="007652EA"/>
    <w:rsid w:val="00765FA6"/>
    <w:rsid w:val="00766AE9"/>
    <w:rsid w:val="00766DAF"/>
    <w:rsid w:val="00766E3A"/>
    <w:rsid w:val="0076722E"/>
    <w:rsid w:val="00767532"/>
    <w:rsid w:val="00767601"/>
    <w:rsid w:val="007707DB"/>
    <w:rsid w:val="00770A70"/>
    <w:rsid w:val="00770A9E"/>
    <w:rsid w:val="00770C54"/>
    <w:rsid w:val="00770E1D"/>
    <w:rsid w:val="00771296"/>
    <w:rsid w:val="00771341"/>
    <w:rsid w:val="00771A42"/>
    <w:rsid w:val="00771BFC"/>
    <w:rsid w:val="0077231D"/>
    <w:rsid w:val="0077284B"/>
    <w:rsid w:val="0077301B"/>
    <w:rsid w:val="00774023"/>
    <w:rsid w:val="007748B1"/>
    <w:rsid w:val="00774A50"/>
    <w:rsid w:val="00774B60"/>
    <w:rsid w:val="00774E07"/>
    <w:rsid w:val="00774F3A"/>
    <w:rsid w:val="007755B6"/>
    <w:rsid w:val="007757B3"/>
    <w:rsid w:val="007758C5"/>
    <w:rsid w:val="00775C8A"/>
    <w:rsid w:val="00776D04"/>
    <w:rsid w:val="0077707C"/>
    <w:rsid w:val="007772C7"/>
    <w:rsid w:val="00777991"/>
    <w:rsid w:val="00777A21"/>
    <w:rsid w:val="00780685"/>
    <w:rsid w:val="00780692"/>
    <w:rsid w:val="00780CE9"/>
    <w:rsid w:val="00780DCD"/>
    <w:rsid w:val="007810D7"/>
    <w:rsid w:val="00781F1A"/>
    <w:rsid w:val="007820E7"/>
    <w:rsid w:val="00782318"/>
    <w:rsid w:val="007824A8"/>
    <w:rsid w:val="00782BD5"/>
    <w:rsid w:val="00782D20"/>
    <w:rsid w:val="00783923"/>
    <w:rsid w:val="0078397B"/>
    <w:rsid w:val="00783AF2"/>
    <w:rsid w:val="00784780"/>
    <w:rsid w:val="00785F62"/>
    <w:rsid w:val="007860E5"/>
    <w:rsid w:val="007865BC"/>
    <w:rsid w:val="007868B4"/>
    <w:rsid w:val="00786A66"/>
    <w:rsid w:val="00786EC4"/>
    <w:rsid w:val="007870B7"/>
    <w:rsid w:val="00787526"/>
    <w:rsid w:val="0078778C"/>
    <w:rsid w:val="00787796"/>
    <w:rsid w:val="007877F7"/>
    <w:rsid w:val="007879C8"/>
    <w:rsid w:val="0079026E"/>
    <w:rsid w:val="0079040D"/>
    <w:rsid w:val="007913A1"/>
    <w:rsid w:val="007916FA"/>
    <w:rsid w:val="00791CDF"/>
    <w:rsid w:val="00792216"/>
    <w:rsid w:val="0079248A"/>
    <w:rsid w:val="00792503"/>
    <w:rsid w:val="00792994"/>
    <w:rsid w:val="00792B70"/>
    <w:rsid w:val="00792D87"/>
    <w:rsid w:val="007937FE"/>
    <w:rsid w:val="00793C73"/>
    <w:rsid w:val="0079464D"/>
    <w:rsid w:val="00795B59"/>
    <w:rsid w:val="00795ED8"/>
    <w:rsid w:val="007965CC"/>
    <w:rsid w:val="0079671F"/>
    <w:rsid w:val="00796B67"/>
    <w:rsid w:val="0079734D"/>
    <w:rsid w:val="00797636"/>
    <w:rsid w:val="00797664"/>
    <w:rsid w:val="007977EB"/>
    <w:rsid w:val="00797C2F"/>
    <w:rsid w:val="007A06F8"/>
    <w:rsid w:val="007A073E"/>
    <w:rsid w:val="007A0B9F"/>
    <w:rsid w:val="007A16E6"/>
    <w:rsid w:val="007A182D"/>
    <w:rsid w:val="007A1C4E"/>
    <w:rsid w:val="007A22F8"/>
    <w:rsid w:val="007A2492"/>
    <w:rsid w:val="007A3B02"/>
    <w:rsid w:val="007A4136"/>
    <w:rsid w:val="007A4414"/>
    <w:rsid w:val="007A4500"/>
    <w:rsid w:val="007A4D99"/>
    <w:rsid w:val="007A52B6"/>
    <w:rsid w:val="007A5C1A"/>
    <w:rsid w:val="007A6AB5"/>
    <w:rsid w:val="007A6B52"/>
    <w:rsid w:val="007A6DE5"/>
    <w:rsid w:val="007A73CA"/>
    <w:rsid w:val="007A73F9"/>
    <w:rsid w:val="007A76CC"/>
    <w:rsid w:val="007A7CF8"/>
    <w:rsid w:val="007A7DD5"/>
    <w:rsid w:val="007B08D0"/>
    <w:rsid w:val="007B091D"/>
    <w:rsid w:val="007B1D6A"/>
    <w:rsid w:val="007B3549"/>
    <w:rsid w:val="007B44B7"/>
    <w:rsid w:val="007B482B"/>
    <w:rsid w:val="007B4C30"/>
    <w:rsid w:val="007B4E3F"/>
    <w:rsid w:val="007B5BA1"/>
    <w:rsid w:val="007B5BC4"/>
    <w:rsid w:val="007B5FCB"/>
    <w:rsid w:val="007B6555"/>
    <w:rsid w:val="007B7545"/>
    <w:rsid w:val="007B779E"/>
    <w:rsid w:val="007B79B0"/>
    <w:rsid w:val="007B7CCC"/>
    <w:rsid w:val="007B7D90"/>
    <w:rsid w:val="007C0221"/>
    <w:rsid w:val="007C0B19"/>
    <w:rsid w:val="007C1835"/>
    <w:rsid w:val="007C1CD6"/>
    <w:rsid w:val="007C213A"/>
    <w:rsid w:val="007C226B"/>
    <w:rsid w:val="007C2713"/>
    <w:rsid w:val="007C2727"/>
    <w:rsid w:val="007C29EC"/>
    <w:rsid w:val="007C2ABD"/>
    <w:rsid w:val="007C2EC7"/>
    <w:rsid w:val="007C39C9"/>
    <w:rsid w:val="007C3DDB"/>
    <w:rsid w:val="007C3EE5"/>
    <w:rsid w:val="007C4434"/>
    <w:rsid w:val="007C462F"/>
    <w:rsid w:val="007C4725"/>
    <w:rsid w:val="007C492D"/>
    <w:rsid w:val="007C53A2"/>
    <w:rsid w:val="007C58A9"/>
    <w:rsid w:val="007C5E78"/>
    <w:rsid w:val="007C5EDE"/>
    <w:rsid w:val="007C645C"/>
    <w:rsid w:val="007C6BC9"/>
    <w:rsid w:val="007C6EB7"/>
    <w:rsid w:val="007C7170"/>
    <w:rsid w:val="007C7D5E"/>
    <w:rsid w:val="007D0415"/>
    <w:rsid w:val="007D0569"/>
    <w:rsid w:val="007D0577"/>
    <w:rsid w:val="007D0665"/>
    <w:rsid w:val="007D0BB2"/>
    <w:rsid w:val="007D1170"/>
    <w:rsid w:val="007D16D0"/>
    <w:rsid w:val="007D1C2E"/>
    <w:rsid w:val="007D2378"/>
    <w:rsid w:val="007D238E"/>
    <w:rsid w:val="007D2504"/>
    <w:rsid w:val="007D3274"/>
    <w:rsid w:val="007D39F4"/>
    <w:rsid w:val="007D3C4D"/>
    <w:rsid w:val="007D3CD7"/>
    <w:rsid w:val="007D3F33"/>
    <w:rsid w:val="007D46B5"/>
    <w:rsid w:val="007D48A0"/>
    <w:rsid w:val="007D5213"/>
    <w:rsid w:val="007D5BDA"/>
    <w:rsid w:val="007D6058"/>
    <w:rsid w:val="007D62B6"/>
    <w:rsid w:val="007D63CC"/>
    <w:rsid w:val="007D6578"/>
    <w:rsid w:val="007D6BE1"/>
    <w:rsid w:val="007D719C"/>
    <w:rsid w:val="007D74EB"/>
    <w:rsid w:val="007D783D"/>
    <w:rsid w:val="007D7B46"/>
    <w:rsid w:val="007D7F41"/>
    <w:rsid w:val="007E0007"/>
    <w:rsid w:val="007E024E"/>
    <w:rsid w:val="007E0CF8"/>
    <w:rsid w:val="007E0E29"/>
    <w:rsid w:val="007E109D"/>
    <w:rsid w:val="007E15F2"/>
    <w:rsid w:val="007E2738"/>
    <w:rsid w:val="007E28D9"/>
    <w:rsid w:val="007E3E4C"/>
    <w:rsid w:val="007E4D0D"/>
    <w:rsid w:val="007E51F4"/>
    <w:rsid w:val="007E5E7D"/>
    <w:rsid w:val="007E63DC"/>
    <w:rsid w:val="007E6A8C"/>
    <w:rsid w:val="007E6AA3"/>
    <w:rsid w:val="007E6DDB"/>
    <w:rsid w:val="007E7D71"/>
    <w:rsid w:val="007F0DFA"/>
    <w:rsid w:val="007F1909"/>
    <w:rsid w:val="007F1BFF"/>
    <w:rsid w:val="007F25CD"/>
    <w:rsid w:val="007F282F"/>
    <w:rsid w:val="007F2C53"/>
    <w:rsid w:val="007F3064"/>
    <w:rsid w:val="007F30A0"/>
    <w:rsid w:val="007F3BDA"/>
    <w:rsid w:val="007F4143"/>
    <w:rsid w:val="007F5344"/>
    <w:rsid w:val="007F5529"/>
    <w:rsid w:val="007F579C"/>
    <w:rsid w:val="007F615E"/>
    <w:rsid w:val="007F6367"/>
    <w:rsid w:val="007F6393"/>
    <w:rsid w:val="007F678F"/>
    <w:rsid w:val="007F6B1E"/>
    <w:rsid w:val="007F6B5A"/>
    <w:rsid w:val="007F6C28"/>
    <w:rsid w:val="007F7305"/>
    <w:rsid w:val="007F7388"/>
    <w:rsid w:val="007F760D"/>
    <w:rsid w:val="007F78A2"/>
    <w:rsid w:val="007F7E6D"/>
    <w:rsid w:val="0080003E"/>
    <w:rsid w:val="008005C6"/>
    <w:rsid w:val="00800D61"/>
    <w:rsid w:val="00800F70"/>
    <w:rsid w:val="00801C63"/>
    <w:rsid w:val="00801DF7"/>
    <w:rsid w:val="0080204F"/>
    <w:rsid w:val="0080253D"/>
    <w:rsid w:val="008029F5"/>
    <w:rsid w:val="00802AB9"/>
    <w:rsid w:val="00802BEB"/>
    <w:rsid w:val="00803B07"/>
    <w:rsid w:val="00803BDC"/>
    <w:rsid w:val="00804674"/>
    <w:rsid w:val="00804DA8"/>
    <w:rsid w:val="00804F06"/>
    <w:rsid w:val="00805568"/>
    <w:rsid w:val="008059A0"/>
    <w:rsid w:val="00805E90"/>
    <w:rsid w:val="00806113"/>
    <w:rsid w:val="008064C5"/>
    <w:rsid w:val="00806AB3"/>
    <w:rsid w:val="00806B23"/>
    <w:rsid w:val="00806BA6"/>
    <w:rsid w:val="00806C13"/>
    <w:rsid w:val="00806C80"/>
    <w:rsid w:val="00807CCB"/>
    <w:rsid w:val="00807FE5"/>
    <w:rsid w:val="00807FFA"/>
    <w:rsid w:val="0081012B"/>
    <w:rsid w:val="0081051A"/>
    <w:rsid w:val="008107FF"/>
    <w:rsid w:val="00812246"/>
    <w:rsid w:val="0081264F"/>
    <w:rsid w:val="0081271D"/>
    <w:rsid w:val="00813DE2"/>
    <w:rsid w:val="00813F6A"/>
    <w:rsid w:val="0081432D"/>
    <w:rsid w:val="008144CD"/>
    <w:rsid w:val="0081487C"/>
    <w:rsid w:val="0081494F"/>
    <w:rsid w:val="00814A30"/>
    <w:rsid w:val="00814E07"/>
    <w:rsid w:val="00815261"/>
    <w:rsid w:val="00815299"/>
    <w:rsid w:val="00815D53"/>
    <w:rsid w:val="0081632A"/>
    <w:rsid w:val="0081633E"/>
    <w:rsid w:val="0081717E"/>
    <w:rsid w:val="00817338"/>
    <w:rsid w:val="008173A6"/>
    <w:rsid w:val="00820394"/>
    <w:rsid w:val="008203D6"/>
    <w:rsid w:val="00820989"/>
    <w:rsid w:val="00821517"/>
    <w:rsid w:val="008215E9"/>
    <w:rsid w:val="0082163D"/>
    <w:rsid w:val="008216B9"/>
    <w:rsid w:val="00821D8F"/>
    <w:rsid w:val="0082204A"/>
    <w:rsid w:val="008220A7"/>
    <w:rsid w:val="00822269"/>
    <w:rsid w:val="00822CAE"/>
    <w:rsid w:val="008238E5"/>
    <w:rsid w:val="00823D4C"/>
    <w:rsid w:val="0082428E"/>
    <w:rsid w:val="008242DD"/>
    <w:rsid w:val="008248F1"/>
    <w:rsid w:val="00824BB4"/>
    <w:rsid w:val="00824D54"/>
    <w:rsid w:val="0082529E"/>
    <w:rsid w:val="00825499"/>
    <w:rsid w:val="00825575"/>
    <w:rsid w:val="008256A3"/>
    <w:rsid w:val="00826115"/>
    <w:rsid w:val="0082659D"/>
    <w:rsid w:val="0082693C"/>
    <w:rsid w:val="00826EB3"/>
    <w:rsid w:val="008271D2"/>
    <w:rsid w:val="0082785B"/>
    <w:rsid w:val="00827D19"/>
    <w:rsid w:val="00827E13"/>
    <w:rsid w:val="00830710"/>
    <w:rsid w:val="00830E65"/>
    <w:rsid w:val="0083102E"/>
    <w:rsid w:val="008312E5"/>
    <w:rsid w:val="0083142D"/>
    <w:rsid w:val="0083153F"/>
    <w:rsid w:val="00831553"/>
    <w:rsid w:val="008317A9"/>
    <w:rsid w:val="00831AFA"/>
    <w:rsid w:val="00832113"/>
    <w:rsid w:val="00832481"/>
    <w:rsid w:val="00832498"/>
    <w:rsid w:val="00832626"/>
    <w:rsid w:val="00832730"/>
    <w:rsid w:val="00832B8A"/>
    <w:rsid w:val="0083341E"/>
    <w:rsid w:val="008336CC"/>
    <w:rsid w:val="00833A6F"/>
    <w:rsid w:val="00833DFE"/>
    <w:rsid w:val="0083468A"/>
    <w:rsid w:val="0083531C"/>
    <w:rsid w:val="00835C3A"/>
    <w:rsid w:val="0083723D"/>
    <w:rsid w:val="00837605"/>
    <w:rsid w:val="0084096B"/>
    <w:rsid w:val="00840C10"/>
    <w:rsid w:val="00842043"/>
    <w:rsid w:val="008425A0"/>
    <w:rsid w:val="008432AE"/>
    <w:rsid w:val="0084370F"/>
    <w:rsid w:val="00843991"/>
    <w:rsid w:val="00843DA1"/>
    <w:rsid w:val="00844219"/>
    <w:rsid w:val="00844325"/>
    <w:rsid w:val="00844497"/>
    <w:rsid w:val="00844CE4"/>
    <w:rsid w:val="00844DDC"/>
    <w:rsid w:val="008454A1"/>
    <w:rsid w:val="0084558B"/>
    <w:rsid w:val="008460A9"/>
    <w:rsid w:val="008461BB"/>
    <w:rsid w:val="008463E8"/>
    <w:rsid w:val="00846A27"/>
    <w:rsid w:val="00846DA4"/>
    <w:rsid w:val="008473F0"/>
    <w:rsid w:val="00847ACE"/>
    <w:rsid w:val="0085064C"/>
    <w:rsid w:val="00850CFE"/>
    <w:rsid w:val="00850EFB"/>
    <w:rsid w:val="00850F4B"/>
    <w:rsid w:val="008513E0"/>
    <w:rsid w:val="00851B1F"/>
    <w:rsid w:val="0085225D"/>
    <w:rsid w:val="008522A2"/>
    <w:rsid w:val="00852863"/>
    <w:rsid w:val="00852D4A"/>
    <w:rsid w:val="008534BC"/>
    <w:rsid w:val="00853712"/>
    <w:rsid w:val="0085389C"/>
    <w:rsid w:val="00853FED"/>
    <w:rsid w:val="008554B8"/>
    <w:rsid w:val="00855716"/>
    <w:rsid w:val="0085572B"/>
    <w:rsid w:val="00855FE1"/>
    <w:rsid w:val="00856568"/>
    <w:rsid w:val="00856765"/>
    <w:rsid w:val="00856D3E"/>
    <w:rsid w:val="008570F7"/>
    <w:rsid w:val="00857539"/>
    <w:rsid w:val="008578C7"/>
    <w:rsid w:val="00857EBB"/>
    <w:rsid w:val="00860165"/>
    <w:rsid w:val="00860171"/>
    <w:rsid w:val="008602D9"/>
    <w:rsid w:val="008603AC"/>
    <w:rsid w:val="0086082B"/>
    <w:rsid w:val="008608B0"/>
    <w:rsid w:val="008617CD"/>
    <w:rsid w:val="00861D5C"/>
    <w:rsid w:val="008623CA"/>
    <w:rsid w:val="00862B9E"/>
    <w:rsid w:val="00862EDD"/>
    <w:rsid w:val="0086355D"/>
    <w:rsid w:val="008639F2"/>
    <w:rsid w:val="00863BBC"/>
    <w:rsid w:val="00863CF8"/>
    <w:rsid w:val="008642AB"/>
    <w:rsid w:val="0086430C"/>
    <w:rsid w:val="00864639"/>
    <w:rsid w:val="00864BDE"/>
    <w:rsid w:val="00864DBF"/>
    <w:rsid w:val="00864F79"/>
    <w:rsid w:val="0086599B"/>
    <w:rsid w:val="00865EEF"/>
    <w:rsid w:val="00865F72"/>
    <w:rsid w:val="00865FFB"/>
    <w:rsid w:val="00866A72"/>
    <w:rsid w:val="0086722D"/>
    <w:rsid w:val="0086749B"/>
    <w:rsid w:val="0086767E"/>
    <w:rsid w:val="00867E0B"/>
    <w:rsid w:val="00867EDE"/>
    <w:rsid w:val="00870247"/>
    <w:rsid w:val="008704E5"/>
    <w:rsid w:val="0087050E"/>
    <w:rsid w:val="00870C9B"/>
    <w:rsid w:val="00870D09"/>
    <w:rsid w:val="00871183"/>
    <w:rsid w:val="0087198B"/>
    <w:rsid w:val="0087204F"/>
    <w:rsid w:val="0087213B"/>
    <w:rsid w:val="0087248D"/>
    <w:rsid w:val="00872DDF"/>
    <w:rsid w:val="00873347"/>
    <w:rsid w:val="00873434"/>
    <w:rsid w:val="00873A2A"/>
    <w:rsid w:val="00873DF4"/>
    <w:rsid w:val="00873F3E"/>
    <w:rsid w:val="00874756"/>
    <w:rsid w:val="00874775"/>
    <w:rsid w:val="00874880"/>
    <w:rsid w:val="00874A0E"/>
    <w:rsid w:val="008750A6"/>
    <w:rsid w:val="00875397"/>
    <w:rsid w:val="008755D8"/>
    <w:rsid w:val="00875CAB"/>
    <w:rsid w:val="00875F0A"/>
    <w:rsid w:val="00875F3B"/>
    <w:rsid w:val="00876260"/>
    <w:rsid w:val="00876575"/>
    <w:rsid w:val="00876AEB"/>
    <w:rsid w:val="00877179"/>
    <w:rsid w:val="008771F5"/>
    <w:rsid w:val="00877292"/>
    <w:rsid w:val="008777A9"/>
    <w:rsid w:val="00877EE8"/>
    <w:rsid w:val="00880017"/>
    <w:rsid w:val="00880610"/>
    <w:rsid w:val="00880844"/>
    <w:rsid w:val="008808DA"/>
    <w:rsid w:val="008819CE"/>
    <w:rsid w:val="00881A26"/>
    <w:rsid w:val="0088248B"/>
    <w:rsid w:val="0088257B"/>
    <w:rsid w:val="0088378C"/>
    <w:rsid w:val="00883832"/>
    <w:rsid w:val="00883AAC"/>
    <w:rsid w:val="00884B7C"/>
    <w:rsid w:val="00884C9B"/>
    <w:rsid w:val="008850B6"/>
    <w:rsid w:val="00885843"/>
    <w:rsid w:val="00885AE4"/>
    <w:rsid w:val="00885E75"/>
    <w:rsid w:val="00886A2F"/>
    <w:rsid w:val="00886B9D"/>
    <w:rsid w:val="00886E89"/>
    <w:rsid w:val="00886EB5"/>
    <w:rsid w:val="00887EE7"/>
    <w:rsid w:val="00887F53"/>
    <w:rsid w:val="008903EB"/>
    <w:rsid w:val="008905BF"/>
    <w:rsid w:val="008909EC"/>
    <w:rsid w:val="00891741"/>
    <w:rsid w:val="00891C83"/>
    <w:rsid w:val="00891FE8"/>
    <w:rsid w:val="008922A1"/>
    <w:rsid w:val="008927F6"/>
    <w:rsid w:val="00892B2D"/>
    <w:rsid w:val="008930CC"/>
    <w:rsid w:val="00894179"/>
    <w:rsid w:val="008945E3"/>
    <w:rsid w:val="008952F2"/>
    <w:rsid w:val="00895EBB"/>
    <w:rsid w:val="0089729C"/>
    <w:rsid w:val="008972F8"/>
    <w:rsid w:val="00897693"/>
    <w:rsid w:val="00897B42"/>
    <w:rsid w:val="00897C19"/>
    <w:rsid w:val="00897C99"/>
    <w:rsid w:val="00897D12"/>
    <w:rsid w:val="008A0453"/>
    <w:rsid w:val="008A076A"/>
    <w:rsid w:val="008A17A9"/>
    <w:rsid w:val="008A1E3F"/>
    <w:rsid w:val="008A26B5"/>
    <w:rsid w:val="008A26E9"/>
    <w:rsid w:val="008A29A1"/>
    <w:rsid w:val="008A2A63"/>
    <w:rsid w:val="008A2D2B"/>
    <w:rsid w:val="008A35C3"/>
    <w:rsid w:val="008A3735"/>
    <w:rsid w:val="008A3830"/>
    <w:rsid w:val="008A3D2F"/>
    <w:rsid w:val="008A402C"/>
    <w:rsid w:val="008A4039"/>
    <w:rsid w:val="008A4815"/>
    <w:rsid w:val="008A4B1D"/>
    <w:rsid w:val="008A4E7F"/>
    <w:rsid w:val="008A5625"/>
    <w:rsid w:val="008A57DC"/>
    <w:rsid w:val="008A5A31"/>
    <w:rsid w:val="008A5E21"/>
    <w:rsid w:val="008A6223"/>
    <w:rsid w:val="008A635F"/>
    <w:rsid w:val="008A6E1F"/>
    <w:rsid w:val="008A786C"/>
    <w:rsid w:val="008A7C75"/>
    <w:rsid w:val="008B0261"/>
    <w:rsid w:val="008B057B"/>
    <w:rsid w:val="008B0D75"/>
    <w:rsid w:val="008B11FA"/>
    <w:rsid w:val="008B1247"/>
    <w:rsid w:val="008B1529"/>
    <w:rsid w:val="008B16B9"/>
    <w:rsid w:val="008B16CC"/>
    <w:rsid w:val="008B1D1E"/>
    <w:rsid w:val="008B1F96"/>
    <w:rsid w:val="008B22A4"/>
    <w:rsid w:val="008B23DC"/>
    <w:rsid w:val="008B2BCB"/>
    <w:rsid w:val="008B2CD0"/>
    <w:rsid w:val="008B2F3C"/>
    <w:rsid w:val="008B2F8D"/>
    <w:rsid w:val="008B30F7"/>
    <w:rsid w:val="008B349B"/>
    <w:rsid w:val="008B366A"/>
    <w:rsid w:val="008B36E2"/>
    <w:rsid w:val="008B3A32"/>
    <w:rsid w:val="008B44B2"/>
    <w:rsid w:val="008B4AA2"/>
    <w:rsid w:val="008B512A"/>
    <w:rsid w:val="008B5696"/>
    <w:rsid w:val="008B5899"/>
    <w:rsid w:val="008B5AC1"/>
    <w:rsid w:val="008B5E63"/>
    <w:rsid w:val="008B61E5"/>
    <w:rsid w:val="008B63FC"/>
    <w:rsid w:val="008B716D"/>
    <w:rsid w:val="008B7751"/>
    <w:rsid w:val="008B7BFC"/>
    <w:rsid w:val="008B7C1A"/>
    <w:rsid w:val="008B7F44"/>
    <w:rsid w:val="008C14C4"/>
    <w:rsid w:val="008C188F"/>
    <w:rsid w:val="008C1AC5"/>
    <w:rsid w:val="008C1F62"/>
    <w:rsid w:val="008C2E09"/>
    <w:rsid w:val="008C2FA7"/>
    <w:rsid w:val="008C3D0E"/>
    <w:rsid w:val="008C41E3"/>
    <w:rsid w:val="008C43A0"/>
    <w:rsid w:val="008C43B2"/>
    <w:rsid w:val="008C4728"/>
    <w:rsid w:val="008C4916"/>
    <w:rsid w:val="008C4C38"/>
    <w:rsid w:val="008C4DA6"/>
    <w:rsid w:val="008C5088"/>
    <w:rsid w:val="008C5243"/>
    <w:rsid w:val="008C532C"/>
    <w:rsid w:val="008C53A9"/>
    <w:rsid w:val="008C59EA"/>
    <w:rsid w:val="008C5B7E"/>
    <w:rsid w:val="008C5C17"/>
    <w:rsid w:val="008C6047"/>
    <w:rsid w:val="008C6664"/>
    <w:rsid w:val="008C75FB"/>
    <w:rsid w:val="008C7B28"/>
    <w:rsid w:val="008C7EE2"/>
    <w:rsid w:val="008C7F1E"/>
    <w:rsid w:val="008D03CC"/>
    <w:rsid w:val="008D0A37"/>
    <w:rsid w:val="008D0D9D"/>
    <w:rsid w:val="008D269D"/>
    <w:rsid w:val="008D313F"/>
    <w:rsid w:val="008D35E2"/>
    <w:rsid w:val="008D36A7"/>
    <w:rsid w:val="008D36D7"/>
    <w:rsid w:val="008D3BA6"/>
    <w:rsid w:val="008D48FE"/>
    <w:rsid w:val="008D5978"/>
    <w:rsid w:val="008D5BA3"/>
    <w:rsid w:val="008D6551"/>
    <w:rsid w:val="008D685C"/>
    <w:rsid w:val="008D6BE1"/>
    <w:rsid w:val="008D6EB9"/>
    <w:rsid w:val="008D76A0"/>
    <w:rsid w:val="008D77BA"/>
    <w:rsid w:val="008D7A7E"/>
    <w:rsid w:val="008E21B1"/>
    <w:rsid w:val="008E2DE1"/>
    <w:rsid w:val="008E43AA"/>
    <w:rsid w:val="008E4F36"/>
    <w:rsid w:val="008E56CC"/>
    <w:rsid w:val="008E5F17"/>
    <w:rsid w:val="008E5FBC"/>
    <w:rsid w:val="008E6212"/>
    <w:rsid w:val="008E6433"/>
    <w:rsid w:val="008E6595"/>
    <w:rsid w:val="008E6754"/>
    <w:rsid w:val="008E709D"/>
    <w:rsid w:val="008E70EF"/>
    <w:rsid w:val="008E7ECD"/>
    <w:rsid w:val="008E7F7F"/>
    <w:rsid w:val="008F014F"/>
    <w:rsid w:val="008F041F"/>
    <w:rsid w:val="008F06CA"/>
    <w:rsid w:val="008F08F0"/>
    <w:rsid w:val="008F09BE"/>
    <w:rsid w:val="008F0AA3"/>
    <w:rsid w:val="008F0E55"/>
    <w:rsid w:val="008F155A"/>
    <w:rsid w:val="008F239C"/>
    <w:rsid w:val="008F2B95"/>
    <w:rsid w:val="008F2F84"/>
    <w:rsid w:val="008F3189"/>
    <w:rsid w:val="008F3DA3"/>
    <w:rsid w:val="008F3F01"/>
    <w:rsid w:val="008F4544"/>
    <w:rsid w:val="008F4599"/>
    <w:rsid w:val="008F460F"/>
    <w:rsid w:val="008F5AB1"/>
    <w:rsid w:val="008F5BF4"/>
    <w:rsid w:val="008F7323"/>
    <w:rsid w:val="008F7FA4"/>
    <w:rsid w:val="009004BE"/>
    <w:rsid w:val="00900610"/>
    <w:rsid w:val="00900613"/>
    <w:rsid w:val="0090093F"/>
    <w:rsid w:val="00900EF2"/>
    <w:rsid w:val="0090114C"/>
    <w:rsid w:val="0090169E"/>
    <w:rsid w:val="009017C9"/>
    <w:rsid w:val="009017F7"/>
    <w:rsid w:val="00901C62"/>
    <w:rsid w:val="00901E86"/>
    <w:rsid w:val="0090236A"/>
    <w:rsid w:val="00902732"/>
    <w:rsid w:val="00902F28"/>
    <w:rsid w:val="009032FF"/>
    <w:rsid w:val="00903D67"/>
    <w:rsid w:val="00903F9A"/>
    <w:rsid w:val="00904250"/>
    <w:rsid w:val="009044A8"/>
    <w:rsid w:val="0090457F"/>
    <w:rsid w:val="009051F9"/>
    <w:rsid w:val="00905956"/>
    <w:rsid w:val="009061B1"/>
    <w:rsid w:val="009066C9"/>
    <w:rsid w:val="00906BD5"/>
    <w:rsid w:val="00906C32"/>
    <w:rsid w:val="009075DC"/>
    <w:rsid w:val="009077C5"/>
    <w:rsid w:val="00910116"/>
    <w:rsid w:val="00910B0E"/>
    <w:rsid w:val="00911309"/>
    <w:rsid w:val="009122CE"/>
    <w:rsid w:val="00912447"/>
    <w:rsid w:val="00912489"/>
    <w:rsid w:val="00912BDA"/>
    <w:rsid w:val="0091335F"/>
    <w:rsid w:val="009137E3"/>
    <w:rsid w:val="00913A07"/>
    <w:rsid w:val="00914358"/>
    <w:rsid w:val="00914738"/>
    <w:rsid w:val="00914D5C"/>
    <w:rsid w:val="009152E8"/>
    <w:rsid w:val="00915B3B"/>
    <w:rsid w:val="009160A0"/>
    <w:rsid w:val="00916371"/>
    <w:rsid w:val="00916C24"/>
    <w:rsid w:val="00916F1E"/>
    <w:rsid w:val="00917393"/>
    <w:rsid w:val="00917952"/>
    <w:rsid w:val="00920068"/>
    <w:rsid w:val="00920561"/>
    <w:rsid w:val="0092102A"/>
    <w:rsid w:val="009210AE"/>
    <w:rsid w:val="00921179"/>
    <w:rsid w:val="009212DA"/>
    <w:rsid w:val="009214DE"/>
    <w:rsid w:val="009215A1"/>
    <w:rsid w:val="00921901"/>
    <w:rsid w:val="009219EF"/>
    <w:rsid w:val="00921ACC"/>
    <w:rsid w:val="00921B45"/>
    <w:rsid w:val="00921D3D"/>
    <w:rsid w:val="009220A2"/>
    <w:rsid w:val="009222CB"/>
    <w:rsid w:val="00922353"/>
    <w:rsid w:val="00922ECD"/>
    <w:rsid w:val="00922ED7"/>
    <w:rsid w:val="00923574"/>
    <w:rsid w:val="00923730"/>
    <w:rsid w:val="009237F4"/>
    <w:rsid w:val="009239EF"/>
    <w:rsid w:val="00923ED4"/>
    <w:rsid w:val="00924007"/>
    <w:rsid w:val="0092415E"/>
    <w:rsid w:val="0092419E"/>
    <w:rsid w:val="00924BC0"/>
    <w:rsid w:val="00925A10"/>
    <w:rsid w:val="00925BFB"/>
    <w:rsid w:val="00925ED9"/>
    <w:rsid w:val="00925FA9"/>
    <w:rsid w:val="009261C2"/>
    <w:rsid w:val="00926AAF"/>
    <w:rsid w:val="00927091"/>
    <w:rsid w:val="0092724B"/>
    <w:rsid w:val="00927B19"/>
    <w:rsid w:val="00927E52"/>
    <w:rsid w:val="00930C02"/>
    <w:rsid w:val="00930D9B"/>
    <w:rsid w:val="0093162C"/>
    <w:rsid w:val="0093172F"/>
    <w:rsid w:val="009317F3"/>
    <w:rsid w:val="009324E2"/>
    <w:rsid w:val="009329F2"/>
    <w:rsid w:val="00932B9C"/>
    <w:rsid w:val="00932D42"/>
    <w:rsid w:val="00932D8F"/>
    <w:rsid w:val="00933AF6"/>
    <w:rsid w:val="00933C95"/>
    <w:rsid w:val="009340A3"/>
    <w:rsid w:val="009348FE"/>
    <w:rsid w:val="0093490F"/>
    <w:rsid w:val="00935AEE"/>
    <w:rsid w:val="00935D0A"/>
    <w:rsid w:val="00935D64"/>
    <w:rsid w:val="00935D8E"/>
    <w:rsid w:val="009360F9"/>
    <w:rsid w:val="009369BE"/>
    <w:rsid w:val="00937184"/>
    <w:rsid w:val="0093721F"/>
    <w:rsid w:val="009375D5"/>
    <w:rsid w:val="00937989"/>
    <w:rsid w:val="00937F19"/>
    <w:rsid w:val="009401C4"/>
    <w:rsid w:val="009401C9"/>
    <w:rsid w:val="009401E7"/>
    <w:rsid w:val="00940C44"/>
    <w:rsid w:val="00941303"/>
    <w:rsid w:val="00941470"/>
    <w:rsid w:val="009414D8"/>
    <w:rsid w:val="00941E46"/>
    <w:rsid w:val="009429F7"/>
    <w:rsid w:val="0094303F"/>
    <w:rsid w:val="0094308B"/>
    <w:rsid w:val="009430AE"/>
    <w:rsid w:val="009439B5"/>
    <w:rsid w:val="00943C07"/>
    <w:rsid w:val="00943C8A"/>
    <w:rsid w:val="00944CC1"/>
    <w:rsid w:val="009451B8"/>
    <w:rsid w:val="00945A47"/>
    <w:rsid w:val="00945D9A"/>
    <w:rsid w:val="00946219"/>
    <w:rsid w:val="0094644A"/>
    <w:rsid w:val="0094680B"/>
    <w:rsid w:val="00946AC9"/>
    <w:rsid w:val="00947572"/>
    <w:rsid w:val="00947860"/>
    <w:rsid w:val="0095008C"/>
    <w:rsid w:val="009501B8"/>
    <w:rsid w:val="009503F8"/>
    <w:rsid w:val="0095058D"/>
    <w:rsid w:val="009509E9"/>
    <w:rsid w:val="00950B73"/>
    <w:rsid w:val="00950E56"/>
    <w:rsid w:val="00951A61"/>
    <w:rsid w:val="00952175"/>
    <w:rsid w:val="009527B3"/>
    <w:rsid w:val="00952AC1"/>
    <w:rsid w:val="00952FE1"/>
    <w:rsid w:val="0095408E"/>
    <w:rsid w:val="00954D36"/>
    <w:rsid w:val="00954F95"/>
    <w:rsid w:val="009556E4"/>
    <w:rsid w:val="009558CC"/>
    <w:rsid w:val="00955B59"/>
    <w:rsid w:val="009567B1"/>
    <w:rsid w:val="00956AE4"/>
    <w:rsid w:val="00956B4B"/>
    <w:rsid w:val="00956EAE"/>
    <w:rsid w:val="0095703B"/>
    <w:rsid w:val="00957146"/>
    <w:rsid w:val="0095735F"/>
    <w:rsid w:val="0095749E"/>
    <w:rsid w:val="0095763D"/>
    <w:rsid w:val="00957808"/>
    <w:rsid w:val="00957E81"/>
    <w:rsid w:val="00957F1D"/>
    <w:rsid w:val="00957F50"/>
    <w:rsid w:val="00960287"/>
    <w:rsid w:val="009608E8"/>
    <w:rsid w:val="00960C13"/>
    <w:rsid w:val="00960CDB"/>
    <w:rsid w:val="00960D4B"/>
    <w:rsid w:val="00961166"/>
    <w:rsid w:val="0096151D"/>
    <w:rsid w:val="0096185F"/>
    <w:rsid w:val="00961F01"/>
    <w:rsid w:val="00962065"/>
    <w:rsid w:val="009623F6"/>
    <w:rsid w:val="00962405"/>
    <w:rsid w:val="009632EA"/>
    <w:rsid w:val="00963BA0"/>
    <w:rsid w:val="009641E2"/>
    <w:rsid w:val="009642FF"/>
    <w:rsid w:val="00964306"/>
    <w:rsid w:val="00964D70"/>
    <w:rsid w:val="00964FD0"/>
    <w:rsid w:val="00965321"/>
    <w:rsid w:val="00965353"/>
    <w:rsid w:val="00965819"/>
    <w:rsid w:val="00965884"/>
    <w:rsid w:val="009658D5"/>
    <w:rsid w:val="009660A9"/>
    <w:rsid w:val="009662A2"/>
    <w:rsid w:val="00966460"/>
    <w:rsid w:val="00966906"/>
    <w:rsid w:val="00966A7F"/>
    <w:rsid w:val="00966CA1"/>
    <w:rsid w:val="00967D22"/>
    <w:rsid w:val="00967EA0"/>
    <w:rsid w:val="00970801"/>
    <w:rsid w:val="00970A16"/>
    <w:rsid w:val="00970B3B"/>
    <w:rsid w:val="009710B7"/>
    <w:rsid w:val="00971291"/>
    <w:rsid w:val="009717A5"/>
    <w:rsid w:val="00971EE2"/>
    <w:rsid w:val="0097238D"/>
    <w:rsid w:val="009733D8"/>
    <w:rsid w:val="00973972"/>
    <w:rsid w:val="00973995"/>
    <w:rsid w:val="009739A0"/>
    <w:rsid w:val="00973B5F"/>
    <w:rsid w:val="0097443C"/>
    <w:rsid w:val="0097461A"/>
    <w:rsid w:val="00974734"/>
    <w:rsid w:val="0097475A"/>
    <w:rsid w:val="00974EEA"/>
    <w:rsid w:val="00975A26"/>
    <w:rsid w:val="00975C76"/>
    <w:rsid w:val="0097621C"/>
    <w:rsid w:val="00976748"/>
    <w:rsid w:val="0097707E"/>
    <w:rsid w:val="00977F81"/>
    <w:rsid w:val="00980090"/>
    <w:rsid w:val="00980B3D"/>
    <w:rsid w:val="00981345"/>
    <w:rsid w:val="009818EC"/>
    <w:rsid w:val="00981C09"/>
    <w:rsid w:val="00981D26"/>
    <w:rsid w:val="00981D83"/>
    <w:rsid w:val="009827B9"/>
    <w:rsid w:val="00983D5A"/>
    <w:rsid w:val="00984409"/>
    <w:rsid w:val="00984911"/>
    <w:rsid w:val="00984E67"/>
    <w:rsid w:val="009858CE"/>
    <w:rsid w:val="00985B60"/>
    <w:rsid w:val="00985E5C"/>
    <w:rsid w:val="00985F46"/>
    <w:rsid w:val="009865CA"/>
    <w:rsid w:val="0098675F"/>
    <w:rsid w:val="0098676F"/>
    <w:rsid w:val="009869B5"/>
    <w:rsid w:val="009875DA"/>
    <w:rsid w:val="009878E0"/>
    <w:rsid w:val="00987A6D"/>
    <w:rsid w:val="00987A70"/>
    <w:rsid w:val="00987D5F"/>
    <w:rsid w:val="00990080"/>
    <w:rsid w:val="00990150"/>
    <w:rsid w:val="009903BF"/>
    <w:rsid w:val="009907BE"/>
    <w:rsid w:val="00990A82"/>
    <w:rsid w:val="00991915"/>
    <w:rsid w:val="00991DB2"/>
    <w:rsid w:val="00991E5F"/>
    <w:rsid w:val="00992B7C"/>
    <w:rsid w:val="00992D14"/>
    <w:rsid w:val="00993164"/>
    <w:rsid w:val="00993933"/>
    <w:rsid w:val="00993C0F"/>
    <w:rsid w:val="009945DC"/>
    <w:rsid w:val="00994826"/>
    <w:rsid w:val="009948E8"/>
    <w:rsid w:val="00995192"/>
    <w:rsid w:val="00996856"/>
    <w:rsid w:val="00997123"/>
    <w:rsid w:val="009971B6"/>
    <w:rsid w:val="009A067D"/>
    <w:rsid w:val="009A21B6"/>
    <w:rsid w:val="009A2383"/>
    <w:rsid w:val="009A2CAA"/>
    <w:rsid w:val="009A2F86"/>
    <w:rsid w:val="009A31CF"/>
    <w:rsid w:val="009A3414"/>
    <w:rsid w:val="009A3ACA"/>
    <w:rsid w:val="009A402A"/>
    <w:rsid w:val="009A4164"/>
    <w:rsid w:val="009A45C0"/>
    <w:rsid w:val="009A4697"/>
    <w:rsid w:val="009A510F"/>
    <w:rsid w:val="009A59D4"/>
    <w:rsid w:val="009A5A92"/>
    <w:rsid w:val="009A5F0E"/>
    <w:rsid w:val="009A5F98"/>
    <w:rsid w:val="009A603B"/>
    <w:rsid w:val="009A60EF"/>
    <w:rsid w:val="009A6547"/>
    <w:rsid w:val="009A7921"/>
    <w:rsid w:val="009B0078"/>
    <w:rsid w:val="009B0099"/>
    <w:rsid w:val="009B0C79"/>
    <w:rsid w:val="009B14B9"/>
    <w:rsid w:val="009B1788"/>
    <w:rsid w:val="009B1823"/>
    <w:rsid w:val="009B1DA9"/>
    <w:rsid w:val="009B1EBD"/>
    <w:rsid w:val="009B1FFE"/>
    <w:rsid w:val="009B2095"/>
    <w:rsid w:val="009B26C3"/>
    <w:rsid w:val="009B2ABE"/>
    <w:rsid w:val="009B2C3F"/>
    <w:rsid w:val="009B2FED"/>
    <w:rsid w:val="009B3515"/>
    <w:rsid w:val="009B370E"/>
    <w:rsid w:val="009B3A38"/>
    <w:rsid w:val="009B41C9"/>
    <w:rsid w:val="009B436D"/>
    <w:rsid w:val="009B44EC"/>
    <w:rsid w:val="009B4B05"/>
    <w:rsid w:val="009B4C0C"/>
    <w:rsid w:val="009B5133"/>
    <w:rsid w:val="009B5A35"/>
    <w:rsid w:val="009B660B"/>
    <w:rsid w:val="009B6B27"/>
    <w:rsid w:val="009B6D5C"/>
    <w:rsid w:val="009B71D4"/>
    <w:rsid w:val="009B744C"/>
    <w:rsid w:val="009C01C3"/>
    <w:rsid w:val="009C04CA"/>
    <w:rsid w:val="009C1210"/>
    <w:rsid w:val="009C1791"/>
    <w:rsid w:val="009C19FF"/>
    <w:rsid w:val="009C1A36"/>
    <w:rsid w:val="009C2288"/>
    <w:rsid w:val="009C2C37"/>
    <w:rsid w:val="009C2D60"/>
    <w:rsid w:val="009C2E18"/>
    <w:rsid w:val="009C30CD"/>
    <w:rsid w:val="009C3217"/>
    <w:rsid w:val="009C393A"/>
    <w:rsid w:val="009C3C00"/>
    <w:rsid w:val="009C43EE"/>
    <w:rsid w:val="009C45F9"/>
    <w:rsid w:val="009C491E"/>
    <w:rsid w:val="009C4967"/>
    <w:rsid w:val="009C4EB6"/>
    <w:rsid w:val="009C50BF"/>
    <w:rsid w:val="009C54D5"/>
    <w:rsid w:val="009C57EE"/>
    <w:rsid w:val="009C587B"/>
    <w:rsid w:val="009C5AA6"/>
    <w:rsid w:val="009C5EBE"/>
    <w:rsid w:val="009C61E6"/>
    <w:rsid w:val="009C638D"/>
    <w:rsid w:val="009C63AF"/>
    <w:rsid w:val="009C6954"/>
    <w:rsid w:val="009C6CE4"/>
    <w:rsid w:val="009C762F"/>
    <w:rsid w:val="009D0F3E"/>
    <w:rsid w:val="009D1261"/>
    <w:rsid w:val="009D18F2"/>
    <w:rsid w:val="009D1E19"/>
    <w:rsid w:val="009D25F3"/>
    <w:rsid w:val="009D3458"/>
    <w:rsid w:val="009D36C0"/>
    <w:rsid w:val="009D3937"/>
    <w:rsid w:val="009D3E42"/>
    <w:rsid w:val="009D3E94"/>
    <w:rsid w:val="009D3F2B"/>
    <w:rsid w:val="009D415D"/>
    <w:rsid w:val="009D459A"/>
    <w:rsid w:val="009D4B32"/>
    <w:rsid w:val="009D59FF"/>
    <w:rsid w:val="009D5B40"/>
    <w:rsid w:val="009D626B"/>
    <w:rsid w:val="009D641E"/>
    <w:rsid w:val="009D64E6"/>
    <w:rsid w:val="009D6812"/>
    <w:rsid w:val="009D6E00"/>
    <w:rsid w:val="009D6FE6"/>
    <w:rsid w:val="009D77E3"/>
    <w:rsid w:val="009D790E"/>
    <w:rsid w:val="009D7C97"/>
    <w:rsid w:val="009E0558"/>
    <w:rsid w:val="009E0952"/>
    <w:rsid w:val="009E0B3A"/>
    <w:rsid w:val="009E0E3F"/>
    <w:rsid w:val="009E0FCC"/>
    <w:rsid w:val="009E1795"/>
    <w:rsid w:val="009E204C"/>
    <w:rsid w:val="009E2224"/>
    <w:rsid w:val="009E3703"/>
    <w:rsid w:val="009E39A0"/>
    <w:rsid w:val="009E3AD1"/>
    <w:rsid w:val="009E3F9F"/>
    <w:rsid w:val="009E40BF"/>
    <w:rsid w:val="009E41B7"/>
    <w:rsid w:val="009E4230"/>
    <w:rsid w:val="009E44DE"/>
    <w:rsid w:val="009E5B75"/>
    <w:rsid w:val="009E5CE3"/>
    <w:rsid w:val="009E5D1D"/>
    <w:rsid w:val="009E5D38"/>
    <w:rsid w:val="009E60A3"/>
    <w:rsid w:val="009E64A2"/>
    <w:rsid w:val="009E67A6"/>
    <w:rsid w:val="009E69CE"/>
    <w:rsid w:val="009E7419"/>
    <w:rsid w:val="009F001C"/>
    <w:rsid w:val="009F0646"/>
    <w:rsid w:val="009F07CB"/>
    <w:rsid w:val="009F0CA0"/>
    <w:rsid w:val="009F104C"/>
    <w:rsid w:val="009F146F"/>
    <w:rsid w:val="009F2150"/>
    <w:rsid w:val="009F240C"/>
    <w:rsid w:val="009F2CA4"/>
    <w:rsid w:val="009F2D9A"/>
    <w:rsid w:val="009F30D4"/>
    <w:rsid w:val="009F35F6"/>
    <w:rsid w:val="009F36AB"/>
    <w:rsid w:val="009F36E3"/>
    <w:rsid w:val="009F3DF1"/>
    <w:rsid w:val="009F4028"/>
    <w:rsid w:val="009F47A9"/>
    <w:rsid w:val="009F4C49"/>
    <w:rsid w:val="009F4D42"/>
    <w:rsid w:val="009F5049"/>
    <w:rsid w:val="009F5F0F"/>
    <w:rsid w:val="009F685B"/>
    <w:rsid w:val="009F6996"/>
    <w:rsid w:val="009F738E"/>
    <w:rsid w:val="009F77CF"/>
    <w:rsid w:val="00A00ABD"/>
    <w:rsid w:val="00A00C5E"/>
    <w:rsid w:val="00A00D76"/>
    <w:rsid w:val="00A01298"/>
    <w:rsid w:val="00A013E5"/>
    <w:rsid w:val="00A0181E"/>
    <w:rsid w:val="00A01D06"/>
    <w:rsid w:val="00A02725"/>
    <w:rsid w:val="00A02939"/>
    <w:rsid w:val="00A0333E"/>
    <w:rsid w:val="00A0346F"/>
    <w:rsid w:val="00A03A10"/>
    <w:rsid w:val="00A042FB"/>
    <w:rsid w:val="00A04743"/>
    <w:rsid w:val="00A04911"/>
    <w:rsid w:val="00A04E00"/>
    <w:rsid w:val="00A06208"/>
    <w:rsid w:val="00A06548"/>
    <w:rsid w:val="00A0660D"/>
    <w:rsid w:val="00A07146"/>
    <w:rsid w:val="00A071A2"/>
    <w:rsid w:val="00A072B6"/>
    <w:rsid w:val="00A07DD6"/>
    <w:rsid w:val="00A103B1"/>
    <w:rsid w:val="00A103ED"/>
    <w:rsid w:val="00A1086C"/>
    <w:rsid w:val="00A10A70"/>
    <w:rsid w:val="00A1179E"/>
    <w:rsid w:val="00A1197A"/>
    <w:rsid w:val="00A11FB4"/>
    <w:rsid w:val="00A124F7"/>
    <w:rsid w:val="00A12BC3"/>
    <w:rsid w:val="00A132FF"/>
    <w:rsid w:val="00A13394"/>
    <w:rsid w:val="00A135FC"/>
    <w:rsid w:val="00A14041"/>
    <w:rsid w:val="00A147A4"/>
    <w:rsid w:val="00A14DB7"/>
    <w:rsid w:val="00A14E7A"/>
    <w:rsid w:val="00A150CC"/>
    <w:rsid w:val="00A15131"/>
    <w:rsid w:val="00A15430"/>
    <w:rsid w:val="00A155AE"/>
    <w:rsid w:val="00A15D5A"/>
    <w:rsid w:val="00A1614A"/>
    <w:rsid w:val="00A16991"/>
    <w:rsid w:val="00A16C8A"/>
    <w:rsid w:val="00A1700D"/>
    <w:rsid w:val="00A173B2"/>
    <w:rsid w:val="00A17567"/>
    <w:rsid w:val="00A179A0"/>
    <w:rsid w:val="00A17B64"/>
    <w:rsid w:val="00A17D84"/>
    <w:rsid w:val="00A21158"/>
    <w:rsid w:val="00A21BAE"/>
    <w:rsid w:val="00A222FB"/>
    <w:rsid w:val="00A2312C"/>
    <w:rsid w:val="00A23486"/>
    <w:rsid w:val="00A23792"/>
    <w:rsid w:val="00A238C9"/>
    <w:rsid w:val="00A23C60"/>
    <w:rsid w:val="00A23CA4"/>
    <w:rsid w:val="00A23CFD"/>
    <w:rsid w:val="00A24AA7"/>
    <w:rsid w:val="00A24E9C"/>
    <w:rsid w:val="00A24F65"/>
    <w:rsid w:val="00A24FD7"/>
    <w:rsid w:val="00A25540"/>
    <w:rsid w:val="00A261DB"/>
    <w:rsid w:val="00A26617"/>
    <w:rsid w:val="00A26A4D"/>
    <w:rsid w:val="00A273C6"/>
    <w:rsid w:val="00A277E0"/>
    <w:rsid w:val="00A27C08"/>
    <w:rsid w:val="00A3037B"/>
    <w:rsid w:val="00A3086B"/>
    <w:rsid w:val="00A30A9D"/>
    <w:rsid w:val="00A30C46"/>
    <w:rsid w:val="00A30F15"/>
    <w:rsid w:val="00A31610"/>
    <w:rsid w:val="00A32073"/>
    <w:rsid w:val="00A327EB"/>
    <w:rsid w:val="00A32913"/>
    <w:rsid w:val="00A32DFE"/>
    <w:rsid w:val="00A3303B"/>
    <w:rsid w:val="00A338A6"/>
    <w:rsid w:val="00A34614"/>
    <w:rsid w:val="00A34A24"/>
    <w:rsid w:val="00A3551B"/>
    <w:rsid w:val="00A35579"/>
    <w:rsid w:val="00A360C8"/>
    <w:rsid w:val="00A3694D"/>
    <w:rsid w:val="00A3726A"/>
    <w:rsid w:val="00A3787F"/>
    <w:rsid w:val="00A37A9B"/>
    <w:rsid w:val="00A37A9E"/>
    <w:rsid w:val="00A40022"/>
    <w:rsid w:val="00A4099A"/>
    <w:rsid w:val="00A4128C"/>
    <w:rsid w:val="00A4183A"/>
    <w:rsid w:val="00A419ED"/>
    <w:rsid w:val="00A41B2B"/>
    <w:rsid w:val="00A41D0F"/>
    <w:rsid w:val="00A41F78"/>
    <w:rsid w:val="00A42210"/>
    <w:rsid w:val="00A42239"/>
    <w:rsid w:val="00A424E7"/>
    <w:rsid w:val="00A42550"/>
    <w:rsid w:val="00A42BC5"/>
    <w:rsid w:val="00A43243"/>
    <w:rsid w:val="00A436EE"/>
    <w:rsid w:val="00A43753"/>
    <w:rsid w:val="00A43F9E"/>
    <w:rsid w:val="00A44E7D"/>
    <w:rsid w:val="00A44FAE"/>
    <w:rsid w:val="00A4510F"/>
    <w:rsid w:val="00A453D5"/>
    <w:rsid w:val="00A45805"/>
    <w:rsid w:val="00A45986"/>
    <w:rsid w:val="00A465D3"/>
    <w:rsid w:val="00A46D58"/>
    <w:rsid w:val="00A47388"/>
    <w:rsid w:val="00A47DB6"/>
    <w:rsid w:val="00A500B2"/>
    <w:rsid w:val="00A516C7"/>
    <w:rsid w:val="00A51D03"/>
    <w:rsid w:val="00A52DAB"/>
    <w:rsid w:val="00A52EFD"/>
    <w:rsid w:val="00A539DF"/>
    <w:rsid w:val="00A53B57"/>
    <w:rsid w:val="00A53B9F"/>
    <w:rsid w:val="00A54719"/>
    <w:rsid w:val="00A54868"/>
    <w:rsid w:val="00A548BB"/>
    <w:rsid w:val="00A54A7B"/>
    <w:rsid w:val="00A56B18"/>
    <w:rsid w:val="00A56FFD"/>
    <w:rsid w:val="00A5711D"/>
    <w:rsid w:val="00A57B60"/>
    <w:rsid w:val="00A6049C"/>
    <w:rsid w:val="00A60584"/>
    <w:rsid w:val="00A605F8"/>
    <w:rsid w:val="00A60B61"/>
    <w:rsid w:val="00A61839"/>
    <w:rsid w:val="00A625FE"/>
    <w:rsid w:val="00A62863"/>
    <w:rsid w:val="00A62CF2"/>
    <w:rsid w:val="00A637A3"/>
    <w:rsid w:val="00A638DA"/>
    <w:rsid w:val="00A64E9C"/>
    <w:rsid w:val="00A653A4"/>
    <w:rsid w:val="00A65C17"/>
    <w:rsid w:val="00A66364"/>
    <w:rsid w:val="00A66EC9"/>
    <w:rsid w:val="00A67839"/>
    <w:rsid w:val="00A67A8E"/>
    <w:rsid w:val="00A67DBC"/>
    <w:rsid w:val="00A70B4F"/>
    <w:rsid w:val="00A71284"/>
    <w:rsid w:val="00A71558"/>
    <w:rsid w:val="00A71D59"/>
    <w:rsid w:val="00A723BB"/>
    <w:rsid w:val="00A72A78"/>
    <w:rsid w:val="00A72C38"/>
    <w:rsid w:val="00A72E62"/>
    <w:rsid w:val="00A72E80"/>
    <w:rsid w:val="00A73532"/>
    <w:rsid w:val="00A73BBC"/>
    <w:rsid w:val="00A73C9D"/>
    <w:rsid w:val="00A74187"/>
    <w:rsid w:val="00A743BA"/>
    <w:rsid w:val="00A74C4B"/>
    <w:rsid w:val="00A7586E"/>
    <w:rsid w:val="00A758FE"/>
    <w:rsid w:val="00A75C73"/>
    <w:rsid w:val="00A7620C"/>
    <w:rsid w:val="00A764E1"/>
    <w:rsid w:val="00A764E6"/>
    <w:rsid w:val="00A76729"/>
    <w:rsid w:val="00A76B7C"/>
    <w:rsid w:val="00A77907"/>
    <w:rsid w:val="00A77AE5"/>
    <w:rsid w:val="00A77C9D"/>
    <w:rsid w:val="00A80A70"/>
    <w:rsid w:val="00A80B3B"/>
    <w:rsid w:val="00A814EA"/>
    <w:rsid w:val="00A81637"/>
    <w:rsid w:val="00A816D0"/>
    <w:rsid w:val="00A81FC7"/>
    <w:rsid w:val="00A8259E"/>
    <w:rsid w:val="00A825D3"/>
    <w:rsid w:val="00A8278D"/>
    <w:rsid w:val="00A82A51"/>
    <w:rsid w:val="00A82FE4"/>
    <w:rsid w:val="00A82FF1"/>
    <w:rsid w:val="00A83040"/>
    <w:rsid w:val="00A83656"/>
    <w:rsid w:val="00A841C5"/>
    <w:rsid w:val="00A845EB"/>
    <w:rsid w:val="00A8473B"/>
    <w:rsid w:val="00A85787"/>
    <w:rsid w:val="00A858B9"/>
    <w:rsid w:val="00A86091"/>
    <w:rsid w:val="00A86712"/>
    <w:rsid w:val="00A86790"/>
    <w:rsid w:val="00A86C73"/>
    <w:rsid w:val="00A86F3A"/>
    <w:rsid w:val="00A87570"/>
    <w:rsid w:val="00A875EC"/>
    <w:rsid w:val="00A90150"/>
    <w:rsid w:val="00A9018E"/>
    <w:rsid w:val="00A90436"/>
    <w:rsid w:val="00A9051E"/>
    <w:rsid w:val="00A907D3"/>
    <w:rsid w:val="00A90B54"/>
    <w:rsid w:val="00A918B2"/>
    <w:rsid w:val="00A91A9D"/>
    <w:rsid w:val="00A91BBF"/>
    <w:rsid w:val="00A91C37"/>
    <w:rsid w:val="00A92623"/>
    <w:rsid w:val="00A93118"/>
    <w:rsid w:val="00A9320C"/>
    <w:rsid w:val="00A94DB9"/>
    <w:rsid w:val="00A9501C"/>
    <w:rsid w:val="00A956E7"/>
    <w:rsid w:val="00A95732"/>
    <w:rsid w:val="00A96C74"/>
    <w:rsid w:val="00A96C9E"/>
    <w:rsid w:val="00A9761C"/>
    <w:rsid w:val="00A976BC"/>
    <w:rsid w:val="00A97B14"/>
    <w:rsid w:val="00AA006E"/>
    <w:rsid w:val="00AA058F"/>
    <w:rsid w:val="00AA137B"/>
    <w:rsid w:val="00AA185D"/>
    <w:rsid w:val="00AA1B14"/>
    <w:rsid w:val="00AA1B6A"/>
    <w:rsid w:val="00AA22F3"/>
    <w:rsid w:val="00AA2300"/>
    <w:rsid w:val="00AA24CE"/>
    <w:rsid w:val="00AA2E4B"/>
    <w:rsid w:val="00AA2F45"/>
    <w:rsid w:val="00AA31CC"/>
    <w:rsid w:val="00AA32B1"/>
    <w:rsid w:val="00AA3A6E"/>
    <w:rsid w:val="00AA3F55"/>
    <w:rsid w:val="00AA4934"/>
    <w:rsid w:val="00AA4F00"/>
    <w:rsid w:val="00AA5FFB"/>
    <w:rsid w:val="00AA68E5"/>
    <w:rsid w:val="00AA6967"/>
    <w:rsid w:val="00AA6E7B"/>
    <w:rsid w:val="00AA7099"/>
    <w:rsid w:val="00AA7BA5"/>
    <w:rsid w:val="00AA7FB7"/>
    <w:rsid w:val="00AB0259"/>
    <w:rsid w:val="00AB03B7"/>
    <w:rsid w:val="00AB05D3"/>
    <w:rsid w:val="00AB0611"/>
    <w:rsid w:val="00AB06AE"/>
    <w:rsid w:val="00AB06B3"/>
    <w:rsid w:val="00AB076A"/>
    <w:rsid w:val="00AB0D4A"/>
    <w:rsid w:val="00AB110E"/>
    <w:rsid w:val="00AB1184"/>
    <w:rsid w:val="00AB1455"/>
    <w:rsid w:val="00AB1710"/>
    <w:rsid w:val="00AB1ED2"/>
    <w:rsid w:val="00AB2C6A"/>
    <w:rsid w:val="00AB2E47"/>
    <w:rsid w:val="00AB40C6"/>
    <w:rsid w:val="00AB45B9"/>
    <w:rsid w:val="00AB4A52"/>
    <w:rsid w:val="00AB4C1C"/>
    <w:rsid w:val="00AB4D97"/>
    <w:rsid w:val="00AB51BA"/>
    <w:rsid w:val="00AB52BD"/>
    <w:rsid w:val="00AB56E7"/>
    <w:rsid w:val="00AB5765"/>
    <w:rsid w:val="00AB5ADB"/>
    <w:rsid w:val="00AB5BBB"/>
    <w:rsid w:val="00AB5CF2"/>
    <w:rsid w:val="00AB6033"/>
    <w:rsid w:val="00AB6ABB"/>
    <w:rsid w:val="00AB73F0"/>
    <w:rsid w:val="00AB7B22"/>
    <w:rsid w:val="00AB7D51"/>
    <w:rsid w:val="00AC0331"/>
    <w:rsid w:val="00AC0960"/>
    <w:rsid w:val="00AC0D08"/>
    <w:rsid w:val="00AC10C5"/>
    <w:rsid w:val="00AC1AD7"/>
    <w:rsid w:val="00AC21D0"/>
    <w:rsid w:val="00AC2353"/>
    <w:rsid w:val="00AC272E"/>
    <w:rsid w:val="00AC2AB6"/>
    <w:rsid w:val="00AC2E61"/>
    <w:rsid w:val="00AC30C9"/>
    <w:rsid w:val="00AC378B"/>
    <w:rsid w:val="00AC3B6E"/>
    <w:rsid w:val="00AC3DB2"/>
    <w:rsid w:val="00AC4082"/>
    <w:rsid w:val="00AC4813"/>
    <w:rsid w:val="00AC4E70"/>
    <w:rsid w:val="00AC577B"/>
    <w:rsid w:val="00AC5DEA"/>
    <w:rsid w:val="00AC5FD0"/>
    <w:rsid w:val="00AC63AE"/>
    <w:rsid w:val="00AC64BC"/>
    <w:rsid w:val="00AC6F48"/>
    <w:rsid w:val="00AC7E00"/>
    <w:rsid w:val="00AC7E69"/>
    <w:rsid w:val="00AC7ED2"/>
    <w:rsid w:val="00AD039C"/>
    <w:rsid w:val="00AD05C4"/>
    <w:rsid w:val="00AD07BE"/>
    <w:rsid w:val="00AD0AC2"/>
    <w:rsid w:val="00AD1368"/>
    <w:rsid w:val="00AD1C7C"/>
    <w:rsid w:val="00AD2047"/>
    <w:rsid w:val="00AD2E6A"/>
    <w:rsid w:val="00AD345E"/>
    <w:rsid w:val="00AD3746"/>
    <w:rsid w:val="00AD4B57"/>
    <w:rsid w:val="00AD4FBB"/>
    <w:rsid w:val="00AD55E9"/>
    <w:rsid w:val="00AD588E"/>
    <w:rsid w:val="00AD5CC9"/>
    <w:rsid w:val="00AD5E2D"/>
    <w:rsid w:val="00AD6AB3"/>
    <w:rsid w:val="00AD751B"/>
    <w:rsid w:val="00AD75F1"/>
    <w:rsid w:val="00AE1375"/>
    <w:rsid w:val="00AE1C48"/>
    <w:rsid w:val="00AE2013"/>
    <w:rsid w:val="00AE2164"/>
    <w:rsid w:val="00AE22F2"/>
    <w:rsid w:val="00AE22FA"/>
    <w:rsid w:val="00AE2420"/>
    <w:rsid w:val="00AE247A"/>
    <w:rsid w:val="00AE2C4E"/>
    <w:rsid w:val="00AE3210"/>
    <w:rsid w:val="00AE354E"/>
    <w:rsid w:val="00AE42F4"/>
    <w:rsid w:val="00AE43C9"/>
    <w:rsid w:val="00AE44B7"/>
    <w:rsid w:val="00AE4956"/>
    <w:rsid w:val="00AE4AB0"/>
    <w:rsid w:val="00AE4B5D"/>
    <w:rsid w:val="00AE4CCD"/>
    <w:rsid w:val="00AE504F"/>
    <w:rsid w:val="00AE5159"/>
    <w:rsid w:val="00AE571E"/>
    <w:rsid w:val="00AE5CD7"/>
    <w:rsid w:val="00AE5F5A"/>
    <w:rsid w:val="00AE7244"/>
    <w:rsid w:val="00AE7286"/>
    <w:rsid w:val="00AE7476"/>
    <w:rsid w:val="00AF031E"/>
    <w:rsid w:val="00AF0460"/>
    <w:rsid w:val="00AF04AA"/>
    <w:rsid w:val="00AF04F5"/>
    <w:rsid w:val="00AF09DC"/>
    <w:rsid w:val="00AF0A70"/>
    <w:rsid w:val="00AF0ABE"/>
    <w:rsid w:val="00AF1C6E"/>
    <w:rsid w:val="00AF2875"/>
    <w:rsid w:val="00AF2E6B"/>
    <w:rsid w:val="00AF3C66"/>
    <w:rsid w:val="00AF41DF"/>
    <w:rsid w:val="00AF4220"/>
    <w:rsid w:val="00AF523A"/>
    <w:rsid w:val="00AF544E"/>
    <w:rsid w:val="00AF553C"/>
    <w:rsid w:val="00AF604C"/>
    <w:rsid w:val="00AF6446"/>
    <w:rsid w:val="00AF64E8"/>
    <w:rsid w:val="00AF6ACF"/>
    <w:rsid w:val="00AF79ED"/>
    <w:rsid w:val="00AF7C64"/>
    <w:rsid w:val="00AF7F1D"/>
    <w:rsid w:val="00B0062A"/>
    <w:rsid w:val="00B00804"/>
    <w:rsid w:val="00B01329"/>
    <w:rsid w:val="00B015CB"/>
    <w:rsid w:val="00B01872"/>
    <w:rsid w:val="00B01D9B"/>
    <w:rsid w:val="00B0229D"/>
    <w:rsid w:val="00B02767"/>
    <w:rsid w:val="00B02C2C"/>
    <w:rsid w:val="00B02E57"/>
    <w:rsid w:val="00B03218"/>
    <w:rsid w:val="00B038EC"/>
    <w:rsid w:val="00B0403A"/>
    <w:rsid w:val="00B045A5"/>
    <w:rsid w:val="00B04758"/>
    <w:rsid w:val="00B04857"/>
    <w:rsid w:val="00B05F88"/>
    <w:rsid w:val="00B0640F"/>
    <w:rsid w:val="00B06E04"/>
    <w:rsid w:val="00B0702C"/>
    <w:rsid w:val="00B0725E"/>
    <w:rsid w:val="00B07675"/>
    <w:rsid w:val="00B07C25"/>
    <w:rsid w:val="00B07D93"/>
    <w:rsid w:val="00B10212"/>
    <w:rsid w:val="00B10D23"/>
    <w:rsid w:val="00B111D8"/>
    <w:rsid w:val="00B11464"/>
    <w:rsid w:val="00B117D5"/>
    <w:rsid w:val="00B117DF"/>
    <w:rsid w:val="00B11E25"/>
    <w:rsid w:val="00B12039"/>
    <w:rsid w:val="00B12758"/>
    <w:rsid w:val="00B13448"/>
    <w:rsid w:val="00B136C6"/>
    <w:rsid w:val="00B138E7"/>
    <w:rsid w:val="00B13F5E"/>
    <w:rsid w:val="00B1407A"/>
    <w:rsid w:val="00B14268"/>
    <w:rsid w:val="00B143A9"/>
    <w:rsid w:val="00B14770"/>
    <w:rsid w:val="00B14E73"/>
    <w:rsid w:val="00B15296"/>
    <w:rsid w:val="00B1534E"/>
    <w:rsid w:val="00B15675"/>
    <w:rsid w:val="00B159B6"/>
    <w:rsid w:val="00B15B04"/>
    <w:rsid w:val="00B15D7A"/>
    <w:rsid w:val="00B160CA"/>
    <w:rsid w:val="00B16348"/>
    <w:rsid w:val="00B16F08"/>
    <w:rsid w:val="00B17175"/>
    <w:rsid w:val="00B17310"/>
    <w:rsid w:val="00B17F1F"/>
    <w:rsid w:val="00B2007C"/>
    <w:rsid w:val="00B2018E"/>
    <w:rsid w:val="00B2029F"/>
    <w:rsid w:val="00B20E68"/>
    <w:rsid w:val="00B212BB"/>
    <w:rsid w:val="00B21482"/>
    <w:rsid w:val="00B21ABE"/>
    <w:rsid w:val="00B21DB0"/>
    <w:rsid w:val="00B220B1"/>
    <w:rsid w:val="00B226B3"/>
    <w:rsid w:val="00B22A78"/>
    <w:rsid w:val="00B22FFB"/>
    <w:rsid w:val="00B23538"/>
    <w:rsid w:val="00B235D2"/>
    <w:rsid w:val="00B23EBA"/>
    <w:rsid w:val="00B2415D"/>
    <w:rsid w:val="00B24DCC"/>
    <w:rsid w:val="00B2512B"/>
    <w:rsid w:val="00B25842"/>
    <w:rsid w:val="00B259D6"/>
    <w:rsid w:val="00B25FC9"/>
    <w:rsid w:val="00B263A7"/>
    <w:rsid w:val="00B264EF"/>
    <w:rsid w:val="00B266E6"/>
    <w:rsid w:val="00B2684C"/>
    <w:rsid w:val="00B26919"/>
    <w:rsid w:val="00B26A04"/>
    <w:rsid w:val="00B26A95"/>
    <w:rsid w:val="00B27D9A"/>
    <w:rsid w:val="00B30813"/>
    <w:rsid w:val="00B3128C"/>
    <w:rsid w:val="00B31408"/>
    <w:rsid w:val="00B31566"/>
    <w:rsid w:val="00B31861"/>
    <w:rsid w:val="00B3191D"/>
    <w:rsid w:val="00B31974"/>
    <w:rsid w:val="00B3199D"/>
    <w:rsid w:val="00B31FF8"/>
    <w:rsid w:val="00B321C7"/>
    <w:rsid w:val="00B32240"/>
    <w:rsid w:val="00B32B88"/>
    <w:rsid w:val="00B3321A"/>
    <w:rsid w:val="00B334F2"/>
    <w:rsid w:val="00B3370C"/>
    <w:rsid w:val="00B33765"/>
    <w:rsid w:val="00B33AD4"/>
    <w:rsid w:val="00B33C1D"/>
    <w:rsid w:val="00B340E9"/>
    <w:rsid w:val="00B3472D"/>
    <w:rsid w:val="00B34828"/>
    <w:rsid w:val="00B34A55"/>
    <w:rsid w:val="00B34C28"/>
    <w:rsid w:val="00B34CAF"/>
    <w:rsid w:val="00B34DB9"/>
    <w:rsid w:val="00B34F49"/>
    <w:rsid w:val="00B357D6"/>
    <w:rsid w:val="00B35D34"/>
    <w:rsid w:val="00B36209"/>
    <w:rsid w:val="00B3651F"/>
    <w:rsid w:val="00B369F0"/>
    <w:rsid w:val="00B36A3B"/>
    <w:rsid w:val="00B36CCC"/>
    <w:rsid w:val="00B36F38"/>
    <w:rsid w:val="00B37047"/>
    <w:rsid w:val="00B37660"/>
    <w:rsid w:val="00B3773A"/>
    <w:rsid w:val="00B3781E"/>
    <w:rsid w:val="00B37B86"/>
    <w:rsid w:val="00B4131F"/>
    <w:rsid w:val="00B41DA9"/>
    <w:rsid w:val="00B420C9"/>
    <w:rsid w:val="00B42194"/>
    <w:rsid w:val="00B424B1"/>
    <w:rsid w:val="00B42653"/>
    <w:rsid w:val="00B427BF"/>
    <w:rsid w:val="00B42E56"/>
    <w:rsid w:val="00B43238"/>
    <w:rsid w:val="00B43A8C"/>
    <w:rsid w:val="00B44043"/>
    <w:rsid w:val="00B44051"/>
    <w:rsid w:val="00B4435D"/>
    <w:rsid w:val="00B4442D"/>
    <w:rsid w:val="00B44851"/>
    <w:rsid w:val="00B44963"/>
    <w:rsid w:val="00B4506E"/>
    <w:rsid w:val="00B456E9"/>
    <w:rsid w:val="00B45904"/>
    <w:rsid w:val="00B468C8"/>
    <w:rsid w:val="00B46B26"/>
    <w:rsid w:val="00B473E7"/>
    <w:rsid w:val="00B4753B"/>
    <w:rsid w:val="00B47775"/>
    <w:rsid w:val="00B4781A"/>
    <w:rsid w:val="00B47955"/>
    <w:rsid w:val="00B500BF"/>
    <w:rsid w:val="00B5014F"/>
    <w:rsid w:val="00B507C4"/>
    <w:rsid w:val="00B50EB3"/>
    <w:rsid w:val="00B51006"/>
    <w:rsid w:val="00B51347"/>
    <w:rsid w:val="00B51ACF"/>
    <w:rsid w:val="00B51DD6"/>
    <w:rsid w:val="00B5241D"/>
    <w:rsid w:val="00B52796"/>
    <w:rsid w:val="00B52857"/>
    <w:rsid w:val="00B52FAB"/>
    <w:rsid w:val="00B5335F"/>
    <w:rsid w:val="00B53FD8"/>
    <w:rsid w:val="00B54507"/>
    <w:rsid w:val="00B54631"/>
    <w:rsid w:val="00B54C8B"/>
    <w:rsid w:val="00B555FF"/>
    <w:rsid w:val="00B55B6D"/>
    <w:rsid w:val="00B55C6D"/>
    <w:rsid w:val="00B561D2"/>
    <w:rsid w:val="00B56584"/>
    <w:rsid w:val="00B567C1"/>
    <w:rsid w:val="00B5687D"/>
    <w:rsid w:val="00B56A62"/>
    <w:rsid w:val="00B56DCF"/>
    <w:rsid w:val="00B57E6E"/>
    <w:rsid w:val="00B6014A"/>
    <w:rsid w:val="00B604F2"/>
    <w:rsid w:val="00B6064D"/>
    <w:rsid w:val="00B60A33"/>
    <w:rsid w:val="00B60F79"/>
    <w:rsid w:val="00B614F5"/>
    <w:rsid w:val="00B615B1"/>
    <w:rsid w:val="00B61A22"/>
    <w:rsid w:val="00B61B29"/>
    <w:rsid w:val="00B621CE"/>
    <w:rsid w:val="00B62BAC"/>
    <w:rsid w:val="00B633B0"/>
    <w:rsid w:val="00B6376D"/>
    <w:rsid w:val="00B63D26"/>
    <w:rsid w:val="00B63EEC"/>
    <w:rsid w:val="00B63F71"/>
    <w:rsid w:val="00B63FFA"/>
    <w:rsid w:val="00B6420F"/>
    <w:rsid w:val="00B64371"/>
    <w:rsid w:val="00B64627"/>
    <w:rsid w:val="00B6480E"/>
    <w:rsid w:val="00B6485E"/>
    <w:rsid w:val="00B64D63"/>
    <w:rsid w:val="00B64E3A"/>
    <w:rsid w:val="00B6509E"/>
    <w:rsid w:val="00B650C1"/>
    <w:rsid w:val="00B65251"/>
    <w:rsid w:val="00B65E23"/>
    <w:rsid w:val="00B66188"/>
    <w:rsid w:val="00B662C9"/>
    <w:rsid w:val="00B662FF"/>
    <w:rsid w:val="00B66B02"/>
    <w:rsid w:val="00B67094"/>
    <w:rsid w:val="00B6749C"/>
    <w:rsid w:val="00B67AF0"/>
    <w:rsid w:val="00B7063F"/>
    <w:rsid w:val="00B70C8A"/>
    <w:rsid w:val="00B7160C"/>
    <w:rsid w:val="00B71849"/>
    <w:rsid w:val="00B71AA6"/>
    <w:rsid w:val="00B71F74"/>
    <w:rsid w:val="00B72952"/>
    <w:rsid w:val="00B72CCC"/>
    <w:rsid w:val="00B7357B"/>
    <w:rsid w:val="00B73999"/>
    <w:rsid w:val="00B73E1E"/>
    <w:rsid w:val="00B74519"/>
    <w:rsid w:val="00B74938"/>
    <w:rsid w:val="00B74A43"/>
    <w:rsid w:val="00B74B63"/>
    <w:rsid w:val="00B750A4"/>
    <w:rsid w:val="00B75117"/>
    <w:rsid w:val="00B751BC"/>
    <w:rsid w:val="00B752C7"/>
    <w:rsid w:val="00B758AE"/>
    <w:rsid w:val="00B7596C"/>
    <w:rsid w:val="00B759CC"/>
    <w:rsid w:val="00B75B34"/>
    <w:rsid w:val="00B75BA1"/>
    <w:rsid w:val="00B75BAA"/>
    <w:rsid w:val="00B75C32"/>
    <w:rsid w:val="00B7717F"/>
    <w:rsid w:val="00B77727"/>
    <w:rsid w:val="00B777E7"/>
    <w:rsid w:val="00B77D92"/>
    <w:rsid w:val="00B80007"/>
    <w:rsid w:val="00B800E1"/>
    <w:rsid w:val="00B80614"/>
    <w:rsid w:val="00B80952"/>
    <w:rsid w:val="00B80F90"/>
    <w:rsid w:val="00B817BE"/>
    <w:rsid w:val="00B81E3A"/>
    <w:rsid w:val="00B81E47"/>
    <w:rsid w:val="00B8217E"/>
    <w:rsid w:val="00B82429"/>
    <w:rsid w:val="00B824DD"/>
    <w:rsid w:val="00B8296B"/>
    <w:rsid w:val="00B82C20"/>
    <w:rsid w:val="00B83002"/>
    <w:rsid w:val="00B830BD"/>
    <w:rsid w:val="00B83719"/>
    <w:rsid w:val="00B83A0C"/>
    <w:rsid w:val="00B846CC"/>
    <w:rsid w:val="00B849EC"/>
    <w:rsid w:val="00B85589"/>
    <w:rsid w:val="00B85D16"/>
    <w:rsid w:val="00B86427"/>
    <w:rsid w:val="00B86934"/>
    <w:rsid w:val="00B86B13"/>
    <w:rsid w:val="00B86B1D"/>
    <w:rsid w:val="00B87EB3"/>
    <w:rsid w:val="00B903BB"/>
    <w:rsid w:val="00B91258"/>
    <w:rsid w:val="00B913E5"/>
    <w:rsid w:val="00B91695"/>
    <w:rsid w:val="00B91FD3"/>
    <w:rsid w:val="00B931A4"/>
    <w:rsid w:val="00B9367B"/>
    <w:rsid w:val="00B9369B"/>
    <w:rsid w:val="00B937F8"/>
    <w:rsid w:val="00B93D00"/>
    <w:rsid w:val="00B93D60"/>
    <w:rsid w:val="00B93F40"/>
    <w:rsid w:val="00B94262"/>
    <w:rsid w:val="00B9465B"/>
    <w:rsid w:val="00B9474D"/>
    <w:rsid w:val="00B950D0"/>
    <w:rsid w:val="00B955EC"/>
    <w:rsid w:val="00B955F4"/>
    <w:rsid w:val="00B958B9"/>
    <w:rsid w:val="00B958C7"/>
    <w:rsid w:val="00B95AA2"/>
    <w:rsid w:val="00B95BDD"/>
    <w:rsid w:val="00B960C0"/>
    <w:rsid w:val="00B961AA"/>
    <w:rsid w:val="00B966B7"/>
    <w:rsid w:val="00B9691D"/>
    <w:rsid w:val="00B970F2"/>
    <w:rsid w:val="00B9717F"/>
    <w:rsid w:val="00B97507"/>
    <w:rsid w:val="00B97523"/>
    <w:rsid w:val="00B97A7A"/>
    <w:rsid w:val="00B97E01"/>
    <w:rsid w:val="00BA0046"/>
    <w:rsid w:val="00BA1402"/>
    <w:rsid w:val="00BA1B99"/>
    <w:rsid w:val="00BA1C99"/>
    <w:rsid w:val="00BA1CB1"/>
    <w:rsid w:val="00BA2D18"/>
    <w:rsid w:val="00BA2D9B"/>
    <w:rsid w:val="00BA2F8A"/>
    <w:rsid w:val="00BA3554"/>
    <w:rsid w:val="00BA36D2"/>
    <w:rsid w:val="00BA3C52"/>
    <w:rsid w:val="00BA4156"/>
    <w:rsid w:val="00BA418E"/>
    <w:rsid w:val="00BA4216"/>
    <w:rsid w:val="00BA4D93"/>
    <w:rsid w:val="00BA52C4"/>
    <w:rsid w:val="00BA540F"/>
    <w:rsid w:val="00BA547C"/>
    <w:rsid w:val="00BA55EB"/>
    <w:rsid w:val="00BA56FD"/>
    <w:rsid w:val="00BA5ADB"/>
    <w:rsid w:val="00BA640E"/>
    <w:rsid w:val="00BA6800"/>
    <w:rsid w:val="00BA68A8"/>
    <w:rsid w:val="00BA6BA3"/>
    <w:rsid w:val="00BA6C55"/>
    <w:rsid w:val="00BA73FB"/>
    <w:rsid w:val="00BA7487"/>
    <w:rsid w:val="00BA7844"/>
    <w:rsid w:val="00BA7BB4"/>
    <w:rsid w:val="00BA7D5B"/>
    <w:rsid w:val="00BB01A3"/>
    <w:rsid w:val="00BB0249"/>
    <w:rsid w:val="00BB06D1"/>
    <w:rsid w:val="00BB0A09"/>
    <w:rsid w:val="00BB0D23"/>
    <w:rsid w:val="00BB0EE8"/>
    <w:rsid w:val="00BB113D"/>
    <w:rsid w:val="00BB1257"/>
    <w:rsid w:val="00BB1295"/>
    <w:rsid w:val="00BB1791"/>
    <w:rsid w:val="00BB1AD5"/>
    <w:rsid w:val="00BB1DFA"/>
    <w:rsid w:val="00BB291F"/>
    <w:rsid w:val="00BB2E2A"/>
    <w:rsid w:val="00BB30E9"/>
    <w:rsid w:val="00BB36B4"/>
    <w:rsid w:val="00BB36DC"/>
    <w:rsid w:val="00BB3C6B"/>
    <w:rsid w:val="00BB3EF5"/>
    <w:rsid w:val="00BB4120"/>
    <w:rsid w:val="00BB4129"/>
    <w:rsid w:val="00BB41DD"/>
    <w:rsid w:val="00BB43D3"/>
    <w:rsid w:val="00BB4482"/>
    <w:rsid w:val="00BB46D7"/>
    <w:rsid w:val="00BB47D7"/>
    <w:rsid w:val="00BB4968"/>
    <w:rsid w:val="00BB49D1"/>
    <w:rsid w:val="00BB49EA"/>
    <w:rsid w:val="00BB4D58"/>
    <w:rsid w:val="00BB4E1C"/>
    <w:rsid w:val="00BB4E20"/>
    <w:rsid w:val="00BB516C"/>
    <w:rsid w:val="00BB6084"/>
    <w:rsid w:val="00BB67A1"/>
    <w:rsid w:val="00BB75D3"/>
    <w:rsid w:val="00BB7675"/>
    <w:rsid w:val="00BB7816"/>
    <w:rsid w:val="00BB7D1E"/>
    <w:rsid w:val="00BB7F98"/>
    <w:rsid w:val="00BC00EF"/>
    <w:rsid w:val="00BC0D3C"/>
    <w:rsid w:val="00BC0D59"/>
    <w:rsid w:val="00BC0DFC"/>
    <w:rsid w:val="00BC1234"/>
    <w:rsid w:val="00BC1CC1"/>
    <w:rsid w:val="00BC272F"/>
    <w:rsid w:val="00BC2B88"/>
    <w:rsid w:val="00BC2D71"/>
    <w:rsid w:val="00BC315D"/>
    <w:rsid w:val="00BC34F8"/>
    <w:rsid w:val="00BC3E58"/>
    <w:rsid w:val="00BC425E"/>
    <w:rsid w:val="00BC4324"/>
    <w:rsid w:val="00BC4426"/>
    <w:rsid w:val="00BC485A"/>
    <w:rsid w:val="00BC4B2E"/>
    <w:rsid w:val="00BC4EC1"/>
    <w:rsid w:val="00BC51F7"/>
    <w:rsid w:val="00BC5360"/>
    <w:rsid w:val="00BC5A11"/>
    <w:rsid w:val="00BC6047"/>
    <w:rsid w:val="00BC61CA"/>
    <w:rsid w:val="00BC64AC"/>
    <w:rsid w:val="00BC675D"/>
    <w:rsid w:val="00BC69AD"/>
    <w:rsid w:val="00BC6F55"/>
    <w:rsid w:val="00BC74BF"/>
    <w:rsid w:val="00BC7A5C"/>
    <w:rsid w:val="00BC7FED"/>
    <w:rsid w:val="00BD0266"/>
    <w:rsid w:val="00BD0270"/>
    <w:rsid w:val="00BD0413"/>
    <w:rsid w:val="00BD0633"/>
    <w:rsid w:val="00BD068A"/>
    <w:rsid w:val="00BD12B2"/>
    <w:rsid w:val="00BD18CE"/>
    <w:rsid w:val="00BD1D72"/>
    <w:rsid w:val="00BD1FAD"/>
    <w:rsid w:val="00BD24BC"/>
    <w:rsid w:val="00BD3151"/>
    <w:rsid w:val="00BD31FD"/>
    <w:rsid w:val="00BD32BA"/>
    <w:rsid w:val="00BD45AE"/>
    <w:rsid w:val="00BD46CE"/>
    <w:rsid w:val="00BD4C6A"/>
    <w:rsid w:val="00BD4DFF"/>
    <w:rsid w:val="00BD54D4"/>
    <w:rsid w:val="00BD60AE"/>
    <w:rsid w:val="00BD63CD"/>
    <w:rsid w:val="00BD70A0"/>
    <w:rsid w:val="00BD746D"/>
    <w:rsid w:val="00BD78C8"/>
    <w:rsid w:val="00BE007E"/>
    <w:rsid w:val="00BE00DB"/>
    <w:rsid w:val="00BE05A5"/>
    <w:rsid w:val="00BE0632"/>
    <w:rsid w:val="00BE07C8"/>
    <w:rsid w:val="00BE0904"/>
    <w:rsid w:val="00BE0A3C"/>
    <w:rsid w:val="00BE1DD6"/>
    <w:rsid w:val="00BE2B21"/>
    <w:rsid w:val="00BE2C33"/>
    <w:rsid w:val="00BE358D"/>
    <w:rsid w:val="00BE4CA5"/>
    <w:rsid w:val="00BE4D6F"/>
    <w:rsid w:val="00BE50D4"/>
    <w:rsid w:val="00BE558A"/>
    <w:rsid w:val="00BE5923"/>
    <w:rsid w:val="00BE59FA"/>
    <w:rsid w:val="00BE60E0"/>
    <w:rsid w:val="00BE655A"/>
    <w:rsid w:val="00BE67C8"/>
    <w:rsid w:val="00BE6AD6"/>
    <w:rsid w:val="00BE6C25"/>
    <w:rsid w:val="00BE7388"/>
    <w:rsid w:val="00BE73A7"/>
    <w:rsid w:val="00BE7C97"/>
    <w:rsid w:val="00BE7EAB"/>
    <w:rsid w:val="00BF01EE"/>
    <w:rsid w:val="00BF02E4"/>
    <w:rsid w:val="00BF0402"/>
    <w:rsid w:val="00BF0CED"/>
    <w:rsid w:val="00BF1765"/>
    <w:rsid w:val="00BF1A19"/>
    <w:rsid w:val="00BF1FEC"/>
    <w:rsid w:val="00BF2970"/>
    <w:rsid w:val="00BF305B"/>
    <w:rsid w:val="00BF35BF"/>
    <w:rsid w:val="00BF3791"/>
    <w:rsid w:val="00BF402A"/>
    <w:rsid w:val="00BF41AD"/>
    <w:rsid w:val="00BF42BD"/>
    <w:rsid w:val="00BF42F2"/>
    <w:rsid w:val="00BF43E2"/>
    <w:rsid w:val="00BF49C9"/>
    <w:rsid w:val="00BF4BE6"/>
    <w:rsid w:val="00BF547A"/>
    <w:rsid w:val="00BF551D"/>
    <w:rsid w:val="00BF559C"/>
    <w:rsid w:val="00BF5CCB"/>
    <w:rsid w:val="00BF610B"/>
    <w:rsid w:val="00BF669A"/>
    <w:rsid w:val="00BF73D9"/>
    <w:rsid w:val="00BF7DD3"/>
    <w:rsid w:val="00BF7E0E"/>
    <w:rsid w:val="00C009B1"/>
    <w:rsid w:val="00C00ADE"/>
    <w:rsid w:val="00C011FD"/>
    <w:rsid w:val="00C013CC"/>
    <w:rsid w:val="00C017E0"/>
    <w:rsid w:val="00C02140"/>
    <w:rsid w:val="00C03060"/>
    <w:rsid w:val="00C0383A"/>
    <w:rsid w:val="00C0395B"/>
    <w:rsid w:val="00C04571"/>
    <w:rsid w:val="00C04973"/>
    <w:rsid w:val="00C05D12"/>
    <w:rsid w:val="00C05EDC"/>
    <w:rsid w:val="00C06F5B"/>
    <w:rsid w:val="00C06F69"/>
    <w:rsid w:val="00C06FE2"/>
    <w:rsid w:val="00C07B69"/>
    <w:rsid w:val="00C1066D"/>
    <w:rsid w:val="00C10843"/>
    <w:rsid w:val="00C11B36"/>
    <w:rsid w:val="00C11F36"/>
    <w:rsid w:val="00C120B9"/>
    <w:rsid w:val="00C12192"/>
    <w:rsid w:val="00C12225"/>
    <w:rsid w:val="00C129C8"/>
    <w:rsid w:val="00C12F4C"/>
    <w:rsid w:val="00C12FDE"/>
    <w:rsid w:val="00C133D7"/>
    <w:rsid w:val="00C14989"/>
    <w:rsid w:val="00C14D6A"/>
    <w:rsid w:val="00C14D85"/>
    <w:rsid w:val="00C1500C"/>
    <w:rsid w:val="00C1545F"/>
    <w:rsid w:val="00C15485"/>
    <w:rsid w:val="00C154D3"/>
    <w:rsid w:val="00C1596E"/>
    <w:rsid w:val="00C15985"/>
    <w:rsid w:val="00C164A1"/>
    <w:rsid w:val="00C164F3"/>
    <w:rsid w:val="00C16636"/>
    <w:rsid w:val="00C16646"/>
    <w:rsid w:val="00C1752E"/>
    <w:rsid w:val="00C175DB"/>
    <w:rsid w:val="00C178FC"/>
    <w:rsid w:val="00C179CF"/>
    <w:rsid w:val="00C17CEB"/>
    <w:rsid w:val="00C17F22"/>
    <w:rsid w:val="00C17F33"/>
    <w:rsid w:val="00C201B8"/>
    <w:rsid w:val="00C20441"/>
    <w:rsid w:val="00C2046E"/>
    <w:rsid w:val="00C2075F"/>
    <w:rsid w:val="00C225D3"/>
    <w:rsid w:val="00C22E2C"/>
    <w:rsid w:val="00C23859"/>
    <w:rsid w:val="00C23EA2"/>
    <w:rsid w:val="00C2410B"/>
    <w:rsid w:val="00C24234"/>
    <w:rsid w:val="00C24257"/>
    <w:rsid w:val="00C24543"/>
    <w:rsid w:val="00C2499D"/>
    <w:rsid w:val="00C24A9B"/>
    <w:rsid w:val="00C24E84"/>
    <w:rsid w:val="00C253E5"/>
    <w:rsid w:val="00C25756"/>
    <w:rsid w:val="00C265EB"/>
    <w:rsid w:val="00C26AE7"/>
    <w:rsid w:val="00C26D96"/>
    <w:rsid w:val="00C27584"/>
    <w:rsid w:val="00C27B5D"/>
    <w:rsid w:val="00C3012B"/>
    <w:rsid w:val="00C30140"/>
    <w:rsid w:val="00C307BD"/>
    <w:rsid w:val="00C30D8E"/>
    <w:rsid w:val="00C30DBC"/>
    <w:rsid w:val="00C30F13"/>
    <w:rsid w:val="00C310DE"/>
    <w:rsid w:val="00C31A31"/>
    <w:rsid w:val="00C322C8"/>
    <w:rsid w:val="00C3284D"/>
    <w:rsid w:val="00C32A1B"/>
    <w:rsid w:val="00C333C5"/>
    <w:rsid w:val="00C33B34"/>
    <w:rsid w:val="00C33D1B"/>
    <w:rsid w:val="00C33E18"/>
    <w:rsid w:val="00C3454D"/>
    <w:rsid w:val="00C35581"/>
    <w:rsid w:val="00C3567E"/>
    <w:rsid w:val="00C35C31"/>
    <w:rsid w:val="00C35CBE"/>
    <w:rsid w:val="00C35F87"/>
    <w:rsid w:val="00C3617D"/>
    <w:rsid w:val="00C361C6"/>
    <w:rsid w:val="00C362A7"/>
    <w:rsid w:val="00C36339"/>
    <w:rsid w:val="00C369EC"/>
    <w:rsid w:val="00C36AE2"/>
    <w:rsid w:val="00C36D46"/>
    <w:rsid w:val="00C36E3D"/>
    <w:rsid w:val="00C3700F"/>
    <w:rsid w:val="00C37584"/>
    <w:rsid w:val="00C37886"/>
    <w:rsid w:val="00C37CB6"/>
    <w:rsid w:val="00C4000A"/>
    <w:rsid w:val="00C4025D"/>
    <w:rsid w:val="00C40281"/>
    <w:rsid w:val="00C41623"/>
    <w:rsid w:val="00C418B1"/>
    <w:rsid w:val="00C4236B"/>
    <w:rsid w:val="00C42745"/>
    <w:rsid w:val="00C42B24"/>
    <w:rsid w:val="00C43231"/>
    <w:rsid w:val="00C43706"/>
    <w:rsid w:val="00C43B66"/>
    <w:rsid w:val="00C43C72"/>
    <w:rsid w:val="00C444A0"/>
    <w:rsid w:val="00C44508"/>
    <w:rsid w:val="00C448F8"/>
    <w:rsid w:val="00C44A5C"/>
    <w:rsid w:val="00C44D5E"/>
    <w:rsid w:val="00C45118"/>
    <w:rsid w:val="00C45BEC"/>
    <w:rsid w:val="00C46327"/>
    <w:rsid w:val="00C46627"/>
    <w:rsid w:val="00C476D7"/>
    <w:rsid w:val="00C47E46"/>
    <w:rsid w:val="00C502E8"/>
    <w:rsid w:val="00C502F8"/>
    <w:rsid w:val="00C506A3"/>
    <w:rsid w:val="00C50BA0"/>
    <w:rsid w:val="00C50C54"/>
    <w:rsid w:val="00C51EA9"/>
    <w:rsid w:val="00C51F4F"/>
    <w:rsid w:val="00C51F9F"/>
    <w:rsid w:val="00C52132"/>
    <w:rsid w:val="00C5226F"/>
    <w:rsid w:val="00C52406"/>
    <w:rsid w:val="00C5323D"/>
    <w:rsid w:val="00C536E3"/>
    <w:rsid w:val="00C53D4D"/>
    <w:rsid w:val="00C53ED5"/>
    <w:rsid w:val="00C54305"/>
    <w:rsid w:val="00C54642"/>
    <w:rsid w:val="00C546B4"/>
    <w:rsid w:val="00C54B4F"/>
    <w:rsid w:val="00C54DEA"/>
    <w:rsid w:val="00C55535"/>
    <w:rsid w:val="00C55A9F"/>
    <w:rsid w:val="00C55BD1"/>
    <w:rsid w:val="00C56122"/>
    <w:rsid w:val="00C561B0"/>
    <w:rsid w:val="00C56471"/>
    <w:rsid w:val="00C56B69"/>
    <w:rsid w:val="00C570FF"/>
    <w:rsid w:val="00C57321"/>
    <w:rsid w:val="00C57861"/>
    <w:rsid w:val="00C57C07"/>
    <w:rsid w:val="00C57CCB"/>
    <w:rsid w:val="00C57ECC"/>
    <w:rsid w:val="00C6010D"/>
    <w:rsid w:val="00C60BFA"/>
    <w:rsid w:val="00C6114E"/>
    <w:rsid w:val="00C61944"/>
    <w:rsid w:val="00C61A22"/>
    <w:rsid w:val="00C6226E"/>
    <w:rsid w:val="00C624F0"/>
    <w:rsid w:val="00C624FA"/>
    <w:rsid w:val="00C63103"/>
    <w:rsid w:val="00C6324C"/>
    <w:rsid w:val="00C636B2"/>
    <w:rsid w:val="00C63E09"/>
    <w:rsid w:val="00C64062"/>
    <w:rsid w:val="00C652A8"/>
    <w:rsid w:val="00C65EE6"/>
    <w:rsid w:val="00C65FA8"/>
    <w:rsid w:val="00C666D4"/>
    <w:rsid w:val="00C66F0F"/>
    <w:rsid w:val="00C6753A"/>
    <w:rsid w:val="00C67DEC"/>
    <w:rsid w:val="00C70388"/>
    <w:rsid w:val="00C703D2"/>
    <w:rsid w:val="00C708F3"/>
    <w:rsid w:val="00C7090D"/>
    <w:rsid w:val="00C70987"/>
    <w:rsid w:val="00C70B61"/>
    <w:rsid w:val="00C7171E"/>
    <w:rsid w:val="00C719FA"/>
    <w:rsid w:val="00C71A71"/>
    <w:rsid w:val="00C71ACD"/>
    <w:rsid w:val="00C71AD1"/>
    <w:rsid w:val="00C71E9A"/>
    <w:rsid w:val="00C72339"/>
    <w:rsid w:val="00C72379"/>
    <w:rsid w:val="00C72955"/>
    <w:rsid w:val="00C72ABB"/>
    <w:rsid w:val="00C72BA6"/>
    <w:rsid w:val="00C72E29"/>
    <w:rsid w:val="00C72F06"/>
    <w:rsid w:val="00C731FD"/>
    <w:rsid w:val="00C732BA"/>
    <w:rsid w:val="00C7358D"/>
    <w:rsid w:val="00C735DF"/>
    <w:rsid w:val="00C736C5"/>
    <w:rsid w:val="00C73735"/>
    <w:rsid w:val="00C74734"/>
    <w:rsid w:val="00C747DB"/>
    <w:rsid w:val="00C74866"/>
    <w:rsid w:val="00C74988"/>
    <w:rsid w:val="00C75789"/>
    <w:rsid w:val="00C76556"/>
    <w:rsid w:val="00C76C9C"/>
    <w:rsid w:val="00C77793"/>
    <w:rsid w:val="00C777DC"/>
    <w:rsid w:val="00C778D3"/>
    <w:rsid w:val="00C80088"/>
    <w:rsid w:val="00C804FE"/>
    <w:rsid w:val="00C80626"/>
    <w:rsid w:val="00C80D6B"/>
    <w:rsid w:val="00C80DBE"/>
    <w:rsid w:val="00C80EEC"/>
    <w:rsid w:val="00C810F3"/>
    <w:rsid w:val="00C8226D"/>
    <w:rsid w:val="00C82747"/>
    <w:rsid w:val="00C827BA"/>
    <w:rsid w:val="00C82C39"/>
    <w:rsid w:val="00C8336D"/>
    <w:rsid w:val="00C834A5"/>
    <w:rsid w:val="00C8386A"/>
    <w:rsid w:val="00C840C7"/>
    <w:rsid w:val="00C846F3"/>
    <w:rsid w:val="00C8499D"/>
    <w:rsid w:val="00C851C9"/>
    <w:rsid w:val="00C853CD"/>
    <w:rsid w:val="00C8563D"/>
    <w:rsid w:val="00C85ECC"/>
    <w:rsid w:val="00C85F0C"/>
    <w:rsid w:val="00C86AD9"/>
    <w:rsid w:val="00C86B3C"/>
    <w:rsid w:val="00C86CF6"/>
    <w:rsid w:val="00C87613"/>
    <w:rsid w:val="00C876A5"/>
    <w:rsid w:val="00C87A68"/>
    <w:rsid w:val="00C87C0C"/>
    <w:rsid w:val="00C90310"/>
    <w:rsid w:val="00C9043B"/>
    <w:rsid w:val="00C90601"/>
    <w:rsid w:val="00C909E6"/>
    <w:rsid w:val="00C90AF2"/>
    <w:rsid w:val="00C91A8D"/>
    <w:rsid w:val="00C91BEB"/>
    <w:rsid w:val="00C91CE8"/>
    <w:rsid w:val="00C91E72"/>
    <w:rsid w:val="00C92F68"/>
    <w:rsid w:val="00C938A6"/>
    <w:rsid w:val="00C93B73"/>
    <w:rsid w:val="00C93BFC"/>
    <w:rsid w:val="00C93D6E"/>
    <w:rsid w:val="00C9407D"/>
    <w:rsid w:val="00C94992"/>
    <w:rsid w:val="00C94D78"/>
    <w:rsid w:val="00C94DCF"/>
    <w:rsid w:val="00C94FBD"/>
    <w:rsid w:val="00C9509D"/>
    <w:rsid w:val="00C953AC"/>
    <w:rsid w:val="00C954A4"/>
    <w:rsid w:val="00C95593"/>
    <w:rsid w:val="00C95950"/>
    <w:rsid w:val="00C95A5A"/>
    <w:rsid w:val="00C95AB2"/>
    <w:rsid w:val="00C95CF7"/>
    <w:rsid w:val="00C95E17"/>
    <w:rsid w:val="00C960EB"/>
    <w:rsid w:val="00C9639B"/>
    <w:rsid w:val="00C96510"/>
    <w:rsid w:val="00C973A3"/>
    <w:rsid w:val="00C975C0"/>
    <w:rsid w:val="00C97CED"/>
    <w:rsid w:val="00C97F5A"/>
    <w:rsid w:val="00CA015A"/>
    <w:rsid w:val="00CA049D"/>
    <w:rsid w:val="00CA1D01"/>
    <w:rsid w:val="00CA1EA0"/>
    <w:rsid w:val="00CA21FE"/>
    <w:rsid w:val="00CA2316"/>
    <w:rsid w:val="00CA23D5"/>
    <w:rsid w:val="00CA271F"/>
    <w:rsid w:val="00CA27DB"/>
    <w:rsid w:val="00CA2F9C"/>
    <w:rsid w:val="00CA34D6"/>
    <w:rsid w:val="00CA3674"/>
    <w:rsid w:val="00CA386F"/>
    <w:rsid w:val="00CA388B"/>
    <w:rsid w:val="00CA40BE"/>
    <w:rsid w:val="00CA50DD"/>
    <w:rsid w:val="00CA514E"/>
    <w:rsid w:val="00CA5591"/>
    <w:rsid w:val="00CA5980"/>
    <w:rsid w:val="00CA5A43"/>
    <w:rsid w:val="00CA5BEA"/>
    <w:rsid w:val="00CA5D96"/>
    <w:rsid w:val="00CA60C2"/>
    <w:rsid w:val="00CA6B9E"/>
    <w:rsid w:val="00CA6BCA"/>
    <w:rsid w:val="00CA726B"/>
    <w:rsid w:val="00CA72EE"/>
    <w:rsid w:val="00CB00D5"/>
    <w:rsid w:val="00CB047F"/>
    <w:rsid w:val="00CB10FC"/>
    <w:rsid w:val="00CB1A8D"/>
    <w:rsid w:val="00CB206D"/>
    <w:rsid w:val="00CB2CDB"/>
    <w:rsid w:val="00CB2D43"/>
    <w:rsid w:val="00CB33CF"/>
    <w:rsid w:val="00CB34EB"/>
    <w:rsid w:val="00CB43DA"/>
    <w:rsid w:val="00CB43E2"/>
    <w:rsid w:val="00CB441B"/>
    <w:rsid w:val="00CB4908"/>
    <w:rsid w:val="00CB4AE1"/>
    <w:rsid w:val="00CB4D7D"/>
    <w:rsid w:val="00CB4DE3"/>
    <w:rsid w:val="00CB5008"/>
    <w:rsid w:val="00CB59DC"/>
    <w:rsid w:val="00CB5C8A"/>
    <w:rsid w:val="00CB5E46"/>
    <w:rsid w:val="00CB6088"/>
    <w:rsid w:val="00CB6253"/>
    <w:rsid w:val="00CB644A"/>
    <w:rsid w:val="00CB65EA"/>
    <w:rsid w:val="00CB6CE8"/>
    <w:rsid w:val="00CB7316"/>
    <w:rsid w:val="00CB7BA2"/>
    <w:rsid w:val="00CC0225"/>
    <w:rsid w:val="00CC02D0"/>
    <w:rsid w:val="00CC1792"/>
    <w:rsid w:val="00CC21DB"/>
    <w:rsid w:val="00CC22FC"/>
    <w:rsid w:val="00CC2302"/>
    <w:rsid w:val="00CC2386"/>
    <w:rsid w:val="00CC2686"/>
    <w:rsid w:val="00CC28D5"/>
    <w:rsid w:val="00CC35E2"/>
    <w:rsid w:val="00CC4F68"/>
    <w:rsid w:val="00CC5AE5"/>
    <w:rsid w:val="00CC63CA"/>
    <w:rsid w:val="00CC676E"/>
    <w:rsid w:val="00CC6A25"/>
    <w:rsid w:val="00CC6CF1"/>
    <w:rsid w:val="00CC70E8"/>
    <w:rsid w:val="00CC71E7"/>
    <w:rsid w:val="00CC7CC7"/>
    <w:rsid w:val="00CD0462"/>
    <w:rsid w:val="00CD0BA0"/>
    <w:rsid w:val="00CD1617"/>
    <w:rsid w:val="00CD19C1"/>
    <w:rsid w:val="00CD20A7"/>
    <w:rsid w:val="00CD2156"/>
    <w:rsid w:val="00CD282E"/>
    <w:rsid w:val="00CD317B"/>
    <w:rsid w:val="00CD3375"/>
    <w:rsid w:val="00CD37B9"/>
    <w:rsid w:val="00CD3E18"/>
    <w:rsid w:val="00CD4189"/>
    <w:rsid w:val="00CD4351"/>
    <w:rsid w:val="00CD44CA"/>
    <w:rsid w:val="00CD478A"/>
    <w:rsid w:val="00CD4CDC"/>
    <w:rsid w:val="00CD4DE8"/>
    <w:rsid w:val="00CD581E"/>
    <w:rsid w:val="00CD58E5"/>
    <w:rsid w:val="00CD65D0"/>
    <w:rsid w:val="00CD6674"/>
    <w:rsid w:val="00CD6ADC"/>
    <w:rsid w:val="00CD6DE6"/>
    <w:rsid w:val="00CD70BA"/>
    <w:rsid w:val="00CD7281"/>
    <w:rsid w:val="00CE0105"/>
    <w:rsid w:val="00CE043C"/>
    <w:rsid w:val="00CE048C"/>
    <w:rsid w:val="00CE0698"/>
    <w:rsid w:val="00CE088C"/>
    <w:rsid w:val="00CE0EDE"/>
    <w:rsid w:val="00CE1166"/>
    <w:rsid w:val="00CE1257"/>
    <w:rsid w:val="00CE141F"/>
    <w:rsid w:val="00CE1538"/>
    <w:rsid w:val="00CE18C2"/>
    <w:rsid w:val="00CE23EF"/>
    <w:rsid w:val="00CE2550"/>
    <w:rsid w:val="00CE2940"/>
    <w:rsid w:val="00CE32B9"/>
    <w:rsid w:val="00CE3558"/>
    <w:rsid w:val="00CE3621"/>
    <w:rsid w:val="00CE387D"/>
    <w:rsid w:val="00CE3B9E"/>
    <w:rsid w:val="00CE457F"/>
    <w:rsid w:val="00CE463D"/>
    <w:rsid w:val="00CE48A3"/>
    <w:rsid w:val="00CE4C77"/>
    <w:rsid w:val="00CE4EAC"/>
    <w:rsid w:val="00CE5037"/>
    <w:rsid w:val="00CE59B0"/>
    <w:rsid w:val="00CE5EEA"/>
    <w:rsid w:val="00CE636B"/>
    <w:rsid w:val="00CE66C7"/>
    <w:rsid w:val="00CE6C89"/>
    <w:rsid w:val="00CE767E"/>
    <w:rsid w:val="00CE7893"/>
    <w:rsid w:val="00CE7A1E"/>
    <w:rsid w:val="00CE7ACF"/>
    <w:rsid w:val="00CE7B09"/>
    <w:rsid w:val="00CE7D36"/>
    <w:rsid w:val="00CF09AD"/>
    <w:rsid w:val="00CF0BC8"/>
    <w:rsid w:val="00CF0DD7"/>
    <w:rsid w:val="00CF106C"/>
    <w:rsid w:val="00CF1438"/>
    <w:rsid w:val="00CF2066"/>
    <w:rsid w:val="00CF2BC4"/>
    <w:rsid w:val="00CF2E66"/>
    <w:rsid w:val="00CF2F4F"/>
    <w:rsid w:val="00CF34DF"/>
    <w:rsid w:val="00CF36FA"/>
    <w:rsid w:val="00CF3937"/>
    <w:rsid w:val="00CF429A"/>
    <w:rsid w:val="00CF4BFD"/>
    <w:rsid w:val="00CF51BF"/>
    <w:rsid w:val="00CF57BB"/>
    <w:rsid w:val="00CF5D81"/>
    <w:rsid w:val="00CF5E02"/>
    <w:rsid w:val="00CF6033"/>
    <w:rsid w:val="00CF63BA"/>
    <w:rsid w:val="00CF6852"/>
    <w:rsid w:val="00CF6A86"/>
    <w:rsid w:val="00CF6B05"/>
    <w:rsid w:val="00CF6BAB"/>
    <w:rsid w:val="00CF6E4E"/>
    <w:rsid w:val="00CF6E74"/>
    <w:rsid w:val="00CF7737"/>
    <w:rsid w:val="00CF7BA7"/>
    <w:rsid w:val="00D00177"/>
    <w:rsid w:val="00D00197"/>
    <w:rsid w:val="00D00632"/>
    <w:rsid w:val="00D00B74"/>
    <w:rsid w:val="00D00CE7"/>
    <w:rsid w:val="00D019EC"/>
    <w:rsid w:val="00D0216B"/>
    <w:rsid w:val="00D021EC"/>
    <w:rsid w:val="00D0246C"/>
    <w:rsid w:val="00D03270"/>
    <w:rsid w:val="00D035FB"/>
    <w:rsid w:val="00D036B0"/>
    <w:rsid w:val="00D03A90"/>
    <w:rsid w:val="00D03A94"/>
    <w:rsid w:val="00D03E59"/>
    <w:rsid w:val="00D0479C"/>
    <w:rsid w:val="00D04AD6"/>
    <w:rsid w:val="00D04CA4"/>
    <w:rsid w:val="00D0533F"/>
    <w:rsid w:val="00D06264"/>
    <w:rsid w:val="00D06855"/>
    <w:rsid w:val="00D06857"/>
    <w:rsid w:val="00D068C7"/>
    <w:rsid w:val="00D06BE8"/>
    <w:rsid w:val="00D0723A"/>
    <w:rsid w:val="00D07598"/>
    <w:rsid w:val="00D07C77"/>
    <w:rsid w:val="00D10052"/>
    <w:rsid w:val="00D10652"/>
    <w:rsid w:val="00D106AE"/>
    <w:rsid w:val="00D10989"/>
    <w:rsid w:val="00D11BA8"/>
    <w:rsid w:val="00D1245C"/>
    <w:rsid w:val="00D1282C"/>
    <w:rsid w:val="00D12E20"/>
    <w:rsid w:val="00D12ED7"/>
    <w:rsid w:val="00D13D98"/>
    <w:rsid w:val="00D13EED"/>
    <w:rsid w:val="00D13FA1"/>
    <w:rsid w:val="00D14AC6"/>
    <w:rsid w:val="00D14C9F"/>
    <w:rsid w:val="00D151FF"/>
    <w:rsid w:val="00D15224"/>
    <w:rsid w:val="00D15440"/>
    <w:rsid w:val="00D15711"/>
    <w:rsid w:val="00D15840"/>
    <w:rsid w:val="00D159DA"/>
    <w:rsid w:val="00D15F78"/>
    <w:rsid w:val="00D16DF9"/>
    <w:rsid w:val="00D1765E"/>
    <w:rsid w:val="00D177DB"/>
    <w:rsid w:val="00D177E5"/>
    <w:rsid w:val="00D17D15"/>
    <w:rsid w:val="00D17D75"/>
    <w:rsid w:val="00D17E93"/>
    <w:rsid w:val="00D2000C"/>
    <w:rsid w:val="00D20606"/>
    <w:rsid w:val="00D20FE5"/>
    <w:rsid w:val="00D21669"/>
    <w:rsid w:val="00D2245F"/>
    <w:rsid w:val="00D225D2"/>
    <w:rsid w:val="00D23A92"/>
    <w:rsid w:val="00D24261"/>
    <w:rsid w:val="00D2440F"/>
    <w:rsid w:val="00D24A6F"/>
    <w:rsid w:val="00D251B4"/>
    <w:rsid w:val="00D253DA"/>
    <w:rsid w:val="00D255DC"/>
    <w:rsid w:val="00D25B1C"/>
    <w:rsid w:val="00D25C68"/>
    <w:rsid w:val="00D2621A"/>
    <w:rsid w:val="00D264CF"/>
    <w:rsid w:val="00D2679A"/>
    <w:rsid w:val="00D2697F"/>
    <w:rsid w:val="00D269A8"/>
    <w:rsid w:val="00D26EC9"/>
    <w:rsid w:val="00D274B0"/>
    <w:rsid w:val="00D277E6"/>
    <w:rsid w:val="00D309EA"/>
    <w:rsid w:val="00D30C6A"/>
    <w:rsid w:val="00D30F52"/>
    <w:rsid w:val="00D3171F"/>
    <w:rsid w:val="00D31E3E"/>
    <w:rsid w:val="00D32704"/>
    <w:rsid w:val="00D328CD"/>
    <w:rsid w:val="00D32B56"/>
    <w:rsid w:val="00D33223"/>
    <w:rsid w:val="00D333F4"/>
    <w:rsid w:val="00D33631"/>
    <w:rsid w:val="00D33DF6"/>
    <w:rsid w:val="00D34336"/>
    <w:rsid w:val="00D3466F"/>
    <w:rsid w:val="00D34F86"/>
    <w:rsid w:val="00D35213"/>
    <w:rsid w:val="00D353EF"/>
    <w:rsid w:val="00D356C7"/>
    <w:rsid w:val="00D35833"/>
    <w:rsid w:val="00D35E3C"/>
    <w:rsid w:val="00D35ED8"/>
    <w:rsid w:val="00D3603E"/>
    <w:rsid w:val="00D3610F"/>
    <w:rsid w:val="00D3642E"/>
    <w:rsid w:val="00D37D6A"/>
    <w:rsid w:val="00D40541"/>
    <w:rsid w:val="00D40774"/>
    <w:rsid w:val="00D407F4"/>
    <w:rsid w:val="00D40942"/>
    <w:rsid w:val="00D40B60"/>
    <w:rsid w:val="00D40BC7"/>
    <w:rsid w:val="00D4130C"/>
    <w:rsid w:val="00D419B5"/>
    <w:rsid w:val="00D41BEC"/>
    <w:rsid w:val="00D41E2A"/>
    <w:rsid w:val="00D42E80"/>
    <w:rsid w:val="00D43376"/>
    <w:rsid w:val="00D4353B"/>
    <w:rsid w:val="00D43C86"/>
    <w:rsid w:val="00D440A2"/>
    <w:rsid w:val="00D441CF"/>
    <w:rsid w:val="00D442BD"/>
    <w:rsid w:val="00D446E0"/>
    <w:rsid w:val="00D453A7"/>
    <w:rsid w:val="00D455DF"/>
    <w:rsid w:val="00D45A12"/>
    <w:rsid w:val="00D45CA4"/>
    <w:rsid w:val="00D466B5"/>
    <w:rsid w:val="00D46811"/>
    <w:rsid w:val="00D46888"/>
    <w:rsid w:val="00D46B85"/>
    <w:rsid w:val="00D470B7"/>
    <w:rsid w:val="00D47892"/>
    <w:rsid w:val="00D47B74"/>
    <w:rsid w:val="00D47C5E"/>
    <w:rsid w:val="00D50473"/>
    <w:rsid w:val="00D50938"/>
    <w:rsid w:val="00D50DB0"/>
    <w:rsid w:val="00D5113D"/>
    <w:rsid w:val="00D511E3"/>
    <w:rsid w:val="00D51971"/>
    <w:rsid w:val="00D5280A"/>
    <w:rsid w:val="00D5384E"/>
    <w:rsid w:val="00D54886"/>
    <w:rsid w:val="00D54A3D"/>
    <w:rsid w:val="00D54F63"/>
    <w:rsid w:val="00D55296"/>
    <w:rsid w:val="00D5560F"/>
    <w:rsid w:val="00D559C3"/>
    <w:rsid w:val="00D55E59"/>
    <w:rsid w:val="00D56050"/>
    <w:rsid w:val="00D56253"/>
    <w:rsid w:val="00D56421"/>
    <w:rsid w:val="00D566A4"/>
    <w:rsid w:val="00D56D1C"/>
    <w:rsid w:val="00D572EC"/>
    <w:rsid w:val="00D574E2"/>
    <w:rsid w:val="00D5790F"/>
    <w:rsid w:val="00D60287"/>
    <w:rsid w:val="00D60472"/>
    <w:rsid w:val="00D60BA6"/>
    <w:rsid w:val="00D60C2A"/>
    <w:rsid w:val="00D61697"/>
    <w:rsid w:val="00D61F30"/>
    <w:rsid w:val="00D6205B"/>
    <w:rsid w:val="00D6233E"/>
    <w:rsid w:val="00D62451"/>
    <w:rsid w:val="00D62873"/>
    <w:rsid w:val="00D628CC"/>
    <w:rsid w:val="00D62D3F"/>
    <w:rsid w:val="00D6348E"/>
    <w:rsid w:val="00D63AA1"/>
    <w:rsid w:val="00D63BA5"/>
    <w:rsid w:val="00D63BED"/>
    <w:rsid w:val="00D63FF8"/>
    <w:rsid w:val="00D64846"/>
    <w:rsid w:val="00D648CA"/>
    <w:rsid w:val="00D649F2"/>
    <w:rsid w:val="00D64AE2"/>
    <w:rsid w:val="00D64C5B"/>
    <w:rsid w:val="00D651FE"/>
    <w:rsid w:val="00D6528E"/>
    <w:rsid w:val="00D65A1B"/>
    <w:rsid w:val="00D65F8B"/>
    <w:rsid w:val="00D66082"/>
    <w:rsid w:val="00D66474"/>
    <w:rsid w:val="00D66910"/>
    <w:rsid w:val="00D66A79"/>
    <w:rsid w:val="00D66EEE"/>
    <w:rsid w:val="00D67B4D"/>
    <w:rsid w:val="00D67C2A"/>
    <w:rsid w:val="00D70422"/>
    <w:rsid w:val="00D70815"/>
    <w:rsid w:val="00D70B57"/>
    <w:rsid w:val="00D70C43"/>
    <w:rsid w:val="00D7108B"/>
    <w:rsid w:val="00D710A8"/>
    <w:rsid w:val="00D7131A"/>
    <w:rsid w:val="00D713F5"/>
    <w:rsid w:val="00D71BC4"/>
    <w:rsid w:val="00D72547"/>
    <w:rsid w:val="00D72611"/>
    <w:rsid w:val="00D726C0"/>
    <w:rsid w:val="00D726E0"/>
    <w:rsid w:val="00D72F37"/>
    <w:rsid w:val="00D72F5D"/>
    <w:rsid w:val="00D732C8"/>
    <w:rsid w:val="00D7378E"/>
    <w:rsid w:val="00D73D81"/>
    <w:rsid w:val="00D7487C"/>
    <w:rsid w:val="00D749A8"/>
    <w:rsid w:val="00D749B6"/>
    <w:rsid w:val="00D75182"/>
    <w:rsid w:val="00D75644"/>
    <w:rsid w:val="00D759B1"/>
    <w:rsid w:val="00D761A6"/>
    <w:rsid w:val="00D7627B"/>
    <w:rsid w:val="00D763BD"/>
    <w:rsid w:val="00D7684F"/>
    <w:rsid w:val="00D80116"/>
    <w:rsid w:val="00D80D31"/>
    <w:rsid w:val="00D80DEF"/>
    <w:rsid w:val="00D80E19"/>
    <w:rsid w:val="00D8119B"/>
    <w:rsid w:val="00D8158B"/>
    <w:rsid w:val="00D81968"/>
    <w:rsid w:val="00D81D6D"/>
    <w:rsid w:val="00D82B5C"/>
    <w:rsid w:val="00D82CBF"/>
    <w:rsid w:val="00D832E3"/>
    <w:rsid w:val="00D833DC"/>
    <w:rsid w:val="00D834F5"/>
    <w:rsid w:val="00D83954"/>
    <w:rsid w:val="00D840E8"/>
    <w:rsid w:val="00D84153"/>
    <w:rsid w:val="00D843FD"/>
    <w:rsid w:val="00D84486"/>
    <w:rsid w:val="00D84E2C"/>
    <w:rsid w:val="00D85338"/>
    <w:rsid w:val="00D86018"/>
    <w:rsid w:val="00D866AE"/>
    <w:rsid w:val="00D86C12"/>
    <w:rsid w:val="00D87060"/>
    <w:rsid w:val="00D8741A"/>
    <w:rsid w:val="00D87557"/>
    <w:rsid w:val="00D87A9F"/>
    <w:rsid w:val="00D87EB2"/>
    <w:rsid w:val="00D901D8"/>
    <w:rsid w:val="00D90C98"/>
    <w:rsid w:val="00D90D65"/>
    <w:rsid w:val="00D9131F"/>
    <w:rsid w:val="00D919A4"/>
    <w:rsid w:val="00D91DCE"/>
    <w:rsid w:val="00D9243D"/>
    <w:rsid w:val="00D930F3"/>
    <w:rsid w:val="00D932AA"/>
    <w:rsid w:val="00D942F9"/>
    <w:rsid w:val="00D947C9"/>
    <w:rsid w:val="00D94897"/>
    <w:rsid w:val="00D94D9C"/>
    <w:rsid w:val="00D96BDC"/>
    <w:rsid w:val="00D97931"/>
    <w:rsid w:val="00D97995"/>
    <w:rsid w:val="00DA0A46"/>
    <w:rsid w:val="00DA0A6A"/>
    <w:rsid w:val="00DA0FEF"/>
    <w:rsid w:val="00DA12DD"/>
    <w:rsid w:val="00DA1CCD"/>
    <w:rsid w:val="00DA20CA"/>
    <w:rsid w:val="00DA2476"/>
    <w:rsid w:val="00DA260E"/>
    <w:rsid w:val="00DA2730"/>
    <w:rsid w:val="00DA2D30"/>
    <w:rsid w:val="00DA315E"/>
    <w:rsid w:val="00DA3352"/>
    <w:rsid w:val="00DA4AFD"/>
    <w:rsid w:val="00DA4B25"/>
    <w:rsid w:val="00DA4C12"/>
    <w:rsid w:val="00DA5C02"/>
    <w:rsid w:val="00DA6029"/>
    <w:rsid w:val="00DA6132"/>
    <w:rsid w:val="00DA6147"/>
    <w:rsid w:val="00DA633B"/>
    <w:rsid w:val="00DA66A3"/>
    <w:rsid w:val="00DA6F28"/>
    <w:rsid w:val="00DA7311"/>
    <w:rsid w:val="00DA731D"/>
    <w:rsid w:val="00DA7568"/>
    <w:rsid w:val="00DA7F1E"/>
    <w:rsid w:val="00DB03B2"/>
    <w:rsid w:val="00DB0B64"/>
    <w:rsid w:val="00DB0CE7"/>
    <w:rsid w:val="00DB0E8C"/>
    <w:rsid w:val="00DB186A"/>
    <w:rsid w:val="00DB1BB2"/>
    <w:rsid w:val="00DB1C05"/>
    <w:rsid w:val="00DB2043"/>
    <w:rsid w:val="00DB2653"/>
    <w:rsid w:val="00DB2B23"/>
    <w:rsid w:val="00DB2D96"/>
    <w:rsid w:val="00DB3034"/>
    <w:rsid w:val="00DB3070"/>
    <w:rsid w:val="00DB3233"/>
    <w:rsid w:val="00DB354E"/>
    <w:rsid w:val="00DB36AC"/>
    <w:rsid w:val="00DB3CFF"/>
    <w:rsid w:val="00DB403D"/>
    <w:rsid w:val="00DB4295"/>
    <w:rsid w:val="00DB4387"/>
    <w:rsid w:val="00DB4918"/>
    <w:rsid w:val="00DB498E"/>
    <w:rsid w:val="00DB4C96"/>
    <w:rsid w:val="00DB4E45"/>
    <w:rsid w:val="00DB510C"/>
    <w:rsid w:val="00DB5C69"/>
    <w:rsid w:val="00DB5D3A"/>
    <w:rsid w:val="00DB60BE"/>
    <w:rsid w:val="00DB6121"/>
    <w:rsid w:val="00DB63F8"/>
    <w:rsid w:val="00DB6425"/>
    <w:rsid w:val="00DB65F0"/>
    <w:rsid w:val="00DB7B04"/>
    <w:rsid w:val="00DB7BB4"/>
    <w:rsid w:val="00DB7ED4"/>
    <w:rsid w:val="00DC0596"/>
    <w:rsid w:val="00DC0A6E"/>
    <w:rsid w:val="00DC1358"/>
    <w:rsid w:val="00DC1830"/>
    <w:rsid w:val="00DC1AC1"/>
    <w:rsid w:val="00DC2961"/>
    <w:rsid w:val="00DC3DFA"/>
    <w:rsid w:val="00DC53E2"/>
    <w:rsid w:val="00DC55AD"/>
    <w:rsid w:val="00DC5601"/>
    <w:rsid w:val="00DC5792"/>
    <w:rsid w:val="00DC5890"/>
    <w:rsid w:val="00DC5A29"/>
    <w:rsid w:val="00DC65C6"/>
    <w:rsid w:val="00DC66C7"/>
    <w:rsid w:val="00DC6871"/>
    <w:rsid w:val="00DC7627"/>
    <w:rsid w:val="00DC7703"/>
    <w:rsid w:val="00DC78EC"/>
    <w:rsid w:val="00DC7F23"/>
    <w:rsid w:val="00DD0DA7"/>
    <w:rsid w:val="00DD11F1"/>
    <w:rsid w:val="00DD1338"/>
    <w:rsid w:val="00DD1732"/>
    <w:rsid w:val="00DD18FF"/>
    <w:rsid w:val="00DD1D53"/>
    <w:rsid w:val="00DD1F88"/>
    <w:rsid w:val="00DD1FE1"/>
    <w:rsid w:val="00DD3345"/>
    <w:rsid w:val="00DD35BD"/>
    <w:rsid w:val="00DD3735"/>
    <w:rsid w:val="00DD3FB4"/>
    <w:rsid w:val="00DD451D"/>
    <w:rsid w:val="00DD4CA9"/>
    <w:rsid w:val="00DD4F70"/>
    <w:rsid w:val="00DD5788"/>
    <w:rsid w:val="00DD5B41"/>
    <w:rsid w:val="00DD6388"/>
    <w:rsid w:val="00DD63E4"/>
    <w:rsid w:val="00DD6B74"/>
    <w:rsid w:val="00DD6C13"/>
    <w:rsid w:val="00DD73AC"/>
    <w:rsid w:val="00DD7AAC"/>
    <w:rsid w:val="00DD7F7A"/>
    <w:rsid w:val="00DE0185"/>
    <w:rsid w:val="00DE0598"/>
    <w:rsid w:val="00DE079E"/>
    <w:rsid w:val="00DE0CA7"/>
    <w:rsid w:val="00DE0DFD"/>
    <w:rsid w:val="00DE0E43"/>
    <w:rsid w:val="00DE10A3"/>
    <w:rsid w:val="00DE120F"/>
    <w:rsid w:val="00DE155A"/>
    <w:rsid w:val="00DE1796"/>
    <w:rsid w:val="00DE23BE"/>
    <w:rsid w:val="00DE247B"/>
    <w:rsid w:val="00DE2600"/>
    <w:rsid w:val="00DE33A2"/>
    <w:rsid w:val="00DE34EF"/>
    <w:rsid w:val="00DE3B00"/>
    <w:rsid w:val="00DE4C9D"/>
    <w:rsid w:val="00DE4D25"/>
    <w:rsid w:val="00DE5833"/>
    <w:rsid w:val="00DE5E79"/>
    <w:rsid w:val="00DE60A4"/>
    <w:rsid w:val="00DE62C8"/>
    <w:rsid w:val="00DE675A"/>
    <w:rsid w:val="00DE6E0C"/>
    <w:rsid w:val="00DE6EC4"/>
    <w:rsid w:val="00DE7F9C"/>
    <w:rsid w:val="00DF17EC"/>
    <w:rsid w:val="00DF2809"/>
    <w:rsid w:val="00DF2A70"/>
    <w:rsid w:val="00DF2D57"/>
    <w:rsid w:val="00DF34D1"/>
    <w:rsid w:val="00DF3CD4"/>
    <w:rsid w:val="00DF407A"/>
    <w:rsid w:val="00DF4571"/>
    <w:rsid w:val="00DF4798"/>
    <w:rsid w:val="00DF47D6"/>
    <w:rsid w:val="00DF4960"/>
    <w:rsid w:val="00DF5900"/>
    <w:rsid w:val="00DF5EEE"/>
    <w:rsid w:val="00DF620C"/>
    <w:rsid w:val="00DF7195"/>
    <w:rsid w:val="00DF71B2"/>
    <w:rsid w:val="00DF7687"/>
    <w:rsid w:val="00DF7CBF"/>
    <w:rsid w:val="00DF7E0D"/>
    <w:rsid w:val="00E00C73"/>
    <w:rsid w:val="00E00EB9"/>
    <w:rsid w:val="00E01BF6"/>
    <w:rsid w:val="00E02131"/>
    <w:rsid w:val="00E021AE"/>
    <w:rsid w:val="00E02E5D"/>
    <w:rsid w:val="00E03182"/>
    <w:rsid w:val="00E032BE"/>
    <w:rsid w:val="00E03712"/>
    <w:rsid w:val="00E03751"/>
    <w:rsid w:val="00E03B67"/>
    <w:rsid w:val="00E03DF0"/>
    <w:rsid w:val="00E048A2"/>
    <w:rsid w:val="00E04C9D"/>
    <w:rsid w:val="00E0507A"/>
    <w:rsid w:val="00E05C31"/>
    <w:rsid w:val="00E05F6E"/>
    <w:rsid w:val="00E06905"/>
    <w:rsid w:val="00E06A2B"/>
    <w:rsid w:val="00E06B6B"/>
    <w:rsid w:val="00E06F18"/>
    <w:rsid w:val="00E0764F"/>
    <w:rsid w:val="00E07809"/>
    <w:rsid w:val="00E1021A"/>
    <w:rsid w:val="00E10400"/>
    <w:rsid w:val="00E10445"/>
    <w:rsid w:val="00E107AA"/>
    <w:rsid w:val="00E11179"/>
    <w:rsid w:val="00E1225E"/>
    <w:rsid w:val="00E12575"/>
    <w:rsid w:val="00E12752"/>
    <w:rsid w:val="00E12820"/>
    <w:rsid w:val="00E1285D"/>
    <w:rsid w:val="00E12EA3"/>
    <w:rsid w:val="00E12F27"/>
    <w:rsid w:val="00E13010"/>
    <w:rsid w:val="00E13121"/>
    <w:rsid w:val="00E134C5"/>
    <w:rsid w:val="00E13772"/>
    <w:rsid w:val="00E13BB7"/>
    <w:rsid w:val="00E13EDC"/>
    <w:rsid w:val="00E13F35"/>
    <w:rsid w:val="00E14AC6"/>
    <w:rsid w:val="00E14FA0"/>
    <w:rsid w:val="00E15372"/>
    <w:rsid w:val="00E15859"/>
    <w:rsid w:val="00E15B30"/>
    <w:rsid w:val="00E16129"/>
    <w:rsid w:val="00E16F82"/>
    <w:rsid w:val="00E17B9E"/>
    <w:rsid w:val="00E17DDE"/>
    <w:rsid w:val="00E2043B"/>
    <w:rsid w:val="00E2059A"/>
    <w:rsid w:val="00E2076C"/>
    <w:rsid w:val="00E20935"/>
    <w:rsid w:val="00E20950"/>
    <w:rsid w:val="00E20B78"/>
    <w:rsid w:val="00E20CBE"/>
    <w:rsid w:val="00E2134A"/>
    <w:rsid w:val="00E21E76"/>
    <w:rsid w:val="00E21F2F"/>
    <w:rsid w:val="00E22064"/>
    <w:rsid w:val="00E220A4"/>
    <w:rsid w:val="00E22F28"/>
    <w:rsid w:val="00E230F7"/>
    <w:rsid w:val="00E2498F"/>
    <w:rsid w:val="00E24B35"/>
    <w:rsid w:val="00E24E10"/>
    <w:rsid w:val="00E25420"/>
    <w:rsid w:val="00E25AD0"/>
    <w:rsid w:val="00E261B7"/>
    <w:rsid w:val="00E26451"/>
    <w:rsid w:val="00E27335"/>
    <w:rsid w:val="00E27DD3"/>
    <w:rsid w:val="00E3020C"/>
    <w:rsid w:val="00E3034E"/>
    <w:rsid w:val="00E3073F"/>
    <w:rsid w:val="00E308E2"/>
    <w:rsid w:val="00E312B2"/>
    <w:rsid w:val="00E3143E"/>
    <w:rsid w:val="00E31715"/>
    <w:rsid w:val="00E32022"/>
    <w:rsid w:val="00E321B4"/>
    <w:rsid w:val="00E3330D"/>
    <w:rsid w:val="00E339B5"/>
    <w:rsid w:val="00E33CC1"/>
    <w:rsid w:val="00E3400C"/>
    <w:rsid w:val="00E34873"/>
    <w:rsid w:val="00E34928"/>
    <w:rsid w:val="00E34B00"/>
    <w:rsid w:val="00E355AC"/>
    <w:rsid w:val="00E35A16"/>
    <w:rsid w:val="00E35F24"/>
    <w:rsid w:val="00E36244"/>
    <w:rsid w:val="00E367BE"/>
    <w:rsid w:val="00E36FBE"/>
    <w:rsid w:val="00E37689"/>
    <w:rsid w:val="00E37B23"/>
    <w:rsid w:val="00E37BE3"/>
    <w:rsid w:val="00E37D9A"/>
    <w:rsid w:val="00E400C5"/>
    <w:rsid w:val="00E4027C"/>
    <w:rsid w:val="00E40AA2"/>
    <w:rsid w:val="00E411E4"/>
    <w:rsid w:val="00E41531"/>
    <w:rsid w:val="00E41DD7"/>
    <w:rsid w:val="00E430FA"/>
    <w:rsid w:val="00E4327F"/>
    <w:rsid w:val="00E43639"/>
    <w:rsid w:val="00E437A0"/>
    <w:rsid w:val="00E43AAA"/>
    <w:rsid w:val="00E43CCB"/>
    <w:rsid w:val="00E44583"/>
    <w:rsid w:val="00E44AAA"/>
    <w:rsid w:val="00E44E2F"/>
    <w:rsid w:val="00E4546B"/>
    <w:rsid w:val="00E457E2"/>
    <w:rsid w:val="00E458A7"/>
    <w:rsid w:val="00E45A28"/>
    <w:rsid w:val="00E4630B"/>
    <w:rsid w:val="00E463AB"/>
    <w:rsid w:val="00E46428"/>
    <w:rsid w:val="00E46676"/>
    <w:rsid w:val="00E46BA7"/>
    <w:rsid w:val="00E4722B"/>
    <w:rsid w:val="00E478FF"/>
    <w:rsid w:val="00E507ED"/>
    <w:rsid w:val="00E50AD5"/>
    <w:rsid w:val="00E50C4C"/>
    <w:rsid w:val="00E51B7F"/>
    <w:rsid w:val="00E51B98"/>
    <w:rsid w:val="00E523A5"/>
    <w:rsid w:val="00E5278A"/>
    <w:rsid w:val="00E52DB8"/>
    <w:rsid w:val="00E532F8"/>
    <w:rsid w:val="00E53452"/>
    <w:rsid w:val="00E5349D"/>
    <w:rsid w:val="00E53A28"/>
    <w:rsid w:val="00E53F3D"/>
    <w:rsid w:val="00E540DE"/>
    <w:rsid w:val="00E54170"/>
    <w:rsid w:val="00E5490E"/>
    <w:rsid w:val="00E549B3"/>
    <w:rsid w:val="00E54A0F"/>
    <w:rsid w:val="00E551B8"/>
    <w:rsid w:val="00E55214"/>
    <w:rsid w:val="00E563AA"/>
    <w:rsid w:val="00E564CC"/>
    <w:rsid w:val="00E56DED"/>
    <w:rsid w:val="00E56FE1"/>
    <w:rsid w:val="00E570FA"/>
    <w:rsid w:val="00E572B8"/>
    <w:rsid w:val="00E57C26"/>
    <w:rsid w:val="00E57E3B"/>
    <w:rsid w:val="00E57FF6"/>
    <w:rsid w:val="00E6127F"/>
    <w:rsid w:val="00E612AA"/>
    <w:rsid w:val="00E615A2"/>
    <w:rsid w:val="00E61A54"/>
    <w:rsid w:val="00E61AE8"/>
    <w:rsid w:val="00E61EDD"/>
    <w:rsid w:val="00E61F29"/>
    <w:rsid w:val="00E61FCB"/>
    <w:rsid w:val="00E62028"/>
    <w:rsid w:val="00E628AA"/>
    <w:rsid w:val="00E62986"/>
    <w:rsid w:val="00E62BEA"/>
    <w:rsid w:val="00E62F5A"/>
    <w:rsid w:val="00E63134"/>
    <w:rsid w:val="00E63569"/>
    <w:rsid w:val="00E64472"/>
    <w:rsid w:val="00E64E0E"/>
    <w:rsid w:val="00E6522E"/>
    <w:rsid w:val="00E65DAA"/>
    <w:rsid w:val="00E66032"/>
    <w:rsid w:val="00E661EE"/>
    <w:rsid w:val="00E6622A"/>
    <w:rsid w:val="00E6652A"/>
    <w:rsid w:val="00E66BAC"/>
    <w:rsid w:val="00E67149"/>
    <w:rsid w:val="00E67635"/>
    <w:rsid w:val="00E67D8E"/>
    <w:rsid w:val="00E705EA"/>
    <w:rsid w:val="00E7071D"/>
    <w:rsid w:val="00E70807"/>
    <w:rsid w:val="00E70E08"/>
    <w:rsid w:val="00E7101C"/>
    <w:rsid w:val="00E71173"/>
    <w:rsid w:val="00E7287F"/>
    <w:rsid w:val="00E731FA"/>
    <w:rsid w:val="00E7346A"/>
    <w:rsid w:val="00E735C4"/>
    <w:rsid w:val="00E736E2"/>
    <w:rsid w:val="00E73CA9"/>
    <w:rsid w:val="00E73DA3"/>
    <w:rsid w:val="00E7447D"/>
    <w:rsid w:val="00E74655"/>
    <w:rsid w:val="00E74EB8"/>
    <w:rsid w:val="00E75795"/>
    <w:rsid w:val="00E75801"/>
    <w:rsid w:val="00E7582B"/>
    <w:rsid w:val="00E75B20"/>
    <w:rsid w:val="00E75B7C"/>
    <w:rsid w:val="00E76A48"/>
    <w:rsid w:val="00E76BD9"/>
    <w:rsid w:val="00E775C5"/>
    <w:rsid w:val="00E805FF"/>
    <w:rsid w:val="00E8082F"/>
    <w:rsid w:val="00E808EF"/>
    <w:rsid w:val="00E80CFE"/>
    <w:rsid w:val="00E80F1F"/>
    <w:rsid w:val="00E80F5D"/>
    <w:rsid w:val="00E8127F"/>
    <w:rsid w:val="00E8159C"/>
    <w:rsid w:val="00E81F3A"/>
    <w:rsid w:val="00E81FCC"/>
    <w:rsid w:val="00E82004"/>
    <w:rsid w:val="00E8275C"/>
    <w:rsid w:val="00E831E0"/>
    <w:rsid w:val="00E8331D"/>
    <w:rsid w:val="00E8333E"/>
    <w:rsid w:val="00E8380D"/>
    <w:rsid w:val="00E83B4A"/>
    <w:rsid w:val="00E83C45"/>
    <w:rsid w:val="00E845C9"/>
    <w:rsid w:val="00E84679"/>
    <w:rsid w:val="00E8477B"/>
    <w:rsid w:val="00E84CAF"/>
    <w:rsid w:val="00E8523C"/>
    <w:rsid w:val="00E859D2"/>
    <w:rsid w:val="00E85A68"/>
    <w:rsid w:val="00E85CB8"/>
    <w:rsid w:val="00E871E4"/>
    <w:rsid w:val="00E87C3B"/>
    <w:rsid w:val="00E87E11"/>
    <w:rsid w:val="00E87EA0"/>
    <w:rsid w:val="00E902A0"/>
    <w:rsid w:val="00E903A7"/>
    <w:rsid w:val="00E90AC9"/>
    <w:rsid w:val="00E90C3D"/>
    <w:rsid w:val="00E90C93"/>
    <w:rsid w:val="00E91275"/>
    <w:rsid w:val="00E91427"/>
    <w:rsid w:val="00E91624"/>
    <w:rsid w:val="00E91CBC"/>
    <w:rsid w:val="00E920BE"/>
    <w:rsid w:val="00E927BA"/>
    <w:rsid w:val="00E9291C"/>
    <w:rsid w:val="00E92D86"/>
    <w:rsid w:val="00E935CE"/>
    <w:rsid w:val="00E936D3"/>
    <w:rsid w:val="00E93969"/>
    <w:rsid w:val="00E93DF4"/>
    <w:rsid w:val="00E94019"/>
    <w:rsid w:val="00E942C8"/>
    <w:rsid w:val="00E9430B"/>
    <w:rsid w:val="00E946B7"/>
    <w:rsid w:val="00E94730"/>
    <w:rsid w:val="00E9487F"/>
    <w:rsid w:val="00E94B45"/>
    <w:rsid w:val="00E94FB6"/>
    <w:rsid w:val="00E95190"/>
    <w:rsid w:val="00E952CF"/>
    <w:rsid w:val="00E95740"/>
    <w:rsid w:val="00E96134"/>
    <w:rsid w:val="00E9622D"/>
    <w:rsid w:val="00E96510"/>
    <w:rsid w:val="00E96AF0"/>
    <w:rsid w:val="00E979C1"/>
    <w:rsid w:val="00E97BEA"/>
    <w:rsid w:val="00EA01E5"/>
    <w:rsid w:val="00EA0242"/>
    <w:rsid w:val="00EA026E"/>
    <w:rsid w:val="00EA0742"/>
    <w:rsid w:val="00EA0ACB"/>
    <w:rsid w:val="00EA189A"/>
    <w:rsid w:val="00EA195A"/>
    <w:rsid w:val="00EA1AB0"/>
    <w:rsid w:val="00EA1CD2"/>
    <w:rsid w:val="00EA1EFF"/>
    <w:rsid w:val="00EA1FCE"/>
    <w:rsid w:val="00EA2284"/>
    <w:rsid w:val="00EA25C5"/>
    <w:rsid w:val="00EA2B81"/>
    <w:rsid w:val="00EA32EB"/>
    <w:rsid w:val="00EA3424"/>
    <w:rsid w:val="00EA3C24"/>
    <w:rsid w:val="00EA4359"/>
    <w:rsid w:val="00EA49CA"/>
    <w:rsid w:val="00EA4D84"/>
    <w:rsid w:val="00EA5C57"/>
    <w:rsid w:val="00EA607B"/>
    <w:rsid w:val="00EA6276"/>
    <w:rsid w:val="00EA62DD"/>
    <w:rsid w:val="00EA6495"/>
    <w:rsid w:val="00EA64E4"/>
    <w:rsid w:val="00EA6D84"/>
    <w:rsid w:val="00EA6EAB"/>
    <w:rsid w:val="00EA6F08"/>
    <w:rsid w:val="00EA7305"/>
    <w:rsid w:val="00EA7701"/>
    <w:rsid w:val="00EA791D"/>
    <w:rsid w:val="00EA7A8F"/>
    <w:rsid w:val="00EA7FEE"/>
    <w:rsid w:val="00EB150B"/>
    <w:rsid w:val="00EB2753"/>
    <w:rsid w:val="00EB2D0E"/>
    <w:rsid w:val="00EB4746"/>
    <w:rsid w:val="00EB4C35"/>
    <w:rsid w:val="00EB5684"/>
    <w:rsid w:val="00EB588B"/>
    <w:rsid w:val="00EB5C77"/>
    <w:rsid w:val="00EB6066"/>
    <w:rsid w:val="00EB6116"/>
    <w:rsid w:val="00EB61E7"/>
    <w:rsid w:val="00EB64E6"/>
    <w:rsid w:val="00EB65DF"/>
    <w:rsid w:val="00EB67D9"/>
    <w:rsid w:val="00EB70F1"/>
    <w:rsid w:val="00EB75C0"/>
    <w:rsid w:val="00EB7DB2"/>
    <w:rsid w:val="00EB7E67"/>
    <w:rsid w:val="00EB7F38"/>
    <w:rsid w:val="00EB7F93"/>
    <w:rsid w:val="00EC022D"/>
    <w:rsid w:val="00EC0676"/>
    <w:rsid w:val="00EC14D1"/>
    <w:rsid w:val="00EC1EBB"/>
    <w:rsid w:val="00EC204D"/>
    <w:rsid w:val="00EC2890"/>
    <w:rsid w:val="00EC2A25"/>
    <w:rsid w:val="00EC2FF4"/>
    <w:rsid w:val="00EC3027"/>
    <w:rsid w:val="00EC30A2"/>
    <w:rsid w:val="00EC33A7"/>
    <w:rsid w:val="00EC3777"/>
    <w:rsid w:val="00EC3B9C"/>
    <w:rsid w:val="00EC3F2A"/>
    <w:rsid w:val="00EC4039"/>
    <w:rsid w:val="00EC41A7"/>
    <w:rsid w:val="00EC514F"/>
    <w:rsid w:val="00EC52BC"/>
    <w:rsid w:val="00EC564B"/>
    <w:rsid w:val="00EC63E9"/>
    <w:rsid w:val="00EC7148"/>
    <w:rsid w:val="00EC755F"/>
    <w:rsid w:val="00EC75AA"/>
    <w:rsid w:val="00EC75C9"/>
    <w:rsid w:val="00EC77BA"/>
    <w:rsid w:val="00EC7DD8"/>
    <w:rsid w:val="00ED0028"/>
    <w:rsid w:val="00ED00C2"/>
    <w:rsid w:val="00ED00E8"/>
    <w:rsid w:val="00ED02DA"/>
    <w:rsid w:val="00ED0416"/>
    <w:rsid w:val="00ED04B8"/>
    <w:rsid w:val="00ED053C"/>
    <w:rsid w:val="00ED08CD"/>
    <w:rsid w:val="00ED0970"/>
    <w:rsid w:val="00ED09D1"/>
    <w:rsid w:val="00ED0B7D"/>
    <w:rsid w:val="00ED0C38"/>
    <w:rsid w:val="00ED1025"/>
    <w:rsid w:val="00ED1A56"/>
    <w:rsid w:val="00ED1E0F"/>
    <w:rsid w:val="00ED2422"/>
    <w:rsid w:val="00ED2C2B"/>
    <w:rsid w:val="00ED2DE9"/>
    <w:rsid w:val="00ED350A"/>
    <w:rsid w:val="00ED38E3"/>
    <w:rsid w:val="00ED52FE"/>
    <w:rsid w:val="00ED54DF"/>
    <w:rsid w:val="00ED590D"/>
    <w:rsid w:val="00ED5972"/>
    <w:rsid w:val="00ED5B34"/>
    <w:rsid w:val="00ED5F65"/>
    <w:rsid w:val="00ED66C0"/>
    <w:rsid w:val="00ED66EE"/>
    <w:rsid w:val="00ED70F5"/>
    <w:rsid w:val="00ED71CA"/>
    <w:rsid w:val="00ED7B9B"/>
    <w:rsid w:val="00EE0785"/>
    <w:rsid w:val="00EE11BF"/>
    <w:rsid w:val="00EE1349"/>
    <w:rsid w:val="00EE1A70"/>
    <w:rsid w:val="00EE1D43"/>
    <w:rsid w:val="00EE1DD9"/>
    <w:rsid w:val="00EE1E5A"/>
    <w:rsid w:val="00EE25E2"/>
    <w:rsid w:val="00EE2AC7"/>
    <w:rsid w:val="00EE2B94"/>
    <w:rsid w:val="00EE2FB2"/>
    <w:rsid w:val="00EE30AA"/>
    <w:rsid w:val="00EE32B3"/>
    <w:rsid w:val="00EE334F"/>
    <w:rsid w:val="00EE335F"/>
    <w:rsid w:val="00EE395F"/>
    <w:rsid w:val="00EE39B3"/>
    <w:rsid w:val="00EE3A58"/>
    <w:rsid w:val="00EE3E44"/>
    <w:rsid w:val="00EE449E"/>
    <w:rsid w:val="00EE4EF2"/>
    <w:rsid w:val="00EE5A51"/>
    <w:rsid w:val="00EE5F7B"/>
    <w:rsid w:val="00EE6A23"/>
    <w:rsid w:val="00EE6D45"/>
    <w:rsid w:val="00EE726D"/>
    <w:rsid w:val="00EE72B4"/>
    <w:rsid w:val="00EE7475"/>
    <w:rsid w:val="00EE74B7"/>
    <w:rsid w:val="00EE765D"/>
    <w:rsid w:val="00EE766D"/>
    <w:rsid w:val="00EE7DB0"/>
    <w:rsid w:val="00EF0112"/>
    <w:rsid w:val="00EF0D73"/>
    <w:rsid w:val="00EF102B"/>
    <w:rsid w:val="00EF1BD9"/>
    <w:rsid w:val="00EF20C4"/>
    <w:rsid w:val="00EF2806"/>
    <w:rsid w:val="00EF2925"/>
    <w:rsid w:val="00EF2A2B"/>
    <w:rsid w:val="00EF378E"/>
    <w:rsid w:val="00EF4158"/>
    <w:rsid w:val="00EF49CE"/>
    <w:rsid w:val="00EF4D42"/>
    <w:rsid w:val="00EF510B"/>
    <w:rsid w:val="00EF5483"/>
    <w:rsid w:val="00EF5892"/>
    <w:rsid w:val="00EF5A01"/>
    <w:rsid w:val="00EF5DEA"/>
    <w:rsid w:val="00EF60DA"/>
    <w:rsid w:val="00EF645D"/>
    <w:rsid w:val="00EF6720"/>
    <w:rsid w:val="00EF6885"/>
    <w:rsid w:val="00EF6AE6"/>
    <w:rsid w:val="00EF6CBD"/>
    <w:rsid w:val="00EF6CCA"/>
    <w:rsid w:val="00EF6E42"/>
    <w:rsid w:val="00EF71E8"/>
    <w:rsid w:val="00EF78A9"/>
    <w:rsid w:val="00EF7FBC"/>
    <w:rsid w:val="00F00406"/>
    <w:rsid w:val="00F00700"/>
    <w:rsid w:val="00F00F64"/>
    <w:rsid w:val="00F014CA"/>
    <w:rsid w:val="00F018B0"/>
    <w:rsid w:val="00F01BB6"/>
    <w:rsid w:val="00F021DC"/>
    <w:rsid w:val="00F02614"/>
    <w:rsid w:val="00F02653"/>
    <w:rsid w:val="00F02858"/>
    <w:rsid w:val="00F02C20"/>
    <w:rsid w:val="00F03A5C"/>
    <w:rsid w:val="00F03ADB"/>
    <w:rsid w:val="00F044E5"/>
    <w:rsid w:val="00F045B0"/>
    <w:rsid w:val="00F045D8"/>
    <w:rsid w:val="00F04A2E"/>
    <w:rsid w:val="00F04D87"/>
    <w:rsid w:val="00F04E40"/>
    <w:rsid w:val="00F05EAE"/>
    <w:rsid w:val="00F0610A"/>
    <w:rsid w:val="00F063F6"/>
    <w:rsid w:val="00F063FF"/>
    <w:rsid w:val="00F066E5"/>
    <w:rsid w:val="00F06F30"/>
    <w:rsid w:val="00F0735C"/>
    <w:rsid w:val="00F0759E"/>
    <w:rsid w:val="00F075A0"/>
    <w:rsid w:val="00F078C4"/>
    <w:rsid w:val="00F07A9D"/>
    <w:rsid w:val="00F07C5C"/>
    <w:rsid w:val="00F10391"/>
    <w:rsid w:val="00F1039A"/>
    <w:rsid w:val="00F10534"/>
    <w:rsid w:val="00F107BB"/>
    <w:rsid w:val="00F10997"/>
    <w:rsid w:val="00F10A3D"/>
    <w:rsid w:val="00F117BF"/>
    <w:rsid w:val="00F11845"/>
    <w:rsid w:val="00F12146"/>
    <w:rsid w:val="00F12DE9"/>
    <w:rsid w:val="00F13389"/>
    <w:rsid w:val="00F135CA"/>
    <w:rsid w:val="00F13770"/>
    <w:rsid w:val="00F13819"/>
    <w:rsid w:val="00F13EB3"/>
    <w:rsid w:val="00F141D9"/>
    <w:rsid w:val="00F146B2"/>
    <w:rsid w:val="00F146CB"/>
    <w:rsid w:val="00F14BE0"/>
    <w:rsid w:val="00F14D52"/>
    <w:rsid w:val="00F15643"/>
    <w:rsid w:val="00F169D7"/>
    <w:rsid w:val="00F16D7C"/>
    <w:rsid w:val="00F171F2"/>
    <w:rsid w:val="00F17357"/>
    <w:rsid w:val="00F17465"/>
    <w:rsid w:val="00F17A61"/>
    <w:rsid w:val="00F17B2F"/>
    <w:rsid w:val="00F17CD2"/>
    <w:rsid w:val="00F20301"/>
    <w:rsid w:val="00F20751"/>
    <w:rsid w:val="00F20D27"/>
    <w:rsid w:val="00F20E52"/>
    <w:rsid w:val="00F21554"/>
    <w:rsid w:val="00F218B5"/>
    <w:rsid w:val="00F21A92"/>
    <w:rsid w:val="00F21D1C"/>
    <w:rsid w:val="00F22029"/>
    <w:rsid w:val="00F221B2"/>
    <w:rsid w:val="00F2288F"/>
    <w:rsid w:val="00F228C8"/>
    <w:rsid w:val="00F23246"/>
    <w:rsid w:val="00F2467E"/>
    <w:rsid w:val="00F2487C"/>
    <w:rsid w:val="00F25026"/>
    <w:rsid w:val="00F2534D"/>
    <w:rsid w:val="00F25ABA"/>
    <w:rsid w:val="00F25FB7"/>
    <w:rsid w:val="00F2601D"/>
    <w:rsid w:val="00F263EB"/>
    <w:rsid w:val="00F26A26"/>
    <w:rsid w:val="00F27D62"/>
    <w:rsid w:val="00F300CD"/>
    <w:rsid w:val="00F306D9"/>
    <w:rsid w:val="00F314F6"/>
    <w:rsid w:val="00F3151A"/>
    <w:rsid w:val="00F31674"/>
    <w:rsid w:val="00F319E6"/>
    <w:rsid w:val="00F31C19"/>
    <w:rsid w:val="00F3254B"/>
    <w:rsid w:val="00F32D5B"/>
    <w:rsid w:val="00F331CA"/>
    <w:rsid w:val="00F33BD7"/>
    <w:rsid w:val="00F33FAB"/>
    <w:rsid w:val="00F34310"/>
    <w:rsid w:val="00F34630"/>
    <w:rsid w:val="00F34DBA"/>
    <w:rsid w:val="00F34F15"/>
    <w:rsid w:val="00F3524A"/>
    <w:rsid w:val="00F354FE"/>
    <w:rsid w:val="00F35EAC"/>
    <w:rsid w:val="00F36186"/>
    <w:rsid w:val="00F361FE"/>
    <w:rsid w:val="00F36299"/>
    <w:rsid w:val="00F36647"/>
    <w:rsid w:val="00F366FC"/>
    <w:rsid w:val="00F369CA"/>
    <w:rsid w:val="00F36C62"/>
    <w:rsid w:val="00F371AD"/>
    <w:rsid w:val="00F37931"/>
    <w:rsid w:val="00F37A1B"/>
    <w:rsid w:val="00F40258"/>
    <w:rsid w:val="00F40630"/>
    <w:rsid w:val="00F40DA7"/>
    <w:rsid w:val="00F4179A"/>
    <w:rsid w:val="00F418C3"/>
    <w:rsid w:val="00F42507"/>
    <w:rsid w:val="00F42553"/>
    <w:rsid w:val="00F4289F"/>
    <w:rsid w:val="00F42AAE"/>
    <w:rsid w:val="00F4304C"/>
    <w:rsid w:val="00F4341D"/>
    <w:rsid w:val="00F437C1"/>
    <w:rsid w:val="00F43827"/>
    <w:rsid w:val="00F43BAE"/>
    <w:rsid w:val="00F43DFD"/>
    <w:rsid w:val="00F43F83"/>
    <w:rsid w:val="00F440CC"/>
    <w:rsid w:val="00F444BC"/>
    <w:rsid w:val="00F44696"/>
    <w:rsid w:val="00F44AB5"/>
    <w:rsid w:val="00F44AF9"/>
    <w:rsid w:val="00F44E8D"/>
    <w:rsid w:val="00F45628"/>
    <w:rsid w:val="00F45A9C"/>
    <w:rsid w:val="00F45E31"/>
    <w:rsid w:val="00F45EF8"/>
    <w:rsid w:val="00F462FD"/>
    <w:rsid w:val="00F46358"/>
    <w:rsid w:val="00F4648F"/>
    <w:rsid w:val="00F468B3"/>
    <w:rsid w:val="00F46989"/>
    <w:rsid w:val="00F46DB6"/>
    <w:rsid w:val="00F46FD7"/>
    <w:rsid w:val="00F479F4"/>
    <w:rsid w:val="00F47BB3"/>
    <w:rsid w:val="00F47CFB"/>
    <w:rsid w:val="00F5078B"/>
    <w:rsid w:val="00F50961"/>
    <w:rsid w:val="00F511EB"/>
    <w:rsid w:val="00F51B29"/>
    <w:rsid w:val="00F51BBA"/>
    <w:rsid w:val="00F523EC"/>
    <w:rsid w:val="00F527E2"/>
    <w:rsid w:val="00F527E7"/>
    <w:rsid w:val="00F52EFC"/>
    <w:rsid w:val="00F531AB"/>
    <w:rsid w:val="00F53692"/>
    <w:rsid w:val="00F539E5"/>
    <w:rsid w:val="00F54071"/>
    <w:rsid w:val="00F5491E"/>
    <w:rsid w:val="00F54AB1"/>
    <w:rsid w:val="00F550A4"/>
    <w:rsid w:val="00F5510C"/>
    <w:rsid w:val="00F554B2"/>
    <w:rsid w:val="00F55F05"/>
    <w:rsid w:val="00F56294"/>
    <w:rsid w:val="00F563C2"/>
    <w:rsid w:val="00F56C73"/>
    <w:rsid w:val="00F57425"/>
    <w:rsid w:val="00F5770D"/>
    <w:rsid w:val="00F5776B"/>
    <w:rsid w:val="00F60586"/>
    <w:rsid w:val="00F60647"/>
    <w:rsid w:val="00F60A01"/>
    <w:rsid w:val="00F60A1C"/>
    <w:rsid w:val="00F61322"/>
    <w:rsid w:val="00F61398"/>
    <w:rsid w:val="00F61506"/>
    <w:rsid w:val="00F61701"/>
    <w:rsid w:val="00F618DA"/>
    <w:rsid w:val="00F61C72"/>
    <w:rsid w:val="00F61D3D"/>
    <w:rsid w:val="00F62C2B"/>
    <w:rsid w:val="00F62DC9"/>
    <w:rsid w:val="00F62FAF"/>
    <w:rsid w:val="00F63401"/>
    <w:rsid w:val="00F63B80"/>
    <w:rsid w:val="00F643E7"/>
    <w:rsid w:val="00F646FA"/>
    <w:rsid w:val="00F64775"/>
    <w:rsid w:val="00F64FF8"/>
    <w:rsid w:val="00F65223"/>
    <w:rsid w:val="00F65B20"/>
    <w:rsid w:val="00F65D77"/>
    <w:rsid w:val="00F660D1"/>
    <w:rsid w:val="00F6782D"/>
    <w:rsid w:val="00F6789B"/>
    <w:rsid w:val="00F67F32"/>
    <w:rsid w:val="00F70286"/>
    <w:rsid w:val="00F705D0"/>
    <w:rsid w:val="00F70857"/>
    <w:rsid w:val="00F70AB4"/>
    <w:rsid w:val="00F70D78"/>
    <w:rsid w:val="00F70EA1"/>
    <w:rsid w:val="00F70F66"/>
    <w:rsid w:val="00F711C6"/>
    <w:rsid w:val="00F71922"/>
    <w:rsid w:val="00F71AB8"/>
    <w:rsid w:val="00F7223A"/>
    <w:rsid w:val="00F7248A"/>
    <w:rsid w:val="00F72B2A"/>
    <w:rsid w:val="00F72F6C"/>
    <w:rsid w:val="00F73829"/>
    <w:rsid w:val="00F73ADF"/>
    <w:rsid w:val="00F744BA"/>
    <w:rsid w:val="00F748FC"/>
    <w:rsid w:val="00F74B00"/>
    <w:rsid w:val="00F75C7E"/>
    <w:rsid w:val="00F75DDF"/>
    <w:rsid w:val="00F762C4"/>
    <w:rsid w:val="00F7699C"/>
    <w:rsid w:val="00F76D99"/>
    <w:rsid w:val="00F774C7"/>
    <w:rsid w:val="00F80364"/>
    <w:rsid w:val="00F80AED"/>
    <w:rsid w:val="00F80B0F"/>
    <w:rsid w:val="00F80CE0"/>
    <w:rsid w:val="00F810AC"/>
    <w:rsid w:val="00F81458"/>
    <w:rsid w:val="00F81A41"/>
    <w:rsid w:val="00F81A44"/>
    <w:rsid w:val="00F82091"/>
    <w:rsid w:val="00F822BF"/>
    <w:rsid w:val="00F82382"/>
    <w:rsid w:val="00F826BF"/>
    <w:rsid w:val="00F82910"/>
    <w:rsid w:val="00F82ACC"/>
    <w:rsid w:val="00F82CD0"/>
    <w:rsid w:val="00F83277"/>
    <w:rsid w:val="00F83DAA"/>
    <w:rsid w:val="00F83FB9"/>
    <w:rsid w:val="00F84049"/>
    <w:rsid w:val="00F84218"/>
    <w:rsid w:val="00F8429B"/>
    <w:rsid w:val="00F84BEB"/>
    <w:rsid w:val="00F84DB7"/>
    <w:rsid w:val="00F84F21"/>
    <w:rsid w:val="00F85869"/>
    <w:rsid w:val="00F86ACD"/>
    <w:rsid w:val="00F86DF8"/>
    <w:rsid w:val="00F86EC0"/>
    <w:rsid w:val="00F86F76"/>
    <w:rsid w:val="00F87427"/>
    <w:rsid w:val="00F8799A"/>
    <w:rsid w:val="00F879B0"/>
    <w:rsid w:val="00F9018D"/>
    <w:rsid w:val="00F901AF"/>
    <w:rsid w:val="00F904A7"/>
    <w:rsid w:val="00F905CA"/>
    <w:rsid w:val="00F906E3"/>
    <w:rsid w:val="00F90B6E"/>
    <w:rsid w:val="00F90BDC"/>
    <w:rsid w:val="00F90D3D"/>
    <w:rsid w:val="00F910A0"/>
    <w:rsid w:val="00F91533"/>
    <w:rsid w:val="00F91630"/>
    <w:rsid w:val="00F92496"/>
    <w:rsid w:val="00F9354E"/>
    <w:rsid w:val="00F9380C"/>
    <w:rsid w:val="00F9411D"/>
    <w:rsid w:val="00F945F5"/>
    <w:rsid w:val="00F9588F"/>
    <w:rsid w:val="00F959C4"/>
    <w:rsid w:val="00F95A21"/>
    <w:rsid w:val="00F9671B"/>
    <w:rsid w:val="00F96A3B"/>
    <w:rsid w:val="00F97273"/>
    <w:rsid w:val="00F977E3"/>
    <w:rsid w:val="00FA0610"/>
    <w:rsid w:val="00FA0995"/>
    <w:rsid w:val="00FA09AE"/>
    <w:rsid w:val="00FA0C78"/>
    <w:rsid w:val="00FA1786"/>
    <w:rsid w:val="00FA181D"/>
    <w:rsid w:val="00FA19C1"/>
    <w:rsid w:val="00FA1A09"/>
    <w:rsid w:val="00FA1E24"/>
    <w:rsid w:val="00FA2317"/>
    <w:rsid w:val="00FA3F5E"/>
    <w:rsid w:val="00FA4D02"/>
    <w:rsid w:val="00FA4FC2"/>
    <w:rsid w:val="00FA5108"/>
    <w:rsid w:val="00FA512A"/>
    <w:rsid w:val="00FA54AC"/>
    <w:rsid w:val="00FA5636"/>
    <w:rsid w:val="00FA5E03"/>
    <w:rsid w:val="00FA5F1D"/>
    <w:rsid w:val="00FA7E2A"/>
    <w:rsid w:val="00FB01B2"/>
    <w:rsid w:val="00FB0A06"/>
    <w:rsid w:val="00FB127D"/>
    <w:rsid w:val="00FB1379"/>
    <w:rsid w:val="00FB1389"/>
    <w:rsid w:val="00FB147A"/>
    <w:rsid w:val="00FB148E"/>
    <w:rsid w:val="00FB244A"/>
    <w:rsid w:val="00FB2493"/>
    <w:rsid w:val="00FB2789"/>
    <w:rsid w:val="00FB2ABC"/>
    <w:rsid w:val="00FB2CE7"/>
    <w:rsid w:val="00FB2F88"/>
    <w:rsid w:val="00FB3401"/>
    <w:rsid w:val="00FB36B5"/>
    <w:rsid w:val="00FB37C4"/>
    <w:rsid w:val="00FB38B9"/>
    <w:rsid w:val="00FB3D58"/>
    <w:rsid w:val="00FB3DF1"/>
    <w:rsid w:val="00FB42DA"/>
    <w:rsid w:val="00FB438A"/>
    <w:rsid w:val="00FB4938"/>
    <w:rsid w:val="00FB545A"/>
    <w:rsid w:val="00FB590A"/>
    <w:rsid w:val="00FB5999"/>
    <w:rsid w:val="00FB5C05"/>
    <w:rsid w:val="00FB5D68"/>
    <w:rsid w:val="00FB5EC2"/>
    <w:rsid w:val="00FB62D9"/>
    <w:rsid w:val="00FB6698"/>
    <w:rsid w:val="00FB68D1"/>
    <w:rsid w:val="00FB6ABE"/>
    <w:rsid w:val="00FB6DC0"/>
    <w:rsid w:val="00FB7582"/>
    <w:rsid w:val="00FB77FC"/>
    <w:rsid w:val="00FB7F0A"/>
    <w:rsid w:val="00FC057E"/>
    <w:rsid w:val="00FC0AE4"/>
    <w:rsid w:val="00FC117B"/>
    <w:rsid w:val="00FC132F"/>
    <w:rsid w:val="00FC13EF"/>
    <w:rsid w:val="00FC15EC"/>
    <w:rsid w:val="00FC198E"/>
    <w:rsid w:val="00FC2BAE"/>
    <w:rsid w:val="00FC2F4D"/>
    <w:rsid w:val="00FC2F51"/>
    <w:rsid w:val="00FC39C3"/>
    <w:rsid w:val="00FC39F5"/>
    <w:rsid w:val="00FC3A71"/>
    <w:rsid w:val="00FC3CCD"/>
    <w:rsid w:val="00FC3D3B"/>
    <w:rsid w:val="00FC42AC"/>
    <w:rsid w:val="00FC4837"/>
    <w:rsid w:val="00FC4A11"/>
    <w:rsid w:val="00FC4CC8"/>
    <w:rsid w:val="00FC5058"/>
    <w:rsid w:val="00FC51FB"/>
    <w:rsid w:val="00FC5987"/>
    <w:rsid w:val="00FC5DA2"/>
    <w:rsid w:val="00FC61C0"/>
    <w:rsid w:val="00FC676B"/>
    <w:rsid w:val="00FC68BD"/>
    <w:rsid w:val="00FC71EF"/>
    <w:rsid w:val="00FC7317"/>
    <w:rsid w:val="00FC73BE"/>
    <w:rsid w:val="00FC7EBA"/>
    <w:rsid w:val="00FD01F4"/>
    <w:rsid w:val="00FD06D8"/>
    <w:rsid w:val="00FD0C34"/>
    <w:rsid w:val="00FD14D4"/>
    <w:rsid w:val="00FD21C0"/>
    <w:rsid w:val="00FD2BE3"/>
    <w:rsid w:val="00FD352E"/>
    <w:rsid w:val="00FD3A9B"/>
    <w:rsid w:val="00FD433F"/>
    <w:rsid w:val="00FD43C5"/>
    <w:rsid w:val="00FD4BE5"/>
    <w:rsid w:val="00FD4D69"/>
    <w:rsid w:val="00FD51DA"/>
    <w:rsid w:val="00FD5277"/>
    <w:rsid w:val="00FD54CD"/>
    <w:rsid w:val="00FD55AC"/>
    <w:rsid w:val="00FD5FB3"/>
    <w:rsid w:val="00FD6449"/>
    <w:rsid w:val="00FD6586"/>
    <w:rsid w:val="00FD6885"/>
    <w:rsid w:val="00FD6B13"/>
    <w:rsid w:val="00FD6CF5"/>
    <w:rsid w:val="00FD6E85"/>
    <w:rsid w:val="00FD71B1"/>
    <w:rsid w:val="00FD7431"/>
    <w:rsid w:val="00FD798F"/>
    <w:rsid w:val="00FD79A0"/>
    <w:rsid w:val="00FD7C28"/>
    <w:rsid w:val="00FE065B"/>
    <w:rsid w:val="00FE0F2F"/>
    <w:rsid w:val="00FE198B"/>
    <w:rsid w:val="00FE1D67"/>
    <w:rsid w:val="00FE1EDB"/>
    <w:rsid w:val="00FE2F58"/>
    <w:rsid w:val="00FE3D55"/>
    <w:rsid w:val="00FE4726"/>
    <w:rsid w:val="00FE4C98"/>
    <w:rsid w:val="00FE4D2C"/>
    <w:rsid w:val="00FE526B"/>
    <w:rsid w:val="00FE5604"/>
    <w:rsid w:val="00FE616A"/>
    <w:rsid w:val="00FE7047"/>
    <w:rsid w:val="00FE7442"/>
    <w:rsid w:val="00FE78FD"/>
    <w:rsid w:val="00FF09C9"/>
    <w:rsid w:val="00FF1297"/>
    <w:rsid w:val="00FF17E0"/>
    <w:rsid w:val="00FF19D6"/>
    <w:rsid w:val="00FF1A60"/>
    <w:rsid w:val="00FF1AD1"/>
    <w:rsid w:val="00FF1B74"/>
    <w:rsid w:val="00FF278C"/>
    <w:rsid w:val="00FF29BA"/>
    <w:rsid w:val="00FF29C2"/>
    <w:rsid w:val="00FF2B37"/>
    <w:rsid w:val="00FF2D92"/>
    <w:rsid w:val="00FF2FFF"/>
    <w:rsid w:val="00FF305C"/>
    <w:rsid w:val="00FF3361"/>
    <w:rsid w:val="00FF3530"/>
    <w:rsid w:val="00FF39B1"/>
    <w:rsid w:val="00FF3D08"/>
    <w:rsid w:val="00FF3D5D"/>
    <w:rsid w:val="00FF3FEF"/>
    <w:rsid w:val="00FF4FCF"/>
    <w:rsid w:val="00FF5133"/>
    <w:rsid w:val="00FF549E"/>
    <w:rsid w:val="00FF5817"/>
    <w:rsid w:val="00FF5DDA"/>
    <w:rsid w:val="00FF5F00"/>
    <w:rsid w:val="00FF7142"/>
    <w:rsid w:val="00FF7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4:docId w14:val="3B4F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1" w:qFormat="1"/>
    <w:lsdException w:name="heading 5" w:locked="1" w:semiHidden="1" w:uiPriority="10" w:unhideWhenUsed="1" w:qFormat="1"/>
    <w:lsdException w:name="heading 6" w:locked="1" w:semiHidden="1" w:uiPriority="11" w:unhideWhenUsed="1" w:qFormat="1"/>
    <w:lsdException w:name="heading 7" w:locked="1" w:semiHidden="1" w:uiPriority="9" w:unhideWhenUsed="1" w:qFormat="1"/>
    <w:lsdException w:name="heading 8" w:locked="1" w:semiHidden="1" w:uiPriority="9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99" w:unhideWhenUsed="1"/>
    <w:lsdException w:name="toc 5" w:locked="1" w:semiHidden="1" w:uiPriority="99" w:unhideWhenUsed="1"/>
    <w:lsdException w:name="toc 6" w:locked="1" w:semiHidden="1" w:uiPriority="99" w:unhideWhenUsed="1"/>
    <w:lsdException w:name="toc 7" w:locked="1" w:semiHidden="1" w:uiPriority="99" w:unhideWhenUsed="1"/>
    <w:lsdException w:name="toc 8" w:locked="1" w:semiHidden="1" w:uiPriority="99" w:unhideWhenUsed="1"/>
    <w:lsdException w:name="toc 9" w:locked="1"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iPriority="99"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DA1"/>
    <w:pPr>
      <w:spacing w:after="360" w:line="360" w:lineRule="auto"/>
      <w:jc w:val="both"/>
    </w:pPr>
    <w:rPr>
      <w:sz w:val="22"/>
      <w:lang w:eastAsia="en-US"/>
    </w:rPr>
  </w:style>
  <w:style w:type="paragraph" w:styleId="Heading1">
    <w:name w:val="heading 1"/>
    <w:aliases w:val="H1"/>
    <w:basedOn w:val="Normal"/>
    <w:next w:val="Normal"/>
    <w:link w:val="Heading1Char"/>
    <w:autoRedefine/>
    <w:uiPriority w:val="9"/>
    <w:qFormat/>
    <w:rsid w:val="00417F7C"/>
    <w:pPr>
      <w:keepNext/>
      <w:numPr>
        <w:numId w:val="43"/>
      </w:numPr>
      <w:tabs>
        <w:tab w:val="left" w:pos="709"/>
      </w:tabs>
      <w:spacing w:after="200" w:line="320" w:lineRule="exact"/>
      <w:ind w:hanging="720"/>
      <w:jc w:val="left"/>
      <w:outlineLvl w:val="0"/>
    </w:pPr>
    <w:rPr>
      <w:rFonts w:eastAsia="Times New Roman"/>
      <w:b/>
      <w:smallCaps/>
      <w:noProof/>
      <w:color w:val="4F6228"/>
      <w:spacing w:val="5"/>
      <w:sz w:val="40"/>
      <w:szCs w:val="40"/>
      <w:lang w:val="en-US" w:eastAsia="en-AU"/>
    </w:rPr>
  </w:style>
  <w:style w:type="paragraph" w:styleId="Heading2">
    <w:name w:val="heading 2"/>
    <w:aliases w:val="H2"/>
    <w:basedOn w:val="Normal"/>
    <w:next w:val="Normal"/>
    <w:link w:val="Heading2Char"/>
    <w:autoRedefine/>
    <w:uiPriority w:val="9"/>
    <w:qFormat/>
    <w:rsid w:val="00C506A3"/>
    <w:pPr>
      <w:keepNext/>
      <w:spacing w:before="240" w:after="60"/>
      <w:outlineLvl w:val="1"/>
    </w:pPr>
    <w:rPr>
      <w:b/>
      <w:bCs/>
      <w:iCs/>
      <w:color w:val="4F6228" w:themeColor="accent3" w:themeShade="80"/>
      <w:sz w:val="32"/>
      <w:szCs w:val="28"/>
    </w:rPr>
  </w:style>
  <w:style w:type="paragraph" w:styleId="Heading3">
    <w:name w:val="heading 3"/>
    <w:aliases w:val="H3"/>
    <w:basedOn w:val="Heading2"/>
    <w:next w:val="Normal"/>
    <w:link w:val="Heading3Char"/>
    <w:uiPriority w:val="9"/>
    <w:qFormat/>
    <w:rsid w:val="009C3C00"/>
    <w:pPr>
      <w:outlineLvl w:val="2"/>
    </w:pPr>
    <w:rPr>
      <w:bCs w:val="0"/>
      <w:sz w:val="24"/>
      <w:szCs w:val="26"/>
    </w:rPr>
  </w:style>
  <w:style w:type="paragraph" w:styleId="Heading4">
    <w:name w:val="heading 4"/>
    <w:aliases w:val="H4"/>
    <w:basedOn w:val="Normal"/>
    <w:next w:val="Normal"/>
    <w:link w:val="Heading4Char"/>
    <w:uiPriority w:val="1"/>
    <w:qFormat/>
    <w:rsid w:val="009375D5"/>
    <w:pPr>
      <w:keepNext/>
      <w:spacing w:before="240" w:after="60"/>
      <w:outlineLvl w:val="3"/>
    </w:pPr>
    <w:rPr>
      <w:b/>
      <w:bCs/>
      <w:i/>
      <w:szCs w:val="28"/>
    </w:rPr>
  </w:style>
  <w:style w:type="paragraph" w:styleId="Heading5">
    <w:name w:val="heading 5"/>
    <w:aliases w:val="H5"/>
    <w:basedOn w:val="Normal"/>
    <w:next w:val="Normal"/>
    <w:link w:val="Heading5Char"/>
    <w:uiPriority w:val="10"/>
    <w:unhideWhenUsed/>
    <w:qFormat/>
    <w:locked/>
    <w:rsid w:val="00847ACE"/>
    <w:pPr>
      <w:keepNext/>
      <w:keepLines/>
      <w:spacing w:before="200" w:after="0" w:line="240" w:lineRule="auto"/>
      <w:jc w:val="left"/>
      <w:outlineLvl w:val="4"/>
    </w:pPr>
    <w:rPr>
      <w:rFonts w:asciiTheme="minorHAnsi" w:eastAsiaTheme="majorEastAsia" w:hAnsiTheme="minorHAnsi" w:cstheme="majorBidi"/>
      <w:color w:val="243F60" w:themeColor="accent1" w:themeShade="7F"/>
      <w:kern w:val="28"/>
    </w:rPr>
  </w:style>
  <w:style w:type="paragraph" w:styleId="Heading6">
    <w:name w:val="heading 6"/>
    <w:aliases w:val="H6"/>
    <w:basedOn w:val="Normal"/>
    <w:next w:val="Normal"/>
    <w:link w:val="Heading6Char"/>
    <w:uiPriority w:val="11"/>
    <w:semiHidden/>
    <w:unhideWhenUsed/>
    <w:qFormat/>
    <w:locked/>
    <w:rsid w:val="00847ACE"/>
    <w:pPr>
      <w:keepNext/>
      <w:keepLines/>
      <w:spacing w:before="200" w:after="0" w:line="240" w:lineRule="auto"/>
      <w:jc w:val="left"/>
      <w:outlineLvl w:val="5"/>
    </w:pPr>
    <w:rPr>
      <w:rFonts w:asciiTheme="majorHAnsi" w:eastAsiaTheme="majorEastAsia" w:hAnsiTheme="majorHAnsi" w:cstheme="majorBidi"/>
      <w:i/>
      <w:iCs/>
      <w:color w:val="243F60" w:themeColor="accent1" w:themeShade="7F"/>
      <w:kern w:val="28"/>
    </w:rPr>
  </w:style>
  <w:style w:type="paragraph" w:styleId="Heading7">
    <w:name w:val="heading 7"/>
    <w:basedOn w:val="Normal"/>
    <w:next w:val="Normal"/>
    <w:link w:val="Heading7Char"/>
    <w:uiPriority w:val="9"/>
    <w:semiHidden/>
    <w:unhideWhenUsed/>
    <w:qFormat/>
    <w:locked/>
    <w:rsid w:val="00847ACE"/>
    <w:pPr>
      <w:keepNext/>
      <w:keepLines/>
      <w:spacing w:before="200" w:after="0" w:line="240" w:lineRule="auto"/>
      <w:ind w:left="1701"/>
      <w:jc w:val="left"/>
      <w:outlineLvl w:val="6"/>
    </w:pPr>
    <w:rPr>
      <w:rFonts w:asciiTheme="majorHAnsi" w:eastAsiaTheme="majorEastAsia" w:hAnsiTheme="majorHAnsi" w:cstheme="majorBidi"/>
      <w:i/>
      <w:iCs/>
      <w:color w:val="404040" w:themeColor="text1" w:themeTint="BF"/>
      <w:kern w:val="28"/>
    </w:rPr>
  </w:style>
  <w:style w:type="paragraph" w:styleId="Heading8">
    <w:name w:val="heading 8"/>
    <w:basedOn w:val="Normal"/>
    <w:next w:val="Normal"/>
    <w:link w:val="Heading8Char"/>
    <w:uiPriority w:val="99"/>
    <w:unhideWhenUsed/>
    <w:qFormat/>
    <w:locked/>
    <w:rsid w:val="00847ACE"/>
    <w:pPr>
      <w:keepNext/>
      <w:keepLines/>
      <w:spacing w:before="200" w:after="0" w:line="240" w:lineRule="auto"/>
      <w:ind w:left="1701"/>
      <w:jc w:val="left"/>
      <w:outlineLvl w:val="7"/>
    </w:pPr>
    <w:rPr>
      <w:rFonts w:asciiTheme="majorHAnsi" w:eastAsiaTheme="majorEastAsia" w:hAnsiTheme="majorHAnsi" w:cstheme="majorBidi"/>
      <w:color w:val="404040" w:themeColor="text1" w:themeTint="BF"/>
      <w:kern w:val="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uiPriority w:val="99"/>
    <w:rsid w:val="006D7617"/>
    <w:rPr>
      <w:rFonts w:eastAsia="Times New Roman"/>
    </w:rPr>
    <w:tblPr>
      <w:tblBorders>
        <w:top w:val="single" w:sz="4" w:space="0" w:color="auto"/>
        <w:bottom w:val="single" w:sz="4" w:space="0" w:color="auto"/>
      </w:tblBorders>
      <w:tblCellMar>
        <w:top w:w="0" w:type="dxa"/>
        <w:left w:w="108" w:type="dxa"/>
        <w:bottom w:w="0" w:type="dxa"/>
        <w:right w:w="108" w:type="dxa"/>
      </w:tblCellMar>
    </w:tblPr>
  </w:style>
  <w:style w:type="character" w:customStyle="1" w:styleId="Heading1Char">
    <w:name w:val="Heading 1 Char"/>
    <w:aliases w:val="H1 Char"/>
    <w:basedOn w:val="DefaultParagraphFont"/>
    <w:link w:val="Heading1"/>
    <w:uiPriority w:val="9"/>
    <w:locked/>
    <w:rsid w:val="00417F7C"/>
    <w:rPr>
      <w:rFonts w:eastAsia="Times New Roman"/>
      <w:b/>
      <w:smallCaps/>
      <w:noProof/>
      <w:color w:val="4F6228"/>
      <w:spacing w:val="5"/>
      <w:sz w:val="40"/>
      <w:szCs w:val="40"/>
      <w:lang w:val="en-US"/>
    </w:rPr>
  </w:style>
  <w:style w:type="character" w:customStyle="1" w:styleId="Heading2Char">
    <w:name w:val="Heading 2 Char"/>
    <w:aliases w:val="H2 Char"/>
    <w:basedOn w:val="DefaultParagraphFont"/>
    <w:link w:val="Heading2"/>
    <w:uiPriority w:val="9"/>
    <w:locked/>
    <w:rsid w:val="00C506A3"/>
    <w:rPr>
      <w:b/>
      <w:bCs/>
      <w:iCs/>
      <w:color w:val="4F6228" w:themeColor="accent3" w:themeShade="80"/>
      <w:sz w:val="32"/>
      <w:szCs w:val="28"/>
    </w:rPr>
  </w:style>
  <w:style w:type="character" w:customStyle="1" w:styleId="Heading3Char">
    <w:name w:val="Heading 3 Char"/>
    <w:aliases w:val="H3 Char"/>
    <w:basedOn w:val="DefaultParagraphFont"/>
    <w:link w:val="Heading3"/>
    <w:uiPriority w:val="9"/>
    <w:locked/>
    <w:rsid w:val="009C3C00"/>
    <w:rPr>
      <w:rFonts w:eastAsia="Times New Roman" w:cs="Times New Roman"/>
      <w:b/>
      <w:iCs/>
      <w:sz w:val="26"/>
      <w:szCs w:val="26"/>
      <w:lang w:eastAsia="en-US"/>
    </w:rPr>
  </w:style>
  <w:style w:type="paragraph" w:styleId="Header">
    <w:name w:val="header"/>
    <w:basedOn w:val="Normal"/>
    <w:link w:val="HeaderChar"/>
    <w:uiPriority w:val="99"/>
    <w:rsid w:val="003D4358"/>
    <w:pPr>
      <w:tabs>
        <w:tab w:val="center" w:pos="4513"/>
        <w:tab w:val="right" w:pos="9026"/>
      </w:tabs>
    </w:pPr>
  </w:style>
  <w:style w:type="character" w:customStyle="1" w:styleId="HeaderChar">
    <w:name w:val="Header Char"/>
    <w:basedOn w:val="DefaultParagraphFont"/>
    <w:link w:val="Header"/>
    <w:uiPriority w:val="99"/>
    <w:locked/>
    <w:rsid w:val="003D4358"/>
    <w:rPr>
      <w:rFonts w:eastAsia="Times New Roman" w:cs="Times New Roman"/>
      <w:sz w:val="20"/>
      <w:szCs w:val="20"/>
    </w:rPr>
  </w:style>
  <w:style w:type="paragraph" w:styleId="Footer">
    <w:name w:val="footer"/>
    <w:basedOn w:val="Normal"/>
    <w:link w:val="FooterChar"/>
    <w:uiPriority w:val="99"/>
    <w:rsid w:val="003D4358"/>
    <w:pPr>
      <w:tabs>
        <w:tab w:val="center" w:pos="4513"/>
        <w:tab w:val="right" w:pos="9026"/>
      </w:tabs>
    </w:pPr>
  </w:style>
  <w:style w:type="character" w:customStyle="1" w:styleId="FooterChar">
    <w:name w:val="Footer Char"/>
    <w:basedOn w:val="DefaultParagraphFont"/>
    <w:link w:val="Footer"/>
    <w:uiPriority w:val="99"/>
    <w:locked/>
    <w:rsid w:val="003D4358"/>
    <w:rPr>
      <w:rFonts w:eastAsia="Times New Roman" w:cs="Times New Roman"/>
      <w:sz w:val="20"/>
      <w:szCs w:val="20"/>
    </w:rPr>
  </w:style>
  <w:style w:type="paragraph" w:styleId="BalloonText">
    <w:name w:val="Balloon Text"/>
    <w:basedOn w:val="Normal"/>
    <w:link w:val="BalloonTextChar"/>
    <w:uiPriority w:val="99"/>
    <w:semiHidden/>
    <w:rsid w:val="003D4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4358"/>
    <w:rPr>
      <w:rFonts w:ascii="Tahoma" w:hAnsi="Tahoma" w:cs="Tahoma"/>
      <w:sz w:val="16"/>
      <w:szCs w:val="16"/>
    </w:rPr>
  </w:style>
  <w:style w:type="paragraph" w:styleId="BodyText">
    <w:name w:val="Body Text"/>
    <w:basedOn w:val="Normal"/>
    <w:link w:val="BodyTextChar"/>
    <w:qFormat/>
    <w:rsid w:val="00A15430"/>
    <w:pPr>
      <w:spacing w:after="0"/>
    </w:pPr>
    <w:rPr>
      <w:rFonts w:ascii="Arial" w:hAnsi="Arial"/>
      <w:sz w:val="24"/>
      <w:szCs w:val="24"/>
      <w:lang w:val="en-US"/>
    </w:rPr>
  </w:style>
  <w:style w:type="character" w:customStyle="1" w:styleId="BodyTextChar">
    <w:name w:val="Body Text Char"/>
    <w:basedOn w:val="DefaultParagraphFont"/>
    <w:link w:val="BodyText"/>
    <w:locked/>
    <w:rsid w:val="00A15430"/>
    <w:rPr>
      <w:rFonts w:ascii="Arial" w:hAnsi="Arial" w:cs="Times New Roman"/>
      <w:sz w:val="24"/>
      <w:szCs w:val="24"/>
      <w:lang w:val="en-US" w:eastAsia="en-US"/>
    </w:rPr>
  </w:style>
  <w:style w:type="paragraph" w:styleId="Caption">
    <w:name w:val="caption"/>
    <w:aliases w:val="CDM B/Caption,Table Caption,TABLE,Char,Item"/>
    <w:basedOn w:val="Normal"/>
    <w:next w:val="Normal"/>
    <w:qFormat/>
    <w:rsid w:val="00302051"/>
    <w:pPr>
      <w:keepLines/>
      <w:spacing w:before="240" w:after="120" w:line="240" w:lineRule="auto"/>
      <w:jc w:val="left"/>
    </w:pPr>
    <w:rPr>
      <w:rFonts w:cs="Arial"/>
      <w:bCs/>
      <w:sz w:val="20"/>
      <w:lang w:val="en-US"/>
    </w:rPr>
  </w:style>
  <w:style w:type="table" w:styleId="TableGrid">
    <w:name w:val="Table Grid"/>
    <w:basedOn w:val="TableNormal"/>
    <w:uiPriority w:val="59"/>
    <w:rsid w:val="006E05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aliases w:val="H4 Char"/>
    <w:basedOn w:val="DefaultParagraphFont"/>
    <w:link w:val="Heading4"/>
    <w:uiPriority w:val="1"/>
    <w:locked/>
    <w:rsid w:val="009375D5"/>
    <w:rPr>
      <w:rFonts w:eastAsia="Times New Roman" w:cs="Times New Roman"/>
      <w:b/>
      <w:bCs/>
      <w:i/>
      <w:sz w:val="28"/>
      <w:szCs w:val="28"/>
      <w:lang w:eastAsia="en-US"/>
    </w:rPr>
  </w:style>
  <w:style w:type="paragraph" w:styleId="IntenseQuote">
    <w:name w:val="Intense Quote"/>
    <w:basedOn w:val="Normal"/>
    <w:next w:val="Normal"/>
    <w:link w:val="IntenseQuoteChar"/>
    <w:uiPriority w:val="99"/>
    <w:qFormat/>
    <w:rsid w:val="00AB2C6A"/>
    <w:pPr>
      <w:numPr>
        <w:ilvl w:val="1"/>
        <w:numId w:val="5"/>
      </w:numPr>
      <w:pBdr>
        <w:bottom w:val="single" w:sz="4" w:space="4" w:color="4F81BD"/>
      </w:pBdr>
      <w:spacing w:before="200" w:after="280"/>
      <w:ind w:right="936"/>
    </w:pPr>
    <w:rPr>
      <w:b/>
      <w:bCs/>
      <w:i/>
      <w:iCs/>
      <w:color w:val="4F81BD"/>
    </w:rPr>
  </w:style>
  <w:style w:type="character" w:customStyle="1" w:styleId="IntenseQuoteChar">
    <w:name w:val="Intense Quote Char"/>
    <w:basedOn w:val="DefaultParagraphFont"/>
    <w:link w:val="IntenseQuote"/>
    <w:uiPriority w:val="99"/>
    <w:locked/>
    <w:rsid w:val="00AB2C6A"/>
    <w:rPr>
      <w:b/>
      <w:bCs/>
      <w:i/>
      <w:iCs/>
      <w:color w:val="4F81BD"/>
      <w:sz w:val="22"/>
      <w:lang w:eastAsia="en-US"/>
    </w:rPr>
  </w:style>
  <w:style w:type="character" w:styleId="IntenseReference">
    <w:name w:val="Intense Reference"/>
    <w:basedOn w:val="DefaultParagraphFont"/>
    <w:uiPriority w:val="99"/>
    <w:qFormat/>
    <w:rsid w:val="007C6EB7"/>
    <w:rPr>
      <w:rFonts w:cs="Times New Roman"/>
      <w:b/>
      <w:bCs/>
      <w:smallCaps/>
      <w:color w:val="C0504D"/>
      <w:spacing w:val="5"/>
      <w:u w:val="single"/>
    </w:rPr>
  </w:style>
  <w:style w:type="table" w:customStyle="1" w:styleId="LightList-Accent31">
    <w:name w:val="Light List - Accent 31"/>
    <w:uiPriority w:val="99"/>
    <w:rsid w:val="006C39DD"/>
    <w:pPr>
      <w:numPr>
        <w:ilvl w:val="4"/>
        <w:numId w:val="5"/>
      </w:numPr>
    </w:pPr>
    <w:rPr>
      <w:rFonts w:eastAsia="Times New Roman"/>
      <w:color w:val="FFFFFF"/>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styleId="CommentReference">
    <w:name w:val="annotation reference"/>
    <w:basedOn w:val="DefaultParagraphFont"/>
    <w:uiPriority w:val="99"/>
    <w:rsid w:val="003509D2"/>
    <w:rPr>
      <w:rFonts w:cs="Times New Roman"/>
      <w:sz w:val="16"/>
      <w:szCs w:val="16"/>
    </w:rPr>
  </w:style>
  <w:style w:type="paragraph" w:styleId="CommentText">
    <w:name w:val="annotation text"/>
    <w:basedOn w:val="Normal"/>
    <w:link w:val="CommentTextChar"/>
    <w:uiPriority w:val="99"/>
    <w:rsid w:val="003509D2"/>
    <w:pPr>
      <w:spacing w:after="0"/>
    </w:pPr>
    <w:rPr>
      <w:rFonts w:ascii="Arial" w:hAnsi="Arial" w:cs="Arial"/>
      <w:sz w:val="20"/>
      <w:lang w:val="en-US"/>
    </w:rPr>
  </w:style>
  <w:style w:type="character" w:customStyle="1" w:styleId="CommentTextChar">
    <w:name w:val="Comment Text Char"/>
    <w:basedOn w:val="DefaultParagraphFont"/>
    <w:link w:val="CommentText"/>
    <w:uiPriority w:val="99"/>
    <w:locked/>
    <w:rsid w:val="003509D2"/>
    <w:rPr>
      <w:rFonts w:ascii="Arial" w:hAnsi="Arial" w:cs="Arial"/>
      <w:lang w:val="en-US" w:eastAsia="en-US"/>
    </w:rPr>
  </w:style>
  <w:style w:type="paragraph" w:styleId="NoSpacing">
    <w:name w:val="No Spacing"/>
    <w:aliases w:val="box text"/>
    <w:link w:val="NoSpacingChar"/>
    <w:uiPriority w:val="1"/>
    <w:qFormat/>
    <w:rsid w:val="004F2960"/>
    <w:pPr>
      <w:jc w:val="both"/>
    </w:pPr>
    <w:rPr>
      <w:sz w:val="22"/>
      <w:lang w:eastAsia="en-US"/>
    </w:rPr>
  </w:style>
  <w:style w:type="paragraph" w:styleId="PlainText">
    <w:name w:val="Plain Text"/>
    <w:basedOn w:val="Normal"/>
    <w:link w:val="PlainTextChar"/>
    <w:uiPriority w:val="99"/>
    <w:rsid w:val="004B7700"/>
    <w:pPr>
      <w:spacing w:after="0" w:line="240" w:lineRule="auto"/>
      <w:jc w:val="left"/>
    </w:pPr>
    <w:rPr>
      <w:rFonts w:ascii="Courier New" w:hAnsi="Courier New" w:cs="Courier New"/>
      <w:sz w:val="20"/>
      <w:lang w:val="en-US"/>
    </w:rPr>
  </w:style>
  <w:style w:type="character" w:customStyle="1" w:styleId="PlainTextChar">
    <w:name w:val="Plain Text Char"/>
    <w:basedOn w:val="DefaultParagraphFont"/>
    <w:link w:val="PlainText"/>
    <w:uiPriority w:val="99"/>
    <w:locked/>
    <w:rsid w:val="004B7700"/>
    <w:rPr>
      <w:rFonts w:ascii="Courier New" w:hAnsi="Courier New" w:cs="Courier New"/>
      <w:lang w:val="en-US" w:eastAsia="en-US"/>
    </w:rPr>
  </w:style>
  <w:style w:type="paragraph" w:styleId="ListParagraph">
    <w:name w:val="List Paragraph"/>
    <w:aliases w:val="table text"/>
    <w:basedOn w:val="Normal"/>
    <w:link w:val="ListParagraphChar"/>
    <w:uiPriority w:val="34"/>
    <w:qFormat/>
    <w:rsid w:val="00663386"/>
    <w:pPr>
      <w:ind w:left="720"/>
    </w:pPr>
  </w:style>
  <w:style w:type="paragraph" w:styleId="FootnoteText">
    <w:name w:val="footnote text"/>
    <w:basedOn w:val="Normal"/>
    <w:link w:val="FootnoteTextChar"/>
    <w:uiPriority w:val="99"/>
    <w:rsid w:val="00D2000C"/>
    <w:pPr>
      <w:spacing w:after="0" w:line="240" w:lineRule="auto"/>
    </w:pPr>
    <w:rPr>
      <w:sz w:val="20"/>
    </w:rPr>
  </w:style>
  <w:style w:type="character" w:customStyle="1" w:styleId="FootnoteTextChar">
    <w:name w:val="Footnote Text Char"/>
    <w:basedOn w:val="DefaultParagraphFont"/>
    <w:link w:val="FootnoteText"/>
    <w:uiPriority w:val="99"/>
    <w:locked/>
    <w:rsid w:val="00D2000C"/>
    <w:rPr>
      <w:rFonts w:eastAsia="Times New Roman" w:cs="Times New Roman"/>
      <w:lang w:eastAsia="en-US"/>
    </w:rPr>
  </w:style>
  <w:style w:type="character" w:styleId="FootnoteReference">
    <w:name w:val="footnote reference"/>
    <w:basedOn w:val="DefaultParagraphFont"/>
    <w:uiPriority w:val="99"/>
    <w:rsid w:val="00D2000C"/>
    <w:rPr>
      <w:rFonts w:cs="Times New Roman"/>
      <w:vertAlign w:val="superscript"/>
    </w:rPr>
  </w:style>
  <w:style w:type="character" w:styleId="Emphasis">
    <w:name w:val="Emphasis"/>
    <w:basedOn w:val="DefaultParagraphFont"/>
    <w:uiPriority w:val="20"/>
    <w:qFormat/>
    <w:rsid w:val="004535F2"/>
    <w:rPr>
      <w:rFonts w:cs="Times New Roman"/>
      <w:i/>
      <w:iCs/>
    </w:rPr>
  </w:style>
  <w:style w:type="paragraph" w:customStyle="1" w:styleId="Default">
    <w:name w:val="Default"/>
    <w:rsid w:val="006C6D14"/>
    <w:pPr>
      <w:autoSpaceDE w:val="0"/>
      <w:autoSpaceDN w:val="0"/>
      <w:adjustRightInd w:val="0"/>
    </w:pPr>
    <w:rPr>
      <w:rFonts w:ascii="Arial" w:eastAsia="Times New Roman" w:hAnsi="Arial" w:cs="Arial"/>
      <w:color w:val="000000"/>
      <w:sz w:val="24"/>
      <w:szCs w:val="24"/>
    </w:rPr>
  </w:style>
  <w:style w:type="paragraph" w:styleId="CommentSubject">
    <w:name w:val="annotation subject"/>
    <w:basedOn w:val="CommentText"/>
    <w:next w:val="CommentText"/>
    <w:link w:val="CommentSubjectChar"/>
    <w:uiPriority w:val="99"/>
    <w:semiHidden/>
    <w:rsid w:val="006C6D14"/>
    <w:pPr>
      <w:spacing w:after="200"/>
    </w:pPr>
    <w:rPr>
      <w:rFonts w:ascii="Calibri" w:hAnsi="Calibri" w:cs="Calibri"/>
      <w:b/>
      <w:bCs/>
      <w:lang w:val="en-AU"/>
    </w:rPr>
  </w:style>
  <w:style w:type="character" w:customStyle="1" w:styleId="CommentSubjectChar">
    <w:name w:val="Comment Subject Char"/>
    <w:basedOn w:val="CommentTextChar"/>
    <w:link w:val="CommentSubject"/>
    <w:uiPriority w:val="99"/>
    <w:semiHidden/>
    <w:locked/>
    <w:rsid w:val="006C6D14"/>
    <w:rPr>
      <w:rFonts w:ascii="Arial" w:hAnsi="Arial" w:cs="Calibri"/>
      <w:b/>
      <w:bCs/>
      <w:lang w:val="en-US" w:eastAsia="en-US"/>
    </w:rPr>
  </w:style>
  <w:style w:type="character" w:styleId="Hyperlink">
    <w:name w:val="Hyperlink"/>
    <w:basedOn w:val="DefaultParagraphFont"/>
    <w:uiPriority w:val="99"/>
    <w:rsid w:val="006C6D14"/>
    <w:rPr>
      <w:rFonts w:cs="Times New Roman"/>
      <w:color w:val="0000CC"/>
      <w:u w:val="single"/>
    </w:rPr>
  </w:style>
  <w:style w:type="paragraph" w:customStyle="1" w:styleId="MurrumH1">
    <w:name w:val="MurrumH1"/>
    <w:basedOn w:val="Heading1"/>
    <w:autoRedefine/>
    <w:uiPriority w:val="99"/>
    <w:rsid w:val="00C624FA"/>
    <w:rPr>
      <w:sz w:val="36"/>
      <w:szCs w:val="36"/>
    </w:rPr>
  </w:style>
  <w:style w:type="paragraph" w:customStyle="1" w:styleId="MurrumH2">
    <w:name w:val="MurrumH2"/>
    <w:basedOn w:val="Heading2"/>
    <w:uiPriority w:val="99"/>
    <w:rsid w:val="000E15F6"/>
    <w:pPr>
      <w:numPr>
        <w:ilvl w:val="1"/>
        <w:numId w:val="3"/>
      </w:numPr>
      <w:jc w:val="left"/>
    </w:pPr>
    <w:rPr>
      <w:color w:val="4F6228"/>
      <w:lang w:val="en-US"/>
    </w:rPr>
  </w:style>
  <w:style w:type="paragraph" w:customStyle="1" w:styleId="MurrumH3">
    <w:name w:val="MurrumH3"/>
    <w:basedOn w:val="Heading3"/>
    <w:link w:val="MurrumH3Char"/>
    <w:uiPriority w:val="99"/>
    <w:rsid w:val="000E15F6"/>
    <w:pPr>
      <w:numPr>
        <w:ilvl w:val="2"/>
        <w:numId w:val="3"/>
      </w:numPr>
      <w:spacing w:after="240"/>
    </w:pPr>
    <w:rPr>
      <w:color w:val="4F6228"/>
    </w:rPr>
  </w:style>
  <w:style w:type="paragraph" w:customStyle="1" w:styleId="Figure">
    <w:name w:val="Figure"/>
    <w:basedOn w:val="Normal"/>
    <w:link w:val="FigureChar"/>
    <w:uiPriority w:val="99"/>
    <w:rsid w:val="00634743"/>
    <w:pPr>
      <w:keepNext/>
      <w:spacing w:after="0"/>
      <w:jc w:val="center"/>
    </w:pPr>
    <w:rPr>
      <w:noProof/>
      <w:lang w:eastAsia="en-AU"/>
    </w:rPr>
  </w:style>
  <w:style w:type="character" w:customStyle="1" w:styleId="MurrumH3Char">
    <w:name w:val="MurrumH3 Char"/>
    <w:basedOn w:val="Heading2Char"/>
    <w:link w:val="MurrumH3"/>
    <w:uiPriority w:val="99"/>
    <w:locked/>
    <w:rsid w:val="000E15F6"/>
    <w:rPr>
      <w:b/>
      <w:bCs w:val="0"/>
      <w:iCs/>
      <w:color w:val="4F6228"/>
      <w:sz w:val="24"/>
      <w:szCs w:val="26"/>
      <w:lang w:eastAsia="en-US"/>
    </w:rPr>
  </w:style>
  <w:style w:type="character" w:customStyle="1" w:styleId="FigureChar">
    <w:name w:val="Figure Char"/>
    <w:aliases w:val="Caption Char,CDM B/Caption Char,Table Caption Char,TABLE Char,Char Char,Item Char"/>
    <w:basedOn w:val="DefaultParagraphFont"/>
    <w:link w:val="Figure"/>
    <w:locked/>
    <w:rsid w:val="00634743"/>
    <w:rPr>
      <w:rFonts w:eastAsia="Times New Roman" w:cs="Times New Roman"/>
      <w:noProof/>
      <w:sz w:val="22"/>
    </w:rPr>
  </w:style>
  <w:style w:type="character" w:styleId="FollowedHyperlink">
    <w:name w:val="FollowedHyperlink"/>
    <w:basedOn w:val="DefaultParagraphFont"/>
    <w:uiPriority w:val="99"/>
    <w:semiHidden/>
    <w:rsid w:val="00C307BD"/>
    <w:rPr>
      <w:rFonts w:cs="Times New Roman"/>
      <w:color w:val="800080"/>
      <w:u w:val="single"/>
    </w:rPr>
  </w:style>
  <w:style w:type="paragraph" w:styleId="BodyTextIndent">
    <w:name w:val="Body Text Indent"/>
    <w:basedOn w:val="Normal"/>
    <w:link w:val="BodyTextIndentChar"/>
    <w:uiPriority w:val="99"/>
    <w:semiHidden/>
    <w:rsid w:val="0009777A"/>
    <w:pPr>
      <w:spacing w:after="120"/>
      <w:ind w:left="283"/>
    </w:pPr>
  </w:style>
  <w:style w:type="character" w:customStyle="1" w:styleId="BodyTextIndentChar">
    <w:name w:val="Body Text Indent Char"/>
    <w:basedOn w:val="DefaultParagraphFont"/>
    <w:link w:val="BodyTextIndent"/>
    <w:uiPriority w:val="99"/>
    <w:semiHidden/>
    <w:locked/>
    <w:rsid w:val="0009777A"/>
    <w:rPr>
      <w:rFonts w:eastAsia="Times New Roman" w:cs="Times New Roman"/>
      <w:sz w:val="22"/>
      <w:lang w:eastAsia="en-US"/>
    </w:rPr>
  </w:style>
  <w:style w:type="paragraph" w:styleId="TOCHeading">
    <w:name w:val="TOC Heading"/>
    <w:basedOn w:val="Heading1"/>
    <w:next w:val="Normal"/>
    <w:uiPriority w:val="39"/>
    <w:qFormat/>
    <w:rsid w:val="005A4E29"/>
    <w:pPr>
      <w:keepLines/>
      <w:spacing w:before="480" w:line="276" w:lineRule="auto"/>
      <w:outlineLvl w:val="9"/>
    </w:pPr>
    <w:rPr>
      <w:rFonts w:ascii="Cambria" w:eastAsia="Calibri" w:hAnsi="Cambria"/>
      <w:bCs/>
      <w:smallCaps w:val="0"/>
      <w:color w:val="365F91"/>
      <w:spacing w:val="0"/>
      <w:sz w:val="28"/>
      <w:szCs w:val="28"/>
    </w:rPr>
  </w:style>
  <w:style w:type="paragraph" w:styleId="TOC1">
    <w:name w:val="toc 1"/>
    <w:basedOn w:val="Normal"/>
    <w:next w:val="Normal"/>
    <w:autoRedefine/>
    <w:uiPriority w:val="39"/>
    <w:rsid w:val="00CE1538"/>
    <w:pPr>
      <w:tabs>
        <w:tab w:val="left" w:pos="567"/>
        <w:tab w:val="right" w:leader="dot" w:pos="9061"/>
      </w:tabs>
      <w:spacing w:after="240" w:line="240" w:lineRule="auto"/>
      <w:ind w:left="567" w:hanging="567"/>
    </w:pPr>
    <w:rPr>
      <w:b/>
      <w:noProof/>
    </w:rPr>
  </w:style>
  <w:style w:type="paragraph" w:styleId="TOC2">
    <w:name w:val="toc 2"/>
    <w:basedOn w:val="Normal"/>
    <w:next w:val="Normal"/>
    <w:autoRedefine/>
    <w:uiPriority w:val="39"/>
    <w:rsid w:val="004D29C3"/>
    <w:pPr>
      <w:tabs>
        <w:tab w:val="left" w:pos="880"/>
        <w:tab w:val="right" w:leader="dot" w:pos="9061"/>
      </w:tabs>
      <w:spacing w:after="0" w:line="240" w:lineRule="exact"/>
      <w:ind w:left="221"/>
    </w:pPr>
  </w:style>
  <w:style w:type="paragraph" w:styleId="TOC3">
    <w:name w:val="toc 3"/>
    <w:basedOn w:val="Normal"/>
    <w:next w:val="Normal"/>
    <w:autoRedefine/>
    <w:uiPriority w:val="39"/>
    <w:rsid w:val="001F0F0F"/>
    <w:pPr>
      <w:tabs>
        <w:tab w:val="left" w:pos="1320"/>
        <w:tab w:val="right" w:leader="dot" w:pos="9061"/>
      </w:tabs>
      <w:spacing w:after="0" w:line="240" w:lineRule="auto"/>
      <w:ind w:left="442"/>
    </w:pPr>
  </w:style>
  <w:style w:type="paragraph" w:styleId="TableofFigures">
    <w:name w:val="table of figures"/>
    <w:basedOn w:val="Normal"/>
    <w:next w:val="Normal"/>
    <w:uiPriority w:val="99"/>
    <w:rsid w:val="005A4E29"/>
    <w:pPr>
      <w:spacing w:after="0"/>
    </w:pPr>
  </w:style>
  <w:style w:type="numbering" w:customStyle="1" w:styleId="MurrumListStyle">
    <w:name w:val="MurrumListStyle"/>
    <w:rsid w:val="00CC020C"/>
    <w:pPr>
      <w:numPr>
        <w:numId w:val="1"/>
      </w:numPr>
    </w:pPr>
  </w:style>
  <w:style w:type="paragraph" w:styleId="DocumentMap">
    <w:name w:val="Document Map"/>
    <w:basedOn w:val="Normal"/>
    <w:link w:val="DocumentMapChar"/>
    <w:uiPriority w:val="99"/>
    <w:semiHidden/>
    <w:rsid w:val="004A5951"/>
    <w:pPr>
      <w:shd w:val="clear" w:color="auto" w:fill="000080"/>
    </w:pPr>
    <w:rPr>
      <w:rFonts w:ascii="Tahoma" w:hAnsi="Tahoma" w:cs="Tahoma"/>
      <w:sz w:val="20"/>
    </w:rPr>
  </w:style>
  <w:style w:type="paragraph" w:customStyle="1" w:styleId="TableNew">
    <w:name w:val="Table New"/>
    <w:basedOn w:val="Normal"/>
    <w:next w:val="Normal"/>
    <w:autoRedefine/>
    <w:uiPriority w:val="99"/>
    <w:rsid w:val="00394DD7"/>
    <w:pPr>
      <w:keepNext/>
      <w:numPr>
        <w:numId w:val="2"/>
      </w:numPr>
      <w:spacing w:after="0" w:line="240" w:lineRule="auto"/>
      <w:jc w:val="left"/>
    </w:pPr>
    <w:rPr>
      <w:rFonts w:ascii="Arial" w:eastAsia="Times New Roman" w:hAnsi="Arial"/>
      <w:sz w:val="20"/>
    </w:rPr>
  </w:style>
  <w:style w:type="paragraph" w:styleId="TOC4">
    <w:name w:val="toc 4"/>
    <w:basedOn w:val="Normal"/>
    <w:next w:val="Normal"/>
    <w:autoRedefine/>
    <w:uiPriority w:val="99"/>
    <w:locked/>
    <w:rsid w:val="006302FF"/>
    <w:pPr>
      <w:spacing w:after="0" w:line="240" w:lineRule="auto"/>
      <w:ind w:left="720"/>
      <w:jc w:val="left"/>
    </w:pPr>
    <w:rPr>
      <w:rFonts w:ascii="Times New Roman" w:eastAsia="Times New Roman" w:hAnsi="Times New Roman"/>
      <w:sz w:val="24"/>
      <w:szCs w:val="24"/>
      <w:lang w:eastAsia="en-AU"/>
    </w:rPr>
  </w:style>
  <w:style w:type="table" w:styleId="LightList-Accent3">
    <w:name w:val="Light List Accent 3"/>
    <w:basedOn w:val="TableNormal"/>
    <w:uiPriority w:val="99"/>
    <w:rsid w:val="004A789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DefaultParagraphFont"/>
    <w:uiPriority w:val="99"/>
    <w:rsid w:val="00C90601"/>
  </w:style>
  <w:style w:type="paragraph" w:styleId="TOC5">
    <w:name w:val="toc 5"/>
    <w:basedOn w:val="Normal"/>
    <w:next w:val="Normal"/>
    <w:autoRedefine/>
    <w:uiPriority w:val="99"/>
    <w:unhideWhenUsed/>
    <w:locked/>
    <w:rsid w:val="00F9018D"/>
    <w:pPr>
      <w:spacing w:after="100" w:line="276" w:lineRule="auto"/>
      <w:ind w:left="880"/>
      <w:jc w:val="left"/>
    </w:pPr>
    <w:rPr>
      <w:rFonts w:asciiTheme="minorHAnsi" w:eastAsiaTheme="minorEastAsia" w:hAnsiTheme="minorHAnsi" w:cstheme="minorBidi"/>
      <w:szCs w:val="22"/>
      <w:lang w:eastAsia="en-AU"/>
    </w:rPr>
  </w:style>
  <w:style w:type="paragraph" w:styleId="TOC6">
    <w:name w:val="toc 6"/>
    <w:basedOn w:val="Normal"/>
    <w:next w:val="Normal"/>
    <w:autoRedefine/>
    <w:uiPriority w:val="99"/>
    <w:unhideWhenUsed/>
    <w:locked/>
    <w:rsid w:val="00F9018D"/>
    <w:pPr>
      <w:spacing w:after="100" w:line="276" w:lineRule="auto"/>
      <w:ind w:left="1100"/>
      <w:jc w:val="left"/>
    </w:pPr>
    <w:rPr>
      <w:rFonts w:asciiTheme="minorHAnsi" w:eastAsiaTheme="minorEastAsia" w:hAnsiTheme="minorHAnsi" w:cstheme="minorBidi"/>
      <w:szCs w:val="22"/>
      <w:lang w:eastAsia="en-AU"/>
    </w:rPr>
  </w:style>
  <w:style w:type="paragraph" w:styleId="TOC7">
    <w:name w:val="toc 7"/>
    <w:basedOn w:val="Normal"/>
    <w:next w:val="Normal"/>
    <w:autoRedefine/>
    <w:uiPriority w:val="99"/>
    <w:unhideWhenUsed/>
    <w:locked/>
    <w:rsid w:val="00F9018D"/>
    <w:pPr>
      <w:spacing w:after="100" w:line="276" w:lineRule="auto"/>
      <w:ind w:left="1320"/>
      <w:jc w:val="left"/>
    </w:pPr>
    <w:rPr>
      <w:rFonts w:asciiTheme="minorHAnsi" w:eastAsiaTheme="minorEastAsia" w:hAnsiTheme="minorHAnsi" w:cstheme="minorBidi"/>
      <w:szCs w:val="22"/>
      <w:lang w:eastAsia="en-AU"/>
    </w:rPr>
  </w:style>
  <w:style w:type="paragraph" w:styleId="TOC8">
    <w:name w:val="toc 8"/>
    <w:basedOn w:val="Normal"/>
    <w:next w:val="Normal"/>
    <w:autoRedefine/>
    <w:uiPriority w:val="99"/>
    <w:unhideWhenUsed/>
    <w:locked/>
    <w:rsid w:val="00F9018D"/>
    <w:pPr>
      <w:spacing w:after="100" w:line="276" w:lineRule="auto"/>
      <w:ind w:left="1540"/>
      <w:jc w:val="left"/>
    </w:pPr>
    <w:rPr>
      <w:rFonts w:asciiTheme="minorHAnsi" w:eastAsiaTheme="minorEastAsia" w:hAnsiTheme="minorHAnsi" w:cstheme="minorBidi"/>
      <w:szCs w:val="22"/>
      <w:lang w:eastAsia="en-AU"/>
    </w:rPr>
  </w:style>
  <w:style w:type="paragraph" w:styleId="TOC9">
    <w:name w:val="toc 9"/>
    <w:basedOn w:val="Normal"/>
    <w:next w:val="Normal"/>
    <w:autoRedefine/>
    <w:uiPriority w:val="99"/>
    <w:unhideWhenUsed/>
    <w:locked/>
    <w:rsid w:val="00F9018D"/>
    <w:pPr>
      <w:spacing w:after="100" w:line="276" w:lineRule="auto"/>
      <w:ind w:left="1760"/>
      <w:jc w:val="left"/>
    </w:pPr>
    <w:rPr>
      <w:rFonts w:asciiTheme="minorHAnsi" w:eastAsiaTheme="minorEastAsia" w:hAnsiTheme="minorHAnsi" w:cstheme="minorBidi"/>
      <w:szCs w:val="22"/>
      <w:lang w:eastAsia="en-AU"/>
    </w:rPr>
  </w:style>
  <w:style w:type="paragraph" w:styleId="NormalWeb">
    <w:name w:val="Normal (Web)"/>
    <w:basedOn w:val="Normal"/>
    <w:uiPriority w:val="99"/>
    <w:unhideWhenUsed/>
    <w:rsid w:val="00E57C26"/>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external">
    <w:name w:val="external"/>
    <w:basedOn w:val="DefaultParagraphFont"/>
    <w:uiPriority w:val="99"/>
    <w:rsid w:val="00A42550"/>
  </w:style>
  <w:style w:type="character" w:customStyle="1" w:styleId="maintitle">
    <w:name w:val="maintitle"/>
    <w:basedOn w:val="DefaultParagraphFont"/>
    <w:rsid w:val="00C369EC"/>
  </w:style>
  <w:style w:type="character" w:styleId="Strong">
    <w:name w:val="Strong"/>
    <w:basedOn w:val="DefaultParagraphFont"/>
    <w:uiPriority w:val="22"/>
    <w:qFormat/>
    <w:locked/>
    <w:rsid w:val="00AB73F0"/>
    <w:rPr>
      <w:b/>
      <w:bCs/>
    </w:rPr>
  </w:style>
  <w:style w:type="paragraph" w:customStyle="1" w:styleId="fulltext">
    <w:name w:val="fulltext"/>
    <w:basedOn w:val="Normal"/>
    <w:uiPriority w:val="99"/>
    <w:rsid w:val="00AB73F0"/>
    <w:pPr>
      <w:spacing w:before="100" w:beforeAutospacing="1" w:after="100" w:afterAutospacing="1" w:line="240" w:lineRule="auto"/>
      <w:jc w:val="left"/>
    </w:pPr>
    <w:rPr>
      <w:rFonts w:ascii="Times New Roman" w:eastAsia="Times New Roman" w:hAnsi="Times New Roman"/>
      <w:sz w:val="24"/>
      <w:szCs w:val="24"/>
      <w:lang w:eastAsia="en-AU"/>
    </w:rPr>
  </w:style>
  <w:style w:type="character" w:styleId="SubtleEmphasis">
    <w:name w:val="Subtle Emphasis"/>
    <w:basedOn w:val="DefaultParagraphFont"/>
    <w:uiPriority w:val="99"/>
    <w:qFormat/>
    <w:rsid w:val="0064617B"/>
    <w:rPr>
      <w:i/>
      <w:iCs/>
      <w:color w:val="808080" w:themeColor="text1" w:themeTint="7F"/>
    </w:rPr>
  </w:style>
  <w:style w:type="character" w:customStyle="1" w:styleId="A3">
    <w:name w:val="A3"/>
    <w:uiPriority w:val="99"/>
    <w:rsid w:val="006E193D"/>
    <w:rPr>
      <w:rFonts w:cs="HelveticaNeue LT 45 Lt"/>
      <w:color w:val="000000"/>
      <w:sz w:val="18"/>
      <w:szCs w:val="18"/>
    </w:rPr>
  </w:style>
  <w:style w:type="character" w:customStyle="1" w:styleId="st1">
    <w:name w:val="st1"/>
    <w:basedOn w:val="DefaultParagraphFont"/>
    <w:rsid w:val="000F40CE"/>
  </w:style>
  <w:style w:type="character" w:customStyle="1" w:styleId="DocumentMapChar">
    <w:name w:val="Document Map Char"/>
    <w:link w:val="DocumentMap"/>
    <w:uiPriority w:val="99"/>
    <w:semiHidden/>
    <w:locked/>
    <w:rsid w:val="00E63569"/>
    <w:rPr>
      <w:rFonts w:ascii="Tahoma" w:hAnsi="Tahoma" w:cs="Tahoma"/>
      <w:shd w:val="clear" w:color="auto" w:fill="000080"/>
      <w:lang w:eastAsia="en-US"/>
    </w:rPr>
  </w:style>
  <w:style w:type="character" w:customStyle="1" w:styleId="FigureCaptionChar">
    <w:name w:val="Figure Caption Char"/>
    <w:link w:val="FigureCaption"/>
    <w:uiPriority w:val="99"/>
    <w:locked/>
    <w:rsid w:val="00E63569"/>
    <w:rPr>
      <w:lang w:eastAsia="en-US"/>
    </w:rPr>
  </w:style>
  <w:style w:type="paragraph" w:customStyle="1" w:styleId="FigureCaption">
    <w:name w:val="Figure Caption"/>
    <w:basedOn w:val="Normal"/>
    <w:next w:val="Normal"/>
    <w:link w:val="FigureCaptionChar"/>
    <w:uiPriority w:val="99"/>
    <w:rsid w:val="00E63569"/>
    <w:pPr>
      <w:tabs>
        <w:tab w:val="left" w:pos="1418"/>
      </w:tabs>
      <w:spacing w:before="100" w:after="0" w:line="260" w:lineRule="atLeast"/>
      <w:ind w:left="1418" w:hanging="1418"/>
    </w:pPr>
    <w:rPr>
      <w:sz w:val="20"/>
    </w:rPr>
  </w:style>
  <w:style w:type="paragraph" w:customStyle="1" w:styleId="SubHeading1-FinalReport">
    <w:name w:val="Sub Heading 1 - Final Report"/>
    <w:basedOn w:val="Normal"/>
    <w:next w:val="Normal"/>
    <w:uiPriority w:val="99"/>
    <w:rsid w:val="00E63569"/>
    <w:pPr>
      <w:numPr>
        <w:ilvl w:val="1"/>
        <w:numId w:val="4"/>
      </w:numPr>
      <w:spacing w:before="260" w:after="260" w:line="260" w:lineRule="atLeast"/>
    </w:pPr>
    <w:rPr>
      <w:rFonts w:ascii="Times New Roman" w:eastAsia="Times New Roman" w:hAnsi="Times New Roman"/>
      <w:b/>
    </w:rPr>
  </w:style>
  <w:style w:type="paragraph" w:customStyle="1" w:styleId="SubHeading2-FinalReport">
    <w:name w:val="Sub Heading 2 - Final Report"/>
    <w:basedOn w:val="Normal"/>
    <w:next w:val="Normal"/>
    <w:uiPriority w:val="99"/>
    <w:rsid w:val="00E63569"/>
    <w:pPr>
      <w:numPr>
        <w:ilvl w:val="2"/>
        <w:numId w:val="4"/>
      </w:numPr>
      <w:spacing w:before="260" w:after="260" w:line="260" w:lineRule="atLeast"/>
    </w:pPr>
    <w:rPr>
      <w:rFonts w:ascii="Times New Roman" w:eastAsia="Times New Roman" w:hAnsi="Times New Roman"/>
      <w:b/>
      <w:i/>
    </w:rPr>
  </w:style>
  <w:style w:type="paragraph" w:customStyle="1" w:styleId="SubHeading3-FinalReport">
    <w:name w:val="Sub Heading 3 - Final Report"/>
    <w:basedOn w:val="Normal"/>
    <w:next w:val="Normal"/>
    <w:uiPriority w:val="99"/>
    <w:rsid w:val="00E63569"/>
    <w:pPr>
      <w:numPr>
        <w:ilvl w:val="3"/>
        <w:numId w:val="4"/>
      </w:numPr>
      <w:spacing w:before="260" w:after="260" w:line="260" w:lineRule="atLeast"/>
    </w:pPr>
    <w:rPr>
      <w:rFonts w:ascii="Times New Roman" w:eastAsia="Times New Roman" w:hAnsi="Times New Roman"/>
      <w:i/>
    </w:rPr>
  </w:style>
  <w:style w:type="paragraph" w:customStyle="1" w:styleId="ChapterTitle-FinalReport">
    <w:name w:val="Chapter Title - Final Report"/>
    <w:basedOn w:val="Normal"/>
    <w:next w:val="Normal"/>
    <w:uiPriority w:val="99"/>
    <w:rsid w:val="00E63569"/>
    <w:pPr>
      <w:numPr>
        <w:numId w:val="4"/>
      </w:numPr>
      <w:spacing w:before="320" w:after="320"/>
    </w:pPr>
    <w:rPr>
      <w:rFonts w:ascii="Times New Roman" w:eastAsia="Times New Roman" w:hAnsi="Times New Roman"/>
      <w:b/>
      <w:caps/>
      <w:sz w:val="28"/>
    </w:rPr>
  </w:style>
  <w:style w:type="paragraph" w:styleId="HTMLPreformatted">
    <w:name w:val="HTML Preformatted"/>
    <w:basedOn w:val="Normal"/>
    <w:link w:val="HTMLPreformattedChar"/>
    <w:uiPriority w:val="99"/>
    <w:unhideWhenUsed/>
    <w:rsid w:val="00351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uiPriority w:val="99"/>
    <w:rsid w:val="0035121A"/>
    <w:rPr>
      <w:rFonts w:ascii="Courier New" w:eastAsia="Times New Roman" w:hAnsi="Courier New" w:cs="Courier New"/>
      <w:lang w:val="en-US" w:eastAsia="en-US"/>
    </w:rPr>
  </w:style>
  <w:style w:type="character" w:customStyle="1" w:styleId="gdxa2evbhab">
    <w:name w:val="gdxa2evbhab"/>
    <w:basedOn w:val="DefaultParagraphFont"/>
    <w:rsid w:val="0035121A"/>
  </w:style>
  <w:style w:type="character" w:customStyle="1" w:styleId="gdxa2evbl5">
    <w:name w:val="gdxa2evbl5"/>
    <w:basedOn w:val="DefaultParagraphFont"/>
    <w:rsid w:val="0035121A"/>
  </w:style>
  <w:style w:type="paragraph" w:styleId="ListBullet">
    <w:name w:val="List Bullet"/>
    <w:basedOn w:val="Normal"/>
    <w:qFormat/>
    <w:rsid w:val="00F8799A"/>
    <w:pPr>
      <w:spacing w:after="220" w:line="240" w:lineRule="auto"/>
      <w:contextualSpacing/>
    </w:pPr>
    <w:rPr>
      <w:rFonts w:eastAsia="Times New Roman"/>
      <w:sz w:val="20"/>
      <w:lang w:eastAsia="en-AU"/>
    </w:rPr>
  </w:style>
  <w:style w:type="numbering" w:customStyle="1" w:styleId="BulletList">
    <w:name w:val="Bullet List"/>
    <w:uiPriority w:val="99"/>
    <w:rsid w:val="00F8799A"/>
    <w:pPr>
      <w:numPr>
        <w:numId w:val="5"/>
      </w:numPr>
    </w:pPr>
  </w:style>
  <w:style w:type="character" w:styleId="HTMLCite">
    <w:name w:val="HTML Cite"/>
    <w:basedOn w:val="DefaultParagraphFont"/>
    <w:rsid w:val="00096C51"/>
    <w:rPr>
      <w:rFonts w:cs="Times New Roman"/>
      <w:i/>
      <w:iCs/>
    </w:rPr>
  </w:style>
  <w:style w:type="character" w:customStyle="1" w:styleId="author">
    <w:name w:val="author"/>
    <w:basedOn w:val="DefaultParagraphFont"/>
    <w:rsid w:val="00096C51"/>
    <w:rPr>
      <w:rFonts w:cs="Times New Roman"/>
    </w:rPr>
  </w:style>
  <w:style w:type="character" w:customStyle="1" w:styleId="pubyear">
    <w:name w:val="pubyear"/>
    <w:basedOn w:val="DefaultParagraphFont"/>
    <w:rsid w:val="00096C51"/>
    <w:rPr>
      <w:rFonts w:cs="Times New Roman"/>
    </w:rPr>
  </w:style>
  <w:style w:type="character" w:customStyle="1" w:styleId="articletitle">
    <w:name w:val="articletitle"/>
    <w:basedOn w:val="DefaultParagraphFont"/>
    <w:rsid w:val="00096C51"/>
    <w:rPr>
      <w:rFonts w:cs="Times New Roman"/>
    </w:rPr>
  </w:style>
  <w:style w:type="character" w:customStyle="1" w:styleId="journaltitle">
    <w:name w:val="journaltitle"/>
    <w:basedOn w:val="DefaultParagraphFont"/>
    <w:rsid w:val="00096C51"/>
    <w:rPr>
      <w:rFonts w:cs="Times New Roman"/>
    </w:rPr>
  </w:style>
  <w:style w:type="character" w:customStyle="1" w:styleId="vol">
    <w:name w:val="vol"/>
    <w:basedOn w:val="DefaultParagraphFont"/>
    <w:rsid w:val="00096C51"/>
    <w:rPr>
      <w:rFonts w:cs="Times New Roman"/>
    </w:rPr>
  </w:style>
  <w:style w:type="character" w:customStyle="1" w:styleId="pagefirst">
    <w:name w:val="pagefirst"/>
    <w:basedOn w:val="DefaultParagraphFont"/>
    <w:rsid w:val="00096C51"/>
    <w:rPr>
      <w:rFonts w:cs="Times New Roman"/>
    </w:rPr>
  </w:style>
  <w:style w:type="character" w:customStyle="1" w:styleId="pagelast">
    <w:name w:val="pagelast"/>
    <w:basedOn w:val="DefaultParagraphFont"/>
    <w:rsid w:val="00096C51"/>
    <w:rPr>
      <w:rFonts w:cs="Times New Roman"/>
    </w:rPr>
  </w:style>
  <w:style w:type="paragraph" w:styleId="Revision">
    <w:name w:val="Revision"/>
    <w:hidden/>
    <w:uiPriority w:val="99"/>
    <w:semiHidden/>
    <w:rsid w:val="0004661D"/>
    <w:rPr>
      <w:sz w:val="22"/>
      <w:szCs w:val="22"/>
      <w:lang w:val="en-US" w:eastAsia="en-US"/>
    </w:rPr>
  </w:style>
  <w:style w:type="character" w:customStyle="1" w:styleId="CommentTextChar1">
    <w:name w:val="Comment Text Char1"/>
    <w:basedOn w:val="DefaultParagraphFont"/>
    <w:locked/>
    <w:rsid w:val="00B777E7"/>
    <w:rPr>
      <w:rFonts w:ascii="Arial" w:eastAsia="Calibri" w:hAnsi="Arial" w:cs="Arial"/>
      <w:lang w:val="en-US" w:eastAsia="en-US" w:bidi="ar-SA"/>
    </w:rPr>
  </w:style>
  <w:style w:type="character" w:customStyle="1" w:styleId="st">
    <w:name w:val="st"/>
    <w:basedOn w:val="DefaultParagraphFont"/>
    <w:rsid w:val="00A23C60"/>
  </w:style>
  <w:style w:type="character" w:customStyle="1" w:styleId="NoSpacingChar">
    <w:name w:val="No Spacing Char"/>
    <w:aliases w:val="box text Char"/>
    <w:basedOn w:val="DefaultParagraphFont"/>
    <w:link w:val="NoSpacing"/>
    <w:uiPriority w:val="1"/>
    <w:locked/>
    <w:rsid w:val="000A204A"/>
    <w:rPr>
      <w:sz w:val="22"/>
      <w:lang w:eastAsia="en-US"/>
    </w:rPr>
  </w:style>
  <w:style w:type="paragraph" w:styleId="ListBullet2">
    <w:name w:val="List Bullet 2"/>
    <w:basedOn w:val="Normal"/>
    <w:uiPriority w:val="99"/>
    <w:rsid w:val="00455928"/>
    <w:pPr>
      <w:numPr>
        <w:numId w:val="6"/>
      </w:numPr>
      <w:contextualSpacing/>
    </w:pPr>
  </w:style>
  <w:style w:type="paragraph" w:styleId="ListNumber">
    <w:name w:val="List Number"/>
    <w:basedOn w:val="Normal"/>
    <w:uiPriority w:val="99"/>
    <w:unhideWhenUsed/>
    <w:rsid w:val="00455928"/>
    <w:pPr>
      <w:numPr>
        <w:numId w:val="7"/>
      </w:numPr>
      <w:snapToGrid w:val="0"/>
      <w:spacing w:after="60" w:line="240" w:lineRule="auto"/>
      <w:jc w:val="left"/>
    </w:pPr>
    <w:rPr>
      <w:rFonts w:ascii="Arial" w:hAnsi="Arial" w:cs="Arial"/>
      <w:szCs w:val="22"/>
      <w:lang w:eastAsia="en-AU"/>
    </w:rPr>
  </w:style>
  <w:style w:type="paragraph" w:styleId="ListNumber2">
    <w:name w:val="List Number 2"/>
    <w:basedOn w:val="Normal"/>
    <w:uiPriority w:val="99"/>
    <w:unhideWhenUsed/>
    <w:rsid w:val="00455928"/>
    <w:pPr>
      <w:numPr>
        <w:ilvl w:val="1"/>
        <w:numId w:val="7"/>
      </w:numPr>
      <w:snapToGrid w:val="0"/>
      <w:spacing w:after="60" w:line="240" w:lineRule="auto"/>
      <w:jc w:val="left"/>
    </w:pPr>
    <w:rPr>
      <w:rFonts w:ascii="Arial" w:hAnsi="Arial" w:cs="Arial"/>
      <w:szCs w:val="22"/>
      <w:lang w:eastAsia="en-AU"/>
    </w:rPr>
  </w:style>
  <w:style w:type="paragraph" w:styleId="ListNumber3">
    <w:name w:val="List Number 3"/>
    <w:basedOn w:val="Normal"/>
    <w:uiPriority w:val="99"/>
    <w:unhideWhenUsed/>
    <w:rsid w:val="00455928"/>
    <w:pPr>
      <w:numPr>
        <w:ilvl w:val="2"/>
        <w:numId w:val="7"/>
      </w:numPr>
      <w:snapToGrid w:val="0"/>
      <w:spacing w:after="60" w:line="240" w:lineRule="auto"/>
      <w:jc w:val="left"/>
    </w:pPr>
    <w:rPr>
      <w:rFonts w:ascii="Arial" w:hAnsi="Arial" w:cs="Arial"/>
      <w:szCs w:val="22"/>
      <w:lang w:eastAsia="en-AU"/>
    </w:rPr>
  </w:style>
  <w:style w:type="paragraph" w:styleId="ListNumber4">
    <w:name w:val="List Number 4"/>
    <w:basedOn w:val="Normal"/>
    <w:uiPriority w:val="99"/>
    <w:unhideWhenUsed/>
    <w:rsid w:val="00455928"/>
    <w:pPr>
      <w:numPr>
        <w:ilvl w:val="3"/>
        <w:numId w:val="7"/>
      </w:numPr>
      <w:snapToGrid w:val="0"/>
      <w:spacing w:after="60" w:line="240" w:lineRule="auto"/>
      <w:jc w:val="left"/>
    </w:pPr>
    <w:rPr>
      <w:rFonts w:ascii="Arial" w:hAnsi="Arial" w:cs="Arial"/>
      <w:szCs w:val="22"/>
      <w:lang w:eastAsia="en-AU"/>
    </w:rPr>
  </w:style>
  <w:style w:type="paragraph" w:styleId="ListNumber5">
    <w:name w:val="List Number 5"/>
    <w:basedOn w:val="Normal"/>
    <w:uiPriority w:val="99"/>
    <w:unhideWhenUsed/>
    <w:rsid w:val="00455928"/>
    <w:pPr>
      <w:numPr>
        <w:ilvl w:val="4"/>
        <w:numId w:val="7"/>
      </w:numPr>
      <w:snapToGrid w:val="0"/>
      <w:spacing w:after="60" w:line="240" w:lineRule="auto"/>
      <w:jc w:val="left"/>
    </w:pPr>
    <w:rPr>
      <w:rFonts w:ascii="Arial" w:hAnsi="Arial" w:cs="Arial"/>
      <w:szCs w:val="22"/>
      <w:lang w:eastAsia="en-AU"/>
    </w:rPr>
  </w:style>
  <w:style w:type="numbering" w:customStyle="1" w:styleId="KeyPoints">
    <w:name w:val="Key Points"/>
    <w:uiPriority w:val="99"/>
    <w:rsid w:val="00455928"/>
    <w:pPr>
      <w:numPr>
        <w:numId w:val="7"/>
      </w:numPr>
    </w:pPr>
  </w:style>
  <w:style w:type="paragraph" w:customStyle="1" w:styleId="Caption1">
    <w:name w:val="Caption1"/>
    <w:basedOn w:val="Normal"/>
    <w:next w:val="Normal"/>
    <w:link w:val="captionChar"/>
    <w:uiPriority w:val="11"/>
    <w:qFormat/>
    <w:rsid w:val="00605A9B"/>
    <w:pPr>
      <w:spacing w:after="60" w:line="240" w:lineRule="auto"/>
      <w:outlineLvl w:val="1"/>
    </w:pPr>
    <w:rPr>
      <w:rFonts w:ascii="Century Gothic" w:eastAsia="Times New Roman" w:hAnsi="Century Gothic"/>
      <w:sz w:val="20"/>
      <w:szCs w:val="24"/>
    </w:rPr>
  </w:style>
  <w:style w:type="character" w:customStyle="1" w:styleId="captionChar">
    <w:name w:val="caption Char"/>
    <w:basedOn w:val="DefaultParagraphFont"/>
    <w:link w:val="Caption1"/>
    <w:uiPriority w:val="11"/>
    <w:rsid w:val="00605A9B"/>
    <w:rPr>
      <w:rFonts w:ascii="Century Gothic" w:eastAsia="Times New Roman" w:hAnsi="Century Gothic"/>
      <w:szCs w:val="24"/>
      <w:lang w:eastAsia="en-US"/>
    </w:rPr>
  </w:style>
  <w:style w:type="character" w:customStyle="1" w:styleId="Heading5Char">
    <w:name w:val="Heading 5 Char"/>
    <w:aliases w:val="H5 Char"/>
    <w:basedOn w:val="DefaultParagraphFont"/>
    <w:link w:val="Heading5"/>
    <w:uiPriority w:val="10"/>
    <w:rsid w:val="00847ACE"/>
    <w:rPr>
      <w:rFonts w:asciiTheme="minorHAnsi" w:eastAsiaTheme="majorEastAsia" w:hAnsiTheme="minorHAnsi" w:cstheme="majorBidi"/>
      <w:color w:val="243F60" w:themeColor="accent1" w:themeShade="7F"/>
      <w:kern w:val="28"/>
      <w:sz w:val="22"/>
      <w:lang w:eastAsia="en-US"/>
    </w:rPr>
  </w:style>
  <w:style w:type="character" w:customStyle="1" w:styleId="Heading6Char">
    <w:name w:val="Heading 6 Char"/>
    <w:aliases w:val="H6 Char"/>
    <w:basedOn w:val="DefaultParagraphFont"/>
    <w:link w:val="Heading6"/>
    <w:uiPriority w:val="11"/>
    <w:semiHidden/>
    <w:rsid w:val="00847ACE"/>
    <w:rPr>
      <w:rFonts w:asciiTheme="majorHAnsi" w:eastAsiaTheme="majorEastAsia" w:hAnsiTheme="majorHAnsi" w:cstheme="majorBidi"/>
      <w:i/>
      <w:iCs/>
      <w:color w:val="243F60" w:themeColor="accent1" w:themeShade="7F"/>
      <w:kern w:val="28"/>
      <w:sz w:val="22"/>
      <w:lang w:eastAsia="en-US"/>
    </w:rPr>
  </w:style>
  <w:style w:type="character" w:customStyle="1" w:styleId="Heading7Char">
    <w:name w:val="Heading 7 Char"/>
    <w:basedOn w:val="DefaultParagraphFont"/>
    <w:link w:val="Heading7"/>
    <w:uiPriority w:val="9"/>
    <w:semiHidden/>
    <w:rsid w:val="00847ACE"/>
    <w:rPr>
      <w:rFonts w:asciiTheme="majorHAnsi" w:eastAsiaTheme="majorEastAsia" w:hAnsiTheme="majorHAnsi" w:cstheme="majorBidi"/>
      <w:i/>
      <w:iCs/>
      <w:color w:val="404040" w:themeColor="text1" w:themeTint="BF"/>
      <w:kern w:val="28"/>
      <w:sz w:val="22"/>
      <w:lang w:eastAsia="en-US"/>
    </w:rPr>
  </w:style>
  <w:style w:type="character" w:customStyle="1" w:styleId="Heading8Char">
    <w:name w:val="Heading 8 Char"/>
    <w:basedOn w:val="DefaultParagraphFont"/>
    <w:link w:val="Heading8"/>
    <w:uiPriority w:val="99"/>
    <w:rsid w:val="00847ACE"/>
    <w:rPr>
      <w:rFonts w:asciiTheme="majorHAnsi" w:eastAsiaTheme="majorEastAsia" w:hAnsiTheme="majorHAnsi" w:cstheme="majorBidi"/>
      <w:color w:val="404040" w:themeColor="text1" w:themeTint="BF"/>
      <w:kern w:val="28"/>
      <w:lang w:eastAsia="en-US"/>
    </w:rPr>
  </w:style>
  <w:style w:type="character" w:customStyle="1" w:styleId="Heading1Char1">
    <w:name w:val="Heading 1 Char1"/>
    <w:aliases w:val="H1 Char1"/>
    <w:basedOn w:val="DefaultParagraphFont"/>
    <w:uiPriority w:val="4"/>
    <w:rsid w:val="00847ACE"/>
    <w:rPr>
      <w:rFonts w:asciiTheme="majorHAnsi" w:eastAsiaTheme="majorEastAsia" w:hAnsiTheme="majorHAnsi" w:cstheme="majorBidi"/>
      <w:b/>
      <w:bCs/>
      <w:color w:val="365F91" w:themeColor="accent1" w:themeShade="BF"/>
      <w:kern w:val="28"/>
      <w:sz w:val="28"/>
      <w:szCs w:val="28"/>
    </w:rPr>
  </w:style>
  <w:style w:type="character" w:customStyle="1" w:styleId="Heading2Char1">
    <w:name w:val="Heading 2 Char1"/>
    <w:aliases w:val="H2 Char1"/>
    <w:basedOn w:val="DefaultParagraphFont"/>
    <w:uiPriority w:val="6"/>
    <w:semiHidden/>
    <w:rsid w:val="00847ACE"/>
    <w:rPr>
      <w:rFonts w:asciiTheme="majorHAnsi" w:eastAsiaTheme="majorEastAsia" w:hAnsiTheme="majorHAnsi" w:cstheme="majorBidi"/>
      <w:b/>
      <w:bCs/>
      <w:color w:val="4F81BD" w:themeColor="accent1"/>
      <w:kern w:val="28"/>
      <w:sz w:val="26"/>
      <w:szCs w:val="26"/>
    </w:rPr>
  </w:style>
  <w:style w:type="character" w:customStyle="1" w:styleId="Heading3Char1">
    <w:name w:val="Heading 3 Char1"/>
    <w:aliases w:val="H3 Char1"/>
    <w:basedOn w:val="DefaultParagraphFont"/>
    <w:uiPriority w:val="8"/>
    <w:semiHidden/>
    <w:rsid w:val="00847ACE"/>
    <w:rPr>
      <w:rFonts w:asciiTheme="majorHAnsi" w:eastAsiaTheme="majorEastAsia" w:hAnsiTheme="majorHAnsi" w:cstheme="majorBidi"/>
      <w:b/>
      <w:bCs/>
      <w:color w:val="4F81BD" w:themeColor="accent1"/>
      <w:kern w:val="28"/>
      <w:sz w:val="22"/>
    </w:rPr>
  </w:style>
  <w:style w:type="character" w:customStyle="1" w:styleId="Heading4Char1">
    <w:name w:val="Heading 4 Char1"/>
    <w:aliases w:val="H4 Char1"/>
    <w:basedOn w:val="DefaultParagraphFont"/>
    <w:uiPriority w:val="9"/>
    <w:semiHidden/>
    <w:rsid w:val="00847ACE"/>
    <w:rPr>
      <w:rFonts w:asciiTheme="majorHAnsi" w:eastAsiaTheme="majorEastAsia" w:hAnsiTheme="majorHAnsi" w:cstheme="majorBidi"/>
      <w:b/>
      <w:bCs/>
      <w:i/>
      <w:iCs/>
      <w:color w:val="4F81BD" w:themeColor="accent1"/>
      <w:kern w:val="28"/>
      <w:sz w:val="22"/>
    </w:rPr>
  </w:style>
  <w:style w:type="character" w:customStyle="1" w:styleId="Heading5Char1">
    <w:name w:val="Heading 5 Char1"/>
    <w:aliases w:val="H5 Char1"/>
    <w:basedOn w:val="DefaultParagraphFont"/>
    <w:uiPriority w:val="10"/>
    <w:semiHidden/>
    <w:rsid w:val="00847ACE"/>
    <w:rPr>
      <w:rFonts w:asciiTheme="majorHAnsi" w:eastAsiaTheme="majorEastAsia" w:hAnsiTheme="majorHAnsi" w:cstheme="majorBidi"/>
      <w:color w:val="243F60" w:themeColor="accent1" w:themeShade="7F"/>
      <w:kern w:val="28"/>
      <w:sz w:val="22"/>
    </w:rPr>
  </w:style>
  <w:style w:type="character" w:customStyle="1" w:styleId="Heading6Char1">
    <w:name w:val="Heading 6 Char1"/>
    <w:aliases w:val="H6 Char1"/>
    <w:basedOn w:val="DefaultParagraphFont"/>
    <w:uiPriority w:val="11"/>
    <w:semiHidden/>
    <w:rsid w:val="00847ACE"/>
    <w:rPr>
      <w:rFonts w:asciiTheme="majorHAnsi" w:eastAsiaTheme="majorEastAsia" w:hAnsiTheme="majorHAnsi" w:cstheme="majorBidi"/>
      <w:i/>
      <w:iCs/>
      <w:color w:val="243F60" w:themeColor="accent1" w:themeShade="7F"/>
      <w:kern w:val="28"/>
      <w:sz w:val="22"/>
    </w:rPr>
  </w:style>
  <w:style w:type="paragraph" w:customStyle="1" w:styleId="FigureCaption0">
    <w:name w:val="FigureCaption"/>
    <w:basedOn w:val="Normal"/>
    <w:uiPriority w:val="15"/>
    <w:qFormat/>
    <w:rsid w:val="00006AA2"/>
    <w:pPr>
      <w:spacing w:after="160" w:line="240" w:lineRule="auto"/>
      <w:jc w:val="left"/>
    </w:pPr>
    <w:rPr>
      <w:rFonts w:asciiTheme="minorHAnsi" w:eastAsia="Times New Roman" w:hAnsiTheme="minorHAnsi"/>
      <w:b/>
      <w:color w:val="000000"/>
      <w:kern w:val="28"/>
      <w:sz w:val="20"/>
    </w:rPr>
  </w:style>
  <w:style w:type="table" w:customStyle="1" w:styleId="LightShading1">
    <w:name w:val="Light Shading1"/>
    <w:basedOn w:val="TableNormal"/>
    <w:uiPriority w:val="60"/>
    <w:rsid w:val="00B824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ext1">
    <w:name w:val="Body Text1"/>
    <w:basedOn w:val="CommentText"/>
    <w:next w:val="TOCHeading"/>
    <w:link w:val="TOCHeadingChar"/>
    <w:qFormat/>
    <w:rsid w:val="00A539DF"/>
    <w:pPr>
      <w:tabs>
        <w:tab w:val="left" w:pos="851"/>
      </w:tabs>
      <w:spacing w:before="120" w:after="120"/>
    </w:pPr>
    <w:rPr>
      <w:rFonts w:ascii="Century Gothic" w:eastAsia="Times New Roman" w:hAnsi="Century Gothic" w:cs="Angsana New"/>
      <w:sz w:val="22"/>
      <w:szCs w:val="22"/>
      <w:lang w:val="en-AU" w:eastAsia="zh-CN" w:bidi="th-TH"/>
    </w:rPr>
  </w:style>
  <w:style w:type="paragraph" w:customStyle="1" w:styleId="BodyText2">
    <w:name w:val="Body Text2"/>
    <w:basedOn w:val="BodyText"/>
    <w:uiPriority w:val="99"/>
    <w:qFormat/>
    <w:rsid w:val="006927D3"/>
    <w:pPr>
      <w:tabs>
        <w:tab w:val="left" w:pos="851"/>
      </w:tabs>
      <w:spacing w:before="120" w:after="120"/>
    </w:pPr>
    <w:rPr>
      <w:rFonts w:ascii="Century Gothic" w:eastAsia="Times New Roman" w:hAnsi="Century Gothic" w:cs="Angsana New"/>
      <w:sz w:val="22"/>
      <w:szCs w:val="22"/>
      <w:lang w:val="en-AU" w:eastAsia="zh-CN" w:bidi="th-TH"/>
    </w:rPr>
  </w:style>
  <w:style w:type="paragraph" w:styleId="ListBullet3">
    <w:name w:val="List Bullet 3"/>
    <w:basedOn w:val="Normal"/>
    <w:uiPriority w:val="99"/>
    <w:unhideWhenUsed/>
    <w:rsid w:val="006847A6"/>
    <w:pPr>
      <w:spacing w:after="0" w:line="240" w:lineRule="auto"/>
      <w:ind w:left="1106" w:hanging="369"/>
      <w:jc w:val="left"/>
    </w:pPr>
    <w:rPr>
      <w:rFonts w:ascii="Times New Roman" w:eastAsiaTheme="minorHAnsi" w:hAnsi="Times New Roman"/>
      <w:sz w:val="24"/>
      <w:szCs w:val="24"/>
      <w:lang w:eastAsia="en-AU"/>
    </w:rPr>
  </w:style>
  <w:style w:type="paragraph" w:styleId="ListBullet4">
    <w:name w:val="List Bullet 4"/>
    <w:basedOn w:val="Normal"/>
    <w:uiPriority w:val="99"/>
    <w:unhideWhenUsed/>
    <w:rsid w:val="006847A6"/>
    <w:pPr>
      <w:spacing w:after="0" w:line="240" w:lineRule="auto"/>
      <w:ind w:left="1474" w:hanging="368"/>
      <w:jc w:val="left"/>
    </w:pPr>
    <w:rPr>
      <w:rFonts w:ascii="Times New Roman" w:eastAsiaTheme="minorHAnsi" w:hAnsi="Times New Roman"/>
      <w:sz w:val="24"/>
      <w:szCs w:val="24"/>
      <w:lang w:eastAsia="en-AU"/>
    </w:rPr>
  </w:style>
  <w:style w:type="paragraph" w:styleId="ListBullet5">
    <w:name w:val="List Bullet 5"/>
    <w:basedOn w:val="Normal"/>
    <w:uiPriority w:val="99"/>
    <w:unhideWhenUsed/>
    <w:rsid w:val="006847A6"/>
    <w:pPr>
      <w:spacing w:after="0" w:line="240" w:lineRule="auto"/>
      <w:ind w:left="1800" w:hanging="360"/>
      <w:jc w:val="left"/>
    </w:pPr>
    <w:rPr>
      <w:rFonts w:ascii="Times New Roman" w:eastAsiaTheme="minorHAnsi" w:hAnsi="Times New Roman"/>
      <w:sz w:val="24"/>
      <w:szCs w:val="24"/>
      <w:lang w:eastAsia="en-AU"/>
    </w:rPr>
  </w:style>
  <w:style w:type="paragraph" w:customStyle="1" w:styleId="Style2">
    <w:name w:val="Style2"/>
    <w:basedOn w:val="Normal"/>
    <w:link w:val="Style2Char"/>
    <w:qFormat/>
    <w:rsid w:val="008A7C75"/>
    <w:pPr>
      <w:spacing w:after="0" w:line="240" w:lineRule="auto"/>
      <w:ind w:left="1843" w:right="1684"/>
    </w:pPr>
    <w:rPr>
      <w:sz w:val="20"/>
    </w:rPr>
  </w:style>
  <w:style w:type="character" w:customStyle="1" w:styleId="Style2Char">
    <w:name w:val="Style2 Char"/>
    <w:link w:val="Style2"/>
    <w:rsid w:val="008A7C75"/>
    <w:rPr>
      <w:lang w:eastAsia="en-US"/>
    </w:rPr>
  </w:style>
  <w:style w:type="character" w:customStyle="1" w:styleId="ListParagraphChar">
    <w:name w:val="List Paragraph Char"/>
    <w:aliases w:val="table text Char"/>
    <w:link w:val="ListParagraph"/>
    <w:uiPriority w:val="34"/>
    <w:locked/>
    <w:rsid w:val="008A7C75"/>
    <w:rPr>
      <w:sz w:val="22"/>
      <w:lang w:eastAsia="en-US"/>
    </w:rPr>
  </w:style>
  <w:style w:type="paragraph" w:customStyle="1" w:styleId="BodyText3">
    <w:name w:val="Body Text3"/>
    <w:basedOn w:val="BodyText"/>
    <w:uiPriority w:val="99"/>
    <w:qFormat/>
    <w:rsid w:val="00B00804"/>
    <w:pPr>
      <w:tabs>
        <w:tab w:val="left" w:pos="851"/>
      </w:tabs>
      <w:spacing w:before="120" w:after="120"/>
    </w:pPr>
    <w:rPr>
      <w:rFonts w:ascii="Century Gothic" w:eastAsia="Times New Roman" w:hAnsi="Century Gothic" w:cs="Angsana New"/>
      <w:sz w:val="22"/>
      <w:szCs w:val="22"/>
      <w:lang w:val="en-AU" w:eastAsia="zh-CN" w:bidi="th-TH"/>
    </w:rPr>
  </w:style>
  <w:style w:type="paragraph" w:customStyle="1" w:styleId="TableCaption">
    <w:name w:val="TableCaption"/>
    <w:basedOn w:val="Normal"/>
    <w:next w:val="Normal"/>
    <w:uiPriority w:val="12"/>
    <w:qFormat/>
    <w:rsid w:val="00B00804"/>
    <w:pPr>
      <w:spacing w:after="160" w:line="240" w:lineRule="auto"/>
      <w:jc w:val="left"/>
    </w:pPr>
    <w:rPr>
      <w:rFonts w:eastAsia="Times New Roman"/>
      <w:b/>
      <w:color w:val="000000"/>
      <w:kern w:val="28"/>
      <w:sz w:val="20"/>
    </w:rPr>
  </w:style>
  <w:style w:type="paragraph" w:customStyle="1" w:styleId="EndNoteBibliography">
    <w:name w:val="EndNote Bibliography"/>
    <w:basedOn w:val="Normal"/>
    <w:link w:val="EndNoteBibliographyChar"/>
    <w:rsid w:val="00D72F5D"/>
    <w:pPr>
      <w:spacing w:after="200" w:line="240" w:lineRule="auto"/>
      <w:jc w:val="left"/>
    </w:pPr>
    <w:rPr>
      <w:noProof/>
      <w:szCs w:val="22"/>
      <w:lang w:val="en-US"/>
    </w:rPr>
  </w:style>
  <w:style w:type="character" w:customStyle="1" w:styleId="EndNoteBibliographyChar">
    <w:name w:val="EndNote Bibliography Char"/>
    <w:basedOn w:val="ListParagraphChar"/>
    <w:link w:val="EndNoteBibliography"/>
    <w:rsid w:val="00D72F5D"/>
    <w:rPr>
      <w:noProof/>
      <w:sz w:val="22"/>
      <w:szCs w:val="22"/>
      <w:lang w:val="en-US" w:eastAsia="en-US"/>
    </w:rPr>
  </w:style>
  <w:style w:type="table" w:styleId="LightShading">
    <w:name w:val="Light Shading"/>
    <w:basedOn w:val="TableNormal"/>
    <w:uiPriority w:val="60"/>
    <w:rsid w:val="00133CFD"/>
    <w:rPr>
      <w:rFonts w:asciiTheme="minorHAnsi" w:eastAsiaTheme="minorEastAsia" w:hAnsiTheme="minorHAnsi" w:cstheme="minorBidi"/>
      <w:color w:val="000000" w:themeColor="text1" w:themeShade="BF"/>
      <w:sz w:val="24"/>
      <w:szCs w:val="24"/>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2-Accent11">
    <w:name w:val="Grid Table 2 - Accent 11"/>
    <w:basedOn w:val="TableNormal"/>
    <w:uiPriority w:val="47"/>
    <w:rsid w:val="00767532"/>
    <w:rPr>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References">
    <w:name w:val="References"/>
    <w:basedOn w:val="Normal"/>
    <w:next w:val="Normal"/>
    <w:link w:val="ReferencesChar"/>
    <w:uiPriority w:val="22"/>
    <w:qFormat/>
    <w:rsid w:val="001D0150"/>
    <w:pPr>
      <w:spacing w:after="220" w:line="240" w:lineRule="atLeast"/>
      <w:ind w:left="851" w:hanging="851"/>
    </w:pPr>
    <w:rPr>
      <w:rFonts w:ascii="Times New Roman" w:eastAsia="Times New Roman" w:hAnsi="Times New Roman"/>
    </w:rPr>
  </w:style>
  <w:style w:type="character" w:customStyle="1" w:styleId="ReferencesChar">
    <w:name w:val="References Char"/>
    <w:basedOn w:val="DefaultParagraphFont"/>
    <w:link w:val="References"/>
    <w:uiPriority w:val="22"/>
    <w:rsid w:val="001D0150"/>
    <w:rPr>
      <w:rFonts w:ascii="Times New Roman" w:eastAsia="Times New Roman" w:hAnsi="Times New Roman"/>
      <w:sz w:val="22"/>
      <w:lang w:eastAsia="en-US"/>
    </w:rPr>
  </w:style>
  <w:style w:type="character" w:customStyle="1" w:styleId="TOCHeadingChar">
    <w:name w:val="TOC Heading Char"/>
    <w:basedOn w:val="DefaultParagraphFont"/>
    <w:link w:val="BodyText1"/>
    <w:locked/>
    <w:rsid w:val="00AB4C1C"/>
    <w:rPr>
      <w:rFonts w:ascii="Century Gothic" w:eastAsia="Times New Roman" w:hAnsi="Century Gothic" w:cs="Angsana New"/>
      <w:sz w:val="22"/>
      <w:szCs w:val="22"/>
      <w:lang w:eastAsia="zh-CN" w:bidi="th-TH"/>
    </w:rPr>
  </w:style>
  <w:style w:type="paragraph" w:customStyle="1" w:styleId="dotpoint">
    <w:name w:val="dot point"/>
    <w:basedOn w:val="Normal"/>
    <w:rsid w:val="00AB4C1C"/>
    <w:pPr>
      <w:numPr>
        <w:numId w:val="8"/>
      </w:numPr>
      <w:spacing w:before="120" w:after="120"/>
    </w:pPr>
    <w:rPr>
      <w:rFonts w:ascii="Century Gothic" w:eastAsiaTheme="minorHAnsi" w:hAnsi="Century Gothic"/>
      <w:i/>
      <w:iCs/>
      <w:sz w:val="20"/>
      <w:lang w:eastAsia="en-AU"/>
    </w:rPr>
  </w:style>
  <w:style w:type="paragraph" w:customStyle="1" w:styleId="Para0">
    <w:name w:val="Para 0"/>
    <w:aliases w:val="Auto,After:  3 pt"/>
    <w:basedOn w:val="Normal"/>
    <w:link w:val="Para0Char"/>
    <w:qFormat/>
    <w:rsid w:val="000D0967"/>
    <w:pPr>
      <w:spacing w:before="240" w:after="120" w:line="240" w:lineRule="atLeast"/>
      <w:jc w:val="left"/>
    </w:pPr>
    <w:rPr>
      <w:rFonts w:ascii="Arial" w:eastAsiaTheme="minorEastAsia" w:hAnsi="Arial" w:cstheme="minorBidi"/>
      <w:sz w:val="20"/>
      <w:szCs w:val="24"/>
      <w:lang w:val="en-GB"/>
    </w:rPr>
  </w:style>
  <w:style w:type="paragraph" w:customStyle="1" w:styleId="Para0bullet">
    <w:name w:val="Para 0 bullet"/>
    <w:basedOn w:val="Para0"/>
    <w:link w:val="Para0bulletChar"/>
    <w:qFormat/>
    <w:rsid w:val="000D0967"/>
    <w:pPr>
      <w:numPr>
        <w:numId w:val="13"/>
      </w:numPr>
      <w:tabs>
        <w:tab w:val="left" w:pos="851"/>
      </w:tabs>
      <w:spacing w:before="0"/>
    </w:pPr>
  </w:style>
  <w:style w:type="paragraph" w:customStyle="1" w:styleId="Para1narrowarrow">
    <w:name w:val="Para 1 narrow arrow"/>
    <w:basedOn w:val="Normal"/>
    <w:uiPriority w:val="5"/>
    <w:unhideWhenUsed/>
    <w:rsid w:val="000D0967"/>
    <w:pPr>
      <w:numPr>
        <w:ilvl w:val="1"/>
        <w:numId w:val="13"/>
      </w:numPr>
      <w:tabs>
        <w:tab w:val="left" w:pos="851"/>
      </w:tabs>
      <w:spacing w:after="120" w:line="240" w:lineRule="atLeast"/>
      <w:jc w:val="left"/>
    </w:pPr>
    <w:rPr>
      <w:rFonts w:ascii="Arial" w:eastAsiaTheme="minorEastAsia" w:hAnsi="Arial" w:cstheme="minorBidi"/>
      <w:sz w:val="20"/>
      <w:szCs w:val="24"/>
      <w:lang w:val="en-GB"/>
    </w:rPr>
  </w:style>
  <w:style w:type="numbering" w:customStyle="1" w:styleId="SKMBulletList1">
    <w:name w:val="SKM Bullet List 1"/>
    <w:uiPriority w:val="99"/>
    <w:rsid w:val="000D0967"/>
    <w:pPr>
      <w:numPr>
        <w:numId w:val="13"/>
      </w:numPr>
    </w:pPr>
  </w:style>
  <w:style w:type="character" w:customStyle="1" w:styleId="Para0Char">
    <w:name w:val="Para 0 Char"/>
    <w:aliases w:val="Auto Char,After:  3 pt Char Char"/>
    <w:basedOn w:val="DefaultParagraphFont"/>
    <w:link w:val="Para0"/>
    <w:rsid w:val="000D0967"/>
    <w:rPr>
      <w:rFonts w:ascii="Arial" w:eastAsiaTheme="minorEastAsia" w:hAnsi="Arial" w:cstheme="minorBidi"/>
      <w:szCs w:val="24"/>
      <w:lang w:val="en-GB" w:eastAsia="en-US"/>
    </w:rPr>
  </w:style>
  <w:style w:type="character" w:customStyle="1" w:styleId="Para0bulletChar">
    <w:name w:val="Para 0 bullet Char"/>
    <w:basedOn w:val="DefaultParagraphFont"/>
    <w:link w:val="Para0bullet"/>
    <w:locked/>
    <w:rsid w:val="000D0967"/>
    <w:rPr>
      <w:rFonts w:ascii="Arial" w:eastAsiaTheme="minorEastAsia" w:hAnsi="Arial" w:cstheme="minorBidi"/>
      <w:szCs w:val="24"/>
      <w:lang w:val="en-GB" w:eastAsia="en-US"/>
    </w:rPr>
  </w:style>
  <w:style w:type="character" w:customStyle="1" w:styleId="named-content">
    <w:name w:val="named-content"/>
    <w:basedOn w:val="DefaultParagraphFont"/>
    <w:rsid w:val="00F71922"/>
  </w:style>
  <w:style w:type="paragraph" w:customStyle="1" w:styleId="Tabletext">
    <w:name w:val="Table text"/>
    <w:basedOn w:val="Normal"/>
    <w:uiPriority w:val="14"/>
    <w:qFormat/>
    <w:rsid w:val="0000180C"/>
    <w:pPr>
      <w:spacing w:before="60" w:after="60" w:line="240" w:lineRule="atLeast"/>
      <w:jc w:val="left"/>
    </w:pPr>
    <w:rPr>
      <w:rFonts w:ascii="Arial" w:eastAsiaTheme="minorEastAsia" w:hAnsi="Arial" w:cstheme="minorBidi"/>
      <w:sz w:val="20"/>
      <w:szCs w:val="24"/>
      <w:lang w:val="en-GB"/>
    </w:rPr>
  </w:style>
  <w:style w:type="paragraph" w:customStyle="1" w:styleId="ProjectName">
    <w:name w:val="Project Name"/>
    <w:basedOn w:val="Normal"/>
    <w:next w:val="Para0"/>
    <w:rsid w:val="0000180C"/>
    <w:pPr>
      <w:spacing w:after="0" w:line="240" w:lineRule="auto"/>
      <w:jc w:val="left"/>
    </w:pPr>
    <w:rPr>
      <w:rFonts w:ascii="Arial" w:eastAsiaTheme="minorEastAsia" w:hAnsi="Arial" w:cstheme="minorBidi"/>
      <w:b/>
      <w:color w:val="00338D"/>
      <w:sz w:val="24"/>
      <w:szCs w:val="24"/>
      <w:lang w:val="en-GB"/>
    </w:rPr>
  </w:style>
  <w:style w:type="paragraph" w:customStyle="1" w:styleId="Tablesmalltext">
    <w:name w:val="Table small text"/>
    <w:basedOn w:val="Normal"/>
    <w:uiPriority w:val="15"/>
    <w:qFormat/>
    <w:rsid w:val="0000180C"/>
    <w:pPr>
      <w:spacing w:before="40" w:after="40" w:line="240" w:lineRule="atLeast"/>
      <w:jc w:val="left"/>
    </w:pPr>
    <w:rPr>
      <w:rFonts w:ascii="Arial" w:eastAsiaTheme="minorEastAsia" w:hAnsi="Arial" w:cstheme="minorBidi"/>
      <w:sz w:val="16"/>
      <w:szCs w:val="24"/>
      <w:lang w:val="en-GB"/>
    </w:rPr>
  </w:style>
  <w:style w:type="paragraph" w:customStyle="1" w:styleId="Tablesmallheading">
    <w:name w:val="Table small heading"/>
    <w:basedOn w:val="Normal"/>
    <w:uiPriority w:val="15"/>
    <w:qFormat/>
    <w:rsid w:val="0000180C"/>
    <w:pPr>
      <w:keepNext/>
      <w:spacing w:before="60" w:after="60" w:line="240" w:lineRule="atLeast"/>
      <w:jc w:val="left"/>
    </w:pPr>
    <w:rPr>
      <w:rFonts w:ascii="Arial" w:eastAsiaTheme="minorEastAsia" w:hAnsi="Arial" w:cstheme="minorBidi"/>
      <w:b/>
      <w:sz w:val="16"/>
      <w:szCs w:val="24"/>
      <w:lang w:val="en-GB"/>
    </w:rPr>
  </w:style>
  <w:style w:type="paragraph" w:customStyle="1" w:styleId="DocumentTitle">
    <w:name w:val="Document Title"/>
    <w:basedOn w:val="Normal"/>
    <w:uiPriority w:val="19"/>
    <w:rsid w:val="0000180C"/>
    <w:pPr>
      <w:spacing w:before="60" w:after="60" w:line="240" w:lineRule="atLeast"/>
      <w:jc w:val="left"/>
    </w:pPr>
    <w:rPr>
      <w:rFonts w:ascii="Arial" w:eastAsiaTheme="minorEastAsia" w:hAnsi="Arial" w:cstheme="minorBidi"/>
      <w:sz w:val="20"/>
      <w:szCs w:val="24"/>
      <w:lang w:val="en-GB"/>
    </w:rPr>
  </w:style>
  <w:style w:type="paragraph" w:customStyle="1" w:styleId="Tablecaption0">
    <w:name w:val="Table caption"/>
    <w:basedOn w:val="Caption"/>
    <w:next w:val="Para0"/>
    <w:rsid w:val="0000180C"/>
    <w:pPr>
      <w:keepLines w:val="0"/>
      <w:spacing w:after="100" w:line="240" w:lineRule="atLeast"/>
    </w:pPr>
    <w:rPr>
      <w:rFonts w:ascii="Arial" w:eastAsiaTheme="minorEastAsia" w:hAnsi="Arial" w:cstheme="minorBidi"/>
      <w:b/>
      <w:bCs w:val="0"/>
      <w:szCs w:val="24"/>
      <w:lang w:val="en-GB"/>
    </w:rPr>
  </w:style>
  <w:style w:type="paragraph" w:customStyle="1" w:styleId="ClientName">
    <w:name w:val="Client Name"/>
    <w:basedOn w:val="Tabletext"/>
    <w:uiPriority w:val="19"/>
    <w:qFormat/>
    <w:rsid w:val="0000180C"/>
    <w:pPr>
      <w:spacing w:before="0"/>
    </w:pPr>
  </w:style>
  <w:style w:type="paragraph" w:customStyle="1" w:styleId="ProjectNo">
    <w:name w:val="Project No"/>
    <w:basedOn w:val="Tabletext"/>
    <w:rsid w:val="0000180C"/>
    <w:pPr>
      <w:spacing w:before="0"/>
    </w:pPr>
  </w:style>
  <w:style w:type="character" w:customStyle="1" w:styleId="publication-meta-separator">
    <w:name w:val="publication-meta-separator"/>
    <w:basedOn w:val="DefaultParagraphFont"/>
    <w:rsid w:val="00192F1A"/>
  </w:style>
  <w:style w:type="character" w:customStyle="1" w:styleId="publication-meta-journal">
    <w:name w:val="publication-meta-journal"/>
    <w:basedOn w:val="DefaultParagraphFont"/>
    <w:rsid w:val="00192F1A"/>
  </w:style>
  <w:style w:type="character" w:customStyle="1" w:styleId="mixed-citation">
    <w:name w:val="mixed-citation"/>
    <w:basedOn w:val="DefaultParagraphFont"/>
    <w:rsid w:val="006C0327"/>
  </w:style>
  <w:style w:type="character" w:customStyle="1" w:styleId="ref-title">
    <w:name w:val="ref-title"/>
    <w:basedOn w:val="DefaultParagraphFont"/>
    <w:rsid w:val="006C0327"/>
  </w:style>
  <w:style w:type="character" w:customStyle="1" w:styleId="ref-journal">
    <w:name w:val="ref-journal"/>
    <w:basedOn w:val="DefaultParagraphFont"/>
    <w:rsid w:val="006C0327"/>
  </w:style>
  <w:style w:type="character" w:customStyle="1" w:styleId="ref-vol">
    <w:name w:val="ref-vol"/>
    <w:basedOn w:val="DefaultParagraphFont"/>
    <w:rsid w:val="006C0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2661156">
      <w:bodyDiv w:val="1"/>
      <w:marLeft w:val="0"/>
      <w:marRight w:val="0"/>
      <w:marTop w:val="0"/>
      <w:marBottom w:val="0"/>
      <w:divBdr>
        <w:top w:val="none" w:sz="0" w:space="0" w:color="auto"/>
        <w:left w:val="none" w:sz="0" w:space="0" w:color="auto"/>
        <w:bottom w:val="none" w:sz="0" w:space="0" w:color="auto"/>
        <w:right w:val="none" w:sz="0" w:space="0" w:color="auto"/>
      </w:divBdr>
    </w:div>
    <w:div w:id="33510230">
      <w:bodyDiv w:val="1"/>
      <w:marLeft w:val="0"/>
      <w:marRight w:val="0"/>
      <w:marTop w:val="0"/>
      <w:marBottom w:val="0"/>
      <w:divBdr>
        <w:top w:val="none" w:sz="0" w:space="0" w:color="auto"/>
        <w:left w:val="none" w:sz="0" w:space="0" w:color="auto"/>
        <w:bottom w:val="none" w:sz="0" w:space="0" w:color="auto"/>
        <w:right w:val="none" w:sz="0" w:space="0" w:color="auto"/>
      </w:divBdr>
    </w:div>
    <w:div w:id="46152020">
      <w:bodyDiv w:val="1"/>
      <w:marLeft w:val="0"/>
      <w:marRight w:val="0"/>
      <w:marTop w:val="0"/>
      <w:marBottom w:val="0"/>
      <w:divBdr>
        <w:top w:val="none" w:sz="0" w:space="0" w:color="auto"/>
        <w:left w:val="none" w:sz="0" w:space="0" w:color="auto"/>
        <w:bottom w:val="none" w:sz="0" w:space="0" w:color="auto"/>
        <w:right w:val="none" w:sz="0" w:space="0" w:color="auto"/>
      </w:divBdr>
    </w:div>
    <w:div w:id="82455036">
      <w:bodyDiv w:val="1"/>
      <w:marLeft w:val="0"/>
      <w:marRight w:val="0"/>
      <w:marTop w:val="0"/>
      <w:marBottom w:val="0"/>
      <w:divBdr>
        <w:top w:val="none" w:sz="0" w:space="0" w:color="auto"/>
        <w:left w:val="none" w:sz="0" w:space="0" w:color="auto"/>
        <w:bottom w:val="none" w:sz="0" w:space="0" w:color="auto"/>
        <w:right w:val="none" w:sz="0" w:space="0" w:color="auto"/>
      </w:divBdr>
    </w:div>
    <w:div w:id="133648995">
      <w:bodyDiv w:val="1"/>
      <w:marLeft w:val="0"/>
      <w:marRight w:val="0"/>
      <w:marTop w:val="0"/>
      <w:marBottom w:val="0"/>
      <w:divBdr>
        <w:top w:val="none" w:sz="0" w:space="0" w:color="auto"/>
        <w:left w:val="none" w:sz="0" w:space="0" w:color="auto"/>
        <w:bottom w:val="none" w:sz="0" w:space="0" w:color="auto"/>
        <w:right w:val="none" w:sz="0" w:space="0" w:color="auto"/>
      </w:divBdr>
    </w:div>
    <w:div w:id="163906081">
      <w:bodyDiv w:val="1"/>
      <w:marLeft w:val="0"/>
      <w:marRight w:val="0"/>
      <w:marTop w:val="0"/>
      <w:marBottom w:val="0"/>
      <w:divBdr>
        <w:top w:val="none" w:sz="0" w:space="0" w:color="auto"/>
        <w:left w:val="none" w:sz="0" w:space="0" w:color="auto"/>
        <w:bottom w:val="none" w:sz="0" w:space="0" w:color="auto"/>
        <w:right w:val="none" w:sz="0" w:space="0" w:color="auto"/>
      </w:divBdr>
    </w:div>
    <w:div w:id="183641893">
      <w:bodyDiv w:val="1"/>
      <w:marLeft w:val="0"/>
      <w:marRight w:val="0"/>
      <w:marTop w:val="0"/>
      <w:marBottom w:val="0"/>
      <w:divBdr>
        <w:top w:val="none" w:sz="0" w:space="0" w:color="auto"/>
        <w:left w:val="none" w:sz="0" w:space="0" w:color="auto"/>
        <w:bottom w:val="none" w:sz="0" w:space="0" w:color="auto"/>
        <w:right w:val="none" w:sz="0" w:space="0" w:color="auto"/>
      </w:divBdr>
    </w:div>
    <w:div w:id="188223329">
      <w:bodyDiv w:val="1"/>
      <w:marLeft w:val="0"/>
      <w:marRight w:val="0"/>
      <w:marTop w:val="0"/>
      <w:marBottom w:val="0"/>
      <w:divBdr>
        <w:top w:val="none" w:sz="0" w:space="0" w:color="auto"/>
        <w:left w:val="none" w:sz="0" w:space="0" w:color="auto"/>
        <w:bottom w:val="none" w:sz="0" w:space="0" w:color="auto"/>
        <w:right w:val="none" w:sz="0" w:space="0" w:color="auto"/>
      </w:divBdr>
    </w:div>
    <w:div w:id="222449889">
      <w:bodyDiv w:val="1"/>
      <w:marLeft w:val="0"/>
      <w:marRight w:val="0"/>
      <w:marTop w:val="0"/>
      <w:marBottom w:val="0"/>
      <w:divBdr>
        <w:top w:val="none" w:sz="0" w:space="0" w:color="auto"/>
        <w:left w:val="none" w:sz="0" w:space="0" w:color="auto"/>
        <w:bottom w:val="none" w:sz="0" w:space="0" w:color="auto"/>
        <w:right w:val="none" w:sz="0" w:space="0" w:color="auto"/>
      </w:divBdr>
      <w:divsChild>
        <w:div w:id="1473256253">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102">
      <w:bodyDiv w:val="1"/>
      <w:marLeft w:val="0"/>
      <w:marRight w:val="0"/>
      <w:marTop w:val="0"/>
      <w:marBottom w:val="0"/>
      <w:divBdr>
        <w:top w:val="none" w:sz="0" w:space="0" w:color="auto"/>
        <w:left w:val="none" w:sz="0" w:space="0" w:color="auto"/>
        <w:bottom w:val="none" w:sz="0" w:space="0" w:color="auto"/>
        <w:right w:val="none" w:sz="0" w:space="0" w:color="auto"/>
      </w:divBdr>
    </w:div>
    <w:div w:id="265163436">
      <w:bodyDiv w:val="1"/>
      <w:marLeft w:val="0"/>
      <w:marRight w:val="0"/>
      <w:marTop w:val="0"/>
      <w:marBottom w:val="0"/>
      <w:divBdr>
        <w:top w:val="none" w:sz="0" w:space="0" w:color="auto"/>
        <w:left w:val="none" w:sz="0" w:space="0" w:color="auto"/>
        <w:bottom w:val="none" w:sz="0" w:space="0" w:color="auto"/>
        <w:right w:val="none" w:sz="0" w:space="0" w:color="auto"/>
      </w:divBdr>
    </w:div>
    <w:div w:id="266281786">
      <w:bodyDiv w:val="1"/>
      <w:marLeft w:val="0"/>
      <w:marRight w:val="0"/>
      <w:marTop w:val="0"/>
      <w:marBottom w:val="0"/>
      <w:divBdr>
        <w:top w:val="none" w:sz="0" w:space="0" w:color="auto"/>
        <w:left w:val="none" w:sz="0" w:space="0" w:color="auto"/>
        <w:bottom w:val="none" w:sz="0" w:space="0" w:color="auto"/>
        <w:right w:val="none" w:sz="0" w:space="0" w:color="auto"/>
      </w:divBdr>
    </w:div>
    <w:div w:id="336545075">
      <w:bodyDiv w:val="1"/>
      <w:marLeft w:val="0"/>
      <w:marRight w:val="0"/>
      <w:marTop w:val="0"/>
      <w:marBottom w:val="0"/>
      <w:divBdr>
        <w:top w:val="none" w:sz="0" w:space="0" w:color="auto"/>
        <w:left w:val="none" w:sz="0" w:space="0" w:color="auto"/>
        <w:bottom w:val="none" w:sz="0" w:space="0" w:color="auto"/>
        <w:right w:val="none" w:sz="0" w:space="0" w:color="auto"/>
      </w:divBdr>
      <w:divsChild>
        <w:div w:id="1045179719">
          <w:marLeft w:val="0"/>
          <w:marRight w:val="0"/>
          <w:marTop w:val="0"/>
          <w:marBottom w:val="0"/>
          <w:divBdr>
            <w:top w:val="none" w:sz="0" w:space="0" w:color="auto"/>
            <w:left w:val="none" w:sz="0" w:space="0" w:color="auto"/>
            <w:bottom w:val="none" w:sz="0" w:space="0" w:color="auto"/>
            <w:right w:val="none" w:sz="0" w:space="0" w:color="auto"/>
          </w:divBdr>
        </w:div>
      </w:divsChild>
    </w:div>
    <w:div w:id="422800858">
      <w:bodyDiv w:val="1"/>
      <w:marLeft w:val="0"/>
      <w:marRight w:val="0"/>
      <w:marTop w:val="0"/>
      <w:marBottom w:val="0"/>
      <w:divBdr>
        <w:top w:val="none" w:sz="0" w:space="0" w:color="auto"/>
        <w:left w:val="none" w:sz="0" w:space="0" w:color="auto"/>
        <w:bottom w:val="none" w:sz="0" w:space="0" w:color="auto"/>
        <w:right w:val="none" w:sz="0" w:space="0" w:color="auto"/>
      </w:divBdr>
    </w:div>
    <w:div w:id="459954402">
      <w:bodyDiv w:val="1"/>
      <w:marLeft w:val="0"/>
      <w:marRight w:val="0"/>
      <w:marTop w:val="0"/>
      <w:marBottom w:val="0"/>
      <w:divBdr>
        <w:top w:val="none" w:sz="0" w:space="0" w:color="auto"/>
        <w:left w:val="none" w:sz="0" w:space="0" w:color="auto"/>
        <w:bottom w:val="none" w:sz="0" w:space="0" w:color="auto"/>
        <w:right w:val="none" w:sz="0" w:space="0" w:color="auto"/>
      </w:divBdr>
    </w:div>
    <w:div w:id="479931518">
      <w:bodyDiv w:val="1"/>
      <w:marLeft w:val="0"/>
      <w:marRight w:val="0"/>
      <w:marTop w:val="0"/>
      <w:marBottom w:val="0"/>
      <w:divBdr>
        <w:top w:val="none" w:sz="0" w:space="0" w:color="auto"/>
        <w:left w:val="none" w:sz="0" w:space="0" w:color="auto"/>
        <w:bottom w:val="none" w:sz="0" w:space="0" w:color="auto"/>
        <w:right w:val="none" w:sz="0" w:space="0" w:color="auto"/>
      </w:divBdr>
    </w:div>
    <w:div w:id="488910296">
      <w:bodyDiv w:val="1"/>
      <w:marLeft w:val="0"/>
      <w:marRight w:val="0"/>
      <w:marTop w:val="0"/>
      <w:marBottom w:val="0"/>
      <w:divBdr>
        <w:top w:val="none" w:sz="0" w:space="0" w:color="auto"/>
        <w:left w:val="none" w:sz="0" w:space="0" w:color="auto"/>
        <w:bottom w:val="none" w:sz="0" w:space="0" w:color="auto"/>
        <w:right w:val="none" w:sz="0" w:space="0" w:color="auto"/>
      </w:divBdr>
    </w:div>
    <w:div w:id="492796151">
      <w:bodyDiv w:val="1"/>
      <w:marLeft w:val="0"/>
      <w:marRight w:val="0"/>
      <w:marTop w:val="0"/>
      <w:marBottom w:val="0"/>
      <w:divBdr>
        <w:top w:val="none" w:sz="0" w:space="0" w:color="auto"/>
        <w:left w:val="none" w:sz="0" w:space="0" w:color="auto"/>
        <w:bottom w:val="none" w:sz="0" w:space="0" w:color="auto"/>
        <w:right w:val="none" w:sz="0" w:space="0" w:color="auto"/>
      </w:divBdr>
      <w:divsChild>
        <w:div w:id="268244533">
          <w:marLeft w:val="0"/>
          <w:marRight w:val="0"/>
          <w:marTop w:val="0"/>
          <w:marBottom w:val="0"/>
          <w:divBdr>
            <w:top w:val="none" w:sz="0" w:space="0" w:color="auto"/>
            <w:left w:val="none" w:sz="0" w:space="0" w:color="auto"/>
            <w:bottom w:val="none" w:sz="0" w:space="0" w:color="auto"/>
            <w:right w:val="none" w:sz="0" w:space="0" w:color="auto"/>
          </w:divBdr>
        </w:div>
        <w:div w:id="348683389">
          <w:marLeft w:val="0"/>
          <w:marRight w:val="0"/>
          <w:marTop w:val="0"/>
          <w:marBottom w:val="0"/>
          <w:divBdr>
            <w:top w:val="none" w:sz="0" w:space="0" w:color="auto"/>
            <w:left w:val="none" w:sz="0" w:space="0" w:color="auto"/>
            <w:bottom w:val="none" w:sz="0" w:space="0" w:color="auto"/>
            <w:right w:val="none" w:sz="0" w:space="0" w:color="auto"/>
          </w:divBdr>
        </w:div>
        <w:div w:id="563873056">
          <w:marLeft w:val="0"/>
          <w:marRight w:val="0"/>
          <w:marTop w:val="0"/>
          <w:marBottom w:val="0"/>
          <w:divBdr>
            <w:top w:val="none" w:sz="0" w:space="0" w:color="auto"/>
            <w:left w:val="none" w:sz="0" w:space="0" w:color="auto"/>
            <w:bottom w:val="none" w:sz="0" w:space="0" w:color="auto"/>
            <w:right w:val="none" w:sz="0" w:space="0" w:color="auto"/>
          </w:divBdr>
        </w:div>
        <w:div w:id="756749972">
          <w:marLeft w:val="0"/>
          <w:marRight w:val="0"/>
          <w:marTop w:val="0"/>
          <w:marBottom w:val="0"/>
          <w:divBdr>
            <w:top w:val="none" w:sz="0" w:space="0" w:color="auto"/>
            <w:left w:val="none" w:sz="0" w:space="0" w:color="auto"/>
            <w:bottom w:val="none" w:sz="0" w:space="0" w:color="auto"/>
            <w:right w:val="none" w:sz="0" w:space="0" w:color="auto"/>
          </w:divBdr>
        </w:div>
        <w:div w:id="994142923">
          <w:marLeft w:val="0"/>
          <w:marRight w:val="0"/>
          <w:marTop w:val="0"/>
          <w:marBottom w:val="0"/>
          <w:divBdr>
            <w:top w:val="none" w:sz="0" w:space="0" w:color="auto"/>
            <w:left w:val="none" w:sz="0" w:space="0" w:color="auto"/>
            <w:bottom w:val="none" w:sz="0" w:space="0" w:color="auto"/>
            <w:right w:val="none" w:sz="0" w:space="0" w:color="auto"/>
          </w:divBdr>
        </w:div>
        <w:div w:id="1044521264">
          <w:marLeft w:val="0"/>
          <w:marRight w:val="0"/>
          <w:marTop w:val="0"/>
          <w:marBottom w:val="0"/>
          <w:divBdr>
            <w:top w:val="none" w:sz="0" w:space="0" w:color="auto"/>
            <w:left w:val="none" w:sz="0" w:space="0" w:color="auto"/>
            <w:bottom w:val="none" w:sz="0" w:space="0" w:color="auto"/>
            <w:right w:val="none" w:sz="0" w:space="0" w:color="auto"/>
          </w:divBdr>
        </w:div>
        <w:div w:id="1307053331">
          <w:marLeft w:val="0"/>
          <w:marRight w:val="0"/>
          <w:marTop w:val="0"/>
          <w:marBottom w:val="0"/>
          <w:divBdr>
            <w:top w:val="none" w:sz="0" w:space="0" w:color="auto"/>
            <w:left w:val="none" w:sz="0" w:space="0" w:color="auto"/>
            <w:bottom w:val="none" w:sz="0" w:space="0" w:color="auto"/>
            <w:right w:val="none" w:sz="0" w:space="0" w:color="auto"/>
          </w:divBdr>
        </w:div>
        <w:div w:id="1394816175">
          <w:marLeft w:val="0"/>
          <w:marRight w:val="0"/>
          <w:marTop w:val="0"/>
          <w:marBottom w:val="0"/>
          <w:divBdr>
            <w:top w:val="none" w:sz="0" w:space="0" w:color="auto"/>
            <w:left w:val="none" w:sz="0" w:space="0" w:color="auto"/>
            <w:bottom w:val="none" w:sz="0" w:space="0" w:color="auto"/>
            <w:right w:val="none" w:sz="0" w:space="0" w:color="auto"/>
          </w:divBdr>
        </w:div>
        <w:div w:id="1655916188">
          <w:marLeft w:val="0"/>
          <w:marRight w:val="0"/>
          <w:marTop w:val="0"/>
          <w:marBottom w:val="0"/>
          <w:divBdr>
            <w:top w:val="none" w:sz="0" w:space="0" w:color="auto"/>
            <w:left w:val="none" w:sz="0" w:space="0" w:color="auto"/>
            <w:bottom w:val="none" w:sz="0" w:space="0" w:color="auto"/>
            <w:right w:val="none" w:sz="0" w:space="0" w:color="auto"/>
          </w:divBdr>
        </w:div>
        <w:div w:id="1802266482">
          <w:marLeft w:val="0"/>
          <w:marRight w:val="0"/>
          <w:marTop w:val="0"/>
          <w:marBottom w:val="0"/>
          <w:divBdr>
            <w:top w:val="none" w:sz="0" w:space="0" w:color="auto"/>
            <w:left w:val="none" w:sz="0" w:space="0" w:color="auto"/>
            <w:bottom w:val="none" w:sz="0" w:space="0" w:color="auto"/>
            <w:right w:val="none" w:sz="0" w:space="0" w:color="auto"/>
          </w:divBdr>
        </w:div>
        <w:div w:id="1863394799">
          <w:marLeft w:val="0"/>
          <w:marRight w:val="0"/>
          <w:marTop w:val="0"/>
          <w:marBottom w:val="0"/>
          <w:divBdr>
            <w:top w:val="none" w:sz="0" w:space="0" w:color="auto"/>
            <w:left w:val="none" w:sz="0" w:space="0" w:color="auto"/>
            <w:bottom w:val="none" w:sz="0" w:space="0" w:color="auto"/>
            <w:right w:val="none" w:sz="0" w:space="0" w:color="auto"/>
          </w:divBdr>
        </w:div>
      </w:divsChild>
    </w:div>
    <w:div w:id="498663459">
      <w:bodyDiv w:val="1"/>
      <w:marLeft w:val="0"/>
      <w:marRight w:val="0"/>
      <w:marTop w:val="0"/>
      <w:marBottom w:val="0"/>
      <w:divBdr>
        <w:top w:val="none" w:sz="0" w:space="0" w:color="auto"/>
        <w:left w:val="none" w:sz="0" w:space="0" w:color="auto"/>
        <w:bottom w:val="none" w:sz="0" w:space="0" w:color="auto"/>
        <w:right w:val="none" w:sz="0" w:space="0" w:color="auto"/>
      </w:divBdr>
    </w:div>
    <w:div w:id="518471649">
      <w:bodyDiv w:val="1"/>
      <w:marLeft w:val="0"/>
      <w:marRight w:val="0"/>
      <w:marTop w:val="0"/>
      <w:marBottom w:val="0"/>
      <w:divBdr>
        <w:top w:val="none" w:sz="0" w:space="0" w:color="auto"/>
        <w:left w:val="none" w:sz="0" w:space="0" w:color="auto"/>
        <w:bottom w:val="none" w:sz="0" w:space="0" w:color="auto"/>
        <w:right w:val="none" w:sz="0" w:space="0" w:color="auto"/>
      </w:divBdr>
    </w:div>
    <w:div w:id="529072332">
      <w:bodyDiv w:val="1"/>
      <w:marLeft w:val="0"/>
      <w:marRight w:val="0"/>
      <w:marTop w:val="0"/>
      <w:marBottom w:val="0"/>
      <w:divBdr>
        <w:top w:val="none" w:sz="0" w:space="0" w:color="auto"/>
        <w:left w:val="none" w:sz="0" w:space="0" w:color="auto"/>
        <w:bottom w:val="none" w:sz="0" w:space="0" w:color="auto"/>
        <w:right w:val="none" w:sz="0" w:space="0" w:color="auto"/>
      </w:divBdr>
    </w:div>
    <w:div w:id="536896161">
      <w:bodyDiv w:val="1"/>
      <w:marLeft w:val="0"/>
      <w:marRight w:val="0"/>
      <w:marTop w:val="0"/>
      <w:marBottom w:val="0"/>
      <w:divBdr>
        <w:top w:val="none" w:sz="0" w:space="0" w:color="auto"/>
        <w:left w:val="none" w:sz="0" w:space="0" w:color="auto"/>
        <w:bottom w:val="none" w:sz="0" w:space="0" w:color="auto"/>
        <w:right w:val="none" w:sz="0" w:space="0" w:color="auto"/>
      </w:divBdr>
    </w:div>
    <w:div w:id="574246091">
      <w:bodyDiv w:val="1"/>
      <w:marLeft w:val="0"/>
      <w:marRight w:val="0"/>
      <w:marTop w:val="0"/>
      <w:marBottom w:val="0"/>
      <w:divBdr>
        <w:top w:val="none" w:sz="0" w:space="0" w:color="auto"/>
        <w:left w:val="none" w:sz="0" w:space="0" w:color="auto"/>
        <w:bottom w:val="none" w:sz="0" w:space="0" w:color="auto"/>
        <w:right w:val="none" w:sz="0" w:space="0" w:color="auto"/>
      </w:divBdr>
      <w:divsChild>
        <w:div w:id="456921524">
          <w:marLeft w:val="0"/>
          <w:marRight w:val="0"/>
          <w:marTop w:val="0"/>
          <w:marBottom w:val="0"/>
          <w:divBdr>
            <w:top w:val="none" w:sz="0" w:space="0" w:color="auto"/>
            <w:left w:val="none" w:sz="0" w:space="0" w:color="auto"/>
            <w:bottom w:val="none" w:sz="0" w:space="0" w:color="auto"/>
            <w:right w:val="none" w:sz="0" w:space="0" w:color="auto"/>
          </w:divBdr>
        </w:div>
        <w:div w:id="1079525209">
          <w:marLeft w:val="0"/>
          <w:marRight w:val="0"/>
          <w:marTop w:val="0"/>
          <w:marBottom w:val="0"/>
          <w:divBdr>
            <w:top w:val="none" w:sz="0" w:space="0" w:color="auto"/>
            <w:left w:val="none" w:sz="0" w:space="0" w:color="auto"/>
            <w:bottom w:val="none" w:sz="0" w:space="0" w:color="auto"/>
            <w:right w:val="none" w:sz="0" w:space="0" w:color="auto"/>
          </w:divBdr>
        </w:div>
        <w:div w:id="1138760193">
          <w:marLeft w:val="0"/>
          <w:marRight w:val="0"/>
          <w:marTop w:val="0"/>
          <w:marBottom w:val="0"/>
          <w:divBdr>
            <w:top w:val="none" w:sz="0" w:space="0" w:color="auto"/>
            <w:left w:val="none" w:sz="0" w:space="0" w:color="auto"/>
            <w:bottom w:val="none" w:sz="0" w:space="0" w:color="auto"/>
            <w:right w:val="none" w:sz="0" w:space="0" w:color="auto"/>
          </w:divBdr>
        </w:div>
        <w:div w:id="1259561441">
          <w:marLeft w:val="0"/>
          <w:marRight w:val="0"/>
          <w:marTop w:val="0"/>
          <w:marBottom w:val="0"/>
          <w:divBdr>
            <w:top w:val="none" w:sz="0" w:space="0" w:color="auto"/>
            <w:left w:val="none" w:sz="0" w:space="0" w:color="auto"/>
            <w:bottom w:val="none" w:sz="0" w:space="0" w:color="auto"/>
            <w:right w:val="none" w:sz="0" w:space="0" w:color="auto"/>
          </w:divBdr>
        </w:div>
        <w:div w:id="1586722960">
          <w:marLeft w:val="0"/>
          <w:marRight w:val="0"/>
          <w:marTop w:val="0"/>
          <w:marBottom w:val="0"/>
          <w:divBdr>
            <w:top w:val="none" w:sz="0" w:space="0" w:color="auto"/>
            <w:left w:val="none" w:sz="0" w:space="0" w:color="auto"/>
            <w:bottom w:val="none" w:sz="0" w:space="0" w:color="auto"/>
            <w:right w:val="none" w:sz="0" w:space="0" w:color="auto"/>
          </w:divBdr>
        </w:div>
        <w:div w:id="1791319438">
          <w:marLeft w:val="0"/>
          <w:marRight w:val="0"/>
          <w:marTop w:val="0"/>
          <w:marBottom w:val="0"/>
          <w:divBdr>
            <w:top w:val="none" w:sz="0" w:space="0" w:color="auto"/>
            <w:left w:val="none" w:sz="0" w:space="0" w:color="auto"/>
            <w:bottom w:val="none" w:sz="0" w:space="0" w:color="auto"/>
            <w:right w:val="none" w:sz="0" w:space="0" w:color="auto"/>
          </w:divBdr>
        </w:div>
      </w:divsChild>
    </w:div>
    <w:div w:id="581643982">
      <w:bodyDiv w:val="1"/>
      <w:marLeft w:val="0"/>
      <w:marRight w:val="0"/>
      <w:marTop w:val="0"/>
      <w:marBottom w:val="0"/>
      <w:divBdr>
        <w:top w:val="none" w:sz="0" w:space="0" w:color="auto"/>
        <w:left w:val="none" w:sz="0" w:space="0" w:color="auto"/>
        <w:bottom w:val="none" w:sz="0" w:space="0" w:color="auto"/>
        <w:right w:val="none" w:sz="0" w:space="0" w:color="auto"/>
      </w:divBdr>
    </w:div>
    <w:div w:id="589775535">
      <w:bodyDiv w:val="1"/>
      <w:marLeft w:val="60"/>
      <w:marRight w:val="60"/>
      <w:marTop w:val="60"/>
      <w:marBottom w:val="15"/>
      <w:divBdr>
        <w:top w:val="none" w:sz="0" w:space="0" w:color="auto"/>
        <w:left w:val="none" w:sz="0" w:space="0" w:color="auto"/>
        <w:bottom w:val="none" w:sz="0" w:space="0" w:color="auto"/>
        <w:right w:val="none" w:sz="0" w:space="0" w:color="auto"/>
      </w:divBdr>
      <w:divsChild>
        <w:div w:id="147940713">
          <w:marLeft w:val="0"/>
          <w:marRight w:val="0"/>
          <w:marTop w:val="0"/>
          <w:marBottom w:val="0"/>
          <w:divBdr>
            <w:top w:val="none" w:sz="0" w:space="0" w:color="auto"/>
            <w:left w:val="none" w:sz="0" w:space="0" w:color="auto"/>
            <w:bottom w:val="none" w:sz="0" w:space="0" w:color="auto"/>
            <w:right w:val="none" w:sz="0" w:space="0" w:color="auto"/>
          </w:divBdr>
        </w:div>
      </w:divsChild>
    </w:div>
    <w:div w:id="629434940">
      <w:bodyDiv w:val="1"/>
      <w:marLeft w:val="0"/>
      <w:marRight w:val="0"/>
      <w:marTop w:val="0"/>
      <w:marBottom w:val="0"/>
      <w:divBdr>
        <w:top w:val="none" w:sz="0" w:space="0" w:color="auto"/>
        <w:left w:val="none" w:sz="0" w:space="0" w:color="auto"/>
        <w:bottom w:val="none" w:sz="0" w:space="0" w:color="auto"/>
        <w:right w:val="none" w:sz="0" w:space="0" w:color="auto"/>
      </w:divBdr>
    </w:div>
    <w:div w:id="632949823">
      <w:bodyDiv w:val="1"/>
      <w:marLeft w:val="0"/>
      <w:marRight w:val="0"/>
      <w:marTop w:val="0"/>
      <w:marBottom w:val="0"/>
      <w:divBdr>
        <w:top w:val="none" w:sz="0" w:space="0" w:color="auto"/>
        <w:left w:val="none" w:sz="0" w:space="0" w:color="auto"/>
        <w:bottom w:val="none" w:sz="0" w:space="0" w:color="auto"/>
        <w:right w:val="none" w:sz="0" w:space="0" w:color="auto"/>
      </w:divBdr>
    </w:div>
    <w:div w:id="655694251">
      <w:bodyDiv w:val="1"/>
      <w:marLeft w:val="0"/>
      <w:marRight w:val="0"/>
      <w:marTop w:val="0"/>
      <w:marBottom w:val="0"/>
      <w:divBdr>
        <w:top w:val="none" w:sz="0" w:space="0" w:color="auto"/>
        <w:left w:val="none" w:sz="0" w:space="0" w:color="auto"/>
        <w:bottom w:val="none" w:sz="0" w:space="0" w:color="auto"/>
        <w:right w:val="none" w:sz="0" w:space="0" w:color="auto"/>
      </w:divBdr>
    </w:div>
    <w:div w:id="656229580">
      <w:bodyDiv w:val="1"/>
      <w:marLeft w:val="0"/>
      <w:marRight w:val="0"/>
      <w:marTop w:val="0"/>
      <w:marBottom w:val="0"/>
      <w:divBdr>
        <w:top w:val="none" w:sz="0" w:space="0" w:color="auto"/>
        <w:left w:val="none" w:sz="0" w:space="0" w:color="auto"/>
        <w:bottom w:val="none" w:sz="0" w:space="0" w:color="auto"/>
        <w:right w:val="none" w:sz="0" w:space="0" w:color="auto"/>
      </w:divBdr>
    </w:div>
    <w:div w:id="700323342">
      <w:bodyDiv w:val="1"/>
      <w:marLeft w:val="0"/>
      <w:marRight w:val="0"/>
      <w:marTop w:val="0"/>
      <w:marBottom w:val="0"/>
      <w:divBdr>
        <w:top w:val="none" w:sz="0" w:space="0" w:color="auto"/>
        <w:left w:val="none" w:sz="0" w:space="0" w:color="auto"/>
        <w:bottom w:val="none" w:sz="0" w:space="0" w:color="auto"/>
        <w:right w:val="none" w:sz="0" w:space="0" w:color="auto"/>
      </w:divBdr>
    </w:div>
    <w:div w:id="742873078">
      <w:bodyDiv w:val="1"/>
      <w:marLeft w:val="0"/>
      <w:marRight w:val="0"/>
      <w:marTop w:val="0"/>
      <w:marBottom w:val="0"/>
      <w:divBdr>
        <w:top w:val="none" w:sz="0" w:space="0" w:color="auto"/>
        <w:left w:val="none" w:sz="0" w:space="0" w:color="auto"/>
        <w:bottom w:val="none" w:sz="0" w:space="0" w:color="auto"/>
        <w:right w:val="none" w:sz="0" w:space="0" w:color="auto"/>
      </w:divBdr>
      <w:divsChild>
        <w:div w:id="252058510">
          <w:marLeft w:val="0"/>
          <w:marRight w:val="0"/>
          <w:marTop w:val="0"/>
          <w:marBottom w:val="0"/>
          <w:divBdr>
            <w:top w:val="none" w:sz="0" w:space="0" w:color="auto"/>
            <w:left w:val="none" w:sz="0" w:space="0" w:color="auto"/>
            <w:bottom w:val="none" w:sz="0" w:space="0" w:color="auto"/>
            <w:right w:val="none" w:sz="0" w:space="0" w:color="auto"/>
          </w:divBdr>
          <w:divsChild>
            <w:div w:id="169177897">
              <w:marLeft w:val="0"/>
              <w:marRight w:val="0"/>
              <w:marTop w:val="0"/>
              <w:marBottom w:val="0"/>
              <w:divBdr>
                <w:top w:val="none" w:sz="0" w:space="0" w:color="auto"/>
                <w:left w:val="none" w:sz="0" w:space="0" w:color="auto"/>
                <w:bottom w:val="none" w:sz="0" w:space="0" w:color="auto"/>
                <w:right w:val="none" w:sz="0" w:space="0" w:color="auto"/>
              </w:divBdr>
              <w:divsChild>
                <w:div w:id="14255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3491">
      <w:bodyDiv w:val="1"/>
      <w:marLeft w:val="0"/>
      <w:marRight w:val="0"/>
      <w:marTop w:val="0"/>
      <w:marBottom w:val="0"/>
      <w:divBdr>
        <w:top w:val="none" w:sz="0" w:space="0" w:color="auto"/>
        <w:left w:val="none" w:sz="0" w:space="0" w:color="auto"/>
        <w:bottom w:val="none" w:sz="0" w:space="0" w:color="auto"/>
        <w:right w:val="none" w:sz="0" w:space="0" w:color="auto"/>
      </w:divBdr>
    </w:div>
    <w:div w:id="770517773">
      <w:bodyDiv w:val="1"/>
      <w:marLeft w:val="0"/>
      <w:marRight w:val="0"/>
      <w:marTop w:val="0"/>
      <w:marBottom w:val="0"/>
      <w:divBdr>
        <w:top w:val="none" w:sz="0" w:space="0" w:color="auto"/>
        <w:left w:val="none" w:sz="0" w:space="0" w:color="auto"/>
        <w:bottom w:val="none" w:sz="0" w:space="0" w:color="auto"/>
        <w:right w:val="none" w:sz="0" w:space="0" w:color="auto"/>
      </w:divBdr>
    </w:div>
    <w:div w:id="792789992">
      <w:bodyDiv w:val="1"/>
      <w:marLeft w:val="0"/>
      <w:marRight w:val="0"/>
      <w:marTop w:val="0"/>
      <w:marBottom w:val="0"/>
      <w:divBdr>
        <w:top w:val="none" w:sz="0" w:space="0" w:color="auto"/>
        <w:left w:val="none" w:sz="0" w:space="0" w:color="auto"/>
        <w:bottom w:val="none" w:sz="0" w:space="0" w:color="auto"/>
        <w:right w:val="none" w:sz="0" w:space="0" w:color="auto"/>
      </w:divBdr>
    </w:div>
    <w:div w:id="818618794">
      <w:bodyDiv w:val="1"/>
      <w:marLeft w:val="0"/>
      <w:marRight w:val="0"/>
      <w:marTop w:val="0"/>
      <w:marBottom w:val="0"/>
      <w:divBdr>
        <w:top w:val="none" w:sz="0" w:space="0" w:color="auto"/>
        <w:left w:val="none" w:sz="0" w:space="0" w:color="auto"/>
        <w:bottom w:val="none" w:sz="0" w:space="0" w:color="auto"/>
        <w:right w:val="none" w:sz="0" w:space="0" w:color="auto"/>
      </w:divBdr>
    </w:div>
    <w:div w:id="856388434">
      <w:bodyDiv w:val="1"/>
      <w:marLeft w:val="0"/>
      <w:marRight w:val="0"/>
      <w:marTop w:val="0"/>
      <w:marBottom w:val="0"/>
      <w:divBdr>
        <w:top w:val="none" w:sz="0" w:space="0" w:color="auto"/>
        <w:left w:val="none" w:sz="0" w:space="0" w:color="auto"/>
        <w:bottom w:val="none" w:sz="0" w:space="0" w:color="auto"/>
        <w:right w:val="none" w:sz="0" w:space="0" w:color="auto"/>
      </w:divBdr>
    </w:div>
    <w:div w:id="865873868">
      <w:bodyDiv w:val="1"/>
      <w:marLeft w:val="0"/>
      <w:marRight w:val="0"/>
      <w:marTop w:val="0"/>
      <w:marBottom w:val="0"/>
      <w:divBdr>
        <w:top w:val="none" w:sz="0" w:space="0" w:color="auto"/>
        <w:left w:val="none" w:sz="0" w:space="0" w:color="auto"/>
        <w:bottom w:val="none" w:sz="0" w:space="0" w:color="auto"/>
        <w:right w:val="none" w:sz="0" w:space="0" w:color="auto"/>
      </w:divBdr>
      <w:divsChild>
        <w:div w:id="844051871">
          <w:marLeft w:val="0"/>
          <w:marRight w:val="0"/>
          <w:marTop w:val="0"/>
          <w:marBottom w:val="0"/>
          <w:divBdr>
            <w:top w:val="none" w:sz="0" w:space="0" w:color="auto"/>
            <w:left w:val="none" w:sz="0" w:space="0" w:color="auto"/>
            <w:bottom w:val="none" w:sz="0" w:space="0" w:color="auto"/>
            <w:right w:val="none" w:sz="0" w:space="0" w:color="auto"/>
          </w:divBdr>
          <w:divsChild>
            <w:div w:id="11887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3774">
      <w:bodyDiv w:val="1"/>
      <w:marLeft w:val="0"/>
      <w:marRight w:val="0"/>
      <w:marTop w:val="0"/>
      <w:marBottom w:val="0"/>
      <w:divBdr>
        <w:top w:val="none" w:sz="0" w:space="0" w:color="auto"/>
        <w:left w:val="none" w:sz="0" w:space="0" w:color="auto"/>
        <w:bottom w:val="none" w:sz="0" w:space="0" w:color="auto"/>
        <w:right w:val="none" w:sz="0" w:space="0" w:color="auto"/>
      </w:divBdr>
    </w:div>
    <w:div w:id="879242334">
      <w:bodyDiv w:val="1"/>
      <w:marLeft w:val="0"/>
      <w:marRight w:val="0"/>
      <w:marTop w:val="0"/>
      <w:marBottom w:val="0"/>
      <w:divBdr>
        <w:top w:val="none" w:sz="0" w:space="0" w:color="auto"/>
        <w:left w:val="none" w:sz="0" w:space="0" w:color="auto"/>
        <w:bottom w:val="none" w:sz="0" w:space="0" w:color="auto"/>
        <w:right w:val="none" w:sz="0" w:space="0" w:color="auto"/>
      </w:divBdr>
      <w:divsChild>
        <w:div w:id="1539852271">
          <w:marLeft w:val="0"/>
          <w:marRight w:val="0"/>
          <w:marTop w:val="0"/>
          <w:marBottom w:val="0"/>
          <w:divBdr>
            <w:top w:val="none" w:sz="0" w:space="0" w:color="auto"/>
            <w:left w:val="none" w:sz="0" w:space="0" w:color="auto"/>
            <w:bottom w:val="none" w:sz="0" w:space="0" w:color="auto"/>
            <w:right w:val="none" w:sz="0" w:space="0" w:color="auto"/>
          </w:divBdr>
        </w:div>
      </w:divsChild>
    </w:div>
    <w:div w:id="887716589">
      <w:bodyDiv w:val="1"/>
      <w:marLeft w:val="0"/>
      <w:marRight w:val="0"/>
      <w:marTop w:val="0"/>
      <w:marBottom w:val="0"/>
      <w:divBdr>
        <w:top w:val="none" w:sz="0" w:space="0" w:color="auto"/>
        <w:left w:val="none" w:sz="0" w:space="0" w:color="auto"/>
        <w:bottom w:val="none" w:sz="0" w:space="0" w:color="auto"/>
        <w:right w:val="none" w:sz="0" w:space="0" w:color="auto"/>
      </w:divBdr>
    </w:div>
    <w:div w:id="917901611">
      <w:bodyDiv w:val="1"/>
      <w:marLeft w:val="0"/>
      <w:marRight w:val="0"/>
      <w:marTop w:val="0"/>
      <w:marBottom w:val="0"/>
      <w:divBdr>
        <w:top w:val="none" w:sz="0" w:space="0" w:color="auto"/>
        <w:left w:val="none" w:sz="0" w:space="0" w:color="auto"/>
        <w:bottom w:val="none" w:sz="0" w:space="0" w:color="auto"/>
        <w:right w:val="none" w:sz="0" w:space="0" w:color="auto"/>
      </w:divBdr>
    </w:div>
    <w:div w:id="945233790">
      <w:bodyDiv w:val="1"/>
      <w:marLeft w:val="0"/>
      <w:marRight w:val="0"/>
      <w:marTop w:val="0"/>
      <w:marBottom w:val="0"/>
      <w:divBdr>
        <w:top w:val="none" w:sz="0" w:space="0" w:color="auto"/>
        <w:left w:val="none" w:sz="0" w:space="0" w:color="auto"/>
        <w:bottom w:val="none" w:sz="0" w:space="0" w:color="auto"/>
        <w:right w:val="none" w:sz="0" w:space="0" w:color="auto"/>
      </w:divBdr>
    </w:div>
    <w:div w:id="950471914">
      <w:bodyDiv w:val="1"/>
      <w:marLeft w:val="0"/>
      <w:marRight w:val="0"/>
      <w:marTop w:val="0"/>
      <w:marBottom w:val="0"/>
      <w:divBdr>
        <w:top w:val="none" w:sz="0" w:space="0" w:color="auto"/>
        <w:left w:val="none" w:sz="0" w:space="0" w:color="auto"/>
        <w:bottom w:val="none" w:sz="0" w:space="0" w:color="auto"/>
        <w:right w:val="none" w:sz="0" w:space="0" w:color="auto"/>
      </w:divBdr>
    </w:div>
    <w:div w:id="972102682">
      <w:bodyDiv w:val="1"/>
      <w:marLeft w:val="0"/>
      <w:marRight w:val="0"/>
      <w:marTop w:val="0"/>
      <w:marBottom w:val="0"/>
      <w:divBdr>
        <w:top w:val="none" w:sz="0" w:space="0" w:color="auto"/>
        <w:left w:val="none" w:sz="0" w:space="0" w:color="auto"/>
        <w:bottom w:val="none" w:sz="0" w:space="0" w:color="auto"/>
        <w:right w:val="none" w:sz="0" w:space="0" w:color="auto"/>
      </w:divBdr>
      <w:divsChild>
        <w:div w:id="67969808">
          <w:marLeft w:val="0"/>
          <w:marRight w:val="0"/>
          <w:marTop w:val="0"/>
          <w:marBottom w:val="0"/>
          <w:divBdr>
            <w:top w:val="none" w:sz="0" w:space="0" w:color="auto"/>
            <w:left w:val="none" w:sz="0" w:space="0" w:color="auto"/>
            <w:bottom w:val="none" w:sz="0" w:space="0" w:color="auto"/>
            <w:right w:val="none" w:sz="0" w:space="0" w:color="auto"/>
          </w:divBdr>
        </w:div>
      </w:divsChild>
    </w:div>
    <w:div w:id="974142801">
      <w:bodyDiv w:val="1"/>
      <w:marLeft w:val="0"/>
      <w:marRight w:val="0"/>
      <w:marTop w:val="0"/>
      <w:marBottom w:val="0"/>
      <w:divBdr>
        <w:top w:val="none" w:sz="0" w:space="0" w:color="auto"/>
        <w:left w:val="none" w:sz="0" w:space="0" w:color="auto"/>
        <w:bottom w:val="none" w:sz="0" w:space="0" w:color="auto"/>
        <w:right w:val="none" w:sz="0" w:space="0" w:color="auto"/>
      </w:divBdr>
    </w:div>
    <w:div w:id="982005204">
      <w:bodyDiv w:val="1"/>
      <w:marLeft w:val="0"/>
      <w:marRight w:val="0"/>
      <w:marTop w:val="0"/>
      <w:marBottom w:val="0"/>
      <w:divBdr>
        <w:top w:val="none" w:sz="0" w:space="0" w:color="auto"/>
        <w:left w:val="none" w:sz="0" w:space="0" w:color="auto"/>
        <w:bottom w:val="none" w:sz="0" w:space="0" w:color="auto"/>
        <w:right w:val="none" w:sz="0" w:space="0" w:color="auto"/>
      </w:divBdr>
    </w:div>
    <w:div w:id="1009526362">
      <w:bodyDiv w:val="1"/>
      <w:marLeft w:val="0"/>
      <w:marRight w:val="0"/>
      <w:marTop w:val="0"/>
      <w:marBottom w:val="0"/>
      <w:divBdr>
        <w:top w:val="none" w:sz="0" w:space="0" w:color="auto"/>
        <w:left w:val="none" w:sz="0" w:space="0" w:color="auto"/>
        <w:bottom w:val="none" w:sz="0" w:space="0" w:color="auto"/>
        <w:right w:val="none" w:sz="0" w:space="0" w:color="auto"/>
      </w:divBdr>
    </w:div>
    <w:div w:id="1017006945">
      <w:bodyDiv w:val="1"/>
      <w:marLeft w:val="0"/>
      <w:marRight w:val="0"/>
      <w:marTop w:val="0"/>
      <w:marBottom w:val="0"/>
      <w:divBdr>
        <w:top w:val="none" w:sz="0" w:space="0" w:color="auto"/>
        <w:left w:val="none" w:sz="0" w:space="0" w:color="auto"/>
        <w:bottom w:val="none" w:sz="0" w:space="0" w:color="auto"/>
        <w:right w:val="none" w:sz="0" w:space="0" w:color="auto"/>
      </w:divBdr>
    </w:div>
    <w:div w:id="1023550409">
      <w:bodyDiv w:val="1"/>
      <w:marLeft w:val="0"/>
      <w:marRight w:val="0"/>
      <w:marTop w:val="0"/>
      <w:marBottom w:val="0"/>
      <w:divBdr>
        <w:top w:val="none" w:sz="0" w:space="0" w:color="auto"/>
        <w:left w:val="none" w:sz="0" w:space="0" w:color="auto"/>
        <w:bottom w:val="none" w:sz="0" w:space="0" w:color="auto"/>
        <w:right w:val="none" w:sz="0" w:space="0" w:color="auto"/>
      </w:divBdr>
    </w:div>
    <w:div w:id="1094087568">
      <w:bodyDiv w:val="1"/>
      <w:marLeft w:val="0"/>
      <w:marRight w:val="0"/>
      <w:marTop w:val="0"/>
      <w:marBottom w:val="0"/>
      <w:divBdr>
        <w:top w:val="none" w:sz="0" w:space="0" w:color="auto"/>
        <w:left w:val="none" w:sz="0" w:space="0" w:color="auto"/>
        <w:bottom w:val="none" w:sz="0" w:space="0" w:color="auto"/>
        <w:right w:val="none" w:sz="0" w:space="0" w:color="auto"/>
      </w:divBdr>
    </w:div>
    <w:div w:id="1094741532">
      <w:bodyDiv w:val="1"/>
      <w:marLeft w:val="0"/>
      <w:marRight w:val="0"/>
      <w:marTop w:val="0"/>
      <w:marBottom w:val="0"/>
      <w:divBdr>
        <w:top w:val="none" w:sz="0" w:space="0" w:color="auto"/>
        <w:left w:val="none" w:sz="0" w:space="0" w:color="auto"/>
        <w:bottom w:val="none" w:sz="0" w:space="0" w:color="auto"/>
        <w:right w:val="none" w:sz="0" w:space="0" w:color="auto"/>
      </w:divBdr>
    </w:div>
    <w:div w:id="1120345780">
      <w:bodyDiv w:val="1"/>
      <w:marLeft w:val="0"/>
      <w:marRight w:val="0"/>
      <w:marTop w:val="0"/>
      <w:marBottom w:val="0"/>
      <w:divBdr>
        <w:top w:val="none" w:sz="0" w:space="0" w:color="auto"/>
        <w:left w:val="none" w:sz="0" w:space="0" w:color="auto"/>
        <w:bottom w:val="none" w:sz="0" w:space="0" w:color="auto"/>
        <w:right w:val="none" w:sz="0" w:space="0" w:color="auto"/>
      </w:divBdr>
    </w:div>
    <w:div w:id="1124157171">
      <w:bodyDiv w:val="1"/>
      <w:marLeft w:val="0"/>
      <w:marRight w:val="0"/>
      <w:marTop w:val="0"/>
      <w:marBottom w:val="0"/>
      <w:divBdr>
        <w:top w:val="none" w:sz="0" w:space="0" w:color="auto"/>
        <w:left w:val="none" w:sz="0" w:space="0" w:color="auto"/>
        <w:bottom w:val="none" w:sz="0" w:space="0" w:color="auto"/>
        <w:right w:val="none" w:sz="0" w:space="0" w:color="auto"/>
      </w:divBdr>
      <w:divsChild>
        <w:div w:id="233249886">
          <w:marLeft w:val="0"/>
          <w:marRight w:val="0"/>
          <w:marTop w:val="0"/>
          <w:marBottom w:val="0"/>
          <w:divBdr>
            <w:top w:val="none" w:sz="0" w:space="0" w:color="auto"/>
            <w:left w:val="none" w:sz="0" w:space="0" w:color="auto"/>
            <w:bottom w:val="none" w:sz="0" w:space="0" w:color="auto"/>
            <w:right w:val="none" w:sz="0" w:space="0" w:color="auto"/>
          </w:divBdr>
        </w:div>
      </w:divsChild>
    </w:div>
    <w:div w:id="1207916038">
      <w:bodyDiv w:val="1"/>
      <w:marLeft w:val="0"/>
      <w:marRight w:val="0"/>
      <w:marTop w:val="0"/>
      <w:marBottom w:val="0"/>
      <w:divBdr>
        <w:top w:val="none" w:sz="0" w:space="0" w:color="auto"/>
        <w:left w:val="none" w:sz="0" w:space="0" w:color="auto"/>
        <w:bottom w:val="none" w:sz="0" w:space="0" w:color="auto"/>
        <w:right w:val="none" w:sz="0" w:space="0" w:color="auto"/>
      </w:divBdr>
    </w:div>
    <w:div w:id="1226600143">
      <w:bodyDiv w:val="1"/>
      <w:marLeft w:val="0"/>
      <w:marRight w:val="0"/>
      <w:marTop w:val="0"/>
      <w:marBottom w:val="0"/>
      <w:divBdr>
        <w:top w:val="none" w:sz="0" w:space="0" w:color="auto"/>
        <w:left w:val="none" w:sz="0" w:space="0" w:color="auto"/>
        <w:bottom w:val="none" w:sz="0" w:space="0" w:color="auto"/>
        <w:right w:val="none" w:sz="0" w:space="0" w:color="auto"/>
      </w:divBdr>
    </w:div>
    <w:div w:id="1227566580">
      <w:bodyDiv w:val="1"/>
      <w:marLeft w:val="0"/>
      <w:marRight w:val="0"/>
      <w:marTop w:val="0"/>
      <w:marBottom w:val="0"/>
      <w:divBdr>
        <w:top w:val="none" w:sz="0" w:space="0" w:color="auto"/>
        <w:left w:val="none" w:sz="0" w:space="0" w:color="auto"/>
        <w:bottom w:val="none" w:sz="0" w:space="0" w:color="auto"/>
        <w:right w:val="none" w:sz="0" w:space="0" w:color="auto"/>
      </w:divBdr>
      <w:divsChild>
        <w:div w:id="594944424">
          <w:marLeft w:val="0"/>
          <w:marRight w:val="0"/>
          <w:marTop w:val="0"/>
          <w:marBottom w:val="0"/>
          <w:divBdr>
            <w:top w:val="none" w:sz="0" w:space="0" w:color="auto"/>
            <w:left w:val="none" w:sz="0" w:space="0" w:color="auto"/>
            <w:bottom w:val="none" w:sz="0" w:space="0" w:color="auto"/>
            <w:right w:val="none" w:sz="0" w:space="0" w:color="auto"/>
          </w:divBdr>
        </w:div>
      </w:divsChild>
    </w:div>
    <w:div w:id="1267083344">
      <w:bodyDiv w:val="1"/>
      <w:marLeft w:val="0"/>
      <w:marRight w:val="0"/>
      <w:marTop w:val="0"/>
      <w:marBottom w:val="0"/>
      <w:divBdr>
        <w:top w:val="none" w:sz="0" w:space="0" w:color="auto"/>
        <w:left w:val="none" w:sz="0" w:space="0" w:color="auto"/>
        <w:bottom w:val="none" w:sz="0" w:space="0" w:color="auto"/>
        <w:right w:val="none" w:sz="0" w:space="0" w:color="auto"/>
      </w:divBdr>
    </w:div>
    <w:div w:id="1269896535">
      <w:bodyDiv w:val="1"/>
      <w:marLeft w:val="0"/>
      <w:marRight w:val="0"/>
      <w:marTop w:val="0"/>
      <w:marBottom w:val="0"/>
      <w:divBdr>
        <w:top w:val="none" w:sz="0" w:space="0" w:color="auto"/>
        <w:left w:val="none" w:sz="0" w:space="0" w:color="auto"/>
        <w:bottom w:val="none" w:sz="0" w:space="0" w:color="auto"/>
        <w:right w:val="none" w:sz="0" w:space="0" w:color="auto"/>
      </w:divBdr>
    </w:div>
    <w:div w:id="1281687573">
      <w:bodyDiv w:val="1"/>
      <w:marLeft w:val="0"/>
      <w:marRight w:val="0"/>
      <w:marTop w:val="0"/>
      <w:marBottom w:val="0"/>
      <w:divBdr>
        <w:top w:val="none" w:sz="0" w:space="0" w:color="auto"/>
        <w:left w:val="none" w:sz="0" w:space="0" w:color="auto"/>
        <w:bottom w:val="none" w:sz="0" w:space="0" w:color="auto"/>
        <w:right w:val="none" w:sz="0" w:space="0" w:color="auto"/>
      </w:divBdr>
    </w:div>
    <w:div w:id="1310860495">
      <w:bodyDiv w:val="1"/>
      <w:marLeft w:val="0"/>
      <w:marRight w:val="0"/>
      <w:marTop w:val="0"/>
      <w:marBottom w:val="0"/>
      <w:divBdr>
        <w:top w:val="none" w:sz="0" w:space="0" w:color="auto"/>
        <w:left w:val="none" w:sz="0" w:space="0" w:color="auto"/>
        <w:bottom w:val="none" w:sz="0" w:space="0" w:color="auto"/>
        <w:right w:val="none" w:sz="0" w:space="0" w:color="auto"/>
      </w:divBdr>
    </w:div>
    <w:div w:id="1312370221">
      <w:bodyDiv w:val="1"/>
      <w:marLeft w:val="0"/>
      <w:marRight w:val="0"/>
      <w:marTop w:val="0"/>
      <w:marBottom w:val="0"/>
      <w:divBdr>
        <w:top w:val="none" w:sz="0" w:space="0" w:color="auto"/>
        <w:left w:val="none" w:sz="0" w:space="0" w:color="auto"/>
        <w:bottom w:val="none" w:sz="0" w:space="0" w:color="auto"/>
        <w:right w:val="none" w:sz="0" w:space="0" w:color="auto"/>
      </w:divBdr>
    </w:div>
    <w:div w:id="1364938348">
      <w:bodyDiv w:val="1"/>
      <w:marLeft w:val="0"/>
      <w:marRight w:val="0"/>
      <w:marTop w:val="0"/>
      <w:marBottom w:val="0"/>
      <w:divBdr>
        <w:top w:val="none" w:sz="0" w:space="0" w:color="auto"/>
        <w:left w:val="none" w:sz="0" w:space="0" w:color="auto"/>
        <w:bottom w:val="none" w:sz="0" w:space="0" w:color="auto"/>
        <w:right w:val="none" w:sz="0" w:space="0" w:color="auto"/>
      </w:divBdr>
      <w:divsChild>
        <w:div w:id="178084792">
          <w:marLeft w:val="0"/>
          <w:marRight w:val="0"/>
          <w:marTop w:val="0"/>
          <w:marBottom w:val="0"/>
          <w:divBdr>
            <w:top w:val="none" w:sz="0" w:space="0" w:color="auto"/>
            <w:left w:val="none" w:sz="0" w:space="0" w:color="auto"/>
            <w:bottom w:val="none" w:sz="0" w:space="0" w:color="auto"/>
            <w:right w:val="none" w:sz="0" w:space="0" w:color="auto"/>
          </w:divBdr>
        </w:div>
        <w:div w:id="536233407">
          <w:marLeft w:val="0"/>
          <w:marRight w:val="0"/>
          <w:marTop w:val="0"/>
          <w:marBottom w:val="0"/>
          <w:divBdr>
            <w:top w:val="none" w:sz="0" w:space="0" w:color="auto"/>
            <w:left w:val="none" w:sz="0" w:space="0" w:color="auto"/>
            <w:bottom w:val="none" w:sz="0" w:space="0" w:color="auto"/>
            <w:right w:val="none" w:sz="0" w:space="0" w:color="auto"/>
          </w:divBdr>
        </w:div>
        <w:div w:id="851800202">
          <w:marLeft w:val="0"/>
          <w:marRight w:val="0"/>
          <w:marTop w:val="0"/>
          <w:marBottom w:val="0"/>
          <w:divBdr>
            <w:top w:val="none" w:sz="0" w:space="0" w:color="auto"/>
            <w:left w:val="none" w:sz="0" w:space="0" w:color="auto"/>
            <w:bottom w:val="none" w:sz="0" w:space="0" w:color="auto"/>
            <w:right w:val="none" w:sz="0" w:space="0" w:color="auto"/>
          </w:divBdr>
        </w:div>
        <w:div w:id="863251460">
          <w:marLeft w:val="0"/>
          <w:marRight w:val="0"/>
          <w:marTop w:val="0"/>
          <w:marBottom w:val="0"/>
          <w:divBdr>
            <w:top w:val="none" w:sz="0" w:space="0" w:color="auto"/>
            <w:left w:val="none" w:sz="0" w:space="0" w:color="auto"/>
            <w:bottom w:val="none" w:sz="0" w:space="0" w:color="auto"/>
            <w:right w:val="none" w:sz="0" w:space="0" w:color="auto"/>
          </w:divBdr>
        </w:div>
        <w:div w:id="1345547274">
          <w:marLeft w:val="0"/>
          <w:marRight w:val="0"/>
          <w:marTop w:val="0"/>
          <w:marBottom w:val="0"/>
          <w:divBdr>
            <w:top w:val="none" w:sz="0" w:space="0" w:color="auto"/>
            <w:left w:val="none" w:sz="0" w:space="0" w:color="auto"/>
            <w:bottom w:val="none" w:sz="0" w:space="0" w:color="auto"/>
            <w:right w:val="none" w:sz="0" w:space="0" w:color="auto"/>
          </w:divBdr>
        </w:div>
        <w:div w:id="1675719109">
          <w:marLeft w:val="0"/>
          <w:marRight w:val="0"/>
          <w:marTop w:val="0"/>
          <w:marBottom w:val="0"/>
          <w:divBdr>
            <w:top w:val="none" w:sz="0" w:space="0" w:color="auto"/>
            <w:left w:val="none" w:sz="0" w:space="0" w:color="auto"/>
            <w:bottom w:val="none" w:sz="0" w:space="0" w:color="auto"/>
            <w:right w:val="none" w:sz="0" w:space="0" w:color="auto"/>
          </w:divBdr>
        </w:div>
      </w:divsChild>
    </w:div>
    <w:div w:id="1378242918">
      <w:bodyDiv w:val="1"/>
      <w:marLeft w:val="0"/>
      <w:marRight w:val="0"/>
      <w:marTop w:val="0"/>
      <w:marBottom w:val="0"/>
      <w:divBdr>
        <w:top w:val="none" w:sz="0" w:space="0" w:color="auto"/>
        <w:left w:val="none" w:sz="0" w:space="0" w:color="auto"/>
        <w:bottom w:val="none" w:sz="0" w:space="0" w:color="auto"/>
        <w:right w:val="none" w:sz="0" w:space="0" w:color="auto"/>
      </w:divBdr>
      <w:divsChild>
        <w:div w:id="54623598">
          <w:marLeft w:val="0"/>
          <w:marRight w:val="0"/>
          <w:marTop w:val="0"/>
          <w:marBottom w:val="0"/>
          <w:divBdr>
            <w:top w:val="none" w:sz="0" w:space="0" w:color="auto"/>
            <w:left w:val="none" w:sz="0" w:space="0" w:color="auto"/>
            <w:bottom w:val="none" w:sz="0" w:space="0" w:color="auto"/>
            <w:right w:val="none" w:sz="0" w:space="0" w:color="auto"/>
          </w:divBdr>
        </w:div>
        <w:div w:id="204559632">
          <w:marLeft w:val="0"/>
          <w:marRight w:val="0"/>
          <w:marTop w:val="0"/>
          <w:marBottom w:val="0"/>
          <w:divBdr>
            <w:top w:val="none" w:sz="0" w:space="0" w:color="auto"/>
            <w:left w:val="none" w:sz="0" w:space="0" w:color="auto"/>
            <w:bottom w:val="none" w:sz="0" w:space="0" w:color="auto"/>
            <w:right w:val="none" w:sz="0" w:space="0" w:color="auto"/>
          </w:divBdr>
        </w:div>
        <w:div w:id="284239874">
          <w:marLeft w:val="0"/>
          <w:marRight w:val="0"/>
          <w:marTop w:val="0"/>
          <w:marBottom w:val="0"/>
          <w:divBdr>
            <w:top w:val="none" w:sz="0" w:space="0" w:color="auto"/>
            <w:left w:val="none" w:sz="0" w:space="0" w:color="auto"/>
            <w:bottom w:val="none" w:sz="0" w:space="0" w:color="auto"/>
            <w:right w:val="none" w:sz="0" w:space="0" w:color="auto"/>
          </w:divBdr>
        </w:div>
        <w:div w:id="1441535036">
          <w:marLeft w:val="0"/>
          <w:marRight w:val="0"/>
          <w:marTop w:val="0"/>
          <w:marBottom w:val="0"/>
          <w:divBdr>
            <w:top w:val="none" w:sz="0" w:space="0" w:color="auto"/>
            <w:left w:val="none" w:sz="0" w:space="0" w:color="auto"/>
            <w:bottom w:val="none" w:sz="0" w:space="0" w:color="auto"/>
            <w:right w:val="none" w:sz="0" w:space="0" w:color="auto"/>
          </w:divBdr>
        </w:div>
        <w:div w:id="1504859936">
          <w:marLeft w:val="0"/>
          <w:marRight w:val="0"/>
          <w:marTop w:val="0"/>
          <w:marBottom w:val="0"/>
          <w:divBdr>
            <w:top w:val="none" w:sz="0" w:space="0" w:color="auto"/>
            <w:left w:val="none" w:sz="0" w:space="0" w:color="auto"/>
            <w:bottom w:val="none" w:sz="0" w:space="0" w:color="auto"/>
            <w:right w:val="none" w:sz="0" w:space="0" w:color="auto"/>
          </w:divBdr>
        </w:div>
        <w:div w:id="2020617506">
          <w:marLeft w:val="0"/>
          <w:marRight w:val="0"/>
          <w:marTop w:val="0"/>
          <w:marBottom w:val="0"/>
          <w:divBdr>
            <w:top w:val="none" w:sz="0" w:space="0" w:color="auto"/>
            <w:left w:val="none" w:sz="0" w:space="0" w:color="auto"/>
            <w:bottom w:val="none" w:sz="0" w:space="0" w:color="auto"/>
            <w:right w:val="none" w:sz="0" w:space="0" w:color="auto"/>
          </w:divBdr>
        </w:div>
      </w:divsChild>
    </w:div>
    <w:div w:id="1398817965">
      <w:bodyDiv w:val="1"/>
      <w:marLeft w:val="0"/>
      <w:marRight w:val="0"/>
      <w:marTop w:val="0"/>
      <w:marBottom w:val="0"/>
      <w:divBdr>
        <w:top w:val="none" w:sz="0" w:space="0" w:color="auto"/>
        <w:left w:val="none" w:sz="0" w:space="0" w:color="auto"/>
        <w:bottom w:val="none" w:sz="0" w:space="0" w:color="auto"/>
        <w:right w:val="none" w:sz="0" w:space="0" w:color="auto"/>
      </w:divBdr>
    </w:div>
    <w:div w:id="1404723417">
      <w:bodyDiv w:val="1"/>
      <w:marLeft w:val="0"/>
      <w:marRight w:val="0"/>
      <w:marTop w:val="0"/>
      <w:marBottom w:val="0"/>
      <w:divBdr>
        <w:top w:val="none" w:sz="0" w:space="0" w:color="auto"/>
        <w:left w:val="none" w:sz="0" w:space="0" w:color="auto"/>
        <w:bottom w:val="none" w:sz="0" w:space="0" w:color="auto"/>
        <w:right w:val="none" w:sz="0" w:space="0" w:color="auto"/>
      </w:divBdr>
      <w:divsChild>
        <w:div w:id="1133980937">
          <w:marLeft w:val="0"/>
          <w:marRight w:val="0"/>
          <w:marTop w:val="0"/>
          <w:marBottom w:val="0"/>
          <w:divBdr>
            <w:top w:val="none" w:sz="0" w:space="0" w:color="auto"/>
            <w:left w:val="none" w:sz="0" w:space="0" w:color="auto"/>
            <w:bottom w:val="none" w:sz="0" w:space="0" w:color="auto"/>
            <w:right w:val="none" w:sz="0" w:space="0" w:color="auto"/>
          </w:divBdr>
        </w:div>
        <w:div w:id="1490247244">
          <w:marLeft w:val="0"/>
          <w:marRight w:val="0"/>
          <w:marTop w:val="0"/>
          <w:marBottom w:val="0"/>
          <w:divBdr>
            <w:top w:val="none" w:sz="0" w:space="0" w:color="auto"/>
            <w:left w:val="none" w:sz="0" w:space="0" w:color="auto"/>
            <w:bottom w:val="none" w:sz="0" w:space="0" w:color="auto"/>
            <w:right w:val="none" w:sz="0" w:space="0" w:color="auto"/>
          </w:divBdr>
        </w:div>
        <w:div w:id="888763049">
          <w:marLeft w:val="0"/>
          <w:marRight w:val="0"/>
          <w:marTop w:val="0"/>
          <w:marBottom w:val="0"/>
          <w:divBdr>
            <w:top w:val="none" w:sz="0" w:space="0" w:color="auto"/>
            <w:left w:val="none" w:sz="0" w:space="0" w:color="auto"/>
            <w:bottom w:val="none" w:sz="0" w:space="0" w:color="auto"/>
            <w:right w:val="none" w:sz="0" w:space="0" w:color="auto"/>
          </w:divBdr>
        </w:div>
        <w:div w:id="1419404547">
          <w:marLeft w:val="0"/>
          <w:marRight w:val="0"/>
          <w:marTop w:val="0"/>
          <w:marBottom w:val="0"/>
          <w:divBdr>
            <w:top w:val="none" w:sz="0" w:space="0" w:color="auto"/>
            <w:left w:val="none" w:sz="0" w:space="0" w:color="auto"/>
            <w:bottom w:val="none" w:sz="0" w:space="0" w:color="auto"/>
            <w:right w:val="none" w:sz="0" w:space="0" w:color="auto"/>
          </w:divBdr>
        </w:div>
        <w:div w:id="1134566599">
          <w:marLeft w:val="0"/>
          <w:marRight w:val="0"/>
          <w:marTop w:val="0"/>
          <w:marBottom w:val="0"/>
          <w:divBdr>
            <w:top w:val="none" w:sz="0" w:space="0" w:color="auto"/>
            <w:left w:val="none" w:sz="0" w:space="0" w:color="auto"/>
            <w:bottom w:val="none" w:sz="0" w:space="0" w:color="auto"/>
            <w:right w:val="none" w:sz="0" w:space="0" w:color="auto"/>
          </w:divBdr>
        </w:div>
        <w:div w:id="495075217">
          <w:marLeft w:val="0"/>
          <w:marRight w:val="0"/>
          <w:marTop w:val="0"/>
          <w:marBottom w:val="0"/>
          <w:divBdr>
            <w:top w:val="none" w:sz="0" w:space="0" w:color="auto"/>
            <w:left w:val="none" w:sz="0" w:space="0" w:color="auto"/>
            <w:bottom w:val="none" w:sz="0" w:space="0" w:color="auto"/>
            <w:right w:val="none" w:sz="0" w:space="0" w:color="auto"/>
          </w:divBdr>
        </w:div>
        <w:div w:id="1031539658">
          <w:marLeft w:val="0"/>
          <w:marRight w:val="0"/>
          <w:marTop w:val="0"/>
          <w:marBottom w:val="0"/>
          <w:divBdr>
            <w:top w:val="none" w:sz="0" w:space="0" w:color="auto"/>
            <w:left w:val="none" w:sz="0" w:space="0" w:color="auto"/>
            <w:bottom w:val="none" w:sz="0" w:space="0" w:color="auto"/>
            <w:right w:val="none" w:sz="0" w:space="0" w:color="auto"/>
          </w:divBdr>
        </w:div>
      </w:divsChild>
    </w:div>
    <w:div w:id="1405488158">
      <w:bodyDiv w:val="1"/>
      <w:marLeft w:val="0"/>
      <w:marRight w:val="0"/>
      <w:marTop w:val="0"/>
      <w:marBottom w:val="0"/>
      <w:divBdr>
        <w:top w:val="none" w:sz="0" w:space="0" w:color="auto"/>
        <w:left w:val="none" w:sz="0" w:space="0" w:color="auto"/>
        <w:bottom w:val="none" w:sz="0" w:space="0" w:color="auto"/>
        <w:right w:val="none" w:sz="0" w:space="0" w:color="auto"/>
      </w:divBdr>
    </w:div>
    <w:div w:id="1444765358">
      <w:bodyDiv w:val="1"/>
      <w:marLeft w:val="0"/>
      <w:marRight w:val="0"/>
      <w:marTop w:val="0"/>
      <w:marBottom w:val="0"/>
      <w:divBdr>
        <w:top w:val="none" w:sz="0" w:space="0" w:color="auto"/>
        <w:left w:val="none" w:sz="0" w:space="0" w:color="auto"/>
        <w:bottom w:val="none" w:sz="0" w:space="0" w:color="auto"/>
        <w:right w:val="none" w:sz="0" w:space="0" w:color="auto"/>
      </w:divBdr>
    </w:div>
    <w:div w:id="1473643921">
      <w:bodyDiv w:val="1"/>
      <w:marLeft w:val="0"/>
      <w:marRight w:val="0"/>
      <w:marTop w:val="0"/>
      <w:marBottom w:val="0"/>
      <w:divBdr>
        <w:top w:val="none" w:sz="0" w:space="0" w:color="auto"/>
        <w:left w:val="none" w:sz="0" w:space="0" w:color="auto"/>
        <w:bottom w:val="none" w:sz="0" w:space="0" w:color="auto"/>
        <w:right w:val="none" w:sz="0" w:space="0" w:color="auto"/>
      </w:divBdr>
      <w:divsChild>
        <w:div w:id="1370492171">
          <w:marLeft w:val="0"/>
          <w:marRight w:val="0"/>
          <w:marTop w:val="0"/>
          <w:marBottom w:val="0"/>
          <w:divBdr>
            <w:top w:val="none" w:sz="0" w:space="0" w:color="auto"/>
            <w:left w:val="none" w:sz="0" w:space="0" w:color="auto"/>
            <w:bottom w:val="none" w:sz="0" w:space="0" w:color="auto"/>
            <w:right w:val="none" w:sz="0" w:space="0" w:color="auto"/>
          </w:divBdr>
        </w:div>
      </w:divsChild>
    </w:div>
    <w:div w:id="1486314891">
      <w:bodyDiv w:val="1"/>
      <w:marLeft w:val="0"/>
      <w:marRight w:val="0"/>
      <w:marTop w:val="0"/>
      <w:marBottom w:val="0"/>
      <w:divBdr>
        <w:top w:val="none" w:sz="0" w:space="0" w:color="auto"/>
        <w:left w:val="none" w:sz="0" w:space="0" w:color="auto"/>
        <w:bottom w:val="none" w:sz="0" w:space="0" w:color="auto"/>
        <w:right w:val="none" w:sz="0" w:space="0" w:color="auto"/>
      </w:divBdr>
    </w:div>
    <w:div w:id="1487015347">
      <w:bodyDiv w:val="1"/>
      <w:marLeft w:val="0"/>
      <w:marRight w:val="0"/>
      <w:marTop w:val="0"/>
      <w:marBottom w:val="0"/>
      <w:divBdr>
        <w:top w:val="none" w:sz="0" w:space="0" w:color="auto"/>
        <w:left w:val="none" w:sz="0" w:space="0" w:color="auto"/>
        <w:bottom w:val="none" w:sz="0" w:space="0" w:color="auto"/>
        <w:right w:val="none" w:sz="0" w:space="0" w:color="auto"/>
      </w:divBdr>
    </w:div>
    <w:div w:id="1498765505">
      <w:bodyDiv w:val="1"/>
      <w:marLeft w:val="0"/>
      <w:marRight w:val="0"/>
      <w:marTop w:val="0"/>
      <w:marBottom w:val="0"/>
      <w:divBdr>
        <w:top w:val="none" w:sz="0" w:space="0" w:color="auto"/>
        <w:left w:val="none" w:sz="0" w:space="0" w:color="auto"/>
        <w:bottom w:val="none" w:sz="0" w:space="0" w:color="auto"/>
        <w:right w:val="none" w:sz="0" w:space="0" w:color="auto"/>
      </w:divBdr>
    </w:div>
    <w:div w:id="1517189133">
      <w:bodyDiv w:val="1"/>
      <w:marLeft w:val="0"/>
      <w:marRight w:val="0"/>
      <w:marTop w:val="0"/>
      <w:marBottom w:val="0"/>
      <w:divBdr>
        <w:top w:val="none" w:sz="0" w:space="0" w:color="auto"/>
        <w:left w:val="none" w:sz="0" w:space="0" w:color="auto"/>
        <w:bottom w:val="none" w:sz="0" w:space="0" w:color="auto"/>
        <w:right w:val="none" w:sz="0" w:space="0" w:color="auto"/>
      </w:divBdr>
    </w:div>
    <w:div w:id="1560283675">
      <w:bodyDiv w:val="1"/>
      <w:marLeft w:val="0"/>
      <w:marRight w:val="0"/>
      <w:marTop w:val="0"/>
      <w:marBottom w:val="0"/>
      <w:divBdr>
        <w:top w:val="none" w:sz="0" w:space="0" w:color="auto"/>
        <w:left w:val="none" w:sz="0" w:space="0" w:color="auto"/>
        <w:bottom w:val="none" w:sz="0" w:space="0" w:color="auto"/>
        <w:right w:val="none" w:sz="0" w:space="0" w:color="auto"/>
      </w:divBdr>
    </w:div>
    <w:div w:id="1564751566">
      <w:bodyDiv w:val="1"/>
      <w:marLeft w:val="0"/>
      <w:marRight w:val="0"/>
      <w:marTop w:val="0"/>
      <w:marBottom w:val="0"/>
      <w:divBdr>
        <w:top w:val="none" w:sz="0" w:space="0" w:color="auto"/>
        <w:left w:val="none" w:sz="0" w:space="0" w:color="auto"/>
        <w:bottom w:val="none" w:sz="0" w:space="0" w:color="auto"/>
        <w:right w:val="none" w:sz="0" w:space="0" w:color="auto"/>
      </w:divBdr>
    </w:div>
    <w:div w:id="1585845384">
      <w:bodyDiv w:val="1"/>
      <w:marLeft w:val="0"/>
      <w:marRight w:val="0"/>
      <w:marTop w:val="0"/>
      <w:marBottom w:val="0"/>
      <w:divBdr>
        <w:top w:val="none" w:sz="0" w:space="0" w:color="auto"/>
        <w:left w:val="none" w:sz="0" w:space="0" w:color="auto"/>
        <w:bottom w:val="none" w:sz="0" w:space="0" w:color="auto"/>
        <w:right w:val="none" w:sz="0" w:space="0" w:color="auto"/>
      </w:divBdr>
      <w:divsChild>
        <w:div w:id="263463404">
          <w:marLeft w:val="0"/>
          <w:marRight w:val="0"/>
          <w:marTop w:val="0"/>
          <w:marBottom w:val="0"/>
          <w:divBdr>
            <w:top w:val="none" w:sz="0" w:space="0" w:color="auto"/>
            <w:left w:val="none" w:sz="0" w:space="0" w:color="auto"/>
            <w:bottom w:val="none" w:sz="0" w:space="0" w:color="auto"/>
            <w:right w:val="none" w:sz="0" w:space="0" w:color="auto"/>
          </w:divBdr>
        </w:div>
      </w:divsChild>
    </w:div>
    <w:div w:id="1588424675">
      <w:bodyDiv w:val="1"/>
      <w:marLeft w:val="0"/>
      <w:marRight w:val="0"/>
      <w:marTop w:val="0"/>
      <w:marBottom w:val="0"/>
      <w:divBdr>
        <w:top w:val="none" w:sz="0" w:space="0" w:color="auto"/>
        <w:left w:val="none" w:sz="0" w:space="0" w:color="auto"/>
        <w:bottom w:val="none" w:sz="0" w:space="0" w:color="auto"/>
        <w:right w:val="none" w:sz="0" w:space="0" w:color="auto"/>
      </w:divBdr>
      <w:divsChild>
        <w:div w:id="795224132">
          <w:marLeft w:val="0"/>
          <w:marRight w:val="0"/>
          <w:marTop w:val="0"/>
          <w:marBottom w:val="0"/>
          <w:divBdr>
            <w:top w:val="none" w:sz="0" w:space="0" w:color="auto"/>
            <w:left w:val="none" w:sz="0" w:space="0" w:color="auto"/>
            <w:bottom w:val="none" w:sz="0" w:space="0" w:color="auto"/>
            <w:right w:val="none" w:sz="0" w:space="0" w:color="auto"/>
          </w:divBdr>
        </w:div>
      </w:divsChild>
    </w:div>
    <w:div w:id="1613324607">
      <w:bodyDiv w:val="1"/>
      <w:marLeft w:val="0"/>
      <w:marRight w:val="0"/>
      <w:marTop w:val="0"/>
      <w:marBottom w:val="0"/>
      <w:divBdr>
        <w:top w:val="none" w:sz="0" w:space="0" w:color="auto"/>
        <w:left w:val="none" w:sz="0" w:space="0" w:color="auto"/>
        <w:bottom w:val="none" w:sz="0" w:space="0" w:color="auto"/>
        <w:right w:val="none" w:sz="0" w:space="0" w:color="auto"/>
      </w:divBdr>
    </w:div>
    <w:div w:id="1627344749">
      <w:bodyDiv w:val="1"/>
      <w:marLeft w:val="0"/>
      <w:marRight w:val="0"/>
      <w:marTop w:val="0"/>
      <w:marBottom w:val="0"/>
      <w:divBdr>
        <w:top w:val="none" w:sz="0" w:space="0" w:color="auto"/>
        <w:left w:val="none" w:sz="0" w:space="0" w:color="auto"/>
        <w:bottom w:val="none" w:sz="0" w:space="0" w:color="auto"/>
        <w:right w:val="none" w:sz="0" w:space="0" w:color="auto"/>
      </w:divBdr>
      <w:divsChild>
        <w:div w:id="1017846988">
          <w:marLeft w:val="0"/>
          <w:marRight w:val="0"/>
          <w:marTop w:val="0"/>
          <w:marBottom w:val="0"/>
          <w:divBdr>
            <w:top w:val="none" w:sz="0" w:space="0" w:color="auto"/>
            <w:left w:val="none" w:sz="0" w:space="0" w:color="auto"/>
            <w:bottom w:val="none" w:sz="0" w:space="0" w:color="auto"/>
            <w:right w:val="none" w:sz="0" w:space="0" w:color="auto"/>
          </w:divBdr>
        </w:div>
      </w:divsChild>
    </w:div>
    <w:div w:id="1645894059">
      <w:bodyDiv w:val="1"/>
      <w:marLeft w:val="0"/>
      <w:marRight w:val="0"/>
      <w:marTop w:val="0"/>
      <w:marBottom w:val="0"/>
      <w:divBdr>
        <w:top w:val="none" w:sz="0" w:space="0" w:color="auto"/>
        <w:left w:val="none" w:sz="0" w:space="0" w:color="auto"/>
        <w:bottom w:val="none" w:sz="0" w:space="0" w:color="auto"/>
        <w:right w:val="none" w:sz="0" w:space="0" w:color="auto"/>
      </w:divBdr>
    </w:div>
    <w:div w:id="1654917915">
      <w:bodyDiv w:val="1"/>
      <w:marLeft w:val="0"/>
      <w:marRight w:val="0"/>
      <w:marTop w:val="0"/>
      <w:marBottom w:val="0"/>
      <w:divBdr>
        <w:top w:val="none" w:sz="0" w:space="0" w:color="auto"/>
        <w:left w:val="none" w:sz="0" w:space="0" w:color="auto"/>
        <w:bottom w:val="none" w:sz="0" w:space="0" w:color="auto"/>
        <w:right w:val="none" w:sz="0" w:space="0" w:color="auto"/>
      </w:divBdr>
    </w:div>
    <w:div w:id="1696274470">
      <w:bodyDiv w:val="1"/>
      <w:marLeft w:val="0"/>
      <w:marRight w:val="0"/>
      <w:marTop w:val="0"/>
      <w:marBottom w:val="0"/>
      <w:divBdr>
        <w:top w:val="none" w:sz="0" w:space="0" w:color="auto"/>
        <w:left w:val="none" w:sz="0" w:space="0" w:color="auto"/>
        <w:bottom w:val="none" w:sz="0" w:space="0" w:color="auto"/>
        <w:right w:val="none" w:sz="0" w:space="0" w:color="auto"/>
      </w:divBdr>
    </w:div>
    <w:div w:id="1704937485">
      <w:bodyDiv w:val="1"/>
      <w:marLeft w:val="0"/>
      <w:marRight w:val="0"/>
      <w:marTop w:val="0"/>
      <w:marBottom w:val="0"/>
      <w:divBdr>
        <w:top w:val="none" w:sz="0" w:space="0" w:color="auto"/>
        <w:left w:val="none" w:sz="0" w:space="0" w:color="auto"/>
        <w:bottom w:val="none" w:sz="0" w:space="0" w:color="auto"/>
        <w:right w:val="none" w:sz="0" w:space="0" w:color="auto"/>
      </w:divBdr>
    </w:div>
    <w:div w:id="1708943478">
      <w:bodyDiv w:val="1"/>
      <w:marLeft w:val="0"/>
      <w:marRight w:val="0"/>
      <w:marTop w:val="0"/>
      <w:marBottom w:val="0"/>
      <w:divBdr>
        <w:top w:val="none" w:sz="0" w:space="0" w:color="auto"/>
        <w:left w:val="none" w:sz="0" w:space="0" w:color="auto"/>
        <w:bottom w:val="none" w:sz="0" w:space="0" w:color="auto"/>
        <w:right w:val="none" w:sz="0" w:space="0" w:color="auto"/>
      </w:divBdr>
      <w:divsChild>
        <w:div w:id="365759419">
          <w:marLeft w:val="0"/>
          <w:marRight w:val="0"/>
          <w:marTop w:val="0"/>
          <w:marBottom w:val="0"/>
          <w:divBdr>
            <w:top w:val="none" w:sz="0" w:space="0" w:color="auto"/>
            <w:left w:val="none" w:sz="0" w:space="0" w:color="auto"/>
            <w:bottom w:val="none" w:sz="0" w:space="0" w:color="auto"/>
            <w:right w:val="none" w:sz="0" w:space="0" w:color="auto"/>
          </w:divBdr>
        </w:div>
        <w:div w:id="486476663">
          <w:marLeft w:val="0"/>
          <w:marRight w:val="0"/>
          <w:marTop w:val="0"/>
          <w:marBottom w:val="0"/>
          <w:divBdr>
            <w:top w:val="none" w:sz="0" w:space="0" w:color="auto"/>
            <w:left w:val="none" w:sz="0" w:space="0" w:color="auto"/>
            <w:bottom w:val="none" w:sz="0" w:space="0" w:color="auto"/>
            <w:right w:val="none" w:sz="0" w:space="0" w:color="auto"/>
          </w:divBdr>
        </w:div>
        <w:div w:id="716244095">
          <w:marLeft w:val="0"/>
          <w:marRight w:val="0"/>
          <w:marTop w:val="0"/>
          <w:marBottom w:val="0"/>
          <w:divBdr>
            <w:top w:val="none" w:sz="0" w:space="0" w:color="auto"/>
            <w:left w:val="none" w:sz="0" w:space="0" w:color="auto"/>
            <w:bottom w:val="none" w:sz="0" w:space="0" w:color="auto"/>
            <w:right w:val="none" w:sz="0" w:space="0" w:color="auto"/>
          </w:divBdr>
        </w:div>
        <w:div w:id="886717186">
          <w:marLeft w:val="0"/>
          <w:marRight w:val="0"/>
          <w:marTop w:val="0"/>
          <w:marBottom w:val="0"/>
          <w:divBdr>
            <w:top w:val="none" w:sz="0" w:space="0" w:color="auto"/>
            <w:left w:val="none" w:sz="0" w:space="0" w:color="auto"/>
            <w:bottom w:val="none" w:sz="0" w:space="0" w:color="auto"/>
            <w:right w:val="none" w:sz="0" w:space="0" w:color="auto"/>
          </w:divBdr>
        </w:div>
        <w:div w:id="1413238057">
          <w:marLeft w:val="0"/>
          <w:marRight w:val="0"/>
          <w:marTop w:val="0"/>
          <w:marBottom w:val="0"/>
          <w:divBdr>
            <w:top w:val="none" w:sz="0" w:space="0" w:color="auto"/>
            <w:left w:val="none" w:sz="0" w:space="0" w:color="auto"/>
            <w:bottom w:val="none" w:sz="0" w:space="0" w:color="auto"/>
            <w:right w:val="none" w:sz="0" w:space="0" w:color="auto"/>
          </w:divBdr>
        </w:div>
        <w:div w:id="1505314158">
          <w:marLeft w:val="0"/>
          <w:marRight w:val="0"/>
          <w:marTop w:val="0"/>
          <w:marBottom w:val="0"/>
          <w:divBdr>
            <w:top w:val="none" w:sz="0" w:space="0" w:color="auto"/>
            <w:left w:val="none" w:sz="0" w:space="0" w:color="auto"/>
            <w:bottom w:val="none" w:sz="0" w:space="0" w:color="auto"/>
            <w:right w:val="none" w:sz="0" w:space="0" w:color="auto"/>
          </w:divBdr>
        </w:div>
      </w:divsChild>
    </w:div>
    <w:div w:id="1719737839">
      <w:bodyDiv w:val="1"/>
      <w:marLeft w:val="0"/>
      <w:marRight w:val="0"/>
      <w:marTop w:val="0"/>
      <w:marBottom w:val="0"/>
      <w:divBdr>
        <w:top w:val="none" w:sz="0" w:space="0" w:color="auto"/>
        <w:left w:val="none" w:sz="0" w:space="0" w:color="auto"/>
        <w:bottom w:val="none" w:sz="0" w:space="0" w:color="auto"/>
        <w:right w:val="none" w:sz="0" w:space="0" w:color="auto"/>
      </w:divBdr>
    </w:div>
    <w:div w:id="1731806939">
      <w:bodyDiv w:val="1"/>
      <w:marLeft w:val="0"/>
      <w:marRight w:val="0"/>
      <w:marTop w:val="0"/>
      <w:marBottom w:val="0"/>
      <w:divBdr>
        <w:top w:val="none" w:sz="0" w:space="0" w:color="auto"/>
        <w:left w:val="none" w:sz="0" w:space="0" w:color="auto"/>
        <w:bottom w:val="none" w:sz="0" w:space="0" w:color="auto"/>
        <w:right w:val="none" w:sz="0" w:space="0" w:color="auto"/>
      </w:divBdr>
    </w:div>
    <w:div w:id="1737390887">
      <w:bodyDiv w:val="1"/>
      <w:marLeft w:val="0"/>
      <w:marRight w:val="0"/>
      <w:marTop w:val="0"/>
      <w:marBottom w:val="0"/>
      <w:divBdr>
        <w:top w:val="none" w:sz="0" w:space="0" w:color="auto"/>
        <w:left w:val="none" w:sz="0" w:space="0" w:color="auto"/>
        <w:bottom w:val="none" w:sz="0" w:space="0" w:color="auto"/>
        <w:right w:val="none" w:sz="0" w:space="0" w:color="auto"/>
      </w:divBdr>
    </w:div>
    <w:div w:id="1762943447">
      <w:bodyDiv w:val="1"/>
      <w:marLeft w:val="0"/>
      <w:marRight w:val="0"/>
      <w:marTop w:val="0"/>
      <w:marBottom w:val="0"/>
      <w:divBdr>
        <w:top w:val="none" w:sz="0" w:space="0" w:color="auto"/>
        <w:left w:val="none" w:sz="0" w:space="0" w:color="auto"/>
        <w:bottom w:val="none" w:sz="0" w:space="0" w:color="auto"/>
        <w:right w:val="none" w:sz="0" w:space="0" w:color="auto"/>
      </w:divBdr>
    </w:div>
    <w:div w:id="1807966028">
      <w:bodyDiv w:val="1"/>
      <w:marLeft w:val="0"/>
      <w:marRight w:val="0"/>
      <w:marTop w:val="0"/>
      <w:marBottom w:val="0"/>
      <w:divBdr>
        <w:top w:val="none" w:sz="0" w:space="0" w:color="auto"/>
        <w:left w:val="none" w:sz="0" w:space="0" w:color="auto"/>
        <w:bottom w:val="none" w:sz="0" w:space="0" w:color="auto"/>
        <w:right w:val="none" w:sz="0" w:space="0" w:color="auto"/>
      </w:divBdr>
      <w:divsChild>
        <w:div w:id="101152391">
          <w:marLeft w:val="0"/>
          <w:marRight w:val="0"/>
          <w:marTop w:val="0"/>
          <w:marBottom w:val="0"/>
          <w:divBdr>
            <w:top w:val="none" w:sz="0" w:space="0" w:color="auto"/>
            <w:left w:val="none" w:sz="0" w:space="0" w:color="auto"/>
            <w:bottom w:val="none" w:sz="0" w:space="0" w:color="auto"/>
            <w:right w:val="none" w:sz="0" w:space="0" w:color="auto"/>
          </w:divBdr>
        </w:div>
        <w:div w:id="315960988">
          <w:marLeft w:val="0"/>
          <w:marRight w:val="0"/>
          <w:marTop w:val="0"/>
          <w:marBottom w:val="0"/>
          <w:divBdr>
            <w:top w:val="none" w:sz="0" w:space="0" w:color="auto"/>
            <w:left w:val="none" w:sz="0" w:space="0" w:color="auto"/>
            <w:bottom w:val="none" w:sz="0" w:space="0" w:color="auto"/>
            <w:right w:val="none" w:sz="0" w:space="0" w:color="auto"/>
          </w:divBdr>
        </w:div>
        <w:div w:id="334918926">
          <w:marLeft w:val="0"/>
          <w:marRight w:val="0"/>
          <w:marTop w:val="0"/>
          <w:marBottom w:val="0"/>
          <w:divBdr>
            <w:top w:val="none" w:sz="0" w:space="0" w:color="auto"/>
            <w:left w:val="none" w:sz="0" w:space="0" w:color="auto"/>
            <w:bottom w:val="none" w:sz="0" w:space="0" w:color="auto"/>
            <w:right w:val="none" w:sz="0" w:space="0" w:color="auto"/>
          </w:divBdr>
        </w:div>
        <w:div w:id="339966489">
          <w:marLeft w:val="0"/>
          <w:marRight w:val="0"/>
          <w:marTop w:val="0"/>
          <w:marBottom w:val="0"/>
          <w:divBdr>
            <w:top w:val="none" w:sz="0" w:space="0" w:color="auto"/>
            <w:left w:val="none" w:sz="0" w:space="0" w:color="auto"/>
            <w:bottom w:val="none" w:sz="0" w:space="0" w:color="auto"/>
            <w:right w:val="none" w:sz="0" w:space="0" w:color="auto"/>
          </w:divBdr>
        </w:div>
        <w:div w:id="694111687">
          <w:marLeft w:val="0"/>
          <w:marRight w:val="0"/>
          <w:marTop w:val="0"/>
          <w:marBottom w:val="0"/>
          <w:divBdr>
            <w:top w:val="none" w:sz="0" w:space="0" w:color="auto"/>
            <w:left w:val="none" w:sz="0" w:space="0" w:color="auto"/>
            <w:bottom w:val="none" w:sz="0" w:space="0" w:color="auto"/>
            <w:right w:val="none" w:sz="0" w:space="0" w:color="auto"/>
          </w:divBdr>
        </w:div>
        <w:div w:id="836926164">
          <w:marLeft w:val="0"/>
          <w:marRight w:val="0"/>
          <w:marTop w:val="0"/>
          <w:marBottom w:val="0"/>
          <w:divBdr>
            <w:top w:val="none" w:sz="0" w:space="0" w:color="auto"/>
            <w:left w:val="none" w:sz="0" w:space="0" w:color="auto"/>
            <w:bottom w:val="none" w:sz="0" w:space="0" w:color="auto"/>
            <w:right w:val="none" w:sz="0" w:space="0" w:color="auto"/>
          </w:divBdr>
        </w:div>
        <w:div w:id="844054555">
          <w:marLeft w:val="0"/>
          <w:marRight w:val="0"/>
          <w:marTop w:val="0"/>
          <w:marBottom w:val="0"/>
          <w:divBdr>
            <w:top w:val="none" w:sz="0" w:space="0" w:color="auto"/>
            <w:left w:val="none" w:sz="0" w:space="0" w:color="auto"/>
            <w:bottom w:val="none" w:sz="0" w:space="0" w:color="auto"/>
            <w:right w:val="none" w:sz="0" w:space="0" w:color="auto"/>
          </w:divBdr>
        </w:div>
        <w:div w:id="911501402">
          <w:marLeft w:val="0"/>
          <w:marRight w:val="0"/>
          <w:marTop w:val="0"/>
          <w:marBottom w:val="0"/>
          <w:divBdr>
            <w:top w:val="none" w:sz="0" w:space="0" w:color="auto"/>
            <w:left w:val="none" w:sz="0" w:space="0" w:color="auto"/>
            <w:bottom w:val="none" w:sz="0" w:space="0" w:color="auto"/>
            <w:right w:val="none" w:sz="0" w:space="0" w:color="auto"/>
          </w:divBdr>
        </w:div>
        <w:div w:id="942305577">
          <w:marLeft w:val="0"/>
          <w:marRight w:val="0"/>
          <w:marTop w:val="0"/>
          <w:marBottom w:val="0"/>
          <w:divBdr>
            <w:top w:val="none" w:sz="0" w:space="0" w:color="auto"/>
            <w:left w:val="none" w:sz="0" w:space="0" w:color="auto"/>
            <w:bottom w:val="none" w:sz="0" w:space="0" w:color="auto"/>
            <w:right w:val="none" w:sz="0" w:space="0" w:color="auto"/>
          </w:divBdr>
        </w:div>
        <w:div w:id="979270062">
          <w:marLeft w:val="0"/>
          <w:marRight w:val="0"/>
          <w:marTop w:val="0"/>
          <w:marBottom w:val="0"/>
          <w:divBdr>
            <w:top w:val="none" w:sz="0" w:space="0" w:color="auto"/>
            <w:left w:val="none" w:sz="0" w:space="0" w:color="auto"/>
            <w:bottom w:val="none" w:sz="0" w:space="0" w:color="auto"/>
            <w:right w:val="none" w:sz="0" w:space="0" w:color="auto"/>
          </w:divBdr>
        </w:div>
        <w:div w:id="1060980993">
          <w:marLeft w:val="0"/>
          <w:marRight w:val="0"/>
          <w:marTop w:val="0"/>
          <w:marBottom w:val="0"/>
          <w:divBdr>
            <w:top w:val="none" w:sz="0" w:space="0" w:color="auto"/>
            <w:left w:val="none" w:sz="0" w:space="0" w:color="auto"/>
            <w:bottom w:val="none" w:sz="0" w:space="0" w:color="auto"/>
            <w:right w:val="none" w:sz="0" w:space="0" w:color="auto"/>
          </w:divBdr>
        </w:div>
        <w:div w:id="1279684933">
          <w:marLeft w:val="0"/>
          <w:marRight w:val="0"/>
          <w:marTop w:val="0"/>
          <w:marBottom w:val="0"/>
          <w:divBdr>
            <w:top w:val="none" w:sz="0" w:space="0" w:color="auto"/>
            <w:left w:val="none" w:sz="0" w:space="0" w:color="auto"/>
            <w:bottom w:val="none" w:sz="0" w:space="0" w:color="auto"/>
            <w:right w:val="none" w:sz="0" w:space="0" w:color="auto"/>
          </w:divBdr>
        </w:div>
        <w:div w:id="1371538480">
          <w:marLeft w:val="0"/>
          <w:marRight w:val="0"/>
          <w:marTop w:val="0"/>
          <w:marBottom w:val="0"/>
          <w:divBdr>
            <w:top w:val="none" w:sz="0" w:space="0" w:color="auto"/>
            <w:left w:val="none" w:sz="0" w:space="0" w:color="auto"/>
            <w:bottom w:val="none" w:sz="0" w:space="0" w:color="auto"/>
            <w:right w:val="none" w:sz="0" w:space="0" w:color="auto"/>
          </w:divBdr>
        </w:div>
        <w:div w:id="1382250712">
          <w:marLeft w:val="0"/>
          <w:marRight w:val="0"/>
          <w:marTop w:val="0"/>
          <w:marBottom w:val="0"/>
          <w:divBdr>
            <w:top w:val="none" w:sz="0" w:space="0" w:color="auto"/>
            <w:left w:val="none" w:sz="0" w:space="0" w:color="auto"/>
            <w:bottom w:val="none" w:sz="0" w:space="0" w:color="auto"/>
            <w:right w:val="none" w:sz="0" w:space="0" w:color="auto"/>
          </w:divBdr>
        </w:div>
        <w:div w:id="1465850428">
          <w:marLeft w:val="0"/>
          <w:marRight w:val="0"/>
          <w:marTop w:val="0"/>
          <w:marBottom w:val="0"/>
          <w:divBdr>
            <w:top w:val="none" w:sz="0" w:space="0" w:color="auto"/>
            <w:left w:val="none" w:sz="0" w:space="0" w:color="auto"/>
            <w:bottom w:val="none" w:sz="0" w:space="0" w:color="auto"/>
            <w:right w:val="none" w:sz="0" w:space="0" w:color="auto"/>
          </w:divBdr>
        </w:div>
        <w:div w:id="1817994799">
          <w:marLeft w:val="0"/>
          <w:marRight w:val="0"/>
          <w:marTop w:val="0"/>
          <w:marBottom w:val="0"/>
          <w:divBdr>
            <w:top w:val="none" w:sz="0" w:space="0" w:color="auto"/>
            <w:left w:val="none" w:sz="0" w:space="0" w:color="auto"/>
            <w:bottom w:val="none" w:sz="0" w:space="0" w:color="auto"/>
            <w:right w:val="none" w:sz="0" w:space="0" w:color="auto"/>
          </w:divBdr>
        </w:div>
        <w:div w:id="1830633734">
          <w:marLeft w:val="0"/>
          <w:marRight w:val="0"/>
          <w:marTop w:val="0"/>
          <w:marBottom w:val="0"/>
          <w:divBdr>
            <w:top w:val="none" w:sz="0" w:space="0" w:color="auto"/>
            <w:left w:val="none" w:sz="0" w:space="0" w:color="auto"/>
            <w:bottom w:val="none" w:sz="0" w:space="0" w:color="auto"/>
            <w:right w:val="none" w:sz="0" w:space="0" w:color="auto"/>
          </w:divBdr>
        </w:div>
        <w:div w:id="1920552296">
          <w:marLeft w:val="0"/>
          <w:marRight w:val="0"/>
          <w:marTop w:val="0"/>
          <w:marBottom w:val="0"/>
          <w:divBdr>
            <w:top w:val="none" w:sz="0" w:space="0" w:color="auto"/>
            <w:left w:val="none" w:sz="0" w:space="0" w:color="auto"/>
            <w:bottom w:val="none" w:sz="0" w:space="0" w:color="auto"/>
            <w:right w:val="none" w:sz="0" w:space="0" w:color="auto"/>
          </w:divBdr>
        </w:div>
        <w:div w:id="1929849867">
          <w:marLeft w:val="0"/>
          <w:marRight w:val="0"/>
          <w:marTop w:val="0"/>
          <w:marBottom w:val="0"/>
          <w:divBdr>
            <w:top w:val="none" w:sz="0" w:space="0" w:color="auto"/>
            <w:left w:val="none" w:sz="0" w:space="0" w:color="auto"/>
            <w:bottom w:val="none" w:sz="0" w:space="0" w:color="auto"/>
            <w:right w:val="none" w:sz="0" w:space="0" w:color="auto"/>
          </w:divBdr>
        </w:div>
        <w:div w:id="1972782128">
          <w:marLeft w:val="0"/>
          <w:marRight w:val="0"/>
          <w:marTop w:val="0"/>
          <w:marBottom w:val="0"/>
          <w:divBdr>
            <w:top w:val="none" w:sz="0" w:space="0" w:color="auto"/>
            <w:left w:val="none" w:sz="0" w:space="0" w:color="auto"/>
            <w:bottom w:val="none" w:sz="0" w:space="0" w:color="auto"/>
            <w:right w:val="none" w:sz="0" w:space="0" w:color="auto"/>
          </w:divBdr>
        </w:div>
      </w:divsChild>
    </w:div>
    <w:div w:id="1837456459">
      <w:bodyDiv w:val="1"/>
      <w:marLeft w:val="0"/>
      <w:marRight w:val="0"/>
      <w:marTop w:val="0"/>
      <w:marBottom w:val="0"/>
      <w:divBdr>
        <w:top w:val="none" w:sz="0" w:space="0" w:color="auto"/>
        <w:left w:val="none" w:sz="0" w:space="0" w:color="auto"/>
        <w:bottom w:val="none" w:sz="0" w:space="0" w:color="auto"/>
        <w:right w:val="none" w:sz="0" w:space="0" w:color="auto"/>
      </w:divBdr>
      <w:divsChild>
        <w:div w:id="927466662">
          <w:marLeft w:val="0"/>
          <w:marRight w:val="0"/>
          <w:marTop w:val="0"/>
          <w:marBottom w:val="0"/>
          <w:divBdr>
            <w:top w:val="none" w:sz="0" w:space="0" w:color="auto"/>
            <w:left w:val="none" w:sz="0" w:space="0" w:color="auto"/>
            <w:bottom w:val="none" w:sz="0" w:space="0" w:color="auto"/>
            <w:right w:val="none" w:sz="0" w:space="0" w:color="auto"/>
          </w:divBdr>
        </w:div>
      </w:divsChild>
    </w:div>
    <w:div w:id="1861358375">
      <w:bodyDiv w:val="1"/>
      <w:marLeft w:val="0"/>
      <w:marRight w:val="0"/>
      <w:marTop w:val="0"/>
      <w:marBottom w:val="0"/>
      <w:divBdr>
        <w:top w:val="none" w:sz="0" w:space="0" w:color="auto"/>
        <w:left w:val="none" w:sz="0" w:space="0" w:color="auto"/>
        <w:bottom w:val="none" w:sz="0" w:space="0" w:color="auto"/>
        <w:right w:val="none" w:sz="0" w:space="0" w:color="auto"/>
      </w:divBdr>
    </w:div>
    <w:div w:id="1872567391">
      <w:bodyDiv w:val="1"/>
      <w:marLeft w:val="0"/>
      <w:marRight w:val="0"/>
      <w:marTop w:val="0"/>
      <w:marBottom w:val="0"/>
      <w:divBdr>
        <w:top w:val="none" w:sz="0" w:space="0" w:color="auto"/>
        <w:left w:val="none" w:sz="0" w:space="0" w:color="auto"/>
        <w:bottom w:val="none" w:sz="0" w:space="0" w:color="auto"/>
        <w:right w:val="none" w:sz="0" w:space="0" w:color="auto"/>
      </w:divBdr>
    </w:div>
    <w:div w:id="1946225666">
      <w:bodyDiv w:val="1"/>
      <w:marLeft w:val="0"/>
      <w:marRight w:val="0"/>
      <w:marTop w:val="0"/>
      <w:marBottom w:val="0"/>
      <w:divBdr>
        <w:top w:val="none" w:sz="0" w:space="0" w:color="auto"/>
        <w:left w:val="none" w:sz="0" w:space="0" w:color="auto"/>
        <w:bottom w:val="none" w:sz="0" w:space="0" w:color="auto"/>
        <w:right w:val="none" w:sz="0" w:space="0" w:color="auto"/>
      </w:divBdr>
    </w:div>
    <w:div w:id="1953857273">
      <w:bodyDiv w:val="1"/>
      <w:marLeft w:val="0"/>
      <w:marRight w:val="0"/>
      <w:marTop w:val="0"/>
      <w:marBottom w:val="0"/>
      <w:divBdr>
        <w:top w:val="none" w:sz="0" w:space="0" w:color="auto"/>
        <w:left w:val="none" w:sz="0" w:space="0" w:color="auto"/>
        <w:bottom w:val="none" w:sz="0" w:space="0" w:color="auto"/>
        <w:right w:val="none" w:sz="0" w:space="0" w:color="auto"/>
      </w:divBdr>
    </w:div>
    <w:div w:id="1968387977">
      <w:bodyDiv w:val="1"/>
      <w:marLeft w:val="0"/>
      <w:marRight w:val="0"/>
      <w:marTop w:val="0"/>
      <w:marBottom w:val="0"/>
      <w:divBdr>
        <w:top w:val="none" w:sz="0" w:space="0" w:color="auto"/>
        <w:left w:val="none" w:sz="0" w:space="0" w:color="auto"/>
        <w:bottom w:val="none" w:sz="0" w:space="0" w:color="auto"/>
        <w:right w:val="none" w:sz="0" w:space="0" w:color="auto"/>
      </w:divBdr>
    </w:div>
    <w:div w:id="1974824904">
      <w:bodyDiv w:val="1"/>
      <w:marLeft w:val="0"/>
      <w:marRight w:val="0"/>
      <w:marTop w:val="0"/>
      <w:marBottom w:val="0"/>
      <w:divBdr>
        <w:top w:val="none" w:sz="0" w:space="0" w:color="auto"/>
        <w:left w:val="none" w:sz="0" w:space="0" w:color="auto"/>
        <w:bottom w:val="none" w:sz="0" w:space="0" w:color="auto"/>
        <w:right w:val="none" w:sz="0" w:space="0" w:color="auto"/>
      </w:divBdr>
      <w:divsChild>
        <w:div w:id="304357619">
          <w:marLeft w:val="0"/>
          <w:marRight w:val="0"/>
          <w:marTop w:val="0"/>
          <w:marBottom w:val="0"/>
          <w:divBdr>
            <w:top w:val="none" w:sz="0" w:space="0" w:color="auto"/>
            <w:left w:val="none" w:sz="0" w:space="0" w:color="auto"/>
            <w:bottom w:val="none" w:sz="0" w:space="0" w:color="auto"/>
            <w:right w:val="none" w:sz="0" w:space="0" w:color="auto"/>
          </w:divBdr>
        </w:div>
        <w:div w:id="323238125">
          <w:marLeft w:val="0"/>
          <w:marRight w:val="0"/>
          <w:marTop w:val="0"/>
          <w:marBottom w:val="0"/>
          <w:divBdr>
            <w:top w:val="none" w:sz="0" w:space="0" w:color="auto"/>
            <w:left w:val="none" w:sz="0" w:space="0" w:color="auto"/>
            <w:bottom w:val="none" w:sz="0" w:space="0" w:color="auto"/>
            <w:right w:val="none" w:sz="0" w:space="0" w:color="auto"/>
          </w:divBdr>
        </w:div>
        <w:div w:id="445121920">
          <w:marLeft w:val="0"/>
          <w:marRight w:val="0"/>
          <w:marTop w:val="0"/>
          <w:marBottom w:val="0"/>
          <w:divBdr>
            <w:top w:val="none" w:sz="0" w:space="0" w:color="auto"/>
            <w:left w:val="none" w:sz="0" w:space="0" w:color="auto"/>
            <w:bottom w:val="none" w:sz="0" w:space="0" w:color="auto"/>
            <w:right w:val="none" w:sz="0" w:space="0" w:color="auto"/>
          </w:divBdr>
        </w:div>
        <w:div w:id="1545825965">
          <w:marLeft w:val="0"/>
          <w:marRight w:val="0"/>
          <w:marTop w:val="0"/>
          <w:marBottom w:val="0"/>
          <w:divBdr>
            <w:top w:val="none" w:sz="0" w:space="0" w:color="auto"/>
            <w:left w:val="none" w:sz="0" w:space="0" w:color="auto"/>
            <w:bottom w:val="none" w:sz="0" w:space="0" w:color="auto"/>
            <w:right w:val="none" w:sz="0" w:space="0" w:color="auto"/>
          </w:divBdr>
        </w:div>
        <w:div w:id="2046711960">
          <w:marLeft w:val="0"/>
          <w:marRight w:val="0"/>
          <w:marTop w:val="0"/>
          <w:marBottom w:val="0"/>
          <w:divBdr>
            <w:top w:val="none" w:sz="0" w:space="0" w:color="auto"/>
            <w:left w:val="none" w:sz="0" w:space="0" w:color="auto"/>
            <w:bottom w:val="none" w:sz="0" w:space="0" w:color="auto"/>
            <w:right w:val="none" w:sz="0" w:space="0" w:color="auto"/>
          </w:divBdr>
        </w:div>
      </w:divsChild>
    </w:div>
    <w:div w:id="1975325771">
      <w:bodyDiv w:val="1"/>
      <w:marLeft w:val="0"/>
      <w:marRight w:val="0"/>
      <w:marTop w:val="0"/>
      <w:marBottom w:val="0"/>
      <w:divBdr>
        <w:top w:val="none" w:sz="0" w:space="0" w:color="auto"/>
        <w:left w:val="none" w:sz="0" w:space="0" w:color="auto"/>
        <w:bottom w:val="none" w:sz="0" w:space="0" w:color="auto"/>
        <w:right w:val="none" w:sz="0" w:space="0" w:color="auto"/>
      </w:divBdr>
    </w:div>
    <w:div w:id="1976057372">
      <w:bodyDiv w:val="1"/>
      <w:marLeft w:val="0"/>
      <w:marRight w:val="0"/>
      <w:marTop w:val="0"/>
      <w:marBottom w:val="0"/>
      <w:divBdr>
        <w:top w:val="none" w:sz="0" w:space="0" w:color="auto"/>
        <w:left w:val="none" w:sz="0" w:space="0" w:color="auto"/>
        <w:bottom w:val="none" w:sz="0" w:space="0" w:color="auto"/>
        <w:right w:val="none" w:sz="0" w:space="0" w:color="auto"/>
      </w:divBdr>
    </w:div>
    <w:div w:id="2033876643">
      <w:bodyDiv w:val="1"/>
      <w:marLeft w:val="0"/>
      <w:marRight w:val="0"/>
      <w:marTop w:val="0"/>
      <w:marBottom w:val="0"/>
      <w:divBdr>
        <w:top w:val="none" w:sz="0" w:space="0" w:color="auto"/>
        <w:left w:val="none" w:sz="0" w:space="0" w:color="auto"/>
        <w:bottom w:val="none" w:sz="0" w:space="0" w:color="auto"/>
        <w:right w:val="none" w:sz="0" w:space="0" w:color="auto"/>
      </w:divBdr>
    </w:div>
    <w:div w:id="2045405049">
      <w:bodyDiv w:val="1"/>
      <w:marLeft w:val="0"/>
      <w:marRight w:val="0"/>
      <w:marTop w:val="0"/>
      <w:marBottom w:val="0"/>
      <w:divBdr>
        <w:top w:val="none" w:sz="0" w:space="0" w:color="auto"/>
        <w:left w:val="none" w:sz="0" w:space="0" w:color="auto"/>
        <w:bottom w:val="none" w:sz="0" w:space="0" w:color="auto"/>
        <w:right w:val="none" w:sz="0" w:space="0" w:color="auto"/>
      </w:divBdr>
    </w:div>
    <w:div w:id="2059893424">
      <w:bodyDiv w:val="1"/>
      <w:marLeft w:val="0"/>
      <w:marRight w:val="0"/>
      <w:marTop w:val="0"/>
      <w:marBottom w:val="0"/>
      <w:divBdr>
        <w:top w:val="none" w:sz="0" w:space="0" w:color="auto"/>
        <w:left w:val="none" w:sz="0" w:space="0" w:color="auto"/>
        <w:bottom w:val="none" w:sz="0" w:space="0" w:color="auto"/>
        <w:right w:val="none" w:sz="0" w:space="0" w:color="auto"/>
      </w:divBdr>
    </w:div>
    <w:div w:id="2068986798">
      <w:bodyDiv w:val="1"/>
      <w:marLeft w:val="0"/>
      <w:marRight w:val="0"/>
      <w:marTop w:val="0"/>
      <w:marBottom w:val="0"/>
      <w:divBdr>
        <w:top w:val="none" w:sz="0" w:space="0" w:color="auto"/>
        <w:left w:val="none" w:sz="0" w:space="0" w:color="auto"/>
        <w:bottom w:val="none" w:sz="0" w:space="0" w:color="auto"/>
        <w:right w:val="none" w:sz="0" w:space="0" w:color="auto"/>
      </w:divBdr>
    </w:div>
    <w:div w:id="2093816456">
      <w:bodyDiv w:val="1"/>
      <w:marLeft w:val="0"/>
      <w:marRight w:val="0"/>
      <w:marTop w:val="0"/>
      <w:marBottom w:val="0"/>
      <w:divBdr>
        <w:top w:val="none" w:sz="0" w:space="0" w:color="auto"/>
        <w:left w:val="none" w:sz="0" w:space="0" w:color="auto"/>
        <w:bottom w:val="none" w:sz="0" w:space="0" w:color="auto"/>
        <w:right w:val="none" w:sz="0" w:space="0" w:color="auto"/>
      </w:divBdr>
    </w:div>
    <w:div w:id="2093896061">
      <w:bodyDiv w:val="1"/>
      <w:marLeft w:val="0"/>
      <w:marRight w:val="0"/>
      <w:marTop w:val="0"/>
      <w:marBottom w:val="0"/>
      <w:divBdr>
        <w:top w:val="none" w:sz="0" w:space="0" w:color="auto"/>
        <w:left w:val="none" w:sz="0" w:space="0" w:color="auto"/>
        <w:bottom w:val="none" w:sz="0" w:space="0" w:color="auto"/>
        <w:right w:val="none" w:sz="0" w:space="0" w:color="auto"/>
      </w:divBdr>
    </w:div>
    <w:div w:id="214349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www.rforge.net/FSA/" TargetMode="External"/><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emf"/><Relationship Id="rId112" Type="http://schemas.openxmlformats.org/officeDocument/2006/relationships/image" Target="media/image94.png"/><Relationship Id="rId16" Type="http://schemas.openxmlformats.org/officeDocument/2006/relationships/hyperlink" Target="http://creativecommons.org/licenses/by/3.0/au/" TargetMode="External"/><Relationship Id="rId107" Type="http://schemas.openxmlformats.org/officeDocument/2006/relationships/footer" Target="footer5.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49.pn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emf"/><Relationship Id="rId102" Type="http://schemas.openxmlformats.org/officeDocument/2006/relationships/image" Target="media/image85.png"/><Relationship Id="rId110" Type="http://schemas.openxmlformats.org/officeDocument/2006/relationships/image" Target="media/image92.png"/><Relationship Id="rId115"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hyperlink" Target="https://www.csu.edu.au/research/ilws/research/sra-sustainable-water/edward-wakool-research-project" TargetMode="External"/><Relationship Id="rId82" Type="http://schemas.openxmlformats.org/officeDocument/2006/relationships/image" Target="media/image65.jpeg"/><Relationship Id="rId90" Type="http://schemas.openxmlformats.org/officeDocument/2006/relationships/image" Target="media/image73.emf"/><Relationship Id="rId95" Type="http://schemas.openxmlformats.org/officeDocument/2006/relationships/image" Target="media/image78.png"/><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7.png"/><Relationship Id="rId69" Type="http://schemas.openxmlformats.org/officeDocument/2006/relationships/image" Target="media/image52.jpeg"/><Relationship Id="rId77" Type="http://schemas.openxmlformats.org/officeDocument/2006/relationships/image" Target="media/image60.jpe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5.png"/><Relationship Id="rId118" Type="http://schemas.openxmlformats.org/officeDocument/2006/relationships/hyperlink" Target="http://www.R-project.org" TargetMode="External"/><Relationship Id="rId8" Type="http://schemas.openxmlformats.org/officeDocument/2006/relationships/header" Target="header1.xml"/><Relationship Id="rId51" Type="http://schemas.openxmlformats.org/officeDocument/2006/relationships/package" Target="embeddings/Microsoft_Word_Document1.docx"/><Relationship Id="rId72" Type="http://schemas.openxmlformats.org/officeDocument/2006/relationships/image" Target="media/image55.png"/><Relationship Id="rId80" Type="http://schemas.openxmlformats.org/officeDocument/2006/relationships/image" Target="media/image63.jpeg"/><Relationship Id="rId85" Type="http://schemas.openxmlformats.org/officeDocument/2006/relationships/image" Target="media/image68.wmf"/><Relationship Id="rId93" Type="http://schemas.openxmlformats.org/officeDocument/2006/relationships/image" Target="media/image76.emf"/><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0.png"/><Relationship Id="rId116" Type="http://schemas.openxmlformats.org/officeDocument/2006/relationships/hyperlink" Target="http://www.bom.gov.au/climate/current/statements/scs55.pdf" TargetMode="Externa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footer" Target="footer4.xml"/><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jpeg"/><Relationship Id="rId88" Type="http://schemas.openxmlformats.org/officeDocument/2006/relationships/image" Target="media/image71.emf"/><Relationship Id="rId91" Type="http://schemas.openxmlformats.org/officeDocument/2006/relationships/image" Target="media/image74.emf"/><Relationship Id="rId96" Type="http://schemas.openxmlformats.org/officeDocument/2006/relationships/image" Target="media/image79.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png"/><Relationship Id="rId106" Type="http://schemas.openxmlformats.org/officeDocument/2006/relationships/image" Target="media/image89.png"/><Relationship Id="rId114" Type="http://schemas.openxmlformats.org/officeDocument/2006/relationships/image" Target="media/image96.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5.emf"/><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emf"/><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1.png"/><Relationship Id="rId34" Type="http://schemas.openxmlformats.org/officeDocument/2006/relationships/image" Target="media/image20.jpeg"/><Relationship Id="rId50" Type="http://schemas.openxmlformats.org/officeDocument/2006/relationships/image" Target="media/image36.emf"/><Relationship Id="rId55" Type="http://schemas.openxmlformats.org/officeDocument/2006/relationships/image" Target="media/image40.jpe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1A77D-9D9C-46D0-A237-2E51E5205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177</Pages>
  <Words>54455</Words>
  <Characters>297330</Characters>
  <Application>Microsoft Office Word</Application>
  <DocSecurity>0</DocSecurity>
  <Lines>9010</Lines>
  <Paragraphs>3997</Paragraphs>
  <ScaleCrop>false</ScaleCrop>
  <HeadingPairs>
    <vt:vector size="2" baseType="variant">
      <vt:variant>
        <vt:lpstr>Title</vt:lpstr>
      </vt:variant>
      <vt:variant>
        <vt:i4>1</vt:i4>
      </vt:variant>
    </vt:vector>
  </HeadingPairs>
  <TitlesOfParts>
    <vt:vector size="1" baseType="lpstr">
      <vt:lpstr>Edward-Wakool Long Term Intervention Monitoring Project - Annual Report 2015-16</vt:lpstr>
    </vt:vector>
  </TitlesOfParts>
  <Company/>
  <LinksUpToDate>false</LinksUpToDate>
  <CharactersWithSpaces>347788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Edward-Wakool Long Term Intervention Monitoring Project - Annual Report 2015-16</dc:title>
  <dc:creator/>
  <cp:lastModifiedBy/>
  <cp:revision>1</cp:revision>
  <dcterms:created xsi:type="dcterms:W3CDTF">2017-06-06T02:17:00Z</dcterms:created>
  <dcterms:modified xsi:type="dcterms:W3CDTF">2017-06-06T02:19:00Z</dcterms:modified>
</cp:coreProperties>
</file>