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1.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2.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24498" w14:textId="77777777" w:rsidR="00DE345D" w:rsidRDefault="00DE345D" w:rsidP="00DE345D">
      <w:pPr>
        <w:rPr>
          <w:sz w:val="28"/>
          <w:szCs w:val="28"/>
        </w:rPr>
      </w:pPr>
    </w:p>
    <w:p w14:paraId="036E1AC5" w14:textId="77777777" w:rsidR="00DE345D" w:rsidRDefault="00DE345D" w:rsidP="00DE345D">
      <w:pPr>
        <w:rPr>
          <w:sz w:val="28"/>
          <w:szCs w:val="28"/>
        </w:rPr>
      </w:pPr>
    </w:p>
    <w:p w14:paraId="320596BD" w14:textId="77777777" w:rsidR="00DE345D" w:rsidRDefault="00DE345D" w:rsidP="00DE345D">
      <w:pPr>
        <w:rPr>
          <w:sz w:val="28"/>
          <w:szCs w:val="28"/>
        </w:rPr>
      </w:pPr>
    </w:p>
    <w:p w14:paraId="1B74A537" w14:textId="77777777" w:rsidR="00DE345D" w:rsidRDefault="00DE345D" w:rsidP="00DE345D">
      <w:pPr>
        <w:rPr>
          <w:sz w:val="28"/>
          <w:szCs w:val="28"/>
        </w:rPr>
      </w:pPr>
    </w:p>
    <w:p w14:paraId="64F2ED48" w14:textId="77777777" w:rsidR="00DE345D" w:rsidRDefault="00DE345D" w:rsidP="00DE345D">
      <w:pPr>
        <w:rPr>
          <w:sz w:val="28"/>
          <w:szCs w:val="28"/>
        </w:rPr>
      </w:pPr>
    </w:p>
    <w:p w14:paraId="5685D17D" w14:textId="77777777" w:rsidR="00DE345D" w:rsidRPr="00851289" w:rsidRDefault="00DE345D" w:rsidP="00DE345D">
      <w:pPr>
        <w:pStyle w:val="ReportTitle"/>
        <w:rPr>
          <w:sz w:val="36"/>
          <w:szCs w:val="36"/>
        </w:rPr>
      </w:pPr>
      <w:r w:rsidRPr="00851289">
        <w:rPr>
          <w:sz w:val="36"/>
          <w:szCs w:val="36"/>
        </w:rPr>
        <w:t>Environmental Compliance Regulatory Risk Review</w:t>
      </w:r>
    </w:p>
    <w:p w14:paraId="66C280F9" w14:textId="77777777" w:rsidR="00DE345D" w:rsidRDefault="00DE345D" w:rsidP="00DE345D">
      <w:pPr>
        <w:pStyle w:val="ReportTitle"/>
        <w:rPr>
          <w:sz w:val="28"/>
          <w:szCs w:val="28"/>
        </w:rPr>
      </w:pPr>
    </w:p>
    <w:p w14:paraId="4EDAC51F" w14:textId="77777777" w:rsidR="00DE345D" w:rsidRDefault="00DE345D" w:rsidP="00DE345D">
      <w:pPr>
        <w:pStyle w:val="ReportTitle"/>
        <w:rPr>
          <w:sz w:val="28"/>
          <w:szCs w:val="28"/>
        </w:rPr>
      </w:pPr>
    </w:p>
    <w:p w14:paraId="39C908FC" w14:textId="77777777" w:rsidR="00DE345D" w:rsidRDefault="00DE345D" w:rsidP="00DE345D">
      <w:pPr>
        <w:pStyle w:val="ReportTitle"/>
        <w:rPr>
          <w:sz w:val="28"/>
          <w:szCs w:val="28"/>
        </w:rPr>
      </w:pPr>
    </w:p>
    <w:p w14:paraId="3EDA17AD" w14:textId="1A749244" w:rsidR="00DE345D" w:rsidRDefault="00247CC5" w:rsidP="00DE345D">
      <w:pPr>
        <w:pStyle w:val="ReportTitle"/>
        <w:rPr>
          <w:sz w:val="28"/>
          <w:szCs w:val="28"/>
        </w:rPr>
      </w:pPr>
      <w:r>
        <w:rPr>
          <w:sz w:val="32"/>
          <w:szCs w:val="32"/>
        </w:rPr>
        <w:t>Final Report</w:t>
      </w:r>
    </w:p>
    <w:p w14:paraId="4FCB18FF" w14:textId="77777777" w:rsidR="00DE345D" w:rsidRDefault="00DE345D" w:rsidP="00DE345D">
      <w:pPr>
        <w:pStyle w:val="ReportTitle"/>
        <w:rPr>
          <w:sz w:val="28"/>
          <w:szCs w:val="28"/>
        </w:rPr>
      </w:pPr>
    </w:p>
    <w:p w14:paraId="3D8ABD9D" w14:textId="77777777" w:rsidR="00DE345D" w:rsidRDefault="00DE345D" w:rsidP="00DE345D">
      <w:pPr>
        <w:pStyle w:val="ReportTitle"/>
        <w:rPr>
          <w:sz w:val="28"/>
          <w:szCs w:val="28"/>
        </w:rPr>
      </w:pPr>
    </w:p>
    <w:p w14:paraId="0E98F4BF" w14:textId="77777777" w:rsidR="00DE345D" w:rsidRDefault="00DE345D" w:rsidP="00DE345D">
      <w:pPr>
        <w:pStyle w:val="ReportTitle"/>
        <w:rPr>
          <w:sz w:val="28"/>
          <w:szCs w:val="28"/>
        </w:rPr>
      </w:pPr>
    </w:p>
    <w:p w14:paraId="1CF20C85" w14:textId="77777777" w:rsidR="00DE345D" w:rsidRDefault="00DE345D" w:rsidP="00DE345D">
      <w:pPr>
        <w:pStyle w:val="ReportTitle"/>
        <w:rPr>
          <w:sz w:val="28"/>
          <w:szCs w:val="28"/>
        </w:rPr>
      </w:pPr>
    </w:p>
    <w:p w14:paraId="0CD70896" w14:textId="77777777" w:rsidR="00DE345D" w:rsidRDefault="00DE345D" w:rsidP="00DE345D">
      <w:pPr>
        <w:pStyle w:val="ReportTitle"/>
        <w:rPr>
          <w:sz w:val="28"/>
          <w:szCs w:val="28"/>
        </w:rPr>
      </w:pPr>
    </w:p>
    <w:p w14:paraId="307113CC" w14:textId="77777777" w:rsidR="00DE345D" w:rsidRDefault="00DE345D" w:rsidP="00DE345D">
      <w:pPr>
        <w:pStyle w:val="ReportTitle"/>
        <w:rPr>
          <w:sz w:val="28"/>
          <w:szCs w:val="28"/>
        </w:rPr>
      </w:pPr>
    </w:p>
    <w:p w14:paraId="7D114083" w14:textId="77777777" w:rsidR="00DE345D" w:rsidRDefault="00DE345D" w:rsidP="00DE345D">
      <w:pPr>
        <w:pStyle w:val="ReportTitle"/>
        <w:rPr>
          <w:sz w:val="28"/>
          <w:szCs w:val="28"/>
        </w:rPr>
      </w:pPr>
    </w:p>
    <w:p w14:paraId="19E4E5C4" w14:textId="77777777" w:rsidR="00DE345D" w:rsidRDefault="00DE345D" w:rsidP="00DE345D">
      <w:pPr>
        <w:pStyle w:val="ReportTitle"/>
        <w:rPr>
          <w:sz w:val="28"/>
          <w:szCs w:val="28"/>
        </w:rPr>
      </w:pPr>
    </w:p>
    <w:p w14:paraId="7D4F538F" w14:textId="77777777" w:rsidR="00DE345D" w:rsidRDefault="00DE345D" w:rsidP="00DE345D">
      <w:pPr>
        <w:pStyle w:val="ReportTitle"/>
        <w:rPr>
          <w:sz w:val="28"/>
          <w:szCs w:val="28"/>
        </w:rPr>
      </w:pPr>
    </w:p>
    <w:p w14:paraId="6745A077" w14:textId="77777777" w:rsidR="00DE345D" w:rsidRDefault="00DE345D" w:rsidP="00DE345D">
      <w:r>
        <w:t>Carolyn McNally</w:t>
      </w:r>
    </w:p>
    <w:p w14:paraId="7529D775" w14:textId="77777777" w:rsidR="00DE345D" w:rsidRDefault="00DE345D" w:rsidP="00DE345D">
      <w:r>
        <w:t>Brian Richards</w:t>
      </w:r>
    </w:p>
    <w:p w14:paraId="613BA8BA" w14:textId="0BD4D7A8" w:rsidR="00DE345D" w:rsidRPr="008D4B2E" w:rsidRDefault="00ED0EF4" w:rsidP="00DE345D">
      <w:pPr>
        <w:rPr>
          <w:b/>
          <w:bCs/>
        </w:rPr>
      </w:pPr>
      <w:r>
        <w:rPr>
          <w:b/>
          <w:bCs/>
        </w:rPr>
        <w:t>May</w:t>
      </w:r>
      <w:r w:rsidR="00DE345D" w:rsidRPr="008D4B2E">
        <w:rPr>
          <w:b/>
          <w:bCs/>
        </w:rPr>
        <w:t xml:space="preserve"> 2021</w:t>
      </w:r>
    </w:p>
    <w:p w14:paraId="459BBBCD" w14:textId="677D274D" w:rsidR="00D63CA3" w:rsidRDefault="00DE345D">
      <w:pPr>
        <w:rPr>
          <w:sz w:val="28"/>
          <w:szCs w:val="28"/>
        </w:rPr>
      </w:pPr>
      <w:r>
        <w:rPr>
          <w:sz w:val="28"/>
          <w:szCs w:val="28"/>
        </w:rPr>
        <w:br w:type="page"/>
      </w:r>
    </w:p>
    <w:sdt>
      <w:sdtPr>
        <w:rPr>
          <w:rFonts w:asciiTheme="minorHAnsi" w:eastAsiaTheme="minorHAnsi" w:hAnsiTheme="minorHAnsi" w:cstheme="minorBidi"/>
          <w:b w:val="0"/>
          <w:color w:val="auto"/>
          <w:sz w:val="24"/>
          <w:szCs w:val="22"/>
          <w:lang w:val="en-AU"/>
        </w:rPr>
        <w:id w:val="-1931572412"/>
        <w:docPartObj>
          <w:docPartGallery w:val="Table of Contents"/>
          <w:docPartUnique/>
        </w:docPartObj>
      </w:sdtPr>
      <w:sdtEndPr>
        <w:rPr>
          <w:bCs/>
          <w:noProof/>
        </w:rPr>
      </w:sdtEndPr>
      <w:sdtContent>
        <w:p w14:paraId="004DAF43" w14:textId="3C709778" w:rsidR="00A70BAC" w:rsidRDefault="00A70BAC">
          <w:pPr>
            <w:pStyle w:val="TOCHeading"/>
          </w:pPr>
          <w:r>
            <w:t>Contents</w:t>
          </w:r>
        </w:p>
        <w:p w14:paraId="2CDF1C2C" w14:textId="3BAE432D" w:rsidR="004E7D35" w:rsidRDefault="00A70BAC">
          <w:pPr>
            <w:pStyle w:val="TOC1"/>
            <w:tabs>
              <w:tab w:val="right" w:leader="dot" w:pos="9016"/>
            </w:tabs>
            <w:rPr>
              <w:rFonts w:eastAsiaTheme="minorEastAsia"/>
              <w:noProof/>
              <w:sz w:val="22"/>
              <w:lang w:eastAsia="en-AU"/>
            </w:rPr>
          </w:pPr>
          <w:r>
            <w:fldChar w:fldCharType="begin"/>
          </w:r>
          <w:r>
            <w:instrText xml:space="preserve"> TOC \o "1-3" \h \z \u </w:instrText>
          </w:r>
          <w:r>
            <w:fldChar w:fldCharType="separate"/>
          </w:r>
          <w:hyperlink w:anchor="_Toc72504356" w:history="1">
            <w:r w:rsidR="004E7D35" w:rsidRPr="004C5A31">
              <w:rPr>
                <w:rStyle w:val="Hyperlink"/>
                <w:noProof/>
                <w:lang w:val="en-US"/>
              </w:rPr>
              <w:t>Executive Summary</w:t>
            </w:r>
            <w:r w:rsidR="004E7D35">
              <w:rPr>
                <w:noProof/>
                <w:webHidden/>
              </w:rPr>
              <w:tab/>
            </w:r>
            <w:r w:rsidR="004E7D35">
              <w:rPr>
                <w:noProof/>
                <w:webHidden/>
              </w:rPr>
              <w:fldChar w:fldCharType="begin"/>
            </w:r>
            <w:r w:rsidR="004E7D35">
              <w:rPr>
                <w:noProof/>
                <w:webHidden/>
              </w:rPr>
              <w:instrText xml:space="preserve"> PAGEREF _Toc72504356 \h </w:instrText>
            </w:r>
            <w:r w:rsidR="004E7D35">
              <w:rPr>
                <w:noProof/>
                <w:webHidden/>
              </w:rPr>
            </w:r>
            <w:r w:rsidR="004E7D35">
              <w:rPr>
                <w:noProof/>
                <w:webHidden/>
              </w:rPr>
              <w:fldChar w:fldCharType="separate"/>
            </w:r>
            <w:r w:rsidR="009F7246">
              <w:rPr>
                <w:noProof/>
                <w:webHidden/>
              </w:rPr>
              <w:t>4</w:t>
            </w:r>
            <w:r w:rsidR="004E7D35">
              <w:rPr>
                <w:noProof/>
                <w:webHidden/>
              </w:rPr>
              <w:fldChar w:fldCharType="end"/>
            </w:r>
          </w:hyperlink>
        </w:p>
        <w:p w14:paraId="064897C2" w14:textId="7F9A5EEB" w:rsidR="004E7D35" w:rsidRDefault="00E21BFC">
          <w:pPr>
            <w:pStyle w:val="TOC1"/>
            <w:tabs>
              <w:tab w:val="right" w:leader="dot" w:pos="9016"/>
            </w:tabs>
            <w:rPr>
              <w:rFonts w:eastAsiaTheme="minorEastAsia"/>
              <w:noProof/>
              <w:sz w:val="22"/>
              <w:lang w:eastAsia="en-AU"/>
            </w:rPr>
          </w:pPr>
          <w:hyperlink w:anchor="_Toc72504357" w:history="1">
            <w:r w:rsidR="004E7D35" w:rsidRPr="004C5A31">
              <w:rPr>
                <w:rStyle w:val="Hyperlink"/>
                <w:noProof/>
              </w:rPr>
              <w:t>Recommendations</w:t>
            </w:r>
            <w:r w:rsidR="004E7D35">
              <w:rPr>
                <w:noProof/>
                <w:webHidden/>
              </w:rPr>
              <w:tab/>
            </w:r>
            <w:r w:rsidR="004E7D35">
              <w:rPr>
                <w:noProof/>
                <w:webHidden/>
              </w:rPr>
              <w:fldChar w:fldCharType="begin"/>
            </w:r>
            <w:r w:rsidR="004E7D35">
              <w:rPr>
                <w:noProof/>
                <w:webHidden/>
              </w:rPr>
              <w:instrText xml:space="preserve"> PAGEREF _Toc72504357 \h </w:instrText>
            </w:r>
            <w:r w:rsidR="004E7D35">
              <w:rPr>
                <w:noProof/>
                <w:webHidden/>
              </w:rPr>
            </w:r>
            <w:r w:rsidR="004E7D35">
              <w:rPr>
                <w:noProof/>
                <w:webHidden/>
              </w:rPr>
              <w:fldChar w:fldCharType="separate"/>
            </w:r>
            <w:r w:rsidR="009F7246">
              <w:rPr>
                <w:noProof/>
                <w:webHidden/>
              </w:rPr>
              <w:t>7</w:t>
            </w:r>
            <w:r w:rsidR="004E7D35">
              <w:rPr>
                <w:noProof/>
                <w:webHidden/>
              </w:rPr>
              <w:fldChar w:fldCharType="end"/>
            </w:r>
          </w:hyperlink>
        </w:p>
        <w:p w14:paraId="29F2A3CD" w14:textId="6BC6F507" w:rsidR="004E7D35" w:rsidRDefault="00E21BFC">
          <w:pPr>
            <w:pStyle w:val="TOC2"/>
            <w:tabs>
              <w:tab w:val="right" w:leader="dot" w:pos="9016"/>
            </w:tabs>
            <w:rPr>
              <w:rFonts w:eastAsiaTheme="minorEastAsia"/>
              <w:noProof/>
              <w:sz w:val="22"/>
              <w:lang w:eastAsia="en-AU"/>
            </w:rPr>
          </w:pPr>
          <w:hyperlink w:anchor="_Toc72504358" w:history="1">
            <w:r w:rsidR="004E7D35" w:rsidRPr="004C5A31">
              <w:rPr>
                <w:rStyle w:val="Hyperlink"/>
                <w:noProof/>
              </w:rPr>
              <w:t>Governance and structure</w:t>
            </w:r>
            <w:r w:rsidR="004E7D35">
              <w:rPr>
                <w:noProof/>
                <w:webHidden/>
              </w:rPr>
              <w:tab/>
            </w:r>
            <w:r w:rsidR="004E7D35">
              <w:rPr>
                <w:noProof/>
                <w:webHidden/>
              </w:rPr>
              <w:fldChar w:fldCharType="begin"/>
            </w:r>
            <w:r w:rsidR="004E7D35">
              <w:rPr>
                <w:noProof/>
                <w:webHidden/>
              </w:rPr>
              <w:instrText xml:space="preserve"> PAGEREF _Toc72504358 \h </w:instrText>
            </w:r>
            <w:r w:rsidR="004E7D35">
              <w:rPr>
                <w:noProof/>
                <w:webHidden/>
              </w:rPr>
            </w:r>
            <w:r w:rsidR="004E7D35">
              <w:rPr>
                <w:noProof/>
                <w:webHidden/>
              </w:rPr>
              <w:fldChar w:fldCharType="separate"/>
            </w:r>
            <w:r w:rsidR="009F7246">
              <w:rPr>
                <w:noProof/>
                <w:webHidden/>
              </w:rPr>
              <w:t>7</w:t>
            </w:r>
            <w:r w:rsidR="004E7D35">
              <w:rPr>
                <w:noProof/>
                <w:webHidden/>
              </w:rPr>
              <w:fldChar w:fldCharType="end"/>
            </w:r>
          </w:hyperlink>
        </w:p>
        <w:p w14:paraId="5C82BD66" w14:textId="514B93C2" w:rsidR="004E7D35" w:rsidRDefault="00E21BFC">
          <w:pPr>
            <w:pStyle w:val="TOC2"/>
            <w:tabs>
              <w:tab w:val="right" w:leader="dot" w:pos="9016"/>
            </w:tabs>
            <w:rPr>
              <w:rFonts w:eastAsiaTheme="minorEastAsia"/>
              <w:noProof/>
              <w:sz w:val="22"/>
              <w:lang w:eastAsia="en-AU"/>
            </w:rPr>
          </w:pPr>
          <w:hyperlink w:anchor="_Toc72504359" w:history="1">
            <w:r w:rsidR="004E7D35" w:rsidRPr="004C5A31">
              <w:rPr>
                <w:rStyle w:val="Hyperlink"/>
                <w:noProof/>
              </w:rPr>
              <w:t>Resources</w:t>
            </w:r>
            <w:r w:rsidR="004E7D35">
              <w:rPr>
                <w:noProof/>
                <w:webHidden/>
              </w:rPr>
              <w:tab/>
            </w:r>
            <w:r w:rsidR="004E7D35">
              <w:rPr>
                <w:noProof/>
                <w:webHidden/>
              </w:rPr>
              <w:fldChar w:fldCharType="begin"/>
            </w:r>
            <w:r w:rsidR="004E7D35">
              <w:rPr>
                <w:noProof/>
                <w:webHidden/>
              </w:rPr>
              <w:instrText xml:space="preserve"> PAGEREF _Toc72504359 \h </w:instrText>
            </w:r>
            <w:r w:rsidR="004E7D35">
              <w:rPr>
                <w:noProof/>
                <w:webHidden/>
              </w:rPr>
            </w:r>
            <w:r w:rsidR="004E7D35">
              <w:rPr>
                <w:noProof/>
                <w:webHidden/>
              </w:rPr>
              <w:fldChar w:fldCharType="separate"/>
            </w:r>
            <w:r w:rsidR="009F7246">
              <w:rPr>
                <w:noProof/>
                <w:webHidden/>
              </w:rPr>
              <w:t>8</w:t>
            </w:r>
            <w:r w:rsidR="004E7D35">
              <w:rPr>
                <w:noProof/>
                <w:webHidden/>
              </w:rPr>
              <w:fldChar w:fldCharType="end"/>
            </w:r>
          </w:hyperlink>
        </w:p>
        <w:p w14:paraId="1EA8C84D" w14:textId="7F7B391F" w:rsidR="004E7D35" w:rsidRDefault="00E21BFC">
          <w:pPr>
            <w:pStyle w:val="TOC2"/>
            <w:tabs>
              <w:tab w:val="right" w:leader="dot" w:pos="9016"/>
            </w:tabs>
            <w:rPr>
              <w:rFonts w:eastAsiaTheme="minorEastAsia"/>
              <w:noProof/>
              <w:sz w:val="22"/>
              <w:lang w:eastAsia="en-AU"/>
            </w:rPr>
          </w:pPr>
          <w:hyperlink w:anchor="_Toc72504360" w:history="1">
            <w:r w:rsidR="004E7D35" w:rsidRPr="004C5A31">
              <w:rPr>
                <w:rStyle w:val="Hyperlink"/>
                <w:noProof/>
              </w:rPr>
              <w:t>Information management and systems</w:t>
            </w:r>
            <w:r w:rsidR="004E7D35">
              <w:rPr>
                <w:noProof/>
                <w:webHidden/>
              </w:rPr>
              <w:tab/>
            </w:r>
            <w:r w:rsidR="004E7D35">
              <w:rPr>
                <w:noProof/>
                <w:webHidden/>
              </w:rPr>
              <w:fldChar w:fldCharType="begin"/>
            </w:r>
            <w:r w:rsidR="004E7D35">
              <w:rPr>
                <w:noProof/>
                <w:webHidden/>
              </w:rPr>
              <w:instrText xml:space="preserve"> PAGEREF _Toc72504360 \h </w:instrText>
            </w:r>
            <w:r w:rsidR="004E7D35">
              <w:rPr>
                <w:noProof/>
                <w:webHidden/>
              </w:rPr>
            </w:r>
            <w:r w:rsidR="004E7D35">
              <w:rPr>
                <w:noProof/>
                <w:webHidden/>
              </w:rPr>
              <w:fldChar w:fldCharType="separate"/>
            </w:r>
            <w:r w:rsidR="009F7246">
              <w:rPr>
                <w:noProof/>
                <w:webHidden/>
              </w:rPr>
              <w:t>8</w:t>
            </w:r>
            <w:r w:rsidR="004E7D35">
              <w:rPr>
                <w:noProof/>
                <w:webHidden/>
              </w:rPr>
              <w:fldChar w:fldCharType="end"/>
            </w:r>
          </w:hyperlink>
        </w:p>
        <w:p w14:paraId="4C18E812" w14:textId="241458D9" w:rsidR="004E7D35" w:rsidRDefault="00E21BFC">
          <w:pPr>
            <w:pStyle w:val="TOC2"/>
            <w:tabs>
              <w:tab w:val="right" w:leader="dot" w:pos="9016"/>
            </w:tabs>
            <w:rPr>
              <w:rFonts w:eastAsiaTheme="minorEastAsia"/>
              <w:noProof/>
              <w:sz w:val="22"/>
              <w:lang w:eastAsia="en-AU"/>
            </w:rPr>
          </w:pPr>
          <w:hyperlink w:anchor="_Toc72504361" w:history="1">
            <w:r w:rsidR="004E7D35" w:rsidRPr="004C5A31">
              <w:rPr>
                <w:rStyle w:val="Hyperlink"/>
                <w:noProof/>
              </w:rPr>
              <w:t>Risk and prioritisation</w:t>
            </w:r>
            <w:r w:rsidR="004E7D35">
              <w:rPr>
                <w:noProof/>
                <w:webHidden/>
              </w:rPr>
              <w:tab/>
            </w:r>
            <w:r w:rsidR="004E7D35">
              <w:rPr>
                <w:noProof/>
                <w:webHidden/>
              </w:rPr>
              <w:fldChar w:fldCharType="begin"/>
            </w:r>
            <w:r w:rsidR="004E7D35">
              <w:rPr>
                <w:noProof/>
                <w:webHidden/>
              </w:rPr>
              <w:instrText xml:space="preserve"> PAGEREF _Toc72504361 \h </w:instrText>
            </w:r>
            <w:r w:rsidR="004E7D35">
              <w:rPr>
                <w:noProof/>
                <w:webHidden/>
              </w:rPr>
            </w:r>
            <w:r w:rsidR="004E7D35">
              <w:rPr>
                <w:noProof/>
                <w:webHidden/>
              </w:rPr>
              <w:fldChar w:fldCharType="separate"/>
            </w:r>
            <w:r w:rsidR="009F7246">
              <w:rPr>
                <w:noProof/>
                <w:webHidden/>
              </w:rPr>
              <w:t>9</w:t>
            </w:r>
            <w:r w:rsidR="004E7D35">
              <w:rPr>
                <w:noProof/>
                <w:webHidden/>
              </w:rPr>
              <w:fldChar w:fldCharType="end"/>
            </w:r>
          </w:hyperlink>
        </w:p>
        <w:p w14:paraId="728BD9EC" w14:textId="34C695D8" w:rsidR="004E7D35" w:rsidRDefault="00E21BFC">
          <w:pPr>
            <w:pStyle w:val="TOC2"/>
            <w:tabs>
              <w:tab w:val="right" w:leader="dot" w:pos="9016"/>
            </w:tabs>
            <w:rPr>
              <w:rFonts w:eastAsiaTheme="minorEastAsia"/>
              <w:noProof/>
              <w:sz w:val="22"/>
              <w:lang w:eastAsia="en-AU"/>
            </w:rPr>
          </w:pPr>
          <w:hyperlink w:anchor="_Toc72504362" w:history="1">
            <w:r w:rsidR="004E7D35" w:rsidRPr="004C5A31">
              <w:rPr>
                <w:rStyle w:val="Hyperlink"/>
                <w:noProof/>
              </w:rPr>
              <w:t>Partnerships and engagement</w:t>
            </w:r>
            <w:r w:rsidR="004E7D35">
              <w:rPr>
                <w:noProof/>
                <w:webHidden/>
              </w:rPr>
              <w:tab/>
            </w:r>
            <w:r w:rsidR="004E7D35">
              <w:rPr>
                <w:noProof/>
                <w:webHidden/>
              </w:rPr>
              <w:fldChar w:fldCharType="begin"/>
            </w:r>
            <w:r w:rsidR="004E7D35">
              <w:rPr>
                <w:noProof/>
                <w:webHidden/>
              </w:rPr>
              <w:instrText xml:space="preserve"> PAGEREF _Toc72504362 \h </w:instrText>
            </w:r>
            <w:r w:rsidR="004E7D35">
              <w:rPr>
                <w:noProof/>
                <w:webHidden/>
              </w:rPr>
            </w:r>
            <w:r w:rsidR="004E7D35">
              <w:rPr>
                <w:noProof/>
                <w:webHidden/>
              </w:rPr>
              <w:fldChar w:fldCharType="separate"/>
            </w:r>
            <w:r w:rsidR="009F7246">
              <w:rPr>
                <w:noProof/>
                <w:webHidden/>
              </w:rPr>
              <w:t>11</w:t>
            </w:r>
            <w:r w:rsidR="004E7D35">
              <w:rPr>
                <w:noProof/>
                <w:webHidden/>
              </w:rPr>
              <w:fldChar w:fldCharType="end"/>
            </w:r>
          </w:hyperlink>
        </w:p>
        <w:p w14:paraId="7A341556" w14:textId="63C58B48" w:rsidR="004E7D35" w:rsidRDefault="00E21BFC">
          <w:pPr>
            <w:pStyle w:val="TOC3"/>
            <w:tabs>
              <w:tab w:val="right" w:leader="dot" w:pos="9016"/>
            </w:tabs>
            <w:rPr>
              <w:rFonts w:eastAsiaTheme="minorEastAsia"/>
              <w:noProof/>
              <w:sz w:val="22"/>
              <w:lang w:eastAsia="en-AU"/>
            </w:rPr>
          </w:pPr>
          <w:hyperlink w:anchor="_Toc72504363" w:history="1">
            <w:r w:rsidR="004E7D35" w:rsidRPr="004C5A31">
              <w:rPr>
                <w:rStyle w:val="Hyperlink"/>
                <w:noProof/>
              </w:rPr>
              <w:t>Internal engagement</w:t>
            </w:r>
            <w:r w:rsidR="004E7D35">
              <w:rPr>
                <w:noProof/>
                <w:webHidden/>
              </w:rPr>
              <w:tab/>
            </w:r>
            <w:r w:rsidR="004E7D35">
              <w:rPr>
                <w:noProof/>
                <w:webHidden/>
              </w:rPr>
              <w:fldChar w:fldCharType="begin"/>
            </w:r>
            <w:r w:rsidR="004E7D35">
              <w:rPr>
                <w:noProof/>
                <w:webHidden/>
              </w:rPr>
              <w:instrText xml:space="preserve"> PAGEREF _Toc72504363 \h </w:instrText>
            </w:r>
            <w:r w:rsidR="004E7D35">
              <w:rPr>
                <w:noProof/>
                <w:webHidden/>
              </w:rPr>
            </w:r>
            <w:r w:rsidR="004E7D35">
              <w:rPr>
                <w:noProof/>
                <w:webHidden/>
              </w:rPr>
              <w:fldChar w:fldCharType="separate"/>
            </w:r>
            <w:r w:rsidR="009F7246">
              <w:rPr>
                <w:noProof/>
                <w:webHidden/>
              </w:rPr>
              <w:t>11</w:t>
            </w:r>
            <w:r w:rsidR="004E7D35">
              <w:rPr>
                <w:noProof/>
                <w:webHidden/>
              </w:rPr>
              <w:fldChar w:fldCharType="end"/>
            </w:r>
          </w:hyperlink>
        </w:p>
        <w:p w14:paraId="3B2385F2" w14:textId="58697A29" w:rsidR="004E7D35" w:rsidRDefault="00E21BFC">
          <w:pPr>
            <w:pStyle w:val="TOC3"/>
            <w:tabs>
              <w:tab w:val="right" w:leader="dot" w:pos="9016"/>
            </w:tabs>
            <w:rPr>
              <w:rFonts w:eastAsiaTheme="minorEastAsia"/>
              <w:noProof/>
              <w:sz w:val="22"/>
              <w:lang w:eastAsia="en-AU"/>
            </w:rPr>
          </w:pPr>
          <w:hyperlink w:anchor="_Toc72504364" w:history="1">
            <w:r w:rsidR="004E7D35" w:rsidRPr="004C5A31">
              <w:rPr>
                <w:rStyle w:val="Hyperlink"/>
                <w:noProof/>
              </w:rPr>
              <w:t>External engagement</w:t>
            </w:r>
            <w:r w:rsidR="004E7D35">
              <w:rPr>
                <w:noProof/>
                <w:webHidden/>
              </w:rPr>
              <w:tab/>
            </w:r>
            <w:r w:rsidR="004E7D35">
              <w:rPr>
                <w:noProof/>
                <w:webHidden/>
              </w:rPr>
              <w:fldChar w:fldCharType="begin"/>
            </w:r>
            <w:r w:rsidR="004E7D35">
              <w:rPr>
                <w:noProof/>
                <w:webHidden/>
              </w:rPr>
              <w:instrText xml:space="preserve"> PAGEREF _Toc72504364 \h </w:instrText>
            </w:r>
            <w:r w:rsidR="004E7D35">
              <w:rPr>
                <w:noProof/>
                <w:webHidden/>
              </w:rPr>
            </w:r>
            <w:r w:rsidR="004E7D35">
              <w:rPr>
                <w:noProof/>
                <w:webHidden/>
              </w:rPr>
              <w:fldChar w:fldCharType="separate"/>
            </w:r>
            <w:r w:rsidR="009F7246">
              <w:rPr>
                <w:noProof/>
                <w:webHidden/>
              </w:rPr>
              <w:t>11</w:t>
            </w:r>
            <w:r w:rsidR="004E7D35">
              <w:rPr>
                <w:noProof/>
                <w:webHidden/>
              </w:rPr>
              <w:fldChar w:fldCharType="end"/>
            </w:r>
          </w:hyperlink>
        </w:p>
        <w:p w14:paraId="5CD65893" w14:textId="13EADF5C" w:rsidR="004E7D35" w:rsidRDefault="00E21BFC">
          <w:pPr>
            <w:pStyle w:val="TOC2"/>
            <w:tabs>
              <w:tab w:val="right" w:leader="dot" w:pos="9016"/>
            </w:tabs>
            <w:rPr>
              <w:rFonts w:eastAsiaTheme="minorEastAsia"/>
              <w:noProof/>
              <w:sz w:val="22"/>
              <w:lang w:eastAsia="en-AU"/>
            </w:rPr>
          </w:pPr>
          <w:hyperlink w:anchor="_Toc72504365" w:history="1">
            <w:r w:rsidR="004E7D35" w:rsidRPr="004C5A31">
              <w:rPr>
                <w:rStyle w:val="Hyperlink"/>
                <w:noProof/>
              </w:rPr>
              <w:t>Compliance policy and regulatory tools</w:t>
            </w:r>
            <w:r w:rsidR="004E7D35">
              <w:rPr>
                <w:noProof/>
                <w:webHidden/>
              </w:rPr>
              <w:tab/>
            </w:r>
            <w:r w:rsidR="004E7D35">
              <w:rPr>
                <w:noProof/>
                <w:webHidden/>
              </w:rPr>
              <w:fldChar w:fldCharType="begin"/>
            </w:r>
            <w:r w:rsidR="004E7D35">
              <w:rPr>
                <w:noProof/>
                <w:webHidden/>
              </w:rPr>
              <w:instrText xml:space="preserve"> PAGEREF _Toc72504365 \h </w:instrText>
            </w:r>
            <w:r w:rsidR="004E7D35">
              <w:rPr>
                <w:noProof/>
                <w:webHidden/>
              </w:rPr>
            </w:r>
            <w:r w:rsidR="004E7D35">
              <w:rPr>
                <w:noProof/>
                <w:webHidden/>
              </w:rPr>
              <w:fldChar w:fldCharType="separate"/>
            </w:r>
            <w:r w:rsidR="009F7246">
              <w:rPr>
                <w:noProof/>
                <w:webHidden/>
              </w:rPr>
              <w:t>12</w:t>
            </w:r>
            <w:r w:rsidR="004E7D35">
              <w:rPr>
                <w:noProof/>
                <w:webHidden/>
              </w:rPr>
              <w:fldChar w:fldCharType="end"/>
            </w:r>
          </w:hyperlink>
        </w:p>
        <w:p w14:paraId="2610DA11" w14:textId="4C65162F" w:rsidR="004E7D35" w:rsidRDefault="00E21BFC">
          <w:pPr>
            <w:pStyle w:val="TOC1"/>
            <w:tabs>
              <w:tab w:val="right" w:leader="dot" w:pos="9016"/>
            </w:tabs>
            <w:rPr>
              <w:rFonts w:eastAsiaTheme="minorEastAsia"/>
              <w:noProof/>
              <w:sz w:val="22"/>
              <w:lang w:eastAsia="en-AU"/>
            </w:rPr>
          </w:pPr>
          <w:hyperlink w:anchor="_Toc72504366" w:history="1">
            <w:r w:rsidR="004E7D35" w:rsidRPr="004C5A31">
              <w:rPr>
                <w:rStyle w:val="Hyperlink"/>
                <w:noProof/>
                <w:lang w:val="en-US"/>
              </w:rPr>
              <w:t>Introduction</w:t>
            </w:r>
            <w:r w:rsidR="004E7D35">
              <w:rPr>
                <w:noProof/>
                <w:webHidden/>
              </w:rPr>
              <w:tab/>
            </w:r>
            <w:r w:rsidR="004E7D35">
              <w:rPr>
                <w:noProof/>
                <w:webHidden/>
              </w:rPr>
              <w:fldChar w:fldCharType="begin"/>
            </w:r>
            <w:r w:rsidR="004E7D35">
              <w:rPr>
                <w:noProof/>
                <w:webHidden/>
              </w:rPr>
              <w:instrText xml:space="preserve"> PAGEREF _Toc72504366 \h </w:instrText>
            </w:r>
            <w:r w:rsidR="004E7D35">
              <w:rPr>
                <w:noProof/>
                <w:webHidden/>
              </w:rPr>
            </w:r>
            <w:r w:rsidR="004E7D35">
              <w:rPr>
                <w:noProof/>
                <w:webHidden/>
              </w:rPr>
              <w:fldChar w:fldCharType="separate"/>
            </w:r>
            <w:r w:rsidR="009F7246">
              <w:rPr>
                <w:noProof/>
                <w:webHidden/>
              </w:rPr>
              <w:t>13</w:t>
            </w:r>
            <w:r w:rsidR="004E7D35">
              <w:rPr>
                <w:noProof/>
                <w:webHidden/>
              </w:rPr>
              <w:fldChar w:fldCharType="end"/>
            </w:r>
          </w:hyperlink>
        </w:p>
        <w:p w14:paraId="6F8A8FC5" w14:textId="6D5C4B7A" w:rsidR="004E7D35" w:rsidRDefault="00E21BFC">
          <w:pPr>
            <w:pStyle w:val="TOC2"/>
            <w:tabs>
              <w:tab w:val="right" w:leader="dot" w:pos="9016"/>
            </w:tabs>
            <w:rPr>
              <w:rFonts w:eastAsiaTheme="minorEastAsia"/>
              <w:noProof/>
              <w:sz w:val="22"/>
              <w:lang w:eastAsia="en-AU"/>
            </w:rPr>
          </w:pPr>
          <w:hyperlink w:anchor="_Toc72504367" w:history="1">
            <w:r w:rsidR="004E7D35" w:rsidRPr="004C5A31">
              <w:rPr>
                <w:rStyle w:val="Hyperlink"/>
                <w:noProof/>
                <w:lang w:val="en-US"/>
              </w:rPr>
              <w:t>Background</w:t>
            </w:r>
            <w:r w:rsidR="004E7D35">
              <w:rPr>
                <w:noProof/>
                <w:webHidden/>
              </w:rPr>
              <w:tab/>
            </w:r>
            <w:r w:rsidR="004E7D35">
              <w:rPr>
                <w:noProof/>
                <w:webHidden/>
              </w:rPr>
              <w:fldChar w:fldCharType="begin"/>
            </w:r>
            <w:r w:rsidR="004E7D35">
              <w:rPr>
                <w:noProof/>
                <w:webHidden/>
              </w:rPr>
              <w:instrText xml:space="preserve"> PAGEREF _Toc72504367 \h </w:instrText>
            </w:r>
            <w:r w:rsidR="004E7D35">
              <w:rPr>
                <w:noProof/>
                <w:webHidden/>
              </w:rPr>
            </w:r>
            <w:r w:rsidR="004E7D35">
              <w:rPr>
                <w:noProof/>
                <w:webHidden/>
              </w:rPr>
              <w:fldChar w:fldCharType="separate"/>
            </w:r>
            <w:r w:rsidR="009F7246">
              <w:rPr>
                <w:noProof/>
                <w:webHidden/>
              </w:rPr>
              <w:t>13</w:t>
            </w:r>
            <w:r w:rsidR="004E7D35">
              <w:rPr>
                <w:noProof/>
                <w:webHidden/>
              </w:rPr>
              <w:fldChar w:fldCharType="end"/>
            </w:r>
          </w:hyperlink>
        </w:p>
        <w:p w14:paraId="31BA715A" w14:textId="0E4C254B" w:rsidR="004E7D35" w:rsidRDefault="00E21BFC">
          <w:pPr>
            <w:pStyle w:val="TOC2"/>
            <w:tabs>
              <w:tab w:val="right" w:leader="dot" w:pos="9016"/>
            </w:tabs>
            <w:rPr>
              <w:rFonts w:eastAsiaTheme="minorEastAsia"/>
              <w:noProof/>
              <w:sz w:val="22"/>
              <w:lang w:eastAsia="en-AU"/>
            </w:rPr>
          </w:pPr>
          <w:hyperlink w:anchor="_Toc72504368" w:history="1">
            <w:r w:rsidR="004E7D35" w:rsidRPr="004C5A31">
              <w:rPr>
                <w:rStyle w:val="Hyperlink"/>
                <w:noProof/>
                <w:lang w:val="en-US"/>
              </w:rPr>
              <w:t>Terms of Reference</w:t>
            </w:r>
            <w:r w:rsidR="004E7D35">
              <w:rPr>
                <w:noProof/>
                <w:webHidden/>
              </w:rPr>
              <w:tab/>
            </w:r>
            <w:r w:rsidR="004E7D35">
              <w:rPr>
                <w:noProof/>
                <w:webHidden/>
              </w:rPr>
              <w:fldChar w:fldCharType="begin"/>
            </w:r>
            <w:r w:rsidR="004E7D35">
              <w:rPr>
                <w:noProof/>
                <w:webHidden/>
              </w:rPr>
              <w:instrText xml:space="preserve"> PAGEREF _Toc72504368 \h </w:instrText>
            </w:r>
            <w:r w:rsidR="004E7D35">
              <w:rPr>
                <w:noProof/>
                <w:webHidden/>
              </w:rPr>
            </w:r>
            <w:r w:rsidR="004E7D35">
              <w:rPr>
                <w:noProof/>
                <w:webHidden/>
              </w:rPr>
              <w:fldChar w:fldCharType="separate"/>
            </w:r>
            <w:r w:rsidR="009F7246">
              <w:rPr>
                <w:noProof/>
                <w:webHidden/>
              </w:rPr>
              <w:t>14</w:t>
            </w:r>
            <w:r w:rsidR="004E7D35">
              <w:rPr>
                <w:noProof/>
                <w:webHidden/>
              </w:rPr>
              <w:fldChar w:fldCharType="end"/>
            </w:r>
          </w:hyperlink>
        </w:p>
        <w:p w14:paraId="589B5C0A" w14:textId="0B5B75FB" w:rsidR="004E7D35" w:rsidRDefault="00E21BFC">
          <w:pPr>
            <w:pStyle w:val="TOC2"/>
            <w:tabs>
              <w:tab w:val="right" w:leader="dot" w:pos="9016"/>
            </w:tabs>
            <w:rPr>
              <w:rFonts w:eastAsiaTheme="minorEastAsia"/>
              <w:noProof/>
              <w:sz w:val="22"/>
              <w:lang w:eastAsia="en-AU"/>
            </w:rPr>
          </w:pPr>
          <w:hyperlink w:anchor="_Toc72504369" w:history="1">
            <w:r w:rsidR="004E7D35" w:rsidRPr="004C5A31">
              <w:rPr>
                <w:rStyle w:val="Hyperlink"/>
                <w:noProof/>
                <w:lang w:val="en-US"/>
              </w:rPr>
              <w:t>The Review Process</w:t>
            </w:r>
            <w:r w:rsidR="004E7D35">
              <w:rPr>
                <w:noProof/>
                <w:webHidden/>
              </w:rPr>
              <w:tab/>
            </w:r>
            <w:r w:rsidR="004E7D35">
              <w:rPr>
                <w:noProof/>
                <w:webHidden/>
              </w:rPr>
              <w:fldChar w:fldCharType="begin"/>
            </w:r>
            <w:r w:rsidR="004E7D35">
              <w:rPr>
                <w:noProof/>
                <w:webHidden/>
              </w:rPr>
              <w:instrText xml:space="preserve"> PAGEREF _Toc72504369 \h </w:instrText>
            </w:r>
            <w:r w:rsidR="004E7D35">
              <w:rPr>
                <w:noProof/>
                <w:webHidden/>
              </w:rPr>
            </w:r>
            <w:r w:rsidR="004E7D35">
              <w:rPr>
                <w:noProof/>
                <w:webHidden/>
              </w:rPr>
              <w:fldChar w:fldCharType="separate"/>
            </w:r>
            <w:r w:rsidR="009F7246">
              <w:rPr>
                <w:noProof/>
                <w:webHidden/>
              </w:rPr>
              <w:t>14</w:t>
            </w:r>
            <w:r w:rsidR="004E7D35">
              <w:rPr>
                <w:noProof/>
                <w:webHidden/>
              </w:rPr>
              <w:fldChar w:fldCharType="end"/>
            </w:r>
          </w:hyperlink>
        </w:p>
        <w:p w14:paraId="5B26DD5F" w14:textId="2DBF861D" w:rsidR="004E7D35" w:rsidRDefault="00E21BFC">
          <w:pPr>
            <w:pStyle w:val="TOC1"/>
            <w:tabs>
              <w:tab w:val="right" w:leader="dot" w:pos="9016"/>
            </w:tabs>
            <w:rPr>
              <w:rFonts w:eastAsiaTheme="minorEastAsia"/>
              <w:noProof/>
              <w:sz w:val="22"/>
              <w:lang w:eastAsia="en-AU"/>
            </w:rPr>
          </w:pPr>
          <w:hyperlink w:anchor="_Toc72504370" w:history="1">
            <w:r w:rsidR="004E7D35" w:rsidRPr="004C5A31">
              <w:rPr>
                <w:rStyle w:val="Hyperlink"/>
                <w:rFonts w:ascii="Calibri" w:eastAsia="Calibri" w:hAnsi="Calibri" w:cs="Calibri"/>
                <w:noProof/>
                <w:lang w:val="en-US"/>
              </w:rPr>
              <w:t>Stakeholder views</w:t>
            </w:r>
            <w:r w:rsidR="004E7D35">
              <w:rPr>
                <w:noProof/>
                <w:webHidden/>
              </w:rPr>
              <w:tab/>
            </w:r>
            <w:r w:rsidR="004E7D35">
              <w:rPr>
                <w:noProof/>
                <w:webHidden/>
              </w:rPr>
              <w:fldChar w:fldCharType="begin"/>
            </w:r>
            <w:r w:rsidR="004E7D35">
              <w:rPr>
                <w:noProof/>
                <w:webHidden/>
              </w:rPr>
              <w:instrText xml:space="preserve"> PAGEREF _Toc72504370 \h </w:instrText>
            </w:r>
            <w:r w:rsidR="004E7D35">
              <w:rPr>
                <w:noProof/>
                <w:webHidden/>
              </w:rPr>
            </w:r>
            <w:r w:rsidR="004E7D35">
              <w:rPr>
                <w:noProof/>
                <w:webHidden/>
              </w:rPr>
              <w:fldChar w:fldCharType="separate"/>
            </w:r>
            <w:r w:rsidR="009F7246">
              <w:rPr>
                <w:noProof/>
                <w:webHidden/>
              </w:rPr>
              <w:t>17</w:t>
            </w:r>
            <w:r w:rsidR="004E7D35">
              <w:rPr>
                <w:noProof/>
                <w:webHidden/>
              </w:rPr>
              <w:fldChar w:fldCharType="end"/>
            </w:r>
          </w:hyperlink>
        </w:p>
        <w:p w14:paraId="7D077B5F" w14:textId="4700CC79" w:rsidR="004E7D35" w:rsidRDefault="00E21BFC">
          <w:pPr>
            <w:pStyle w:val="TOC2"/>
            <w:tabs>
              <w:tab w:val="right" w:leader="dot" w:pos="9016"/>
            </w:tabs>
            <w:rPr>
              <w:rFonts w:eastAsiaTheme="minorEastAsia"/>
              <w:noProof/>
              <w:sz w:val="22"/>
              <w:lang w:eastAsia="en-AU"/>
            </w:rPr>
          </w:pPr>
          <w:hyperlink w:anchor="_Toc72504371" w:history="1">
            <w:r w:rsidR="004E7D35" w:rsidRPr="004C5A31">
              <w:rPr>
                <w:rStyle w:val="Hyperlink"/>
                <w:rFonts w:ascii="Calibri" w:eastAsia="Calibri" w:hAnsi="Calibri" w:cs="Calibri"/>
                <w:noProof/>
                <w:lang w:val="en-US"/>
              </w:rPr>
              <w:t>Departmental officers</w:t>
            </w:r>
            <w:r w:rsidR="004E7D35">
              <w:rPr>
                <w:noProof/>
                <w:webHidden/>
              </w:rPr>
              <w:tab/>
            </w:r>
            <w:r w:rsidR="004E7D35">
              <w:rPr>
                <w:noProof/>
                <w:webHidden/>
              </w:rPr>
              <w:fldChar w:fldCharType="begin"/>
            </w:r>
            <w:r w:rsidR="004E7D35">
              <w:rPr>
                <w:noProof/>
                <w:webHidden/>
              </w:rPr>
              <w:instrText xml:space="preserve"> PAGEREF _Toc72504371 \h </w:instrText>
            </w:r>
            <w:r w:rsidR="004E7D35">
              <w:rPr>
                <w:noProof/>
                <w:webHidden/>
              </w:rPr>
            </w:r>
            <w:r w:rsidR="004E7D35">
              <w:rPr>
                <w:noProof/>
                <w:webHidden/>
              </w:rPr>
              <w:fldChar w:fldCharType="separate"/>
            </w:r>
            <w:r w:rsidR="009F7246">
              <w:rPr>
                <w:noProof/>
                <w:webHidden/>
              </w:rPr>
              <w:t>17</w:t>
            </w:r>
            <w:r w:rsidR="004E7D35">
              <w:rPr>
                <w:noProof/>
                <w:webHidden/>
              </w:rPr>
              <w:fldChar w:fldCharType="end"/>
            </w:r>
          </w:hyperlink>
        </w:p>
        <w:p w14:paraId="2314E100" w14:textId="181EA7F7" w:rsidR="004E7D35" w:rsidRDefault="00E21BFC">
          <w:pPr>
            <w:pStyle w:val="TOC3"/>
            <w:tabs>
              <w:tab w:val="right" w:leader="dot" w:pos="9016"/>
            </w:tabs>
            <w:rPr>
              <w:rFonts w:eastAsiaTheme="minorEastAsia"/>
              <w:noProof/>
              <w:sz w:val="22"/>
              <w:lang w:eastAsia="en-AU"/>
            </w:rPr>
          </w:pPr>
          <w:hyperlink w:anchor="_Toc72504372" w:history="1">
            <w:r w:rsidR="004E7D35" w:rsidRPr="004C5A31">
              <w:rPr>
                <w:rStyle w:val="Hyperlink"/>
                <w:noProof/>
                <w:lang w:val="en-US"/>
              </w:rPr>
              <w:t>Senior executives</w:t>
            </w:r>
            <w:r w:rsidR="004E7D35">
              <w:rPr>
                <w:noProof/>
                <w:webHidden/>
              </w:rPr>
              <w:tab/>
            </w:r>
            <w:r w:rsidR="004E7D35">
              <w:rPr>
                <w:noProof/>
                <w:webHidden/>
              </w:rPr>
              <w:fldChar w:fldCharType="begin"/>
            </w:r>
            <w:r w:rsidR="004E7D35">
              <w:rPr>
                <w:noProof/>
                <w:webHidden/>
              </w:rPr>
              <w:instrText xml:space="preserve"> PAGEREF _Toc72504372 \h </w:instrText>
            </w:r>
            <w:r w:rsidR="004E7D35">
              <w:rPr>
                <w:noProof/>
                <w:webHidden/>
              </w:rPr>
            </w:r>
            <w:r w:rsidR="004E7D35">
              <w:rPr>
                <w:noProof/>
                <w:webHidden/>
              </w:rPr>
              <w:fldChar w:fldCharType="separate"/>
            </w:r>
            <w:r w:rsidR="009F7246">
              <w:rPr>
                <w:noProof/>
                <w:webHidden/>
              </w:rPr>
              <w:t>17</w:t>
            </w:r>
            <w:r w:rsidR="004E7D35">
              <w:rPr>
                <w:noProof/>
                <w:webHidden/>
              </w:rPr>
              <w:fldChar w:fldCharType="end"/>
            </w:r>
          </w:hyperlink>
        </w:p>
        <w:p w14:paraId="73088FA5" w14:textId="0B33D431" w:rsidR="004E7D35" w:rsidRDefault="00E21BFC">
          <w:pPr>
            <w:pStyle w:val="TOC3"/>
            <w:tabs>
              <w:tab w:val="right" w:leader="dot" w:pos="9016"/>
            </w:tabs>
            <w:rPr>
              <w:rFonts w:eastAsiaTheme="minorEastAsia"/>
              <w:noProof/>
              <w:sz w:val="22"/>
              <w:lang w:eastAsia="en-AU"/>
            </w:rPr>
          </w:pPr>
          <w:hyperlink w:anchor="_Toc72504373" w:history="1">
            <w:r w:rsidR="004E7D35" w:rsidRPr="004C5A31">
              <w:rPr>
                <w:rStyle w:val="Hyperlink"/>
                <w:noProof/>
                <w:lang w:val="en-US"/>
              </w:rPr>
              <w:t>Staff in environmental program areas</w:t>
            </w:r>
            <w:r w:rsidR="004E7D35">
              <w:rPr>
                <w:noProof/>
                <w:webHidden/>
              </w:rPr>
              <w:tab/>
            </w:r>
            <w:r w:rsidR="004E7D35">
              <w:rPr>
                <w:noProof/>
                <w:webHidden/>
              </w:rPr>
              <w:fldChar w:fldCharType="begin"/>
            </w:r>
            <w:r w:rsidR="004E7D35">
              <w:rPr>
                <w:noProof/>
                <w:webHidden/>
              </w:rPr>
              <w:instrText xml:space="preserve"> PAGEREF _Toc72504373 \h </w:instrText>
            </w:r>
            <w:r w:rsidR="004E7D35">
              <w:rPr>
                <w:noProof/>
                <w:webHidden/>
              </w:rPr>
            </w:r>
            <w:r w:rsidR="004E7D35">
              <w:rPr>
                <w:noProof/>
                <w:webHidden/>
              </w:rPr>
              <w:fldChar w:fldCharType="separate"/>
            </w:r>
            <w:r w:rsidR="009F7246">
              <w:rPr>
                <w:noProof/>
                <w:webHidden/>
              </w:rPr>
              <w:t>18</w:t>
            </w:r>
            <w:r w:rsidR="004E7D35">
              <w:rPr>
                <w:noProof/>
                <w:webHidden/>
              </w:rPr>
              <w:fldChar w:fldCharType="end"/>
            </w:r>
          </w:hyperlink>
        </w:p>
        <w:p w14:paraId="2A7B9432" w14:textId="27171E61" w:rsidR="004E7D35" w:rsidRDefault="00E21BFC">
          <w:pPr>
            <w:pStyle w:val="TOC3"/>
            <w:tabs>
              <w:tab w:val="right" w:leader="dot" w:pos="9016"/>
            </w:tabs>
            <w:rPr>
              <w:rFonts w:eastAsiaTheme="minorEastAsia"/>
              <w:noProof/>
              <w:sz w:val="22"/>
              <w:lang w:eastAsia="en-AU"/>
            </w:rPr>
          </w:pPr>
          <w:hyperlink w:anchor="_Toc72504374" w:history="1">
            <w:r w:rsidR="004E7D35" w:rsidRPr="004C5A31">
              <w:rPr>
                <w:rStyle w:val="Hyperlink"/>
                <w:noProof/>
                <w:lang w:val="en-US"/>
              </w:rPr>
              <w:t>Environment Compliance Branch staff</w:t>
            </w:r>
            <w:r w:rsidR="004E7D35">
              <w:rPr>
                <w:noProof/>
                <w:webHidden/>
              </w:rPr>
              <w:tab/>
            </w:r>
            <w:r w:rsidR="004E7D35">
              <w:rPr>
                <w:noProof/>
                <w:webHidden/>
              </w:rPr>
              <w:fldChar w:fldCharType="begin"/>
            </w:r>
            <w:r w:rsidR="004E7D35">
              <w:rPr>
                <w:noProof/>
                <w:webHidden/>
              </w:rPr>
              <w:instrText xml:space="preserve"> PAGEREF _Toc72504374 \h </w:instrText>
            </w:r>
            <w:r w:rsidR="004E7D35">
              <w:rPr>
                <w:noProof/>
                <w:webHidden/>
              </w:rPr>
            </w:r>
            <w:r w:rsidR="004E7D35">
              <w:rPr>
                <w:noProof/>
                <w:webHidden/>
              </w:rPr>
              <w:fldChar w:fldCharType="separate"/>
            </w:r>
            <w:r w:rsidR="009F7246">
              <w:rPr>
                <w:noProof/>
                <w:webHidden/>
              </w:rPr>
              <w:t>19</w:t>
            </w:r>
            <w:r w:rsidR="004E7D35">
              <w:rPr>
                <w:noProof/>
                <w:webHidden/>
              </w:rPr>
              <w:fldChar w:fldCharType="end"/>
            </w:r>
          </w:hyperlink>
        </w:p>
        <w:p w14:paraId="61F10154" w14:textId="26C26FCE" w:rsidR="004E7D35" w:rsidRDefault="00E21BFC">
          <w:pPr>
            <w:pStyle w:val="TOC3"/>
            <w:tabs>
              <w:tab w:val="right" w:leader="dot" w:pos="9016"/>
            </w:tabs>
            <w:rPr>
              <w:rFonts w:eastAsiaTheme="minorEastAsia"/>
              <w:noProof/>
              <w:sz w:val="22"/>
              <w:lang w:eastAsia="en-AU"/>
            </w:rPr>
          </w:pPr>
          <w:hyperlink w:anchor="_Toc72504375" w:history="1">
            <w:r w:rsidR="004E7D35" w:rsidRPr="004C5A31">
              <w:rPr>
                <w:rStyle w:val="Hyperlink"/>
                <w:noProof/>
                <w:lang w:val="en-US"/>
              </w:rPr>
              <w:t>Other Commonwealth agencies</w:t>
            </w:r>
            <w:r w:rsidR="004E7D35">
              <w:rPr>
                <w:noProof/>
                <w:webHidden/>
              </w:rPr>
              <w:tab/>
            </w:r>
            <w:r w:rsidR="004E7D35">
              <w:rPr>
                <w:noProof/>
                <w:webHidden/>
              </w:rPr>
              <w:fldChar w:fldCharType="begin"/>
            </w:r>
            <w:r w:rsidR="004E7D35">
              <w:rPr>
                <w:noProof/>
                <w:webHidden/>
              </w:rPr>
              <w:instrText xml:space="preserve"> PAGEREF _Toc72504375 \h </w:instrText>
            </w:r>
            <w:r w:rsidR="004E7D35">
              <w:rPr>
                <w:noProof/>
                <w:webHidden/>
              </w:rPr>
            </w:r>
            <w:r w:rsidR="004E7D35">
              <w:rPr>
                <w:noProof/>
                <w:webHidden/>
              </w:rPr>
              <w:fldChar w:fldCharType="separate"/>
            </w:r>
            <w:r w:rsidR="009F7246">
              <w:rPr>
                <w:noProof/>
                <w:webHidden/>
              </w:rPr>
              <w:t>20</w:t>
            </w:r>
            <w:r w:rsidR="004E7D35">
              <w:rPr>
                <w:noProof/>
                <w:webHidden/>
              </w:rPr>
              <w:fldChar w:fldCharType="end"/>
            </w:r>
          </w:hyperlink>
        </w:p>
        <w:p w14:paraId="75CCD212" w14:textId="3FECA070" w:rsidR="004E7D35" w:rsidRDefault="00E21BFC">
          <w:pPr>
            <w:pStyle w:val="TOC2"/>
            <w:tabs>
              <w:tab w:val="right" w:leader="dot" w:pos="9016"/>
            </w:tabs>
            <w:rPr>
              <w:rFonts w:eastAsiaTheme="minorEastAsia"/>
              <w:noProof/>
              <w:sz w:val="22"/>
              <w:lang w:eastAsia="en-AU"/>
            </w:rPr>
          </w:pPr>
          <w:hyperlink w:anchor="_Toc72504376" w:history="1">
            <w:r w:rsidR="004E7D35" w:rsidRPr="004C5A31">
              <w:rPr>
                <w:rStyle w:val="Hyperlink"/>
                <w:rFonts w:ascii="Calibri" w:eastAsia="Calibri" w:hAnsi="Calibri" w:cs="Calibri"/>
                <w:noProof/>
                <w:lang w:val="en-US"/>
              </w:rPr>
              <w:t>State regulators</w:t>
            </w:r>
            <w:r w:rsidR="004E7D35">
              <w:rPr>
                <w:noProof/>
                <w:webHidden/>
              </w:rPr>
              <w:tab/>
            </w:r>
            <w:r w:rsidR="004E7D35">
              <w:rPr>
                <w:noProof/>
                <w:webHidden/>
              </w:rPr>
              <w:fldChar w:fldCharType="begin"/>
            </w:r>
            <w:r w:rsidR="004E7D35">
              <w:rPr>
                <w:noProof/>
                <w:webHidden/>
              </w:rPr>
              <w:instrText xml:space="preserve"> PAGEREF _Toc72504376 \h </w:instrText>
            </w:r>
            <w:r w:rsidR="004E7D35">
              <w:rPr>
                <w:noProof/>
                <w:webHidden/>
              </w:rPr>
            </w:r>
            <w:r w:rsidR="004E7D35">
              <w:rPr>
                <w:noProof/>
                <w:webHidden/>
              </w:rPr>
              <w:fldChar w:fldCharType="separate"/>
            </w:r>
            <w:r w:rsidR="009F7246">
              <w:rPr>
                <w:noProof/>
                <w:webHidden/>
              </w:rPr>
              <w:t>21</w:t>
            </w:r>
            <w:r w:rsidR="004E7D35">
              <w:rPr>
                <w:noProof/>
                <w:webHidden/>
              </w:rPr>
              <w:fldChar w:fldCharType="end"/>
            </w:r>
          </w:hyperlink>
        </w:p>
        <w:p w14:paraId="4DA40595" w14:textId="1DCF073C" w:rsidR="004E7D35" w:rsidRDefault="00E21BFC">
          <w:pPr>
            <w:pStyle w:val="TOC3"/>
            <w:tabs>
              <w:tab w:val="right" w:leader="dot" w:pos="9016"/>
            </w:tabs>
            <w:rPr>
              <w:rFonts w:eastAsiaTheme="minorEastAsia"/>
              <w:noProof/>
              <w:sz w:val="22"/>
              <w:lang w:eastAsia="en-AU"/>
            </w:rPr>
          </w:pPr>
          <w:hyperlink w:anchor="_Toc72504377" w:history="1">
            <w:r w:rsidR="004E7D35" w:rsidRPr="004C5A31">
              <w:rPr>
                <w:rStyle w:val="Hyperlink"/>
                <w:noProof/>
                <w:lang w:val="en-US"/>
              </w:rPr>
              <w:t>New South Wales</w:t>
            </w:r>
            <w:r w:rsidR="004E7D35">
              <w:rPr>
                <w:noProof/>
                <w:webHidden/>
              </w:rPr>
              <w:tab/>
            </w:r>
            <w:r w:rsidR="004E7D35">
              <w:rPr>
                <w:noProof/>
                <w:webHidden/>
              </w:rPr>
              <w:fldChar w:fldCharType="begin"/>
            </w:r>
            <w:r w:rsidR="004E7D35">
              <w:rPr>
                <w:noProof/>
                <w:webHidden/>
              </w:rPr>
              <w:instrText xml:space="preserve"> PAGEREF _Toc72504377 \h </w:instrText>
            </w:r>
            <w:r w:rsidR="004E7D35">
              <w:rPr>
                <w:noProof/>
                <w:webHidden/>
              </w:rPr>
            </w:r>
            <w:r w:rsidR="004E7D35">
              <w:rPr>
                <w:noProof/>
                <w:webHidden/>
              </w:rPr>
              <w:fldChar w:fldCharType="separate"/>
            </w:r>
            <w:r w:rsidR="009F7246">
              <w:rPr>
                <w:noProof/>
                <w:webHidden/>
              </w:rPr>
              <w:t>21</w:t>
            </w:r>
            <w:r w:rsidR="004E7D35">
              <w:rPr>
                <w:noProof/>
                <w:webHidden/>
              </w:rPr>
              <w:fldChar w:fldCharType="end"/>
            </w:r>
          </w:hyperlink>
        </w:p>
        <w:p w14:paraId="28770783" w14:textId="2562FF2B" w:rsidR="004E7D35" w:rsidRDefault="00E21BFC">
          <w:pPr>
            <w:pStyle w:val="TOC3"/>
            <w:tabs>
              <w:tab w:val="right" w:leader="dot" w:pos="9016"/>
            </w:tabs>
            <w:rPr>
              <w:rFonts w:eastAsiaTheme="minorEastAsia"/>
              <w:noProof/>
              <w:sz w:val="22"/>
              <w:lang w:eastAsia="en-AU"/>
            </w:rPr>
          </w:pPr>
          <w:hyperlink w:anchor="_Toc72504378" w:history="1">
            <w:r w:rsidR="004E7D35" w:rsidRPr="004C5A31">
              <w:rPr>
                <w:rStyle w:val="Hyperlink"/>
                <w:noProof/>
                <w:lang w:val="en-US"/>
              </w:rPr>
              <w:t>Victoria</w:t>
            </w:r>
            <w:r w:rsidR="004E7D35">
              <w:rPr>
                <w:noProof/>
                <w:webHidden/>
              </w:rPr>
              <w:tab/>
            </w:r>
            <w:r w:rsidR="004E7D35">
              <w:rPr>
                <w:noProof/>
                <w:webHidden/>
              </w:rPr>
              <w:fldChar w:fldCharType="begin"/>
            </w:r>
            <w:r w:rsidR="004E7D35">
              <w:rPr>
                <w:noProof/>
                <w:webHidden/>
              </w:rPr>
              <w:instrText xml:space="preserve"> PAGEREF _Toc72504378 \h </w:instrText>
            </w:r>
            <w:r w:rsidR="004E7D35">
              <w:rPr>
                <w:noProof/>
                <w:webHidden/>
              </w:rPr>
            </w:r>
            <w:r w:rsidR="004E7D35">
              <w:rPr>
                <w:noProof/>
                <w:webHidden/>
              </w:rPr>
              <w:fldChar w:fldCharType="separate"/>
            </w:r>
            <w:r w:rsidR="009F7246">
              <w:rPr>
                <w:noProof/>
                <w:webHidden/>
              </w:rPr>
              <w:t>22</w:t>
            </w:r>
            <w:r w:rsidR="004E7D35">
              <w:rPr>
                <w:noProof/>
                <w:webHidden/>
              </w:rPr>
              <w:fldChar w:fldCharType="end"/>
            </w:r>
          </w:hyperlink>
        </w:p>
        <w:p w14:paraId="7967F305" w14:textId="7F03C4C3" w:rsidR="004E7D35" w:rsidRDefault="00E21BFC">
          <w:pPr>
            <w:pStyle w:val="TOC3"/>
            <w:tabs>
              <w:tab w:val="right" w:leader="dot" w:pos="9016"/>
            </w:tabs>
            <w:rPr>
              <w:rFonts w:eastAsiaTheme="minorEastAsia"/>
              <w:noProof/>
              <w:sz w:val="22"/>
              <w:lang w:eastAsia="en-AU"/>
            </w:rPr>
          </w:pPr>
          <w:hyperlink w:anchor="_Toc72504379" w:history="1">
            <w:r w:rsidR="004E7D35" w:rsidRPr="004C5A31">
              <w:rPr>
                <w:rStyle w:val="Hyperlink"/>
                <w:noProof/>
                <w:lang w:val="en-US"/>
              </w:rPr>
              <w:t>Queensland</w:t>
            </w:r>
            <w:r w:rsidR="004E7D35">
              <w:rPr>
                <w:noProof/>
                <w:webHidden/>
              </w:rPr>
              <w:tab/>
            </w:r>
            <w:r w:rsidR="004E7D35">
              <w:rPr>
                <w:noProof/>
                <w:webHidden/>
              </w:rPr>
              <w:fldChar w:fldCharType="begin"/>
            </w:r>
            <w:r w:rsidR="004E7D35">
              <w:rPr>
                <w:noProof/>
                <w:webHidden/>
              </w:rPr>
              <w:instrText xml:space="preserve"> PAGEREF _Toc72504379 \h </w:instrText>
            </w:r>
            <w:r w:rsidR="004E7D35">
              <w:rPr>
                <w:noProof/>
                <w:webHidden/>
              </w:rPr>
            </w:r>
            <w:r w:rsidR="004E7D35">
              <w:rPr>
                <w:noProof/>
                <w:webHidden/>
              </w:rPr>
              <w:fldChar w:fldCharType="separate"/>
            </w:r>
            <w:r w:rsidR="009F7246">
              <w:rPr>
                <w:noProof/>
                <w:webHidden/>
              </w:rPr>
              <w:t>23</w:t>
            </w:r>
            <w:r w:rsidR="004E7D35">
              <w:rPr>
                <w:noProof/>
                <w:webHidden/>
              </w:rPr>
              <w:fldChar w:fldCharType="end"/>
            </w:r>
          </w:hyperlink>
        </w:p>
        <w:p w14:paraId="23E2FD21" w14:textId="7A649DAC" w:rsidR="004E7D35" w:rsidRDefault="00E21BFC">
          <w:pPr>
            <w:pStyle w:val="TOC3"/>
            <w:tabs>
              <w:tab w:val="right" w:leader="dot" w:pos="9016"/>
            </w:tabs>
            <w:rPr>
              <w:rFonts w:eastAsiaTheme="minorEastAsia"/>
              <w:noProof/>
              <w:sz w:val="22"/>
              <w:lang w:eastAsia="en-AU"/>
            </w:rPr>
          </w:pPr>
          <w:hyperlink w:anchor="_Toc72504380" w:history="1">
            <w:r w:rsidR="004E7D35" w:rsidRPr="004C5A31">
              <w:rPr>
                <w:rStyle w:val="Hyperlink"/>
                <w:noProof/>
                <w:lang w:val="en-US"/>
              </w:rPr>
              <w:t>South Australia</w:t>
            </w:r>
            <w:r w:rsidR="004E7D35">
              <w:rPr>
                <w:noProof/>
                <w:webHidden/>
              </w:rPr>
              <w:tab/>
            </w:r>
            <w:r w:rsidR="004E7D35">
              <w:rPr>
                <w:noProof/>
                <w:webHidden/>
              </w:rPr>
              <w:fldChar w:fldCharType="begin"/>
            </w:r>
            <w:r w:rsidR="004E7D35">
              <w:rPr>
                <w:noProof/>
                <w:webHidden/>
              </w:rPr>
              <w:instrText xml:space="preserve"> PAGEREF _Toc72504380 \h </w:instrText>
            </w:r>
            <w:r w:rsidR="004E7D35">
              <w:rPr>
                <w:noProof/>
                <w:webHidden/>
              </w:rPr>
            </w:r>
            <w:r w:rsidR="004E7D35">
              <w:rPr>
                <w:noProof/>
                <w:webHidden/>
              </w:rPr>
              <w:fldChar w:fldCharType="separate"/>
            </w:r>
            <w:r w:rsidR="009F7246">
              <w:rPr>
                <w:noProof/>
                <w:webHidden/>
              </w:rPr>
              <w:t>24</w:t>
            </w:r>
            <w:r w:rsidR="004E7D35">
              <w:rPr>
                <w:noProof/>
                <w:webHidden/>
              </w:rPr>
              <w:fldChar w:fldCharType="end"/>
            </w:r>
          </w:hyperlink>
        </w:p>
        <w:p w14:paraId="5615ADA2" w14:textId="3D080A94" w:rsidR="004E7D35" w:rsidRDefault="00E21BFC">
          <w:pPr>
            <w:pStyle w:val="TOC2"/>
            <w:tabs>
              <w:tab w:val="right" w:leader="dot" w:pos="9016"/>
            </w:tabs>
            <w:rPr>
              <w:rFonts w:eastAsiaTheme="minorEastAsia"/>
              <w:noProof/>
              <w:sz w:val="22"/>
              <w:lang w:eastAsia="en-AU"/>
            </w:rPr>
          </w:pPr>
          <w:hyperlink w:anchor="_Toc72504381" w:history="1">
            <w:r w:rsidR="004E7D35" w:rsidRPr="004C5A31">
              <w:rPr>
                <w:rStyle w:val="Hyperlink"/>
                <w:rFonts w:ascii="Calibri" w:eastAsia="Calibri" w:hAnsi="Calibri" w:cs="Calibri"/>
                <w:noProof/>
                <w:lang w:val="en-US"/>
              </w:rPr>
              <w:t>International counterparts</w:t>
            </w:r>
            <w:r w:rsidR="004E7D35">
              <w:rPr>
                <w:noProof/>
                <w:webHidden/>
              </w:rPr>
              <w:tab/>
            </w:r>
            <w:r w:rsidR="004E7D35">
              <w:rPr>
                <w:noProof/>
                <w:webHidden/>
              </w:rPr>
              <w:fldChar w:fldCharType="begin"/>
            </w:r>
            <w:r w:rsidR="004E7D35">
              <w:rPr>
                <w:noProof/>
                <w:webHidden/>
              </w:rPr>
              <w:instrText xml:space="preserve"> PAGEREF _Toc72504381 \h </w:instrText>
            </w:r>
            <w:r w:rsidR="004E7D35">
              <w:rPr>
                <w:noProof/>
                <w:webHidden/>
              </w:rPr>
            </w:r>
            <w:r w:rsidR="004E7D35">
              <w:rPr>
                <w:noProof/>
                <w:webHidden/>
              </w:rPr>
              <w:fldChar w:fldCharType="separate"/>
            </w:r>
            <w:r w:rsidR="009F7246">
              <w:rPr>
                <w:noProof/>
                <w:webHidden/>
              </w:rPr>
              <w:t>25</w:t>
            </w:r>
            <w:r w:rsidR="004E7D35">
              <w:rPr>
                <w:noProof/>
                <w:webHidden/>
              </w:rPr>
              <w:fldChar w:fldCharType="end"/>
            </w:r>
          </w:hyperlink>
        </w:p>
        <w:p w14:paraId="18B3071B" w14:textId="7BAA9028" w:rsidR="004E7D35" w:rsidRDefault="00E21BFC">
          <w:pPr>
            <w:pStyle w:val="TOC3"/>
            <w:tabs>
              <w:tab w:val="right" w:leader="dot" w:pos="9016"/>
            </w:tabs>
            <w:rPr>
              <w:rFonts w:eastAsiaTheme="minorEastAsia"/>
              <w:noProof/>
              <w:sz w:val="22"/>
              <w:lang w:eastAsia="en-AU"/>
            </w:rPr>
          </w:pPr>
          <w:hyperlink w:anchor="_Toc72504382" w:history="1">
            <w:r w:rsidR="004E7D35" w:rsidRPr="004C5A31">
              <w:rPr>
                <w:rStyle w:val="Hyperlink"/>
                <w:noProof/>
                <w:lang w:val="en-US"/>
              </w:rPr>
              <w:t>Canada</w:t>
            </w:r>
            <w:r w:rsidR="004E7D35">
              <w:rPr>
                <w:noProof/>
                <w:webHidden/>
              </w:rPr>
              <w:tab/>
            </w:r>
            <w:r w:rsidR="004E7D35">
              <w:rPr>
                <w:noProof/>
                <w:webHidden/>
              </w:rPr>
              <w:fldChar w:fldCharType="begin"/>
            </w:r>
            <w:r w:rsidR="004E7D35">
              <w:rPr>
                <w:noProof/>
                <w:webHidden/>
              </w:rPr>
              <w:instrText xml:space="preserve"> PAGEREF _Toc72504382 \h </w:instrText>
            </w:r>
            <w:r w:rsidR="004E7D35">
              <w:rPr>
                <w:noProof/>
                <w:webHidden/>
              </w:rPr>
            </w:r>
            <w:r w:rsidR="004E7D35">
              <w:rPr>
                <w:noProof/>
                <w:webHidden/>
              </w:rPr>
              <w:fldChar w:fldCharType="separate"/>
            </w:r>
            <w:r w:rsidR="009F7246">
              <w:rPr>
                <w:noProof/>
                <w:webHidden/>
              </w:rPr>
              <w:t>25</w:t>
            </w:r>
            <w:r w:rsidR="004E7D35">
              <w:rPr>
                <w:noProof/>
                <w:webHidden/>
              </w:rPr>
              <w:fldChar w:fldCharType="end"/>
            </w:r>
          </w:hyperlink>
        </w:p>
        <w:p w14:paraId="272455D3" w14:textId="35916FFB" w:rsidR="004E7D35" w:rsidRDefault="00E21BFC">
          <w:pPr>
            <w:pStyle w:val="TOC3"/>
            <w:tabs>
              <w:tab w:val="right" w:leader="dot" w:pos="9016"/>
            </w:tabs>
            <w:rPr>
              <w:rFonts w:eastAsiaTheme="minorEastAsia"/>
              <w:noProof/>
              <w:sz w:val="22"/>
              <w:lang w:eastAsia="en-AU"/>
            </w:rPr>
          </w:pPr>
          <w:hyperlink w:anchor="_Toc72504383" w:history="1">
            <w:r w:rsidR="004E7D35" w:rsidRPr="004C5A31">
              <w:rPr>
                <w:rStyle w:val="Hyperlink"/>
                <w:noProof/>
                <w:lang w:val="en-US"/>
              </w:rPr>
              <w:t>New Zealand</w:t>
            </w:r>
            <w:r w:rsidR="004E7D35">
              <w:rPr>
                <w:noProof/>
                <w:webHidden/>
              </w:rPr>
              <w:tab/>
            </w:r>
            <w:r w:rsidR="004E7D35">
              <w:rPr>
                <w:noProof/>
                <w:webHidden/>
              </w:rPr>
              <w:fldChar w:fldCharType="begin"/>
            </w:r>
            <w:r w:rsidR="004E7D35">
              <w:rPr>
                <w:noProof/>
                <w:webHidden/>
              </w:rPr>
              <w:instrText xml:space="preserve"> PAGEREF _Toc72504383 \h </w:instrText>
            </w:r>
            <w:r w:rsidR="004E7D35">
              <w:rPr>
                <w:noProof/>
                <w:webHidden/>
              </w:rPr>
            </w:r>
            <w:r w:rsidR="004E7D35">
              <w:rPr>
                <w:noProof/>
                <w:webHidden/>
              </w:rPr>
              <w:fldChar w:fldCharType="separate"/>
            </w:r>
            <w:r w:rsidR="009F7246">
              <w:rPr>
                <w:noProof/>
                <w:webHidden/>
              </w:rPr>
              <w:t>25</w:t>
            </w:r>
            <w:r w:rsidR="004E7D35">
              <w:rPr>
                <w:noProof/>
                <w:webHidden/>
              </w:rPr>
              <w:fldChar w:fldCharType="end"/>
            </w:r>
          </w:hyperlink>
        </w:p>
        <w:p w14:paraId="37FD5047" w14:textId="3595635E" w:rsidR="004E7D35" w:rsidRDefault="00E21BFC">
          <w:pPr>
            <w:pStyle w:val="TOC2"/>
            <w:tabs>
              <w:tab w:val="right" w:leader="dot" w:pos="9016"/>
            </w:tabs>
            <w:rPr>
              <w:rFonts w:eastAsiaTheme="minorEastAsia"/>
              <w:noProof/>
              <w:sz w:val="22"/>
              <w:lang w:eastAsia="en-AU"/>
            </w:rPr>
          </w:pPr>
          <w:hyperlink w:anchor="_Toc72504384" w:history="1">
            <w:r w:rsidR="004E7D35" w:rsidRPr="004C5A31">
              <w:rPr>
                <w:rStyle w:val="Hyperlink"/>
                <w:rFonts w:ascii="Calibri" w:eastAsia="Calibri" w:hAnsi="Calibri" w:cs="Calibri"/>
                <w:noProof/>
                <w:lang w:val="en-US"/>
              </w:rPr>
              <w:t>Non-government stakeholders</w:t>
            </w:r>
            <w:r w:rsidR="004E7D35">
              <w:rPr>
                <w:noProof/>
                <w:webHidden/>
              </w:rPr>
              <w:tab/>
            </w:r>
            <w:r w:rsidR="004E7D35">
              <w:rPr>
                <w:noProof/>
                <w:webHidden/>
              </w:rPr>
              <w:fldChar w:fldCharType="begin"/>
            </w:r>
            <w:r w:rsidR="004E7D35">
              <w:rPr>
                <w:noProof/>
                <w:webHidden/>
              </w:rPr>
              <w:instrText xml:space="preserve"> PAGEREF _Toc72504384 \h </w:instrText>
            </w:r>
            <w:r w:rsidR="004E7D35">
              <w:rPr>
                <w:noProof/>
                <w:webHidden/>
              </w:rPr>
            </w:r>
            <w:r w:rsidR="004E7D35">
              <w:rPr>
                <w:noProof/>
                <w:webHidden/>
              </w:rPr>
              <w:fldChar w:fldCharType="separate"/>
            </w:r>
            <w:r w:rsidR="009F7246">
              <w:rPr>
                <w:noProof/>
                <w:webHidden/>
              </w:rPr>
              <w:t>26</w:t>
            </w:r>
            <w:r w:rsidR="004E7D35">
              <w:rPr>
                <w:noProof/>
                <w:webHidden/>
              </w:rPr>
              <w:fldChar w:fldCharType="end"/>
            </w:r>
          </w:hyperlink>
        </w:p>
        <w:p w14:paraId="0BFD785B" w14:textId="29CC4CA2" w:rsidR="004E7D35" w:rsidRDefault="00E21BFC">
          <w:pPr>
            <w:pStyle w:val="TOC3"/>
            <w:tabs>
              <w:tab w:val="right" w:leader="dot" w:pos="9016"/>
            </w:tabs>
            <w:rPr>
              <w:rFonts w:eastAsiaTheme="minorEastAsia"/>
              <w:noProof/>
              <w:sz w:val="22"/>
              <w:lang w:eastAsia="en-AU"/>
            </w:rPr>
          </w:pPr>
          <w:hyperlink w:anchor="_Toc72504385" w:history="1">
            <w:r w:rsidR="004E7D35" w:rsidRPr="004C5A31">
              <w:rPr>
                <w:rStyle w:val="Hyperlink"/>
                <w:noProof/>
                <w:lang w:val="en-US"/>
              </w:rPr>
              <w:t>Community</w:t>
            </w:r>
            <w:r w:rsidR="004E7D35">
              <w:rPr>
                <w:noProof/>
                <w:webHidden/>
              </w:rPr>
              <w:tab/>
            </w:r>
            <w:r w:rsidR="004E7D35">
              <w:rPr>
                <w:noProof/>
                <w:webHidden/>
              </w:rPr>
              <w:fldChar w:fldCharType="begin"/>
            </w:r>
            <w:r w:rsidR="004E7D35">
              <w:rPr>
                <w:noProof/>
                <w:webHidden/>
              </w:rPr>
              <w:instrText xml:space="preserve"> PAGEREF _Toc72504385 \h </w:instrText>
            </w:r>
            <w:r w:rsidR="004E7D35">
              <w:rPr>
                <w:noProof/>
                <w:webHidden/>
              </w:rPr>
            </w:r>
            <w:r w:rsidR="004E7D35">
              <w:rPr>
                <w:noProof/>
                <w:webHidden/>
              </w:rPr>
              <w:fldChar w:fldCharType="separate"/>
            </w:r>
            <w:r w:rsidR="009F7246">
              <w:rPr>
                <w:noProof/>
                <w:webHidden/>
              </w:rPr>
              <w:t>26</w:t>
            </w:r>
            <w:r w:rsidR="004E7D35">
              <w:rPr>
                <w:noProof/>
                <w:webHidden/>
              </w:rPr>
              <w:fldChar w:fldCharType="end"/>
            </w:r>
          </w:hyperlink>
        </w:p>
        <w:p w14:paraId="15FEF641" w14:textId="4EBA7F97" w:rsidR="004E7D35" w:rsidRDefault="00E21BFC">
          <w:pPr>
            <w:pStyle w:val="TOC3"/>
            <w:tabs>
              <w:tab w:val="right" w:leader="dot" w:pos="9016"/>
            </w:tabs>
            <w:rPr>
              <w:rFonts w:eastAsiaTheme="minorEastAsia"/>
              <w:noProof/>
              <w:sz w:val="22"/>
              <w:lang w:eastAsia="en-AU"/>
            </w:rPr>
          </w:pPr>
          <w:hyperlink w:anchor="_Toc72504386" w:history="1">
            <w:r w:rsidR="004E7D35" w:rsidRPr="004C5A31">
              <w:rPr>
                <w:rStyle w:val="Hyperlink"/>
                <w:noProof/>
                <w:lang w:val="en-US"/>
              </w:rPr>
              <w:t>Industry</w:t>
            </w:r>
            <w:r w:rsidR="004E7D35">
              <w:rPr>
                <w:noProof/>
                <w:webHidden/>
              </w:rPr>
              <w:tab/>
            </w:r>
            <w:r w:rsidR="004E7D35">
              <w:rPr>
                <w:noProof/>
                <w:webHidden/>
              </w:rPr>
              <w:fldChar w:fldCharType="begin"/>
            </w:r>
            <w:r w:rsidR="004E7D35">
              <w:rPr>
                <w:noProof/>
                <w:webHidden/>
              </w:rPr>
              <w:instrText xml:space="preserve"> PAGEREF _Toc72504386 \h </w:instrText>
            </w:r>
            <w:r w:rsidR="004E7D35">
              <w:rPr>
                <w:noProof/>
                <w:webHidden/>
              </w:rPr>
            </w:r>
            <w:r w:rsidR="004E7D35">
              <w:rPr>
                <w:noProof/>
                <w:webHidden/>
              </w:rPr>
              <w:fldChar w:fldCharType="separate"/>
            </w:r>
            <w:r w:rsidR="009F7246">
              <w:rPr>
                <w:noProof/>
                <w:webHidden/>
              </w:rPr>
              <w:t>28</w:t>
            </w:r>
            <w:r w:rsidR="004E7D35">
              <w:rPr>
                <w:noProof/>
                <w:webHidden/>
              </w:rPr>
              <w:fldChar w:fldCharType="end"/>
            </w:r>
          </w:hyperlink>
        </w:p>
        <w:p w14:paraId="7139E21E" w14:textId="7F45C594" w:rsidR="004E7D35" w:rsidRDefault="00E21BFC">
          <w:pPr>
            <w:pStyle w:val="TOC1"/>
            <w:tabs>
              <w:tab w:val="right" w:leader="dot" w:pos="9016"/>
            </w:tabs>
            <w:rPr>
              <w:rFonts w:eastAsiaTheme="minorEastAsia"/>
              <w:noProof/>
              <w:sz w:val="22"/>
              <w:lang w:eastAsia="en-AU"/>
            </w:rPr>
          </w:pPr>
          <w:hyperlink w:anchor="_Toc72504387" w:history="1">
            <w:r w:rsidR="004E7D35" w:rsidRPr="004C5A31">
              <w:rPr>
                <w:rStyle w:val="Hyperlink"/>
                <w:noProof/>
                <w:lang w:val="en-US"/>
              </w:rPr>
              <w:t>Addressing compliance risks and gaps</w:t>
            </w:r>
            <w:r w:rsidR="004E7D35">
              <w:rPr>
                <w:noProof/>
                <w:webHidden/>
              </w:rPr>
              <w:tab/>
            </w:r>
            <w:r w:rsidR="004E7D35">
              <w:rPr>
                <w:noProof/>
                <w:webHidden/>
              </w:rPr>
              <w:fldChar w:fldCharType="begin"/>
            </w:r>
            <w:r w:rsidR="004E7D35">
              <w:rPr>
                <w:noProof/>
                <w:webHidden/>
              </w:rPr>
              <w:instrText xml:space="preserve"> PAGEREF _Toc72504387 \h </w:instrText>
            </w:r>
            <w:r w:rsidR="004E7D35">
              <w:rPr>
                <w:noProof/>
                <w:webHidden/>
              </w:rPr>
            </w:r>
            <w:r w:rsidR="004E7D35">
              <w:rPr>
                <w:noProof/>
                <w:webHidden/>
              </w:rPr>
              <w:fldChar w:fldCharType="separate"/>
            </w:r>
            <w:r w:rsidR="009F7246">
              <w:rPr>
                <w:noProof/>
                <w:webHidden/>
              </w:rPr>
              <w:t>30</w:t>
            </w:r>
            <w:r w:rsidR="004E7D35">
              <w:rPr>
                <w:noProof/>
                <w:webHidden/>
              </w:rPr>
              <w:fldChar w:fldCharType="end"/>
            </w:r>
          </w:hyperlink>
        </w:p>
        <w:p w14:paraId="54A4962D" w14:textId="1A982527" w:rsidR="004E7D35" w:rsidRDefault="00E21BFC">
          <w:pPr>
            <w:pStyle w:val="TOC2"/>
            <w:tabs>
              <w:tab w:val="right" w:leader="dot" w:pos="9016"/>
            </w:tabs>
            <w:rPr>
              <w:rFonts w:eastAsiaTheme="minorEastAsia"/>
              <w:noProof/>
              <w:sz w:val="22"/>
              <w:lang w:eastAsia="en-AU"/>
            </w:rPr>
          </w:pPr>
          <w:hyperlink w:anchor="_Toc72504388" w:history="1">
            <w:r w:rsidR="004E7D35" w:rsidRPr="004C5A31">
              <w:rPr>
                <w:rStyle w:val="Hyperlink"/>
                <w:noProof/>
                <w:lang w:val="en-US"/>
              </w:rPr>
              <w:t>Risks under different legislative regimes</w:t>
            </w:r>
            <w:r w:rsidR="004E7D35">
              <w:rPr>
                <w:noProof/>
                <w:webHidden/>
              </w:rPr>
              <w:tab/>
            </w:r>
            <w:r w:rsidR="004E7D35">
              <w:rPr>
                <w:noProof/>
                <w:webHidden/>
              </w:rPr>
              <w:fldChar w:fldCharType="begin"/>
            </w:r>
            <w:r w:rsidR="004E7D35">
              <w:rPr>
                <w:noProof/>
                <w:webHidden/>
              </w:rPr>
              <w:instrText xml:space="preserve"> PAGEREF _Toc72504388 \h </w:instrText>
            </w:r>
            <w:r w:rsidR="004E7D35">
              <w:rPr>
                <w:noProof/>
                <w:webHidden/>
              </w:rPr>
            </w:r>
            <w:r w:rsidR="004E7D35">
              <w:rPr>
                <w:noProof/>
                <w:webHidden/>
              </w:rPr>
              <w:fldChar w:fldCharType="separate"/>
            </w:r>
            <w:r w:rsidR="009F7246">
              <w:rPr>
                <w:noProof/>
                <w:webHidden/>
              </w:rPr>
              <w:t>31</w:t>
            </w:r>
            <w:r w:rsidR="004E7D35">
              <w:rPr>
                <w:noProof/>
                <w:webHidden/>
              </w:rPr>
              <w:fldChar w:fldCharType="end"/>
            </w:r>
          </w:hyperlink>
        </w:p>
        <w:p w14:paraId="49223129" w14:textId="0180B529" w:rsidR="004E7D35" w:rsidRDefault="00E21BFC">
          <w:pPr>
            <w:pStyle w:val="TOC3"/>
            <w:tabs>
              <w:tab w:val="right" w:leader="dot" w:pos="9016"/>
            </w:tabs>
            <w:rPr>
              <w:rFonts w:eastAsiaTheme="minorEastAsia"/>
              <w:noProof/>
              <w:sz w:val="22"/>
              <w:lang w:eastAsia="en-AU"/>
            </w:rPr>
          </w:pPr>
          <w:hyperlink w:anchor="_Toc72504389" w:history="1">
            <w:r w:rsidR="004E7D35" w:rsidRPr="004C5A31">
              <w:rPr>
                <w:rStyle w:val="Hyperlink"/>
                <w:i/>
                <w:iCs/>
                <w:noProof/>
                <w:lang w:val="en-US"/>
              </w:rPr>
              <w:t>Environment Protection and Biodiversity Conservation Act 1999</w:t>
            </w:r>
            <w:r w:rsidR="004E7D35" w:rsidRPr="004C5A31">
              <w:rPr>
                <w:rStyle w:val="Hyperlink"/>
                <w:noProof/>
                <w:lang w:val="en-US"/>
              </w:rPr>
              <w:t xml:space="preserve"> (EPBC Act)</w:t>
            </w:r>
            <w:r w:rsidR="004E7D35">
              <w:rPr>
                <w:noProof/>
                <w:webHidden/>
              </w:rPr>
              <w:tab/>
            </w:r>
            <w:r w:rsidR="004E7D35">
              <w:rPr>
                <w:noProof/>
                <w:webHidden/>
              </w:rPr>
              <w:fldChar w:fldCharType="begin"/>
            </w:r>
            <w:r w:rsidR="004E7D35">
              <w:rPr>
                <w:noProof/>
                <w:webHidden/>
              </w:rPr>
              <w:instrText xml:space="preserve"> PAGEREF _Toc72504389 \h </w:instrText>
            </w:r>
            <w:r w:rsidR="004E7D35">
              <w:rPr>
                <w:noProof/>
                <w:webHidden/>
              </w:rPr>
            </w:r>
            <w:r w:rsidR="004E7D35">
              <w:rPr>
                <w:noProof/>
                <w:webHidden/>
              </w:rPr>
              <w:fldChar w:fldCharType="separate"/>
            </w:r>
            <w:r w:rsidR="009F7246">
              <w:rPr>
                <w:noProof/>
                <w:webHidden/>
              </w:rPr>
              <w:t>31</w:t>
            </w:r>
            <w:r w:rsidR="004E7D35">
              <w:rPr>
                <w:noProof/>
                <w:webHidden/>
              </w:rPr>
              <w:fldChar w:fldCharType="end"/>
            </w:r>
          </w:hyperlink>
        </w:p>
        <w:p w14:paraId="3FC4D28D" w14:textId="7B6506AC" w:rsidR="004E7D35" w:rsidRDefault="00E21BFC">
          <w:pPr>
            <w:pStyle w:val="TOC3"/>
            <w:tabs>
              <w:tab w:val="right" w:leader="dot" w:pos="9016"/>
            </w:tabs>
            <w:rPr>
              <w:rFonts w:eastAsiaTheme="minorEastAsia"/>
              <w:noProof/>
              <w:sz w:val="22"/>
              <w:lang w:eastAsia="en-AU"/>
            </w:rPr>
          </w:pPr>
          <w:hyperlink w:anchor="_Toc72504390" w:history="1">
            <w:r w:rsidR="004E7D35" w:rsidRPr="004C5A31">
              <w:rPr>
                <w:rStyle w:val="Hyperlink"/>
                <w:i/>
                <w:iCs/>
                <w:noProof/>
                <w:lang w:val="en-US"/>
              </w:rPr>
              <w:t>Underwater Cultural Heritage Act 2018</w:t>
            </w:r>
            <w:r w:rsidR="004E7D35">
              <w:rPr>
                <w:noProof/>
                <w:webHidden/>
              </w:rPr>
              <w:tab/>
            </w:r>
            <w:r w:rsidR="004E7D35">
              <w:rPr>
                <w:noProof/>
                <w:webHidden/>
              </w:rPr>
              <w:fldChar w:fldCharType="begin"/>
            </w:r>
            <w:r w:rsidR="004E7D35">
              <w:rPr>
                <w:noProof/>
                <w:webHidden/>
              </w:rPr>
              <w:instrText xml:space="preserve"> PAGEREF _Toc72504390 \h </w:instrText>
            </w:r>
            <w:r w:rsidR="004E7D35">
              <w:rPr>
                <w:noProof/>
                <w:webHidden/>
              </w:rPr>
            </w:r>
            <w:r w:rsidR="004E7D35">
              <w:rPr>
                <w:noProof/>
                <w:webHidden/>
              </w:rPr>
              <w:fldChar w:fldCharType="separate"/>
            </w:r>
            <w:r w:rsidR="009F7246">
              <w:rPr>
                <w:noProof/>
                <w:webHidden/>
              </w:rPr>
              <w:t>34</w:t>
            </w:r>
            <w:r w:rsidR="004E7D35">
              <w:rPr>
                <w:noProof/>
                <w:webHidden/>
              </w:rPr>
              <w:fldChar w:fldCharType="end"/>
            </w:r>
          </w:hyperlink>
        </w:p>
        <w:p w14:paraId="7CCE5132" w14:textId="2C74C945" w:rsidR="004E7D35" w:rsidRDefault="00E21BFC">
          <w:pPr>
            <w:pStyle w:val="TOC3"/>
            <w:tabs>
              <w:tab w:val="right" w:leader="dot" w:pos="9016"/>
            </w:tabs>
            <w:rPr>
              <w:rFonts w:eastAsiaTheme="minorEastAsia"/>
              <w:noProof/>
              <w:sz w:val="22"/>
              <w:lang w:eastAsia="en-AU"/>
            </w:rPr>
          </w:pPr>
          <w:hyperlink w:anchor="_Toc72504391" w:history="1">
            <w:r w:rsidR="004E7D35" w:rsidRPr="004C5A31">
              <w:rPr>
                <w:rStyle w:val="Hyperlink"/>
                <w:i/>
                <w:iCs/>
                <w:noProof/>
                <w:lang w:val="en-US"/>
              </w:rPr>
              <w:t>Ozone Protection and Synthetic Greenhouse Gas Management Act 1989</w:t>
            </w:r>
            <w:r w:rsidR="004E7D35">
              <w:rPr>
                <w:noProof/>
                <w:webHidden/>
              </w:rPr>
              <w:tab/>
            </w:r>
            <w:r w:rsidR="004E7D35">
              <w:rPr>
                <w:noProof/>
                <w:webHidden/>
              </w:rPr>
              <w:fldChar w:fldCharType="begin"/>
            </w:r>
            <w:r w:rsidR="004E7D35">
              <w:rPr>
                <w:noProof/>
                <w:webHidden/>
              </w:rPr>
              <w:instrText xml:space="preserve"> PAGEREF _Toc72504391 \h </w:instrText>
            </w:r>
            <w:r w:rsidR="004E7D35">
              <w:rPr>
                <w:noProof/>
                <w:webHidden/>
              </w:rPr>
            </w:r>
            <w:r w:rsidR="004E7D35">
              <w:rPr>
                <w:noProof/>
                <w:webHidden/>
              </w:rPr>
              <w:fldChar w:fldCharType="separate"/>
            </w:r>
            <w:r w:rsidR="009F7246">
              <w:rPr>
                <w:noProof/>
                <w:webHidden/>
              </w:rPr>
              <w:t>34</w:t>
            </w:r>
            <w:r w:rsidR="004E7D35">
              <w:rPr>
                <w:noProof/>
                <w:webHidden/>
              </w:rPr>
              <w:fldChar w:fldCharType="end"/>
            </w:r>
          </w:hyperlink>
        </w:p>
        <w:p w14:paraId="120DF389" w14:textId="7A03E043" w:rsidR="004E7D35" w:rsidRDefault="00E21BFC">
          <w:pPr>
            <w:pStyle w:val="TOC3"/>
            <w:tabs>
              <w:tab w:val="right" w:leader="dot" w:pos="9016"/>
            </w:tabs>
            <w:rPr>
              <w:rFonts w:eastAsiaTheme="minorEastAsia"/>
              <w:noProof/>
              <w:sz w:val="22"/>
              <w:lang w:eastAsia="en-AU"/>
            </w:rPr>
          </w:pPr>
          <w:hyperlink w:anchor="_Toc72504392" w:history="1">
            <w:r w:rsidR="004E7D35" w:rsidRPr="004C5A31">
              <w:rPr>
                <w:rStyle w:val="Hyperlink"/>
                <w:i/>
                <w:iCs/>
                <w:noProof/>
                <w:lang w:val="en-US"/>
              </w:rPr>
              <w:t>Product Emissions Standards Act 2017</w:t>
            </w:r>
            <w:r w:rsidR="004E7D35">
              <w:rPr>
                <w:noProof/>
                <w:webHidden/>
              </w:rPr>
              <w:tab/>
            </w:r>
            <w:r w:rsidR="004E7D35">
              <w:rPr>
                <w:noProof/>
                <w:webHidden/>
              </w:rPr>
              <w:fldChar w:fldCharType="begin"/>
            </w:r>
            <w:r w:rsidR="004E7D35">
              <w:rPr>
                <w:noProof/>
                <w:webHidden/>
              </w:rPr>
              <w:instrText xml:space="preserve"> PAGEREF _Toc72504392 \h </w:instrText>
            </w:r>
            <w:r w:rsidR="004E7D35">
              <w:rPr>
                <w:noProof/>
                <w:webHidden/>
              </w:rPr>
            </w:r>
            <w:r w:rsidR="004E7D35">
              <w:rPr>
                <w:noProof/>
                <w:webHidden/>
              </w:rPr>
              <w:fldChar w:fldCharType="separate"/>
            </w:r>
            <w:r w:rsidR="009F7246">
              <w:rPr>
                <w:noProof/>
                <w:webHidden/>
              </w:rPr>
              <w:t>34</w:t>
            </w:r>
            <w:r w:rsidR="004E7D35">
              <w:rPr>
                <w:noProof/>
                <w:webHidden/>
              </w:rPr>
              <w:fldChar w:fldCharType="end"/>
            </w:r>
          </w:hyperlink>
        </w:p>
        <w:p w14:paraId="3C4498B9" w14:textId="25CEFA9C" w:rsidR="004E7D35" w:rsidRDefault="00E21BFC">
          <w:pPr>
            <w:pStyle w:val="TOC3"/>
            <w:tabs>
              <w:tab w:val="right" w:leader="dot" w:pos="9016"/>
            </w:tabs>
            <w:rPr>
              <w:rFonts w:eastAsiaTheme="minorEastAsia"/>
              <w:noProof/>
              <w:sz w:val="22"/>
              <w:lang w:eastAsia="en-AU"/>
            </w:rPr>
          </w:pPr>
          <w:hyperlink w:anchor="_Toc72504393" w:history="1">
            <w:r w:rsidR="004E7D35" w:rsidRPr="004C5A31">
              <w:rPr>
                <w:rStyle w:val="Hyperlink"/>
                <w:i/>
                <w:iCs/>
                <w:noProof/>
                <w:lang w:val="en-US"/>
              </w:rPr>
              <w:t>Hazardous Waste (Regulation of Exports and Imports) Act 1999</w:t>
            </w:r>
            <w:r w:rsidR="004E7D35">
              <w:rPr>
                <w:noProof/>
                <w:webHidden/>
              </w:rPr>
              <w:tab/>
            </w:r>
            <w:r w:rsidR="004E7D35">
              <w:rPr>
                <w:noProof/>
                <w:webHidden/>
              </w:rPr>
              <w:fldChar w:fldCharType="begin"/>
            </w:r>
            <w:r w:rsidR="004E7D35">
              <w:rPr>
                <w:noProof/>
                <w:webHidden/>
              </w:rPr>
              <w:instrText xml:space="preserve"> PAGEREF _Toc72504393 \h </w:instrText>
            </w:r>
            <w:r w:rsidR="004E7D35">
              <w:rPr>
                <w:noProof/>
                <w:webHidden/>
              </w:rPr>
            </w:r>
            <w:r w:rsidR="004E7D35">
              <w:rPr>
                <w:noProof/>
                <w:webHidden/>
              </w:rPr>
              <w:fldChar w:fldCharType="separate"/>
            </w:r>
            <w:r w:rsidR="009F7246">
              <w:rPr>
                <w:noProof/>
                <w:webHidden/>
              </w:rPr>
              <w:t>34</w:t>
            </w:r>
            <w:r w:rsidR="004E7D35">
              <w:rPr>
                <w:noProof/>
                <w:webHidden/>
              </w:rPr>
              <w:fldChar w:fldCharType="end"/>
            </w:r>
          </w:hyperlink>
        </w:p>
        <w:p w14:paraId="2EA3D5C3" w14:textId="58A9EC6A" w:rsidR="004E7D35" w:rsidRDefault="00E21BFC">
          <w:pPr>
            <w:pStyle w:val="TOC3"/>
            <w:tabs>
              <w:tab w:val="right" w:leader="dot" w:pos="9016"/>
            </w:tabs>
            <w:rPr>
              <w:rFonts w:eastAsiaTheme="minorEastAsia"/>
              <w:noProof/>
              <w:sz w:val="22"/>
              <w:lang w:eastAsia="en-AU"/>
            </w:rPr>
          </w:pPr>
          <w:hyperlink w:anchor="_Toc72504394" w:history="1">
            <w:r w:rsidR="004E7D35" w:rsidRPr="004C5A31">
              <w:rPr>
                <w:rStyle w:val="Hyperlink"/>
                <w:i/>
                <w:iCs/>
                <w:noProof/>
                <w:lang w:val="en-US"/>
              </w:rPr>
              <w:t>Recycling and Waste Reduction Act 2020</w:t>
            </w:r>
            <w:r w:rsidR="004E7D35">
              <w:rPr>
                <w:noProof/>
                <w:webHidden/>
              </w:rPr>
              <w:tab/>
            </w:r>
            <w:r w:rsidR="004E7D35">
              <w:rPr>
                <w:noProof/>
                <w:webHidden/>
              </w:rPr>
              <w:fldChar w:fldCharType="begin"/>
            </w:r>
            <w:r w:rsidR="004E7D35">
              <w:rPr>
                <w:noProof/>
                <w:webHidden/>
              </w:rPr>
              <w:instrText xml:space="preserve"> PAGEREF _Toc72504394 \h </w:instrText>
            </w:r>
            <w:r w:rsidR="004E7D35">
              <w:rPr>
                <w:noProof/>
                <w:webHidden/>
              </w:rPr>
            </w:r>
            <w:r w:rsidR="004E7D35">
              <w:rPr>
                <w:noProof/>
                <w:webHidden/>
              </w:rPr>
              <w:fldChar w:fldCharType="separate"/>
            </w:r>
            <w:r w:rsidR="009F7246">
              <w:rPr>
                <w:noProof/>
                <w:webHidden/>
              </w:rPr>
              <w:t>35</w:t>
            </w:r>
            <w:r w:rsidR="004E7D35">
              <w:rPr>
                <w:noProof/>
                <w:webHidden/>
              </w:rPr>
              <w:fldChar w:fldCharType="end"/>
            </w:r>
          </w:hyperlink>
        </w:p>
        <w:p w14:paraId="5E4C6A89" w14:textId="5FA262C6" w:rsidR="004E7D35" w:rsidRDefault="00E21BFC">
          <w:pPr>
            <w:pStyle w:val="TOC3"/>
            <w:tabs>
              <w:tab w:val="right" w:leader="dot" w:pos="9016"/>
            </w:tabs>
            <w:rPr>
              <w:rFonts w:eastAsiaTheme="minorEastAsia"/>
              <w:noProof/>
              <w:sz w:val="22"/>
              <w:lang w:eastAsia="en-AU"/>
            </w:rPr>
          </w:pPr>
          <w:hyperlink w:anchor="_Toc72504395" w:history="1">
            <w:r w:rsidR="004E7D35" w:rsidRPr="004C5A31">
              <w:rPr>
                <w:rStyle w:val="Hyperlink"/>
                <w:i/>
                <w:iCs/>
                <w:noProof/>
                <w:lang w:val="en-US"/>
              </w:rPr>
              <w:t>Environment Protection (Sea Dumping) Act 1981</w:t>
            </w:r>
            <w:r w:rsidR="004E7D35">
              <w:rPr>
                <w:noProof/>
                <w:webHidden/>
              </w:rPr>
              <w:tab/>
            </w:r>
            <w:r w:rsidR="004E7D35">
              <w:rPr>
                <w:noProof/>
                <w:webHidden/>
              </w:rPr>
              <w:fldChar w:fldCharType="begin"/>
            </w:r>
            <w:r w:rsidR="004E7D35">
              <w:rPr>
                <w:noProof/>
                <w:webHidden/>
              </w:rPr>
              <w:instrText xml:space="preserve"> PAGEREF _Toc72504395 \h </w:instrText>
            </w:r>
            <w:r w:rsidR="004E7D35">
              <w:rPr>
                <w:noProof/>
                <w:webHidden/>
              </w:rPr>
            </w:r>
            <w:r w:rsidR="004E7D35">
              <w:rPr>
                <w:noProof/>
                <w:webHidden/>
              </w:rPr>
              <w:fldChar w:fldCharType="separate"/>
            </w:r>
            <w:r w:rsidR="009F7246">
              <w:rPr>
                <w:noProof/>
                <w:webHidden/>
              </w:rPr>
              <w:t>35</w:t>
            </w:r>
            <w:r w:rsidR="004E7D35">
              <w:rPr>
                <w:noProof/>
                <w:webHidden/>
              </w:rPr>
              <w:fldChar w:fldCharType="end"/>
            </w:r>
          </w:hyperlink>
        </w:p>
        <w:p w14:paraId="349FFBA9" w14:textId="6449EB29" w:rsidR="004E7D35" w:rsidRDefault="00E21BFC">
          <w:pPr>
            <w:pStyle w:val="TOC2"/>
            <w:tabs>
              <w:tab w:val="right" w:leader="dot" w:pos="9016"/>
            </w:tabs>
            <w:rPr>
              <w:rFonts w:eastAsiaTheme="minorEastAsia"/>
              <w:noProof/>
              <w:sz w:val="22"/>
              <w:lang w:eastAsia="en-AU"/>
            </w:rPr>
          </w:pPr>
          <w:hyperlink w:anchor="_Toc72504396" w:history="1">
            <w:r w:rsidR="004E7D35" w:rsidRPr="004C5A31">
              <w:rPr>
                <w:rStyle w:val="Hyperlink"/>
                <w:noProof/>
                <w:lang w:val="en-US"/>
              </w:rPr>
              <w:t>Governance and structure</w:t>
            </w:r>
            <w:r w:rsidR="004E7D35">
              <w:rPr>
                <w:noProof/>
                <w:webHidden/>
              </w:rPr>
              <w:tab/>
            </w:r>
            <w:r w:rsidR="004E7D35">
              <w:rPr>
                <w:noProof/>
                <w:webHidden/>
              </w:rPr>
              <w:fldChar w:fldCharType="begin"/>
            </w:r>
            <w:r w:rsidR="004E7D35">
              <w:rPr>
                <w:noProof/>
                <w:webHidden/>
              </w:rPr>
              <w:instrText xml:space="preserve"> PAGEREF _Toc72504396 \h </w:instrText>
            </w:r>
            <w:r w:rsidR="004E7D35">
              <w:rPr>
                <w:noProof/>
                <w:webHidden/>
              </w:rPr>
            </w:r>
            <w:r w:rsidR="004E7D35">
              <w:rPr>
                <w:noProof/>
                <w:webHidden/>
              </w:rPr>
              <w:fldChar w:fldCharType="separate"/>
            </w:r>
            <w:r w:rsidR="009F7246">
              <w:rPr>
                <w:noProof/>
                <w:webHidden/>
              </w:rPr>
              <w:t>36</w:t>
            </w:r>
            <w:r w:rsidR="004E7D35">
              <w:rPr>
                <w:noProof/>
                <w:webHidden/>
              </w:rPr>
              <w:fldChar w:fldCharType="end"/>
            </w:r>
          </w:hyperlink>
        </w:p>
        <w:p w14:paraId="78865FD4" w14:textId="6D6A8BFE" w:rsidR="004E7D35" w:rsidRDefault="00E21BFC">
          <w:pPr>
            <w:pStyle w:val="TOC2"/>
            <w:tabs>
              <w:tab w:val="right" w:leader="dot" w:pos="9016"/>
            </w:tabs>
            <w:rPr>
              <w:rFonts w:eastAsiaTheme="minorEastAsia"/>
              <w:noProof/>
              <w:sz w:val="22"/>
              <w:lang w:eastAsia="en-AU"/>
            </w:rPr>
          </w:pPr>
          <w:hyperlink w:anchor="_Toc72504397" w:history="1">
            <w:r w:rsidR="004E7D35" w:rsidRPr="004C5A31">
              <w:rPr>
                <w:rStyle w:val="Hyperlink"/>
                <w:noProof/>
                <w:lang w:val="en-US"/>
              </w:rPr>
              <w:t>Resources</w:t>
            </w:r>
            <w:r w:rsidR="004E7D35">
              <w:rPr>
                <w:noProof/>
                <w:webHidden/>
              </w:rPr>
              <w:tab/>
            </w:r>
            <w:r w:rsidR="004E7D35">
              <w:rPr>
                <w:noProof/>
                <w:webHidden/>
              </w:rPr>
              <w:fldChar w:fldCharType="begin"/>
            </w:r>
            <w:r w:rsidR="004E7D35">
              <w:rPr>
                <w:noProof/>
                <w:webHidden/>
              </w:rPr>
              <w:instrText xml:space="preserve"> PAGEREF _Toc72504397 \h </w:instrText>
            </w:r>
            <w:r w:rsidR="004E7D35">
              <w:rPr>
                <w:noProof/>
                <w:webHidden/>
              </w:rPr>
            </w:r>
            <w:r w:rsidR="004E7D35">
              <w:rPr>
                <w:noProof/>
                <w:webHidden/>
              </w:rPr>
              <w:fldChar w:fldCharType="separate"/>
            </w:r>
            <w:r w:rsidR="009F7246">
              <w:rPr>
                <w:noProof/>
                <w:webHidden/>
              </w:rPr>
              <w:t>40</w:t>
            </w:r>
            <w:r w:rsidR="004E7D35">
              <w:rPr>
                <w:noProof/>
                <w:webHidden/>
              </w:rPr>
              <w:fldChar w:fldCharType="end"/>
            </w:r>
          </w:hyperlink>
        </w:p>
        <w:p w14:paraId="56173543" w14:textId="5757E3BC" w:rsidR="004E7D35" w:rsidRDefault="00E21BFC">
          <w:pPr>
            <w:pStyle w:val="TOC2"/>
            <w:tabs>
              <w:tab w:val="right" w:leader="dot" w:pos="9016"/>
            </w:tabs>
            <w:rPr>
              <w:rFonts w:eastAsiaTheme="minorEastAsia"/>
              <w:noProof/>
              <w:sz w:val="22"/>
              <w:lang w:eastAsia="en-AU"/>
            </w:rPr>
          </w:pPr>
          <w:hyperlink w:anchor="_Toc72504398" w:history="1">
            <w:r w:rsidR="004E7D35" w:rsidRPr="004C5A31">
              <w:rPr>
                <w:rStyle w:val="Hyperlink"/>
                <w:noProof/>
                <w:lang w:val="en-US"/>
              </w:rPr>
              <w:t>Information management and systems</w:t>
            </w:r>
            <w:r w:rsidR="004E7D35">
              <w:rPr>
                <w:noProof/>
                <w:webHidden/>
              </w:rPr>
              <w:tab/>
            </w:r>
            <w:r w:rsidR="004E7D35">
              <w:rPr>
                <w:noProof/>
                <w:webHidden/>
              </w:rPr>
              <w:fldChar w:fldCharType="begin"/>
            </w:r>
            <w:r w:rsidR="004E7D35">
              <w:rPr>
                <w:noProof/>
                <w:webHidden/>
              </w:rPr>
              <w:instrText xml:space="preserve"> PAGEREF _Toc72504398 \h </w:instrText>
            </w:r>
            <w:r w:rsidR="004E7D35">
              <w:rPr>
                <w:noProof/>
                <w:webHidden/>
              </w:rPr>
            </w:r>
            <w:r w:rsidR="004E7D35">
              <w:rPr>
                <w:noProof/>
                <w:webHidden/>
              </w:rPr>
              <w:fldChar w:fldCharType="separate"/>
            </w:r>
            <w:r w:rsidR="009F7246">
              <w:rPr>
                <w:noProof/>
                <w:webHidden/>
              </w:rPr>
              <w:t>43</w:t>
            </w:r>
            <w:r w:rsidR="004E7D35">
              <w:rPr>
                <w:noProof/>
                <w:webHidden/>
              </w:rPr>
              <w:fldChar w:fldCharType="end"/>
            </w:r>
          </w:hyperlink>
        </w:p>
        <w:p w14:paraId="53631EE2" w14:textId="668BF5D2" w:rsidR="004E7D35" w:rsidRDefault="00E21BFC">
          <w:pPr>
            <w:pStyle w:val="TOC2"/>
            <w:tabs>
              <w:tab w:val="right" w:leader="dot" w:pos="9016"/>
            </w:tabs>
            <w:rPr>
              <w:rFonts w:eastAsiaTheme="minorEastAsia"/>
              <w:noProof/>
              <w:sz w:val="22"/>
              <w:lang w:eastAsia="en-AU"/>
            </w:rPr>
          </w:pPr>
          <w:hyperlink w:anchor="_Toc72504399" w:history="1">
            <w:r w:rsidR="004E7D35" w:rsidRPr="004C5A31">
              <w:rPr>
                <w:rStyle w:val="Hyperlink"/>
                <w:noProof/>
                <w:lang w:val="en-US"/>
              </w:rPr>
              <w:t>Risks and Prioritisation</w:t>
            </w:r>
            <w:r w:rsidR="004E7D35">
              <w:rPr>
                <w:noProof/>
                <w:webHidden/>
              </w:rPr>
              <w:tab/>
            </w:r>
            <w:r w:rsidR="004E7D35">
              <w:rPr>
                <w:noProof/>
                <w:webHidden/>
              </w:rPr>
              <w:fldChar w:fldCharType="begin"/>
            </w:r>
            <w:r w:rsidR="004E7D35">
              <w:rPr>
                <w:noProof/>
                <w:webHidden/>
              </w:rPr>
              <w:instrText xml:space="preserve"> PAGEREF _Toc72504399 \h </w:instrText>
            </w:r>
            <w:r w:rsidR="004E7D35">
              <w:rPr>
                <w:noProof/>
                <w:webHidden/>
              </w:rPr>
            </w:r>
            <w:r w:rsidR="004E7D35">
              <w:rPr>
                <w:noProof/>
                <w:webHidden/>
              </w:rPr>
              <w:fldChar w:fldCharType="separate"/>
            </w:r>
            <w:r w:rsidR="009F7246">
              <w:rPr>
                <w:noProof/>
                <w:webHidden/>
              </w:rPr>
              <w:t>47</w:t>
            </w:r>
            <w:r w:rsidR="004E7D35">
              <w:rPr>
                <w:noProof/>
                <w:webHidden/>
              </w:rPr>
              <w:fldChar w:fldCharType="end"/>
            </w:r>
          </w:hyperlink>
        </w:p>
        <w:p w14:paraId="1CA4B240" w14:textId="33AE2D0C" w:rsidR="004E7D35" w:rsidRDefault="00E21BFC">
          <w:pPr>
            <w:pStyle w:val="TOC2"/>
            <w:tabs>
              <w:tab w:val="right" w:leader="dot" w:pos="9016"/>
            </w:tabs>
            <w:rPr>
              <w:rFonts w:eastAsiaTheme="minorEastAsia"/>
              <w:noProof/>
              <w:sz w:val="22"/>
              <w:lang w:eastAsia="en-AU"/>
            </w:rPr>
          </w:pPr>
          <w:hyperlink w:anchor="_Toc72504400" w:history="1">
            <w:r w:rsidR="004E7D35" w:rsidRPr="004C5A31">
              <w:rPr>
                <w:rStyle w:val="Hyperlink"/>
                <w:noProof/>
                <w:lang w:val="en-US"/>
              </w:rPr>
              <w:t>Partnerships and engagement</w:t>
            </w:r>
            <w:r w:rsidR="004E7D35">
              <w:rPr>
                <w:noProof/>
                <w:webHidden/>
              </w:rPr>
              <w:tab/>
            </w:r>
            <w:r w:rsidR="004E7D35">
              <w:rPr>
                <w:noProof/>
                <w:webHidden/>
              </w:rPr>
              <w:fldChar w:fldCharType="begin"/>
            </w:r>
            <w:r w:rsidR="004E7D35">
              <w:rPr>
                <w:noProof/>
                <w:webHidden/>
              </w:rPr>
              <w:instrText xml:space="preserve"> PAGEREF _Toc72504400 \h </w:instrText>
            </w:r>
            <w:r w:rsidR="004E7D35">
              <w:rPr>
                <w:noProof/>
                <w:webHidden/>
              </w:rPr>
            </w:r>
            <w:r w:rsidR="004E7D35">
              <w:rPr>
                <w:noProof/>
                <w:webHidden/>
              </w:rPr>
              <w:fldChar w:fldCharType="separate"/>
            </w:r>
            <w:r w:rsidR="009F7246">
              <w:rPr>
                <w:noProof/>
                <w:webHidden/>
              </w:rPr>
              <w:t>51</w:t>
            </w:r>
            <w:r w:rsidR="004E7D35">
              <w:rPr>
                <w:noProof/>
                <w:webHidden/>
              </w:rPr>
              <w:fldChar w:fldCharType="end"/>
            </w:r>
          </w:hyperlink>
        </w:p>
        <w:p w14:paraId="7556F52C" w14:textId="568161AD" w:rsidR="004E7D35" w:rsidRDefault="00E21BFC">
          <w:pPr>
            <w:pStyle w:val="TOC2"/>
            <w:tabs>
              <w:tab w:val="right" w:leader="dot" w:pos="9016"/>
            </w:tabs>
            <w:rPr>
              <w:rFonts w:eastAsiaTheme="minorEastAsia"/>
              <w:noProof/>
              <w:sz w:val="22"/>
              <w:lang w:eastAsia="en-AU"/>
            </w:rPr>
          </w:pPr>
          <w:hyperlink w:anchor="_Toc72504401" w:history="1">
            <w:r w:rsidR="004E7D35" w:rsidRPr="004C5A31">
              <w:rPr>
                <w:rStyle w:val="Hyperlink"/>
                <w:noProof/>
                <w:lang w:val="en-US"/>
              </w:rPr>
              <w:t>Compliance policy and regulatory tools</w:t>
            </w:r>
            <w:r w:rsidR="004E7D35">
              <w:rPr>
                <w:noProof/>
                <w:webHidden/>
              </w:rPr>
              <w:tab/>
            </w:r>
            <w:r w:rsidR="004E7D35">
              <w:rPr>
                <w:noProof/>
                <w:webHidden/>
              </w:rPr>
              <w:fldChar w:fldCharType="begin"/>
            </w:r>
            <w:r w:rsidR="004E7D35">
              <w:rPr>
                <w:noProof/>
                <w:webHidden/>
              </w:rPr>
              <w:instrText xml:space="preserve"> PAGEREF _Toc72504401 \h </w:instrText>
            </w:r>
            <w:r w:rsidR="004E7D35">
              <w:rPr>
                <w:noProof/>
                <w:webHidden/>
              </w:rPr>
            </w:r>
            <w:r w:rsidR="004E7D35">
              <w:rPr>
                <w:noProof/>
                <w:webHidden/>
              </w:rPr>
              <w:fldChar w:fldCharType="separate"/>
            </w:r>
            <w:r w:rsidR="009F7246">
              <w:rPr>
                <w:noProof/>
                <w:webHidden/>
              </w:rPr>
              <w:t>54</w:t>
            </w:r>
            <w:r w:rsidR="004E7D35">
              <w:rPr>
                <w:noProof/>
                <w:webHidden/>
              </w:rPr>
              <w:fldChar w:fldCharType="end"/>
            </w:r>
          </w:hyperlink>
        </w:p>
        <w:p w14:paraId="24089478" w14:textId="0C570022" w:rsidR="004E7D35" w:rsidRDefault="00E21BFC">
          <w:pPr>
            <w:pStyle w:val="TOC1"/>
            <w:tabs>
              <w:tab w:val="right" w:leader="dot" w:pos="9016"/>
            </w:tabs>
            <w:rPr>
              <w:rFonts w:eastAsiaTheme="minorEastAsia"/>
              <w:noProof/>
              <w:sz w:val="22"/>
              <w:lang w:eastAsia="en-AU"/>
            </w:rPr>
          </w:pPr>
          <w:hyperlink w:anchor="_Toc72504402" w:history="1">
            <w:r w:rsidR="004E7D35" w:rsidRPr="004C5A31">
              <w:rPr>
                <w:rStyle w:val="Hyperlink"/>
                <w:noProof/>
                <w:lang w:val="en-US"/>
              </w:rPr>
              <w:t>Conclusion</w:t>
            </w:r>
            <w:r w:rsidR="004E7D35">
              <w:rPr>
                <w:noProof/>
                <w:webHidden/>
              </w:rPr>
              <w:tab/>
            </w:r>
            <w:r w:rsidR="004E7D35">
              <w:rPr>
                <w:noProof/>
                <w:webHidden/>
              </w:rPr>
              <w:fldChar w:fldCharType="begin"/>
            </w:r>
            <w:r w:rsidR="004E7D35">
              <w:rPr>
                <w:noProof/>
                <w:webHidden/>
              </w:rPr>
              <w:instrText xml:space="preserve"> PAGEREF _Toc72504402 \h </w:instrText>
            </w:r>
            <w:r w:rsidR="004E7D35">
              <w:rPr>
                <w:noProof/>
                <w:webHidden/>
              </w:rPr>
            </w:r>
            <w:r w:rsidR="004E7D35">
              <w:rPr>
                <w:noProof/>
                <w:webHidden/>
              </w:rPr>
              <w:fldChar w:fldCharType="separate"/>
            </w:r>
            <w:r w:rsidR="009F7246">
              <w:rPr>
                <w:noProof/>
                <w:webHidden/>
              </w:rPr>
              <w:t>57</w:t>
            </w:r>
            <w:r w:rsidR="004E7D35">
              <w:rPr>
                <w:noProof/>
                <w:webHidden/>
              </w:rPr>
              <w:fldChar w:fldCharType="end"/>
            </w:r>
          </w:hyperlink>
        </w:p>
        <w:p w14:paraId="78348041" w14:textId="022DDD82" w:rsidR="004E7D35" w:rsidRDefault="00E21BFC">
          <w:pPr>
            <w:pStyle w:val="TOC1"/>
            <w:tabs>
              <w:tab w:val="right" w:leader="dot" w:pos="9016"/>
            </w:tabs>
            <w:rPr>
              <w:rFonts w:eastAsiaTheme="minorEastAsia"/>
              <w:noProof/>
              <w:sz w:val="22"/>
              <w:lang w:eastAsia="en-AU"/>
            </w:rPr>
          </w:pPr>
          <w:hyperlink w:anchor="_Toc72504403" w:history="1">
            <w:r w:rsidR="004E7D35" w:rsidRPr="004C5A31">
              <w:rPr>
                <w:rStyle w:val="Hyperlink"/>
                <w:noProof/>
              </w:rPr>
              <w:t>Attachment A – A staged approach to reform</w:t>
            </w:r>
            <w:r w:rsidR="004E7D35">
              <w:rPr>
                <w:noProof/>
                <w:webHidden/>
              </w:rPr>
              <w:tab/>
            </w:r>
            <w:r w:rsidR="004E7D35">
              <w:rPr>
                <w:noProof/>
                <w:webHidden/>
              </w:rPr>
              <w:fldChar w:fldCharType="begin"/>
            </w:r>
            <w:r w:rsidR="004E7D35">
              <w:rPr>
                <w:noProof/>
                <w:webHidden/>
              </w:rPr>
              <w:instrText xml:space="preserve"> PAGEREF _Toc72504403 \h </w:instrText>
            </w:r>
            <w:r w:rsidR="004E7D35">
              <w:rPr>
                <w:noProof/>
                <w:webHidden/>
              </w:rPr>
            </w:r>
            <w:r w:rsidR="004E7D35">
              <w:rPr>
                <w:noProof/>
                <w:webHidden/>
              </w:rPr>
              <w:fldChar w:fldCharType="separate"/>
            </w:r>
            <w:r w:rsidR="009F7246">
              <w:rPr>
                <w:noProof/>
                <w:webHidden/>
              </w:rPr>
              <w:t>58</w:t>
            </w:r>
            <w:r w:rsidR="004E7D35">
              <w:rPr>
                <w:noProof/>
                <w:webHidden/>
              </w:rPr>
              <w:fldChar w:fldCharType="end"/>
            </w:r>
          </w:hyperlink>
        </w:p>
        <w:p w14:paraId="11293474" w14:textId="31457829" w:rsidR="004E7D35" w:rsidRDefault="00E21BFC">
          <w:pPr>
            <w:pStyle w:val="TOC1"/>
            <w:tabs>
              <w:tab w:val="right" w:leader="dot" w:pos="9016"/>
            </w:tabs>
            <w:rPr>
              <w:rFonts w:eastAsiaTheme="minorEastAsia"/>
              <w:noProof/>
              <w:sz w:val="22"/>
              <w:lang w:eastAsia="en-AU"/>
            </w:rPr>
          </w:pPr>
          <w:hyperlink w:anchor="_Toc72504404" w:history="1">
            <w:r w:rsidR="004E7D35" w:rsidRPr="004C5A31">
              <w:rPr>
                <w:rStyle w:val="Hyperlink"/>
                <w:noProof/>
                <w:lang w:val="en-US"/>
              </w:rPr>
              <w:t>Attachment B – Compliance responsibilities for Commonwealth environmental legislation</w:t>
            </w:r>
            <w:r w:rsidR="004E7D35">
              <w:rPr>
                <w:noProof/>
                <w:webHidden/>
              </w:rPr>
              <w:tab/>
            </w:r>
            <w:r w:rsidR="004E7D35">
              <w:rPr>
                <w:noProof/>
                <w:webHidden/>
              </w:rPr>
              <w:fldChar w:fldCharType="begin"/>
            </w:r>
            <w:r w:rsidR="004E7D35">
              <w:rPr>
                <w:noProof/>
                <w:webHidden/>
              </w:rPr>
              <w:instrText xml:space="preserve"> PAGEREF _Toc72504404 \h </w:instrText>
            </w:r>
            <w:r w:rsidR="004E7D35">
              <w:rPr>
                <w:noProof/>
                <w:webHidden/>
              </w:rPr>
            </w:r>
            <w:r w:rsidR="004E7D35">
              <w:rPr>
                <w:noProof/>
                <w:webHidden/>
              </w:rPr>
              <w:fldChar w:fldCharType="separate"/>
            </w:r>
            <w:r w:rsidR="009F7246">
              <w:rPr>
                <w:noProof/>
                <w:webHidden/>
              </w:rPr>
              <w:t>61</w:t>
            </w:r>
            <w:r w:rsidR="004E7D35">
              <w:rPr>
                <w:noProof/>
                <w:webHidden/>
              </w:rPr>
              <w:fldChar w:fldCharType="end"/>
            </w:r>
          </w:hyperlink>
        </w:p>
        <w:p w14:paraId="74CDFCE9" w14:textId="3F953DB2" w:rsidR="004E7D35" w:rsidRDefault="00E21BFC">
          <w:pPr>
            <w:pStyle w:val="TOC2"/>
            <w:tabs>
              <w:tab w:val="right" w:leader="dot" w:pos="9016"/>
            </w:tabs>
            <w:rPr>
              <w:rFonts w:eastAsiaTheme="minorEastAsia"/>
              <w:noProof/>
              <w:sz w:val="22"/>
              <w:lang w:eastAsia="en-AU"/>
            </w:rPr>
          </w:pPr>
          <w:hyperlink w:anchor="_Toc72504405" w:history="1">
            <w:r w:rsidR="004E7D35" w:rsidRPr="004C5A31">
              <w:rPr>
                <w:rStyle w:val="Hyperlink"/>
                <w:noProof/>
                <w:lang w:val="en-US"/>
              </w:rPr>
              <w:t>Current compliance responsibilities of the Environment Compliance Branch</w:t>
            </w:r>
            <w:r w:rsidR="004E7D35">
              <w:rPr>
                <w:noProof/>
                <w:webHidden/>
              </w:rPr>
              <w:tab/>
            </w:r>
            <w:r w:rsidR="004E7D35">
              <w:rPr>
                <w:noProof/>
                <w:webHidden/>
              </w:rPr>
              <w:fldChar w:fldCharType="begin"/>
            </w:r>
            <w:r w:rsidR="004E7D35">
              <w:rPr>
                <w:noProof/>
                <w:webHidden/>
              </w:rPr>
              <w:instrText xml:space="preserve"> PAGEREF _Toc72504405 \h </w:instrText>
            </w:r>
            <w:r w:rsidR="004E7D35">
              <w:rPr>
                <w:noProof/>
                <w:webHidden/>
              </w:rPr>
            </w:r>
            <w:r w:rsidR="004E7D35">
              <w:rPr>
                <w:noProof/>
                <w:webHidden/>
              </w:rPr>
              <w:fldChar w:fldCharType="separate"/>
            </w:r>
            <w:r w:rsidR="009F7246">
              <w:rPr>
                <w:noProof/>
                <w:webHidden/>
              </w:rPr>
              <w:t>61</w:t>
            </w:r>
            <w:r w:rsidR="004E7D35">
              <w:rPr>
                <w:noProof/>
                <w:webHidden/>
              </w:rPr>
              <w:fldChar w:fldCharType="end"/>
            </w:r>
          </w:hyperlink>
        </w:p>
        <w:p w14:paraId="1D6C6E62" w14:textId="7262275F" w:rsidR="004E7D35" w:rsidRDefault="00E21BFC">
          <w:pPr>
            <w:pStyle w:val="TOC2"/>
            <w:tabs>
              <w:tab w:val="right" w:leader="dot" w:pos="9016"/>
            </w:tabs>
            <w:rPr>
              <w:rFonts w:eastAsiaTheme="minorEastAsia"/>
              <w:noProof/>
              <w:sz w:val="22"/>
              <w:lang w:eastAsia="en-AU"/>
            </w:rPr>
          </w:pPr>
          <w:hyperlink w:anchor="_Toc72504406" w:history="1">
            <w:r w:rsidR="004E7D35" w:rsidRPr="004C5A31">
              <w:rPr>
                <w:rStyle w:val="Hyperlink"/>
                <w:noProof/>
              </w:rPr>
              <w:t>Other environmental legislation</w:t>
            </w:r>
            <w:r w:rsidR="004E7D35">
              <w:rPr>
                <w:noProof/>
                <w:webHidden/>
              </w:rPr>
              <w:tab/>
            </w:r>
            <w:r w:rsidR="004E7D35">
              <w:rPr>
                <w:noProof/>
                <w:webHidden/>
              </w:rPr>
              <w:fldChar w:fldCharType="begin"/>
            </w:r>
            <w:r w:rsidR="004E7D35">
              <w:rPr>
                <w:noProof/>
                <w:webHidden/>
              </w:rPr>
              <w:instrText xml:space="preserve"> PAGEREF _Toc72504406 \h </w:instrText>
            </w:r>
            <w:r w:rsidR="004E7D35">
              <w:rPr>
                <w:noProof/>
                <w:webHidden/>
              </w:rPr>
            </w:r>
            <w:r w:rsidR="004E7D35">
              <w:rPr>
                <w:noProof/>
                <w:webHidden/>
              </w:rPr>
              <w:fldChar w:fldCharType="separate"/>
            </w:r>
            <w:r w:rsidR="009F7246">
              <w:rPr>
                <w:noProof/>
                <w:webHidden/>
              </w:rPr>
              <w:t>61</w:t>
            </w:r>
            <w:r w:rsidR="004E7D35">
              <w:rPr>
                <w:noProof/>
                <w:webHidden/>
              </w:rPr>
              <w:fldChar w:fldCharType="end"/>
            </w:r>
          </w:hyperlink>
        </w:p>
        <w:p w14:paraId="63D36344" w14:textId="5AD6EB92" w:rsidR="004E7D35" w:rsidRDefault="00E21BFC">
          <w:pPr>
            <w:pStyle w:val="TOC1"/>
            <w:tabs>
              <w:tab w:val="right" w:leader="dot" w:pos="9016"/>
            </w:tabs>
            <w:rPr>
              <w:rFonts w:eastAsiaTheme="minorEastAsia"/>
              <w:noProof/>
              <w:sz w:val="22"/>
              <w:lang w:eastAsia="en-AU"/>
            </w:rPr>
          </w:pPr>
          <w:hyperlink w:anchor="_Toc72504407" w:history="1">
            <w:r w:rsidR="004E7D35" w:rsidRPr="004C5A31">
              <w:rPr>
                <w:rStyle w:val="Hyperlink"/>
                <w:noProof/>
              </w:rPr>
              <w:t>Attachment C – List of meetings held for the Review</w:t>
            </w:r>
            <w:r w:rsidR="004E7D35">
              <w:rPr>
                <w:noProof/>
                <w:webHidden/>
              </w:rPr>
              <w:tab/>
            </w:r>
            <w:r w:rsidR="004E7D35">
              <w:rPr>
                <w:noProof/>
                <w:webHidden/>
              </w:rPr>
              <w:fldChar w:fldCharType="begin"/>
            </w:r>
            <w:r w:rsidR="004E7D35">
              <w:rPr>
                <w:noProof/>
                <w:webHidden/>
              </w:rPr>
              <w:instrText xml:space="preserve"> PAGEREF _Toc72504407 \h </w:instrText>
            </w:r>
            <w:r w:rsidR="004E7D35">
              <w:rPr>
                <w:noProof/>
                <w:webHidden/>
              </w:rPr>
            </w:r>
            <w:r w:rsidR="004E7D35">
              <w:rPr>
                <w:noProof/>
                <w:webHidden/>
              </w:rPr>
              <w:fldChar w:fldCharType="separate"/>
            </w:r>
            <w:r w:rsidR="009F7246">
              <w:rPr>
                <w:noProof/>
                <w:webHidden/>
              </w:rPr>
              <w:t>63</w:t>
            </w:r>
            <w:r w:rsidR="004E7D35">
              <w:rPr>
                <w:noProof/>
                <w:webHidden/>
              </w:rPr>
              <w:fldChar w:fldCharType="end"/>
            </w:r>
          </w:hyperlink>
        </w:p>
        <w:p w14:paraId="3F941459" w14:textId="765A0838" w:rsidR="004E7D35" w:rsidRDefault="00E21BFC">
          <w:pPr>
            <w:pStyle w:val="TOC2"/>
            <w:tabs>
              <w:tab w:val="right" w:leader="dot" w:pos="9016"/>
            </w:tabs>
            <w:rPr>
              <w:rFonts w:eastAsiaTheme="minorEastAsia"/>
              <w:noProof/>
              <w:sz w:val="22"/>
              <w:lang w:eastAsia="en-AU"/>
            </w:rPr>
          </w:pPr>
          <w:hyperlink w:anchor="_Toc72504408" w:history="1">
            <w:r w:rsidR="004E7D35" w:rsidRPr="004C5A31">
              <w:rPr>
                <w:rStyle w:val="Hyperlink"/>
                <w:noProof/>
                <w:lang w:val="en-US"/>
              </w:rPr>
              <w:t>The Department of Agriculture Water and the Environment</w:t>
            </w:r>
            <w:r w:rsidR="004E7D35">
              <w:rPr>
                <w:noProof/>
                <w:webHidden/>
              </w:rPr>
              <w:tab/>
            </w:r>
            <w:r w:rsidR="004E7D35">
              <w:rPr>
                <w:noProof/>
                <w:webHidden/>
              </w:rPr>
              <w:fldChar w:fldCharType="begin"/>
            </w:r>
            <w:r w:rsidR="004E7D35">
              <w:rPr>
                <w:noProof/>
                <w:webHidden/>
              </w:rPr>
              <w:instrText xml:space="preserve"> PAGEREF _Toc72504408 \h </w:instrText>
            </w:r>
            <w:r w:rsidR="004E7D35">
              <w:rPr>
                <w:noProof/>
                <w:webHidden/>
              </w:rPr>
            </w:r>
            <w:r w:rsidR="004E7D35">
              <w:rPr>
                <w:noProof/>
                <w:webHidden/>
              </w:rPr>
              <w:fldChar w:fldCharType="separate"/>
            </w:r>
            <w:r w:rsidR="009F7246">
              <w:rPr>
                <w:noProof/>
                <w:webHidden/>
              </w:rPr>
              <w:t>63</w:t>
            </w:r>
            <w:r w:rsidR="004E7D35">
              <w:rPr>
                <w:noProof/>
                <w:webHidden/>
              </w:rPr>
              <w:fldChar w:fldCharType="end"/>
            </w:r>
          </w:hyperlink>
        </w:p>
        <w:p w14:paraId="2EDD82B5" w14:textId="7B37E107" w:rsidR="004E7D35" w:rsidRDefault="00E21BFC">
          <w:pPr>
            <w:pStyle w:val="TOC3"/>
            <w:tabs>
              <w:tab w:val="right" w:leader="dot" w:pos="9016"/>
            </w:tabs>
            <w:rPr>
              <w:rFonts w:eastAsiaTheme="minorEastAsia"/>
              <w:noProof/>
              <w:sz w:val="22"/>
              <w:lang w:eastAsia="en-AU"/>
            </w:rPr>
          </w:pPr>
          <w:hyperlink w:anchor="_Toc72504409" w:history="1">
            <w:r w:rsidR="004E7D35" w:rsidRPr="004C5A31">
              <w:rPr>
                <w:rStyle w:val="Hyperlink"/>
                <w:noProof/>
                <w:lang w:val="en-US"/>
              </w:rPr>
              <w:t>Executive</w:t>
            </w:r>
            <w:r w:rsidR="004E7D35">
              <w:rPr>
                <w:noProof/>
                <w:webHidden/>
              </w:rPr>
              <w:tab/>
            </w:r>
            <w:r w:rsidR="004E7D35">
              <w:rPr>
                <w:noProof/>
                <w:webHidden/>
              </w:rPr>
              <w:fldChar w:fldCharType="begin"/>
            </w:r>
            <w:r w:rsidR="004E7D35">
              <w:rPr>
                <w:noProof/>
                <w:webHidden/>
              </w:rPr>
              <w:instrText xml:space="preserve"> PAGEREF _Toc72504409 \h </w:instrText>
            </w:r>
            <w:r w:rsidR="004E7D35">
              <w:rPr>
                <w:noProof/>
                <w:webHidden/>
              </w:rPr>
            </w:r>
            <w:r w:rsidR="004E7D35">
              <w:rPr>
                <w:noProof/>
                <w:webHidden/>
              </w:rPr>
              <w:fldChar w:fldCharType="separate"/>
            </w:r>
            <w:r w:rsidR="009F7246">
              <w:rPr>
                <w:noProof/>
                <w:webHidden/>
              </w:rPr>
              <w:t>63</w:t>
            </w:r>
            <w:r w:rsidR="004E7D35">
              <w:rPr>
                <w:noProof/>
                <w:webHidden/>
              </w:rPr>
              <w:fldChar w:fldCharType="end"/>
            </w:r>
          </w:hyperlink>
        </w:p>
        <w:p w14:paraId="02EC3492" w14:textId="64B4EE5F" w:rsidR="004E7D35" w:rsidRDefault="00E21BFC">
          <w:pPr>
            <w:pStyle w:val="TOC3"/>
            <w:tabs>
              <w:tab w:val="right" w:leader="dot" w:pos="9016"/>
            </w:tabs>
            <w:rPr>
              <w:rFonts w:eastAsiaTheme="minorEastAsia"/>
              <w:noProof/>
              <w:sz w:val="22"/>
              <w:lang w:eastAsia="en-AU"/>
            </w:rPr>
          </w:pPr>
          <w:hyperlink w:anchor="_Toc72504410" w:history="1">
            <w:r w:rsidR="004E7D35" w:rsidRPr="004C5A31">
              <w:rPr>
                <w:rStyle w:val="Hyperlink"/>
                <w:noProof/>
                <w:lang w:val="en-US"/>
              </w:rPr>
              <w:t>Program areas</w:t>
            </w:r>
            <w:r w:rsidR="004E7D35">
              <w:rPr>
                <w:noProof/>
                <w:webHidden/>
              </w:rPr>
              <w:tab/>
            </w:r>
            <w:r w:rsidR="004E7D35">
              <w:rPr>
                <w:noProof/>
                <w:webHidden/>
              </w:rPr>
              <w:fldChar w:fldCharType="begin"/>
            </w:r>
            <w:r w:rsidR="004E7D35">
              <w:rPr>
                <w:noProof/>
                <w:webHidden/>
              </w:rPr>
              <w:instrText xml:space="preserve"> PAGEREF _Toc72504410 \h </w:instrText>
            </w:r>
            <w:r w:rsidR="004E7D35">
              <w:rPr>
                <w:noProof/>
                <w:webHidden/>
              </w:rPr>
            </w:r>
            <w:r w:rsidR="004E7D35">
              <w:rPr>
                <w:noProof/>
                <w:webHidden/>
              </w:rPr>
              <w:fldChar w:fldCharType="separate"/>
            </w:r>
            <w:r w:rsidR="009F7246">
              <w:rPr>
                <w:noProof/>
                <w:webHidden/>
              </w:rPr>
              <w:t>63</w:t>
            </w:r>
            <w:r w:rsidR="004E7D35">
              <w:rPr>
                <w:noProof/>
                <w:webHidden/>
              </w:rPr>
              <w:fldChar w:fldCharType="end"/>
            </w:r>
          </w:hyperlink>
        </w:p>
        <w:p w14:paraId="3AA97E36" w14:textId="35249A63" w:rsidR="004E7D35" w:rsidRDefault="00E21BFC">
          <w:pPr>
            <w:pStyle w:val="TOC2"/>
            <w:tabs>
              <w:tab w:val="right" w:leader="dot" w:pos="9016"/>
            </w:tabs>
            <w:rPr>
              <w:rFonts w:eastAsiaTheme="minorEastAsia"/>
              <w:noProof/>
              <w:sz w:val="22"/>
              <w:lang w:eastAsia="en-AU"/>
            </w:rPr>
          </w:pPr>
          <w:hyperlink w:anchor="_Toc72504411" w:history="1">
            <w:r w:rsidR="004E7D35" w:rsidRPr="004C5A31">
              <w:rPr>
                <w:rStyle w:val="Hyperlink"/>
                <w:noProof/>
                <w:lang w:val="en-US"/>
              </w:rPr>
              <w:t>External Stakeholders</w:t>
            </w:r>
            <w:r w:rsidR="004E7D35">
              <w:rPr>
                <w:noProof/>
                <w:webHidden/>
              </w:rPr>
              <w:tab/>
            </w:r>
            <w:r w:rsidR="004E7D35">
              <w:rPr>
                <w:noProof/>
                <w:webHidden/>
              </w:rPr>
              <w:fldChar w:fldCharType="begin"/>
            </w:r>
            <w:r w:rsidR="004E7D35">
              <w:rPr>
                <w:noProof/>
                <w:webHidden/>
              </w:rPr>
              <w:instrText xml:space="preserve"> PAGEREF _Toc72504411 \h </w:instrText>
            </w:r>
            <w:r w:rsidR="004E7D35">
              <w:rPr>
                <w:noProof/>
                <w:webHidden/>
              </w:rPr>
            </w:r>
            <w:r w:rsidR="004E7D35">
              <w:rPr>
                <w:noProof/>
                <w:webHidden/>
              </w:rPr>
              <w:fldChar w:fldCharType="separate"/>
            </w:r>
            <w:r w:rsidR="009F7246">
              <w:rPr>
                <w:noProof/>
                <w:webHidden/>
              </w:rPr>
              <w:t>64</w:t>
            </w:r>
            <w:r w:rsidR="004E7D35">
              <w:rPr>
                <w:noProof/>
                <w:webHidden/>
              </w:rPr>
              <w:fldChar w:fldCharType="end"/>
            </w:r>
          </w:hyperlink>
        </w:p>
        <w:p w14:paraId="135BA7CD" w14:textId="36698496" w:rsidR="004E7D35" w:rsidRDefault="00E21BFC">
          <w:pPr>
            <w:pStyle w:val="TOC1"/>
            <w:tabs>
              <w:tab w:val="right" w:leader="dot" w:pos="9016"/>
            </w:tabs>
            <w:rPr>
              <w:rFonts w:eastAsiaTheme="minorEastAsia"/>
              <w:noProof/>
              <w:sz w:val="22"/>
              <w:lang w:eastAsia="en-AU"/>
            </w:rPr>
          </w:pPr>
          <w:hyperlink w:anchor="_Toc72504412" w:history="1">
            <w:r w:rsidR="004E7D35" w:rsidRPr="004C5A31">
              <w:rPr>
                <w:rStyle w:val="Hyperlink"/>
                <w:noProof/>
              </w:rPr>
              <w:t>Attachment D - Sectors and risk factors identified in Environment Compliance Branch risk prioritisation workshop (May 2021)</w:t>
            </w:r>
            <w:r w:rsidR="004E7D35">
              <w:rPr>
                <w:noProof/>
                <w:webHidden/>
              </w:rPr>
              <w:tab/>
            </w:r>
            <w:r w:rsidR="004E7D35">
              <w:rPr>
                <w:noProof/>
                <w:webHidden/>
              </w:rPr>
              <w:fldChar w:fldCharType="begin"/>
            </w:r>
            <w:r w:rsidR="004E7D35">
              <w:rPr>
                <w:noProof/>
                <w:webHidden/>
              </w:rPr>
              <w:instrText xml:space="preserve"> PAGEREF _Toc72504412 \h </w:instrText>
            </w:r>
            <w:r w:rsidR="004E7D35">
              <w:rPr>
                <w:noProof/>
                <w:webHidden/>
              </w:rPr>
            </w:r>
            <w:r w:rsidR="004E7D35">
              <w:rPr>
                <w:noProof/>
                <w:webHidden/>
              </w:rPr>
              <w:fldChar w:fldCharType="separate"/>
            </w:r>
            <w:r w:rsidR="009F7246">
              <w:rPr>
                <w:noProof/>
                <w:webHidden/>
              </w:rPr>
              <w:t>65</w:t>
            </w:r>
            <w:r w:rsidR="004E7D35">
              <w:rPr>
                <w:noProof/>
                <w:webHidden/>
              </w:rPr>
              <w:fldChar w:fldCharType="end"/>
            </w:r>
          </w:hyperlink>
        </w:p>
        <w:p w14:paraId="3E412735" w14:textId="4E43F29D" w:rsidR="004E7D35" w:rsidRDefault="00E21BFC">
          <w:pPr>
            <w:pStyle w:val="TOC2"/>
            <w:tabs>
              <w:tab w:val="right" w:leader="dot" w:pos="9016"/>
            </w:tabs>
            <w:rPr>
              <w:rFonts w:eastAsiaTheme="minorEastAsia"/>
              <w:noProof/>
              <w:sz w:val="22"/>
              <w:lang w:eastAsia="en-AU"/>
            </w:rPr>
          </w:pPr>
          <w:hyperlink w:anchor="_Toc72504413" w:history="1">
            <w:r w:rsidR="004E7D35" w:rsidRPr="004C5A31">
              <w:rPr>
                <w:rStyle w:val="Hyperlink"/>
                <w:noProof/>
              </w:rPr>
              <w:t>Sectors</w:t>
            </w:r>
            <w:r w:rsidR="004E7D35">
              <w:rPr>
                <w:noProof/>
                <w:webHidden/>
              </w:rPr>
              <w:tab/>
            </w:r>
            <w:r w:rsidR="004E7D35">
              <w:rPr>
                <w:noProof/>
                <w:webHidden/>
              </w:rPr>
              <w:fldChar w:fldCharType="begin"/>
            </w:r>
            <w:r w:rsidR="004E7D35">
              <w:rPr>
                <w:noProof/>
                <w:webHidden/>
              </w:rPr>
              <w:instrText xml:space="preserve"> PAGEREF _Toc72504413 \h </w:instrText>
            </w:r>
            <w:r w:rsidR="004E7D35">
              <w:rPr>
                <w:noProof/>
                <w:webHidden/>
              </w:rPr>
            </w:r>
            <w:r w:rsidR="004E7D35">
              <w:rPr>
                <w:noProof/>
                <w:webHidden/>
              </w:rPr>
              <w:fldChar w:fldCharType="separate"/>
            </w:r>
            <w:r w:rsidR="009F7246">
              <w:rPr>
                <w:noProof/>
                <w:webHidden/>
              </w:rPr>
              <w:t>65</w:t>
            </w:r>
            <w:r w:rsidR="004E7D35">
              <w:rPr>
                <w:noProof/>
                <w:webHidden/>
              </w:rPr>
              <w:fldChar w:fldCharType="end"/>
            </w:r>
          </w:hyperlink>
        </w:p>
        <w:p w14:paraId="6489FDE2" w14:textId="0A601143" w:rsidR="004E7D35" w:rsidRDefault="00E21BFC">
          <w:pPr>
            <w:pStyle w:val="TOC2"/>
            <w:tabs>
              <w:tab w:val="right" w:leader="dot" w:pos="9016"/>
            </w:tabs>
            <w:rPr>
              <w:rFonts w:eastAsiaTheme="minorEastAsia"/>
              <w:noProof/>
              <w:sz w:val="22"/>
              <w:lang w:eastAsia="en-AU"/>
            </w:rPr>
          </w:pPr>
          <w:hyperlink w:anchor="_Toc72504414" w:history="1">
            <w:r w:rsidR="004E7D35" w:rsidRPr="004C5A31">
              <w:rPr>
                <w:rStyle w:val="Hyperlink"/>
                <w:noProof/>
              </w:rPr>
              <w:t>Risk factors</w:t>
            </w:r>
            <w:r w:rsidR="004E7D35">
              <w:rPr>
                <w:noProof/>
                <w:webHidden/>
              </w:rPr>
              <w:tab/>
            </w:r>
            <w:r w:rsidR="004E7D35">
              <w:rPr>
                <w:noProof/>
                <w:webHidden/>
              </w:rPr>
              <w:fldChar w:fldCharType="begin"/>
            </w:r>
            <w:r w:rsidR="004E7D35">
              <w:rPr>
                <w:noProof/>
                <w:webHidden/>
              </w:rPr>
              <w:instrText xml:space="preserve"> PAGEREF _Toc72504414 \h </w:instrText>
            </w:r>
            <w:r w:rsidR="004E7D35">
              <w:rPr>
                <w:noProof/>
                <w:webHidden/>
              </w:rPr>
            </w:r>
            <w:r w:rsidR="004E7D35">
              <w:rPr>
                <w:noProof/>
                <w:webHidden/>
              </w:rPr>
              <w:fldChar w:fldCharType="separate"/>
            </w:r>
            <w:r w:rsidR="009F7246">
              <w:rPr>
                <w:noProof/>
                <w:webHidden/>
              </w:rPr>
              <w:t>66</w:t>
            </w:r>
            <w:r w:rsidR="004E7D35">
              <w:rPr>
                <w:noProof/>
                <w:webHidden/>
              </w:rPr>
              <w:fldChar w:fldCharType="end"/>
            </w:r>
          </w:hyperlink>
        </w:p>
        <w:p w14:paraId="3F495F6D" w14:textId="1CDDBAF1" w:rsidR="00A70BAC" w:rsidRDefault="00A70BAC">
          <w:r>
            <w:rPr>
              <w:b/>
              <w:bCs/>
              <w:noProof/>
            </w:rPr>
            <w:fldChar w:fldCharType="end"/>
          </w:r>
        </w:p>
      </w:sdtContent>
    </w:sdt>
    <w:p w14:paraId="00132C9E" w14:textId="3EA04F51" w:rsidR="00D63CA3" w:rsidRDefault="00D63CA3">
      <w:pPr>
        <w:rPr>
          <w:sz w:val="28"/>
          <w:szCs w:val="28"/>
        </w:rPr>
      </w:pPr>
      <w:r>
        <w:rPr>
          <w:sz w:val="28"/>
          <w:szCs w:val="28"/>
        </w:rPr>
        <w:br w:type="page"/>
      </w:r>
    </w:p>
    <w:p w14:paraId="2082974F" w14:textId="2F398838" w:rsidR="00E411EC" w:rsidRPr="00A673B6" w:rsidRDefault="0084681D" w:rsidP="00E411EC">
      <w:pPr>
        <w:pStyle w:val="ReportTitle"/>
        <w:rPr>
          <w:sz w:val="36"/>
          <w:szCs w:val="36"/>
        </w:rPr>
      </w:pPr>
      <w:r w:rsidRPr="00A673B6">
        <w:rPr>
          <w:sz w:val="36"/>
          <w:szCs w:val="36"/>
        </w:rPr>
        <w:lastRenderedPageBreak/>
        <w:t>Environmental Compliance Regulatory Risk Review</w:t>
      </w:r>
    </w:p>
    <w:p w14:paraId="60FAB83B" w14:textId="67EB446D" w:rsidR="00F5467B" w:rsidRDefault="00F5467B" w:rsidP="005202D8">
      <w:pPr>
        <w:pStyle w:val="Heading1"/>
        <w:rPr>
          <w:lang w:val="en-US"/>
        </w:rPr>
      </w:pPr>
      <w:bookmarkStart w:id="0" w:name="_Toc72504356"/>
      <w:r>
        <w:rPr>
          <w:lang w:val="en-US"/>
        </w:rPr>
        <w:t>Executive Summary</w:t>
      </w:r>
      <w:bookmarkEnd w:id="0"/>
    </w:p>
    <w:p w14:paraId="3702E377" w14:textId="773AF9DD" w:rsidR="00737582" w:rsidRDefault="00C21DA1" w:rsidP="00C21DA1">
      <w:pPr>
        <w:rPr>
          <w:lang w:val="en-US"/>
        </w:rPr>
      </w:pPr>
      <w:r>
        <w:rPr>
          <w:lang w:val="en-US"/>
        </w:rPr>
        <w:t xml:space="preserve">The Environmental Compliance Regulatory Risk Review (the Review) was undertaken </w:t>
      </w:r>
      <w:r w:rsidR="009862BC">
        <w:rPr>
          <w:lang w:val="en-US"/>
        </w:rPr>
        <w:t xml:space="preserve">to assist the Department </w:t>
      </w:r>
      <w:r w:rsidR="007B2990">
        <w:rPr>
          <w:lang w:val="en-US"/>
        </w:rPr>
        <w:t xml:space="preserve">of Agriculture, Water and the Environment (the Department) to </w:t>
      </w:r>
      <w:r w:rsidR="00120CB7">
        <w:rPr>
          <w:lang w:val="en-US"/>
        </w:rPr>
        <w:t xml:space="preserve">respond to a recommendation </w:t>
      </w:r>
      <w:r w:rsidR="004C7029">
        <w:rPr>
          <w:lang w:val="en-US"/>
        </w:rPr>
        <w:t xml:space="preserve">arising from </w:t>
      </w:r>
      <w:r w:rsidR="007B2990">
        <w:rPr>
          <w:lang w:val="en-US"/>
        </w:rPr>
        <w:t xml:space="preserve">an independent performance audit by </w:t>
      </w:r>
      <w:r>
        <w:rPr>
          <w:lang w:val="en-US"/>
        </w:rPr>
        <w:t xml:space="preserve">the </w:t>
      </w:r>
      <w:r w:rsidR="007B2990">
        <w:rPr>
          <w:lang w:val="en-US"/>
        </w:rPr>
        <w:t xml:space="preserve">Australian National Audit Office (ANAO) </w:t>
      </w:r>
      <w:r w:rsidR="007B2990" w:rsidRPr="002D1548">
        <w:rPr>
          <w:lang w:val="en-US"/>
        </w:rPr>
        <w:t xml:space="preserve">(Auditor-General Report No.47 2019–20: </w:t>
      </w:r>
      <w:r w:rsidR="007B2990" w:rsidRPr="002D1548">
        <w:rPr>
          <w:i/>
          <w:iCs/>
          <w:lang w:val="en-US"/>
        </w:rPr>
        <w:t>Referrals, Assessments and Approvals of Controlled Actions under the Environment Protection and Biodiversity Conservation Act 1999</w:t>
      </w:r>
      <w:r w:rsidR="007B2990" w:rsidRPr="002D1548">
        <w:rPr>
          <w:lang w:val="en-US"/>
        </w:rPr>
        <w:t>, May 2020</w:t>
      </w:r>
      <w:r w:rsidR="007B2990">
        <w:rPr>
          <w:lang w:val="en-US"/>
        </w:rPr>
        <w:t>)</w:t>
      </w:r>
      <w:r w:rsidR="004C7029">
        <w:rPr>
          <w:lang w:val="en-US"/>
        </w:rPr>
        <w:t xml:space="preserve"> that</w:t>
      </w:r>
      <w:r>
        <w:rPr>
          <w:lang w:val="en-US"/>
        </w:rPr>
        <w:t xml:space="preserve"> “the Department conduct an up to date risk assessment of noncompliance across its environmental regimes and develop and implement arrangements to prioritise its strategic risk assessments”.</w:t>
      </w:r>
    </w:p>
    <w:p w14:paraId="62D191E7" w14:textId="28579C8E" w:rsidR="00D720A7" w:rsidRDefault="00D720A7" w:rsidP="00C21DA1">
      <w:pPr>
        <w:rPr>
          <w:lang w:val="en-US"/>
        </w:rPr>
      </w:pPr>
      <w:r>
        <w:rPr>
          <w:lang w:val="en-US"/>
        </w:rPr>
        <w:t xml:space="preserve">The </w:t>
      </w:r>
      <w:r w:rsidR="009759D5">
        <w:rPr>
          <w:lang w:val="en-US"/>
        </w:rPr>
        <w:t>Department’s</w:t>
      </w:r>
      <w:r w:rsidR="00AE0BD9">
        <w:rPr>
          <w:lang w:val="en-US"/>
        </w:rPr>
        <w:t xml:space="preserve"> Environment Compliance Branch (ECB) is responsible for managing </w:t>
      </w:r>
      <w:r w:rsidR="00914564">
        <w:rPr>
          <w:lang w:val="en-US"/>
        </w:rPr>
        <w:t xml:space="preserve">matters of </w:t>
      </w:r>
      <w:r w:rsidR="00AE0BD9">
        <w:rPr>
          <w:lang w:val="en-US"/>
        </w:rPr>
        <w:t>serious non-compliance</w:t>
      </w:r>
      <w:r w:rsidR="000B6569" w:rsidRPr="000B6569">
        <w:rPr>
          <w:lang w:val="en-US"/>
        </w:rPr>
        <w:t xml:space="preserve"> </w:t>
      </w:r>
      <w:r w:rsidR="000B6569">
        <w:rPr>
          <w:lang w:val="en-US"/>
        </w:rPr>
        <w:t>with environmental legislation</w:t>
      </w:r>
      <w:r w:rsidR="00EB6E82">
        <w:rPr>
          <w:lang w:val="en-US"/>
        </w:rPr>
        <w:t>,</w:t>
      </w:r>
      <w:r w:rsidR="00AE0BD9">
        <w:rPr>
          <w:lang w:val="en-US"/>
        </w:rPr>
        <w:t xml:space="preserve"> </w:t>
      </w:r>
      <w:r w:rsidR="00FE059A">
        <w:rPr>
          <w:lang w:val="en-US"/>
        </w:rPr>
        <w:t xml:space="preserve">ranging from </w:t>
      </w:r>
      <w:r w:rsidR="00407BAA">
        <w:rPr>
          <w:lang w:val="en-US"/>
        </w:rPr>
        <w:t xml:space="preserve">audits and </w:t>
      </w:r>
      <w:r w:rsidR="00EB6E82">
        <w:rPr>
          <w:lang w:val="en-US"/>
        </w:rPr>
        <w:t xml:space="preserve">triage of allegations </w:t>
      </w:r>
      <w:r w:rsidR="00407BAA">
        <w:rPr>
          <w:lang w:val="en-US"/>
        </w:rPr>
        <w:t xml:space="preserve">through </w:t>
      </w:r>
      <w:r w:rsidR="00EB6E82">
        <w:rPr>
          <w:lang w:val="en-US"/>
        </w:rPr>
        <w:t xml:space="preserve">to </w:t>
      </w:r>
      <w:r w:rsidR="00A12BDC">
        <w:rPr>
          <w:lang w:val="en-US"/>
        </w:rPr>
        <w:t>in</w:t>
      </w:r>
      <w:r w:rsidR="0002696E">
        <w:rPr>
          <w:lang w:val="en-US"/>
        </w:rPr>
        <w:t xml:space="preserve">vestigations and </w:t>
      </w:r>
      <w:r w:rsidR="00FE059A">
        <w:rPr>
          <w:lang w:val="en-US"/>
        </w:rPr>
        <w:t>criminal prosecutions</w:t>
      </w:r>
      <w:r w:rsidR="008A75B4">
        <w:rPr>
          <w:lang w:val="en-US"/>
        </w:rPr>
        <w:t>,</w:t>
      </w:r>
      <w:r w:rsidR="008A75B4" w:rsidRPr="008A75B4">
        <w:rPr>
          <w:lang w:val="en-US"/>
        </w:rPr>
        <w:t xml:space="preserve"> </w:t>
      </w:r>
      <w:r w:rsidR="008A75B4">
        <w:rPr>
          <w:lang w:val="en-US"/>
        </w:rPr>
        <w:t xml:space="preserve">for a range of environmental </w:t>
      </w:r>
      <w:r w:rsidR="00AB0D71">
        <w:rPr>
          <w:lang w:val="en-US"/>
        </w:rPr>
        <w:t>programs</w:t>
      </w:r>
      <w:r w:rsidR="000C6628">
        <w:rPr>
          <w:lang w:val="en-US"/>
        </w:rPr>
        <w:t xml:space="preserve"> established under seven different Acts of Parliament</w:t>
      </w:r>
      <w:r w:rsidR="00AE0BD9">
        <w:rPr>
          <w:lang w:val="en-US"/>
        </w:rPr>
        <w:t>.</w:t>
      </w:r>
    </w:p>
    <w:p w14:paraId="3A35297F" w14:textId="6F8156D8" w:rsidR="00C21DA1" w:rsidRDefault="000D35CD" w:rsidP="00C21DA1">
      <w:pPr>
        <w:rPr>
          <w:lang w:val="en-US"/>
        </w:rPr>
      </w:pPr>
      <w:r>
        <w:rPr>
          <w:lang w:val="en-US"/>
        </w:rPr>
        <w:t>The</w:t>
      </w:r>
      <w:r w:rsidR="00C21DA1">
        <w:rPr>
          <w:lang w:val="en-US"/>
        </w:rPr>
        <w:t xml:space="preserve"> Review has identified that </w:t>
      </w:r>
      <w:r w:rsidR="00AE0BD9">
        <w:rPr>
          <w:lang w:val="en-US"/>
        </w:rPr>
        <w:t>ECB</w:t>
      </w:r>
      <w:r w:rsidR="00C21DA1">
        <w:rPr>
          <w:lang w:val="en-US"/>
        </w:rPr>
        <w:t xml:space="preserve"> </w:t>
      </w:r>
      <w:r>
        <w:rPr>
          <w:lang w:val="en-US"/>
        </w:rPr>
        <w:t xml:space="preserve">is unable to strike an effective balance </w:t>
      </w:r>
      <w:r w:rsidR="00FC5824">
        <w:rPr>
          <w:lang w:val="en-US"/>
        </w:rPr>
        <w:t xml:space="preserve">of effort </w:t>
      </w:r>
      <w:r w:rsidR="00F11616">
        <w:rPr>
          <w:lang w:val="en-US"/>
        </w:rPr>
        <w:t>across</w:t>
      </w:r>
      <w:r>
        <w:rPr>
          <w:lang w:val="en-US"/>
        </w:rPr>
        <w:t xml:space="preserve"> all of the environment</w:t>
      </w:r>
      <w:r w:rsidR="00420291">
        <w:rPr>
          <w:lang w:val="en-US"/>
        </w:rPr>
        <w:t>al</w:t>
      </w:r>
      <w:r>
        <w:rPr>
          <w:lang w:val="en-US"/>
        </w:rPr>
        <w:t xml:space="preserve"> </w:t>
      </w:r>
      <w:r w:rsidR="008A12BA">
        <w:rPr>
          <w:lang w:val="en-US"/>
        </w:rPr>
        <w:t>programs</w:t>
      </w:r>
      <w:r>
        <w:rPr>
          <w:lang w:val="en-US"/>
        </w:rPr>
        <w:t xml:space="preserve"> for which it </w:t>
      </w:r>
      <w:r w:rsidR="003D61A5">
        <w:rPr>
          <w:lang w:val="en-US"/>
        </w:rPr>
        <w:t>is responsible for managing compliance</w:t>
      </w:r>
      <w:r w:rsidR="00F11616">
        <w:rPr>
          <w:lang w:val="en-US"/>
        </w:rPr>
        <w:t xml:space="preserve"> </w:t>
      </w:r>
      <w:r w:rsidR="0032318C">
        <w:rPr>
          <w:lang w:val="en-US"/>
        </w:rPr>
        <w:t>because</w:t>
      </w:r>
      <w:r w:rsidR="00F0477E">
        <w:rPr>
          <w:lang w:val="en-US"/>
        </w:rPr>
        <w:t xml:space="preserve">, at present, it </w:t>
      </w:r>
      <w:r w:rsidR="0032318C">
        <w:rPr>
          <w:lang w:val="en-US"/>
        </w:rPr>
        <w:t xml:space="preserve">does not have access to </w:t>
      </w:r>
      <w:r w:rsidR="00E44143">
        <w:rPr>
          <w:lang w:val="en-US"/>
        </w:rPr>
        <w:t>the information and intelligence with which</w:t>
      </w:r>
      <w:r w:rsidR="004D0EB6">
        <w:rPr>
          <w:lang w:val="en-US"/>
        </w:rPr>
        <w:t xml:space="preserve"> to make</w:t>
      </w:r>
      <w:r w:rsidR="0041473C">
        <w:rPr>
          <w:lang w:val="en-US"/>
        </w:rPr>
        <w:t xml:space="preserve"> decisions about regulatory priority</w:t>
      </w:r>
      <w:r w:rsidR="003A5002">
        <w:rPr>
          <w:lang w:val="en-US"/>
        </w:rPr>
        <w:t xml:space="preserve"> based on </w:t>
      </w:r>
      <w:r w:rsidR="007A6C7D">
        <w:rPr>
          <w:lang w:val="en-US"/>
        </w:rPr>
        <w:t>relative</w:t>
      </w:r>
      <w:r w:rsidR="003A5002">
        <w:rPr>
          <w:lang w:val="en-US"/>
        </w:rPr>
        <w:t xml:space="preserve"> risk</w:t>
      </w:r>
      <w:r w:rsidR="00EC4A1A">
        <w:rPr>
          <w:lang w:val="en-US"/>
        </w:rPr>
        <w:t>.</w:t>
      </w:r>
      <w:r w:rsidR="007A6C7D">
        <w:rPr>
          <w:lang w:val="en-US"/>
        </w:rPr>
        <w:t xml:space="preserve"> </w:t>
      </w:r>
      <w:r w:rsidR="007A6C7D" w:rsidRPr="009D3F50">
        <w:rPr>
          <w:lang w:val="en-US"/>
        </w:rPr>
        <w:t>As a result</w:t>
      </w:r>
      <w:r w:rsidRPr="009D3F50">
        <w:rPr>
          <w:lang w:val="en-US"/>
        </w:rPr>
        <w:t xml:space="preserve">, </w:t>
      </w:r>
      <w:r w:rsidR="002B0CA2" w:rsidRPr="009D3F50">
        <w:rPr>
          <w:lang w:val="en-US"/>
        </w:rPr>
        <w:t xml:space="preserve">most </w:t>
      </w:r>
      <w:r w:rsidR="00AF7E41" w:rsidRPr="009D3F50">
        <w:rPr>
          <w:lang w:val="en-US"/>
        </w:rPr>
        <w:t xml:space="preserve">compliance activity is </w:t>
      </w:r>
      <w:r w:rsidR="00AF6FA0" w:rsidRPr="009D3F50">
        <w:rPr>
          <w:lang w:val="en-US"/>
        </w:rPr>
        <w:t>reactive,</w:t>
      </w:r>
      <w:r w:rsidR="002B0CA2" w:rsidRPr="009D3F50">
        <w:rPr>
          <w:lang w:val="en-US"/>
        </w:rPr>
        <w:t xml:space="preserve"> </w:t>
      </w:r>
      <w:r w:rsidR="00AF7E41" w:rsidRPr="009D3F50">
        <w:rPr>
          <w:lang w:val="en-US"/>
        </w:rPr>
        <w:t>and</w:t>
      </w:r>
      <w:r w:rsidR="00941C5A" w:rsidRPr="009D3F50">
        <w:rPr>
          <w:lang w:val="en-US"/>
        </w:rPr>
        <w:t xml:space="preserve"> </w:t>
      </w:r>
      <w:r w:rsidRPr="009D3F50">
        <w:rPr>
          <w:lang w:val="en-US"/>
        </w:rPr>
        <w:t xml:space="preserve">some </w:t>
      </w:r>
      <w:r w:rsidR="00AB0D71" w:rsidRPr="009D3F50">
        <w:rPr>
          <w:lang w:val="en-US"/>
        </w:rPr>
        <w:t>programs</w:t>
      </w:r>
      <w:r w:rsidR="0004181B" w:rsidRPr="009D3F50">
        <w:rPr>
          <w:lang w:val="en-US"/>
        </w:rPr>
        <w:t xml:space="preserve"> </w:t>
      </w:r>
      <w:r w:rsidR="00FA29D1" w:rsidRPr="009D3F50">
        <w:rPr>
          <w:lang w:val="en-US"/>
        </w:rPr>
        <w:t xml:space="preserve">are not subject </w:t>
      </w:r>
      <w:r w:rsidR="00520557" w:rsidRPr="009D3F50">
        <w:rPr>
          <w:lang w:val="en-US"/>
        </w:rPr>
        <w:t>to</w:t>
      </w:r>
      <w:r w:rsidRPr="009D3F50">
        <w:rPr>
          <w:lang w:val="en-US"/>
        </w:rPr>
        <w:t xml:space="preserve"> any compliance activity</w:t>
      </w:r>
      <w:r w:rsidR="0099654A" w:rsidRPr="009D3F50">
        <w:rPr>
          <w:lang w:val="en-US"/>
        </w:rPr>
        <w:t>.</w:t>
      </w:r>
    </w:p>
    <w:p w14:paraId="4FED9DDF" w14:textId="49B02D4C" w:rsidR="00A513A2" w:rsidRDefault="00A513A2" w:rsidP="00C21DA1">
      <w:pPr>
        <w:rPr>
          <w:lang w:val="en-US"/>
        </w:rPr>
      </w:pPr>
      <w:r>
        <w:rPr>
          <w:lang w:val="en-US"/>
        </w:rPr>
        <w:t xml:space="preserve">This report </w:t>
      </w:r>
      <w:r w:rsidR="00D30205">
        <w:rPr>
          <w:lang w:val="en-US"/>
        </w:rPr>
        <w:t>includes a detailed summary of the meetings held to inform different aspects of the Review</w:t>
      </w:r>
      <w:r w:rsidR="00990B08">
        <w:rPr>
          <w:lang w:val="en-US"/>
        </w:rPr>
        <w:t xml:space="preserve">, which provides insights into the approaches taken by other regulators and </w:t>
      </w:r>
      <w:r w:rsidR="00A12252">
        <w:rPr>
          <w:lang w:val="en-US"/>
        </w:rPr>
        <w:t>highlights community and industry views of the Department’s regulatory activities.</w:t>
      </w:r>
    </w:p>
    <w:p w14:paraId="1510A01E" w14:textId="068DDADF" w:rsidR="00EE7BEF" w:rsidRDefault="00A80E2A" w:rsidP="00C21DA1">
      <w:pPr>
        <w:rPr>
          <w:lang w:val="en-US"/>
        </w:rPr>
      </w:pPr>
      <w:r>
        <w:rPr>
          <w:lang w:val="en-US"/>
        </w:rPr>
        <w:t xml:space="preserve">Within the Department, </w:t>
      </w:r>
      <w:r w:rsidR="002C3D78">
        <w:rPr>
          <w:lang w:val="en-US"/>
        </w:rPr>
        <w:t xml:space="preserve">senior executives and staff of both </w:t>
      </w:r>
      <w:r w:rsidR="00E21381">
        <w:rPr>
          <w:lang w:val="en-US"/>
        </w:rPr>
        <w:t>environmental prog</w:t>
      </w:r>
      <w:r w:rsidR="00FD794C">
        <w:rPr>
          <w:lang w:val="en-US"/>
        </w:rPr>
        <w:t>ram</w:t>
      </w:r>
      <w:r w:rsidR="00352ECD">
        <w:rPr>
          <w:lang w:val="en-US"/>
        </w:rPr>
        <w:t xml:space="preserve"> and compliance </w:t>
      </w:r>
      <w:r w:rsidR="002C3D78">
        <w:rPr>
          <w:lang w:val="en-US"/>
        </w:rPr>
        <w:t xml:space="preserve">areas </w:t>
      </w:r>
      <w:r w:rsidR="0018082D">
        <w:rPr>
          <w:lang w:val="en-US"/>
        </w:rPr>
        <w:t xml:space="preserve">all </w:t>
      </w:r>
      <w:r w:rsidR="00352ECD">
        <w:rPr>
          <w:lang w:val="en-US"/>
        </w:rPr>
        <w:t>strongly supported the Executive’s decision</w:t>
      </w:r>
      <w:r w:rsidR="00B77A18">
        <w:rPr>
          <w:lang w:val="en-US"/>
        </w:rPr>
        <w:t xml:space="preserve"> to conduct this </w:t>
      </w:r>
      <w:r w:rsidR="00A27E84">
        <w:rPr>
          <w:lang w:val="en-US"/>
        </w:rPr>
        <w:t>Review</w:t>
      </w:r>
      <w:r w:rsidR="008D479C" w:rsidRPr="008D479C">
        <w:rPr>
          <w:lang w:val="en-US"/>
        </w:rPr>
        <w:t xml:space="preserve"> </w:t>
      </w:r>
      <w:r w:rsidR="008D479C">
        <w:rPr>
          <w:lang w:val="en-US"/>
        </w:rPr>
        <w:t xml:space="preserve">to ensure that the environmental outcomes </w:t>
      </w:r>
      <w:r w:rsidR="00C423F7">
        <w:rPr>
          <w:lang w:val="en-US"/>
        </w:rPr>
        <w:t>intended</w:t>
      </w:r>
      <w:r w:rsidR="008D479C">
        <w:rPr>
          <w:lang w:val="en-US"/>
        </w:rPr>
        <w:t xml:space="preserve"> by legislation can be achieved as effectively as possible.</w:t>
      </w:r>
    </w:p>
    <w:p w14:paraId="68C15B00" w14:textId="210851FE" w:rsidR="00AF02EB" w:rsidRDefault="0018082D" w:rsidP="00C21DA1">
      <w:pPr>
        <w:rPr>
          <w:lang w:val="en-US"/>
        </w:rPr>
      </w:pPr>
      <w:r>
        <w:rPr>
          <w:lang w:val="en-US"/>
        </w:rPr>
        <w:t>Similarly, a</w:t>
      </w:r>
      <w:r w:rsidR="00032670">
        <w:rPr>
          <w:lang w:val="en-US"/>
        </w:rPr>
        <w:t xml:space="preserve">ll </w:t>
      </w:r>
      <w:r>
        <w:rPr>
          <w:lang w:val="en-US"/>
        </w:rPr>
        <w:t xml:space="preserve">external </w:t>
      </w:r>
      <w:r w:rsidR="00032670">
        <w:rPr>
          <w:lang w:val="en-US"/>
        </w:rPr>
        <w:t xml:space="preserve">stakeholders </w:t>
      </w:r>
      <w:r w:rsidR="00CB5DE6">
        <w:rPr>
          <w:lang w:val="en-US"/>
        </w:rPr>
        <w:t xml:space="preserve">consulted </w:t>
      </w:r>
      <w:r w:rsidR="008D5FD1">
        <w:rPr>
          <w:lang w:val="en-US"/>
        </w:rPr>
        <w:t xml:space="preserve">during the Review </w:t>
      </w:r>
      <w:r w:rsidR="00032670">
        <w:rPr>
          <w:lang w:val="en-US"/>
        </w:rPr>
        <w:t>(</w:t>
      </w:r>
      <w:r w:rsidR="004D5E48">
        <w:rPr>
          <w:lang w:val="en-US"/>
        </w:rPr>
        <w:t xml:space="preserve">including </w:t>
      </w:r>
      <w:r w:rsidR="00BE0F85">
        <w:rPr>
          <w:lang w:val="en-US"/>
        </w:rPr>
        <w:t>states and territories, other Commonwealth agencies, industry and community groups</w:t>
      </w:r>
      <w:r w:rsidR="00032670">
        <w:rPr>
          <w:lang w:val="en-US"/>
        </w:rPr>
        <w:t xml:space="preserve">) </w:t>
      </w:r>
      <w:r w:rsidR="00785301">
        <w:rPr>
          <w:lang w:val="en-US"/>
        </w:rPr>
        <w:t xml:space="preserve">supported </w:t>
      </w:r>
      <w:r w:rsidR="00B85BC2">
        <w:rPr>
          <w:lang w:val="en-US"/>
        </w:rPr>
        <w:t xml:space="preserve">a </w:t>
      </w:r>
      <w:r w:rsidR="0075398E">
        <w:rPr>
          <w:lang w:val="en-US"/>
        </w:rPr>
        <w:t xml:space="preserve">more </w:t>
      </w:r>
      <w:r w:rsidR="00C21DA1">
        <w:rPr>
          <w:lang w:val="en-US"/>
        </w:rPr>
        <w:t xml:space="preserve">robust approach to </w:t>
      </w:r>
      <w:r w:rsidR="00DB01AE">
        <w:rPr>
          <w:lang w:val="en-US"/>
        </w:rPr>
        <w:t xml:space="preserve">managing </w:t>
      </w:r>
      <w:r w:rsidR="00C21DA1">
        <w:rPr>
          <w:lang w:val="en-US"/>
        </w:rPr>
        <w:t>compliance</w:t>
      </w:r>
      <w:r w:rsidR="00DB01AE">
        <w:rPr>
          <w:lang w:val="en-US"/>
        </w:rPr>
        <w:t xml:space="preserve"> with </w:t>
      </w:r>
      <w:r w:rsidR="007026FF">
        <w:rPr>
          <w:lang w:val="en-US"/>
        </w:rPr>
        <w:t xml:space="preserve">Commonwealth </w:t>
      </w:r>
      <w:r w:rsidR="00DB01AE">
        <w:rPr>
          <w:lang w:val="en-US"/>
        </w:rPr>
        <w:t>environmental legislation</w:t>
      </w:r>
      <w:r w:rsidR="00C21DA1">
        <w:rPr>
          <w:lang w:val="en-US"/>
        </w:rPr>
        <w:t xml:space="preserve">. </w:t>
      </w:r>
    </w:p>
    <w:p w14:paraId="2485BB97" w14:textId="3C9053A6" w:rsidR="00C21DA1" w:rsidRDefault="007026FF" w:rsidP="00C21DA1">
      <w:pPr>
        <w:rPr>
          <w:lang w:val="en-US"/>
        </w:rPr>
      </w:pPr>
      <w:r>
        <w:rPr>
          <w:lang w:val="en-US"/>
        </w:rPr>
        <w:t>I</w:t>
      </w:r>
      <w:r w:rsidR="009C7B1A">
        <w:rPr>
          <w:lang w:val="en-US"/>
        </w:rPr>
        <w:t>t was universally recogni</w:t>
      </w:r>
      <w:r w:rsidR="00184209">
        <w:rPr>
          <w:lang w:val="en-US"/>
        </w:rPr>
        <w:t xml:space="preserve">sed </w:t>
      </w:r>
      <w:r w:rsidR="0089197C">
        <w:rPr>
          <w:lang w:val="en-US"/>
        </w:rPr>
        <w:t xml:space="preserve">that </w:t>
      </w:r>
      <w:r w:rsidR="00C21DA1">
        <w:rPr>
          <w:lang w:val="en-US"/>
        </w:rPr>
        <w:t xml:space="preserve">the </w:t>
      </w:r>
      <w:r w:rsidR="005B3C2E">
        <w:rPr>
          <w:lang w:val="en-US"/>
        </w:rPr>
        <w:t>profile</w:t>
      </w:r>
      <w:r w:rsidR="004E454D">
        <w:rPr>
          <w:lang w:val="en-US"/>
        </w:rPr>
        <w:t>, breadth</w:t>
      </w:r>
      <w:r w:rsidR="005B3C2E">
        <w:rPr>
          <w:lang w:val="en-US"/>
        </w:rPr>
        <w:t xml:space="preserve"> and effectiveness</w:t>
      </w:r>
      <w:r w:rsidR="00C21DA1">
        <w:rPr>
          <w:lang w:val="en-US"/>
        </w:rPr>
        <w:t xml:space="preserve"> of environmental compliance within the Department </w:t>
      </w:r>
      <w:r w:rsidR="00121E70">
        <w:rPr>
          <w:lang w:val="en-US"/>
        </w:rPr>
        <w:t xml:space="preserve">has </w:t>
      </w:r>
      <w:r w:rsidR="009E72A7">
        <w:rPr>
          <w:lang w:val="en-US"/>
        </w:rPr>
        <w:t>reduced</w:t>
      </w:r>
      <w:r w:rsidR="001C2B5D">
        <w:rPr>
          <w:lang w:val="en-US"/>
        </w:rPr>
        <w:t xml:space="preserve"> over time</w:t>
      </w:r>
      <w:r w:rsidR="00C21DA1">
        <w:rPr>
          <w:lang w:val="en-US"/>
        </w:rPr>
        <w:t xml:space="preserve"> and there has been little </w:t>
      </w:r>
      <w:r w:rsidR="007F35A0">
        <w:rPr>
          <w:lang w:val="en-US"/>
        </w:rPr>
        <w:t xml:space="preserve">recent </w:t>
      </w:r>
      <w:r w:rsidR="00C21DA1">
        <w:rPr>
          <w:lang w:val="en-US"/>
        </w:rPr>
        <w:t>investment in this function</w:t>
      </w:r>
      <w:r w:rsidR="0091674F">
        <w:rPr>
          <w:lang w:val="en-US"/>
        </w:rPr>
        <w:t>.</w:t>
      </w:r>
      <w:r w:rsidR="007F35A0">
        <w:rPr>
          <w:lang w:val="en-US"/>
        </w:rPr>
        <w:t xml:space="preserve"> As a result, </w:t>
      </w:r>
      <w:r w:rsidR="00C21DA1">
        <w:rPr>
          <w:lang w:val="en-US"/>
        </w:rPr>
        <w:t>it now fall</w:t>
      </w:r>
      <w:r w:rsidR="00C648F6">
        <w:rPr>
          <w:lang w:val="en-US"/>
        </w:rPr>
        <w:t>s</w:t>
      </w:r>
      <w:r w:rsidR="00C21DA1">
        <w:rPr>
          <w:lang w:val="en-US"/>
        </w:rPr>
        <w:t xml:space="preserve"> well short of being a model </w:t>
      </w:r>
      <w:r w:rsidR="00B32AD1">
        <w:rPr>
          <w:lang w:val="en-US"/>
        </w:rPr>
        <w:t xml:space="preserve">contemporary </w:t>
      </w:r>
      <w:r w:rsidR="00C21DA1">
        <w:rPr>
          <w:lang w:val="en-US"/>
        </w:rPr>
        <w:t xml:space="preserve">compliance function on which the government, </w:t>
      </w:r>
      <w:r w:rsidR="00FE00F7">
        <w:rPr>
          <w:lang w:val="en-US"/>
        </w:rPr>
        <w:t xml:space="preserve">industry, community and </w:t>
      </w:r>
      <w:r w:rsidR="00C21DA1">
        <w:rPr>
          <w:lang w:val="en-US"/>
        </w:rPr>
        <w:t xml:space="preserve">program managers within the Department can </w:t>
      </w:r>
      <w:r w:rsidR="002A4458">
        <w:rPr>
          <w:lang w:val="en-US"/>
        </w:rPr>
        <w:t xml:space="preserve">confidently </w:t>
      </w:r>
      <w:r w:rsidR="00C21DA1">
        <w:rPr>
          <w:lang w:val="en-US"/>
        </w:rPr>
        <w:t>rely.</w:t>
      </w:r>
    </w:p>
    <w:p w14:paraId="51159B84" w14:textId="76B221E9" w:rsidR="00031045" w:rsidRDefault="00031045" w:rsidP="00C21DA1">
      <w:pPr>
        <w:rPr>
          <w:lang w:val="en-US"/>
        </w:rPr>
      </w:pPr>
      <w:r>
        <w:rPr>
          <w:lang w:val="en-US"/>
        </w:rPr>
        <w:t xml:space="preserve">Risk is usually defined in terms of the likelihood </w:t>
      </w:r>
      <w:r w:rsidR="00F515EB">
        <w:rPr>
          <w:lang w:val="en-US"/>
        </w:rPr>
        <w:t xml:space="preserve">and consequence </w:t>
      </w:r>
      <w:r>
        <w:rPr>
          <w:lang w:val="en-US"/>
        </w:rPr>
        <w:t xml:space="preserve">of harm occurring (the effect of uncertainty on achieving objectives). Whilst this theoretical model </w:t>
      </w:r>
      <w:r w:rsidR="00AA6CBD">
        <w:rPr>
          <w:lang w:val="en-US"/>
        </w:rPr>
        <w:t>is</w:t>
      </w:r>
      <w:r>
        <w:rPr>
          <w:lang w:val="en-US"/>
        </w:rPr>
        <w:t xml:space="preserve"> well </w:t>
      </w:r>
      <w:r>
        <w:rPr>
          <w:lang w:val="en-US"/>
        </w:rPr>
        <w:lastRenderedPageBreak/>
        <w:t xml:space="preserve">understood across the Department, the tools </w:t>
      </w:r>
      <w:r w:rsidR="00D61E12">
        <w:rPr>
          <w:lang w:val="en-US"/>
        </w:rPr>
        <w:t>(for h</w:t>
      </w:r>
      <w:r>
        <w:rPr>
          <w:lang w:val="en-US"/>
        </w:rPr>
        <w:t xml:space="preserve">olding, sharing and analysing information) </w:t>
      </w:r>
      <w:r w:rsidR="00D61E12">
        <w:rPr>
          <w:lang w:val="en-US"/>
        </w:rPr>
        <w:t xml:space="preserve">that are necessary to </w:t>
      </w:r>
      <w:r>
        <w:rPr>
          <w:lang w:val="en-US"/>
        </w:rPr>
        <w:t>determine the priority compliance requirements for each legislative program, let alone compare those risks across all of the programs</w:t>
      </w:r>
      <w:r w:rsidR="00D61E12">
        <w:rPr>
          <w:lang w:val="en-US"/>
        </w:rPr>
        <w:t>, are not in place</w:t>
      </w:r>
      <w:r>
        <w:rPr>
          <w:lang w:val="en-US"/>
        </w:rPr>
        <w:t>.</w:t>
      </w:r>
    </w:p>
    <w:p w14:paraId="237B79C9" w14:textId="2F724431" w:rsidR="00C21DA1" w:rsidRDefault="00C21DA1" w:rsidP="00C21DA1">
      <w:pPr>
        <w:rPr>
          <w:lang w:val="en-US"/>
        </w:rPr>
      </w:pPr>
      <w:r>
        <w:rPr>
          <w:lang w:val="en-US"/>
        </w:rPr>
        <w:t xml:space="preserve">One of the major findings from the Review </w:t>
      </w:r>
      <w:r w:rsidR="00C648F6">
        <w:rPr>
          <w:lang w:val="en-US"/>
        </w:rPr>
        <w:t xml:space="preserve">is that </w:t>
      </w:r>
      <w:r w:rsidR="00C3018F">
        <w:rPr>
          <w:lang w:val="en-US"/>
        </w:rPr>
        <w:t xml:space="preserve">the ability to assess risk </w:t>
      </w:r>
      <w:r w:rsidR="001B4564">
        <w:rPr>
          <w:lang w:val="en-US"/>
        </w:rPr>
        <w:t xml:space="preserve">not only requires </w:t>
      </w:r>
      <w:r w:rsidR="00C648F6">
        <w:rPr>
          <w:lang w:val="en-US"/>
        </w:rPr>
        <w:t>ready access to high quality data</w:t>
      </w:r>
      <w:r>
        <w:rPr>
          <w:lang w:val="en-US"/>
        </w:rPr>
        <w:t xml:space="preserve"> but </w:t>
      </w:r>
      <w:r w:rsidR="001B4564">
        <w:rPr>
          <w:lang w:val="en-US"/>
        </w:rPr>
        <w:t xml:space="preserve">also </w:t>
      </w:r>
      <w:r w:rsidR="004E4911">
        <w:rPr>
          <w:lang w:val="en-US"/>
        </w:rPr>
        <w:t>relies on</w:t>
      </w:r>
      <w:r>
        <w:rPr>
          <w:lang w:val="en-US"/>
        </w:rPr>
        <w:t xml:space="preserve"> gathering intelligence</w:t>
      </w:r>
      <w:r w:rsidR="004E4911">
        <w:rPr>
          <w:lang w:val="en-US"/>
        </w:rPr>
        <w:t xml:space="preserve">. </w:t>
      </w:r>
      <w:r w:rsidR="00E95C25">
        <w:rPr>
          <w:lang w:val="en-US"/>
        </w:rPr>
        <w:t xml:space="preserve">Effective compliance </w:t>
      </w:r>
      <w:r w:rsidR="00B453AA">
        <w:rPr>
          <w:lang w:val="en-US"/>
        </w:rPr>
        <w:t>requires o</w:t>
      </w:r>
      <w:r w:rsidR="004E4911">
        <w:rPr>
          <w:lang w:val="en-US"/>
        </w:rPr>
        <w:t xml:space="preserve">perational intelligence </w:t>
      </w:r>
      <w:r>
        <w:rPr>
          <w:lang w:val="en-US"/>
        </w:rPr>
        <w:t>to inform the day</w:t>
      </w:r>
      <w:r w:rsidR="00541515">
        <w:rPr>
          <w:lang w:val="en-US"/>
        </w:rPr>
        <w:t>-</w:t>
      </w:r>
      <w:r>
        <w:rPr>
          <w:lang w:val="en-US"/>
        </w:rPr>
        <w:t>to</w:t>
      </w:r>
      <w:r w:rsidR="00541515">
        <w:rPr>
          <w:lang w:val="en-US"/>
        </w:rPr>
        <w:t>-</w:t>
      </w:r>
      <w:r>
        <w:rPr>
          <w:lang w:val="en-US"/>
        </w:rPr>
        <w:t>day compliance activities of the Department and a strong strategic intelligence capability</w:t>
      </w:r>
      <w:r w:rsidR="00541515">
        <w:rPr>
          <w:lang w:val="en-US"/>
        </w:rPr>
        <w:t xml:space="preserve"> </w:t>
      </w:r>
      <w:r>
        <w:rPr>
          <w:lang w:val="en-US"/>
        </w:rPr>
        <w:t xml:space="preserve">to identify </w:t>
      </w:r>
      <w:r w:rsidR="00B453AA">
        <w:rPr>
          <w:lang w:val="en-US"/>
        </w:rPr>
        <w:t>emerging</w:t>
      </w:r>
      <w:r>
        <w:rPr>
          <w:lang w:val="en-US"/>
        </w:rPr>
        <w:t xml:space="preserve"> risks and trends. </w:t>
      </w:r>
      <w:r w:rsidR="006C204F">
        <w:rPr>
          <w:lang w:val="en-US"/>
        </w:rPr>
        <w:t>The Department currently has neither the information systems nor the intelligence capability</w:t>
      </w:r>
      <w:r w:rsidR="00CC2CDF">
        <w:rPr>
          <w:lang w:val="en-US"/>
        </w:rPr>
        <w:t xml:space="preserve"> to undertake risk assessment and prioriti</w:t>
      </w:r>
      <w:r w:rsidR="00CE7E6E">
        <w:rPr>
          <w:lang w:val="en-US"/>
        </w:rPr>
        <w:t>s</w:t>
      </w:r>
      <w:r w:rsidR="00CC2CDF">
        <w:rPr>
          <w:lang w:val="en-US"/>
        </w:rPr>
        <w:t>ation.</w:t>
      </w:r>
    </w:p>
    <w:p w14:paraId="6ECDFC28" w14:textId="02915ADC" w:rsidR="00C648F6" w:rsidRDefault="007D2490" w:rsidP="00C648F6">
      <w:pPr>
        <w:rPr>
          <w:lang w:val="en-US"/>
        </w:rPr>
      </w:pPr>
      <w:r>
        <w:rPr>
          <w:lang w:val="en-US"/>
        </w:rPr>
        <w:t>In this context</w:t>
      </w:r>
      <w:r w:rsidR="00C648F6">
        <w:rPr>
          <w:lang w:val="en-US"/>
        </w:rPr>
        <w:t xml:space="preserve">, the Review </w:t>
      </w:r>
      <w:r w:rsidR="00B356E9">
        <w:rPr>
          <w:lang w:val="en-US"/>
        </w:rPr>
        <w:t xml:space="preserve">has </w:t>
      </w:r>
      <w:r w:rsidR="00CC2CDF">
        <w:rPr>
          <w:lang w:val="en-US"/>
        </w:rPr>
        <w:t>identified a number of steps</w:t>
      </w:r>
      <w:r w:rsidR="00B356E9">
        <w:rPr>
          <w:lang w:val="en-US"/>
        </w:rPr>
        <w:t xml:space="preserve"> that </w:t>
      </w:r>
      <w:r w:rsidR="004F444E">
        <w:rPr>
          <w:lang w:val="en-US"/>
        </w:rPr>
        <w:t xml:space="preserve">the </w:t>
      </w:r>
      <w:r w:rsidR="00B356E9">
        <w:rPr>
          <w:lang w:val="en-US"/>
        </w:rPr>
        <w:t xml:space="preserve">Department </w:t>
      </w:r>
      <w:r w:rsidR="00136B53">
        <w:rPr>
          <w:lang w:val="en-US"/>
        </w:rPr>
        <w:t xml:space="preserve">needs to take </w:t>
      </w:r>
      <w:r w:rsidR="00E844C8">
        <w:rPr>
          <w:lang w:val="en-US"/>
        </w:rPr>
        <w:t xml:space="preserve">before it can </w:t>
      </w:r>
      <w:r w:rsidR="00740BF1">
        <w:rPr>
          <w:lang w:val="en-US"/>
        </w:rPr>
        <w:t>meaningfully undertake</w:t>
      </w:r>
      <w:r w:rsidR="00E844C8">
        <w:rPr>
          <w:lang w:val="en-US"/>
        </w:rPr>
        <w:t xml:space="preserve"> the </w:t>
      </w:r>
      <w:r w:rsidR="00740BF1">
        <w:rPr>
          <w:lang w:val="en-US"/>
        </w:rPr>
        <w:t xml:space="preserve">activity recommended by the ANAO. </w:t>
      </w:r>
      <w:r w:rsidR="006642D1">
        <w:rPr>
          <w:lang w:val="en-US"/>
        </w:rPr>
        <w:t xml:space="preserve">The Review makes a number of </w:t>
      </w:r>
      <w:hyperlink w:anchor="_Recommendations" w:history="1">
        <w:r w:rsidR="006642D1" w:rsidRPr="0091732E">
          <w:rPr>
            <w:rStyle w:val="Hyperlink"/>
            <w:lang w:val="en-US"/>
          </w:rPr>
          <w:t>recommendations</w:t>
        </w:r>
      </w:hyperlink>
      <w:r w:rsidR="006642D1">
        <w:rPr>
          <w:lang w:val="en-US"/>
        </w:rPr>
        <w:t xml:space="preserve"> </w:t>
      </w:r>
      <w:r w:rsidR="006F32F0">
        <w:rPr>
          <w:lang w:val="en-US"/>
        </w:rPr>
        <w:t xml:space="preserve">and proposes a </w:t>
      </w:r>
      <w:hyperlink w:anchor="_Attachment_A_–" w:history="1">
        <w:r w:rsidR="006F32F0" w:rsidRPr="0091732E">
          <w:rPr>
            <w:rStyle w:val="Hyperlink"/>
            <w:lang w:val="en-US"/>
          </w:rPr>
          <w:t>staged approach to reform</w:t>
        </w:r>
      </w:hyperlink>
      <w:r w:rsidR="006F32F0">
        <w:rPr>
          <w:lang w:val="en-US"/>
        </w:rPr>
        <w:t xml:space="preserve"> </w:t>
      </w:r>
      <w:r w:rsidR="006642D1">
        <w:rPr>
          <w:lang w:val="en-US"/>
        </w:rPr>
        <w:t>to address</w:t>
      </w:r>
      <w:r w:rsidR="00A00455">
        <w:rPr>
          <w:lang w:val="en-US"/>
        </w:rPr>
        <w:t xml:space="preserve"> current weaknesses</w:t>
      </w:r>
      <w:r w:rsidR="002639CE">
        <w:rPr>
          <w:lang w:val="en-US"/>
        </w:rPr>
        <w:t xml:space="preserve"> in governance, resourcing</w:t>
      </w:r>
      <w:r w:rsidR="00D87269">
        <w:rPr>
          <w:lang w:val="en-US"/>
        </w:rPr>
        <w:t>, information management</w:t>
      </w:r>
      <w:r w:rsidR="00CF04CB">
        <w:rPr>
          <w:lang w:val="en-US"/>
        </w:rPr>
        <w:t xml:space="preserve"> and intelligence to move beyond the current</w:t>
      </w:r>
      <w:r w:rsidR="00C648F6">
        <w:rPr>
          <w:lang w:val="en-US"/>
        </w:rPr>
        <w:t xml:space="preserve"> </w:t>
      </w:r>
      <w:r w:rsidR="00A438EC">
        <w:rPr>
          <w:lang w:val="en-US"/>
        </w:rPr>
        <w:t>prioritisation approach</w:t>
      </w:r>
      <w:r w:rsidR="0042209F">
        <w:rPr>
          <w:lang w:val="en-US"/>
        </w:rPr>
        <w:t xml:space="preserve"> </w:t>
      </w:r>
      <w:r w:rsidR="00C648F6">
        <w:rPr>
          <w:lang w:val="en-US"/>
        </w:rPr>
        <w:t>based on the knowledge and views of individuals</w:t>
      </w:r>
      <w:r w:rsidR="00EA0D4D">
        <w:rPr>
          <w:lang w:val="en-US"/>
        </w:rPr>
        <w:t xml:space="preserve"> to a more robust and transparent approach</w:t>
      </w:r>
      <w:r w:rsidR="00C648F6">
        <w:rPr>
          <w:lang w:val="en-US"/>
        </w:rPr>
        <w:t>.</w:t>
      </w:r>
    </w:p>
    <w:p w14:paraId="52FBCFA9" w14:textId="596FDA1E" w:rsidR="00C21DA1" w:rsidRDefault="00C73F79" w:rsidP="00C21DA1">
      <w:pPr>
        <w:rPr>
          <w:lang w:val="en-US"/>
        </w:rPr>
      </w:pPr>
      <w:r>
        <w:rPr>
          <w:lang w:val="en-US"/>
        </w:rPr>
        <w:t xml:space="preserve">The Review makes </w:t>
      </w:r>
      <w:r w:rsidR="00C21DA1" w:rsidRPr="002F2144">
        <w:rPr>
          <w:lang w:val="en-US"/>
        </w:rPr>
        <w:t>2</w:t>
      </w:r>
      <w:r w:rsidR="000C6B5C">
        <w:rPr>
          <w:lang w:val="en-US"/>
        </w:rPr>
        <w:t>8</w:t>
      </w:r>
      <w:r w:rsidR="00C21DA1" w:rsidRPr="0091732E">
        <w:rPr>
          <w:lang w:val="en-US"/>
        </w:rPr>
        <w:t xml:space="preserve"> recommendations</w:t>
      </w:r>
      <w:r w:rsidR="00BC122F">
        <w:rPr>
          <w:lang w:val="en-US"/>
        </w:rPr>
        <w:t>,</w:t>
      </w:r>
      <w:r w:rsidR="00184639">
        <w:rPr>
          <w:lang w:val="en-US"/>
        </w:rPr>
        <w:t xml:space="preserve"> including for </w:t>
      </w:r>
      <w:r w:rsidR="007D74EE">
        <w:rPr>
          <w:lang w:val="en-US"/>
        </w:rPr>
        <w:t>a number of specific packages of work</w:t>
      </w:r>
      <w:r w:rsidR="00C21DA1">
        <w:rPr>
          <w:lang w:val="en-US"/>
        </w:rPr>
        <w:t xml:space="preserve"> aimed at overcoming some immediate obstacles</w:t>
      </w:r>
      <w:r w:rsidR="009C1F76">
        <w:rPr>
          <w:lang w:val="en-US"/>
        </w:rPr>
        <w:t>,</w:t>
      </w:r>
      <w:r w:rsidR="00C21DA1">
        <w:rPr>
          <w:lang w:val="en-US"/>
        </w:rPr>
        <w:t xml:space="preserve"> </w:t>
      </w:r>
      <w:r w:rsidR="007D74EE">
        <w:rPr>
          <w:lang w:val="en-US"/>
        </w:rPr>
        <w:t>to</w:t>
      </w:r>
      <w:r w:rsidR="00022747">
        <w:rPr>
          <w:lang w:val="en-US"/>
        </w:rPr>
        <w:t xml:space="preserve"> provide a basis for</w:t>
      </w:r>
      <w:r w:rsidR="00C21DA1">
        <w:rPr>
          <w:lang w:val="en-US"/>
        </w:rPr>
        <w:t xml:space="preserve"> establishing a strong framework for </w:t>
      </w:r>
      <w:r w:rsidR="00486B66">
        <w:rPr>
          <w:lang w:val="en-US"/>
        </w:rPr>
        <w:t>managing</w:t>
      </w:r>
      <w:r w:rsidR="00C21DA1">
        <w:rPr>
          <w:lang w:val="en-US"/>
        </w:rPr>
        <w:t xml:space="preserve"> compliance </w:t>
      </w:r>
      <w:r w:rsidR="00486B66">
        <w:rPr>
          <w:lang w:val="en-US"/>
        </w:rPr>
        <w:t xml:space="preserve">more effectively </w:t>
      </w:r>
      <w:r w:rsidR="00C21DA1">
        <w:rPr>
          <w:lang w:val="en-US"/>
        </w:rPr>
        <w:t xml:space="preserve">into the future. Some immediate investment </w:t>
      </w:r>
      <w:r w:rsidR="001700D3">
        <w:rPr>
          <w:lang w:val="en-US"/>
        </w:rPr>
        <w:t>in specific projects is recommended,</w:t>
      </w:r>
      <w:r w:rsidR="00C21DA1">
        <w:rPr>
          <w:lang w:val="en-US"/>
        </w:rPr>
        <w:t xml:space="preserve"> </w:t>
      </w:r>
      <w:r w:rsidR="00EA01DB">
        <w:rPr>
          <w:lang w:val="en-US"/>
        </w:rPr>
        <w:t>as well as a</w:t>
      </w:r>
      <w:r w:rsidR="00C21DA1">
        <w:rPr>
          <w:lang w:val="en-US"/>
        </w:rPr>
        <w:t xml:space="preserve"> marginal increase in ECB resources </w:t>
      </w:r>
      <w:r w:rsidR="00EA01DB">
        <w:rPr>
          <w:lang w:val="en-US"/>
        </w:rPr>
        <w:t xml:space="preserve">that </w:t>
      </w:r>
      <w:r w:rsidR="00C21DA1">
        <w:rPr>
          <w:lang w:val="en-US"/>
        </w:rPr>
        <w:t>is necessary to commence the process of reform that the Review is suggesting.</w:t>
      </w:r>
    </w:p>
    <w:p w14:paraId="215A76B7" w14:textId="38E9EF9D" w:rsidR="00C21DA1" w:rsidRDefault="00C21DA1" w:rsidP="00C21DA1">
      <w:pPr>
        <w:rPr>
          <w:lang w:val="en-US"/>
        </w:rPr>
      </w:pPr>
      <w:r>
        <w:rPr>
          <w:lang w:val="en-US"/>
        </w:rPr>
        <w:t xml:space="preserve">Work has </w:t>
      </w:r>
      <w:r w:rsidR="00B020F5">
        <w:rPr>
          <w:lang w:val="en-US"/>
        </w:rPr>
        <w:t xml:space="preserve">already </w:t>
      </w:r>
      <w:r>
        <w:rPr>
          <w:lang w:val="en-US"/>
        </w:rPr>
        <w:t xml:space="preserve">commenced </w:t>
      </w:r>
      <w:r w:rsidR="00B020F5">
        <w:rPr>
          <w:lang w:val="en-US"/>
        </w:rPr>
        <w:t xml:space="preserve">in the Department </w:t>
      </w:r>
      <w:r>
        <w:rPr>
          <w:lang w:val="en-US"/>
        </w:rPr>
        <w:t xml:space="preserve">on </w:t>
      </w:r>
      <w:r w:rsidR="00912EBD">
        <w:rPr>
          <w:lang w:val="en-US"/>
        </w:rPr>
        <w:t>impleme</w:t>
      </w:r>
      <w:r w:rsidR="000B16DA">
        <w:rPr>
          <w:lang w:val="en-US"/>
        </w:rPr>
        <w:t xml:space="preserve">nting </w:t>
      </w:r>
      <w:r>
        <w:rPr>
          <w:lang w:val="en-US"/>
        </w:rPr>
        <w:t xml:space="preserve">some more modern information management systems. This work should continue but </w:t>
      </w:r>
      <w:r w:rsidR="00D42D78">
        <w:rPr>
          <w:lang w:val="en-US"/>
        </w:rPr>
        <w:t>with greater</w:t>
      </w:r>
      <w:r>
        <w:rPr>
          <w:lang w:val="en-US"/>
        </w:rPr>
        <w:t xml:space="preserve"> executive</w:t>
      </w:r>
      <w:r w:rsidR="00267473">
        <w:rPr>
          <w:lang w:val="en-US"/>
        </w:rPr>
        <w:t>-</w:t>
      </w:r>
      <w:r>
        <w:rPr>
          <w:lang w:val="en-US"/>
        </w:rPr>
        <w:t>level oversight</w:t>
      </w:r>
      <w:r w:rsidR="00267473">
        <w:rPr>
          <w:lang w:val="en-US"/>
        </w:rPr>
        <w:t xml:space="preserve"> to ensure that, over time, </w:t>
      </w:r>
      <w:r w:rsidR="00B723F1">
        <w:rPr>
          <w:lang w:val="en-US"/>
        </w:rPr>
        <w:t xml:space="preserve">the Department can </w:t>
      </w:r>
      <w:r w:rsidR="00D10B11">
        <w:rPr>
          <w:lang w:val="en-US"/>
        </w:rPr>
        <w:t xml:space="preserve">maximise </w:t>
      </w:r>
      <w:r w:rsidR="00236B7D">
        <w:rPr>
          <w:lang w:val="en-US"/>
        </w:rPr>
        <w:t xml:space="preserve">the gains </w:t>
      </w:r>
      <w:r>
        <w:rPr>
          <w:lang w:val="en-US"/>
        </w:rPr>
        <w:t xml:space="preserve">in respect of targeting daily </w:t>
      </w:r>
      <w:r w:rsidR="00DC600F">
        <w:rPr>
          <w:lang w:val="en-US"/>
        </w:rPr>
        <w:t>work</w:t>
      </w:r>
      <w:r w:rsidR="00C95BB2">
        <w:rPr>
          <w:lang w:val="en-US"/>
        </w:rPr>
        <w:t xml:space="preserve"> activities</w:t>
      </w:r>
      <w:r>
        <w:rPr>
          <w:lang w:val="en-US"/>
        </w:rPr>
        <w:t xml:space="preserve">, </w:t>
      </w:r>
      <w:r w:rsidR="00C95BB2">
        <w:rPr>
          <w:lang w:val="en-US"/>
        </w:rPr>
        <w:t xml:space="preserve">undertaking </w:t>
      </w:r>
      <w:r w:rsidR="00311C42">
        <w:rPr>
          <w:lang w:val="en-US"/>
        </w:rPr>
        <w:t xml:space="preserve">more reliable </w:t>
      </w:r>
      <w:r>
        <w:rPr>
          <w:lang w:val="en-US"/>
        </w:rPr>
        <w:t>risk assessment</w:t>
      </w:r>
      <w:r w:rsidR="00311C42">
        <w:rPr>
          <w:lang w:val="en-US"/>
        </w:rPr>
        <w:t>s</w:t>
      </w:r>
      <w:r>
        <w:rPr>
          <w:lang w:val="en-US"/>
        </w:rPr>
        <w:t xml:space="preserve">, </w:t>
      </w:r>
      <w:r w:rsidR="00311C42">
        <w:rPr>
          <w:lang w:val="en-US"/>
        </w:rPr>
        <w:t xml:space="preserve">setting </w:t>
      </w:r>
      <w:r>
        <w:rPr>
          <w:lang w:val="en-US"/>
        </w:rPr>
        <w:t>priorit</w:t>
      </w:r>
      <w:r w:rsidR="00311C42">
        <w:rPr>
          <w:lang w:val="en-US"/>
        </w:rPr>
        <w:t>ies</w:t>
      </w:r>
      <w:r>
        <w:rPr>
          <w:lang w:val="en-US"/>
        </w:rPr>
        <w:t xml:space="preserve"> </w:t>
      </w:r>
      <w:r w:rsidR="003D3E53">
        <w:rPr>
          <w:lang w:val="en-US"/>
        </w:rPr>
        <w:t>and</w:t>
      </w:r>
      <w:r>
        <w:rPr>
          <w:lang w:val="en-US"/>
        </w:rPr>
        <w:t xml:space="preserve"> developing </w:t>
      </w:r>
      <w:r w:rsidR="003D3E53">
        <w:rPr>
          <w:lang w:val="en-US"/>
        </w:rPr>
        <w:t xml:space="preserve">both operational and strategic </w:t>
      </w:r>
      <w:r>
        <w:rPr>
          <w:lang w:val="en-US"/>
        </w:rPr>
        <w:t>intelligence capabilit</w:t>
      </w:r>
      <w:r w:rsidR="003D3E53">
        <w:rPr>
          <w:lang w:val="en-US"/>
        </w:rPr>
        <w:t>ies</w:t>
      </w:r>
      <w:r w:rsidR="00B80130">
        <w:rPr>
          <w:lang w:val="en-US"/>
        </w:rPr>
        <w:t xml:space="preserve">. </w:t>
      </w:r>
      <w:r w:rsidR="00FC0EAF">
        <w:rPr>
          <w:lang w:val="en-US"/>
        </w:rPr>
        <w:t xml:space="preserve">These systems should </w:t>
      </w:r>
      <w:r w:rsidR="000B16DA">
        <w:rPr>
          <w:lang w:val="en-US"/>
        </w:rPr>
        <w:t xml:space="preserve">also </w:t>
      </w:r>
      <w:r>
        <w:rPr>
          <w:lang w:val="en-US"/>
        </w:rPr>
        <w:t>provide</w:t>
      </w:r>
      <w:r w:rsidR="00FA7710">
        <w:rPr>
          <w:lang w:val="en-US"/>
        </w:rPr>
        <w:t xml:space="preserve"> higher quality and more meaningful</w:t>
      </w:r>
      <w:r>
        <w:rPr>
          <w:lang w:val="en-US"/>
        </w:rPr>
        <w:t xml:space="preserve"> executive</w:t>
      </w:r>
      <w:r w:rsidR="00FA7710">
        <w:rPr>
          <w:lang w:val="en-US"/>
        </w:rPr>
        <w:t>-</w:t>
      </w:r>
      <w:r>
        <w:rPr>
          <w:lang w:val="en-US"/>
        </w:rPr>
        <w:t xml:space="preserve">level reporting to inform </w:t>
      </w:r>
      <w:r w:rsidR="00FA7710">
        <w:rPr>
          <w:lang w:val="en-US"/>
        </w:rPr>
        <w:t xml:space="preserve">decisions on </w:t>
      </w:r>
      <w:r>
        <w:rPr>
          <w:lang w:val="en-US"/>
        </w:rPr>
        <w:t>future priorities and resource requirements.</w:t>
      </w:r>
    </w:p>
    <w:p w14:paraId="268908AC" w14:textId="6D7196DD" w:rsidR="00C21DA1" w:rsidRDefault="00C21DA1" w:rsidP="00C21DA1">
      <w:pPr>
        <w:rPr>
          <w:lang w:val="en-US"/>
        </w:rPr>
      </w:pPr>
      <w:r>
        <w:rPr>
          <w:lang w:val="en-US"/>
        </w:rPr>
        <w:t xml:space="preserve">Given the national </w:t>
      </w:r>
      <w:r w:rsidR="00DA16CD">
        <w:rPr>
          <w:lang w:val="en-US"/>
        </w:rPr>
        <w:t>focus</w:t>
      </w:r>
      <w:r>
        <w:rPr>
          <w:lang w:val="en-US"/>
        </w:rPr>
        <w:t xml:space="preserve"> of the Department in managing environmental compliance for a number of complex and </w:t>
      </w:r>
      <w:r w:rsidR="00DA16CD">
        <w:rPr>
          <w:lang w:val="en-US"/>
        </w:rPr>
        <w:t>far-reaching</w:t>
      </w:r>
      <w:r>
        <w:rPr>
          <w:lang w:val="en-US"/>
        </w:rPr>
        <w:t xml:space="preserve"> pieces of legislation covering matters of national environmental significance, </w:t>
      </w:r>
      <w:r w:rsidR="00CD3C72">
        <w:rPr>
          <w:lang w:val="en-US"/>
        </w:rPr>
        <w:t xml:space="preserve">enforcing </w:t>
      </w:r>
      <w:r w:rsidR="00873BE1">
        <w:rPr>
          <w:lang w:val="en-US"/>
        </w:rPr>
        <w:t xml:space="preserve">Australia’s </w:t>
      </w:r>
      <w:r>
        <w:rPr>
          <w:lang w:val="en-US"/>
        </w:rPr>
        <w:t xml:space="preserve">international border responsibilities as well as </w:t>
      </w:r>
      <w:r w:rsidR="00E42F79">
        <w:rPr>
          <w:lang w:val="en-US"/>
        </w:rPr>
        <w:t xml:space="preserve">its </w:t>
      </w:r>
      <w:r>
        <w:rPr>
          <w:lang w:val="en-US"/>
        </w:rPr>
        <w:t xml:space="preserve">obligations </w:t>
      </w:r>
      <w:r w:rsidR="00873BE1">
        <w:rPr>
          <w:lang w:val="en-US"/>
        </w:rPr>
        <w:t xml:space="preserve">in </w:t>
      </w:r>
      <w:r>
        <w:rPr>
          <w:lang w:val="en-US"/>
        </w:rPr>
        <w:t>respect of international agreements</w:t>
      </w:r>
      <w:r w:rsidR="00873BE1">
        <w:rPr>
          <w:lang w:val="en-US"/>
        </w:rPr>
        <w:t>,</w:t>
      </w:r>
      <w:r>
        <w:rPr>
          <w:lang w:val="en-US"/>
        </w:rPr>
        <w:t xml:space="preserve"> the relationship</w:t>
      </w:r>
      <w:r w:rsidR="00A206E0">
        <w:rPr>
          <w:lang w:val="en-US"/>
        </w:rPr>
        <w:t>s</w:t>
      </w:r>
      <w:r>
        <w:rPr>
          <w:lang w:val="en-US"/>
        </w:rPr>
        <w:t xml:space="preserve"> </w:t>
      </w:r>
      <w:r w:rsidR="00873BE1">
        <w:rPr>
          <w:lang w:val="en-US"/>
        </w:rPr>
        <w:t>that</w:t>
      </w:r>
      <w:r>
        <w:rPr>
          <w:lang w:val="en-US"/>
        </w:rPr>
        <w:t xml:space="preserve"> ECB</w:t>
      </w:r>
      <w:r w:rsidR="00873BE1">
        <w:rPr>
          <w:lang w:val="en-US"/>
        </w:rPr>
        <w:t xml:space="preserve"> has with</w:t>
      </w:r>
      <w:r>
        <w:rPr>
          <w:lang w:val="en-US"/>
        </w:rPr>
        <w:t xml:space="preserve"> program areas, </w:t>
      </w:r>
      <w:r w:rsidR="00A206E0">
        <w:rPr>
          <w:lang w:val="en-US"/>
        </w:rPr>
        <w:t>states and territories</w:t>
      </w:r>
      <w:r>
        <w:rPr>
          <w:lang w:val="en-US"/>
        </w:rPr>
        <w:t xml:space="preserve">, other intelligence </w:t>
      </w:r>
      <w:r w:rsidR="00A206E0">
        <w:rPr>
          <w:lang w:val="en-US"/>
        </w:rPr>
        <w:t xml:space="preserve">and law enforcement </w:t>
      </w:r>
      <w:r>
        <w:rPr>
          <w:lang w:val="en-US"/>
        </w:rPr>
        <w:t xml:space="preserve">organisations, industry and the community </w:t>
      </w:r>
      <w:r w:rsidR="00DF50D3">
        <w:rPr>
          <w:lang w:val="en-US"/>
        </w:rPr>
        <w:t>are</w:t>
      </w:r>
      <w:r>
        <w:rPr>
          <w:lang w:val="en-US"/>
        </w:rPr>
        <w:t xml:space="preserve"> particularly important. The Department has limited resources and needs to play a stewardship role for environmental compliance</w:t>
      </w:r>
      <w:r w:rsidR="00525776">
        <w:rPr>
          <w:lang w:val="en-US"/>
        </w:rPr>
        <w:t>,</w:t>
      </w:r>
      <w:r>
        <w:rPr>
          <w:lang w:val="en-US"/>
        </w:rPr>
        <w:t xml:space="preserve"> leveraging these relationships to draw on their knowledge, keep abreast of new issues and opportunities as well as harness</w:t>
      </w:r>
      <w:r w:rsidR="001B38B8">
        <w:rPr>
          <w:lang w:val="en-US"/>
        </w:rPr>
        <w:t>ing</w:t>
      </w:r>
      <w:r>
        <w:rPr>
          <w:lang w:val="en-US"/>
        </w:rPr>
        <w:t xml:space="preserve"> all possible resources to maximise </w:t>
      </w:r>
      <w:r w:rsidR="00525776">
        <w:rPr>
          <w:lang w:val="en-US"/>
        </w:rPr>
        <w:t xml:space="preserve">its </w:t>
      </w:r>
      <w:r>
        <w:rPr>
          <w:lang w:val="en-US"/>
        </w:rPr>
        <w:t>impact.</w:t>
      </w:r>
    </w:p>
    <w:p w14:paraId="7650CBF1" w14:textId="3C90A89C" w:rsidR="002767E9" w:rsidRDefault="002767E9" w:rsidP="002767E9">
      <w:pPr>
        <w:rPr>
          <w:lang w:val="en-US"/>
        </w:rPr>
      </w:pPr>
      <w:r>
        <w:rPr>
          <w:lang w:val="en-US"/>
        </w:rPr>
        <w:t xml:space="preserve">The Australian Government </w:t>
      </w:r>
      <w:r w:rsidR="001A4D85">
        <w:rPr>
          <w:lang w:val="en-US"/>
        </w:rPr>
        <w:t>is</w:t>
      </w:r>
      <w:r w:rsidR="00082365">
        <w:rPr>
          <w:lang w:val="en-US"/>
        </w:rPr>
        <w:t xml:space="preserve"> implementing significant environmental reforms</w:t>
      </w:r>
      <w:r w:rsidR="001A4D85">
        <w:rPr>
          <w:lang w:val="en-US"/>
        </w:rPr>
        <w:t xml:space="preserve"> to the EPBC Act</w:t>
      </w:r>
      <w:r w:rsidR="00FD3E2B">
        <w:rPr>
          <w:lang w:val="en-US"/>
        </w:rPr>
        <w:t xml:space="preserve"> and </w:t>
      </w:r>
      <w:r w:rsidR="00082365">
        <w:rPr>
          <w:lang w:val="en-US"/>
        </w:rPr>
        <w:t>reforms t</w:t>
      </w:r>
      <w:r>
        <w:rPr>
          <w:lang w:val="en-US"/>
        </w:rPr>
        <w:t xml:space="preserve">o modernise </w:t>
      </w:r>
      <w:r w:rsidR="00FD3E2B">
        <w:rPr>
          <w:lang w:val="en-US"/>
        </w:rPr>
        <w:t xml:space="preserve">a number of </w:t>
      </w:r>
      <w:r>
        <w:rPr>
          <w:lang w:val="en-US"/>
        </w:rPr>
        <w:t xml:space="preserve">legislative frameworks.  An important part of this </w:t>
      </w:r>
      <w:r>
        <w:rPr>
          <w:lang w:val="en-US"/>
        </w:rPr>
        <w:lastRenderedPageBreak/>
        <w:t>modernisation process is to ensure that the compliance responsibilities, which are needed to effectively implement the Acts</w:t>
      </w:r>
      <w:r w:rsidR="009C2FB5">
        <w:rPr>
          <w:lang w:val="en-US"/>
        </w:rPr>
        <w:t>,</w:t>
      </w:r>
      <w:r>
        <w:rPr>
          <w:lang w:val="en-US"/>
        </w:rPr>
        <w:t xml:space="preserve"> can follow through.  </w:t>
      </w:r>
    </w:p>
    <w:p w14:paraId="3280A220" w14:textId="71658F5A" w:rsidR="007B2990" w:rsidRDefault="00C21DA1">
      <w:pPr>
        <w:rPr>
          <w:lang w:val="en-US"/>
        </w:rPr>
      </w:pPr>
      <w:r>
        <w:rPr>
          <w:lang w:val="en-US"/>
        </w:rPr>
        <w:t xml:space="preserve">Overall, if the activities recommended in the Review are supported by </w:t>
      </w:r>
      <w:r w:rsidR="00D24740">
        <w:rPr>
          <w:lang w:val="en-US"/>
        </w:rPr>
        <w:t xml:space="preserve">increased executive participation and </w:t>
      </w:r>
      <w:r>
        <w:rPr>
          <w:lang w:val="en-US"/>
        </w:rPr>
        <w:t>strong</w:t>
      </w:r>
      <w:r w:rsidR="00D24740">
        <w:rPr>
          <w:lang w:val="en-US"/>
        </w:rPr>
        <w:t>er</w:t>
      </w:r>
      <w:r>
        <w:rPr>
          <w:lang w:val="en-US"/>
        </w:rPr>
        <w:t xml:space="preserve"> governance, particularly over the next </w:t>
      </w:r>
      <w:r w:rsidR="00CF5F81">
        <w:rPr>
          <w:lang w:val="en-US"/>
        </w:rPr>
        <w:t>18</w:t>
      </w:r>
      <w:r w:rsidR="002A3C65">
        <w:rPr>
          <w:lang w:val="en-US"/>
        </w:rPr>
        <w:t>- 24</w:t>
      </w:r>
      <w:r>
        <w:rPr>
          <w:lang w:val="en-US"/>
        </w:rPr>
        <w:t xml:space="preserve"> months, ECB should be able to achieve a stage where it is much </w:t>
      </w:r>
      <w:r w:rsidR="001302F3">
        <w:rPr>
          <w:lang w:val="en-US"/>
        </w:rPr>
        <w:t xml:space="preserve">better </w:t>
      </w:r>
      <w:r>
        <w:rPr>
          <w:lang w:val="en-US"/>
        </w:rPr>
        <w:t>equipped to be a modern, responsive and trusted environmental compliance leader.</w:t>
      </w:r>
      <w:r w:rsidR="007B2990">
        <w:rPr>
          <w:lang w:val="en-US"/>
        </w:rPr>
        <w:br w:type="page"/>
      </w:r>
    </w:p>
    <w:p w14:paraId="64B69EC1" w14:textId="11D5DA1D" w:rsidR="005B4148" w:rsidRDefault="005B4148" w:rsidP="005B4148">
      <w:pPr>
        <w:pStyle w:val="Heading1"/>
        <w:ind w:left="851" w:hanging="851"/>
      </w:pPr>
      <w:bookmarkStart w:id="1" w:name="_Recommendations"/>
      <w:bookmarkStart w:id="2" w:name="_Toc68877970"/>
      <w:bookmarkStart w:id="3" w:name="_Toc72504357"/>
      <w:bookmarkEnd w:id="1"/>
      <w:r>
        <w:lastRenderedPageBreak/>
        <w:t>Recommendations</w:t>
      </w:r>
      <w:bookmarkEnd w:id="2"/>
      <w:bookmarkEnd w:id="3"/>
    </w:p>
    <w:p w14:paraId="4CF532D8" w14:textId="77777777" w:rsidR="005B4148" w:rsidRPr="00287CD6" w:rsidRDefault="005B4148" w:rsidP="005B4148">
      <w:r w:rsidRPr="00287CD6">
        <w:t>The Environmental Compliance Regulatory Risk Review (the Review) recommends that:</w:t>
      </w:r>
    </w:p>
    <w:p w14:paraId="75AC7569" w14:textId="3991CED9" w:rsidR="005B4148" w:rsidRDefault="005B4148" w:rsidP="00866E73">
      <w:pPr>
        <w:pStyle w:val="ListParagraph"/>
        <w:numPr>
          <w:ilvl w:val="0"/>
          <w:numId w:val="12"/>
        </w:numPr>
        <w:spacing w:after="200" w:line="276" w:lineRule="auto"/>
        <w:contextualSpacing w:val="0"/>
      </w:pPr>
      <w:bookmarkStart w:id="4" w:name="_Hlk72320062"/>
      <w:r>
        <w:t xml:space="preserve">The Department initiate a comprehensive reform program of its environmental compliance functions </w:t>
      </w:r>
      <w:r w:rsidR="008835FA">
        <w:t>(</w:t>
      </w:r>
      <w:hyperlink w:anchor="_Attachment_A_–" w:history="1">
        <w:r w:rsidR="008835FA" w:rsidRPr="008835FA">
          <w:rPr>
            <w:rStyle w:val="Hyperlink"/>
          </w:rPr>
          <w:t>Attachment A</w:t>
        </w:r>
      </w:hyperlink>
      <w:r w:rsidR="008835FA">
        <w:t xml:space="preserve">) </w:t>
      </w:r>
      <w:r>
        <w:t>that addresses its governance, structure and resources, information management</w:t>
      </w:r>
      <w:r w:rsidR="00B03426">
        <w:t xml:space="preserve"> and intelligence</w:t>
      </w:r>
      <w:r>
        <w:t xml:space="preserve">, regulatory tools, approach to risk, prioritisation, </w:t>
      </w:r>
      <w:r w:rsidR="00C53AEC">
        <w:t xml:space="preserve">and </w:t>
      </w:r>
      <w:r>
        <w:t>stakeholder partnerships and engagement</w:t>
      </w:r>
      <w:r w:rsidR="044DAA8F">
        <w:t xml:space="preserve"> with the aim of developing environmental compliance as a model national approach (centre of </w:t>
      </w:r>
      <w:r w:rsidR="2D7282E7">
        <w:t>excellence</w:t>
      </w:r>
      <w:r w:rsidR="044DAA8F">
        <w:t>)</w:t>
      </w:r>
      <w:r w:rsidR="00F05B75">
        <w:t>.</w:t>
      </w:r>
    </w:p>
    <w:p w14:paraId="74214164" w14:textId="52C9BCC1" w:rsidR="005B4148" w:rsidRPr="0095268E" w:rsidRDefault="73C88863" w:rsidP="0095268E">
      <w:pPr>
        <w:pStyle w:val="Heading2"/>
      </w:pPr>
      <w:bookmarkStart w:id="5" w:name="_Toc72504358"/>
      <w:bookmarkEnd w:id="4"/>
      <w:r w:rsidRPr="0095268E">
        <w:t xml:space="preserve">Governance </w:t>
      </w:r>
      <w:r w:rsidR="473D8973" w:rsidRPr="0095268E">
        <w:t xml:space="preserve">and </w:t>
      </w:r>
      <w:r w:rsidR="56E715A1" w:rsidRPr="0095268E">
        <w:t>structure</w:t>
      </w:r>
      <w:bookmarkEnd w:id="5"/>
    </w:p>
    <w:p w14:paraId="42D6FE45" w14:textId="29B9259D" w:rsidR="005B4148" w:rsidRDefault="005B4148" w:rsidP="00866E73">
      <w:pPr>
        <w:pStyle w:val="ListParagraph"/>
        <w:numPr>
          <w:ilvl w:val="0"/>
          <w:numId w:val="12"/>
        </w:numPr>
        <w:spacing w:after="200" w:line="276" w:lineRule="auto"/>
        <w:contextualSpacing w:val="0"/>
      </w:pPr>
      <w:bookmarkStart w:id="6" w:name="_Hlk72322664"/>
      <w:r>
        <w:t xml:space="preserve">The Department </w:t>
      </w:r>
      <w:r w:rsidR="00DB2082">
        <w:t>maintain</w:t>
      </w:r>
      <w:r w:rsidR="34DFA630">
        <w:t xml:space="preserve"> a </w:t>
      </w:r>
      <w:r w:rsidR="007F1012">
        <w:t>robust</w:t>
      </w:r>
      <w:r w:rsidR="34DFA630">
        <w:t xml:space="preserve"> and dedicated focus on environmental compliance through the retention of </w:t>
      </w:r>
      <w:r w:rsidR="256BDCB1">
        <w:t>a</w:t>
      </w:r>
      <w:r w:rsidR="625D2C5D">
        <w:t xml:space="preserve"> specifically </w:t>
      </w:r>
      <w:r w:rsidR="249D5EF5">
        <w:t>identified</w:t>
      </w:r>
      <w:r w:rsidR="34DFA630">
        <w:t xml:space="preserve"> environmental compliance branch</w:t>
      </w:r>
      <w:r w:rsidR="00D829FA">
        <w:t>,</w:t>
      </w:r>
      <w:r w:rsidR="3A28275D">
        <w:t xml:space="preserve"> with strong executive</w:t>
      </w:r>
      <w:r w:rsidR="00347E5E">
        <w:t>-</w:t>
      </w:r>
      <w:r w:rsidR="3A28275D">
        <w:t>level governance</w:t>
      </w:r>
      <w:r w:rsidR="00F05B75">
        <w:t>.</w:t>
      </w:r>
    </w:p>
    <w:p w14:paraId="3019F768" w14:textId="77777777" w:rsidR="00FE5CC1" w:rsidRPr="00133153" w:rsidRDefault="00FE5CC1" w:rsidP="00866E73">
      <w:pPr>
        <w:pStyle w:val="ListParagraph"/>
        <w:numPr>
          <w:ilvl w:val="0"/>
          <w:numId w:val="12"/>
        </w:numPr>
        <w:spacing w:after="200" w:line="276" w:lineRule="auto"/>
        <w:contextualSpacing w:val="0"/>
      </w:pPr>
      <w:r>
        <w:t>T</w:t>
      </w:r>
      <w:r w:rsidRPr="0059637A">
        <w:t xml:space="preserve">o maintain a coherent focus on national environmental </w:t>
      </w:r>
      <w:r>
        <w:t>protection</w:t>
      </w:r>
      <w:r w:rsidRPr="0059637A">
        <w:t xml:space="preserve">, </w:t>
      </w:r>
      <w:r>
        <w:t xml:space="preserve">the Deputy Secretary responsible for </w:t>
      </w:r>
      <w:r w:rsidRPr="0059637A">
        <w:t xml:space="preserve">environmental compliance </w:t>
      </w:r>
      <w:r>
        <w:t>chair an Executive Committee comprised of First Assistant Secretaries</w:t>
      </w:r>
      <w:r w:rsidRPr="0059637A">
        <w:t xml:space="preserve"> </w:t>
      </w:r>
      <w:r>
        <w:t>responsible for</w:t>
      </w:r>
      <w:r w:rsidRPr="0059637A">
        <w:t xml:space="preserve"> the Department’s environmental policy</w:t>
      </w:r>
      <w:r>
        <w:t xml:space="preserve">, </w:t>
      </w:r>
      <w:r w:rsidRPr="0059637A">
        <w:t xml:space="preserve">program </w:t>
      </w:r>
      <w:r>
        <w:t xml:space="preserve">and compliance </w:t>
      </w:r>
      <w:r w:rsidRPr="0059637A">
        <w:t>areas</w:t>
      </w:r>
      <w:r>
        <w:t xml:space="preserve"> so that:</w:t>
      </w:r>
    </w:p>
    <w:p w14:paraId="6F3524D9" w14:textId="77777777" w:rsidR="00FE5CC1" w:rsidRPr="00E16E29" w:rsidRDefault="00FE5CC1" w:rsidP="00866E73">
      <w:pPr>
        <w:pStyle w:val="ListParagraph"/>
        <w:numPr>
          <w:ilvl w:val="0"/>
          <w:numId w:val="23"/>
        </w:numPr>
        <w:spacing w:after="200" w:line="276" w:lineRule="auto"/>
        <w:contextualSpacing w:val="0"/>
      </w:pPr>
      <w:r>
        <w:t>c</w:t>
      </w:r>
      <w:r w:rsidRPr="00E16E29">
        <w:t xml:space="preserve">ompliance </w:t>
      </w:r>
      <w:r>
        <w:t>is</w:t>
      </w:r>
      <w:r w:rsidRPr="00E16E29">
        <w:t xml:space="preserve"> </w:t>
      </w:r>
      <w:r>
        <w:t>managed</w:t>
      </w:r>
      <w:r w:rsidRPr="00E16E29">
        <w:t xml:space="preserve"> as an integral part of the program management cycle, using information generated through and feeding back into applications and approvals</w:t>
      </w:r>
      <w:r>
        <w:t xml:space="preserve"> to effectively inform department’s approval/permit management processes</w:t>
      </w:r>
    </w:p>
    <w:p w14:paraId="64D39164" w14:textId="77777777" w:rsidR="00FE5CC1" w:rsidRDefault="00FE5CC1" w:rsidP="00866E73">
      <w:pPr>
        <w:pStyle w:val="ListParagraph"/>
        <w:numPr>
          <w:ilvl w:val="0"/>
          <w:numId w:val="23"/>
        </w:numPr>
        <w:spacing w:after="200" w:line="276" w:lineRule="auto"/>
        <w:contextualSpacing w:val="0"/>
      </w:pPr>
      <w:r w:rsidRPr="00E16E29">
        <w:t>more effective relationships and operational linkages can be established and maintained with environmental policy and environmental program areas</w:t>
      </w:r>
      <w:r>
        <w:t xml:space="preserve"> (</w:t>
      </w:r>
      <w:r w:rsidRPr="00E16E29">
        <w:t xml:space="preserve">including </w:t>
      </w:r>
      <w:r>
        <w:t xml:space="preserve">through sharing </w:t>
      </w:r>
      <w:r w:rsidRPr="00E16E29">
        <w:t>data and intelligence</w:t>
      </w:r>
      <w:r>
        <w:t>)</w:t>
      </w:r>
    </w:p>
    <w:p w14:paraId="237D8D36" w14:textId="77777777" w:rsidR="00FE5CC1" w:rsidRPr="005E195F" w:rsidRDefault="00FE5CC1" w:rsidP="00866E73">
      <w:pPr>
        <w:pStyle w:val="ListParagraph"/>
        <w:numPr>
          <w:ilvl w:val="0"/>
          <w:numId w:val="23"/>
        </w:numPr>
        <w:spacing w:after="200" w:line="276" w:lineRule="auto"/>
        <w:contextualSpacing w:val="0"/>
      </w:pPr>
      <w:r>
        <w:t>the development of the regulatory risk dashboard (see Recommendation 5) is coordinated and supported</w:t>
      </w:r>
    </w:p>
    <w:p w14:paraId="362DCBF6" w14:textId="650D9962" w:rsidR="00FA0A92" w:rsidRDefault="00FE5CC1" w:rsidP="00866E73">
      <w:pPr>
        <w:pStyle w:val="ListParagraph"/>
        <w:numPr>
          <w:ilvl w:val="0"/>
          <w:numId w:val="23"/>
        </w:numPr>
        <w:spacing w:after="200" w:line="276" w:lineRule="auto"/>
        <w:contextualSpacing w:val="0"/>
      </w:pPr>
      <w:r>
        <w:t xml:space="preserve">compliance priorities and an </w:t>
      </w:r>
      <w:r w:rsidRPr="009E55F5">
        <w:t xml:space="preserve">Annual Compliance Plan (see Recommendation </w:t>
      </w:r>
      <w:r w:rsidR="00F35D60">
        <w:t>20</w:t>
      </w:r>
      <w:r w:rsidRPr="009E55F5">
        <w:t>)</w:t>
      </w:r>
      <w:r>
        <w:t xml:space="preserve"> can be developed and agreed with input from both program and compliance teams</w:t>
      </w:r>
    </w:p>
    <w:p w14:paraId="229F08F7" w14:textId="4D5D6146" w:rsidR="00FE5CC1" w:rsidRDefault="00FA0A92" w:rsidP="00866E73">
      <w:pPr>
        <w:pStyle w:val="ListParagraph"/>
        <w:numPr>
          <w:ilvl w:val="0"/>
          <w:numId w:val="23"/>
        </w:numPr>
        <w:spacing w:after="200" w:line="276" w:lineRule="auto"/>
        <w:contextualSpacing w:val="0"/>
      </w:pPr>
      <w:r>
        <w:t>implementation of these reforms is coordinated and monitored</w:t>
      </w:r>
      <w:r w:rsidR="00FE5CC1">
        <w:t>.</w:t>
      </w:r>
    </w:p>
    <w:p w14:paraId="628A36FE" w14:textId="65163340" w:rsidR="00600D18" w:rsidRPr="00413D30" w:rsidRDefault="00600D18" w:rsidP="00866E73">
      <w:pPr>
        <w:pStyle w:val="ListParagraph"/>
        <w:numPr>
          <w:ilvl w:val="0"/>
          <w:numId w:val="12"/>
        </w:numPr>
        <w:spacing w:after="200" w:line="276" w:lineRule="auto"/>
        <w:contextualSpacing w:val="0"/>
      </w:pPr>
      <w:r w:rsidRPr="00DF531C">
        <w:t xml:space="preserve">The Department immediately step up its executive-level reporting on environmental compliance matters to provide greater corporate visibility of this function, commencing with monthly reporting to the Deputy Secretary responsible for environmental compliance on monitoring, audit and enforcement activities across the legislative regimes, as well as progress on the recommended </w:t>
      </w:r>
      <w:r w:rsidR="00603CE4">
        <w:t xml:space="preserve">compliance-based </w:t>
      </w:r>
      <w:r w:rsidRPr="00DF531C">
        <w:t>business improvement reforms and insights into intelligence issues.</w:t>
      </w:r>
    </w:p>
    <w:p w14:paraId="063258E5" w14:textId="501F4255" w:rsidR="00EB0E89" w:rsidRDefault="00EB0E89" w:rsidP="00600D18">
      <w:pPr>
        <w:pStyle w:val="ListParagraph"/>
        <w:spacing w:after="200" w:line="276" w:lineRule="auto"/>
        <w:ind w:left="644"/>
        <w:contextualSpacing w:val="0"/>
      </w:pPr>
    </w:p>
    <w:p w14:paraId="767FAB0D" w14:textId="11D95000" w:rsidR="005B4148" w:rsidRDefault="185AC82E" w:rsidP="00866E73">
      <w:pPr>
        <w:pStyle w:val="ListParagraph"/>
        <w:numPr>
          <w:ilvl w:val="0"/>
          <w:numId w:val="12"/>
        </w:numPr>
        <w:spacing w:after="200" w:line="276" w:lineRule="auto"/>
        <w:contextualSpacing w:val="0"/>
      </w:pPr>
      <w:r>
        <w:t xml:space="preserve">The Department </w:t>
      </w:r>
      <w:r w:rsidR="0061732C">
        <w:t>allocate sufficient funds (</w:t>
      </w:r>
      <w:r w:rsidR="01DE49AF">
        <w:t>$</w:t>
      </w:r>
      <w:r w:rsidR="5C81FFCA">
        <w:t>2</w:t>
      </w:r>
      <w:r w:rsidR="01DE49AF">
        <w:t xml:space="preserve">00,000 </w:t>
      </w:r>
      <w:r w:rsidR="0061732C">
        <w:t>-</w:t>
      </w:r>
      <w:r w:rsidR="01DE49AF">
        <w:t xml:space="preserve"> $</w:t>
      </w:r>
      <w:r w:rsidR="3DFE9952">
        <w:t>3</w:t>
      </w:r>
      <w:r w:rsidR="01DE49AF">
        <w:t>00, 00</w:t>
      </w:r>
      <w:r w:rsidR="4C20F8DC">
        <w:t>0</w:t>
      </w:r>
      <w:r w:rsidR="0061732C">
        <w:t>)</w:t>
      </w:r>
      <w:r w:rsidR="5DDC92E2">
        <w:t xml:space="preserve"> for the Chief Risk Officer</w:t>
      </w:r>
      <w:r w:rsidR="01DE49AF">
        <w:t xml:space="preserve"> to undertake</w:t>
      </w:r>
      <w:r>
        <w:t xml:space="preserve"> a project to develop a </w:t>
      </w:r>
      <w:r w:rsidR="4A4D7FA1">
        <w:t>dedicated business</w:t>
      </w:r>
      <w:r w:rsidR="00B77FB4">
        <w:t>-</w:t>
      </w:r>
      <w:r w:rsidR="4A4D7FA1">
        <w:t xml:space="preserve">focused </w:t>
      </w:r>
      <w:r w:rsidR="00B77FB4">
        <w:t xml:space="preserve">regulatory </w:t>
      </w:r>
      <w:r w:rsidR="00F35D60">
        <w:t xml:space="preserve">risk </w:t>
      </w:r>
      <w:r>
        <w:t xml:space="preserve">dashboard </w:t>
      </w:r>
      <w:r w:rsidR="00B606F9">
        <w:t>to monitor</w:t>
      </w:r>
      <w:r>
        <w:t xml:space="preserve"> how risk is being managed across all environment</w:t>
      </w:r>
      <w:r w:rsidR="00E450FA">
        <w:t>al</w:t>
      </w:r>
      <w:r>
        <w:t xml:space="preserve"> legislative regimes</w:t>
      </w:r>
      <w:r w:rsidR="6CB5E73F">
        <w:t>,</w:t>
      </w:r>
      <w:r w:rsidR="009D61E0">
        <w:t xml:space="preserve"> for provision to</w:t>
      </w:r>
      <w:r w:rsidR="1BAC7CA2">
        <w:t xml:space="preserve"> the Executive Board </w:t>
      </w:r>
      <w:r w:rsidR="001915C3">
        <w:t>to ultimately</w:t>
      </w:r>
      <w:r w:rsidR="009E0F61">
        <w:t xml:space="preserve"> </w:t>
      </w:r>
      <w:r w:rsidR="6CB5E73F">
        <w:t xml:space="preserve">replace </w:t>
      </w:r>
      <w:r w:rsidR="001915C3">
        <w:t xml:space="preserve">the </w:t>
      </w:r>
      <w:r w:rsidR="6CB5E73F">
        <w:t xml:space="preserve">monthly reporting described in recommendation </w:t>
      </w:r>
      <w:r w:rsidR="00BE07E6">
        <w:t>4</w:t>
      </w:r>
      <w:r w:rsidR="00BA7BFD">
        <w:t>.</w:t>
      </w:r>
    </w:p>
    <w:p w14:paraId="7867D286" w14:textId="26676947" w:rsidR="0D7A3CD0" w:rsidRDefault="0D7A3CD0" w:rsidP="5558222C">
      <w:pPr>
        <w:pStyle w:val="Heading2"/>
        <w:rPr>
          <w:rFonts w:ascii="Calibri Light" w:eastAsia="Yu Gothic Light" w:hAnsi="Calibri Light" w:cs="Times New Roman"/>
        </w:rPr>
      </w:pPr>
      <w:bookmarkStart w:id="7" w:name="_Toc72504359"/>
      <w:bookmarkEnd w:id="6"/>
      <w:r>
        <w:t>Resources</w:t>
      </w:r>
      <w:bookmarkEnd w:id="7"/>
    </w:p>
    <w:p w14:paraId="029E8D87" w14:textId="5533530A" w:rsidR="005B4148" w:rsidRPr="002334B1" w:rsidRDefault="00443DE5" w:rsidP="00866E73">
      <w:pPr>
        <w:pStyle w:val="ListParagraph"/>
        <w:numPr>
          <w:ilvl w:val="0"/>
          <w:numId w:val="12"/>
        </w:numPr>
        <w:spacing w:after="200" w:line="276" w:lineRule="auto"/>
        <w:contextualSpacing w:val="0"/>
      </w:pPr>
      <w:r>
        <w:t>T</w:t>
      </w:r>
      <w:r w:rsidR="1C19D8F5">
        <w:t>o enable reforms to commence</w:t>
      </w:r>
      <w:r w:rsidR="003E07BC">
        <w:t>,</w:t>
      </w:r>
      <w:r w:rsidR="1C19D8F5">
        <w:t xml:space="preserve"> </w:t>
      </w:r>
      <w:r w:rsidR="4DB412AC">
        <w:t>t</w:t>
      </w:r>
      <w:r>
        <w:t>he</w:t>
      </w:r>
      <w:r w:rsidR="005B4148">
        <w:t xml:space="preserve"> Environment Compliance </w:t>
      </w:r>
      <w:r>
        <w:t>Branch</w:t>
      </w:r>
      <w:r w:rsidR="00523CDA">
        <w:t xml:space="preserve"> </w:t>
      </w:r>
      <w:r w:rsidR="50827CC9">
        <w:t>immediately fill all vacant positions</w:t>
      </w:r>
      <w:r w:rsidR="002F55AB">
        <w:t>,</w:t>
      </w:r>
      <w:r w:rsidR="50827CC9">
        <w:t xml:space="preserve"> including </w:t>
      </w:r>
      <w:r w:rsidR="60FB134E">
        <w:t>using</w:t>
      </w:r>
      <w:r w:rsidR="50827CC9">
        <w:t xml:space="preserve"> contractors </w:t>
      </w:r>
      <w:r w:rsidR="26929D92">
        <w:t>until positions can be permanently filled</w:t>
      </w:r>
      <w:r w:rsidR="00BA7BFD">
        <w:t>.</w:t>
      </w:r>
    </w:p>
    <w:p w14:paraId="0DBBF7CE" w14:textId="197ABC09" w:rsidR="005B4148" w:rsidRDefault="26929D92" w:rsidP="00866E73">
      <w:pPr>
        <w:pStyle w:val="ListParagraph"/>
        <w:numPr>
          <w:ilvl w:val="0"/>
          <w:numId w:val="12"/>
        </w:numPr>
        <w:spacing w:after="200" w:line="276" w:lineRule="auto"/>
        <w:contextualSpacing w:val="0"/>
      </w:pPr>
      <w:r>
        <w:t xml:space="preserve">Additional resources of </w:t>
      </w:r>
      <w:r w:rsidR="00413D30">
        <w:t>3-</w:t>
      </w:r>
      <w:r w:rsidR="516C4FFF">
        <w:t>4</w:t>
      </w:r>
      <w:r>
        <w:t xml:space="preserve"> staff re</w:t>
      </w:r>
      <w:r w:rsidR="65412812">
        <w:t>p</w:t>
      </w:r>
      <w:r>
        <w:t xml:space="preserve">orting </w:t>
      </w:r>
      <w:r w:rsidR="0048059E">
        <w:t xml:space="preserve">directly </w:t>
      </w:r>
      <w:r>
        <w:t xml:space="preserve">to the </w:t>
      </w:r>
      <w:r w:rsidR="003E07BC">
        <w:t>First Assistant Secretary</w:t>
      </w:r>
      <w:r>
        <w:t xml:space="preserve"> be provided </w:t>
      </w:r>
      <w:r w:rsidR="002D12E7">
        <w:t xml:space="preserve">to </w:t>
      </w:r>
      <w:r w:rsidR="00A60DD7">
        <w:t xml:space="preserve">establish a project management approach </w:t>
      </w:r>
      <w:r>
        <w:t xml:space="preserve">to </w:t>
      </w:r>
      <w:r w:rsidR="2CA56401">
        <w:t>implementing</w:t>
      </w:r>
      <w:r w:rsidR="04C808ED">
        <w:t xml:space="preserve"> </w:t>
      </w:r>
      <w:r w:rsidR="5B839D41">
        <w:t>the proposed reforms</w:t>
      </w:r>
      <w:r w:rsidR="008A3F23">
        <w:t>,</w:t>
      </w:r>
      <w:r w:rsidR="00927ACF">
        <w:t xml:space="preserve"> </w:t>
      </w:r>
      <w:r w:rsidR="008A3F23" w:rsidRPr="008A3F23">
        <w:t xml:space="preserve">coordinate procurement for the specific packages of work identified in this report </w:t>
      </w:r>
      <w:r w:rsidR="513DDE37" w:rsidRPr="008A3F23">
        <w:t>a</w:t>
      </w:r>
      <w:r w:rsidR="513DDE37">
        <w:t xml:space="preserve">nd </w:t>
      </w:r>
      <w:r w:rsidR="2E941DF0">
        <w:t>provid</w:t>
      </w:r>
      <w:r w:rsidR="697017C3">
        <w:t>e</w:t>
      </w:r>
      <w:r w:rsidR="2E941DF0">
        <w:t xml:space="preserve"> initial </w:t>
      </w:r>
      <w:r w:rsidR="00927ACF">
        <w:t>s</w:t>
      </w:r>
      <w:r w:rsidR="500A3672">
        <w:t>ecretariat</w:t>
      </w:r>
      <w:r w:rsidR="2E941DF0">
        <w:t xml:space="preserve"> support </w:t>
      </w:r>
      <w:r w:rsidR="00E11C87">
        <w:t xml:space="preserve">for </w:t>
      </w:r>
      <w:r w:rsidR="16A5E746">
        <w:t>prepa</w:t>
      </w:r>
      <w:r w:rsidR="00E11C87">
        <w:t>ring</w:t>
      </w:r>
      <w:r w:rsidR="70E6EEF7">
        <w:t xml:space="preserve"> papers for the</w:t>
      </w:r>
      <w:r w:rsidR="2E941DF0">
        <w:t xml:space="preserve"> </w:t>
      </w:r>
      <w:r w:rsidR="00545650">
        <w:t>Executive Committee</w:t>
      </w:r>
      <w:r w:rsidR="2E941DF0">
        <w:t xml:space="preserve"> </w:t>
      </w:r>
      <w:r w:rsidR="00545650">
        <w:t>described in Recommendation 3</w:t>
      </w:r>
      <w:r w:rsidR="00BA7BFD">
        <w:t>.</w:t>
      </w:r>
    </w:p>
    <w:p w14:paraId="675EA584" w14:textId="13D07F70" w:rsidR="007C2B44" w:rsidRDefault="007C2B44" w:rsidP="00866E73">
      <w:pPr>
        <w:pStyle w:val="ListParagraph"/>
        <w:numPr>
          <w:ilvl w:val="0"/>
          <w:numId w:val="12"/>
        </w:numPr>
        <w:spacing w:after="200" w:line="276" w:lineRule="auto"/>
      </w:pPr>
      <w:r w:rsidRPr="007C2B44">
        <w:t xml:space="preserve">A small team be </w:t>
      </w:r>
      <w:r w:rsidR="00F44F4A">
        <w:t>contracted</w:t>
      </w:r>
      <w:r w:rsidRPr="007C2B44">
        <w:t xml:space="preserve"> to work with </w:t>
      </w:r>
      <w:r w:rsidR="005E3F54">
        <w:t>senior compliance staff</w:t>
      </w:r>
      <w:r w:rsidRPr="007C2B44">
        <w:t xml:space="preserve"> to develop some interactive </w:t>
      </w:r>
      <w:r w:rsidR="00B95A7D">
        <w:t xml:space="preserve">compliance </w:t>
      </w:r>
      <w:r w:rsidRPr="007C2B44">
        <w:t xml:space="preserve">training modules and where possible this team work with </w:t>
      </w:r>
      <w:r w:rsidR="00B95A7D">
        <w:t>s</w:t>
      </w:r>
      <w:r w:rsidRPr="007C2B44">
        <w:t xml:space="preserve">tate and </w:t>
      </w:r>
      <w:r w:rsidR="00B95A7D">
        <w:t>t</w:t>
      </w:r>
      <w:r w:rsidRPr="007C2B44">
        <w:t>erritory counterparts to draw on their expertise and training material</w:t>
      </w:r>
      <w:r w:rsidR="00B95A7D">
        <w:t>s</w:t>
      </w:r>
      <w:r w:rsidRPr="007C2B44">
        <w:t>.</w:t>
      </w:r>
    </w:p>
    <w:p w14:paraId="52AD28F3" w14:textId="77777777" w:rsidR="007C2B44" w:rsidRPr="007C2B44" w:rsidRDefault="007C2B44" w:rsidP="007C2B44">
      <w:pPr>
        <w:pStyle w:val="ListParagraph"/>
        <w:spacing w:after="200" w:line="276" w:lineRule="auto"/>
        <w:ind w:left="644"/>
      </w:pPr>
    </w:p>
    <w:p w14:paraId="3500A4C7" w14:textId="536C9F70" w:rsidR="007C2B44" w:rsidRPr="007C2B44" w:rsidRDefault="007C2B44" w:rsidP="00866E73">
      <w:pPr>
        <w:pStyle w:val="ListParagraph"/>
        <w:numPr>
          <w:ilvl w:val="0"/>
          <w:numId w:val="12"/>
        </w:numPr>
        <w:spacing w:after="200" w:line="276" w:lineRule="auto"/>
      </w:pPr>
      <w:r w:rsidRPr="007C2B44">
        <w:t xml:space="preserve">A panel of subject matter </w:t>
      </w:r>
      <w:r w:rsidR="00822B51">
        <w:t xml:space="preserve">experts </w:t>
      </w:r>
      <w:r w:rsidR="00396F9B">
        <w:t xml:space="preserve">and </w:t>
      </w:r>
      <w:r w:rsidR="00822B51">
        <w:t xml:space="preserve">a panel of </w:t>
      </w:r>
      <w:r w:rsidRPr="007C2B44">
        <w:t>compliance experts be established upon wh</w:t>
      </w:r>
      <w:r w:rsidR="00B95A7D">
        <w:t>om</w:t>
      </w:r>
      <w:r w:rsidRPr="007C2B44">
        <w:t xml:space="preserve"> the Department can draw to assist with inspections, audits and investigations, particularly where on</w:t>
      </w:r>
      <w:r w:rsidR="00F41361">
        <w:t>-</w:t>
      </w:r>
      <w:r w:rsidRPr="007C2B44">
        <w:t>the</w:t>
      </w:r>
      <w:r w:rsidR="00F41361">
        <w:t>-</w:t>
      </w:r>
      <w:r w:rsidRPr="007C2B44">
        <w:t>ground site visits are needed and there is interaction with specific industry officials.</w:t>
      </w:r>
    </w:p>
    <w:p w14:paraId="249A1374" w14:textId="399FDEBD" w:rsidR="005B4148" w:rsidRPr="00F140E1" w:rsidRDefault="005B4148" w:rsidP="4EFA8121">
      <w:pPr>
        <w:pStyle w:val="Heading2"/>
        <w:rPr>
          <w:rFonts w:ascii="Calibri Light" w:eastAsia="Yu Gothic Light" w:hAnsi="Calibri Light" w:cs="Times New Roman"/>
        </w:rPr>
      </w:pPr>
      <w:bookmarkStart w:id="8" w:name="_Toc72504360"/>
      <w:r>
        <w:t>Information management</w:t>
      </w:r>
      <w:r w:rsidR="007C23EE">
        <w:t xml:space="preserve"> and </w:t>
      </w:r>
      <w:r w:rsidR="00A1175F">
        <w:t>s</w:t>
      </w:r>
      <w:r w:rsidR="166CC0C2">
        <w:t>ystems</w:t>
      </w:r>
      <w:bookmarkEnd w:id="8"/>
    </w:p>
    <w:p w14:paraId="226220FC" w14:textId="45329902" w:rsidR="005B4148" w:rsidRDefault="007F41C7" w:rsidP="00866E73">
      <w:pPr>
        <w:pStyle w:val="ListParagraph"/>
        <w:numPr>
          <w:ilvl w:val="0"/>
          <w:numId w:val="12"/>
        </w:numPr>
        <w:spacing w:after="200" w:line="276" w:lineRule="auto"/>
        <w:contextualSpacing w:val="0"/>
      </w:pPr>
      <w:bookmarkStart w:id="9" w:name="_Hlk72401305"/>
      <w:r>
        <w:t>I</w:t>
      </w:r>
      <w:r w:rsidR="005B4148">
        <w:t xml:space="preserve">nvestment into information systems </w:t>
      </w:r>
      <w:r w:rsidR="00763280">
        <w:t>to support</w:t>
      </w:r>
      <w:r w:rsidR="00906C03">
        <w:t xml:space="preserve"> activities relating to</w:t>
      </w:r>
      <w:r w:rsidR="005B4148">
        <w:t xml:space="preserve"> environment</w:t>
      </w:r>
      <w:r w:rsidR="00906C03">
        <w:t>al</w:t>
      </w:r>
      <w:r w:rsidR="005B4148">
        <w:t xml:space="preserve"> compliance occur in three stages, with strong executive</w:t>
      </w:r>
      <w:r w:rsidR="00906C03">
        <w:t>-</w:t>
      </w:r>
      <w:r w:rsidR="005B4148">
        <w:t>level oversight to ensure</w:t>
      </w:r>
      <w:r w:rsidR="00906C03">
        <w:t xml:space="preserve"> and promote</w:t>
      </w:r>
      <w:r w:rsidR="005B4148">
        <w:t xml:space="preserve"> interoperability with other systems in the Department:</w:t>
      </w:r>
    </w:p>
    <w:p w14:paraId="4124B679" w14:textId="12BF924B" w:rsidR="00EB03AA" w:rsidRPr="00604F6F" w:rsidRDefault="00A847F2" w:rsidP="00A847F2">
      <w:pPr>
        <w:pStyle w:val="ListParagraph"/>
        <w:spacing w:after="200" w:line="276" w:lineRule="auto"/>
        <w:ind w:left="360"/>
        <w:contextualSpacing w:val="0"/>
      </w:pPr>
      <w:r>
        <w:t>Stage one</w:t>
      </w:r>
    </w:p>
    <w:p w14:paraId="29983718" w14:textId="04B032F8" w:rsidR="005B4148" w:rsidRPr="00604F6F" w:rsidRDefault="00020F96" w:rsidP="00866E73">
      <w:pPr>
        <w:pStyle w:val="ListParagraph"/>
        <w:numPr>
          <w:ilvl w:val="1"/>
          <w:numId w:val="12"/>
        </w:numPr>
        <w:spacing w:after="200" w:line="276" w:lineRule="auto"/>
        <w:contextualSpacing w:val="0"/>
      </w:pPr>
      <w:r>
        <w:t>c</w:t>
      </w:r>
      <w:r w:rsidR="00006E44">
        <w:t>ontinue</w:t>
      </w:r>
      <w:r w:rsidR="005B4148">
        <w:t xml:space="preserve"> implementation of the Compliance Intelligence and </w:t>
      </w:r>
      <w:r>
        <w:t>Information</w:t>
      </w:r>
      <w:r w:rsidR="005B4148">
        <w:t xml:space="preserve"> Management System (CIIMS) currently being </w:t>
      </w:r>
      <w:r>
        <w:t>procured</w:t>
      </w:r>
      <w:r w:rsidR="005B4148">
        <w:t xml:space="preserve"> by the Environment Compliance Branch to support compliance functions across all legislation that the environmental compliance team needs to administer</w:t>
      </w:r>
    </w:p>
    <w:p w14:paraId="1D41F203" w14:textId="4368EAAD" w:rsidR="00DB6C68" w:rsidRDefault="002E4FC8" w:rsidP="00866E73">
      <w:pPr>
        <w:pStyle w:val="ListParagraph"/>
        <w:numPr>
          <w:ilvl w:val="1"/>
          <w:numId w:val="12"/>
        </w:numPr>
        <w:spacing w:after="200" w:line="276" w:lineRule="auto"/>
        <w:contextualSpacing w:val="0"/>
      </w:pPr>
      <w:r>
        <w:t>r</w:t>
      </w:r>
      <w:r w:rsidR="005B4148">
        <w:t xml:space="preserve">eview and update </w:t>
      </w:r>
      <w:r w:rsidR="00DB6C68">
        <w:t>the National Environmental Significance and Threat Risk Assessment (</w:t>
      </w:r>
      <w:r w:rsidR="005B4148">
        <w:t>NESTRA</w:t>
      </w:r>
      <w:r w:rsidR="00DB6C68">
        <w:t>) tool</w:t>
      </w:r>
    </w:p>
    <w:p w14:paraId="3BCAF2BB" w14:textId="77777777" w:rsidR="00C12419" w:rsidRDefault="00C12419">
      <w:r>
        <w:br w:type="page"/>
      </w:r>
    </w:p>
    <w:p w14:paraId="2AFFD49A" w14:textId="0C8A96E1" w:rsidR="00A847F2" w:rsidRDefault="00A847F2" w:rsidP="00A847F2">
      <w:pPr>
        <w:pStyle w:val="ListParagraph"/>
        <w:spacing w:after="200" w:line="276" w:lineRule="auto"/>
        <w:ind w:left="360"/>
        <w:contextualSpacing w:val="0"/>
      </w:pPr>
      <w:r>
        <w:lastRenderedPageBreak/>
        <w:t>Stage two</w:t>
      </w:r>
    </w:p>
    <w:p w14:paraId="4F865B80" w14:textId="4616C3DD" w:rsidR="005B4148" w:rsidRDefault="005B4148" w:rsidP="00866E73">
      <w:pPr>
        <w:pStyle w:val="ListParagraph"/>
        <w:numPr>
          <w:ilvl w:val="1"/>
          <w:numId w:val="12"/>
        </w:numPr>
        <w:spacing w:after="200" w:line="276" w:lineRule="auto"/>
        <w:contextualSpacing w:val="0"/>
      </w:pPr>
      <w:r>
        <w:t>build preliminary compliance requirements into the development of the Digital Environmental Assessment Program (DEAP), with a particular focus on inclusion of fields for proponent compliance history, and for managing compliance reports required from proponents as part of their conditions of approval</w:t>
      </w:r>
    </w:p>
    <w:p w14:paraId="7264E1C7" w14:textId="7DC28FE3" w:rsidR="00A847F2" w:rsidRDefault="00285C5D" w:rsidP="00866E73">
      <w:pPr>
        <w:pStyle w:val="ListParagraph"/>
        <w:numPr>
          <w:ilvl w:val="1"/>
          <w:numId w:val="12"/>
        </w:numPr>
        <w:spacing w:after="200" w:line="276" w:lineRule="auto"/>
        <w:contextualSpacing w:val="0"/>
      </w:pPr>
      <w:r>
        <w:t xml:space="preserve">identify the information </w:t>
      </w:r>
      <w:r w:rsidR="00327983">
        <w:t>management requirements</w:t>
      </w:r>
      <w:r>
        <w:t xml:space="preserve"> for effective compliance monitoring</w:t>
      </w:r>
      <w:r w:rsidR="00B2101A">
        <w:t xml:space="preserve"> and enforcement</w:t>
      </w:r>
      <w:r>
        <w:t xml:space="preserve"> </w:t>
      </w:r>
      <w:r w:rsidR="00585D8F">
        <w:t xml:space="preserve">under the </w:t>
      </w:r>
      <w:r w:rsidR="00585D8F" w:rsidRPr="00987E89">
        <w:rPr>
          <w:i/>
          <w:iCs/>
        </w:rPr>
        <w:t>Environment Protection (Sea Dumping) Act 1981</w:t>
      </w:r>
      <w:r>
        <w:t xml:space="preserve"> </w:t>
      </w:r>
      <w:r w:rsidR="0098679D">
        <w:t xml:space="preserve">and </w:t>
      </w:r>
      <w:r w:rsidR="00B66A8B">
        <w:t>how existing or planned systems can capture and use this information</w:t>
      </w:r>
    </w:p>
    <w:p w14:paraId="5ADC7D3F" w14:textId="618523A6" w:rsidR="00A847F2" w:rsidRPr="00604F6F" w:rsidRDefault="00A847F2" w:rsidP="00A847F2">
      <w:pPr>
        <w:pStyle w:val="ListParagraph"/>
        <w:spacing w:after="200" w:line="276" w:lineRule="auto"/>
        <w:ind w:left="360"/>
        <w:contextualSpacing w:val="0"/>
      </w:pPr>
      <w:r>
        <w:t>Stage three</w:t>
      </w:r>
    </w:p>
    <w:p w14:paraId="707117C9" w14:textId="32E1A6B4" w:rsidR="005B4148" w:rsidRDefault="00CF21FF" w:rsidP="00866E73">
      <w:pPr>
        <w:pStyle w:val="ListParagraph"/>
        <w:numPr>
          <w:ilvl w:val="1"/>
          <w:numId w:val="12"/>
        </w:numPr>
        <w:spacing w:after="200" w:line="276" w:lineRule="auto"/>
        <w:contextualSpacing w:val="0"/>
      </w:pPr>
      <w:r>
        <w:t>m</w:t>
      </w:r>
      <w:r w:rsidR="005B4148">
        <w:t>ore fully integrate the Portal and Assessments System and the compliance systems to leverage the data to generate better management reporting (including to Parliament), link with other intelligence agencies and undertake strategic planning</w:t>
      </w:r>
    </w:p>
    <w:p w14:paraId="15C51A6A" w14:textId="12235626" w:rsidR="00285C5D" w:rsidRDefault="00B57D9A" w:rsidP="00866E73">
      <w:pPr>
        <w:pStyle w:val="ListParagraph"/>
        <w:numPr>
          <w:ilvl w:val="1"/>
          <w:numId w:val="12"/>
        </w:numPr>
        <w:spacing w:after="200" w:line="276" w:lineRule="auto"/>
        <w:contextualSpacing w:val="0"/>
      </w:pPr>
      <w:r>
        <w:t>develop data warehousing and data mining capabilities to better inform policy development, program administration</w:t>
      </w:r>
      <w:r w:rsidR="00EF34E2">
        <w:t xml:space="preserve"> (including compliance) and intelligence</w:t>
      </w:r>
      <w:r w:rsidR="00BA7BFD">
        <w:t>.</w:t>
      </w:r>
    </w:p>
    <w:p w14:paraId="3DAA7580" w14:textId="4F1398E9" w:rsidR="005B4148" w:rsidRPr="00874ADA" w:rsidRDefault="005B4148" w:rsidP="005B4148">
      <w:pPr>
        <w:pStyle w:val="Heading2"/>
        <w:ind w:left="851" w:hanging="851"/>
      </w:pPr>
      <w:bookmarkStart w:id="10" w:name="_Toc72504361"/>
      <w:bookmarkEnd w:id="9"/>
      <w:r>
        <w:t xml:space="preserve">Risk </w:t>
      </w:r>
      <w:r w:rsidR="746F4662">
        <w:t xml:space="preserve">and </w:t>
      </w:r>
      <w:r>
        <w:t>prioritisation</w:t>
      </w:r>
      <w:bookmarkEnd w:id="10"/>
      <w:r>
        <w:t xml:space="preserve"> </w:t>
      </w:r>
    </w:p>
    <w:p w14:paraId="40AA29B6" w14:textId="4F161BEF" w:rsidR="00DF5F68" w:rsidRPr="00CF3393" w:rsidRDefault="00F44F4A" w:rsidP="00866E73">
      <w:pPr>
        <w:pStyle w:val="ListParagraph"/>
        <w:numPr>
          <w:ilvl w:val="0"/>
          <w:numId w:val="12"/>
        </w:numPr>
        <w:spacing w:after="200" w:line="276" w:lineRule="auto"/>
        <w:contextualSpacing w:val="0"/>
      </w:pPr>
      <w:r w:rsidRPr="00F44F4A">
        <w:rPr>
          <w:rFonts w:eastAsiaTheme="minorEastAsia"/>
          <w:lang w:val="en-US"/>
        </w:rPr>
        <w:t>The Department establish a project costing around $300,000 to engage personnel to clear the backlog of reviewing, assessing, and undertaking follow-up action for the outstanding EPBC management reports</w:t>
      </w:r>
      <w:r w:rsidR="00DF5F68">
        <w:t xml:space="preserve"> and </w:t>
      </w:r>
      <w:r w:rsidR="00481B04">
        <w:t xml:space="preserve">to </w:t>
      </w:r>
      <w:r w:rsidR="00DF5F68">
        <w:t>establish a framework for more timely future review, follow</w:t>
      </w:r>
      <w:r w:rsidR="000E0BC6">
        <w:t>-</w:t>
      </w:r>
      <w:r w:rsidR="00DF5F68">
        <w:t>up and action</w:t>
      </w:r>
      <w:r w:rsidR="003B256B">
        <w:t>.</w:t>
      </w:r>
    </w:p>
    <w:p w14:paraId="7DC77589" w14:textId="77777777" w:rsidR="003C14D9" w:rsidRPr="00086E96" w:rsidRDefault="003C14D9" w:rsidP="00866E73">
      <w:pPr>
        <w:pStyle w:val="ListParagraph"/>
        <w:numPr>
          <w:ilvl w:val="0"/>
          <w:numId w:val="12"/>
        </w:numPr>
        <w:spacing w:after="200" w:line="276" w:lineRule="auto"/>
        <w:contextualSpacing w:val="0"/>
        <w:rPr>
          <w:rFonts w:eastAsiaTheme="minorEastAsia"/>
          <w:lang w:val="en-US"/>
        </w:rPr>
      </w:pPr>
      <w:r w:rsidRPr="00086E96">
        <w:rPr>
          <w:rFonts w:eastAsiaTheme="minorEastAsia"/>
          <w:lang w:val="en-US"/>
        </w:rPr>
        <w:t>The Department design a program-based audit process to assess the effectiveness of regularly applied conditions (such as offsets), in terms of adherence and achievement of positive environmental outcomes. The Department establish a project to significantly strengthen ECB’s approach to monitoring approval conditions including:</w:t>
      </w:r>
    </w:p>
    <w:p w14:paraId="67F50E4A" w14:textId="77777777" w:rsidR="003C14D9" w:rsidRPr="00086E96" w:rsidRDefault="003C14D9" w:rsidP="00866E73">
      <w:pPr>
        <w:pStyle w:val="ListParagraph"/>
        <w:numPr>
          <w:ilvl w:val="0"/>
          <w:numId w:val="23"/>
        </w:numPr>
        <w:spacing w:after="200" w:line="276" w:lineRule="auto"/>
        <w:contextualSpacing w:val="0"/>
      </w:pPr>
      <w:r w:rsidRPr="00086E96">
        <w:t xml:space="preserve">Grouping like conditions and reviewing these as programs of work to form a view on how these conditions are being met overall. </w:t>
      </w:r>
    </w:p>
    <w:p w14:paraId="3F322119" w14:textId="77777777" w:rsidR="003C14D9" w:rsidRPr="00086E96" w:rsidRDefault="003C14D9" w:rsidP="00866E73">
      <w:pPr>
        <w:pStyle w:val="ListParagraph"/>
        <w:numPr>
          <w:ilvl w:val="0"/>
          <w:numId w:val="23"/>
        </w:numPr>
        <w:spacing w:after="200" w:line="276" w:lineRule="auto"/>
        <w:contextualSpacing w:val="0"/>
      </w:pPr>
      <w:r w:rsidRPr="00086E96">
        <w:t>Identifying the extent to which these kinds of conditions are or can be met.</w:t>
      </w:r>
    </w:p>
    <w:p w14:paraId="5012FF64" w14:textId="77777777" w:rsidR="00152925" w:rsidRDefault="00152925" w:rsidP="00866E73">
      <w:pPr>
        <w:pStyle w:val="ListParagraph"/>
        <w:numPr>
          <w:ilvl w:val="0"/>
          <w:numId w:val="12"/>
        </w:numPr>
        <w:spacing w:after="200" w:line="276" w:lineRule="auto"/>
        <w:contextualSpacing w:val="0"/>
      </w:pPr>
      <w:r>
        <w:t xml:space="preserve">The Department urgently finalise inspection and monitoring arrangements with states and territories for shipwrecks managed under the </w:t>
      </w:r>
      <w:r w:rsidRPr="00BC009A">
        <w:rPr>
          <w:i/>
          <w:iCs/>
        </w:rPr>
        <w:t>Underwater Cultural Heritage Act 2018</w:t>
      </w:r>
      <w:r>
        <w:t>, and clarify responsibilities for investigations to enable timely engagement of an investigator when necessary.</w:t>
      </w:r>
    </w:p>
    <w:p w14:paraId="03DC8D40" w14:textId="5C7BDD70" w:rsidR="00152925" w:rsidRPr="00D622C6" w:rsidRDefault="00152925" w:rsidP="00866E73">
      <w:pPr>
        <w:pStyle w:val="ListParagraph"/>
        <w:numPr>
          <w:ilvl w:val="0"/>
          <w:numId w:val="12"/>
        </w:numPr>
        <w:spacing w:after="200" w:line="276" w:lineRule="auto"/>
        <w:contextualSpacing w:val="0"/>
      </w:pPr>
      <w:r>
        <w:lastRenderedPageBreak/>
        <w:t>The Department undertake a strategic intelligence review of the illegal export of hazardous waste, to identify the level of compliance resources needed to mitigate risk and to build stronger relationships with Australian Border Force to plan for ongoing monitoring and enforcement</w:t>
      </w:r>
      <w:r w:rsidR="00D622C6">
        <w:t xml:space="preserve"> </w:t>
      </w:r>
      <w:r w:rsidR="00D622C6" w:rsidRPr="00D622C6">
        <w:t>on which compliance arrangements rely to be fully effective</w:t>
      </w:r>
      <w:r w:rsidRPr="00D622C6">
        <w:t>.</w:t>
      </w:r>
    </w:p>
    <w:p w14:paraId="3F2395A2" w14:textId="7B550771" w:rsidR="00152925" w:rsidRDefault="00152925" w:rsidP="00866E73">
      <w:pPr>
        <w:pStyle w:val="ListParagraph"/>
        <w:numPr>
          <w:ilvl w:val="0"/>
          <w:numId w:val="12"/>
        </w:numPr>
        <w:spacing w:after="200" w:line="276" w:lineRule="auto"/>
        <w:contextualSpacing w:val="0"/>
      </w:pPr>
      <w:r>
        <w:t xml:space="preserve">Program-specific compliance plans that identify roles and responsibilities and prioritisation arrangements for the </w:t>
      </w:r>
      <w:r w:rsidRPr="00646561">
        <w:rPr>
          <w:i/>
          <w:iCs/>
        </w:rPr>
        <w:t>Ozone and Synthetic Greenhouse Gas Management Act 1989</w:t>
      </w:r>
      <w:r>
        <w:t xml:space="preserve">, the </w:t>
      </w:r>
      <w:r w:rsidRPr="00646561">
        <w:rPr>
          <w:i/>
          <w:iCs/>
        </w:rPr>
        <w:t>Product Emissions Standards Act 2017</w:t>
      </w:r>
      <w:r>
        <w:t xml:space="preserve"> and the </w:t>
      </w:r>
      <w:r w:rsidRPr="00646561">
        <w:rPr>
          <w:i/>
          <w:iCs/>
        </w:rPr>
        <w:t>Recycling and Waste Reduction Act 2020</w:t>
      </w:r>
      <w:r>
        <w:t xml:space="preserve"> be developed for endorsement by the Executive Committee identified in Recommendation </w:t>
      </w:r>
      <w:r w:rsidR="008A701D">
        <w:t>3</w:t>
      </w:r>
      <w:r>
        <w:t>.</w:t>
      </w:r>
    </w:p>
    <w:p w14:paraId="53304955" w14:textId="77777777" w:rsidR="00152925" w:rsidRDefault="00152925" w:rsidP="00866E73">
      <w:pPr>
        <w:pStyle w:val="ListParagraph"/>
        <w:numPr>
          <w:ilvl w:val="0"/>
          <w:numId w:val="12"/>
        </w:numPr>
        <w:spacing w:after="200" w:line="276" w:lineRule="auto"/>
        <w:contextualSpacing w:val="0"/>
      </w:pPr>
      <w:r>
        <w:t>The Department establish a short-term project to undertake a risk assessment of categories of permit holders</w:t>
      </w:r>
      <w:r w:rsidRPr="009D1A4B">
        <w:t xml:space="preserve"> </w:t>
      </w:r>
      <w:r>
        <w:t xml:space="preserve">under the </w:t>
      </w:r>
      <w:r w:rsidRPr="00987E89">
        <w:rPr>
          <w:i/>
          <w:iCs/>
        </w:rPr>
        <w:t>Environment Protection (Sea Dumping) Act 1981</w:t>
      </w:r>
      <w:r>
        <w:t>, address recommendations from the recent internal audit, clearly establish compliance roles and responsibilities and design an ongoing compliance activities.</w:t>
      </w:r>
    </w:p>
    <w:p w14:paraId="3FB8C604" w14:textId="210E9B10" w:rsidR="00946A84" w:rsidRPr="00A1175F" w:rsidRDefault="00946A84" w:rsidP="00866E73">
      <w:pPr>
        <w:pStyle w:val="ListParagraph"/>
        <w:numPr>
          <w:ilvl w:val="0"/>
          <w:numId w:val="12"/>
        </w:numPr>
        <w:spacing w:after="200" w:line="276" w:lineRule="auto"/>
        <w:contextualSpacing w:val="0"/>
      </w:pPr>
      <w:r>
        <w:t xml:space="preserve">The Department establish a project with dedicated funding ($300,000) to </w:t>
      </w:r>
      <w:r w:rsidR="00BC1CFA">
        <w:t>design and plan</w:t>
      </w:r>
      <w:r>
        <w:t xml:space="preserve"> its intelligence capability at both the operational (supporting effective monitoring, enforcement, risk assessment</w:t>
      </w:r>
      <w:r w:rsidRPr="00EB7940">
        <w:t xml:space="preserve"> </w:t>
      </w:r>
      <w:r>
        <w:t>and prioritisation) and strategic (identifying emerging domestic and international trends relevant to compliance and enforcement) levels.</w:t>
      </w:r>
    </w:p>
    <w:p w14:paraId="2E916C02" w14:textId="423A3562" w:rsidR="00946A84" w:rsidRPr="00C12419" w:rsidRDefault="00946A84" w:rsidP="00866E73">
      <w:pPr>
        <w:pStyle w:val="ListParagraph"/>
        <w:numPr>
          <w:ilvl w:val="0"/>
          <w:numId w:val="12"/>
        </w:numPr>
        <w:spacing w:after="200" w:line="276" w:lineRule="auto"/>
        <w:contextualSpacing w:val="0"/>
      </w:pPr>
      <w:r>
        <w:t xml:space="preserve">The Department establish a short-term dedicated project team of 2-3 staff to develop a prioritisation framework that can be used to establish </w:t>
      </w:r>
      <w:r w:rsidRPr="00C12419">
        <w:t xml:space="preserve">priorities across all relevant environmental legislation to inform the development of the Annual Compliance Plan (Recommendation </w:t>
      </w:r>
      <w:r w:rsidR="00602F52">
        <w:t>20</w:t>
      </w:r>
      <w:r w:rsidRPr="00C12419">
        <w:t>), which:</w:t>
      </w:r>
    </w:p>
    <w:p w14:paraId="1BE9596D" w14:textId="77777777" w:rsidR="00946A84" w:rsidRDefault="00946A84" w:rsidP="00866E73">
      <w:pPr>
        <w:pStyle w:val="ListParagraph"/>
        <w:numPr>
          <w:ilvl w:val="0"/>
          <w:numId w:val="23"/>
        </w:numPr>
        <w:spacing w:after="200" w:line="276" w:lineRule="auto"/>
        <w:contextualSpacing w:val="0"/>
      </w:pPr>
      <w:r>
        <w:t xml:space="preserve">Consults in detail with program areas to define sectors at a level of granularity (eg land clearing not just agriculture, quarries not just mining) to enable associated risks to be clearly identified and a program of compliance action to be identified </w:t>
      </w:r>
    </w:p>
    <w:p w14:paraId="62187620" w14:textId="77777777" w:rsidR="00946A84" w:rsidRDefault="00946A84" w:rsidP="00866E73">
      <w:pPr>
        <w:pStyle w:val="ListParagraph"/>
        <w:numPr>
          <w:ilvl w:val="0"/>
          <w:numId w:val="23"/>
        </w:numPr>
        <w:spacing w:after="200" w:line="276" w:lineRule="auto"/>
        <w:contextualSpacing w:val="0"/>
      </w:pPr>
      <w:r>
        <w:t>Draws on aggregated program data such as the number of like conditions, numbers of management reports required relating to a certain topic, compliance history of an entity, the level of geographic coverage, proximity to population or known threatened species</w:t>
      </w:r>
    </w:p>
    <w:p w14:paraId="5F78870F" w14:textId="77777777" w:rsidR="00946A84" w:rsidRDefault="00946A84" w:rsidP="00866E73">
      <w:pPr>
        <w:pStyle w:val="ListParagraph"/>
        <w:numPr>
          <w:ilvl w:val="0"/>
          <w:numId w:val="23"/>
        </w:numPr>
        <w:spacing w:after="200" w:line="276" w:lineRule="auto"/>
        <w:contextualSpacing w:val="0"/>
      </w:pPr>
      <w:r>
        <w:t>Develops a rating system that enables sectors to be scored so work can be prioritised and resources transparently allocated</w:t>
      </w:r>
    </w:p>
    <w:p w14:paraId="2DE237B2" w14:textId="77777777" w:rsidR="00946A84" w:rsidRDefault="00946A84" w:rsidP="00866E73">
      <w:pPr>
        <w:pStyle w:val="ListParagraph"/>
        <w:numPr>
          <w:ilvl w:val="0"/>
          <w:numId w:val="23"/>
        </w:numPr>
        <w:spacing w:after="200" w:line="276" w:lineRule="auto"/>
        <w:contextualSpacing w:val="0"/>
      </w:pPr>
      <w:r>
        <w:t xml:space="preserve">Identifies ongoing data and information requirements that can then be used as a basis for ongoing risk assessment and building the new </w:t>
      </w:r>
      <w:r>
        <w:lastRenderedPageBreak/>
        <w:t>compliance information systems shifting the initial qualitative approach to a more quantitative capability.</w:t>
      </w:r>
    </w:p>
    <w:p w14:paraId="60615F95" w14:textId="56351457" w:rsidR="00901293" w:rsidRPr="00CC5504" w:rsidRDefault="00901293" w:rsidP="00866E73">
      <w:pPr>
        <w:pStyle w:val="ListParagraph"/>
        <w:numPr>
          <w:ilvl w:val="0"/>
          <w:numId w:val="12"/>
        </w:numPr>
        <w:spacing w:after="200" w:line="276" w:lineRule="auto"/>
        <w:contextualSpacing w:val="0"/>
      </w:pPr>
      <w:r w:rsidRPr="00CC5504">
        <w:t>The Department establish a dedicated project ($300,000 - $500,000) to engage contractors to clear the current backlog of monitoring and management reports for activities approved under the EPBC Act and establish a framework for more timely future review, follow up and action</w:t>
      </w:r>
      <w:r w:rsidR="00CC5504">
        <w:t>.</w:t>
      </w:r>
    </w:p>
    <w:p w14:paraId="5A1D00F1" w14:textId="1EE12EB3" w:rsidR="00FB33C7" w:rsidRPr="00C54131" w:rsidRDefault="00FB33C7" w:rsidP="00866E73">
      <w:pPr>
        <w:pStyle w:val="ListParagraph"/>
        <w:numPr>
          <w:ilvl w:val="0"/>
          <w:numId w:val="12"/>
        </w:numPr>
        <w:spacing w:after="200" w:line="276" w:lineRule="auto"/>
        <w:rPr>
          <w:rFonts w:eastAsiaTheme="minorEastAsia"/>
        </w:rPr>
      </w:pPr>
      <w:r w:rsidRPr="00C54131">
        <w:t>The Department prepare an Annual Compliance Plan, ideally for each financial year, that sets out the major areas of focus for the year, how compliance will be undertaken for each of its regulatory regimes and how its dedicated compliance resources will be allocated</w:t>
      </w:r>
    </w:p>
    <w:p w14:paraId="25BA045B" w14:textId="77777777" w:rsidR="00FB33C7" w:rsidRPr="00C54131" w:rsidRDefault="00FB33C7" w:rsidP="00866E73">
      <w:pPr>
        <w:pStyle w:val="ListParagraph"/>
        <w:numPr>
          <w:ilvl w:val="0"/>
          <w:numId w:val="20"/>
        </w:numPr>
        <w:spacing w:after="200" w:line="276" w:lineRule="auto"/>
      </w:pPr>
      <w:r w:rsidRPr="00C54131">
        <w:t xml:space="preserve">the Annual Compliance Plan be confirmed by the Department’s Executive Board, approved by the Department’s Secretary and reported to its Audit Committee </w:t>
      </w:r>
    </w:p>
    <w:p w14:paraId="6C45D2A0" w14:textId="77777777" w:rsidR="00FB33C7" w:rsidRPr="00C54131" w:rsidRDefault="00FB33C7" w:rsidP="00866E73">
      <w:pPr>
        <w:pStyle w:val="ListParagraph"/>
        <w:numPr>
          <w:ilvl w:val="0"/>
          <w:numId w:val="20"/>
        </w:numPr>
        <w:spacing w:after="200" w:line="276" w:lineRule="auto"/>
      </w:pPr>
      <w:r w:rsidRPr="00C54131">
        <w:t xml:space="preserve">the Department’s Executive Board (or delegate) approve any request to deviate from the approved Annual Compliance Plan priorities </w:t>
      </w:r>
    </w:p>
    <w:p w14:paraId="4DAE2D79" w14:textId="77777777" w:rsidR="00FB33C7" w:rsidRPr="00C54131" w:rsidRDefault="00FB33C7" w:rsidP="00866E73">
      <w:pPr>
        <w:pStyle w:val="ListParagraph"/>
        <w:numPr>
          <w:ilvl w:val="0"/>
          <w:numId w:val="20"/>
        </w:numPr>
        <w:spacing w:after="200" w:line="276" w:lineRule="auto"/>
      </w:pPr>
      <w:r w:rsidRPr="00C54131">
        <w:t>any deviation from the Annual Compliance Plan should include approval of reallocation of resources (i.e. either allocate additional resources for any new priority or specify areas that are no longer a funded priority)</w:t>
      </w:r>
    </w:p>
    <w:p w14:paraId="2E1363C8" w14:textId="0AC516CA" w:rsidR="00FB33C7" w:rsidRPr="00C54131" w:rsidRDefault="00FB33C7" w:rsidP="00866E73">
      <w:pPr>
        <w:pStyle w:val="ListParagraph"/>
        <w:numPr>
          <w:ilvl w:val="0"/>
          <w:numId w:val="20"/>
        </w:numPr>
        <w:spacing w:after="200" w:line="276" w:lineRule="auto"/>
      </w:pPr>
      <w:r w:rsidRPr="00C54131">
        <w:t>the Department annually publish a summary of activities undertaken against the plan for each of its environmental legislative regimes</w:t>
      </w:r>
      <w:r w:rsidR="00B52041">
        <w:t>.</w:t>
      </w:r>
    </w:p>
    <w:p w14:paraId="5648FE15" w14:textId="636D0944" w:rsidR="005B4148" w:rsidRPr="00A8192E" w:rsidRDefault="005B4148" w:rsidP="00CE3D11">
      <w:pPr>
        <w:pStyle w:val="Heading2"/>
      </w:pPr>
      <w:bookmarkStart w:id="11" w:name="_Toc72504362"/>
      <w:r w:rsidRPr="00A8192E">
        <w:t>Partnerships and engagement</w:t>
      </w:r>
      <w:bookmarkEnd w:id="11"/>
    </w:p>
    <w:p w14:paraId="34C62D92" w14:textId="4814259E" w:rsidR="009C37DA" w:rsidRDefault="009C37DA" w:rsidP="0095268E">
      <w:pPr>
        <w:pStyle w:val="Heading3"/>
      </w:pPr>
      <w:bookmarkStart w:id="12" w:name="_Toc72504363"/>
      <w:r>
        <w:t>Internal</w:t>
      </w:r>
      <w:r w:rsidR="002C7822">
        <w:t xml:space="preserve"> </w:t>
      </w:r>
      <w:r w:rsidR="002C7822" w:rsidRPr="00F01CCC">
        <w:t>engagement</w:t>
      </w:r>
      <w:bookmarkEnd w:id="12"/>
    </w:p>
    <w:p w14:paraId="49483CED" w14:textId="6465E389" w:rsidR="005B4148" w:rsidRDefault="005B4148" w:rsidP="00866E73">
      <w:pPr>
        <w:pStyle w:val="ListParagraph"/>
        <w:numPr>
          <w:ilvl w:val="0"/>
          <w:numId w:val="12"/>
        </w:numPr>
        <w:spacing w:after="200" w:line="276" w:lineRule="auto"/>
        <w:contextualSpacing w:val="0"/>
      </w:pPr>
      <w:r>
        <w:t xml:space="preserve">Assistant Secretaries of environmental programs and compliance meet </w:t>
      </w:r>
      <w:r w:rsidR="309E8333">
        <w:t xml:space="preserve">at least twice annually </w:t>
      </w:r>
      <w:r>
        <w:t>to examine priorities, emerging issues, resources and progress across the range of environmental legisl</w:t>
      </w:r>
      <w:r w:rsidR="00826C9F">
        <w:t>a</w:t>
      </w:r>
      <w:r>
        <w:t>tion being administered by the Department</w:t>
      </w:r>
      <w:r w:rsidR="00AC5E8A">
        <w:t>.</w:t>
      </w:r>
    </w:p>
    <w:p w14:paraId="6C509301" w14:textId="77777777" w:rsidR="000520A0" w:rsidRPr="00CF3393" w:rsidRDefault="000520A0" w:rsidP="00866E73">
      <w:pPr>
        <w:pStyle w:val="ListParagraph"/>
        <w:numPr>
          <w:ilvl w:val="0"/>
          <w:numId w:val="12"/>
        </w:numPr>
        <w:spacing w:after="200" w:line="276" w:lineRule="auto"/>
        <w:contextualSpacing w:val="0"/>
      </w:pPr>
      <w:r>
        <w:t>The Environment Compliance Branch be actively included in the current process to develop model conditions</w:t>
      </w:r>
      <w:r w:rsidRPr="00782BB6">
        <w:t xml:space="preserve"> </w:t>
      </w:r>
      <w:r>
        <w:t>for activities approved under the EPBC Act, to ensure that these conditions can be effectively monitored and enforced.</w:t>
      </w:r>
    </w:p>
    <w:p w14:paraId="269009BC" w14:textId="5CA0DADD" w:rsidR="002C7822" w:rsidRDefault="002C7822" w:rsidP="002C7822">
      <w:pPr>
        <w:pStyle w:val="Heading3"/>
      </w:pPr>
      <w:bookmarkStart w:id="13" w:name="_Toc72504364"/>
      <w:r>
        <w:t>External engagement</w:t>
      </w:r>
      <w:bookmarkEnd w:id="13"/>
    </w:p>
    <w:p w14:paraId="50F1252B" w14:textId="77777777" w:rsidR="005B4148" w:rsidRDefault="005B4148" w:rsidP="00866E73">
      <w:pPr>
        <w:pStyle w:val="ListParagraph"/>
        <w:numPr>
          <w:ilvl w:val="0"/>
          <w:numId w:val="12"/>
        </w:numPr>
        <w:spacing w:after="200" w:line="276" w:lineRule="auto"/>
        <w:contextualSpacing w:val="0"/>
      </w:pPr>
      <w:r>
        <w:t>External partnerships be strengthened and maintained including with:</w:t>
      </w:r>
    </w:p>
    <w:p w14:paraId="4E2BC587" w14:textId="399790BD" w:rsidR="005B4148" w:rsidRPr="00DE7C23" w:rsidRDefault="005B4148" w:rsidP="00866E73">
      <w:pPr>
        <w:pStyle w:val="ListParagraph"/>
        <w:numPr>
          <w:ilvl w:val="0"/>
          <w:numId w:val="20"/>
        </w:numPr>
        <w:spacing w:after="200" w:line="276" w:lineRule="auto"/>
      </w:pPr>
      <w:r w:rsidRPr="00716D6A">
        <w:t>state</w:t>
      </w:r>
      <w:r>
        <w:t xml:space="preserve">, </w:t>
      </w:r>
      <w:r w:rsidRPr="00716D6A">
        <w:t xml:space="preserve">territory </w:t>
      </w:r>
      <w:r>
        <w:t xml:space="preserve">and international environmental </w:t>
      </w:r>
      <w:r w:rsidRPr="00716D6A">
        <w:t>regulators</w:t>
      </w:r>
    </w:p>
    <w:p w14:paraId="00459CE5" w14:textId="0BEAEE22" w:rsidR="005B4148" w:rsidRDefault="005B4148" w:rsidP="00866E73">
      <w:pPr>
        <w:pStyle w:val="ListParagraph"/>
        <w:numPr>
          <w:ilvl w:val="0"/>
          <w:numId w:val="20"/>
        </w:numPr>
        <w:spacing w:after="200" w:line="276" w:lineRule="auto"/>
      </w:pPr>
      <w:r w:rsidRPr="00716D6A">
        <w:t xml:space="preserve">national intelligence agencies </w:t>
      </w:r>
      <w:r>
        <w:t xml:space="preserve">- </w:t>
      </w:r>
      <w:r w:rsidRPr="00716D6A">
        <w:t xml:space="preserve">to </w:t>
      </w:r>
      <w:r>
        <w:t xml:space="preserve">share intelligence, </w:t>
      </w:r>
      <w:r w:rsidRPr="00716D6A">
        <w:t>strengthen data exchange</w:t>
      </w:r>
      <w:r>
        <w:t>, expand horizon scanning and coordinate actions against sophisticated offenders</w:t>
      </w:r>
      <w:r w:rsidR="00E26835">
        <w:t>.</w:t>
      </w:r>
    </w:p>
    <w:p w14:paraId="4EBE364A" w14:textId="77777777" w:rsidR="003960B7" w:rsidRPr="00DE7C23" w:rsidRDefault="003960B7" w:rsidP="003960B7">
      <w:pPr>
        <w:pStyle w:val="ListParagraph"/>
        <w:spacing w:after="200" w:line="276" w:lineRule="auto"/>
        <w:ind w:left="1004"/>
      </w:pPr>
    </w:p>
    <w:p w14:paraId="0F359E96" w14:textId="285749C8" w:rsidR="00F80DB9" w:rsidRDefault="007B43B0" w:rsidP="00866E73">
      <w:pPr>
        <w:pStyle w:val="ListParagraph"/>
        <w:numPr>
          <w:ilvl w:val="0"/>
          <w:numId w:val="12"/>
        </w:numPr>
        <w:spacing w:after="200" w:line="276" w:lineRule="auto"/>
        <w:contextualSpacing w:val="0"/>
      </w:pPr>
      <w:r>
        <w:t>A</w:t>
      </w:r>
      <w:r w:rsidR="005B4148">
        <w:t xml:space="preserve"> specific area of the Department coordinate engagement in </w:t>
      </w:r>
      <w:r w:rsidR="00BD5A90">
        <w:t>cross-portfolio</w:t>
      </w:r>
      <w:r w:rsidR="005B4148">
        <w:t xml:space="preserve"> forums relating to serious and organised crime and national security and intelligence, to ensure that environmental issues are considered as part of these discussions</w:t>
      </w:r>
      <w:r>
        <w:t>.</w:t>
      </w:r>
    </w:p>
    <w:p w14:paraId="3A1CD1C3" w14:textId="78F33A8E" w:rsidR="005B4148" w:rsidRPr="00F17FD0" w:rsidRDefault="00645088" w:rsidP="005B4148">
      <w:pPr>
        <w:pStyle w:val="Heading2"/>
        <w:ind w:left="851" w:hanging="851"/>
        <w:rPr>
          <w:bCs/>
        </w:rPr>
      </w:pPr>
      <w:bookmarkStart w:id="14" w:name="_Toc72504365"/>
      <w:r>
        <w:lastRenderedPageBreak/>
        <w:t>Compliance policy and r</w:t>
      </w:r>
      <w:r w:rsidR="005B4148">
        <w:t>egulatory tools</w:t>
      </w:r>
      <w:bookmarkEnd w:id="14"/>
    </w:p>
    <w:p w14:paraId="34760695" w14:textId="2E710787" w:rsidR="00BC009A" w:rsidRDefault="00BC009A" w:rsidP="00866E73">
      <w:pPr>
        <w:pStyle w:val="ListParagraph"/>
        <w:numPr>
          <w:ilvl w:val="0"/>
          <w:numId w:val="12"/>
        </w:numPr>
        <w:spacing w:after="200" w:line="276" w:lineRule="auto"/>
        <w:contextualSpacing w:val="0"/>
      </w:pPr>
      <w:bookmarkStart w:id="15" w:name="_Hlk72335517"/>
      <w:r>
        <w:t>The Department put in place a project team with dedicated funding of around $</w:t>
      </w:r>
      <w:r w:rsidR="007023E1">
        <w:t>2</w:t>
      </w:r>
      <w:r>
        <w:t>00,000 to immediately update and publish its compliance policy to clearly set out:</w:t>
      </w:r>
    </w:p>
    <w:p w14:paraId="2EE746B1" w14:textId="77777777" w:rsidR="00BC009A" w:rsidRDefault="00BC009A" w:rsidP="00866E73">
      <w:pPr>
        <w:pStyle w:val="ListParagraph"/>
        <w:numPr>
          <w:ilvl w:val="0"/>
          <w:numId w:val="20"/>
        </w:numPr>
        <w:spacing w:after="200" w:line="276" w:lineRule="auto"/>
      </w:pPr>
      <w:r>
        <w:t xml:space="preserve"> its role in administering environmental legislation</w:t>
      </w:r>
    </w:p>
    <w:p w14:paraId="798FBAFE" w14:textId="77777777" w:rsidR="00BC009A" w:rsidRDefault="00BC009A" w:rsidP="00866E73">
      <w:pPr>
        <w:pStyle w:val="ListParagraph"/>
        <w:numPr>
          <w:ilvl w:val="0"/>
          <w:numId w:val="20"/>
        </w:numPr>
        <w:spacing w:after="200" w:line="276" w:lineRule="auto"/>
      </w:pPr>
      <w:r>
        <w:t>the purpose of achieving compliance with this legislation</w:t>
      </w:r>
    </w:p>
    <w:p w14:paraId="1A059DCC" w14:textId="77777777" w:rsidR="00BC009A" w:rsidRDefault="00BC009A" w:rsidP="00866E73">
      <w:pPr>
        <w:pStyle w:val="ListParagraph"/>
        <w:numPr>
          <w:ilvl w:val="0"/>
          <w:numId w:val="20"/>
        </w:numPr>
        <w:spacing w:after="200" w:line="276" w:lineRule="auto"/>
      </w:pPr>
      <w:r>
        <w:t>its framework and principles for managing compliance, including key relationships</w:t>
      </w:r>
    </w:p>
    <w:p w14:paraId="64834C2F" w14:textId="1848BC3F" w:rsidR="00BC009A" w:rsidRDefault="00BC009A" w:rsidP="00866E73">
      <w:pPr>
        <w:pStyle w:val="ListParagraph"/>
        <w:numPr>
          <w:ilvl w:val="0"/>
          <w:numId w:val="20"/>
        </w:numPr>
        <w:spacing w:after="200" w:line="276" w:lineRule="auto"/>
      </w:pPr>
      <w:r>
        <w:t>its approach to achieving compliance including</w:t>
      </w:r>
      <w:r w:rsidR="00BB3B35">
        <w:t>:</w:t>
      </w:r>
    </w:p>
    <w:p w14:paraId="1C0EA64E" w14:textId="77777777" w:rsidR="00BC009A" w:rsidRDefault="00BC009A" w:rsidP="00866E73">
      <w:pPr>
        <w:pStyle w:val="ListParagraph"/>
        <w:numPr>
          <w:ilvl w:val="1"/>
          <w:numId w:val="20"/>
        </w:numPr>
        <w:spacing w:after="200" w:line="276" w:lineRule="auto"/>
      </w:pPr>
      <w:r>
        <w:t>the monitoring and investigative powers and tools in place</w:t>
      </w:r>
    </w:p>
    <w:p w14:paraId="790EC225" w14:textId="77777777" w:rsidR="00BC009A" w:rsidRDefault="00BC009A" w:rsidP="00866E73">
      <w:pPr>
        <w:pStyle w:val="ListParagraph"/>
        <w:numPr>
          <w:ilvl w:val="1"/>
          <w:numId w:val="20"/>
        </w:numPr>
        <w:spacing w:after="200" w:line="276" w:lineRule="auto"/>
      </w:pPr>
      <w:r>
        <w:t>its approach to assessing breaches</w:t>
      </w:r>
    </w:p>
    <w:p w14:paraId="463AEE0B" w14:textId="77777777" w:rsidR="00BC009A" w:rsidRDefault="00BC009A" w:rsidP="00866E73">
      <w:pPr>
        <w:pStyle w:val="ListParagraph"/>
        <w:numPr>
          <w:ilvl w:val="1"/>
          <w:numId w:val="20"/>
        </w:numPr>
        <w:spacing w:after="200" w:line="276" w:lineRule="auto"/>
      </w:pPr>
      <w:r>
        <w:t>how it determines the significance of a breach and the risk-proportionate regulatory responses it uses</w:t>
      </w:r>
    </w:p>
    <w:p w14:paraId="5DCAE559" w14:textId="2D8477DE" w:rsidR="00BC009A" w:rsidRPr="00CD613A" w:rsidRDefault="00BC009A" w:rsidP="00866E73">
      <w:pPr>
        <w:pStyle w:val="ListParagraph"/>
        <w:numPr>
          <w:ilvl w:val="1"/>
          <w:numId w:val="20"/>
        </w:numPr>
        <w:spacing w:after="200" w:line="276" w:lineRule="auto"/>
      </w:pPr>
      <w:r>
        <w:t>the enforcement options that may be applied depending upon the nature and seriousness of non-compliance</w:t>
      </w:r>
      <w:r w:rsidR="00BD5A90">
        <w:t>.</w:t>
      </w:r>
    </w:p>
    <w:p w14:paraId="3B3EDF84" w14:textId="77777777" w:rsidR="00645088" w:rsidRDefault="00645088" w:rsidP="00645088">
      <w:pPr>
        <w:pStyle w:val="ListParagraph"/>
        <w:spacing w:after="200" w:line="276" w:lineRule="auto"/>
        <w:ind w:left="644"/>
        <w:contextualSpacing w:val="0"/>
      </w:pPr>
    </w:p>
    <w:p w14:paraId="003EC809" w14:textId="35B6A759" w:rsidR="003F74BC" w:rsidRPr="003A52BF" w:rsidRDefault="003F74BC" w:rsidP="00866E73">
      <w:pPr>
        <w:pStyle w:val="ListParagraph"/>
        <w:numPr>
          <w:ilvl w:val="0"/>
          <w:numId w:val="12"/>
        </w:numPr>
        <w:spacing w:after="200" w:line="276" w:lineRule="auto"/>
        <w:contextualSpacing w:val="0"/>
      </w:pPr>
      <w:r>
        <w:t>To increase community confidence in the Department’s protection of Australia’s environment, the Department annually publish:</w:t>
      </w:r>
    </w:p>
    <w:p w14:paraId="038CBAF8" w14:textId="77777777" w:rsidR="003F74BC" w:rsidRDefault="003F74BC" w:rsidP="00866E73">
      <w:pPr>
        <w:pStyle w:val="ListParagraph"/>
        <w:numPr>
          <w:ilvl w:val="0"/>
          <w:numId w:val="26"/>
        </w:numPr>
        <w:spacing w:after="200" w:line="276" w:lineRule="auto"/>
        <w:contextualSpacing w:val="0"/>
      </w:pPr>
      <w:r w:rsidRPr="003A52BF">
        <w:t>information</w:t>
      </w:r>
      <w:r>
        <w:t xml:space="preserve">, </w:t>
      </w:r>
      <w:r w:rsidRPr="003A52BF">
        <w:t>updated monthly</w:t>
      </w:r>
      <w:r>
        <w:t>,</w:t>
      </w:r>
      <w:r w:rsidRPr="003A52BF">
        <w:t xml:space="preserve"> on regulatory activity </w:t>
      </w:r>
      <w:r>
        <w:t xml:space="preserve">including </w:t>
      </w:r>
      <w:r w:rsidRPr="003A52BF">
        <w:t xml:space="preserve">the number of </w:t>
      </w:r>
      <w:r>
        <w:t>monitoring activities, investigations, reviews of documentation, enforcement actions (including official cautions, orders imposed, enforceable undertakings, penalty notices and prosecutions)</w:t>
      </w:r>
    </w:p>
    <w:p w14:paraId="48ED6A53" w14:textId="5215DE28" w:rsidR="003F74BC" w:rsidRDefault="00BD5A90" w:rsidP="00866E73">
      <w:pPr>
        <w:pStyle w:val="ListParagraph"/>
        <w:numPr>
          <w:ilvl w:val="0"/>
          <w:numId w:val="26"/>
        </w:numPr>
        <w:spacing w:after="200" w:line="276" w:lineRule="auto"/>
        <w:contextualSpacing w:val="0"/>
      </w:pPr>
      <w:r>
        <w:t>a</w:t>
      </w:r>
      <w:r w:rsidR="003F74BC">
        <w:t xml:space="preserve"> list of organisations that have an enforceable undertaking or been subject to a formal enforcement action, including how the organisation responded and the environment protected</w:t>
      </w:r>
      <w:r w:rsidR="003F74BC" w:rsidRPr="003A52BF">
        <w:t> </w:t>
      </w:r>
      <w:r w:rsidR="003F74BC">
        <w:t>(as a mechanism to disseminate positive actions by industry)</w:t>
      </w:r>
      <w:r w:rsidR="009C0AC5">
        <w:t>.</w:t>
      </w:r>
    </w:p>
    <w:bookmarkEnd w:id="15"/>
    <w:p w14:paraId="7BC4DCB4" w14:textId="531E8C05" w:rsidR="00BC502A" w:rsidRDefault="00BC502A" w:rsidP="00866E73">
      <w:pPr>
        <w:pStyle w:val="ListParagraph"/>
        <w:numPr>
          <w:ilvl w:val="0"/>
          <w:numId w:val="12"/>
        </w:numPr>
        <w:spacing w:after="200" w:line="276" w:lineRule="auto"/>
      </w:pPr>
      <w:r>
        <w:t>The Department increase its educational activities in respect of compliance including conducting forums with industry about compliance expectations and key compliance topics and adopt a user-centred approach to developing and disseminating its compliance guidance, including accessible information on how compliance is undertaken, plain English guides, FAQs, fact sheets, etc.</w:t>
      </w:r>
    </w:p>
    <w:p w14:paraId="55EE8D2F" w14:textId="77777777" w:rsidR="00BC502A" w:rsidRPr="002E62BE" w:rsidRDefault="00BC502A" w:rsidP="00BC502A">
      <w:pPr>
        <w:pStyle w:val="ListParagraph"/>
        <w:spacing w:after="200" w:line="276" w:lineRule="auto"/>
        <w:ind w:left="644"/>
      </w:pPr>
    </w:p>
    <w:p w14:paraId="25378F8B" w14:textId="43C7D0F9" w:rsidR="003F74BC" w:rsidRPr="00FC5564" w:rsidRDefault="006B2ED3" w:rsidP="00866E73">
      <w:pPr>
        <w:pStyle w:val="ListParagraph"/>
        <w:numPr>
          <w:ilvl w:val="0"/>
          <w:numId w:val="12"/>
        </w:numPr>
        <w:spacing w:after="200" w:line="276" w:lineRule="auto"/>
        <w:contextualSpacing w:val="0"/>
      </w:pPr>
      <w:r>
        <w:t xml:space="preserve">Commencing with the </w:t>
      </w:r>
      <w:r w:rsidR="003C60A5" w:rsidRPr="003C60A5">
        <w:rPr>
          <w:i/>
          <w:iCs/>
        </w:rPr>
        <w:t>Environment Protection and Biodiversity Conservation Act 1999</w:t>
      </w:r>
      <w:r w:rsidR="003C60A5">
        <w:rPr>
          <w:i/>
          <w:iCs/>
        </w:rPr>
        <w:t xml:space="preserve"> </w:t>
      </w:r>
      <w:r w:rsidR="003C60A5">
        <w:t>(</w:t>
      </w:r>
      <w:r>
        <w:t>EPBC Act</w:t>
      </w:r>
      <w:r w:rsidR="003C60A5">
        <w:t>)</w:t>
      </w:r>
      <w:r>
        <w:t>, t</w:t>
      </w:r>
      <w:r w:rsidR="005B4148">
        <w:t>he Department review its full suite of environmental legislation to determine the appropriate inclusion of powers to support an effective monitoring, investigation and enforcement approach, as set out in the </w:t>
      </w:r>
      <w:r w:rsidR="005B4148" w:rsidRPr="006B2ED3">
        <w:rPr>
          <w:i/>
          <w:iCs/>
        </w:rPr>
        <w:t>Regulatory Powers (Standard Provisions) Act 2014</w:t>
      </w:r>
      <w:r w:rsidR="005B4148">
        <w:t> (the Regulatory Powers Act)</w:t>
      </w:r>
      <w:r>
        <w:t>.</w:t>
      </w:r>
    </w:p>
    <w:p w14:paraId="1A0FA195" w14:textId="0BA8D0D6" w:rsidR="005B4148" w:rsidRPr="003F74BC" w:rsidRDefault="005B4148" w:rsidP="003F74BC">
      <w:pPr>
        <w:spacing w:after="200" w:line="276" w:lineRule="auto"/>
        <w:rPr>
          <w:lang w:val="en-US"/>
        </w:rPr>
      </w:pPr>
      <w:r w:rsidRPr="003F74BC">
        <w:rPr>
          <w:lang w:val="en-US"/>
        </w:rPr>
        <w:br w:type="page"/>
      </w:r>
    </w:p>
    <w:p w14:paraId="7D8A27C5" w14:textId="361650C9" w:rsidR="00670A33" w:rsidRDefault="00670A33" w:rsidP="005202D8">
      <w:pPr>
        <w:pStyle w:val="Heading1"/>
        <w:rPr>
          <w:lang w:val="en-US"/>
        </w:rPr>
      </w:pPr>
      <w:bookmarkStart w:id="16" w:name="_Toc72504366"/>
      <w:r>
        <w:rPr>
          <w:lang w:val="en-US"/>
        </w:rPr>
        <w:lastRenderedPageBreak/>
        <w:t>Introduction</w:t>
      </w:r>
      <w:bookmarkEnd w:id="16"/>
    </w:p>
    <w:p w14:paraId="07FCAF52" w14:textId="2FFBB5F4" w:rsidR="0048022F" w:rsidRDefault="4B015A67" w:rsidP="761DF7AD">
      <w:pPr>
        <w:rPr>
          <w:lang w:val="en-US"/>
        </w:rPr>
      </w:pPr>
      <w:r>
        <w:rPr>
          <w:lang w:val="en-US"/>
        </w:rPr>
        <w:t>The</w:t>
      </w:r>
      <w:r w:rsidR="5E9AD478">
        <w:rPr>
          <w:lang w:val="en-US"/>
        </w:rPr>
        <w:t xml:space="preserve"> Commonwealth</w:t>
      </w:r>
      <w:r>
        <w:rPr>
          <w:lang w:val="en-US"/>
        </w:rPr>
        <w:t xml:space="preserve"> Department </w:t>
      </w:r>
      <w:r w:rsidR="213F6B64">
        <w:rPr>
          <w:lang w:val="en-US"/>
        </w:rPr>
        <w:t>of Agriculture, Water and Environment (the Department)</w:t>
      </w:r>
      <w:r w:rsidR="00C70A5D">
        <w:rPr>
          <w:lang w:val="en-US"/>
        </w:rPr>
        <w:t>,</w:t>
      </w:r>
      <w:r w:rsidR="213F6B64">
        <w:rPr>
          <w:lang w:val="en-US"/>
        </w:rPr>
        <w:t xml:space="preserve"> </w:t>
      </w:r>
      <w:r>
        <w:rPr>
          <w:lang w:val="en-US"/>
        </w:rPr>
        <w:t>through its Environment Compliance Branch (ECB)</w:t>
      </w:r>
      <w:r w:rsidR="00C70A5D">
        <w:rPr>
          <w:lang w:val="en-US"/>
        </w:rPr>
        <w:t>,</w:t>
      </w:r>
      <w:r>
        <w:rPr>
          <w:lang w:val="en-US"/>
        </w:rPr>
        <w:t xml:space="preserve"> </w:t>
      </w:r>
      <w:r w:rsidR="1565E626">
        <w:rPr>
          <w:lang w:val="en-US"/>
        </w:rPr>
        <w:t>commissioned</w:t>
      </w:r>
      <w:r w:rsidR="00C77489">
        <w:rPr>
          <w:lang w:val="en-US"/>
        </w:rPr>
        <w:t xml:space="preserve"> Ms</w:t>
      </w:r>
      <w:r>
        <w:rPr>
          <w:lang w:val="en-US"/>
        </w:rPr>
        <w:t xml:space="preserve"> Carolyn Mc</w:t>
      </w:r>
      <w:r w:rsidR="00FF6D1A">
        <w:rPr>
          <w:lang w:val="en-US"/>
        </w:rPr>
        <w:t>N</w:t>
      </w:r>
      <w:r>
        <w:rPr>
          <w:lang w:val="en-US"/>
        </w:rPr>
        <w:t xml:space="preserve">ally </w:t>
      </w:r>
      <w:r w:rsidR="00FF6D1A">
        <w:rPr>
          <w:lang w:val="en-US"/>
        </w:rPr>
        <w:t>(</w:t>
      </w:r>
      <w:r w:rsidR="691463CE">
        <w:rPr>
          <w:lang w:val="en-US"/>
        </w:rPr>
        <w:t>former</w:t>
      </w:r>
      <w:r>
        <w:rPr>
          <w:lang w:val="en-US"/>
        </w:rPr>
        <w:t xml:space="preserve"> </w:t>
      </w:r>
      <w:r w:rsidR="1BC9BEDA">
        <w:rPr>
          <w:lang w:val="en-US"/>
        </w:rPr>
        <w:t>Secretary</w:t>
      </w:r>
      <w:r>
        <w:rPr>
          <w:lang w:val="en-US"/>
        </w:rPr>
        <w:t xml:space="preserve"> of</w:t>
      </w:r>
      <w:r w:rsidR="00EF2F57">
        <w:rPr>
          <w:lang w:val="en-US"/>
        </w:rPr>
        <w:t xml:space="preserve"> the</w:t>
      </w:r>
      <w:r>
        <w:rPr>
          <w:lang w:val="en-US"/>
        </w:rPr>
        <w:t xml:space="preserve"> NSW </w:t>
      </w:r>
      <w:r w:rsidR="34951D76">
        <w:rPr>
          <w:lang w:val="en-US"/>
        </w:rPr>
        <w:t>Department</w:t>
      </w:r>
      <w:r>
        <w:rPr>
          <w:lang w:val="en-US"/>
        </w:rPr>
        <w:t xml:space="preserve"> of </w:t>
      </w:r>
      <w:r w:rsidR="15632876">
        <w:rPr>
          <w:lang w:val="en-US"/>
        </w:rPr>
        <w:t>Planning and Environment</w:t>
      </w:r>
      <w:r w:rsidR="00FF6D1A">
        <w:rPr>
          <w:lang w:val="en-US"/>
        </w:rPr>
        <w:t>)</w:t>
      </w:r>
      <w:r w:rsidR="15632876">
        <w:rPr>
          <w:lang w:val="en-US"/>
        </w:rPr>
        <w:t xml:space="preserve"> and Dr Brian Richards</w:t>
      </w:r>
      <w:r w:rsidR="00FF6D1A">
        <w:rPr>
          <w:lang w:val="en-US"/>
        </w:rPr>
        <w:t xml:space="preserve"> (</w:t>
      </w:r>
      <w:r w:rsidR="15632876">
        <w:rPr>
          <w:lang w:val="en-US"/>
        </w:rPr>
        <w:t xml:space="preserve">former </w:t>
      </w:r>
      <w:r w:rsidR="00FF6D1A">
        <w:rPr>
          <w:lang w:val="en-US"/>
        </w:rPr>
        <w:t>Executive Director</w:t>
      </w:r>
      <w:r w:rsidR="15632876">
        <w:rPr>
          <w:lang w:val="en-US"/>
        </w:rPr>
        <w:t xml:space="preserve"> of the </w:t>
      </w:r>
      <w:r w:rsidR="00FF6D1A">
        <w:rPr>
          <w:lang w:val="en-US"/>
        </w:rPr>
        <w:t xml:space="preserve">Australian Industrial Chemicals Introduction Scheme) </w:t>
      </w:r>
      <w:r w:rsidR="15632876">
        <w:rPr>
          <w:lang w:val="en-US"/>
        </w:rPr>
        <w:t>to undertake a re</w:t>
      </w:r>
      <w:r w:rsidR="129A7859">
        <w:rPr>
          <w:lang w:val="en-US"/>
        </w:rPr>
        <w:t>vi</w:t>
      </w:r>
      <w:r w:rsidR="15632876">
        <w:rPr>
          <w:lang w:val="en-US"/>
        </w:rPr>
        <w:t xml:space="preserve">ew </w:t>
      </w:r>
      <w:r w:rsidR="10C6FD41">
        <w:rPr>
          <w:lang w:val="en-US"/>
        </w:rPr>
        <w:t>to</w:t>
      </w:r>
      <w:r w:rsidR="15632876">
        <w:rPr>
          <w:lang w:val="en-US"/>
        </w:rPr>
        <w:t xml:space="preserve"> provide advice </w:t>
      </w:r>
      <w:r w:rsidR="49824DD2">
        <w:rPr>
          <w:lang w:val="en-US"/>
        </w:rPr>
        <w:t>on its</w:t>
      </w:r>
      <w:r w:rsidR="5ED9DB5F">
        <w:rPr>
          <w:lang w:val="en-US"/>
        </w:rPr>
        <w:t xml:space="preserve"> </w:t>
      </w:r>
      <w:r w:rsidR="3AC57B30">
        <w:rPr>
          <w:lang w:val="en-US"/>
        </w:rPr>
        <w:t>environmental</w:t>
      </w:r>
      <w:r w:rsidR="5ED9DB5F">
        <w:rPr>
          <w:lang w:val="en-US"/>
        </w:rPr>
        <w:t xml:space="preserve"> compliance functions.</w:t>
      </w:r>
    </w:p>
    <w:p w14:paraId="692E7E94" w14:textId="00A5F630" w:rsidR="0048022F" w:rsidRDefault="00F35058">
      <w:pPr>
        <w:rPr>
          <w:lang w:val="en-US"/>
        </w:rPr>
      </w:pPr>
      <w:r>
        <w:rPr>
          <w:lang w:val="en-US"/>
        </w:rPr>
        <w:t>This</w:t>
      </w:r>
      <w:r w:rsidR="008B6AED">
        <w:rPr>
          <w:lang w:val="en-US"/>
        </w:rPr>
        <w:t xml:space="preserve"> </w:t>
      </w:r>
      <w:r>
        <w:rPr>
          <w:lang w:val="en-US"/>
        </w:rPr>
        <w:t>R</w:t>
      </w:r>
      <w:r w:rsidR="008B6AED">
        <w:rPr>
          <w:lang w:val="en-US"/>
        </w:rPr>
        <w:t xml:space="preserve">eview </w:t>
      </w:r>
      <w:r w:rsidR="00AB09E4">
        <w:rPr>
          <w:lang w:val="en-US"/>
        </w:rPr>
        <w:t xml:space="preserve">examined the approach of the Department </w:t>
      </w:r>
      <w:r w:rsidR="00E36366">
        <w:rPr>
          <w:lang w:val="en-US"/>
        </w:rPr>
        <w:t xml:space="preserve">to assessing </w:t>
      </w:r>
      <w:r w:rsidR="008B6AED">
        <w:rPr>
          <w:lang w:val="en-US"/>
        </w:rPr>
        <w:t>risks across a range of environmental legislation</w:t>
      </w:r>
      <w:r w:rsidR="418A9CD1">
        <w:rPr>
          <w:lang w:val="en-US"/>
        </w:rPr>
        <w:t>, identif</w:t>
      </w:r>
      <w:r w:rsidR="00CD2093">
        <w:rPr>
          <w:lang w:val="en-US"/>
        </w:rPr>
        <w:t>i</w:t>
      </w:r>
      <w:r w:rsidR="004671CA">
        <w:rPr>
          <w:lang w:val="en-US"/>
        </w:rPr>
        <w:t>ed</w:t>
      </w:r>
      <w:r w:rsidR="418A9CD1">
        <w:rPr>
          <w:lang w:val="en-US"/>
        </w:rPr>
        <w:t xml:space="preserve"> gaps</w:t>
      </w:r>
      <w:r w:rsidR="0024E5EB">
        <w:rPr>
          <w:lang w:val="en-US"/>
        </w:rPr>
        <w:t xml:space="preserve"> in compliance activity across these legislative regimes</w:t>
      </w:r>
      <w:r w:rsidR="418A9CD1">
        <w:rPr>
          <w:lang w:val="en-US"/>
        </w:rPr>
        <w:t>,</w:t>
      </w:r>
      <w:r w:rsidR="002257F7">
        <w:rPr>
          <w:lang w:val="en-US"/>
        </w:rPr>
        <w:t xml:space="preserve"> and</w:t>
      </w:r>
      <w:r w:rsidR="418A9CD1">
        <w:rPr>
          <w:lang w:val="en-US"/>
        </w:rPr>
        <w:t xml:space="preserve"> </w:t>
      </w:r>
      <w:r w:rsidR="00CD2093">
        <w:rPr>
          <w:lang w:val="en-US"/>
        </w:rPr>
        <w:t>considered</w:t>
      </w:r>
      <w:r w:rsidR="418A9CD1">
        <w:rPr>
          <w:lang w:val="en-US"/>
        </w:rPr>
        <w:t xml:space="preserve"> </w:t>
      </w:r>
      <w:r w:rsidR="002B2A50">
        <w:rPr>
          <w:lang w:val="en-US"/>
        </w:rPr>
        <w:t>compara</w:t>
      </w:r>
      <w:r w:rsidR="001F4E26">
        <w:rPr>
          <w:lang w:val="en-US"/>
        </w:rPr>
        <w:t>ble activities in other jurisdictions</w:t>
      </w:r>
      <w:r w:rsidR="418A9CD1">
        <w:rPr>
          <w:lang w:val="en-US"/>
        </w:rPr>
        <w:t xml:space="preserve"> </w:t>
      </w:r>
      <w:r w:rsidR="001F4E26">
        <w:rPr>
          <w:lang w:val="en-US"/>
        </w:rPr>
        <w:t>(</w:t>
      </w:r>
      <w:r w:rsidR="418A9CD1">
        <w:rPr>
          <w:lang w:val="en-US"/>
        </w:rPr>
        <w:t>including drawing on lessons from Canada and New Zealand</w:t>
      </w:r>
      <w:r w:rsidR="001F4E26">
        <w:rPr>
          <w:lang w:val="en-US"/>
        </w:rPr>
        <w:t>)</w:t>
      </w:r>
      <w:r w:rsidR="00CD2093">
        <w:rPr>
          <w:lang w:val="en-US"/>
        </w:rPr>
        <w:t>. Th</w:t>
      </w:r>
      <w:r w:rsidR="0038575C">
        <w:rPr>
          <w:lang w:val="en-US"/>
        </w:rPr>
        <w:t>is final report of th</w:t>
      </w:r>
      <w:r w:rsidR="00CD2093">
        <w:rPr>
          <w:lang w:val="en-US"/>
        </w:rPr>
        <w:t>e Review</w:t>
      </w:r>
      <w:r w:rsidR="45723887">
        <w:rPr>
          <w:lang w:val="en-US"/>
        </w:rPr>
        <w:t xml:space="preserve"> </w:t>
      </w:r>
      <w:r w:rsidR="004671CA" w:rsidRPr="00DA2F7B">
        <w:rPr>
          <w:lang w:val="en-US"/>
        </w:rPr>
        <w:t>makes</w:t>
      </w:r>
      <w:r w:rsidR="45723887" w:rsidRPr="00DA2F7B">
        <w:rPr>
          <w:lang w:val="en-US"/>
        </w:rPr>
        <w:t xml:space="preserve"> </w:t>
      </w:r>
      <w:r w:rsidR="00F17D3A" w:rsidRPr="00DA2F7B">
        <w:rPr>
          <w:lang w:val="en-US"/>
        </w:rPr>
        <w:t>2</w:t>
      </w:r>
      <w:r w:rsidR="00464E28">
        <w:rPr>
          <w:lang w:val="en-US"/>
        </w:rPr>
        <w:t>8</w:t>
      </w:r>
      <w:r w:rsidR="45723887">
        <w:rPr>
          <w:lang w:val="en-US"/>
        </w:rPr>
        <w:t xml:space="preserve"> recommendations aimed at helping the Department to </w:t>
      </w:r>
      <w:r w:rsidR="460B9E70">
        <w:rPr>
          <w:lang w:val="en-US"/>
        </w:rPr>
        <w:t xml:space="preserve">enhance and </w:t>
      </w:r>
      <w:r w:rsidR="45723887">
        <w:rPr>
          <w:lang w:val="en-US"/>
        </w:rPr>
        <w:t>modernise its environmental</w:t>
      </w:r>
      <w:r w:rsidR="0ABF8B24">
        <w:rPr>
          <w:lang w:val="en-US"/>
        </w:rPr>
        <w:t xml:space="preserve"> compliance function</w:t>
      </w:r>
      <w:r w:rsidR="00605262">
        <w:rPr>
          <w:lang w:val="en-US"/>
        </w:rPr>
        <w:t>.</w:t>
      </w:r>
      <w:r w:rsidR="00B46382">
        <w:rPr>
          <w:lang w:val="en-US"/>
        </w:rPr>
        <w:t xml:space="preserve"> T</w:t>
      </w:r>
      <w:r w:rsidR="003A79CE">
        <w:rPr>
          <w:lang w:val="en-US"/>
        </w:rPr>
        <w:t>h</w:t>
      </w:r>
      <w:r w:rsidR="00B02A4F">
        <w:rPr>
          <w:lang w:val="en-US"/>
        </w:rPr>
        <w:t>is</w:t>
      </w:r>
      <w:r w:rsidR="003A79CE">
        <w:rPr>
          <w:lang w:val="en-US"/>
        </w:rPr>
        <w:t xml:space="preserve"> </w:t>
      </w:r>
      <w:r w:rsidR="00605262">
        <w:rPr>
          <w:lang w:val="en-US"/>
        </w:rPr>
        <w:t>report</w:t>
      </w:r>
      <w:r w:rsidR="003A79CE">
        <w:rPr>
          <w:lang w:val="en-US"/>
        </w:rPr>
        <w:t xml:space="preserve"> </w:t>
      </w:r>
      <w:r w:rsidR="0038575C">
        <w:rPr>
          <w:lang w:val="en-US"/>
        </w:rPr>
        <w:t>describes</w:t>
      </w:r>
      <w:r w:rsidR="24D9DEE7">
        <w:rPr>
          <w:lang w:val="en-US"/>
        </w:rPr>
        <w:t xml:space="preserve"> a </w:t>
      </w:r>
      <w:r w:rsidR="0048022F">
        <w:rPr>
          <w:lang w:val="en-US"/>
        </w:rPr>
        <w:t>pathwa</w:t>
      </w:r>
      <w:r w:rsidR="00903994">
        <w:rPr>
          <w:lang w:val="en-US"/>
        </w:rPr>
        <w:t>y to reform</w:t>
      </w:r>
      <w:r w:rsidR="0048022F">
        <w:rPr>
          <w:lang w:val="en-US"/>
        </w:rPr>
        <w:t xml:space="preserve"> </w:t>
      </w:r>
      <w:r w:rsidR="00056392">
        <w:rPr>
          <w:lang w:val="en-US"/>
        </w:rPr>
        <w:t>(</w:t>
      </w:r>
      <w:r w:rsidR="00C12419">
        <w:rPr>
          <w:lang w:val="en-US"/>
        </w:rPr>
        <w:t>summari</w:t>
      </w:r>
      <w:r w:rsidR="00340999">
        <w:rPr>
          <w:lang w:val="en-US"/>
        </w:rPr>
        <w:t>s</w:t>
      </w:r>
      <w:r w:rsidR="00C12419">
        <w:rPr>
          <w:lang w:val="en-US"/>
        </w:rPr>
        <w:t xml:space="preserve">ed at </w:t>
      </w:r>
      <w:hyperlink w:anchor="_Attachment_A_–" w:history="1">
        <w:r w:rsidR="00056392" w:rsidRPr="00056392">
          <w:rPr>
            <w:rStyle w:val="Hyperlink"/>
            <w:lang w:val="en-US"/>
          </w:rPr>
          <w:t>Attachment A</w:t>
        </w:r>
      </w:hyperlink>
      <w:r w:rsidR="00056392">
        <w:rPr>
          <w:lang w:val="en-US"/>
        </w:rPr>
        <w:t xml:space="preserve">) </w:t>
      </w:r>
      <w:r w:rsidR="0048022F">
        <w:rPr>
          <w:lang w:val="en-US"/>
        </w:rPr>
        <w:t xml:space="preserve">to </w:t>
      </w:r>
      <w:r w:rsidR="00B67C63">
        <w:rPr>
          <w:lang w:val="en-US"/>
        </w:rPr>
        <w:t xml:space="preserve">enable </w:t>
      </w:r>
      <w:r w:rsidR="00C703EE">
        <w:rPr>
          <w:lang w:val="en-US"/>
        </w:rPr>
        <w:t>the Department</w:t>
      </w:r>
      <w:r w:rsidR="00B67C63">
        <w:rPr>
          <w:lang w:val="en-US"/>
        </w:rPr>
        <w:t xml:space="preserve"> to </w:t>
      </w:r>
      <w:r w:rsidR="00810276">
        <w:rPr>
          <w:lang w:val="en-US"/>
        </w:rPr>
        <w:t>undertake</w:t>
      </w:r>
      <w:r w:rsidR="001720E0">
        <w:rPr>
          <w:lang w:val="en-US"/>
        </w:rPr>
        <w:t xml:space="preserve"> risk assessment on an ongoing basis, </w:t>
      </w:r>
      <w:r w:rsidR="00E23FAF">
        <w:rPr>
          <w:lang w:val="en-US"/>
        </w:rPr>
        <w:t>prioritise</w:t>
      </w:r>
      <w:r w:rsidR="001720E0">
        <w:rPr>
          <w:lang w:val="en-US"/>
        </w:rPr>
        <w:t xml:space="preserve"> its </w:t>
      </w:r>
      <w:r w:rsidR="00E23FAF">
        <w:rPr>
          <w:lang w:val="en-US"/>
        </w:rPr>
        <w:t>activities</w:t>
      </w:r>
      <w:r w:rsidR="001720E0">
        <w:rPr>
          <w:lang w:val="en-US"/>
        </w:rPr>
        <w:t xml:space="preserve">, </w:t>
      </w:r>
      <w:r w:rsidR="000E638A">
        <w:rPr>
          <w:lang w:val="en-US"/>
        </w:rPr>
        <w:t xml:space="preserve">close </w:t>
      </w:r>
      <w:r w:rsidR="00E23FAF">
        <w:rPr>
          <w:lang w:val="en-US"/>
        </w:rPr>
        <w:t>a number of gaps</w:t>
      </w:r>
      <w:r w:rsidR="000E638A">
        <w:rPr>
          <w:lang w:val="en-US"/>
        </w:rPr>
        <w:t xml:space="preserve"> a</w:t>
      </w:r>
      <w:r w:rsidR="00E23FAF">
        <w:rPr>
          <w:lang w:val="en-US"/>
        </w:rPr>
        <w:t xml:space="preserve">nd </w:t>
      </w:r>
      <w:r w:rsidR="0048022F">
        <w:rPr>
          <w:lang w:val="en-US"/>
        </w:rPr>
        <w:t>further build its capability in environmental compliance</w:t>
      </w:r>
      <w:r w:rsidR="00464E28">
        <w:rPr>
          <w:lang w:val="en-US"/>
        </w:rPr>
        <w:t>. This will</w:t>
      </w:r>
      <w:r w:rsidR="00E23FAF">
        <w:rPr>
          <w:lang w:val="en-US"/>
        </w:rPr>
        <w:t xml:space="preserve"> increase the government’s and the communit</w:t>
      </w:r>
      <w:r w:rsidR="0065580B">
        <w:rPr>
          <w:lang w:val="en-US"/>
        </w:rPr>
        <w:t>y’</w:t>
      </w:r>
      <w:r w:rsidR="00E23FAF">
        <w:rPr>
          <w:lang w:val="en-US"/>
        </w:rPr>
        <w:t xml:space="preserve">s confidence in the effectiveness </w:t>
      </w:r>
      <w:r w:rsidR="00810276">
        <w:rPr>
          <w:lang w:val="en-US"/>
        </w:rPr>
        <w:t xml:space="preserve">of the administration of environmental legislation in </w:t>
      </w:r>
      <w:r w:rsidR="008A05BC">
        <w:rPr>
          <w:lang w:val="en-US"/>
        </w:rPr>
        <w:t>mitigating risks</w:t>
      </w:r>
      <w:r w:rsidR="00810276">
        <w:rPr>
          <w:lang w:val="en-US"/>
        </w:rPr>
        <w:t xml:space="preserve"> to the environment</w:t>
      </w:r>
      <w:r w:rsidR="00BB36DD">
        <w:rPr>
          <w:lang w:val="en-US"/>
        </w:rPr>
        <w:t>.</w:t>
      </w:r>
    </w:p>
    <w:p w14:paraId="01C0DB20" w14:textId="54173284" w:rsidR="00416FD5" w:rsidRDefault="004702DF" w:rsidP="005202D8">
      <w:pPr>
        <w:pStyle w:val="Heading2"/>
        <w:rPr>
          <w:lang w:val="en-US"/>
        </w:rPr>
      </w:pPr>
      <w:bookmarkStart w:id="17" w:name="_Toc72504367"/>
      <w:r>
        <w:rPr>
          <w:lang w:val="en-US"/>
        </w:rPr>
        <w:t>Background</w:t>
      </w:r>
      <w:bookmarkEnd w:id="17"/>
    </w:p>
    <w:p w14:paraId="61C34B71" w14:textId="7D8C567B" w:rsidR="0086409F" w:rsidRDefault="00AE3797">
      <w:pPr>
        <w:rPr>
          <w:lang w:val="en-US"/>
        </w:rPr>
      </w:pPr>
      <w:r>
        <w:rPr>
          <w:lang w:val="en-US"/>
        </w:rPr>
        <w:t xml:space="preserve">The </w:t>
      </w:r>
      <w:r w:rsidR="006E4AFA">
        <w:rPr>
          <w:lang w:val="en-US"/>
        </w:rPr>
        <w:t xml:space="preserve">Department </w:t>
      </w:r>
      <w:r w:rsidR="004544C6">
        <w:rPr>
          <w:lang w:val="en-US"/>
        </w:rPr>
        <w:t>is responsible</w:t>
      </w:r>
      <w:r w:rsidR="00DF6055">
        <w:rPr>
          <w:lang w:val="en-US"/>
        </w:rPr>
        <w:t xml:space="preserve"> for administering </w:t>
      </w:r>
      <w:r w:rsidR="4101B9FE">
        <w:rPr>
          <w:lang w:val="en-US"/>
        </w:rPr>
        <w:t xml:space="preserve">15 Acts </w:t>
      </w:r>
      <w:r w:rsidR="00A30159">
        <w:rPr>
          <w:lang w:val="en-US"/>
        </w:rPr>
        <w:t xml:space="preserve">of </w:t>
      </w:r>
      <w:r w:rsidR="00A30159" w:rsidRPr="009F7246">
        <w:rPr>
          <w:lang w:val="en-US"/>
        </w:rPr>
        <w:t xml:space="preserve">Parliament </w:t>
      </w:r>
      <w:r w:rsidR="00E4615B" w:rsidRPr="009F7246">
        <w:rPr>
          <w:lang w:val="en-US"/>
        </w:rPr>
        <w:t>(</w:t>
      </w:r>
      <w:hyperlink w:anchor="_Attachment_B_–" w:history="1">
        <w:r w:rsidR="00E4615B" w:rsidRPr="009F7246">
          <w:rPr>
            <w:rStyle w:val="Hyperlink"/>
            <w:lang w:val="en-US"/>
          </w:rPr>
          <w:t>Attac</w:t>
        </w:r>
        <w:r w:rsidR="00E510E3" w:rsidRPr="009F7246">
          <w:rPr>
            <w:rStyle w:val="Hyperlink"/>
            <w:lang w:val="en-US"/>
          </w:rPr>
          <w:t>h</w:t>
        </w:r>
        <w:r w:rsidR="00E4615B" w:rsidRPr="009F7246">
          <w:rPr>
            <w:rStyle w:val="Hyperlink"/>
            <w:lang w:val="en-US"/>
          </w:rPr>
          <w:t>ment B</w:t>
        </w:r>
      </w:hyperlink>
      <w:r w:rsidR="00E4615B" w:rsidRPr="009F7246">
        <w:rPr>
          <w:lang w:val="en-US"/>
        </w:rPr>
        <w:t>)</w:t>
      </w:r>
      <w:r w:rsidR="00E4615B">
        <w:rPr>
          <w:lang w:val="en-US"/>
        </w:rPr>
        <w:t xml:space="preserve"> </w:t>
      </w:r>
      <w:r w:rsidR="00DF6055">
        <w:rPr>
          <w:lang w:val="en-US"/>
        </w:rPr>
        <w:t>aimed at protecting Australia’s unique and diverse environment</w:t>
      </w:r>
      <w:r w:rsidR="19234F7D">
        <w:rPr>
          <w:lang w:val="en-US"/>
        </w:rPr>
        <w:t>. S</w:t>
      </w:r>
      <w:r w:rsidR="0074646C">
        <w:rPr>
          <w:lang w:val="en-US"/>
        </w:rPr>
        <w:t>even</w:t>
      </w:r>
      <w:r w:rsidR="00B358E5">
        <w:rPr>
          <w:lang w:val="en-US"/>
        </w:rPr>
        <w:t xml:space="preserve"> </w:t>
      </w:r>
      <w:r w:rsidR="00A30159">
        <w:rPr>
          <w:lang w:val="en-US"/>
        </w:rPr>
        <w:t xml:space="preserve">of these </w:t>
      </w:r>
      <w:r w:rsidR="00B358E5">
        <w:rPr>
          <w:lang w:val="en-US"/>
        </w:rPr>
        <w:t>Acts requi</w:t>
      </w:r>
      <w:r w:rsidR="00A30159">
        <w:rPr>
          <w:lang w:val="en-US"/>
        </w:rPr>
        <w:t>re</w:t>
      </w:r>
      <w:r w:rsidR="00B358E5">
        <w:rPr>
          <w:lang w:val="en-US"/>
        </w:rPr>
        <w:t xml:space="preserve"> dedicated compliance activ</w:t>
      </w:r>
      <w:r w:rsidR="004F794E">
        <w:rPr>
          <w:lang w:val="en-US"/>
        </w:rPr>
        <w:t xml:space="preserve">ity in order to </w:t>
      </w:r>
      <w:r w:rsidR="009C6452">
        <w:rPr>
          <w:lang w:val="en-US"/>
        </w:rPr>
        <w:t xml:space="preserve">enforce their requirements and </w:t>
      </w:r>
      <w:r w:rsidR="004F794E">
        <w:rPr>
          <w:lang w:val="en-US"/>
        </w:rPr>
        <w:t>meet the</w:t>
      </w:r>
      <w:r w:rsidR="00462A28">
        <w:rPr>
          <w:lang w:val="en-US"/>
        </w:rPr>
        <w:t>ir</w:t>
      </w:r>
      <w:r w:rsidR="004F794E">
        <w:rPr>
          <w:lang w:val="en-US"/>
        </w:rPr>
        <w:t xml:space="preserve"> objectives</w:t>
      </w:r>
      <w:r w:rsidR="0088172E">
        <w:rPr>
          <w:lang w:val="en-US"/>
        </w:rPr>
        <w:t xml:space="preserve">. </w:t>
      </w:r>
      <w:r w:rsidR="00B93CBB">
        <w:rPr>
          <w:lang w:val="en-US"/>
        </w:rPr>
        <w:t xml:space="preserve">The </w:t>
      </w:r>
      <w:r w:rsidR="41EC74FF">
        <w:rPr>
          <w:lang w:val="en-US"/>
        </w:rPr>
        <w:t>centr</w:t>
      </w:r>
      <w:r w:rsidR="00A30159">
        <w:rPr>
          <w:lang w:val="en-US"/>
        </w:rPr>
        <w:t>e</w:t>
      </w:r>
      <w:r w:rsidR="41EC74FF">
        <w:rPr>
          <w:lang w:val="en-US"/>
        </w:rPr>
        <w:t>piece</w:t>
      </w:r>
      <w:r w:rsidR="00B93CBB">
        <w:rPr>
          <w:lang w:val="en-US"/>
        </w:rPr>
        <w:t xml:space="preserve"> of thes</w:t>
      </w:r>
      <w:r w:rsidR="00F218A3">
        <w:rPr>
          <w:lang w:val="en-US"/>
        </w:rPr>
        <w:t xml:space="preserve">e acts is the </w:t>
      </w:r>
      <w:r w:rsidR="00F218A3" w:rsidRPr="761DF7AD">
        <w:rPr>
          <w:i/>
          <w:iCs/>
          <w:lang w:val="en-US"/>
        </w:rPr>
        <w:t xml:space="preserve">Environment Protection and </w:t>
      </w:r>
      <w:r w:rsidR="00D27356" w:rsidRPr="761DF7AD">
        <w:rPr>
          <w:i/>
          <w:iCs/>
          <w:lang w:val="en-US"/>
        </w:rPr>
        <w:t>Biod</w:t>
      </w:r>
      <w:r w:rsidR="00F218A3" w:rsidRPr="761DF7AD">
        <w:rPr>
          <w:i/>
          <w:iCs/>
          <w:lang w:val="en-US"/>
        </w:rPr>
        <w:t xml:space="preserve">iversity </w:t>
      </w:r>
      <w:r w:rsidR="00B5001D" w:rsidRPr="761DF7AD">
        <w:rPr>
          <w:i/>
          <w:iCs/>
          <w:lang w:val="en-US"/>
        </w:rPr>
        <w:t>Conservation</w:t>
      </w:r>
      <w:r w:rsidR="00EA0615" w:rsidRPr="761DF7AD">
        <w:rPr>
          <w:i/>
          <w:iCs/>
          <w:lang w:val="en-US"/>
        </w:rPr>
        <w:t xml:space="preserve"> Act 1999</w:t>
      </w:r>
      <w:r w:rsidR="00FD4109">
        <w:rPr>
          <w:lang w:val="en-US"/>
        </w:rPr>
        <w:t xml:space="preserve"> (EPBC Act)</w:t>
      </w:r>
      <w:r w:rsidR="00D431ED">
        <w:rPr>
          <w:rStyle w:val="FootnoteReference"/>
          <w:lang w:val="en-US"/>
        </w:rPr>
        <w:footnoteReference w:id="2"/>
      </w:r>
      <w:r w:rsidR="00EA0615">
        <w:rPr>
          <w:lang w:val="en-US"/>
        </w:rPr>
        <w:t xml:space="preserve">. </w:t>
      </w:r>
      <w:r w:rsidR="0054118E">
        <w:rPr>
          <w:lang w:val="en-US"/>
        </w:rPr>
        <w:t>In addition to this Act</w:t>
      </w:r>
      <w:r w:rsidR="00233B61">
        <w:rPr>
          <w:lang w:val="en-US"/>
        </w:rPr>
        <w:t>,</w:t>
      </w:r>
      <w:r w:rsidR="0054118E">
        <w:rPr>
          <w:lang w:val="en-US"/>
        </w:rPr>
        <w:t xml:space="preserve"> there are </w:t>
      </w:r>
      <w:r w:rsidR="711E47EC">
        <w:rPr>
          <w:lang w:val="en-US"/>
        </w:rPr>
        <w:t>six</w:t>
      </w:r>
      <w:r w:rsidR="0054118E">
        <w:rPr>
          <w:lang w:val="en-US"/>
        </w:rPr>
        <w:t xml:space="preserve"> other </w:t>
      </w:r>
      <w:r w:rsidR="2D7FC72A">
        <w:rPr>
          <w:lang w:val="en-US"/>
        </w:rPr>
        <w:t>environmentally</w:t>
      </w:r>
      <w:r w:rsidR="00781428">
        <w:rPr>
          <w:lang w:val="en-US"/>
        </w:rPr>
        <w:t>-</w:t>
      </w:r>
      <w:r w:rsidR="2D7FC72A">
        <w:rPr>
          <w:lang w:val="en-US"/>
        </w:rPr>
        <w:t>focused</w:t>
      </w:r>
      <w:r w:rsidR="0054118E">
        <w:rPr>
          <w:lang w:val="en-US"/>
        </w:rPr>
        <w:t xml:space="preserve"> Acts </w:t>
      </w:r>
      <w:r w:rsidR="00C92035">
        <w:rPr>
          <w:lang w:val="en-US"/>
        </w:rPr>
        <w:t>that</w:t>
      </w:r>
      <w:r w:rsidR="0054118E">
        <w:rPr>
          <w:lang w:val="en-US"/>
        </w:rPr>
        <w:t xml:space="preserve"> require </w:t>
      </w:r>
      <w:r w:rsidR="5417D3E7">
        <w:rPr>
          <w:lang w:val="en-US"/>
        </w:rPr>
        <w:t xml:space="preserve">dedicated </w:t>
      </w:r>
      <w:r w:rsidR="0054118E">
        <w:rPr>
          <w:lang w:val="en-US"/>
        </w:rPr>
        <w:t xml:space="preserve">ongoing compliance </w:t>
      </w:r>
      <w:r w:rsidR="00C07DC4">
        <w:rPr>
          <w:lang w:val="en-US"/>
        </w:rPr>
        <w:t>action</w:t>
      </w:r>
      <w:r w:rsidR="0054118E">
        <w:rPr>
          <w:lang w:val="en-US"/>
        </w:rPr>
        <w:t xml:space="preserve"> </w:t>
      </w:r>
      <w:r w:rsidR="0C22D700">
        <w:rPr>
          <w:lang w:val="en-US"/>
        </w:rPr>
        <w:t xml:space="preserve">by </w:t>
      </w:r>
      <w:r w:rsidR="00B946E3">
        <w:rPr>
          <w:lang w:val="en-US"/>
        </w:rPr>
        <w:t>ECB</w:t>
      </w:r>
      <w:r w:rsidR="0C22D700">
        <w:rPr>
          <w:lang w:val="en-US"/>
        </w:rPr>
        <w:t xml:space="preserve"> </w:t>
      </w:r>
      <w:r w:rsidR="0054118E">
        <w:rPr>
          <w:lang w:val="en-US"/>
        </w:rPr>
        <w:t xml:space="preserve">to ensure </w:t>
      </w:r>
      <w:r w:rsidR="00B05F0C">
        <w:rPr>
          <w:lang w:val="en-US"/>
        </w:rPr>
        <w:t xml:space="preserve">that </w:t>
      </w:r>
      <w:r w:rsidR="0054118E">
        <w:rPr>
          <w:lang w:val="en-US"/>
        </w:rPr>
        <w:t xml:space="preserve">the legislation is being </w:t>
      </w:r>
      <w:r w:rsidR="00CB7860">
        <w:rPr>
          <w:lang w:val="en-US"/>
        </w:rPr>
        <w:t>enforced</w:t>
      </w:r>
      <w:r w:rsidR="0054118E">
        <w:rPr>
          <w:lang w:val="en-US"/>
        </w:rPr>
        <w:t xml:space="preserve"> effectively.</w:t>
      </w:r>
      <w:r w:rsidR="54C6183C">
        <w:rPr>
          <w:lang w:val="en-US"/>
        </w:rPr>
        <w:t xml:space="preserve"> </w:t>
      </w:r>
      <w:r w:rsidR="00585940">
        <w:rPr>
          <w:lang w:val="en-US"/>
        </w:rPr>
        <w:t>T</w:t>
      </w:r>
      <w:r w:rsidR="54C6183C">
        <w:rPr>
          <w:lang w:val="en-US"/>
        </w:rPr>
        <w:t>he remaining eight</w:t>
      </w:r>
      <w:r w:rsidR="00B05F0C">
        <w:rPr>
          <w:lang w:val="en-US"/>
        </w:rPr>
        <w:t xml:space="preserve"> environmental</w:t>
      </w:r>
      <w:r w:rsidR="54C6183C">
        <w:rPr>
          <w:lang w:val="en-US"/>
        </w:rPr>
        <w:t xml:space="preserve"> Acts </w:t>
      </w:r>
      <w:r w:rsidR="24C47951">
        <w:rPr>
          <w:lang w:val="en-US"/>
        </w:rPr>
        <w:t xml:space="preserve">either </w:t>
      </w:r>
      <w:r w:rsidR="00E01AD8">
        <w:rPr>
          <w:lang w:val="en-US"/>
        </w:rPr>
        <w:t xml:space="preserve">do not have compliance and enforcement obligations or </w:t>
      </w:r>
      <w:r w:rsidR="002F02F3">
        <w:rPr>
          <w:lang w:val="en-US"/>
        </w:rPr>
        <w:t xml:space="preserve">these are </w:t>
      </w:r>
      <w:r w:rsidR="54C6183C">
        <w:rPr>
          <w:lang w:val="en-US"/>
        </w:rPr>
        <w:t xml:space="preserve">managed </w:t>
      </w:r>
      <w:r w:rsidR="002F02F3">
        <w:rPr>
          <w:lang w:val="en-US"/>
        </w:rPr>
        <w:t xml:space="preserve">by </w:t>
      </w:r>
      <w:r w:rsidR="001E696D">
        <w:rPr>
          <w:lang w:val="en-US"/>
        </w:rPr>
        <w:t xml:space="preserve">other divisions of the Department, </w:t>
      </w:r>
      <w:r w:rsidR="002F02F3">
        <w:rPr>
          <w:lang w:val="en-US"/>
        </w:rPr>
        <w:t xml:space="preserve">other </w:t>
      </w:r>
      <w:r w:rsidR="00C37399">
        <w:rPr>
          <w:lang w:val="en-US"/>
        </w:rPr>
        <w:t xml:space="preserve">Commonwealth </w:t>
      </w:r>
      <w:r w:rsidR="002F02F3">
        <w:rPr>
          <w:lang w:val="en-US"/>
        </w:rPr>
        <w:t xml:space="preserve">agencies, </w:t>
      </w:r>
      <w:r w:rsidR="54C6183C">
        <w:rPr>
          <w:lang w:val="en-US"/>
        </w:rPr>
        <w:t xml:space="preserve">by entities </w:t>
      </w:r>
      <w:r w:rsidR="5352CB57">
        <w:rPr>
          <w:lang w:val="en-US"/>
        </w:rPr>
        <w:t>specifically</w:t>
      </w:r>
      <w:r w:rsidR="54C6183C">
        <w:rPr>
          <w:lang w:val="en-US"/>
        </w:rPr>
        <w:t xml:space="preserve"> established to </w:t>
      </w:r>
      <w:r w:rsidR="69AA0E1F">
        <w:rPr>
          <w:lang w:val="en-US"/>
        </w:rPr>
        <w:t>undertake</w:t>
      </w:r>
      <w:r w:rsidR="54C6183C">
        <w:rPr>
          <w:lang w:val="en-US"/>
        </w:rPr>
        <w:t xml:space="preserve"> this role,</w:t>
      </w:r>
      <w:r w:rsidR="00C37399">
        <w:rPr>
          <w:lang w:val="en-US"/>
        </w:rPr>
        <w:t xml:space="preserve"> or by</w:t>
      </w:r>
      <w:r w:rsidR="54C6183C">
        <w:rPr>
          <w:lang w:val="en-US"/>
        </w:rPr>
        <w:t xml:space="preserve"> </w:t>
      </w:r>
      <w:r w:rsidR="00700CDA">
        <w:rPr>
          <w:lang w:val="en-US"/>
        </w:rPr>
        <w:t>s</w:t>
      </w:r>
      <w:r w:rsidR="54C6183C">
        <w:rPr>
          <w:lang w:val="en-US"/>
        </w:rPr>
        <w:t>tate</w:t>
      </w:r>
      <w:r w:rsidR="00700CDA">
        <w:rPr>
          <w:lang w:val="en-US"/>
        </w:rPr>
        <w:t>s</w:t>
      </w:r>
      <w:r w:rsidR="54C6183C">
        <w:rPr>
          <w:lang w:val="en-US"/>
        </w:rPr>
        <w:t xml:space="preserve"> and </w:t>
      </w:r>
      <w:r w:rsidR="00700CDA">
        <w:rPr>
          <w:lang w:val="en-US"/>
        </w:rPr>
        <w:t>t</w:t>
      </w:r>
      <w:r w:rsidR="54C6183C">
        <w:rPr>
          <w:lang w:val="en-US"/>
        </w:rPr>
        <w:t>erritorie</w:t>
      </w:r>
      <w:r w:rsidR="3B1715F1">
        <w:rPr>
          <w:lang w:val="en-US"/>
        </w:rPr>
        <w:t>s</w:t>
      </w:r>
      <w:r w:rsidR="4DCF691B">
        <w:rPr>
          <w:lang w:val="en-US"/>
        </w:rPr>
        <w:t>.</w:t>
      </w:r>
    </w:p>
    <w:p w14:paraId="7B9A4A2F" w14:textId="4200558B" w:rsidR="00414821" w:rsidRDefault="002D1548">
      <w:pPr>
        <w:rPr>
          <w:lang w:val="en-US"/>
        </w:rPr>
      </w:pPr>
      <w:r>
        <w:rPr>
          <w:lang w:val="en-US"/>
        </w:rPr>
        <w:t>The Australian National Audit Office</w:t>
      </w:r>
      <w:r w:rsidR="002A3241">
        <w:rPr>
          <w:lang w:val="en-US"/>
        </w:rPr>
        <w:t xml:space="preserve"> </w:t>
      </w:r>
      <w:r>
        <w:rPr>
          <w:lang w:val="en-US"/>
        </w:rPr>
        <w:t>(</w:t>
      </w:r>
      <w:r w:rsidR="002A3241">
        <w:rPr>
          <w:lang w:val="en-US"/>
        </w:rPr>
        <w:t>ANAO</w:t>
      </w:r>
      <w:r>
        <w:rPr>
          <w:lang w:val="en-US"/>
        </w:rPr>
        <w:t>)</w:t>
      </w:r>
      <w:r w:rsidR="002A3241">
        <w:rPr>
          <w:lang w:val="en-US"/>
        </w:rPr>
        <w:t xml:space="preserve"> undertook an independent performance audit</w:t>
      </w:r>
      <w:r w:rsidR="002F2D51">
        <w:rPr>
          <w:lang w:val="en-US"/>
        </w:rPr>
        <w:t xml:space="preserve"> </w:t>
      </w:r>
      <w:r w:rsidR="00D27356">
        <w:rPr>
          <w:lang w:val="en-US"/>
        </w:rPr>
        <w:t xml:space="preserve">and published a report </w:t>
      </w:r>
      <w:r w:rsidRPr="002D1548">
        <w:rPr>
          <w:lang w:val="en-US"/>
        </w:rPr>
        <w:t xml:space="preserve">(Auditor-General Report No.47 2019–20: </w:t>
      </w:r>
      <w:r w:rsidRPr="002D1548">
        <w:rPr>
          <w:i/>
          <w:iCs/>
          <w:lang w:val="en-US"/>
        </w:rPr>
        <w:t>Referrals, Assessments and Approvals of Controlled Actions under the Environment Protection and Biodiversity Conservation Act 1999</w:t>
      </w:r>
      <w:r w:rsidRPr="002D1548">
        <w:rPr>
          <w:lang w:val="en-US"/>
        </w:rPr>
        <w:t>, May 2020</w:t>
      </w:r>
      <w:r w:rsidR="00D27356">
        <w:rPr>
          <w:lang w:val="en-US"/>
        </w:rPr>
        <w:t>)</w:t>
      </w:r>
      <w:r w:rsidR="00002D28">
        <w:rPr>
          <w:rStyle w:val="FootnoteReference"/>
          <w:lang w:val="en-US"/>
        </w:rPr>
        <w:footnoteReference w:id="3"/>
      </w:r>
      <w:r>
        <w:rPr>
          <w:lang w:val="en-US"/>
        </w:rPr>
        <w:t xml:space="preserve"> that</w:t>
      </w:r>
      <w:r w:rsidR="001B23A1">
        <w:rPr>
          <w:lang w:val="en-US"/>
        </w:rPr>
        <w:t xml:space="preserve"> ma</w:t>
      </w:r>
      <w:r w:rsidR="00B166D9">
        <w:rPr>
          <w:lang w:val="en-US"/>
        </w:rPr>
        <w:t xml:space="preserve">de </w:t>
      </w:r>
      <w:r w:rsidR="00D27356">
        <w:rPr>
          <w:lang w:val="en-US"/>
        </w:rPr>
        <w:t>eight</w:t>
      </w:r>
      <w:r w:rsidR="00B166D9">
        <w:rPr>
          <w:lang w:val="en-US"/>
        </w:rPr>
        <w:t xml:space="preserve"> recommendations aimed at improving the administration of the </w:t>
      </w:r>
      <w:r w:rsidR="004C2E79">
        <w:rPr>
          <w:lang w:val="en-US"/>
        </w:rPr>
        <w:t xml:space="preserve">EPBC </w:t>
      </w:r>
      <w:r w:rsidR="00B166D9">
        <w:rPr>
          <w:lang w:val="en-US"/>
        </w:rPr>
        <w:t xml:space="preserve">Act by the Department. </w:t>
      </w:r>
      <w:r w:rsidR="00DF689F">
        <w:rPr>
          <w:lang w:val="en-US"/>
        </w:rPr>
        <w:t xml:space="preserve">The Department accepted </w:t>
      </w:r>
      <w:r w:rsidR="00F653F7">
        <w:rPr>
          <w:lang w:val="en-US"/>
        </w:rPr>
        <w:t>all</w:t>
      </w:r>
      <w:r w:rsidR="00DF689F">
        <w:rPr>
          <w:lang w:val="en-US"/>
        </w:rPr>
        <w:t xml:space="preserve"> the recommendation</w:t>
      </w:r>
      <w:r w:rsidR="008B23A4">
        <w:rPr>
          <w:lang w:val="en-US"/>
        </w:rPr>
        <w:t>s</w:t>
      </w:r>
      <w:r w:rsidR="00DF689F">
        <w:rPr>
          <w:lang w:val="en-US"/>
        </w:rPr>
        <w:t xml:space="preserve"> of the </w:t>
      </w:r>
      <w:r w:rsidR="00B35233">
        <w:rPr>
          <w:lang w:val="en-US"/>
        </w:rPr>
        <w:t xml:space="preserve">audit and has commenced a detailed program of work to </w:t>
      </w:r>
      <w:r w:rsidR="00AE3797">
        <w:rPr>
          <w:lang w:val="en-US"/>
        </w:rPr>
        <w:t xml:space="preserve">address </w:t>
      </w:r>
      <w:r w:rsidR="00D27356">
        <w:rPr>
          <w:lang w:val="en-US"/>
        </w:rPr>
        <w:t>these</w:t>
      </w:r>
      <w:r w:rsidR="00AE3797">
        <w:rPr>
          <w:lang w:val="en-US"/>
        </w:rPr>
        <w:t xml:space="preserve"> recommendations.</w:t>
      </w:r>
    </w:p>
    <w:p w14:paraId="19943798" w14:textId="7A0269DB" w:rsidR="00ED6057" w:rsidRPr="000C5973" w:rsidRDefault="00A501AD">
      <w:pPr>
        <w:rPr>
          <w:lang w:val="en-US"/>
        </w:rPr>
      </w:pPr>
      <w:r>
        <w:rPr>
          <w:lang w:val="en-US"/>
        </w:rPr>
        <w:lastRenderedPageBreak/>
        <w:t>The Department commissioned t</w:t>
      </w:r>
      <w:r w:rsidR="00B166D9">
        <w:rPr>
          <w:lang w:val="en-US"/>
        </w:rPr>
        <w:t>h</w:t>
      </w:r>
      <w:r w:rsidR="004167C5">
        <w:rPr>
          <w:lang w:val="en-US"/>
        </w:rPr>
        <w:t xml:space="preserve">e Review </w:t>
      </w:r>
      <w:r>
        <w:rPr>
          <w:lang w:val="en-US"/>
        </w:rPr>
        <w:t xml:space="preserve">to </w:t>
      </w:r>
      <w:r w:rsidR="00C92035">
        <w:rPr>
          <w:lang w:val="en-US"/>
        </w:rPr>
        <w:t xml:space="preserve">assist in </w:t>
      </w:r>
      <w:r>
        <w:rPr>
          <w:lang w:val="en-US"/>
        </w:rPr>
        <w:t>address</w:t>
      </w:r>
      <w:r w:rsidR="00C92035">
        <w:rPr>
          <w:lang w:val="en-US"/>
        </w:rPr>
        <w:t>ing</w:t>
      </w:r>
      <w:r w:rsidR="00104836">
        <w:rPr>
          <w:lang w:val="en-US"/>
        </w:rPr>
        <w:t xml:space="preserve"> recommendation 2</w:t>
      </w:r>
      <w:r w:rsidR="00414821">
        <w:rPr>
          <w:lang w:val="en-US"/>
        </w:rPr>
        <w:t xml:space="preserve"> of the ANAO audit</w:t>
      </w:r>
      <w:r w:rsidR="00104836">
        <w:rPr>
          <w:lang w:val="en-US"/>
        </w:rPr>
        <w:t xml:space="preserve">, </w:t>
      </w:r>
      <w:r w:rsidR="00066FEF">
        <w:rPr>
          <w:lang w:val="en-US"/>
        </w:rPr>
        <w:t>which proposes</w:t>
      </w:r>
      <w:r w:rsidR="00F45A85">
        <w:rPr>
          <w:lang w:val="en-US"/>
        </w:rPr>
        <w:t xml:space="preserve"> that</w:t>
      </w:r>
      <w:r w:rsidR="00CD74F8">
        <w:rPr>
          <w:lang w:val="en-US"/>
        </w:rPr>
        <w:t xml:space="preserve"> </w:t>
      </w:r>
      <w:r w:rsidR="00412592">
        <w:rPr>
          <w:lang w:val="en-US"/>
        </w:rPr>
        <w:t>‘</w:t>
      </w:r>
      <w:r w:rsidR="00002D3C">
        <w:rPr>
          <w:lang w:val="en-US"/>
        </w:rPr>
        <w:t xml:space="preserve">The Department conduct an </w:t>
      </w:r>
      <w:r w:rsidR="00F653F7">
        <w:rPr>
          <w:lang w:val="en-US"/>
        </w:rPr>
        <w:t>up-to-date</w:t>
      </w:r>
      <w:r w:rsidR="00002D3C">
        <w:rPr>
          <w:lang w:val="en-US"/>
        </w:rPr>
        <w:t xml:space="preserve"> </w:t>
      </w:r>
      <w:r w:rsidR="00737893">
        <w:rPr>
          <w:lang w:val="en-US"/>
        </w:rPr>
        <w:t>risk</w:t>
      </w:r>
      <w:r w:rsidR="00002D3C">
        <w:rPr>
          <w:lang w:val="en-US"/>
        </w:rPr>
        <w:t xml:space="preserve"> assessment of </w:t>
      </w:r>
      <w:r w:rsidR="002D1269">
        <w:rPr>
          <w:lang w:val="en-US"/>
        </w:rPr>
        <w:t>non</w:t>
      </w:r>
      <w:r w:rsidR="00E75A69">
        <w:rPr>
          <w:lang w:val="en-US"/>
        </w:rPr>
        <w:t>-</w:t>
      </w:r>
      <w:r w:rsidR="002D1269">
        <w:rPr>
          <w:lang w:val="en-US"/>
        </w:rPr>
        <w:t>compliance</w:t>
      </w:r>
      <w:r w:rsidR="00002D3C">
        <w:rPr>
          <w:lang w:val="en-US"/>
        </w:rPr>
        <w:t xml:space="preserve"> across its environmental regulatory regime</w:t>
      </w:r>
      <w:r w:rsidR="00737893">
        <w:rPr>
          <w:lang w:val="en-US"/>
        </w:rPr>
        <w:t xml:space="preserve">s and develop and implement arrangements to </w:t>
      </w:r>
      <w:r w:rsidR="62F55599" w:rsidRPr="2B31E4CD">
        <w:rPr>
          <w:lang w:val="en-US"/>
        </w:rPr>
        <w:t>prioritis</w:t>
      </w:r>
      <w:r w:rsidR="009F2155">
        <w:rPr>
          <w:lang w:val="en-US"/>
        </w:rPr>
        <w:t>e</w:t>
      </w:r>
      <w:r w:rsidR="00737893">
        <w:rPr>
          <w:lang w:val="en-US"/>
        </w:rPr>
        <w:t xml:space="preserve"> its strategic compliance assessments</w:t>
      </w:r>
      <w:r w:rsidR="00412592">
        <w:rPr>
          <w:lang w:val="en-US"/>
        </w:rPr>
        <w:t>’</w:t>
      </w:r>
      <w:r w:rsidR="00737893">
        <w:rPr>
          <w:lang w:val="en-US"/>
        </w:rPr>
        <w:t>.</w:t>
      </w:r>
      <w:r w:rsidR="0088172E">
        <w:rPr>
          <w:lang w:val="en-US"/>
        </w:rPr>
        <w:t xml:space="preserve"> </w:t>
      </w:r>
      <w:r w:rsidR="00E636AD">
        <w:rPr>
          <w:lang w:val="en-US"/>
        </w:rPr>
        <w:t>The Review consider</w:t>
      </w:r>
      <w:r w:rsidR="00AA45BB">
        <w:rPr>
          <w:lang w:val="en-US"/>
        </w:rPr>
        <w:t>s</w:t>
      </w:r>
      <w:r w:rsidR="00855A50" w:rsidRPr="407FAF5F">
        <w:rPr>
          <w:lang w:val="en-US"/>
        </w:rPr>
        <w:t xml:space="preserve"> </w:t>
      </w:r>
      <w:r w:rsidR="22C265DC" w:rsidRPr="407FAF5F">
        <w:rPr>
          <w:lang w:val="en-US"/>
        </w:rPr>
        <w:t>there are a number</w:t>
      </w:r>
      <w:r w:rsidR="00855A50">
        <w:rPr>
          <w:lang w:val="en-US"/>
        </w:rPr>
        <w:t xml:space="preserve"> </w:t>
      </w:r>
      <w:r w:rsidR="22C265DC" w:rsidRPr="3CD67198">
        <w:rPr>
          <w:lang w:val="en-US"/>
        </w:rPr>
        <w:t xml:space="preserve">of risks in respect of </w:t>
      </w:r>
      <w:r w:rsidR="00D92CDA">
        <w:rPr>
          <w:lang w:val="en-US"/>
        </w:rPr>
        <w:t>the Department’s</w:t>
      </w:r>
      <w:r w:rsidR="001E08FD">
        <w:rPr>
          <w:lang w:val="en-US"/>
        </w:rPr>
        <w:t xml:space="preserve"> compliance activities</w:t>
      </w:r>
      <w:r w:rsidR="62EEFE39" w:rsidRPr="5B43520F">
        <w:rPr>
          <w:lang w:val="en-US"/>
        </w:rPr>
        <w:t>,</w:t>
      </w:r>
      <w:r w:rsidR="001E08FD">
        <w:rPr>
          <w:lang w:val="en-US"/>
        </w:rPr>
        <w:t xml:space="preserve"> </w:t>
      </w:r>
      <w:r w:rsidR="00855A50">
        <w:rPr>
          <w:lang w:val="en-US"/>
        </w:rPr>
        <w:t xml:space="preserve">not </w:t>
      </w:r>
      <w:r w:rsidR="00335BE2">
        <w:rPr>
          <w:lang w:val="en-US"/>
        </w:rPr>
        <w:t>only</w:t>
      </w:r>
      <w:r w:rsidR="00855A50">
        <w:rPr>
          <w:lang w:val="en-US"/>
        </w:rPr>
        <w:t xml:space="preserve"> in </w:t>
      </w:r>
      <w:r w:rsidR="001E08FD">
        <w:rPr>
          <w:lang w:val="en-US"/>
        </w:rPr>
        <w:t>respect of the EPBC Act</w:t>
      </w:r>
      <w:r w:rsidR="22FDDBAE" w:rsidRPr="5B43520F">
        <w:rPr>
          <w:lang w:val="en-US"/>
        </w:rPr>
        <w:t>,</w:t>
      </w:r>
      <w:r w:rsidR="001E08FD">
        <w:rPr>
          <w:lang w:val="en-US"/>
        </w:rPr>
        <w:t xml:space="preserve"> but </w:t>
      </w:r>
      <w:r w:rsidR="00335BE2">
        <w:rPr>
          <w:lang w:val="en-US"/>
        </w:rPr>
        <w:t xml:space="preserve">also </w:t>
      </w:r>
      <w:r w:rsidR="00882E79">
        <w:rPr>
          <w:lang w:val="en-US"/>
        </w:rPr>
        <w:t xml:space="preserve">across the range of </w:t>
      </w:r>
      <w:r w:rsidR="001962AD">
        <w:rPr>
          <w:lang w:val="en-US"/>
        </w:rPr>
        <w:t xml:space="preserve">environmental </w:t>
      </w:r>
      <w:r w:rsidR="00882E79">
        <w:rPr>
          <w:lang w:val="en-US"/>
        </w:rPr>
        <w:t>regulatory regimes</w:t>
      </w:r>
      <w:r w:rsidR="001962AD">
        <w:rPr>
          <w:lang w:val="en-US"/>
        </w:rPr>
        <w:t xml:space="preserve"> for which </w:t>
      </w:r>
      <w:r w:rsidR="002328E7">
        <w:rPr>
          <w:lang w:val="en-US"/>
        </w:rPr>
        <w:t>legislation</w:t>
      </w:r>
      <w:r w:rsidR="001962AD">
        <w:rPr>
          <w:lang w:val="en-US"/>
        </w:rPr>
        <w:t xml:space="preserve"> </w:t>
      </w:r>
      <w:r w:rsidR="008030B2">
        <w:rPr>
          <w:lang w:val="en-US"/>
        </w:rPr>
        <w:t>require</w:t>
      </w:r>
      <w:r w:rsidR="002328E7">
        <w:rPr>
          <w:lang w:val="en-US"/>
        </w:rPr>
        <w:t>s</w:t>
      </w:r>
      <w:r w:rsidR="001962AD">
        <w:rPr>
          <w:lang w:val="en-US"/>
        </w:rPr>
        <w:t xml:space="preserve"> </w:t>
      </w:r>
      <w:r w:rsidR="00305845">
        <w:rPr>
          <w:lang w:val="en-US"/>
        </w:rPr>
        <w:t xml:space="preserve">the Department to undertake </w:t>
      </w:r>
      <w:r w:rsidR="00E315AF">
        <w:rPr>
          <w:lang w:val="en-US"/>
        </w:rPr>
        <w:t xml:space="preserve">compliance </w:t>
      </w:r>
      <w:r w:rsidR="00305845">
        <w:rPr>
          <w:lang w:val="en-US"/>
        </w:rPr>
        <w:t>activities</w:t>
      </w:r>
      <w:r w:rsidR="00E315AF">
        <w:rPr>
          <w:lang w:val="en-US"/>
        </w:rPr>
        <w:t>.</w:t>
      </w:r>
      <w:bookmarkStart w:id="18" w:name="_Toc66804399"/>
    </w:p>
    <w:p w14:paraId="0B70C2FB" w14:textId="1A96785D" w:rsidR="00E11D20" w:rsidRPr="00664B3E" w:rsidRDefault="00E11D20" w:rsidP="005202D8">
      <w:pPr>
        <w:pStyle w:val="Heading2"/>
        <w:rPr>
          <w:lang w:val="en-US"/>
        </w:rPr>
      </w:pPr>
      <w:bookmarkStart w:id="19" w:name="_Toc72504368"/>
      <w:r w:rsidRPr="00664B3E">
        <w:rPr>
          <w:lang w:val="en-US"/>
        </w:rPr>
        <w:t>Terms of Reference</w:t>
      </w:r>
      <w:bookmarkEnd w:id="18"/>
      <w:bookmarkEnd w:id="19"/>
      <w:r>
        <w:rPr>
          <w:lang w:val="en-US"/>
        </w:rPr>
        <w:t xml:space="preserve"> </w:t>
      </w:r>
    </w:p>
    <w:p w14:paraId="7FF4C9E8" w14:textId="654E7204" w:rsidR="00E11D20" w:rsidRDefault="00E11D20" w:rsidP="00E11D20">
      <w:pPr>
        <w:rPr>
          <w:lang w:val="en-US"/>
        </w:rPr>
      </w:pPr>
      <w:r w:rsidRPr="566A8159">
        <w:rPr>
          <w:lang w:val="en-US"/>
        </w:rPr>
        <w:t xml:space="preserve">The </w:t>
      </w:r>
      <w:r>
        <w:rPr>
          <w:lang w:val="en-US"/>
        </w:rPr>
        <w:t xml:space="preserve">Terms of Reference </w:t>
      </w:r>
      <w:r w:rsidR="00A3143E">
        <w:rPr>
          <w:lang w:val="en-US"/>
        </w:rPr>
        <w:t>seek</w:t>
      </w:r>
      <w:r>
        <w:rPr>
          <w:lang w:val="en-US"/>
        </w:rPr>
        <w:t xml:space="preserve"> the </w:t>
      </w:r>
      <w:r w:rsidRPr="566A8159">
        <w:rPr>
          <w:lang w:val="en-US"/>
        </w:rPr>
        <w:t xml:space="preserve">Review </w:t>
      </w:r>
      <w:r>
        <w:rPr>
          <w:lang w:val="en-US"/>
        </w:rPr>
        <w:t>to address</w:t>
      </w:r>
      <w:r w:rsidRPr="566A8159">
        <w:rPr>
          <w:lang w:val="en-US"/>
        </w:rPr>
        <w:t xml:space="preserve"> the following</w:t>
      </w:r>
      <w:r>
        <w:rPr>
          <w:lang w:val="en-US"/>
        </w:rPr>
        <w:t xml:space="preserve"> questions</w:t>
      </w:r>
      <w:r w:rsidRPr="566A8159">
        <w:rPr>
          <w:lang w:val="en-US"/>
        </w:rPr>
        <w:t>:</w:t>
      </w:r>
    </w:p>
    <w:p w14:paraId="6CF2C85B" w14:textId="77777777" w:rsidR="00E11D20" w:rsidRPr="00262570" w:rsidRDefault="00E11D20" w:rsidP="00D83F6D">
      <w:pPr>
        <w:pStyle w:val="ListParagraph"/>
        <w:numPr>
          <w:ilvl w:val="0"/>
          <w:numId w:val="2"/>
        </w:numPr>
        <w:rPr>
          <w:lang w:val="en-US"/>
        </w:rPr>
      </w:pPr>
      <w:r w:rsidRPr="00262570">
        <w:rPr>
          <w:lang w:val="en-US"/>
        </w:rPr>
        <w:t>What are the non-compliance risks with each environmental regulatory regime?</w:t>
      </w:r>
    </w:p>
    <w:p w14:paraId="38FD4DA9" w14:textId="77777777" w:rsidR="00E11D20" w:rsidRPr="00664B3E" w:rsidRDefault="00E11D20" w:rsidP="00D83F6D">
      <w:pPr>
        <w:pStyle w:val="ListParagraph"/>
        <w:numPr>
          <w:ilvl w:val="0"/>
          <w:numId w:val="2"/>
        </w:numPr>
        <w:rPr>
          <w:lang w:val="en-US"/>
        </w:rPr>
      </w:pPr>
      <w:r w:rsidRPr="00664B3E">
        <w:rPr>
          <w:lang w:val="en-US"/>
        </w:rPr>
        <w:t>What are the risk consequences, probability and significance? How do they compare to each other?</w:t>
      </w:r>
    </w:p>
    <w:p w14:paraId="689916F2" w14:textId="77777777" w:rsidR="00E11D20" w:rsidRPr="00664B3E" w:rsidRDefault="00E11D20" w:rsidP="00D83F6D">
      <w:pPr>
        <w:pStyle w:val="ListParagraph"/>
        <w:numPr>
          <w:ilvl w:val="0"/>
          <w:numId w:val="2"/>
        </w:numPr>
        <w:rPr>
          <w:lang w:val="en-US"/>
        </w:rPr>
      </w:pPr>
      <w:r w:rsidRPr="00664B3E">
        <w:rPr>
          <w:lang w:val="en-US"/>
        </w:rPr>
        <w:t>What compliance activities are already undertaken by the Department to manage those risks?</w:t>
      </w:r>
    </w:p>
    <w:p w14:paraId="541237DA" w14:textId="77777777" w:rsidR="00E11D20" w:rsidRPr="00664B3E" w:rsidRDefault="00E11D20" w:rsidP="00D83F6D">
      <w:pPr>
        <w:pStyle w:val="ListParagraph"/>
        <w:numPr>
          <w:ilvl w:val="0"/>
          <w:numId w:val="2"/>
        </w:numPr>
        <w:rPr>
          <w:lang w:val="en-US"/>
        </w:rPr>
      </w:pPr>
      <w:r w:rsidRPr="00664B3E">
        <w:rPr>
          <w:lang w:val="en-US"/>
        </w:rPr>
        <w:t>Are there gaps in compliance activities which could result in serious environmental, social, reputational, political, economic, legal or other harm?</w:t>
      </w:r>
    </w:p>
    <w:p w14:paraId="59F57C49" w14:textId="77777777" w:rsidR="00E11D20" w:rsidRPr="00664B3E" w:rsidRDefault="00E11D20" w:rsidP="00D83F6D">
      <w:pPr>
        <w:pStyle w:val="ListParagraph"/>
        <w:numPr>
          <w:ilvl w:val="0"/>
          <w:numId w:val="2"/>
        </w:numPr>
        <w:rPr>
          <w:lang w:val="en-US"/>
        </w:rPr>
      </w:pPr>
      <w:r w:rsidRPr="566A8159">
        <w:rPr>
          <w:lang w:val="en-US"/>
        </w:rPr>
        <w:t>What are the benchmarks in other environmental regulatory jurisdictions (e.g. Canada, New Zealand</w:t>
      </w:r>
      <w:r>
        <w:rPr>
          <w:lang w:val="en-US"/>
        </w:rPr>
        <w:t>)</w:t>
      </w:r>
      <w:r w:rsidRPr="566A8159">
        <w:rPr>
          <w:lang w:val="en-US"/>
        </w:rPr>
        <w:t xml:space="preserve"> for indicating compliance effort required?</w:t>
      </w:r>
    </w:p>
    <w:p w14:paraId="39ADF169" w14:textId="77777777" w:rsidR="00E11D20" w:rsidRPr="00664B3E" w:rsidRDefault="00E11D20" w:rsidP="00D83F6D">
      <w:pPr>
        <w:pStyle w:val="ListParagraph"/>
        <w:numPr>
          <w:ilvl w:val="0"/>
          <w:numId w:val="2"/>
        </w:numPr>
        <w:rPr>
          <w:lang w:val="en-US"/>
        </w:rPr>
      </w:pPr>
      <w:r w:rsidRPr="00664B3E">
        <w:rPr>
          <w:lang w:val="en-US"/>
        </w:rPr>
        <w:t>What regulatory tools should the Department consider (i.e. levers in legislation, monitoring tools, building and reliance on social license to maintain risk in an activity doer, etc.)</w:t>
      </w:r>
      <w:r>
        <w:rPr>
          <w:lang w:val="en-US"/>
        </w:rPr>
        <w:t>?</w:t>
      </w:r>
    </w:p>
    <w:p w14:paraId="40CAF947" w14:textId="5CDF3312" w:rsidR="00E11D20" w:rsidRPr="003E5022" w:rsidRDefault="003C2C2C" w:rsidP="005202D8">
      <w:pPr>
        <w:pStyle w:val="Heading2"/>
        <w:rPr>
          <w:lang w:val="en-US"/>
        </w:rPr>
      </w:pPr>
      <w:bookmarkStart w:id="20" w:name="_Toc72504369"/>
      <w:r w:rsidRPr="761DF7AD">
        <w:rPr>
          <w:lang w:val="en-US"/>
        </w:rPr>
        <w:t>The R</w:t>
      </w:r>
      <w:r w:rsidR="008C4C2D" w:rsidRPr="761DF7AD">
        <w:rPr>
          <w:lang w:val="en-US"/>
        </w:rPr>
        <w:t xml:space="preserve">eview </w:t>
      </w:r>
      <w:r w:rsidR="009D4989">
        <w:rPr>
          <w:lang w:val="en-US"/>
        </w:rPr>
        <w:t>P</w:t>
      </w:r>
      <w:r w:rsidR="008C4C2D" w:rsidRPr="761DF7AD">
        <w:rPr>
          <w:lang w:val="en-US"/>
        </w:rPr>
        <w:t>rocess</w:t>
      </w:r>
      <w:bookmarkEnd w:id="20"/>
    </w:p>
    <w:p w14:paraId="77BB9EEB" w14:textId="40929801" w:rsidR="00E11D20" w:rsidRDefault="2F9BC590" w:rsidP="761DF7AD">
      <w:pPr>
        <w:rPr>
          <w:lang w:val="en-US"/>
        </w:rPr>
      </w:pPr>
      <w:r w:rsidRPr="761DF7AD">
        <w:rPr>
          <w:lang w:val="en-US"/>
        </w:rPr>
        <w:t>To address the Terms of Reference</w:t>
      </w:r>
      <w:r w:rsidR="00E0016C">
        <w:rPr>
          <w:lang w:val="en-US"/>
        </w:rPr>
        <w:t>,</w:t>
      </w:r>
      <w:r w:rsidRPr="761DF7AD">
        <w:rPr>
          <w:lang w:val="en-US"/>
        </w:rPr>
        <w:t xml:space="preserve"> t</w:t>
      </w:r>
      <w:r w:rsidR="00E11D20" w:rsidRPr="761DF7AD">
        <w:rPr>
          <w:lang w:val="en-US"/>
        </w:rPr>
        <w:t>h</w:t>
      </w:r>
      <w:r w:rsidR="7D239134" w:rsidRPr="761DF7AD">
        <w:rPr>
          <w:lang w:val="en-US"/>
        </w:rPr>
        <w:t>e</w:t>
      </w:r>
      <w:r w:rsidR="00E11D20" w:rsidRPr="761DF7AD">
        <w:rPr>
          <w:lang w:val="en-US"/>
        </w:rPr>
        <w:t xml:space="preserve"> Review </w:t>
      </w:r>
      <w:r w:rsidR="008C4C2D" w:rsidRPr="761DF7AD">
        <w:rPr>
          <w:lang w:val="en-US"/>
        </w:rPr>
        <w:t>examined</w:t>
      </w:r>
      <w:r w:rsidR="00E11D20" w:rsidRPr="761DF7AD">
        <w:rPr>
          <w:lang w:val="en-US"/>
        </w:rPr>
        <w:t xml:space="preserve"> the Department</w:t>
      </w:r>
      <w:r w:rsidR="006F1349" w:rsidRPr="761DF7AD">
        <w:rPr>
          <w:lang w:val="en-US"/>
        </w:rPr>
        <w:t>’s approach</w:t>
      </w:r>
      <w:r w:rsidR="00E11D20" w:rsidRPr="761DF7AD">
        <w:rPr>
          <w:lang w:val="en-US"/>
        </w:rPr>
        <w:t xml:space="preserve"> to managing the risk of non-compliance, how prioritisation of resource allocation is undertaken, what governance is in place, and the key relationships and systems that are used to support the non-compliance management functions. This </w:t>
      </w:r>
      <w:r w:rsidR="00670A33" w:rsidRPr="761DF7AD">
        <w:rPr>
          <w:lang w:val="en-US"/>
        </w:rPr>
        <w:t>was undertaken</w:t>
      </w:r>
      <w:r w:rsidR="00E11D20" w:rsidRPr="761DF7AD">
        <w:rPr>
          <w:lang w:val="en-US"/>
        </w:rPr>
        <w:t xml:space="preserve"> through</w:t>
      </w:r>
      <w:r w:rsidR="063F88A4" w:rsidRPr="761DF7AD">
        <w:rPr>
          <w:lang w:val="en-US"/>
        </w:rPr>
        <w:t>:</w:t>
      </w:r>
    </w:p>
    <w:p w14:paraId="311D9AAF" w14:textId="3F267286" w:rsidR="00E11D20" w:rsidRDefault="063F88A4" w:rsidP="00866E73">
      <w:pPr>
        <w:pStyle w:val="ListParagraph"/>
        <w:numPr>
          <w:ilvl w:val="0"/>
          <w:numId w:val="13"/>
        </w:numPr>
        <w:rPr>
          <w:rFonts w:eastAsiaTheme="minorEastAsia"/>
          <w:lang w:val="en-US"/>
        </w:rPr>
      </w:pPr>
      <w:r w:rsidRPr="761DF7AD">
        <w:rPr>
          <w:lang w:val="en-US"/>
        </w:rPr>
        <w:t xml:space="preserve">Discussions </w:t>
      </w:r>
      <w:r w:rsidR="4C8A0CE8" w:rsidRPr="761DF7AD">
        <w:rPr>
          <w:lang w:val="en-US"/>
        </w:rPr>
        <w:t>with internal</w:t>
      </w:r>
      <w:r w:rsidR="00E11D20" w:rsidRPr="761DF7AD">
        <w:rPr>
          <w:lang w:val="en-US"/>
        </w:rPr>
        <w:t xml:space="preserve"> </w:t>
      </w:r>
      <w:r w:rsidR="0FCB1D4F" w:rsidRPr="761DF7AD">
        <w:rPr>
          <w:lang w:val="en-US"/>
        </w:rPr>
        <w:t xml:space="preserve">staff including senior executives, program and compliance branch </w:t>
      </w:r>
      <w:r w:rsidR="603E4984" w:rsidRPr="761DF7AD">
        <w:rPr>
          <w:lang w:val="en-US"/>
        </w:rPr>
        <w:t>staff</w:t>
      </w:r>
    </w:p>
    <w:p w14:paraId="7EB0685D" w14:textId="4104487C" w:rsidR="00E11D20" w:rsidRDefault="07975A71" w:rsidP="00866E73">
      <w:pPr>
        <w:pStyle w:val="ListParagraph"/>
        <w:numPr>
          <w:ilvl w:val="0"/>
          <w:numId w:val="13"/>
        </w:numPr>
        <w:rPr>
          <w:rFonts w:eastAsiaTheme="minorEastAsia"/>
          <w:lang w:val="en-US"/>
        </w:rPr>
      </w:pPr>
      <w:r w:rsidRPr="761DF7AD">
        <w:rPr>
          <w:lang w:val="en-US"/>
        </w:rPr>
        <w:t xml:space="preserve">Discussions with </w:t>
      </w:r>
      <w:r w:rsidR="00E11D20" w:rsidRPr="761DF7AD">
        <w:rPr>
          <w:lang w:val="en-US"/>
        </w:rPr>
        <w:t>external stakeholders</w:t>
      </w:r>
      <w:r w:rsidR="75129B04" w:rsidRPr="761DF7AD">
        <w:rPr>
          <w:lang w:val="en-US"/>
        </w:rPr>
        <w:t xml:space="preserve"> </w:t>
      </w:r>
      <w:r w:rsidR="51A94658" w:rsidRPr="761DF7AD">
        <w:rPr>
          <w:lang w:val="en-US"/>
        </w:rPr>
        <w:t>including compliance</w:t>
      </w:r>
      <w:r w:rsidR="32B1DE8F" w:rsidRPr="761DF7AD">
        <w:rPr>
          <w:lang w:val="en-US"/>
        </w:rPr>
        <w:t xml:space="preserve"> experts, States and Territory compliance staff, compliance </w:t>
      </w:r>
      <w:r w:rsidR="08F5BE41" w:rsidRPr="761DF7AD">
        <w:rPr>
          <w:lang w:val="en-US"/>
        </w:rPr>
        <w:t xml:space="preserve">executives and </w:t>
      </w:r>
      <w:r w:rsidR="32B1DE8F" w:rsidRPr="761DF7AD">
        <w:rPr>
          <w:lang w:val="en-US"/>
        </w:rPr>
        <w:t>staff from Canada and New Zealand</w:t>
      </w:r>
      <w:r w:rsidR="43EA42AB" w:rsidRPr="761DF7AD">
        <w:rPr>
          <w:lang w:val="en-US"/>
        </w:rPr>
        <w:t xml:space="preserve"> and</w:t>
      </w:r>
      <w:r w:rsidR="32B1DE8F" w:rsidRPr="761DF7AD">
        <w:rPr>
          <w:lang w:val="en-US"/>
        </w:rPr>
        <w:t xml:space="preserve"> </w:t>
      </w:r>
      <w:r w:rsidR="0C9EEEAA" w:rsidRPr="761DF7AD">
        <w:rPr>
          <w:lang w:val="en-US"/>
        </w:rPr>
        <w:t xml:space="preserve">other </w:t>
      </w:r>
      <w:r w:rsidR="72B5A0F7" w:rsidRPr="761DF7AD">
        <w:rPr>
          <w:lang w:val="en-US"/>
        </w:rPr>
        <w:t>Commonwealth</w:t>
      </w:r>
      <w:r w:rsidR="0C9EEEAA" w:rsidRPr="761DF7AD">
        <w:rPr>
          <w:lang w:val="en-US"/>
        </w:rPr>
        <w:t xml:space="preserve"> </w:t>
      </w:r>
      <w:r w:rsidR="1B765F50" w:rsidRPr="761DF7AD">
        <w:rPr>
          <w:lang w:val="en-US"/>
        </w:rPr>
        <w:t>government</w:t>
      </w:r>
      <w:r w:rsidR="0C9EEEAA" w:rsidRPr="761DF7AD">
        <w:rPr>
          <w:lang w:val="en-US"/>
        </w:rPr>
        <w:t xml:space="preserve"> </w:t>
      </w:r>
      <w:r w:rsidR="4D8A37A7" w:rsidRPr="761DF7AD">
        <w:rPr>
          <w:lang w:val="en-US"/>
        </w:rPr>
        <w:t>regula</w:t>
      </w:r>
      <w:r w:rsidR="00E31396">
        <w:rPr>
          <w:lang w:val="en-US"/>
        </w:rPr>
        <w:t xml:space="preserve">tory </w:t>
      </w:r>
      <w:r w:rsidR="4CF18AA0" w:rsidRPr="761DF7AD">
        <w:rPr>
          <w:lang w:val="en-US"/>
        </w:rPr>
        <w:t>agencies</w:t>
      </w:r>
    </w:p>
    <w:p w14:paraId="245365DA" w14:textId="059F3F78" w:rsidR="00E11D20" w:rsidRDefault="0C21ECE6" w:rsidP="00866E73">
      <w:pPr>
        <w:pStyle w:val="ListParagraph"/>
        <w:numPr>
          <w:ilvl w:val="0"/>
          <w:numId w:val="13"/>
        </w:numPr>
        <w:rPr>
          <w:rFonts w:eastAsiaTheme="minorEastAsia"/>
          <w:lang w:val="en-US"/>
        </w:rPr>
      </w:pPr>
      <w:r w:rsidRPr="761DF7AD">
        <w:rPr>
          <w:lang w:val="en-US"/>
        </w:rPr>
        <w:t xml:space="preserve">Consideration of Departmental and </w:t>
      </w:r>
      <w:r w:rsidR="05455D7A" w:rsidRPr="761DF7AD">
        <w:rPr>
          <w:lang w:val="en-US"/>
        </w:rPr>
        <w:t>ECB compliance</w:t>
      </w:r>
      <w:r w:rsidR="406D5C66" w:rsidRPr="761DF7AD">
        <w:rPr>
          <w:lang w:val="en-US"/>
        </w:rPr>
        <w:t xml:space="preserve"> </w:t>
      </w:r>
      <w:r w:rsidR="3E24FCCB" w:rsidRPr="761DF7AD">
        <w:rPr>
          <w:lang w:val="en-US"/>
        </w:rPr>
        <w:t>documentation</w:t>
      </w:r>
    </w:p>
    <w:p w14:paraId="4E42CC3B" w14:textId="677E122B" w:rsidR="00E11D20" w:rsidRDefault="3E9AF5D3" w:rsidP="00866E73">
      <w:pPr>
        <w:pStyle w:val="ListParagraph"/>
        <w:numPr>
          <w:ilvl w:val="0"/>
          <w:numId w:val="13"/>
        </w:numPr>
        <w:rPr>
          <w:lang w:val="en-US"/>
        </w:rPr>
      </w:pPr>
      <w:r w:rsidRPr="761DF7AD">
        <w:rPr>
          <w:lang w:val="en-US"/>
        </w:rPr>
        <w:t xml:space="preserve">Examination of other reviews that considered and made recommendations regarding environmental </w:t>
      </w:r>
      <w:r w:rsidR="09FCE291" w:rsidRPr="761DF7AD">
        <w:rPr>
          <w:lang w:val="en-US"/>
        </w:rPr>
        <w:t>compliance</w:t>
      </w:r>
    </w:p>
    <w:p w14:paraId="308AEABD" w14:textId="04D39AF2" w:rsidR="00E11D20" w:rsidRDefault="3231152B" w:rsidP="00866E73">
      <w:pPr>
        <w:pStyle w:val="ListParagraph"/>
        <w:numPr>
          <w:ilvl w:val="0"/>
          <w:numId w:val="13"/>
        </w:numPr>
        <w:rPr>
          <w:rFonts w:eastAsiaTheme="minorEastAsia"/>
          <w:lang w:val="en-US"/>
        </w:rPr>
      </w:pPr>
      <w:r w:rsidRPr="761DF7AD">
        <w:rPr>
          <w:lang w:val="en-US"/>
        </w:rPr>
        <w:t xml:space="preserve">A </w:t>
      </w:r>
      <w:r w:rsidR="1555966D" w:rsidRPr="761DF7AD">
        <w:rPr>
          <w:lang w:val="en-US"/>
        </w:rPr>
        <w:t>one-day</w:t>
      </w:r>
      <w:r w:rsidRPr="761DF7AD">
        <w:rPr>
          <w:lang w:val="en-US"/>
        </w:rPr>
        <w:t xml:space="preserve"> workshop </w:t>
      </w:r>
      <w:r w:rsidR="3E84E02D" w:rsidRPr="761DF7AD">
        <w:rPr>
          <w:lang w:val="en-US"/>
        </w:rPr>
        <w:t>with ECB</w:t>
      </w:r>
      <w:r w:rsidR="460B5E54" w:rsidRPr="761DF7AD">
        <w:rPr>
          <w:lang w:val="en-US"/>
        </w:rPr>
        <w:t xml:space="preserve"> staff to </w:t>
      </w:r>
      <w:r w:rsidR="737E64BB" w:rsidRPr="761DF7AD">
        <w:rPr>
          <w:lang w:val="en-US"/>
        </w:rPr>
        <w:t>examine risk and prioritisat</w:t>
      </w:r>
      <w:r w:rsidR="312CC42E" w:rsidRPr="761DF7AD">
        <w:rPr>
          <w:lang w:val="en-US"/>
        </w:rPr>
        <w:t>ion</w:t>
      </w:r>
      <w:r w:rsidR="00654873">
        <w:rPr>
          <w:lang w:val="en-US"/>
        </w:rPr>
        <w:t xml:space="preserve"> approaches</w:t>
      </w:r>
    </w:p>
    <w:p w14:paraId="45CA019E" w14:textId="466FB90F" w:rsidR="00E11D20" w:rsidRDefault="03A67169" w:rsidP="00866E73">
      <w:pPr>
        <w:pStyle w:val="ListParagraph"/>
        <w:numPr>
          <w:ilvl w:val="0"/>
          <w:numId w:val="13"/>
        </w:numPr>
        <w:rPr>
          <w:rFonts w:eastAsiaTheme="minorEastAsia"/>
          <w:lang w:val="en-US"/>
        </w:rPr>
      </w:pPr>
      <w:r w:rsidRPr="761DF7AD">
        <w:rPr>
          <w:lang w:val="en-US"/>
        </w:rPr>
        <w:t xml:space="preserve">Identification of the </w:t>
      </w:r>
      <w:r w:rsidR="00E11D20" w:rsidRPr="761DF7AD">
        <w:rPr>
          <w:lang w:val="en-US"/>
        </w:rPr>
        <w:t>information technology systems</w:t>
      </w:r>
      <w:r w:rsidR="4526DCE0" w:rsidRPr="761DF7AD">
        <w:rPr>
          <w:lang w:val="en-US"/>
        </w:rPr>
        <w:t xml:space="preserve"> u</w:t>
      </w:r>
      <w:r w:rsidR="2453FED0" w:rsidRPr="761DF7AD">
        <w:rPr>
          <w:lang w:val="en-US"/>
        </w:rPr>
        <w:t xml:space="preserve">sed to support regulatory </w:t>
      </w:r>
      <w:r w:rsidR="27766CB3" w:rsidRPr="761DF7AD">
        <w:rPr>
          <w:lang w:val="en-US"/>
        </w:rPr>
        <w:t>activity.</w:t>
      </w:r>
    </w:p>
    <w:p w14:paraId="2D7FA0CF" w14:textId="2BF88650" w:rsidR="00CA5729" w:rsidRDefault="004A7324" w:rsidP="761DF7AD">
      <w:pPr>
        <w:spacing w:after="0"/>
        <w:rPr>
          <w:lang w:val="en-US"/>
        </w:rPr>
      </w:pPr>
      <w:r>
        <w:rPr>
          <w:lang w:val="en-US"/>
        </w:rPr>
        <w:t>The reviewers met</w:t>
      </w:r>
      <w:r w:rsidR="3FDE5D05" w:rsidRPr="761DF7AD">
        <w:rPr>
          <w:lang w:val="en-US"/>
        </w:rPr>
        <w:t xml:space="preserve"> with senior executives, program and compliance staff</w:t>
      </w:r>
      <w:r w:rsidR="00CA5729" w:rsidRPr="761DF7AD">
        <w:rPr>
          <w:lang w:val="en-US"/>
        </w:rPr>
        <w:t xml:space="preserve"> </w:t>
      </w:r>
      <w:r w:rsidR="00F86550" w:rsidRPr="761DF7AD">
        <w:rPr>
          <w:lang w:val="en-US"/>
        </w:rPr>
        <w:t xml:space="preserve">from the Department </w:t>
      </w:r>
      <w:r w:rsidR="00CA5729" w:rsidRPr="761DF7AD">
        <w:rPr>
          <w:lang w:val="en-US"/>
        </w:rPr>
        <w:t xml:space="preserve">to understand how they are organised; how they undertake their roles; what </w:t>
      </w:r>
      <w:r w:rsidR="00CA5729" w:rsidRPr="761DF7AD">
        <w:rPr>
          <w:lang w:val="en-US"/>
        </w:rPr>
        <w:lastRenderedPageBreak/>
        <w:t>their core functions are; who their key stakeholders are</w:t>
      </w:r>
      <w:r w:rsidR="002353BE">
        <w:rPr>
          <w:lang w:val="en-US"/>
        </w:rPr>
        <w:t>;</w:t>
      </w:r>
      <w:r w:rsidR="14D4D34C" w:rsidRPr="761DF7AD">
        <w:rPr>
          <w:lang w:val="en-US"/>
        </w:rPr>
        <w:t xml:space="preserve"> and</w:t>
      </w:r>
      <w:r w:rsidR="00CA5729" w:rsidRPr="761DF7AD">
        <w:rPr>
          <w:lang w:val="en-US"/>
        </w:rPr>
        <w:t xml:space="preserve"> how they </w:t>
      </w:r>
      <w:r w:rsidR="00F86550">
        <w:rPr>
          <w:lang w:val="en-US"/>
        </w:rPr>
        <w:t xml:space="preserve">coordinate their </w:t>
      </w:r>
      <w:r w:rsidR="00CA5729" w:rsidRPr="761DF7AD">
        <w:rPr>
          <w:lang w:val="en-US"/>
        </w:rPr>
        <w:t>work across the Department.</w:t>
      </w:r>
    </w:p>
    <w:p w14:paraId="3E06AB8A" w14:textId="6A2BB091" w:rsidR="001C66FF" w:rsidRDefault="001C66FF" w:rsidP="761DF7AD">
      <w:pPr>
        <w:spacing w:after="0"/>
        <w:rPr>
          <w:lang w:val="en-US"/>
        </w:rPr>
      </w:pPr>
    </w:p>
    <w:p w14:paraId="7ABB9775" w14:textId="78506C81" w:rsidR="00CA5729" w:rsidRDefault="00CA5729" w:rsidP="00CA5729">
      <w:pPr>
        <w:spacing w:after="0"/>
        <w:rPr>
          <w:lang w:val="en-US"/>
        </w:rPr>
      </w:pPr>
      <w:r w:rsidRPr="761DF7AD">
        <w:rPr>
          <w:lang w:val="en-US"/>
        </w:rPr>
        <w:t>Information</w:t>
      </w:r>
      <w:r w:rsidR="45C099A5" w:rsidRPr="761DF7AD">
        <w:rPr>
          <w:lang w:val="en-US"/>
        </w:rPr>
        <w:t xml:space="preserve"> </w:t>
      </w:r>
      <w:r w:rsidR="1A71D021" w:rsidRPr="761DF7AD">
        <w:rPr>
          <w:lang w:val="en-US"/>
        </w:rPr>
        <w:t>was</w:t>
      </w:r>
      <w:r w:rsidR="1AE1456F" w:rsidRPr="761DF7AD">
        <w:rPr>
          <w:lang w:val="en-US"/>
        </w:rPr>
        <w:t xml:space="preserve"> sought on </w:t>
      </w:r>
      <w:r w:rsidRPr="761DF7AD">
        <w:rPr>
          <w:lang w:val="en-US"/>
        </w:rPr>
        <w:t>what staff perceive as the core risks and how these are identified and prioritised for each regulatory regime; how work is prioritised across the various Acts to manage risk; what they believe is needed to enable them to reduce risk and improve environmental outcomes; to what extent they utilise their powers as set out in the Acts; what information systems are in place</w:t>
      </w:r>
      <w:r w:rsidR="000D5D6D">
        <w:rPr>
          <w:lang w:val="en-US"/>
        </w:rPr>
        <w:t xml:space="preserve"> or</w:t>
      </w:r>
      <w:r w:rsidRPr="761DF7AD">
        <w:rPr>
          <w:lang w:val="en-US"/>
        </w:rPr>
        <w:t xml:space="preserve"> planned; and what they perceive as the barriers or limitations in undertaking compliance activities.</w:t>
      </w:r>
    </w:p>
    <w:p w14:paraId="5781BFE4" w14:textId="77777777" w:rsidR="00AD654B" w:rsidRDefault="00AD654B" w:rsidP="00CA5729">
      <w:pPr>
        <w:spacing w:after="0"/>
        <w:rPr>
          <w:lang w:val="en-US"/>
        </w:rPr>
      </w:pPr>
    </w:p>
    <w:p w14:paraId="5F53495B" w14:textId="78458679" w:rsidR="00CA5729" w:rsidRDefault="00F81579" w:rsidP="761DF7AD">
      <w:pPr>
        <w:spacing w:after="0"/>
        <w:rPr>
          <w:lang w:val="en-US"/>
        </w:rPr>
      </w:pPr>
      <w:r>
        <w:rPr>
          <w:lang w:val="en-US"/>
        </w:rPr>
        <w:t>Reviewers met</w:t>
      </w:r>
      <w:r w:rsidR="0E6E3CE8" w:rsidRPr="761DF7AD">
        <w:rPr>
          <w:lang w:val="en-US"/>
        </w:rPr>
        <w:t xml:space="preserve"> with</w:t>
      </w:r>
      <w:r w:rsidR="785B26A0" w:rsidRPr="761DF7AD">
        <w:rPr>
          <w:lang w:val="en-US"/>
        </w:rPr>
        <w:t xml:space="preserve"> </w:t>
      </w:r>
      <w:r w:rsidR="11A8A4A7" w:rsidRPr="761DF7AD">
        <w:rPr>
          <w:lang w:val="en-US"/>
        </w:rPr>
        <w:t>other regul</w:t>
      </w:r>
      <w:r w:rsidR="0E6E3CE8" w:rsidRPr="761DF7AD">
        <w:rPr>
          <w:lang w:val="en-US"/>
        </w:rPr>
        <w:t>atory agencies within the Commonwealth</w:t>
      </w:r>
      <w:r w:rsidR="00CA5729" w:rsidRPr="761DF7AD">
        <w:rPr>
          <w:lang w:val="en-US"/>
        </w:rPr>
        <w:t xml:space="preserve"> with specific expertise or experience (often under resource-constrained operating environments) </w:t>
      </w:r>
      <w:r w:rsidR="48F3F8A8" w:rsidRPr="761DF7AD">
        <w:rPr>
          <w:lang w:val="en-US"/>
        </w:rPr>
        <w:t xml:space="preserve">to ascertain their approach to risk </w:t>
      </w:r>
      <w:r w:rsidR="00CA5729" w:rsidRPr="761DF7AD">
        <w:rPr>
          <w:lang w:val="en-US"/>
        </w:rPr>
        <w:t xml:space="preserve">identification, management and prioritisation of </w:t>
      </w:r>
      <w:r w:rsidR="1CFEA481" w:rsidRPr="761DF7AD">
        <w:rPr>
          <w:lang w:val="en-US"/>
        </w:rPr>
        <w:t xml:space="preserve">risks and </w:t>
      </w:r>
      <w:r w:rsidR="3B35312C" w:rsidRPr="761DF7AD">
        <w:rPr>
          <w:lang w:val="en-US"/>
        </w:rPr>
        <w:t>where</w:t>
      </w:r>
      <w:r w:rsidR="1CFEA481" w:rsidRPr="761DF7AD">
        <w:rPr>
          <w:lang w:val="en-US"/>
        </w:rPr>
        <w:t xml:space="preserve"> appropriate </w:t>
      </w:r>
      <w:r w:rsidR="00CA5729" w:rsidRPr="761DF7AD">
        <w:rPr>
          <w:lang w:val="en-US"/>
        </w:rPr>
        <w:t>environmental risk.</w:t>
      </w:r>
    </w:p>
    <w:p w14:paraId="00DA8B8D" w14:textId="771510F1" w:rsidR="761DF7AD" w:rsidRDefault="761DF7AD" w:rsidP="761DF7AD">
      <w:pPr>
        <w:spacing w:after="0"/>
        <w:rPr>
          <w:lang w:val="en-US"/>
        </w:rPr>
      </w:pPr>
    </w:p>
    <w:p w14:paraId="073EAE88" w14:textId="0AC7C63D" w:rsidR="75664E93" w:rsidRDefault="75664E93" w:rsidP="761DF7AD">
      <w:pPr>
        <w:spacing w:after="0"/>
        <w:rPr>
          <w:lang w:val="en-US"/>
        </w:rPr>
      </w:pPr>
      <w:r w:rsidRPr="761DF7AD">
        <w:rPr>
          <w:lang w:val="en-US"/>
        </w:rPr>
        <w:t xml:space="preserve">Discussions were held with </w:t>
      </w:r>
      <w:r w:rsidR="00CA0A40">
        <w:rPr>
          <w:lang w:val="en-US"/>
        </w:rPr>
        <w:t>s</w:t>
      </w:r>
      <w:r w:rsidRPr="761DF7AD">
        <w:rPr>
          <w:lang w:val="en-US"/>
        </w:rPr>
        <w:t xml:space="preserve">tate and </w:t>
      </w:r>
      <w:r w:rsidR="00CA0A40">
        <w:rPr>
          <w:lang w:val="en-US"/>
        </w:rPr>
        <w:t>t</w:t>
      </w:r>
      <w:r w:rsidRPr="761DF7AD">
        <w:rPr>
          <w:lang w:val="en-US"/>
        </w:rPr>
        <w:t xml:space="preserve">erritory </w:t>
      </w:r>
      <w:r w:rsidR="04E9B0F9" w:rsidRPr="761DF7AD">
        <w:rPr>
          <w:lang w:val="en-US"/>
        </w:rPr>
        <w:t>counterparts</w:t>
      </w:r>
      <w:r w:rsidRPr="761DF7AD">
        <w:rPr>
          <w:lang w:val="en-US"/>
        </w:rPr>
        <w:t xml:space="preserve"> </w:t>
      </w:r>
      <w:r w:rsidR="51F5ACA9" w:rsidRPr="761DF7AD">
        <w:rPr>
          <w:lang w:val="en-US"/>
        </w:rPr>
        <w:t>in New</w:t>
      </w:r>
      <w:r w:rsidRPr="761DF7AD">
        <w:rPr>
          <w:lang w:val="en-US"/>
        </w:rPr>
        <w:t xml:space="preserve"> South Wales, Victoria, Queensland and South Australia to draw on their </w:t>
      </w:r>
      <w:r w:rsidR="6671E216" w:rsidRPr="761DF7AD">
        <w:rPr>
          <w:lang w:val="en-US"/>
        </w:rPr>
        <w:t>experience</w:t>
      </w:r>
      <w:r w:rsidRPr="761DF7AD">
        <w:rPr>
          <w:lang w:val="en-US"/>
        </w:rPr>
        <w:t xml:space="preserve"> </w:t>
      </w:r>
      <w:r w:rsidR="7E831A94" w:rsidRPr="761DF7AD">
        <w:rPr>
          <w:lang w:val="en-US"/>
        </w:rPr>
        <w:t xml:space="preserve">including </w:t>
      </w:r>
      <w:r w:rsidRPr="761DF7AD">
        <w:rPr>
          <w:lang w:val="en-US"/>
        </w:rPr>
        <w:t xml:space="preserve">what is working for them and what is not and to </w:t>
      </w:r>
      <w:r w:rsidR="26F9CFAD" w:rsidRPr="761DF7AD">
        <w:rPr>
          <w:lang w:val="en-US"/>
        </w:rPr>
        <w:t xml:space="preserve">identify </w:t>
      </w:r>
      <w:r w:rsidR="54C6FA46" w:rsidRPr="761DF7AD">
        <w:rPr>
          <w:lang w:val="en-US"/>
        </w:rPr>
        <w:t>how they approach risk and prioritisation.</w:t>
      </w:r>
    </w:p>
    <w:p w14:paraId="1931FEE7" w14:textId="77777777" w:rsidR="00CA5729" w:rsidRDefault="00CA5729" w:rsidP="00CA5729">
      <w:pPr>
        <w:spacing w:after="0"/>
        <w:rPr>
          <w:lang w:val="en-US"/>
        </w:rPr>
      </w:pPr>
    </w:p>
    <w:p w14:paraId="2E0CAB67" w14:textId="223A9B9E" w:rsidR="00CA5729" w:rsidRDefault="00CA5729" w:rsidP="00CA5729">
      <w:pPr>
        <w:spacing w:after="0"/>
        <w:rPr>
          <w:lang w:val="en-US"/>
        </w:rPr>
      </w:pPr>
      <w:r w:rsidRPr="761DF7AD">
        <w:rPr>
          <w:lang w:val="en-US"/>
        </w:rPr>
        <w:t xml:space="preserve">Discussions with New Zealand and Canadian environmental regulators </w:t>
      </w:r>
      <w:r w:rsidR="618FF02D" w:rsidRPr="761DF7AD">
        <w:rPr>
          <w:lang w:val="en-US"/>
        </w:rPr>
        <w:t>were held</w:t>
      </w:r>
      <w:r w:rsidRPr="761DF7AD">
        <w:rPr>
          <w:lang w:val="en-US"/>
        </w:rPr>
        <w:t xml:space="preserve"> to understand their approach to managing environmental risk through the compliance activities that they undertake, considering issues such as: resourcing; available regulatory powers; use of information systems; recent and proposed reforms; and their approaches to managing risk and prioritising their compliance activities.</w:t>
      </w:r>
    </w:p>
    <w:p w14:paraId="37184CD6" w14:textId="77777777" w:rsidR="00CA5729" w:rsidRPr="00C5054E" w:rsidRDefault="00CA5729" w:rsidP="00CA5729">
      <w:pPr>
        <w:spacing w:after="0"/>
        <w:rPr>
          <w:lang w:val="en-US"/>
        </w:rPr>
      </w:pPr>
    </w:p>
    <w:p w14:paraId="682D4A59" w14:textId="039FB5F5" w:rsidR="00CA5729" w:rsidRDefault="00CA5729" w:rsidP="00CA5729">
      <w:pPr>
        <w:rPr>
          <w:lang w:val="en-US"/>
        </w:rPr>
      </w:pPr>
      <w:r w:rsidRPr="761DF7AD">
        <w:rPr>
          <w:lang w:val="en-US"/>
        </w:rPr>
        <w:t xml:space="preserve">Relevant documents that </w:t>
      </w:r>
      <w:r w:rsidR="23610404" w:rsidRPr="761DF7AD">
        <w:rPr>
          <w:lang w:val="en-US"/>
        </w:rPr>
        <w:t>were</w:t>
      </w:r>
      <w:r w:rsidRPr="761DF7AD">
        <w:rPr>
          <w:lang w:val="en-US"/>
        </w:rPr>
        <w:t xml:space="preserve"> considered in the Review include:</w:t>
      </w:r>
    </w:p>
    <w:p w14:paraId="2C8A1E29" w14:textId="594B3B7C" w:rsidR="00CA5729" w:rsidRPr="00450A93" w:rsidRDefault="00CA5729" w:rsidP="00D83F6D">
      <w:pPr>
        <w:pStyle w:val="ListParagraph"/>
        <w:numPr>
          <w:ilvl w:val="0"/>
          <w:numId w:val="1"/>
        </w:numPr>
        <w:rPr>
          <w:lang w:val="en-US"/>
        </w:rPr>
      </w:pPr>
      <w:r>
        <w:rPr>
          <w:lang w:val="en-US"/>
        </w:rPr>
        <w:t>The Final Report of a</w:t>
      </w:r>
      <w:r w:rsidRPr="00450A93">
        <w:rPr>
          <w:lang w:val="en-US"/>
        </w:rPr>
        <w:t>n independent statutory review of the EPBC Act (the Samuel Review</w:t>
      </w:r>
      <w:r>
        <w:rPr>
          <w:lang w:val="en-US"/>
        </w:rPr>
        <w:t>)</w:t>
      </w:r>
      <w:r w:rsidRPr="00040499">
        <w:rPr>
          <w:vertAlign w:val="superscript"/>
        </w:rPr>
        <w:footnoteReference w:id="4"/>
      </w:r>
      <w:r>
        <w:rPr>
          <w:lang w:val="en-US"/>
        </w:rPr>
        <w:t>, which</w:t>
      </w:r>
      <w:r w:rsidRPr="00450A93">
        <w:rPr>
          <w:lang w:val="en-US"/>
        </w:rPr>
        <w:t xml:space="preserve"> made </w:t>
      </w:r>
      <w:r w:rsidR="3CE0866E" w:rsidRPr="00450A93">
        <w:rPr>
          <w:lang w:val="en-US"/>
        </w:rPr>
        <w:t>several</w:t>
      </w:r>
      <w:r w:rsidRPr="00450A93">
        <w:rPr>
          <w:lang w:val="en-US"/>
        </w:rPr>
        <w:t xml:space="preserve"> findings and recommendations regarding compliance</w:t>
      </w:r>
      <w:r>
        <w:rPr>
          <w:lang w:val="en-US"/>
        </w:rPr>
        <w:t xml:space="preserve"> that</w:t>
      </w:r>
      <w:r w:rsidRPr="00450A93">
        <w:rPr>
          <w:lang w:val="en-US"/>
        </w:rPr>
        <w:t xml:space="preserve"> are currently under consideration by the Australian </w:t>
      </w:r>
      <w:r w:rsidR="147FFD1D" w:rsidRPr="00450A93">
        <w:rPr>
          <w:lang w:val="en-US"/>
        </w:rPr>
        <w:t>Government.</w:t>
      </w:r>
    </w:p>
    <w:p w14:paraId="49B3DEF7" w14:textId="77777777" w:rsidR="00CA5729" w:rsidRPr="00D2135B" w:rsidRDefault="00CA5729" w:rsidP="00D83F6D">
      <w:pPr>
        <w:pStyle w:val="ListParagraph"/>
        <w:numPr>
          <w:ilvl w:val="0"/>
          <w:numId w:val="1"/>
        </w:numPr>
        <w:rPr>
          <w:lang w:val="en-US"/>
        </w:rPr>
      </w:pPr>
      <w:r>
        <w:rPr>
          <w:lang w:val="en-US"/>
        </w:rPr>
        <w:t xml:space="preserve">Relevant previous </w:t>
      </w:r>
      <w:r w:rsidRPr="00D2135B">
        <w:rPr>
          <w:lang w:val="en-US"/>
        </w:rPr>
        <w:t xml:space="preserve">ANAO </w:t>
      </w:r>
      <w:r>
        <w:rPr>
          <w:lang w:val="en-US"/>
        </w:rPr>
        <w:t>audit r</w:t>
      </w:r>
      <w:r w:rsidRPr="00D2135B">
        <w:rPr>
          <w:lang w:val="en-US"/>
        </w:rPr>
        <w:t>eports</w:t>
      </w:r>
      <w:r>
        <w:rPr>
          <w:rStyle w:val="FootnoteReference"/>
          <w:lang w:val="en-US"/>
        </w:rPr>
        <w:footnoteReference w:id="5"/>
      </w:r>
    </w:p>
    <w:p w14:paraId="147D7BEE" w14:textId="77777777" w:rsidR="00CA5729" w:rsidRPr="00A74D42" w:rsidRDefault="00CA5729" w:rsidP="00D83F6D">
      <w:pPr>
        <w:pStyle w:val="ListParagraph"/>
        <w:numPr>
          <w:ilvl w:val="0"/>
          <w:numId w:val="1"/>
        </w:numPr>
        <w:rPr>
          <w:lang w:val="en-US"/>
        </w:rPr>
      </w:pPr>
      <w:r>
        <w:rPr>
          <w:lang w:val="en-US"/>
        </w:rPr>
        <w:t>Report of the r</w:t>
      </w:r>
      <w:r w:rsidRPr="00A74D42">
        <w:rPr>
          <w:lang w:val="en-US"/>
        </w:rPr>
        <w:t xml:space="preserve">eview </w:t>
      </w:r>
      <w:r>
        <w:rPr>
          <w:lang w:val="en-US"/>
        </w:rPr>
        <w:t xml:space="preserve">by Dr Wendy Craik </w:t>
      </w:r>
      <w:r w:rsidRPr="00A74D42">
        <w:rPr>
          <w:lang w:val="en-US"/>
        </w:rPr>
        <w:t>of interactions between the EPBC Act and the agriculture sector</w:t>
      </w:r>
      <w:r>
        <w:rPr>
          <w:rStyle w:val="FootnoteReference"/>
          <w:lang w:val="en-US"/>
        </w:rPr>
        <w:footnoteReference w:id="6"/>
      </w:r>
    </w:p>
    <w:p w14:paraId="2D0816E7" w14:textId="77777777" w:rsidR="00CA5729" w:rsidRDefault="00CA5729" w:rsidP="00D83F6D">
      <w:pPr>
        <w:pStyle w:val="ListParagraph"/>
        <w:numPr>
          <w:ilvl w:val="0"/>
          <w:numId w:val="1"/>
        </w:numPr>
        <w:rPr>
          <w:lang w:val="en-US"/>
        </w:rPr>
      </w:pPr>
      <w:r w:rsidRPr="00D2135B">
        <w:rPr>
          <w:lang w:val="en-US"/>
        </w:rPr>
        <w:t>Report</w:t>
      </w:r>
      <w:r>
        <w:rPr>
          <w:lang w:val="en-US"/>
        </w:rPr>
        <w:t xml:space="preserve"> of the Independent Review by KPMG of the regulation of the export of native and exotic birds</w:t>
      </w:r>
      <w:r>
        <w:rPr>
          <w:rStyle w:val="FootnoteReference"/>
          <w:lang w:val="en-US"/>
        </w:rPr>
        <w:footnoteReference w:id="7"/>
      </w:r>
    </w:p>
    <w:p w14:paraId="2A6373A9" w14:textId="77777777" w:rsidR="00CA5729" w:rsidRDefault="00CA5729" w:rsidP="00D83F6D">
      <w:pPr>
        <w:pStyle w:val="ListParagraph"/>
        <w:numPr>
          <w:ilvl w:val="0"/>
          <w:numId w:val="1"/>
        </w:numPr>
        <w:rPr>
          <w:lang w:val="en-US"/>
        </w:rPr>
      </w:pPr>
      <w:r>
        <w:rPr>
          <w:lang w:val="en-US"/>
        </w:rPr>
        <w:lastRenderedPageBreak/>
        <w:t>The Australian State of the Environment report 2016 (SoE 2016)</w:t>
      </w:r>
      <w:r>
        <w:rPr>
          <w:rStyle w:val="FootnoteReference"/>
          <w:lang w:val="en-US"/>
        </w:rPr>
        <w:footnoteReference w:id="8"/>
      </w:r>
    </w:p>
    <w:p w14:paraId="4458E8C5" w14:textId="6DDABE07" w:rsidR="00CA5729" w:rsidRPr="00D94548" w:rsidRDefault="00CA5729" w:rsidP="00D83F6D">
      <w:pPr>
        <w:pStyle w:val="ListParagraph"/>
        <w:numPr>
          <w:ilvl w:val="0"/>
          <w:numId w:val="1"/>
        </w:numPr>
        <w:rPr>
          <w:lang w:val="en-US"/>
        </w:rPr>
      </w:pPr>
      <w:r w:rsidRPr="761DF7AD">
        <w:rPr>
          <w:lang w:val="en-US"/>
        </w:rPr>
        <w:t xml:space="preserve">Branch and section guidelines; the Department’s Compliance Policy; </w:t>
      </w:r>
      <w:r w:rsidR="00B444BF">
        <w:rPr>
          <w:lang w:val="en-US"/>
        </w:rPr>
        <w:t>t</w:t>
      </w:r>
      <w:r w:rsidR="68654F3B" w:rsidRPr="761DF7AD">
        <w:rPr>
          <w:lang w:val="en-US"/>
        </w:rPr>
        <w:t>he Department’s Regulatory Practice Statement</w:t>
      </w:r>
    </w:p>
    <w:p w14:paraId="5158A326" w14:textId="6D20D80D" w:rsidR="68654F3B" w:rsidRDefault="68654F3B" w:rsidP="00D83F6D">
      <w:pPr>
        <w:pStyle w:val="ListParagraph"/>
        <w:numPr>
          <w:ilvl w:val="0"/>
          <w:numId w:val="1"/>
        </w:numPr>
        <w:rPr>
          <w:lang w:val="en-US"/>
        </w:rPr>
      </w:pPr>
      <w:r w:rsidRPr="761DF7AD">
        <w:rPr>
          <w:lang w:val="en-US"/>
        </w:rPr>
        <w:t xml:space="preserve">The </w:t>
      </w:r>
      <w:r w:rsidR="66962634" w:rsidRPr="761DF7AD">
        <w:rPr>
          <w:lang w:val="en-US"/>
        </w:rPr>
        <w:t xml:space="preserve">relevant </w:t>
      </w:r>
      <w:r w:rsidR="178DDAC4" w:rsidRPr="761DF7AD">
        <w:rPr>
          <w:lang w:val="en-US"/>
        </w:rPr>
        <w:t xml:space="preserve">Acts, </w:t>
      </w:r>
      <w:r w:rsidR="34311DA7" w:rsidRPr="72790916">
        <w:rPr>
          <w:lang w:val="en-US"/>
        </w:rPr>
        <w:t xml:space="preserve">with </w:t>
      </w:r>
      <w:r w:rsidR="34311DA7" w:rsidRPr="60DEDB87">
        <w:rPr>
          <w:lang w:val="en-US"/>
        </w:rPr>
        <w:t xml:space="preserve">a specific focus on </w:t>
      </w:r>
      <w:r w:rsidRPr="761DF7AD">
        <w:rPr>
          <w:lang w:val="en-US"/>
        </w:rPr>
        <w:t xml:space="preserve">offence provisions, objectives </w:t>
      </w:r>
      <w:r w:rsidR="2FC02DCD" w:rsidRPr="761DF7AD">
        <w:rPr>
          <w:lang w:val="en-US"/>
        </w:rPr>
        <w:t>and approval</w:t>
      </w:r>
      <w:r w:rsidR="0BFE27FE" w:rsidRPr="761DF7AD">
        <w:rPr>
          <w:lang w:val="en-US"/>
        </w:rPr>
        <w:t xml:space="preserve"> </w:t>
      </w:r>
      <w:r w:rsidR="2D0532DB" w:rsidRPr="761DF7AD">
        <w:rPr>
          <w:lang w:val="en-US"/>
        </w:rPr>
        <w:t>responsibilities.</w:t>
      </w:r>
    </w:p>
    <w:p w14:paraId="322F4646" w14:textId="24C6FBA1" w:rsidR="00AE7F62" w:rsidRDefault="00AE7F62">
      <w:pPr>
        <w:rPr>
          <w:lang w:val="en-US"/>
        </w:rPr>
      </w:pPr>
      <w:r>
        <w:rPr>
          <w:lang w:val="en-US"/>
        </w:rPr>
        <w:br w:type="page"/>
      </w:r>
    </w:p>
    <w:p w14:paraId="28C26CC3" w14:textId="7AFE3D67" w:rsidR="0D9EDE59" w:rsidRDefault="0D9EDE59" w:rsidP="761DF7AD">
      <w:pPr>
        <w:pStyle w:val="Heading1"/>
      </w:pPr>
      <w:bookmarkStart w:id="21" w:name="_Toc72504370"/>
      <w:r w:rsidRPr="761DF7AD">
        <w:rPr>
          <w:rFonts w:ascii="Calibri" w:eastAsia="Calibri" w:hAnsi="Calibri" w:cs="Calibri"/>
          <w:lang w:val="en-US"/>
        </w:rPr>
        <w:lastRenderedPageBreak/>
        <w:t>Stakeholder views</w:t>
      </w:r>
      <w:bookmarkEnd w:id="21"/>
    </w:p>
    <w:p w14:paraId="67B5E88A" w14:textId="1E44C0E0" w:rsidR="0D9EDE59" w:rsidRDefault="606BE209">
      <w:pPr>
        <w:rPr>
          <w:rFonts w:ascii="Calibri" w:eastAsia="Calibri" w:hAnsi="Calibri" w:cs="Calibri"/>
          <w:lang w:val="en-US"/>
        </w:rPr>
      </w:pPr>
      <w:r w:rsidRPr="46A9ECB9">
        <w:rPr>
          <w:rFonts w:ascii="Calibri" w:eastAsia="Calibri" w:hAnsi="Calibri" w:cs="Calibri"/>
          <w:lang w:val="en-US"/>
        </w:rPr>
        <w:t>This section of the report outlines the</w:t>
      </w:r>
      <w:r w:rsidR="0D9EDE59" w:rsidRPr="761DF7AD">
        <w:rPr>
          <w:rFonts w:ascii="Calibri" w:eastAsia="Calibri" w:hAnsi="Calibri" w:cs="Calibri"/>
          <w:lang w:val="en-US"/>
        </w:rPr>
        <w:t xml:space="preserve"> </w:t>
      </w:r>
      <w:r w:rsidR="5F2FA462" w:rsidRPr="57D9E08C">
        <w:rPr>
          <w:rFonts w:ascii="Calibri" w:eastAsia="Calibri" w:hAnsi="Calibri" w:cs="Calibri"/>
          <w:lang w:val="en-US"/>
        </w:rPr>
        <w:t xml:space="preserve">themes and </w:t>
      </w:r>
      <w:r w:rsidR="21E4FC32" w:rsidRPr="13695395">
        <w:rPr>
          <w:rFonts w:ascii="Calibri" w:eastAsia="Calibri" w:hAnsi="Calibri" w:cs="Calibri"/>
          <w:lang w:val="en-US"/>
        </w:rPr>
        <w:t xml:space="preserve">views that were obtained from </w:t>
      </w:r>
      <w:r w:rsidR="00BD79EB">
        <w:rPr>
          <w:rFonts w:ascii="Calibri" w:eastAsia="Calibri" w:hAnsi="Calibri" w:cs="Calibri"/>
          <w:lang w:val="en-US"/>
        </w:rPr>
        <w:t xml:space="preserve">discussions with </w:t>
      </w:r>
      <w:r w:rsidR="0D9EDE59" w:rsidRPr="761DF7AD">
        <w:rPr>
          <w:rFonts w:ascii="Calibri" w:eastAsia="Calibri" w:hAnsi="Calibri" w:cs="Calibri"/>
          <w:lang w:val="en-US"/>
        </w:rPr>
        <w:t>stakeholders both within and external to the Department.</w:t>
      </w:r>
    </w:p>
    <w:p w14:paraId="59B2D63E" w14:textId="12CE3CC5" w:rsidR="0D9EDE59" w:rsidRDefault="00CB02DF">
      <w:r>
        <w:rPr>
          <w:rFonts w:ascii="Calibri" w:eastAsia="Calibri" w:hAnsi="Calibri" w:cs="Calibri"/>
          <w:lang w:val="en-US"/>
        </w:rPr>
        <w:t>P</w:t>
      </w:r>
      <w:r w:rsidR="004C282D">
        <w:rPr>
          <w:rFonts w:ascii="Calibri" w:eastAsia="Calibri" w:hAnsi="Calibri" w:cs="Calibri"/>
          <w:lang w:val="en-US"/>
        </w:rPr>
        <w:t xml:space="preserve">eople and organisations </w:t>
      </w:r>
      <w:r w:rsidR="003F4A87">
        <w:rPr>
          <w:rFonts w:ascii="Calibri" w:eastAsia="Calibri" w:hAnsi="Calibri" w:cs="Calibri"/>
          <w:lang w:val="en-US"/>
        </w:rPr>
        <w:t>interviewed</w:t>
      </w:r>
      <w:r w:rsidR="00296657">
        <w:rPr>
          <w:rFonts w:ascii="Calibri" w:eastAsia="Calibri" w:hAnsi="Calibri" w:cs="Calibri"/>
          <w:lang w:val="en-US"/>
        </w:rPr>
        <w:t xml:space="preserve"> </w:t>
      </w:r>
      <w:r w:rsidR="00BD79EB">
        <w:rPr>
          <w:rFonts w:ascii="Calibri" w:eastAsia="Calibri" w:hAnsi="Calibri" w:cs="Calibri"/>
          <w:lang w:val="en-US"/>
        </w:rPr>
        <w:t xml:space="preserve">during the Review </w:t>
      </w:r>
      <w:r>
        <w:rPr>
          <w:rFonts w:ascii="Calibri" w:eastAsia="Calibri" w:hAnsi="Calibri" w:cs="Calibri"/>
          <w:lang w:val="en-US"/>
        </w:rPr>
        <w:t>are listed</w:t>
      </w:r>
      <w:r w:rsidR="0D9EDE59" w:rsidRPr="761DF7AD">
        <w:rPr>
          <w:rFonts w:ascii="Calibri" w:eastAsia="Calibri" w:hAnsi="Calibri" w:cs="Calibri"/>
          <w:lang w:val="en-US"/>
        </w:rPr>
        <w:t xml:space="preserve"> at </w:t>
      </w:r>
      <w:hyperlink w:anchor="_Attachment_C_–" w:history="1">
        <w:r w:rsidR="0D9EDE59" w:rsidRPr="007B0ADC">
          <w:rPr>
            <w:rStyle w:val="Hyperlink"/>
            <w:rFonts w:ascii="Calibri" w:eastAsia="Calibri" w:hAnsi="Calibri" w:cs="Calibri"/>
            <w:b/>
            <w:bCs/>
            <w:lang w:val="en-US"/>
          </w:rPr>
          <w:t>A</w:t>
        </w:r>
        <w:r w:rsidR="0046162D" w:rsidRPr="007B0ADC">
          <w:rPr>
            <w:rStyle w:val="Hyperlink"/>
            <w:rFonts w:ascii="Calibri" w:eastAsia="Calibri" w:hAnsi="Calibri" w:cs="Calibri"/>
            <w:b/>
            <w:bCs/>
            <w:lang w:val="en-US"/>
          </w:rPr>
          <w:t>ttachment</w:t>
        </w:r>
        <w:r w:rsidR="006C444B" w:rsidRPr="007B0ADC">
          <w:rPr>
            <w:rStyle w:val="Hyperlink"/>
          </w:rPr>
          <w:t xml:space="preserve"> </w:t>
        </w:r>
        <w:r w:rsidR="00DC6C9B" w:rsidRPr="007B0ADC">
          <w:rPr>
            <w:rStyle w:val="Hyperlink"/>
            <w:rFonts w:ascii="Calibri" w:eastAsia="Calibri" w:hAnsi="Calibri" w:cs="Calibri"/>
            <w:b/>
            <w:bCs/>
            <w:lang w:val="en-US"/>
          </w:rPr>
          <w:t>C</w:t>
        </w:r>
        <w:r w:rsidR="0D9EDE59" w:rsidRPr="007B0ADC">
          <w:rPr>
            <w:rStyle w:val="Hyperlink"/>
            <w:rFonts w:ascii="Calibri" w:eastAsia="Calibri" w:hAnsi="Calibri" w:cs="Calibri"/>
            <w:lang w:val="en-US"/>
          </w:rPr>
          <w:t>.</w:t>
        </w:r>
      </w:hyperlink>
    </w:p>
    <w:p w14:paraId="5AA49D81" w14:textId="39B523EB" w:rsidR="0D9EDE59" w:rsidRDefault="0D9EDE59" w:rsidP="761DF7AD">
      <w:pPr>
        <w:pStyle w:val="Heading2"/>
      </w:pPr>
      <w:bookmarkStart w:id="22" w:name="_Toc72504371"/>
      <w:r w:rsidRPr="761DF7AD">
        <w:rPr>
          <w:rFonts w:ascii="Calibri" w:eastAsia="Calibri" w:hAnsi="Calibri" w:cs="Calibri"/>
          <w:lang w:val="en-US"/>
        </w:rPr>
        <w:t xml:space="preserve">Departmental </w:t>
      </w:r>
      <w:r w:rsidR="00D500D6">
        <w:rPr>
          <w:rFonts w:ascii="Calibri" w:eastAsia="Calibri" w:hAnsi="Calibri" w:cs="Calibri"/>
          <w:lang w:val="en-US"/>
        </w:rPr>
        <w:t>o</w:t>
      </w:r>
      <w:r w:rsidRPr="761DF7AD">
        <w:rPr>
          <w:rFonts w:ascii="Calibri" w:eastAsia="Calibri" w:hAnsi="Calibri" w:cs="Calibri"/>
          <w:lang w:val="en-US"/>
        </w:rPr>
        <w:t>fficers</w:t>
      </w:r>
      <w:bookmarkEnd w:id="22"/>
    </w:p>
    <w:p w14:paraId="575383D5" w14:textId="15E2714B" w:rsidR="7BA1737F" w:rsidRDefault="7BA1737F" w:rsidP="004B5A3F">
      <w:pPr>
        <w:pStyle w:val="Heading3"/>
        <w:ind w:left="360"/>
        <w:rPr>
          <w:rFonts w:ascii="Calibri Light" w:eastAsia="Yu Gothic Light" w:hAnsi="Calibri Light" w:cs="Times New Roman"/>
          <w:color w:val="1F3763"/>
          <w:lang w:val="en-US"/>
        </w:rPr>
      </w:pPr>
      <w:bookmarkStart w:id="23" w:name="_Toc72504372"/>
      <w:r w:rsidRPr="761DF7AD">
        <w:rPr>
          <w:lang w:val="en-US"/>
        </w:rPr>
        <w:t>Senior executives</w:t>
      </w:r>
      <w:bookmarkEnd w:id="23"/>
    </w:p>
    <w:p w14:paraId="4A8541A2" w14:textId="23AEA567" w:rsidR="0D9EDE59" w:rsidRPr="004B5A3F" w:rsidRDefault="0D9EDE59" w:rsidP="004B5A3F">
      <w:pPr>
        <w:ind w:left="360"/>
        <w:rPr>
          <w:rFonts w:eastAsiaTheme="minorEastAsia"/>
        </w:rPr>
      </w:pPr>
      <w:r w:rsidRPr="004B5A3F">
        <w:rPr>
          <w:rFonts w:ascii="Calibri" w:eastAsia="Calibri" w:hAnsi="Calibri" w:cs="Calibri"/>
          <w:lang w:val="en-US"/>
        </w:rPr>
        <w:t xml:space="preserve">Senior executives in the Department agree on the importance of having a strong compliance approach as part of ensuring that legislation is effectively administered. Overall, they agree that there is a need for highly motivated professional staff, accurate information to focus on improving environmental outcomes, </w:t>
      </w:r>
      <w:r w:rsidR="00700F74" w:rsidRPr="004B5A3F">
        <w:rPr>
          <w:rFonts w:ascii="Calibri" w:eastAsia="Calibri" w:hAnsi="Calibri" w:cs="Calibri"/>
          <w:lang w:val="en-US"/>
        </w:rPr>
        <w:t xml:space="preserve">and </w:t>
      </w:r>
      <w:r w:rsidRPr="004B5A3F">
        <w:rPr>
          <w:rFonts w:ascii="Calibri" w:eastAsia="Calibri" w:hAnsi="Calibri" w:cs="Calibri"/>
          <w:lang w:val="en-US"/>
        </w:rPr>
        <w:t>a need for greater clarity about roles and responsibilities</w:t>
      </w:r>
      <w:r w:rsidR="00700F74" w:rsidRPr="004B5A3F">
        <w:rPr>
          <w:rFonts w:ascii="Calibri" w:eastAsia="Calibri" w:hAnsi="Calibri" w:cs="Calibri"/>
          <w:lang w:val="en-US"/>
        </w:rPr>
        <w:t>. They</w:t>
      </w:r>
      <w:r w:rsidRPr="004B5A3F">
        <w:rPr>
          <w:rFonts w:ascii="Calibri" w:eastAsia="Calibri" w:hAnsi="Calibri" w:cs="Calibri"/>
          <w:lang w:val="en-US"/>
        </w:rPr>
        <w:t xml:space="preserve"> want the Australian community to be confident that the Department is actively working to protect the environment, not just reacting after environmental damage has occurred.</w:t>
      </w:r>
    </w:p>
    <w:p w14:paraId="0302D5A9" w14:textId="1B68C8E0" w:rsidR="0D9EDE59" w:rsidRPr="004B5A3F" w:rsidRDefault="0D9EDE59" w:rsidP="004B5A3F">
      <w:pPr>
        <w:ind w:left="360"/>
        <w:rPr>
          <w:rFonts w:eastAsiaTheme="minorEastAsia"/>
        </w:rPr>
      </w:pPr>
      <w:r w:rsidRPr="004B5A3F">
        <w:rPr>
          <w:rFonts w:ascii="Calibri" w:eastAsia="Calibri" w:hAnsi="Calibri" w:cs="Calibri"/>
          <w:lang w:val="en-US"/>
        </w:rPr>
        <w:t xml:space="preserve">Whilst senior executives </w:t>
      </w:r>
      <w:r w:rsidR="008B255F" w:rsidRPr="004B5A3F">
        <w:rPr>
          <w:rFonts w:ascii="Calibri" w:eastAsia="Calibri" w:hAnsi="Calibri" w:cs="Calibri"/>
          <w:lang w:val="en-US"/>
        </w:rPr>
        <w:t>are</w:t>
      </w:r>
      <w:r w:rsidRPr="004B5A3F">
        <w:rPr>
          <w:rFonts w:ascii="Calibri" w:eastAsia="Calibri" w:hAnsi="Calibri" w:cs="Calibri"/>
          <w:lang w:val="en-US"/>
        </w:rPr>
        <w:t xml:space="preserve"> unanimous in their view about the need for a strong focus on environmental compliance</w:t>
      </w:r>
      <w:r w:rsidR="006E3AAB" w:rsidRPr="004B5A3F">
        <w:rPr>
          <w:rFonts w:ascii="Calibri" w:eastAsia="Calibri" w:hAnsi="Calibri" w:cs="Calibri"/>
          <w:lang w:val="en-US"/>
        </w:rPr>
        <w:t>,</w:t>
      </w:r>
      <w:r w:rsidRPr="004B5A3F">
        <w:rPr>
          <w:rFonts w:ascii="Calibri" w:eastAsia="Calibri" w:hAnsi="Calibri" w:cs="Calibri"/>
          <w:lang w:val="en-US"/>
        </w:rPr>
        <w:t xml:space="preserve"> there </w:t>
      </w:r>
      <w:r w:rsidR="008D0536" w:rsidRPr="004B5A3F">
        <w:rPr>
          <w:rFonts w:ascii="Calibri" w:eastAsia="Calibri" w:hAnsi="Calibri" w:cs="Calibri"/>
          <w:lang w:val="en-US"/>
        </w:rPr>
        <w:t>are</w:t>
      </w:r>
      <w:r w:rsidRPr="004B5A3F">
        <w:rPr>
          <w:rFonts w:ascii="Calibri" w:eastAsia="Calibri" w:hAnsi="Calibri" w:cs="Calibri"/>
          <w:lang w:val="en-US"/>
        </w:rPr>
        <w:t xml:space="preserve"> different views about how this should be achieved. Some </w:t>
      </w:r>
      <w:r w:rsidR="00377360" w:rsidRPr="004B5A3F">
        <w:rPr>
          <w:rFonts w:ascii="Calibri" w:eastAsia="Calibri" w:hAnsi="Calibri" w:cs="Calibri"/>
          <w:lang w:val="en-US"/>
        </w:rPr>
        <w:t>think</w:t>
      </w:r>
      <w:r w:rsidRPr="004B5A3F">
        <w:rPr>
          <w:rFonts w:ascii="Calibri" w:eastAsia="Calibri" w:hAnsi="Calibri" w:cs="Calibri"/>
          <w:lang w:val="en-US"/>
        </w:rPr>
        <w:t xml:space="preserve"> that compliance should be mainly managed by program managers</w:t>
      </w:r>
      <w:r w:rsidR="001D4EC6" w:rsidRPr="004B5A3F">
        <w:rPr>
          <w:rFonts w:ascii="Calibri" w:eastAsia="Calibri" w:hAnsi="Calibri" w:cs="Calibri"/>
          <w:lang w:val="en-US"/>
        </w:rPr>
        <w:t>,</w:t>
      </w:r>
      <w:r w:rsidRPr="004B5A3F">
        <w:rPr>
          <w:rFonts w:ascii="Calibri" w:eastAsia="Calibri" w:hAnsi="Calibri" w:cs="Calibri"/>
          <w:lang w:val="en-US"/>
        </w:rPr>
        <w:t xml:space="preserve"> with ECB</w:t>
      </w:r>
      <w:r w:rsidR="00E018A2" w:rsidRPr="004B5A3F">
        <w:rPr>
          <w:rFonts w:ascii="Calibri" w:eastAsia="Calibri" w:hAnsi="Calibri" w:cs="Calibri"/>
          <w:lang w:val="en-US"/>
        </w:rPr>
        <w:t xml:space="preserve"> focusing only on non-compliance</w:t>
      </w:r>
      <w:r w:rsidR="00377360" w:rsidRPr="004B5A3F">
        <w:rPr>
          <w:rFonts w:ascii="Calibri" w:eastAsia="Calibri" w:hAnsi="Calibri" w:cs="Calibri"/>
          <w:lang w:val="en-US"/>
        </w:rPr>
        <w:t xml:space="preserve"> (</w:t>
      </w:r>
      <w:r w:rsidRPr="004B5A3F">
        <w:rPr>
          <w:rFonts w:ascii="Calibri" w:eastAsia="Calibri" w:hAnsi="Calibri" w:cs="Calibri"/>
          <w:lang w:val="en-US"/>
        </w:rPr>
        <w:t>undertaking any necessary investigations and enforcement actions</w:t>
      </w:r>
      <w:r w:rsidR="00377360" w:rsidRPr="004B5A3F">
        <w:rPr>
          <w:rFonts w:ascii="Calibri" w:eastAsia="Calibri" w:hAnsi="Calibri" w:cs="Calibri"/>
          <w:lang w:val="en-US"/>
        </w:rPr>
        <w:t>)</w:t>
      </w:r>
      <w:r w:rsidR="00E4014E" w:rsidRPr="004B5A3F">
        <w:rPr>
          <w:rFonts w:ascii="Calibri" w:eastAsia="Calibri" w:hAnsi="Calibri" w:cs="Calibri"/>
          <w:lang w:val="en-US"/>
        </w:rPr>
        <w:t>;</w:t>
      </w:r>
      <w:r w:rsidRPr="004B5A3F">
        <w:rPr>
          <w:rFonts w:ascii="Calibri" w:eastAsia="Calibri" w:hAnsi="Calibri" w:cs="Calibri"/>
          <w:lang w:val="en-US"/>
        </w:rPr>
        <w:t xml:space="preserve"> others </w:t>
      </w:r>
      <w:r w:rsidR="00D119E5" w:rsidRPr="004B5A3F">
        <w:rPr>
          <w:rFonts w:ascii="Calibri" w:eastAsia="Calibri" w:hAnsi="Calibri" w:cs="Calibri"/>
          <w:lang w:val="en-US"/>
        </w:rPr>
        <w:t>consider that</w:t>
      </w:r>
      <w:r w:rsidRPr="004B5A3F">
        <w:rPr>
          <w:rFonts w:ascii="Calibri" w:eastAsia="Calibri" w:hAnsi="Calibri" w:cs="Calibri"/>
          <w:lang w:val="en-US"/>
        </w:rPr>
        <w:t xml:space="preserve"> ECB should play a broader </w:t>
      </w:r>
      <w:r w:rsidR="00F0460C">
        <w:rPr>
          <w:rFonts w:ascii="Calibri" w:eastAsia="Calibri" w:hAnsi="Calibri" w:cs="Calibri"/>
          <w:lang w:val="en-US"/>
        </w:rPr>
        <w:t>corporate function</w:t>
      </w:r>
      <w:r w:rsidRPr="004B5A3F">
        <w:rPr>
          <w:rFonts w:ascii="Calibri" w:eastAsia="Calibri" w:hAnsi="Calibri" w:cs="Calibri"/>
          <w:lang w:val="en-US"/>
        </w:rPr>
        <w:t xml:space="preserve"> in gathering intelligence, identifying risks and undertaking strategic assessments</w:t>
      </w:r>
      <w:r w:rsidR="00816557" w:rsidRPr="004B5A3F">
        <w:rPr>
          <w:rFonts w:ascii="Calibri" w:eastAsia="Calibri" w:hAnsi="Calibri" w:cs="Calibri"/>
          <w:lang w:val="en-US"/>
        </w:rPr>
        <w:t>;</w:t>
      </w:r>
      <w:r w:rsidRPr="004B5A3F">
        <w:rPr>
          <w:rFonts w:ascii="Calibri" w:eastAsia="Calibri" w:hAnsi="Calibri" w:cs="Calibri"/>
          <w:lang w:val="en-US"/>
        </w:rPr>
        <w:t xml:space="preserve"> </w:t>
      </w:r>
      <w:r w:rsidR="01150F18" w:rsidRPr="004B5A3F">
        <w:rPr>
          <w:rFonts w:ascii="Calibri" w:eastAsia="Calibri" w:hAnsi="Calibri" w:cs="Calibri"/>
          <w:lang w:val="en-US"/>
        </w:rPr>
        <w:t xml:space="preserve">some </w:t>
      </w:r>
      <w:r w:rsidR="00D119E5" w:rsidRPr="004B5A3F">
        <w:rPr>
          <w:rFonts w:ascii="Calibri" w:eastAsia="Calibri" w:hAnsi="Calibri" w:cs="Calibri"/>
          <w:lang w:val="en-US"/>
        </w:rPr>
        <w:t>think</w:t>
      </w:r>
      <w:r w:rsidRPr="004B5A3F">
        <w:rPr>
          <w:rFonts w:ascii="Calibri" w:eastAsia="Calibri" w:hAnsi="Calibri" w:cs="Calibri"/>
          <w:lang w:val="en-US"/>
        </w:rPr>
        <w:t xml:space="preserve"> there </w:t>
      </w:r>
      <w:r w:rsidR="00D119E5" w:rsidRPr="004B5A3F">
        <w:rPr>
          <w:rFonts w:ascii="Calibri" w:eastAsia="Calibri" w:hAnsi="Calibri" w:cs="Calibri"/>
          <w:lang w:val="en-US"/>
        </w:rPr>
        <w:t>is</w:t>
      </w:r>
      <w:r w:rsidRPr="004B5A3F">
        <w:rPr>
          <w:rFonts w:ascii="Calibri" w:eastAsia="Calibri" w:hAnsi="Calibri" w:cs="Calibri"/>
          <w:lang w:val="en-US"/>
        </w:rPr>
        <w:t xml:space="preserve"> a role for ECB in supporting </w:t>
      </w:r>
      <w:r w:rsidR="008D0536" w:rsidRPr="004B5A3F">
        <w:rPr>
          <w:rFonts w:ascii="Calibri" w:eastAsia="Calibri" w:hAnsi="Calibri" w:cs="Calibri"/>
          <w:lang w:val="en-US"/>
        </w:rPr>
        <w:t>programs</w:t>
      </w:r>
      <w:r w:rsidRPr="004B5A3F">
        <w:rPr>
          <w:rFonts w:ascii="Calibri" w:eastAsia="Calibri" w:hAnsi="Calibri" w:cs="Calibri"/>
          <w:lang w:val="en-US"/>
        </w:rPr>
        <w:t xml:space="preserve"> with monitoring and audit functions</w:t>
      </w:r>
      <w:r w:rsidR="00D40254" w:rsidRPr="004B5A3F">
        <w:rPr>
          <w:rFonts w:ascii="Calibri" w:eastAsia="Calibri" w:hAnsi="Calibri" w:cs="Calibri"/>
          <w:lang w:val="en-US"/>
        </w:rPr>
        <w:t>;</w:t>
      </w:r>
      <w:r w:rsidRPr="004B5A3F">
        <w:rPr>
          <w:rFonts w:ascii="Calibri" w:eastAsia="Calibri" w:hAnsi="Calibri" w:cs="Calibri"/>
          <w:lang w:val="en-US"/>
        </w:rPr>
        <w:t xml:space="preserve"> and one area also </w:t>
      </w:r>
      <w:r w:rsidR="00EE6A08" w:rsidRPr="004B5A3F">
        <w:rPr>
          <w:rFonts w:ascii="Calibri" w:eastAsia="Calibri" w:hAnsi="Calibri" w:cs="Calibri"/>
          <w:lang w:val="en-US"/>
        </w:rPr>
        <w:t>regards</w:t>
      </w:r>
      <w:r w:rsidR="008B255F" w:rsidRPr="004B5A3F">
        <w:rPr>
          <w:rFonts w:ascii="Calibri" w:eastAsia="Calibri" w:hAnsi="Calibri" w:cs="Calibri"/>
          <w:lang w:val="en-US"/>
        </w:rPr>
        <w:t xml:space="preserve"> ECB</w:t>
      </w:r>
      <w:r w:rsidRPr="004B5A3F">
        <w:rPr>
          <w:rFonts w:ascii="Calibri" w:eastAsia="Calibri" w:hAnsi="Calibri" w:cs="Calibri"/>
          <w:lang w:val="en-US"/>
        </w:rPr>
        <w:t xml:space="preserve"> </w:t>
      </w:r>
      <w:r w:rsidR="00EE6A08" w:rsidRPr="004B5A3F">
        <w:rPr>
          <w:rFonts w:ascii="Calibri" w:eastAsia="Calibri" w:hAnsi="Calibri" w:cs="Calibri"/>
          <w:lang w:val="en-US"/>
        </w:rPr>
        <w:t xml:space="preserve">as </w:t>
      </w:r>
      <w:r w:rsidRPr="004B5A3F">
        <w:rPr>
          <w:rFonts w:ascii="Calibri" w:eastAsia="Calibri" w:hAnsi="Calibri" w:cs="Calibri"/>
          <w:lang w:val="en-US"/>
        </w:rPr>
        <w:t>play</w:t>
      </w:r>
      <w:r w:rsidR="00EE6A08" w:rsidRPr="004B5A3F">
        <w:rPr>
          <w:rFonts w:ascii="Calibri" w:eastAsia="Calibri" w:hAnsi="Calibri" w:cs="Calibri"/>
          <w:lang w:val="en-US"/>
        </w:rPr>
        <w:t>ing</w:t>
      </w:r>
      <w:r w:rsidRPr="004B5A3F">
        <w:rPr>
          <w:rFonts w:ascii="Calibri" w:eastAsia="Calibri" w:hAnsi="Calibri" w:cs="Calibri"/>
          <w:lang w:val="en-US"/>
        </w:rPr>
        <w:t xml:space="preserve"> a useful role in compliance education.</w:t>
      </w:r>
    </w:p>
    <w:p w14:paraId="31880BB1" w14:textId="39C490FB" w:rsidR="0D9EDE59" w:rsidRPr="004B5A3F" w:rsidRDefault="0D9EDE59" w:rsidP="004B5A3F">
      <w:pPr>
        <w:ind w:left="360"/>
        <w:rPr>
          <w:rFonts w:eastAsiaTheme="minorEastAsia"/>
        </w:rPr>
      </w:pPr>
      <w:r w:rsidRPr="004B5A3F">
        <w:rPr>
          <w:rFonts w:ascii="Calibri" w:eastAsia="Calibri" w:hAnsi="Calibri" w:cs="Calibri"/>
          <w:lang w:val="en-US"/>
        </w:rPr>
        <w:t xml:space="preserve">All </w:t>
      </w:r>
      <w:r w:rsidR="1CFC585E" w:rsidRPr="004B5A3F">
        <w:rPr>
          <w:rFonts w:ascii="Calibri" w:eastAsia="Calibri" w:hAnsi="Calibri" w:cs="Calibri"/>
          <w:lang w:val="en-US"/>
        </w:rPr>
        <w:t>s</w:t>
      </w:r>
      <w:r w:rsidRPr="004B5A3F">
        <w:rPr>
          <w:rFonts w:ascii="Calibri" w:eastAsia="Calibri" w:hAnsi="Calibri" w:cs="Calibri"/>
          <w:lang w:val="en-US"/>
        </w:rPr>
        <w:t>enior executives with responsibility for environmental programs are keen to see better integration between the application/approvals processes and compliance functions. They would like to see a more explicit and transparent decision-making framework, with clear triggers for referring matters to the compliance area, noting the challenges in adhering to tight statutory timelines. They suggest that the Executive Board should have a key role in determining the Department’s regulatory posture and recognise the potential benefit of policy areas having access to strategic and operational intelligence generated by the compliance area.</w:t>
      </w:r>
    </w:p>
    <w:p w14:paraId="5CA4C7E1" w14:textId="4A3A59AC" w:rsidR="0D9EDE59" w:rsidRPr="004B5A3F" w:rsidRDefault="0D9EDE59" w:rsidP="004B5A3F">
      <w:pPr>
        <w:ind w:left="360"/>
        <w:rPr>
          <w:rFonts w:eastAsiaTheme="minorEastAsia"/>
        </w:rPr>
      </w:pPr>
      <w:r w:rsidRPr="004B5A3F">
        <w:rPr>
          <w:rFonts w:ascii="Calibri" w:eastAsia="Calibri" w:hAnsi="Calibri" w:cs="Calibri"/>
          <w:lang w:val="en-US"/>
        </w:rPr>
        <w:t>In discussion</w:t>
      </w:r>
      <w:r w:rsidR="00B91B60" w:rsidRPr="004B5A3F">
        <w:rPr>
          <w:rFonts w:ascii="Calibri" w:eastAsia="Calibri" w:hAnsi="Calibri" w:cs="Calibri"/>
          <w:lang w:val="en-US"/>
        </w:rPr>
        <w:t>s</w:t>
      </w:r>
      <w:r w:rsidRPr="004B5A3F">
        <w:rPr>
          <w:rFonts w:ascii="Calibri" w:eastAsia="Calibri" w:hAnsi="Calibri" w:cs="Calibri"/>
          <w:lang w:val="en-US"/>
        </w:rPr>
        <w:t xml:space="preserve"> regarding how compliance activities are being achieved </w:t>
      </w:r>
      <w:r w:rsidR="00E01F76" w:rsidRPr="004B5A3F">
        <w:rPr>
          <w:rFonts w:ascii="Calibri" w:eastAsia="Calibri" w:hAnsi="Calibri" w:cs="Calibri"/>
          <w:lang w:val="en-US"/>
        </w:rPr>
        <w:t xml:space="preserve">for </w:t>
      </w:r>
      <w:r w:rsidRPr="004B5A3F">
        <w:rPr>
          <w:rFonts w:ascii="Calibri" w:eastAsia="Calibri" w:hAnsi="Calibri" w:cs="Calibri"/>
          <w:lang w:val="en-US"/>
        </w:rPr>
        <w:t xml:space="preserve">their </w:t>
      </w:r>
      <w:r w:rsidR="006C54C6" w:rsidRPr="004B5A3F">
        <w:rPr>
          <w:rFonts w:ascii="Calibri" w:eastAsia="Calibri" w:hAnsi="Calibri" w:cs="Calibri"/>
          <w:lang w:val="en-US"/>
        </w:rPr>
        <w:t xml:space="preserve">respective </w:t>
      </w:r>
      <w:r w:rsidRPr="004B5A3F">
        <w:rPr>
          <w:rFonts w:ascii="Calibri" w:eastAsia="Calibri" w:hAnsi="Calibri" w:cs="Calibri"/>
          <w:lang w:val="en-US"/>
        </w:rPr>
        <w:t>areas of</w:t>
      </w:r>
      <w:r w:rsidR="00B35E81" w:rsidRPr="004B5A3F">
        <w:rPr>
          <w:rFonts w:ascii="Calibri" w:eastAsia="Calibri" w:hAnsi="Calibri" w:cs="Calibri"/>
          <w:lang w:val="en-US"/>
        </w:rPr>
        <w:t xml:space="preserve"> prog</w:t>
      </w:r>
      <w:r w:rsidR="00B1241C" w:rsidRPr="004B5A3F">
        <w:rPr>
          <w:rFonts w:ascii="Calibri" w:eastAsia="Calibri" w:hAnsi="Calibri" w:cs="Calibri"/>
          <w:lang w:val="en-US"/>
        </w:rPr>
        <w:t>r</w:t>
      </w:r>
      <w:r w:rsidR="00B35E81" w:rsidRPr="004B5A3F">
        <w:rPr>
          <w:rFonts w:ascii="Calibri" w:eastAsia="Calibri" w:hAnsi="Calibri" w:cs="Calibri"/>
          <w:lang w:val="en-US"/>
        </w:rPr>
        <w:t>am</w:t>
      </w:r>
      <w:r w:rsidRPr="004B5A3F">
        <w:rPr>
          <w:rFonts w:ascii="Calibri" w:eastAsia="Calibri" w:hAnsi="Calibri" w:cs="Calibri"/>
          <w:lang w:val="en-US"/>
        </w:rPr>
        <w:t xml:space="preserve"> responsibility</w:t>
      </w:r>
      <w:r w:rsidR="00B35E81" w:rsidRPr="004B5A3F">
        <w:rPr>
          <w:rFonts w:ascii="Calibri" w:eastAsia="Calibri" w:hAnsi="Calibri" w:cs="Calibri"/>
          <w:lang w:val="en-US"/>
        </w:rPr>
        <w:t>,</w:t>
      </w:r>
      <w:r w:rsidRPr="004B5A3F">
        <w:rPr>
          <w:rFonts w:ascii="Calibri" w:eastAsia="Calibri" w:hAnsi="Calibri" w:cs="Calibri"/>
          <w:lang w:val="en-US"/>
        </w:rPr>
        <w:t xml:space="preserve"> the general view </w:t>
      </w:r>
      <w:r w:rsidR="00B434D5" w:rsidRPr="004B5A3F">
        <w:rPr>
          <w:rFonts w:ascii="Calibri" w:eastAsia="Calibri" w:hAnsi="Calibri" w:cs="Calibri"/>
          <w:lang w:val="en-US"/>
        </w:rPr>
        <w:t>i</w:t>
      </w:r>
      <w:r w:rsidRPr="004B5A3F">
        <w:rPr>
          <w:rFonts w:ascii="Calibri" w:eastAsia="Calibri" w:hAnsi="Calibri" w:cs="Calibri"/>
          <w:lang w:val="en-US"/>
        </w:rPr>
        <w:t xml:space="preserve">s that the compliance function has become degraded </w:t>
      </w:r>
      <w:r w:rsidR="00D917A1" w:rsidRPr="004B5A3F">
        <w:rPr>
          <w:rFonts w:ascii="Calibri" w:eastAsia="Calibri" w:hAnsi="Calibri" w:cs="Calibri"/>
          <w:lang w:val="en-US"/>
        </w:rPr>
        <w:t xml:space="preserve">over </w:t>
      </w:r>
      <w:r w:rsidRPr="004B5A3F">
        <w:rPr>
          <w:rFonts w:ascii="Calibri" w:eastAsia="Calibri" w:hAnsi="Calibri" w:cs="Calibri"/>
          <w:lang w:val="en-US"/>
        </w:rPr>
        <w:t>time due to differing</w:t>
      </w:r>
      <w:r w:rsidR="009D72A4" w:rsidRPr="004B5A3F">
        <w:rPr>
          <w:rFonts w:ascii="Calibri" w:eastAsia="Calibri" w:hAnsi="Calibri" w:cs="Calibri"/>
          <w:lang w:val="en-US"/>
        </w:rPr>
        <w:t xml:space="preserve"> prioritisation</w:t>
      </w:r>
      <w:r w:rsidRPr="004B5A3F">
        <w:rPr>
          <w:rFonts w:ascii="Calibri" w:eastAsia="Calibri" w:hAnsi="Calibri" w:cs="Calibri"/>
          <w:lang w:val="en-US"/>
        </w:rPr>
        <w:t xml:space="preserve"> expectations, resourcing constraints</w:t>
      </w:r>
      <w:r w:rsidR="00B66830" w:rsidRPr="004B5A3F">
        <w:rPr>
          <w:rFonts w:ascii="Calibri" w:eastAsia="Calibri" w:hAnsi="Calibri" w:cs="Calibri"/>
          <w:lang w:val="en-US"/>
        </w:rPr>
        <w:t>,</w:t>
      </w:r>
      <w:r w:rsidRPr="004B5A3F">
        <w:rPr>
          <w:rFonts w:ascii="Calibri" w:eastAsia="Calibri" w:hAnsi="Calibri" w:cs="Calibri"/>
          <w:lang w:val="en-US"/>
        </w:rPr>
        <w:t xml:space="preserve"> retention of capabilities as well as poor information</w:t>
      </w:r>
      <w:r w:rsidR="005E7FE2" w:rsidRPr="004B5A3F">
        <w:rPr>
          <w:rFonts w:ascii="Calibri" w:eastAsia="Calibri" w:hAnsi="Calibri" w:cs="Calibri"/>
          <w:lang w:val="en-US"/>
        </w:rPr>
        <w:t xml:space="preserve"> management</w:t>
      </w:r>
      <w:r w:rsidRPr="004B5A3F">
        <w:rPr>
          <w:rFonts w:ascii="Calibri" w:eastAsia="Calibri" w:hAnsi="Calibri" w:cs="Calibri"/>
          <w:lang w:val="en-US"/>
        </w:rPr>
        <w:t xml:space="preserve">. There </w:t>
      </w:r>
      <w:r w:rsidR="00B434D5" w:rsidRPr="004B5A3F">
        <w:rPr>
          <w:rFonts w:ascii="Calibri" w:eastAsia="Calibri" w:hAnsi="Calibri" w:cs="Calibri"/>
          <w:lang w:val="en-US"/>
        </w:rPr>
        <w:t>is</w:t>
      </w:r>
      <w:r w:rsidRPr="004B5A3F">
        <w:rPr>
          <w:rFonts w:ascii="Calibri" w:eastAsia="Calibri" w:hAnsi="Calibri" w:cs="Calibri"/>
          <w:lang w:val="en-US"/>
        </w:rPr>
        <w:t xml:space="preserve"> an acknowledgement that this combination of impacts may </w:t>
      </w:r>
      <w:r w:rsidR="009E5E11" w:rsidRPr="004B5A3F">
        <w:rPr>
          <w:rFonts w:ascii="Calibri" w:eastAsia="Calibri" w:hAnsi="Calibri" w:cs="Calibri"/>
          <w:lang w:val="en-US"/>
        </w:rPr>
        <w:t>lead to</w:t>
      </w:r>
      <w:r w:rsidRPr="004B5A3F">
        <w:rPr>
          <w:rFonts w:ascii="Calibri" w:eastAsia="Calibri" w:hAnsi="Calibri" w:cs="Calibri"/>
          <w:lang w:val="en-US"/>
        </w:rPr>
        <w:t xml:space="preserve"> gaps and potentially regulatory failure. They feel that a greater emphasis could be given to identifying untreated or under-treated risks within the Department’s areas of responsibility but </w:t>
      </w:r>
      <w:r w:rsidR="00AE7F07" w:rsidRPr="004B5A3F">
        <w:rPr>
          <w:rFonts w:ascii="Calibri" w:eastAsia="Calibri" w:hAnsi="Calibri" w:cs="Calibri"/>
          <w:lang w:val="en-US"/>
        </w:rPr>
        <w:t>recognise</w:t>
      </w:r>
      <w:r w:rsidRPr="004B5A3F">
        <w:rPr>
          <w:rFonts w:ascii="Calibri" w:eastAsia="Calibri" w:hAnsi="Calibri" w:cs="Calibri"/>
          <w:lang w:val="en-US"/>
        </w:rPr>
        <w:t xml:space="preserve"> that, while the Department holds a large </w:t>
      </w:r>
      <w:r w:rsidR="0030498A" w:rsidRPr="004B5A3F">
        <w:rPr>
          <w:rFonts w:ascii="Calibri" w:eastAsia="Calibri" w:hAnsi="Calibri" w:cs="Calibri"/>
          <w:lang w:val="en-US"/>
        </w:rPr>
        <w:t>amount</w:t>
      </w:r>
      <w:r w:rsidRPr="004B5A3F">
        <w:rPr>
          <w:rFonts w:ascii="Calibri" w:eastAsia="Calibri" w:hAnsi="Calibri" w:cs="Calibri"/>
          <w:lang w:val="en-US"/>
        </w:rPr>
        <w:t xml:space="preserve"> of information, it is not yet managed in a way that properly informs regulatory decision-making (including for managing non-compliance).</w:t>
      </w:r>
    </w:p>
    <w:p w14:paraId="3F9E964D" w14:textId="5570401F" w:rsidR="0D9EDE59" w:rsidRPr="004B5A3F" w:rsidRDefault="0D9EDE59" w:rsidP="004B5A3F">
      <w:pPr>
        <w:ind w:left="360"/>
        <w:rPr>
          <w:rFonts w:eastAsiaTheme="minorEastAsia"/>
        </w:rPr>
      </w:pPr>
      <w:r w:rsidRPr="004B5A3F">
        <w:rPr>
          <w:rFonts w:ascii="Calibri" w:eastAsia="Calibri" w:hAnsi="Calibri" w:cs="Calibri"/>
          <w:lang w:val="en-US"/>
        </w:rPr>
        <w:lastRenderedPageBreak/>
        <w:t>Senior executives responsible for the compliance function generally a</w:t>
      </w:r>
      <w:r w:rsidR="00493978" w:rsidRPr="004B5A3F">
        <w:rPr>
          <w:rFonts w:ascii="Calibri" w:eastAsia="Calibri" w:hAnsi="Calibri" w:cs="Calibri"/>
          <w:lang w:val="en-US"/>
        </w:rPr>
        <w:t>cknowledge</w:t>
      </w:r>
      <w:r w:rsidRPr="004B5A3F">
        <w:rPr>
          <w:rFonts w:ascii="Calibri" w:eastAsia="Calibri" w:hAnsi="Calibri" w:cs="Calibri"/>
          <w:lang w:val="en-US"/>
        </w:rPr>
        <w:t xml:space="preserve"> the issues raised </w:t>
      </w:r>
      <w:r w:rsidR="003F7FCE" w:rsidRPr="004B5A3F">
        <w:rPr>
          <w:rFonts w:ascii="Calibri" w:eastAsia="Calibri" w:hAnsi="Calibri" w:cs="Calibri"/>
          <w:lang w:val="en-US"/>
        </w:rPr>
        <w:t>by</w:t>
      </w:r>
      <w:r w:rsidRPr="004B5A3F">
        <w:rPr>
          <w:rFonts w:ascii="Calibri" w:eastAsia="Calibri" w:hAnsi="Calibri" w:cs="Calibri"/>
          <w:lang w:val="en-US"/>
        </w:rPr>
        <w:t xml:space="preserve"> program areas but </w:t>
      </w:r>
      <w:r w:rsidR="00343A75" w:rsidRPr="004B5A3F">
        <w:rPr>
          <w:rFonts w:ascii="Calibri" w:eastAsia="Calibri" w:hAnsi="Calibri" w:cs="Calibri"/>
          <w:lang w:val="en-US"/>
        </w:rPr>
        <w:t>consider</w:t>
      </w:r>
      <w:r w:rsidRPr="004B5A3F">
        <w:rPr>
          <w:rFonts w:ascii="Calibri" w:eastAsia="Calibri" w:hAnsi="Calibri" w:cs="Calibri"/>
          <w:lang w:val="en-US"/>
        </w:rPr>
        <w:t xml:space="preserve"> that</w:t>
      </w:r>
      <w:r w:rsidR="00B922BC" w:rsidRPr="004B5A3F">
        <w:rPr>
          <w:rFonts w:ascii="Calibri" w:eastAsia="Calibri" w:hAnsi="Calibri" w:cs="Calibri"/>
          <w:lang w:val="en-US"/>
        </w:rPr>
        <w:t>,</w:t>
      </w:r>
      <w:r w:rsidRPr="004B5A3F">
        <w:rPr>
          <w:rFonts w:ascii="Calibri" w:eastAsia="Calibri" w:hAnsi="Calibri" w:cs="Calibri"/>
          <w:lang w:val="en-US"/>
        </w:rPr>
        <w:t xml:space="preserve"> in moving forward</w:t>
      </w:r>
      <w:r w:rsidR="00B922BC" w:rsidRPr="004B5A3F">
        <w:rPr>
          <w:rFonts w:ascii="Calibri" w:eastAsia="Calibri" w:hAnsi="Calibri" w:cs="Calibri"/>
          <w:lang w:val="en-US"/>
        </w:rPr>
        <w:t>,</w:t>
      </w:r>
      <w:r w:rsidRPr="004B5A3F">
        <w:rPr>
          <w:rFonts w:ascii="Calibri" w:eastAsia="Calibri" w:hAnsi="Calibri" w:cs="Calibri"/>
          <w:lang w:val="en-US"/>
        </w:rPr>
        <w:t xml:space="preserve"> compliance should not just be seen as an </w:t>
      </w:r>
      <w:r w:rsidR="0047764F" w:rsidRPr="004B5A3F">
        <w:rPr>
          <w:rFonts w:ascii="Calibri" w:eastAsia="Calibri" w:hAnsi="Calibri" w:cs="Calibri"/>
          <w:lang w:val="en-US"/>
        </w:rPr>
        <w:t>extension of</w:t>
      </w:r>
      <w:r w:rsidR="00106009" w:rsidRPr="004B5A3F">
        <w:rPr>
          <w:rFonts w:ascii="Calibri" w:eastAsia="Calibri" w:hAnsi="Calibri" w:cs="Calibri"/>
          <w:lang w:val="en-US"/>
        </w:rPr>
        <w:t xml:space="preserve"> the post-approval process</w:t>
      </w:r>
      <w:r w:rsidRPr="004B5A3F">
        <w:rPr>
          <w:rFonts w:ascii="Calibri" w:eastAsia="Calibri" w:hAnsi="Calibri" w:cs="Calibri"/>
          <w:lang w:val="en-US"/>
        </w:rPr>
        <w:t xml:space="preserve"> but be considered as an integrated business support service that is both strategic and predictive</w:t>
      </w:r>
      <w:r w:rsidR="00F22252" w:rsidRPr="004B5A3F">
        <w:rPr>
          <w:rFonts w:ascii="Calibri" w:eastAsia="Calibri" w:hAnsi="Calibri" w:cs="Calibri"/>
          <w:lang w:val="en-US"/>
        </w:rPr>
        <w:t xml:space="preserve">. </w:t>
      </w:r>
      <w:r w:rsidR="005F18FA" w:rsidRPr="004B5A3F">
        <w:rPr>
          <w:rFonts w:ascii="Calibri" w:eastAsia="Calibri" w:hAnsi="Calibri" w:cs="Calibri"/>
          <w:lang w:val="en-US"/>
        </w:rPr>
        <w:t xml:space="preserve">They </w:t>
      </w:r>
      <w:r w:rsidR="00343A75" w:rsidRPr="004B5A3F">
        <w:rPr>
          <w:rFonts w:ascii="Calibri" w:eastAsia="Calibri" w:hAnsi="Calibri" w:cs="Calibri"/>
          <w:lang w:val="en-US"/>
        </w:rPr>
        <w:t>feel</w:t>
      </w:r>
      <w:r w:rsidR="005F18FA" w:rsidRPr="004B5A3F">
        <w:rPr>
          <w:rFonts w:ascii="Calibri" w:eastAsia="Calibri" w:hAnsi="Calibri" w:cs="Calibri"/>
          <w:lang w:val="en-US"/>
        </w:rPr>
        <w:t xml:space="preserve"> that compliance needs</w:t>
      </w:r>
      <w:r w:rsidRPr="004B5A3F">
        <w:rPr>
          <w:rFonts w:ascii="Calibri" w:eastAsia="Calibri" w:hAnsi="Calibri" w:cs="Calibri"/>
          <w:lang w:val="en-US"/>
        </w:rPr>
        <w:t xml:space="preserve"> a strong connection to the Department’s Executive Board </w:t>
      </w:r>
      <w:r w:rsidR="2B42752C" w:rsidRPr="004B5A3F">
        <w:rPr>
          <w:rFonts w:ascii="Calibri" w:eastAsia="Calibri" w:hAnsi="Calibri" w:cs="Calibri"/>
          <w:lang w:val="en-US"/>
        </w:rPr>
        <w:t>or an Executive Committee with dedicated oversight of program or business</w:t>
      </w:r>
      <w:r w:rsidR="00296657" w:rsidRPr="004B5A3F">
        <w:rPr>
          <w:rFonts w:ascii="Calibri" w:eastAsia="Calibri" w:hAnsi="Calibri" w:cs="Calibri"/>
          <w:lang w:val="en-US"/>
        </w:rPr>
        <w:t>-</w:t>
      </w:r>
      <w:r w:rsidR="2B42752C" w:rsidRPr="004B5A3F">
        <w:rPr>
          <w:rFonts w:ascii="Calibri" w:eastAsia="Calibri" w:hAnsi="Calibri" w:cs="Calibri"/>
          <w:lang w:val="en-US"/>
        </w:rPr>
        <w:t xml:space="preserve">related risks as opposed to broader enterprise risks </w:t>
      </w:r>
      <w:r w:rsidRPr="004B5A3F">
        <w:rPr>
          <w:rFonts w:ascii="Calibri" w:eastAsia="Calibri" w:hAnsi="Calibri" w:cs="Calibri"/>
          <w:lang w:val="en-US"/>
        </w:rPr>
        <w:t xml:space="preserve">because of </w:t>
      </w:r>
      <w:r w:rsidR="517D5FD1" w:rsidRPr="004B5A3F">
        <w:rPr>
          <w:rFonts w:ascii="Calibri" w:eastAsia="Calibri" w:hAnsi="Calibri" w:cs="Calibri"/>
          <w:lang w:val="en-US"/>
        </w:rPr>
        <w:t>the</w:t>
      </w:r>
      <w:r w:rsidRPr="004B5A3F">
        <w:rPr>
          <w:rFonts w:ascii="Calibri" w:eastAsia="Calibri" w:hAnsi="Calibri" w:cs="Calibri"/>
          <w:lang w:val="en-US"/>
        </w:rPr>
        <w:t xml:space="preserve"> potential to add significant organisational value</w:t>
      </w:r>
      <w:r w:rsidR="00C8776D" w:rsidRPr="004B5A3F">
        <w:rPr>
          <w:rFonts w:ascii="Calibri" w:eastAsia="Calibri" w:hAnsi="Calibri" w:cs="Calibri"/>
          <w:lang w:val="en-US"/>
        </w:rPr>
        <w:t xml:space="preserve"> in managing business risk</w:t>
      </w:r>
      <w:r w:rsidRPr="004B5A3F">
        <w:rPr>
          <w:rFonts w:ascii="Calibri" w:eastAsia="Calibri" w:hAnsi="Calibri" w:cs="Calibri"/>
          <w:lang w:val="en-US"/>
        </w:rPr>
        <w:t xml:space="preserve">. Compliance activity should primarily prevent (rather than just punish) non-compliance. However, to achieve this vision, information systems need to be in place to support </w:t>
      </w:r>
      <w:r w:rsidR="1947A6E6" w:rsidRPr="004B5A3F">
        <w:rPr>
          <w:rFonts w:ascii="Calibri" w:eastAsia="Calibri" w:hAnsi="Calibri" w:cs="Calibri"/>
          <w:lang w:val="en-US"/>
        </w:rPr>
        <w:t xml:space="preserve">both operational and strategic </w:t>
      </w:r>
      <w:r w:rsidRPr="004B5A3F">
        <w:rPr>
          <w:rFonts w:ascii="Calibri" w:eastAsia="Calibri" w:hAnsi="Calibri" w:cs="Calibri"/>
          <w:lang w:val="en-US"/>
        </w:rPr>
        <w:t>intelligence functions to better manage risk, enhanced triage and prioritisation processes are needed to better manage resources and additional resources are needed to undertake the range of activity required to manage compliance for a large number of legislative regimes.</w:t>
      </w:r>
    </w:p>
    <w:p w14:paraId="101B85FA" w14:textId="4D46F45A" w:rsidR="0D9EDE59" w:rsidRPr="004B5A3F" w:rsidRDefault="0D9EDE59" w:rsidP="004B5A3F">
      <w:pPr>
        <w:ind w:left="360"/>
        <w:rPr>
          <w:rFonts w:eastAsiaTheme="minorEastAsia"/>
        </w:rPr>
      </w:pPr>
      <w:r w:rsidRPr="004B5A3F">
        <w:rPr>
          <w:rFonts w:ascii="Calibri" w:eastAsia="Calibri" w:hAnsi="Calibri" w:cs="Calibri"/>
          <w:lang w:val="en-US"/>
        </w:rPr>
        <w:t>Further to this</w:t>
      </w:r>
      <w:r w:rsidR="003506AA" w:rsidRPr="004B5A3F">
        <w:rPr>
          <w:rFonts w:ascii="Calibri" w:eastAsia="Calibri" w:hAnsi="Calibri" w:cs="Calibri"/>
          <w:lang w:val="en-US"/>
        </w:rPr>
        <w:t>,</w:t>
      </w:r>
      <w:r w:rsidRPr="004B5A3F">
        <w:rPr>
          <w:rFonts w:ascii="Calibri" w:eastAsia="Calibri" w:hAnsi="Calibri" w:cs="Calibri"/>
          <w:lang w:val="en-US"/>
        </w:rPr>
        <w:t xml:space="preserve"> there </w:t>
      </w:r>
      <w:r w:rsidR="00343A75" w:rsidRPr="004B5A3F">
        <w:rPr>
          <w:rFonts w:ascii="Calibri" w:eastAsia="Calibri" w:hAnsi="Calibri" w:cs="Calibri"/>
          <w:lang w:val="en-US"/>
        </w:rPr>
        <w:t>is</w:t>
      </w:r>
      <w:r w:rsidRPr="004B5A3F">
        <w:rPr>
          <w:rFonts w:ascii="Calibri" w:eastAsia="Calibri" w:hAnsi="Calibri" w:cs="Calibri"/>
          <w:lang w:val="en-US"/>
        </w:rPr>
        <w:t xml:space="preserve"> some concern about the ability of a single </w:t>
      </w:r>
      <w:r w:rsidR="00085FD7" w:rsidRPr="004B5A3F">
        <w:rPr>
          <w:rFonts w:ascii="Calibri" w:eastAsia="Calibri" w:hAnsi="Calibri" w:cs="Calibri"/>
          <w:lang w:val="en-US"/>
        </w:rPr>
        <w:t>b</w:t>
      </w:r>
      <w:r w:rsidRPr="004B5A3F">
        <w:rPr>
          <w:rFonts w:ascii="Calibri" w:eastAsia="Calibri" w:hAnsi="Calibri" w:cs="Calibri"/>
          <w:lang w:val="en-US"/>
        </w:rPr>
        <w:t xml:space="preserve">ranch manager to satisfactorily lead environmental compliance across all of the legislative regimes, run the </w:t>
      </w:r>
      <w:r w:rsidR="291C83C6" w:rsidRPr="004B5A3F">
        <w:rPr>
          <w:rFonts w:ascii="Calibri" w:eastAsia="Calibri" w:hAnsi="Calibri" w:cs="Calibri"/>
          <w:lang w:val="en-US"/>
        </w:rPr>
        <w:t>day-to-day</w:t>
      </w:r>
      <w:r w:rsidRPr="004B5A3F">
        <w:rPr>
          <w:rFonts w:ascii="Calibri" w:eastAsia="Calibri" w:hAnsi="Calibri" w:cs="Calibri"/>
          <w:lang w:val="en-US"/>
        </w:rPr>
        <w:t xml:space="preserve"> affairs of a branch, provide satisfactory executive and ministerial support, be responsible for appropriately servicing program areas, build new systems </w:t>
      </w:r>
      <w:r w:rsidR="00085FD7" w:rsidRPr="004B5A3F">
        <w:rPr>
          <w:rFonts w:ascii="Calibri" w:eastAsia="Calibri" w:hAnsi="Calibri" w:cs="Calibri"/>
          <w:lang w:val="en-US"/>
        </w:rPr>
        <w:t>and</w:t>
      </w:r>
      <w:r w:rsidRPr="004B5A3F">
        <w:rPr>
          <w:rFonts w:ascii="Calibri" w:eastAsia="Calibri" w:hAnsi="Calibri" w:cs="Calibri"/>
          <w:lang w:val="en-US"/>
        </w:rPr>
        <w:t xml:space="preserve"> implemen</w:t>
      </w:r>
      <w:r w:rsidR="00990B24" w:rsidRPr="004B5A3F">
        <w:rPr>
          <w:rFonts w:ascii="Calibri" w:eastAsia="Calibri" w:hAnsi="Calibri" w:cs="Calibri"/>
          <w:lang w:val="en-US"/>
        </w:rPr>
        <w:t>t</w:t>
      </w:r>
      <w:r w:rsidRPr="004B5A3F">
        <w:rPr>
          <w:rFonts w:ascii="Calibri" w:eastAsia="Calibri" w:hAnsi="Calibri" w:cs="Calibri"/>
          <w:lang w:val="en-US"/>
        </w:rPr>
        <w:t xml:space="preserve"> a range of new reforms.</w:t>
      </w:r>
    </w:p>
    <w:p w14:paraId="338C11CC" w14:textId="2812D36E" w:rsidR="0D9EDE59" w:rsidRDefault="0D9EDE59" w:rsidP="004B5A3F">
      <w:pPr>
        <w:pStyle w:val="Heading3"/>
        <w:ind w:left="360"/>
      </w:pPr>
      <w:bookmarkStart w:id="24" w:name="_Toc72504373"/>
      <w:r w:rsidRPr="761DF7AD">
        <w:rPr>
          <w:lang w:val="en-US"/>
        </w:rPr>
        <w:t>Staff in environmental program areas</w:t>
      </w:r>
      <w:bookmarkEnd w:id="24"/>
    </w:p>
    <w:p w14:paraId="64425534" w14:textId="5824917C" w:rsidR="0D9EDE59" w:rsidRPr="004B5A3F" w:rsidRDefault="0D9EDE59" w:rsidP="004B5A3F">
      <w:pPr>
        <w:ind w:left="360"/>
        <w:rPr>
          <w:rFonts w:eastAsiaTheme="minorEastAsia"/>
        </w:rPr>
      </w:pPr>
      <w:r w:rsidRPr="004B5A3F">
        <w:rPr>
          <w:rFonts w:ascii="Calibri" w:eastAsia="Calibri" w:hAnsi="Calibri" w:cs="Calibri"/>
          <w:lang w:val="en-US"/>
        </w:rPr>
        <w:t>Discussions with staff responsible for administering various environmental programs (eg wildlife trade, assessing referrals made under the EPBC Act, sea dumping, underwater</w:t>
      </w:r>
      <w:r w:rsidR="00153029" w:rsidRPr="004B5A3F">
        <w:rPr>
          <w:rFonts w:ascii="Calibri" w:eastAsia="Calibri" w:hAnsi="Calibri" w:cs="Calibri"/>
          <w:lang w:val="en-US"/>
        </w:rPr>
        <w:t xml:space="preserve"> cultural</w:t>
      </w:r>
      <w:r w:rsidRPr="004B5A3F">
        <w:rPr>
          <w:rFonts w:ascii="Calibri" w:eastAsia="Calibri" w:hAnsi="Calibri" w:cs="Calibri"/>
          <w:lang w:val="en-US"/>
        </w:rPr>
        <w:t xml:space="preserve"> heritage and</w:t>
      </w:r>
      <w:r w:rsidR="003F1CAF" w:rsidRPr="004B5A3F">
        <w:rPr>
          <w:rFonts w:ascii="Calibri" w:eastAsia="Calibri" w:hAnsi="Calibri" w:cs="Calibri"/>
          <w:lang w:val="en-US"/>
        </w:rPr>
        <w:t xml:space="preserve"> marine</w:t>
      </w:r>
      <w:r w:rsidRPr="004B5A3F">
        <w:rPr>
          <w:rFonts w:ascii="Calibri" w:eastAsia="Calibri" w:hAnsi="Calibri" w:cs="Calibri"/>
          <w:lang w:val="en-US"/>
        </w:rPr>
        <w:t xml:space="preserve"> parks) and those </w:t>
      </w:r>
      <w:r w:rsidR="04373124" w:rsidRPr="004B5A3F">
        <w:rPr>
          <w:rFonts w:ascii="Calibri" w:eastAsia="Calibri" w:hAnsi="Calibri" w:cs="Calibri"/>
          <w:lang w:val="en-US"/>
        </w:rPr>
        <w:t>preparing the</w:t>
      </w:r>
      <w:r w:rsidRPr="004B5A3F">
        <w:rPr>
          <w:rFonts w:ascii="Calibri" w:eastAsia="Calibri" w:hAnsi="Calibri" w:cs="Calibri"/>
          <w:lang w:val="en-US"/>
        </w:rPr>
        <w:t xml:space="preserve"> next State of the Environment </w:t>
      </w:r>
      <w:r w:rsidR="73CA64EE" w:rsidRPr="004B5A3F">
        <w:rPr>
          <w:rFonts w:ascii="Calibri" w:eastAsia="Calibri" w:hAnsi="Calibri" w:cs="Calibri"/>
          <w:lang w:val="en-US"/>
        </w:rPr>
        <w:t>reports reveal</w:t>
      </w:r>
      <w:r w:rsidRPr="004B5A3F">
        <w:rPr>
          <w:rFonts w:ascii="Calibri" w:eastAsia="Calibri" w:hAnsi="Calibri" w:cs="Calibri"/>
          <w:lang w:val="en-US"/>
        </w:rPr>
        <w:t xml:space="preserve"> differences in the ways that they engage with ECB. For example, once a matter referred under the EPBC Act has been approved (with conditions), ECB is then responsible for all subsequent compliance activity, including receiving regular compliance reports from proponents, conducting audits, and addressing any identified non-compliance. Similarly, ECB staff are responsible for considering all applications for release of goods seized by Australian Border Force staff on suspicion of a breach of wildlife trade legislation having occurred. However, other programs (such as sea dumping and Antarctic management) manage all post-approval functions</w:t>
      </w:r>
      <w:r w:rsidR="703D1B14" w:rsidRPr="004B5A3F">
        <w:rPr>
          <w:rFonts w:ascii="Calibri" w:eastAsia="Calibri" w:hAnsi="Calibri" w:cs="Calibri"/>
          <w:lang w:val="en-US"/>
        </w:rPr>
        <w:t>, monitoring and inspection activities</w:t>
      </w:r>
      <w:r w:rsidRPr="004B5A3F">
        <w:rPr>
          <w:rFonts w:ascii="Calibri" w:eastAsia="Calibri" w:hAnsi="Calibri" w:cs="Calibri"/>
          <w:lang w:val="en-US"/>
        </w:rPr>
        <w:t xml:space="preserve"> until a </w:t>
      </w:r>
      <w:r w:rsidRPr="004B5A3F">
        <w:rPr>
          <w:rFonts w:ascii="Calibri" w:eastAsia="Calibri" w:hAnsi="Calibri" w:cs="Calibri"/>
          <w:i/>
          <w:iCs/>
          <w:lang w:val="en-US"/>
        </w:rPr>
        <w:t>prima facie</w:t>
      </w:r>
      <w:r w:rsidRPr="004B5A3F">
        <w:rPr>
          <w:rFonts w:ascii="Calibri" w:eastAsia="Calibri" w:hAnsi="Calibri" w:cs="Calibri"/>
          <w:lang w:val="en-US"/>
        </w:rPr>
        <w:t xml:space="preserve"> case of serious non-compliance is escalated to ECB for consideration for prosecution, while for other programs (such as hazardous waste regulation, ozone and product emissions standards) there are no identified resources or formalised roles and responsibilities for ECB to conduct compliance activities.</w:t>
      </w:r>
    </w:p>
    <w:p w14:paraId="3DA0EAF0" w14:textId="4EA82106" w:rsidR="0D9EDE59" w:rsidRPr="004B5A3F" w:rsidRDefault="0D9EDE59" w:rsidP="004B5A3F">
      <w:pPr>
        <w:ind w:left="360"/>
        <w:rPr>
          <w:rFonts w:eastAsiaTheme="minorEastAsia"/>
        </w:rPr>
      </w:pPr>
      <w:r w:rsidRPr="004B5A3F">
        <w:rPr>
          <w:rFonts w:ascii="Calibri" w:eastAsia="Calibri" w:hAnsi="Calibri" w:cs="Calibri"/>
          <w:lang w:val="en-US"/>
        </w:rPr>
        <w:t>Some areas report difficulty engaging with staff in ECB, which they recognise as being in part due to resourcing constraints but in part due to differences in approach and unresolved disagreements about respective roles and responsibilities. This situation is adversely impacting on program management, including key stakeholder relationships</w:t>
      </w:r>
      <w:r w:rsidR="0005516F" w:rsidRPr="004B5A3F">
        <w:rPr>
          <w:rFonts w:ascii="Calibri" w:eastAsia="Calibri" w:hAnsi="Calibri" w:cs="Calibri"/>
          <w:lang w:val="en-US"/>
        </w:rPr>
        <w:t xml:space="preserve"> and environmental outcomes</w:t>
      </w:r>
      <w:r w:rsidRPr="004B5A3F">
        <w:rPr>
          <w:rFonts w:ascii="Calibri" w:eastAsia="Calibri" w:hAnsi="Calibri" w:cs="Calibri"/>
          <w:lang w:val="en-US"/>
        </w:rPr>
        <w:t>. An internal consultative committee that agreed on compliance resource allocation has been disbanded.</w:t>
      </w:r>
    </w:p>
    <w:p w14:paraId="1982F183" w14:textId="59BEEC48" w:rsidR="005C3E7A" w:rsidRPr="004B5A3F" w:rsidRDefault="0D9EDE59" w:rsidP="004B5A3F">
      <w:pPr>
        <w:ind w:left="360"/>
        <w:rPr>
          <w:rFonts w:ascii="Calibri" w:eastAsia="Calibri" w:hAnsi="Calibri" w:cs="Calibri"/>
          <w:lang w:val="en-US"/>
        </w:rPr>
      </w:pPr>
      <w:r w:rsidRPr="004B5A3F">
        <w:rPr>
          <w:rFonts w:ascii="Calibri" w:eastAsia="Calibri" w:hAnsi="Calibri" w:cs="Calibri"/>
          <w:lang w:val="en-US"/>
        </w:rPr>
        <w:lastRenderedPageBreak/>
        <w:t xml:space="preserve">The Department has obtained funding to develop a new information technology system (DEAP) to manage workflows relating to the assessment and approval of referrals made under the EPBC Act. However, interviews with staff working on this system confirm that functions relating to </w:t>
      </w:r>
      <w:r w:rsidR="002E8CCE" w:rsidRPr="004B5A3F">
        <w:rPr>
          <w:rFonts w:ascii="Calibri" w:eastAsia="Calibri" w:hAnsi="Calibri" w:cs="Calibri"/>
          <w:lang w:val="en-US"/>
        </w:rPr>
        <w:t xml:space="preserve">recording </w:t>
      </w:r>
      <w:r w:rsidRPr="004B5A3F">
        <w:rPr>
          <w:rFonts w:ascii="Calibri" w:eastAsia="Calibri" w:hAnsi="Calibri" w:cs="Calibri"/>
          <w:lang w:val="en-US"/>
        </w:rPr>
        <w:t>compliance with any conditions of approval are not included in the scope of this system – the system extends to the post-approval stage (including variation of conditions, approval of management plans and registration of approved offsets), but not to any subsequent compliance workflows</w:t>
      </w:r>
      <w:r w:rsidR="3960E5D4" w:rsidRPr="004B5A3F">
        <w:rPr>
          <w:rFonts w:ascii="Calibri" w:eastAsia="Calibri" w:hAnsi="Calibri" w:cs="Calibri"/>
          <w:lang w:val="en-US"/>
        </w:rPr>
        <w:t xml:space="preserve"> such as management reporting and case management for high risk projects</w:t>
      </w:r>
      <w:r w:rsidRPr="004B5A3F">
        <w:rPr>
          <w:rFonts w:ascii="Calibri" w:eastAsia="Calibri" w:hAnsi="Calibri" w:cs="Calibri"/>
          <w:lang w:val="en-US"/>
        </w:rPr>
        <w:t>. Therefore, allegations of findings of non-compliance with any conditions of approval (including offsets) will not be recorded in this system, and a proponent’s compliance history will not be available to officers considering new or varied approvals.</w:t>
      </w:r>
      <w:r w:rsidR="009237F1">
        <w:rPr>
          <w:rFonts w:ascii="Calibri" w:eastAsia="Calibri" w:hAnsi="Calibri" w:cs="Calibri"/>
          <w:lang w:val="en-US"/>
        </w:rPr>
        <w:t xml:space="preserve"> </w:t>
      </w:r>
      <w:r w:rsidR="00664A7B">
        <w:rPr>
          <w:rFonts w:ascii="Calibri" w:eastAsia="Calibri" w:hAnsi="Calibri" w:cs="Calibri"/>
          <w:lang w:val="en-US"/>
        </w:rPr>
        <w:t>These issues</w:t>
      </w:r>
      <w:r w:rsidR="0079702F">
        <w:rPr>
          <w:rFonts w:ascii="Calibri" w:eastAsia="Calibri" w:hAnsi="Calibri" w:cs="Calibri"/>
          <w:lang w:val="en-US"/>
        </w:rPr>
        <w:t>,</w:t>
      </w:r>
      <w:r w:rsidR="00664A7B">
        <w:rPr>
          <w:rFonts w:ascii="Calibri" w:eastAsia="Calibri" w:hAnsi="Calibri" w:cs="Calibri"/>
          <w:lang w:val="en-US"/>
        </w:rPr>
        <w:t xml:space="preserve"> </w:t>
      </w:r>
      <w:r w:rsidR="0079702F">
        <w:rPr>
          <w:rFonts w:ascii="Calibri" w:eastAsia="Calibri" w:hAnsi="Calibri" w:cs="Calibri"/>
          <w:lang w:val="en-US"/>
        </w:rPr>
        <w:t xml:space="preserve">with recommendations to address them, </w:t>
      </w:r>
      <w:r w:rsidR="00664A7B">
        <w:rPr>
          <w:rFonts w:ascii="Calibri" w:eastAsia="Calibri" w:hAnsi="Calibri" w:cs="Calibri"/>
          <w:lang w:val="en-US"/>
        </w:rPr>
        <w:t>are explored</w:t>
      </w:r>
      <w:r w:rsidR="0079702F">
        <w:rPr>
          <w:rFonts w:ascii="Calibri" w:eastAsia="Calibri" w:hAnsi="Calibri" w:cs="Calibri"/>
          <w:lang w:val="en-US"/>
        </w:rPr>
        <w:t xml:space="preserve"> later in this report</w:t>
      </w:r>
      <w:r w:rsidR="00A77176" w:rsidRPr="00A77176">
        <w:rPr>
          <w:rFonts w:ascii="Calibri" w:eastAsia="Calibri" w:hAnsi="Calibri" w:cs="Calibri"/>
          <w:lang w:val="en-US"/>
        </w:rPr>
        <w:t xml:space="preserve"> </w:t>
      </w:r>
      <w:r w:rsidR="00A77176">
        <w:rPr>
          <w:rFonts w:ascii="Calibri" w:eastAsia="Calibri" w:hAnsi="Calibri" w:cs="Calibri"/>
          <w:lang w:val="en-US"/>
        </w:rPr>
        <w:t xml:space="preserve">in a section on </w:t>
      </w:r>
      <w:hyperlink w:anchor="_Information_management_and" w:history="1">
        <w:r w:rsidR="00A77176" w:rsidRPr="00A77176">
          <w:rPr>
            <w:rStyle w:val="Hyperlink"/>
            <w:rFonts w:ascii="Calibri" w:eastAsia="Calibri" w:hAnsi="Calibri" w:cs="Calibri"/>
            <w:lang w:val="en-US"/>
          </w:rPr>
          <w:t>information management and systems</w:t>
        </w:r>
      </w:hyperlink>
      <w:r w:rsidR="00F0783F">
        <w:rPr>
          <w:rFonts w:ascii="Calibri" w:eastAsia="Calibri" w:hAnsi="Calibri" w:cs="Calibri"/>
          <w:lang w:val="en-US"/>
        </w:rPr>
        <w:t>.</w:t>
      </w:r>
    </w:p>
    <w:p w14:paraId="03E7265F" w14:textId="0D37D1F3" w:rsidR="0079046E" w:rsidRPr="00EC15E4" w:rsidRDefault="0079046E" w:rsidP="004B5A3F">
      <w:pPr>
        <w:pStyle w:val="Heading3"/>
        <w:ind w:left="360"/>
        <w:rPr>
          <w:lang w:val="en-US"/>
        </w:rPr>
      </w:pPr>
      <w:bookmarkStart w:id="25" w:name="_Toc72504374"/>
      <w:r w:rsidRPr="00EC15E4">
        <w:rPr>
          <w:lang w:val="en-US"/>
        </w:rPr>
        <w:t>Environment Compliance Branch staff</w:t>
      </w:r>
      <w:bookmarkEnd w:id="25"/>
    </w:p>
    <w:p w14:paraId="1CED76DD" w14:textId="00DDD38A" w:rsidR="0D9EDE59" w:rsidRPr="004B5A3F" w:rsidRDefault="0D9EDE59" w:rsidP="004B5A3F">
      <w:pPr>
        <w:ind w:left="360"/>
        <w:rPr>
          <w:rFonts w:eastAsiaTheme="minorEastAsia"/>
          <w:lang w:val="en-US"/>
        </w:rPr>
      </w:pPr>
      <w:r w:rsidRPr="004B5A3F">
        <w:rPr>
          <w:rFonts w:ascii="Calibri" w:eastAsia="Calibri" w:hAnsi="Calibri" w:cs="Calibri"/>
          <w:lang w:val="en-US"/>
        </w:rPr>
        <w:t>ECB staff advise</w:t>
      </w:r>
      <w:r w:rsidR="431146F8" w:rsidRPr="004B5A3F">
        <w:rPr>
          <w:rFonts w:ascii="Calibri" w:eastAsia="Calibri" w:hAnsi="Calibri" w:cs="Calibri"/>
          <w:lang w:val="en-US"/>
        </w:rPr>
        <w:t xml:space="preserve"> </w:t>
      </w:r>
      <w:r w:rsidRPr="004B5A3F">
        <w:rPr>
          <w:rFonts w:ascii="Calibri" w:eastAsia="Calibri" w:hAnsi="Calibri" w:cs="Calibri"/>
          <w:lang w:val="en-US"/>
        </w:rPr>
        <w:t>that they are in a crisis situation, hampered by a lack of resources, including contemporary compliance tools such as information systems. Information held by the branch is siloed in a variety of spreadsheets that do not allow a comprehensive view of key compliance risks</w:t>
      </w:r>
      <w:r w:rsidR="52AC4C29" w:rsidRPr="004B5A3F">
        <w:rPr>
          <w:rFonts w:ascii="Calibri" w:eastAsia="Calibri" w:hAnsi="Calibri" w:cs="Calibri"/>
          <w:lang w:val="en-US"/>
        </w:rPr>
        <w:t xml:space="preserve"> and the size of these spreadsheets is leading to them becoming </w:t>
      </w:r>
      <w:r w:rsidR="002C1975" w:rsidRPr="004B5A3F">
        <w:rPr>
          <w:rFonts w:ascii="Calibri" w:eastAsia="Calibri" w:hAnsi="Calibri" w:cs="Calibri"/>
          <w:lang w:val="en-US"/>
        </w:rPr>
        <w:t>unstable</w:t>
      </w:r>
      <w:r w:rsidR="52AC4C29" w:rsidRPr="004B5A3F">
        <w:rPr>
          <w:rFonts w:ascii="Calibri" w:eastAsia="Calibri" w:hAnsi="Calibri" w:cs="Calibri"/>
          <w:lang w:val="en-US"/>
        </w:rPr>
        <w:t xml:space="preserve"> and therefore unreliable</w:t>
      </w:r>
      <w:r w:rsidRPr="004B5A3F">
        <w:rPr>
          <w:rFonts w:ascii="Calibri" w:eastAsia="Calibri" w:hAnsi="Calibri" w:cs="Calibri"/>
          <w:lang w:val="en-US"/>
        </w:rPr>
        <w:t>. There is a high reliance on experienced office</w:t>
      </w:r>
      <w:r w:rsidR="4596EBF3" w:rsidRPr="004B5A3F">
        <w:rPr>
          <w:rFonts w:ascii="Calibri" w:eastAsia="Calibri" w:hAnsi="Calibri" w:cs="Calibri"/>
          <w:lang w:val="en-US"/>
        </w:rPr>
        <w:t>r knowledge</w:t>
      </w:r>
      <w:r w:rsidR="002E532B" w:rsidRPr="004B5A3F">
        <w:rPr>
          <w:rFonts w:ascii="Calibri" w:eastAsia="Calibri" w:hAnsi="Calibri" w:cs="Calibri"/>
          <w:lang w:val="en-US"/>
        </w:rPr>
        <w:t>;</w:t>
      </w:r>
      <w:r w:rsidRPr="004B5A3F">
        <w:rPr>
          <w:rFonts w:ascii="Calibri" w:eastAsia="Calibri" w:hAnsi="Calibri" w:cs="Calibri"/>
          <w:lang w:val="en-US"/>
        </w:rPr>
        <w:t xml:space="preserve"> however</w:t>
      </w:r>
      <w:r w:rsidR="676F8B3D" w:rsidRPr="004B5A3F">
        <w:rPr>
          <w:rFonts w:ascii="Calibri" w:eastAsia="Calibri" w:hAnsi="Calibri" w:cs="Calibri"/>
          <w:lang w:val="en-US"/>
        </w:rPr>
        <w:t>,</w:t>
      </w:r>
      <w:r w:rsidRPr="004B5A3F">
        <w:rPr>
          <w:rFonts w:ascii="Calibri" w:eastAsia="Calibri" w:hAnsi="Calibri" w:cs="Calibri"/>
          <w:lang w:val="en-US"/>
        </w:rPr>
        <w:t xml:space="preserve"> these officers are stretched, some are relocating to work areas of higher prominence in the organi</w:t>
      </w:r>
      <w:r w:rsidR="002E532B" w:rsidRPr="004B5A3F">
        <w:rPr>
          <w:rFonts w:ascii="Calibri" w:eastAsia="Calibri" w:hAnsi="Calibri" w:cs="Calibri"/>
          <w:lang w:val="en-US"/>
        </w:rPr>
        <w:t>s</w:t>
      </w:r>
      <w:r w:rsidRPr="004B5A3F">
        <w:rPr>
          <w:rFonts w:ascii="Calibri" w:eastAsia="Calibri" w:hAnsi="Calibri" w:cs="Calibri"/>
          <w:lang w:val="en-US"/>
        </w:rPr>
        <w:t>ation and</w:t>
      </w:r>
      <w:r w:rsidR="002E532B" w:rsidRPr="004B5A3F">
        <w:rPr>
          <w:rFonts w:ascii="Calibri" w:eastAsia="Calibri" w:hAnsi="Calibri" w:cs="Calibri"/>
          <w:lang w:val="en-US"/>
        </w:rPr>
        <w:t xml:space="preserve"> compliance</w:t>
      </w:r>
      <w:r w:rsidRPr="004B5A3F">
        <w:rPr>
          <w:rFonts w:ascii="Calibri" w:eastAsia="Calibri" w:hAnsi="Calibri" w:cs="Calibri"/>
          <w:lang w:val="en-US"/>
        </w:rPr>
        <w:t xml:space="preserve"> capability is declining overall.</w:t>
      </w:r>
    </w:p>
    <w:p w14:paraId="77277516" w14:textId="093B0559" w:rsidR="0D9EDE59" w:rsidRPr="004B5A3F" w:rsidRDefault="0D9EDE59" w:rsidP="004B5A3F">
      <w:pPr>
        <w:ind w:left="360"/>
        <w:rPr>
          <w:rFonts w:eastAsiaTheme="minorEastAsia"/>
          <w:color w:val="000000" w:themeColor="text1"/>
          <w:lang w:val="en-US"/>
        </w:rPr>
      </w:pPr>
      <w:r w:rsidRPr="004B5A3F">
        <w:rPr>
          <w:rFonts w:ascii="Calibri" w:eastAsia="Calibri" w:hAnsi="Calibri" w:cs="Calibri"/>
          <w:lang w:val="en-US"/>
        </w:rPr>
        <w:t>Given the limited compliance resources</w:t>
      </w:r>
      <w:r w:rsidR="00DA351A" w:rsidRPr="004B5A3F">
        <w:rPr>
          <w:rFonts w:ascii="Calibri" w:eastAsia="Calibri" w:hAnsi="Calibri" w:cs="Calibri"/>
          <w:lang w:val="en-US"/>
        </w:rPr>
        <w:t>,</w:t>
      </w:r>
      <w:r w:rsidRPr="004B5A3F">
        <w:rPr>
          <w:rFonts w:ascii="Calibri" w:eastAsia="Calibri" w:hAnsi="Calibri" w:cs="Calibri"/>
          <w:lang w:val="en-US"/>
        </w:rPr>
        <w:t xml:space="preserve"> there </w:t>
      </w:r>
      <w:r w:rsidR="00DA351A" w:rsidRPr="004B5A3F">
        <w:rPr>
          <w:rFonts w:ascii="Calibri" w:eastAsia="Calibri" w:hAnsi="Calibri" w:cs="Calibri"/>
          <w:lang w:val="en-US"/>
        </w:rPr>
        <w:t>is</w:t>
      </w:r>
      <w:r w:rsidRPr="004B5A3F">
        <w:rPr>
          <w:rFonts w:ascii="Calibri" w:eastAsia="Calibri" w:hAnsi="Calibri" w:cs="Calibri"/>
          <w:lang w:val="en-US"/>
        </w:rPr>
        <w:t xml:space="preserve"> concern about </w:t>
      </w:r>
      <w:r w:rsidR="03B127FB" w:rsidRPr="004B5A3F">
        <w:rPr>
          <w:rFonts w:ascii="Calibri" w:eastAsia="Calibri" w:hAnsi="Calibri" w:cs="Calibri"/>
          <w:lang w:val="en-US"/>
        </w:rPr>
        <w:t xml:space="preserve">the extent to which compliance officers are </w:t>
      </w:r>
      <w:r w:rsidRPr="004B5A3F">
        <w:rPr>
          <w:rFonts w:ascii="Calibri" w:eastAsia="Calibri" w:hAnsi="Calibri" w:cs="Calibri"/>
          <w:lang w:val="en-US"/>
        </w:rPr>
        <w:t>being diverted to administrative tasks such as managing Freedom of Information requests</w:t>
      </w:r>
      <w:r w:rsidR="7282BF44" w:rsidRPr="004B5A3F">
        <w:rPr>
          <w:rFonts w:ascii="Calibri" w:eastAsia="Calibri" w:hAnsi="Calibri" w:cs="Calibri"/>
          <w:lang w:val="en-US"/>
        </w:rPr>
        <w:t>, responding to routine correspondence</w:t>
      </w:r>
      <w:r w:rsidRPr="004B5A3F">
        <w:rPr>
          <w:rFonts w:ascii="Calibri" w:eastAsia="Calibri" w:hAnsi="Calibri" w:cs="Calibri"/>
          <w:lang w:val="en-US"/>
        </w:rPr>
        <w:t xml:space="preserve"> and providing routine </w:t>
      </w:r>
      <w:r w:rsidR="2BCAD7DA" w:rsidRPr="004B5A3F">
        <w:rPr>
          <w:rFonts w:ascii="Calibri" w:eastAsia="Calibri" w:hAnsi="Calibri" w:cs="Calibri"/>
          <w:lang w:val="en-US"/>
        </w:rPr>
        <w:t xml:space="preserve">and regular estimates </w:t>
      </w:r>
      <w:r w:rsidRPr="004B5A3F">
        <w:rPr>
          <w:rFonts w:ascii="Calibri" w:eastAsia="Calibri" w:hAnsi="Calibri" w:cs="Calibri"/>
          <w:lang w:val="en-US"/>
        </w:rPr>
        <w:t>briefings rather than progressing compliance matters. The</w:t>
      </w:r>
      <w:r w:rsidR="006C7FA3">
        <w:rPr>
          <w:rFonts w:ascii="Calibri" w:eastAsia="Calibri" w:hAnsi="Calibri" w:cs="Calibri"/>
          <w:lang w:val="en-US"/>
        </w:rPr>
        <w:t xml:space="preserve"> current level of ECB resources does not </w:t>
      </w:r>
      <w:r w:rsidR="00E41D05">
        <w:rPr>
          <w:rFonts w:ascii="Calibri" w:eastAsia="Calibri" w:hAnsi="Calibri" w:cs="Calibri"/>
          <w:lang w:val="en-US"/>
        </w:rPr>
        <w:t xml:space="preserve">permit management of a sufficient proportion of </w:t>
      </w:r>
      <w:r w:rsidRPr="004B5A3F">
        <w:rPr>
          <w:rFonts w:ascii="Calibri" w:eastAsia="Calibri" w:hAnsi="Calibri" w:cs="Calibri"/>
          <w:lang w:val="en-US"/>
        </w:rPr>
        <w:t>routine audits, reviews of management reports and allegations of non-compliance.</w:t>
      </w:r>
    </w:p>
    <w:p w14:paraId="5EE190A5" w14:textId="051E1E81" w:rsidR="00756DD4" w:rsidRPr="004B5A3F" w:rsidRDefault="00756DD4" w:rsidP="004B5A3F">
      <w:pPr>
        <w:ind w:left="360"/>
        <w:rPr>
          <w:rFonts w:eastAsiaTheme="minorEastAsia"/>
        </w:rPr>
      </w:pPr>
      <w:r w:rsidRPr="004B5A3F">
        <w:rPr>
          <w:rFonts w:ascii="Calibri" w:eastAsia="Calibri" w:hAnsi="Calibri" w:cs="Calibri"/>
          <w:lang w:val="en-US"/>
        </w:rPr>
        <w:t>Work is underway to design an information system to support the compliance functions across all relevant environmental legislation. This system is intended to be able to interface with the new system being built for EPBC Act approvals, while also accommodating information and workflow for compliance activities related to other environmental legislation</w:t>
      </w:r>
      <w:r w:rsidR="00DA351A" w:rsidRPr="004B5A3F">
        <w:rPr>
          <w:rFonts w:ascii="Calibri" w:eastAsia="Calibri" w:hAnsi="Calibri" w:cs="Calibri"/>
          <w:lang w:val="en-US"/>
        </w:rPr>
        <w:t xml:space="preserve">, but </w:t>
      </w:r>
      <w:r w:rsidR="0070455C" w:rsidRPr="004B5A3F">
        <w:rPr>
          <w:rFonts w:ascii="Calibri" w:eastAsia="Calibri" w:hAnsi="Calibri" w:cs="Calibri"/>
          <w:lang w:val="en-US"/>
        </w:rPr>
        <w:t xml:space="preserve">the work to build </w:t>
      </w:r>
      <w:r w:rsidR="00DA351A" w:rsidRPr="004B5A3F">
        <w:rPr>
          <w:rFonts w:ascii="Calibri" w:eastAsia="Calibri" w:hAnsi="Calibri" w:cs="Calibri"/>
          <w:lang w:val="en-US"/>
        </w:rPr>
        <w:t xml:space="preserve">these interfaces </w:t>
      </w:r>
      <w:r w:rsidR="0070455C" w:rsidRPr="004B5A3F">
        <w:rPr>
          <w:rFonts w:ascii="Calibri" w:eastAsia="Calibri" w:hAnsi="Calibri" w:cs="Calibri"/>
          <w:lang w:val="en-US"/>
        </w:rPr>
        <w:t>is</w:t>
      </w:r>
      <w:r w:rsidR="00DA351A" w:rsidRPr="004B5A3F">
        <w:rPr>
          <w:rFonts w:ascii="Calibri" w:eastAsia="Calibri" w:hAnsi="Calibri" w:cs="Calibri"/>
          <w:lang w:val="en-US"/>
        </w:rPr>
        <w:t xml:space="preserve"> currently not </w:t>
      </w:r>
      <w:r w:rsidR="0070455C" w:rsidRPr="004B5A3F">
        <w:rPr>
          <w:rFonts w:ascii="Calibri" w:eastAsia="Calibri" w:hAnsi="Calibri" w:cs="Calibri"/>
          <w:lang w:val="en-US"/>
        </w:rPr>
        <w:t>funded.</w:t>
      </w:r>
    </w:p>
    <w:p w14:paraId="52820AA0" w14:textId="7B834654" w:rsidR="0D9EDE59" w:rsidRPr="004B5A3F" w:rsidRDefault="0D9EDE59" w:rsidP="004B5A3F">
      <w:pPr>
        <w:ind w:left="360"/>
        <w:rPr>
          <w:rFonts w:eastAsiaTheme="minorEastAsia"/>
        </w:rPr>
      </w:pPr>
      <w:r w:rsidRPr="004B5A3F">
        <w:rPr>
          <w:rFonts w:ascii="Calibri" w:eastAsia="Calibri" w:hAnsi="Calibri" w:cs="Calibri"/>
          <w:lang w:val="en-US"/>
        </w:rPr>
        <w:t>ECB staff have evidence of increasing involvement by organised criminal groups in environmental crimes, particularly in relation to hazardous waste and illegal wildlife trade. Although they are building links with other relevant intelligence and law enforcement agencies, resource constraints and lack of mature information systems (including limited access to data held by other agencies) are hampering their ability to effectively respond to this growing threat.</w:t>
      </w:r>
    </w:p>
    <w:p w14:paraId="507F99AF" w14:textId="7BBF3F72" w:rsidR="0D9EDE59" w:rsidRPr="004B5A3F" w:rsidRDefault="0D9EDE59" w:rsidP="004B5A3F">
      <w:pPr>
        <w:ind w:left="360"/>
        <w:rPr>
          <w:rFonts w:eastAsiaTheme="minorEastAsia"/>
        </w:rPr>
      </w:pPr>
      <w:r w:rsidRPr="004B5A3F">
        <w:rPr>
          <w:rFonts w:ascii="Calibri" w:eastAsia="Calibri" w:hAnsi="Calibri" w:cs="Calibri"/>
          <w:lang w:val="en-US"/>
        </w:rPr>
        <w:t xml:space="preserve">Only a small number of compliance cases proceed to prosecution, with the likelihood of prosecution depending primarily on the criminality of the offence, rather than the </w:t>
      </w:r>
      <w:r w:rsidRPr="004B5A3F">
        <w:rPr>
          <w:rFonts w:ascii="Calibri" w:eastAsia="Calibri" w:hAnsi="Calibri" w:cs="Calibri"/>
          <w:lang w:val="en-US"/>
        </w:rPr>
        <w:lastRenderedPageBreak/>
        <w:t>environmental impact of the alleged conduct. Criminal penalties are low relative to the potential level of environmental harm.</w:t>
      </w:r>
    </w:p>
    <w:p w14:paraId="0061425A" w14:textId="7C3EE875" w:rsidR="0D9EDE59" w:rsidRDefault="0D9EDE59" w:rsidP="004B5A3F">
      <w:pPr>
        <w:pStyle w:val="Heading3"/>
        <w:ind w:left="360"/>
      </w:pPr>
      <w:bookmarkStart w:id="26" w:name="_Toc72504375"/>
      <w:r w:rsidRPr="761DF7AD">
        <w:rPr>
          <w:lang w:val="en-US"/>
        </w:rPr>
        <w:t>Other Commonwealth agencies</w:t>
      </w:r>
      <w:bookmarkEnd w:id="26"/>
    </w:p>
    <w:p w14:paraId="2A4B47FD" w14:textId="4C4F423E" w:rsidR="0D9EDE59" w:rsidRPr="004B5A3F" w:rsidRDefault="0D9EDE59" w:rsidP="004B5A3F">
      <w:pPr>
        <w:ind w:left="360"/>
        <w:rPr>
          <w:rFonts w:eastAsiaTheme="minorEastAsia"/>
        </w:rPr>
      </w:pPr>
      <w:r w:rsidRPr="004B5A3F">
        <w:rPr>
          <w:rFonts w:ascii="Calibri" w:eastAsia="Calibri" w:hAnsi="Calibri" w:cs="Calibri"/>
          <w:lang w:val="en-US"/>
        </w:rPr>
        <w:t>The Australian Competition and Consumer Commission (ACCC) adopts a highly structured approach to compliance and enforcement, with clear strategic focus on improving the operation of Australia’s market economy. Each year, the ACCC Chairman announces the organisation’s annual compliance priorities in a major speech. These priorities are informed by a detailed strategic review (compiled into an 80-page document that identifies about 15 options for compliance and enforcement focus in the coming year), which is then considered at a strategic review day involving all Commissioners and most senior executives. The strategic review is informed by data from a wide range of sources, including from its call centre (that receives about 300,000 consumer complaints every year), dialogue with international counterparts on emerging issues, interviews with key stakeholders, media reports and surveys. The Commission itself determines the final 12 areas of priority focus that are publicly announced.</w:t>
      </w:r>
    </w:p>
    <w:p w14:paraId="73066917" w14:textId="12E6C61F" w:rsidR="0D9EDE59" w:rsidRPr="004B5A3F" w:rsidRDefault="0D9EDE59" w:rsidP="004B5A3F">
      <w:pPr>
        <w:ind w:left="360"/>
        <w:rPr>
          <w:rFonts w:eastAsiaTheme="minorEastAsia"/>
        </w:rPr>
      </w:pPr>
      <w:r w:rsidRPr="004B5A3F">
        <w:rPr>
          <w:rFonts w:ascii="Calibri" w:eastAsia="Calibri" w:hAnsi="Calibri" w:cs="Calibri"/>
          <w:lang w:val="en-US"/>
        </w:rPr>
        <w:t>ACCC then develops a detailed compliance and enforcement plan for each priority area and, using an integrated approach, chooses the most appropriate compliance tools (such as education for that industry sector, consumer information resources, enforceable undertakings, infringement notices and, if appropriate, selective litigation to drive change in the relevant sector). Base resources are allocated and monitored using KPIs, with additional funding allocated where necessary.</w:t>
      </w:r>
    </w:p>
    <w:p w14:paraId="494D2B2B" w14:textId="2307C03E" w:rsidR="0D9EDE59" w:rsidRPr="004B5A3F" w:rsidRDefault="0D9EDE59" w:rsidP="004B5A3F">
      <w:pPr>
        <w:ind w:left="360"/>
        <w:rPr>
          <w:rFonts w:eastAsiaTheme="minorEastAsia"/>
        </w:rPr>
      </w:pPr>
      <w:r w:rsidRPr="004B5A3F">
        <w:rPr>
          <w:rFonts w:ascii="Calibri" w:eastAsia="Calibri" w:hAnsi="Calibri" w:cs="Calibri"/>
          <w:lang w:val="en-US"/>
        </w:rPr>
        <w:t>Decisions on litigation (civil or criminal) are made by a senior executive committee</w:t>
      </w:r>
      <w:r w:rsidR="00253549" w:rsidRPr="004B5A3F">
        <w:rPr>
          <w:rFonts w:ascii="Calibri" w:eastAsia="Calibri" w:hAnsi="Calibri" w:cs="Calibri"/>
          <w:lang w:val="en-US"/>
        </w:rPr>
        <w:t xml:space="preserve"> in ACCC</w:t>
      </w:r>
      <w:r w:rsidRPr="004B5A3F">
        <w:rPr>
          <w:rFonts w:ascii="Calibri" w:eastAsia="Calibri" w:hAnsi="Calibri" w:cs="Calibri"/>
          <w:lang w:val="en-US"/>
        </w:rPr>
        <w:t xml:space="preserve">, taking into account what the litigation will achieve. Their intention is to drive change in market behaviour, so litigation is not regarded as an end in itself (or just an announceable), but as a mechanism to crystallise thinking in the market and stimulate </w:t>
      </w:r>
      <w:r w:rsidR="63071EF1" w:rsidRPr="004B5A3F">
        <w:rPr>
          <w:rFonts w:ascii="Calibri" w:eastAsia="Calibri" w:hAnsi="Calibri" w:cs="Calibri"/>
          <w:lang w:val="en-US"/>
        </w:rPr>
        <w:t>behavio</w:t>
      </w:r>
      <w:r w:rsidR="00253549" w:rsidRPr="004B5A3F">
        <w:rPr>
          <w:rFonts w:ascii="Calibri" w:eastAsia="Calibri" w:hAnsi="Calibri" w:cs="Calibri"/>
          <w:lang w:val="en-US"/>
        </w:rPr>
        <w:t>u</w:t>
      </w:r>
      <w:r w:rsidR="63071EF1" w:rsidRPr="004B5A3F">
        <w:rPr>
          <w:rFonts w:ascii="Calibri" w:eastAsia="Calibri" w:hAnsi="Calibri" w:cs="Calibri"/>
          <w:lang w:val="en-US"/>
        </w:rPr>
        <w:t>ral</w:t>
      </w:r>
      <w:r w:rsidRPr="004B5A3F">
        <w:rPr>
          <w:rFonts w:ascii="Calibri" w:eastAsia="Calibri" w:hAnsi="Calibri" w:cs="Calibri"/>
          <w:lang w:val="en-US"/>
        </w:rPr>
        <w:t xml:space="preserve"> change.</w:t>
      </w:r>
    </w:p>
    <w:p w14:paraId="73AE7FDB" w14:textId="77D6273F" w:rsidR="0D9EDE59" w:rsidRPr="004B5A3F" w:rsidRDefault="0D9EDE59" w:rsidP="004B5A3F">
      <w:pPr>
        <w:ind w:left="360"/>
        <w:rPr>
          <w:rFonts w:eastAsiaTheme="minorEastAsia"/>
        </w:rPr>
      </w:pPr>
      <w:r w:rsidRPr="004B5A3F">
        <w:rPr>
          <w:rFonts w:ascii="Calibri" w:eastAsia="Calibri" w:hAnsi="Calibri" w:cs="Calibri"/>
          <w:lang w:val="en-US"/>
        </w:rPr>
        <w:t>Staff from Austrac, the Commonwealth Director of Public Prosecutions (CDPP), the Department of Home Affairs and Australian Border Force (ABF) who work with ECB staff were also interviewed to understand the working relationship between agencies. Austrac leads the Fintel Alliance, a group of 29 government and private sector entities collaborating to address the criminal exploitation of the financial sector. Environmental crime is usually financially motivated, and evidence of financial transactions is important as a basis for successful prosecution. By participating in the Fintel Alliance, the Department is building relationships with law enforcement and intelligence agencies that facilitates access to previously unavailable information.</w:t>
      </w:r>
    </w:p>
    <w:p w14:paraId="4262342F" w14:textId="3740651A" w:rsidR="0D9EDE59" w:rsidRPr="004B5A3F" w:rsidRDefault="0D9EDE59" w:rsidP="004B5A3F">
      <w:pPr>
        <w:ind w:left="360"/>
        <w:rPr>
          <w:rFonts w:eastAsiaTheme="minorEastAsia"/>
        </w:rPr>
      </w:pPr>
      <w:r w:rsidRPr="004B5A3F">
        <w:rPr>
          <w:rFonts w:ascii="Calibri" w:eastAsia="Calibri" w:hAnsi="Calibri" w:cs="Calibri"/>
          <w:lang w:val="en-US"/>
        </w:rPr>
        <w:t xml:space="preserve">ECB staff have developed a very effective working relationship with staff of the Commonwealth Director of Public Prosecutions (CDPP). CDPP (which is also a member of the Fintel Alliance) has a practice group that has developed expertise in specialised field of prosecuting environmental crime. Before a brief of evidence is prepared, CDPP </w:t>
      </w:r>
      <w:r w:rsidR="2C87772A" w:rsidRPr="004B5A3F">
        <w:rPr>
          <w:rFonts w:ascii="Calibri" w:eastAsia="Calibri" w:hAnsi="Calibri" w:cs="Calibri"/>
          <w:lang w:val="en-US"/>
        </w:rPr>
        <w:t xml:space="preserve">now offers ECB staff </w:t>
      </w:r>
      <w:r w:rsidRPr="004B5A3F">
        <w:rPr>
          <w:rFonts w:ascii="Calibri" w:eastAsia="Calibri" w:hAnsi="Calibri" w:cs="Calibri"/>
          <w:lang w:val="en-US"/>
        </w:rPr>
        <w:t xml:space="preserve">a ‘pre-brief’ service that assists ECB staff to discuss evidentiary issues and </w:t>
      </w:r>
      <w:r w:rsidR="13D54930" w:rsidRPr="004B5A3F">
        <w:rPr>
          <w:rFonts w:ascii="Calibri" w:eastAsia="Calibri" w:hAnsi="Calibri" w:cs="Calibri"/>
          <w:lang w:val="en-US"/>
        </w:rPr>
        <w:t xml:space="preserve">this </w:t>
      </w:r>
      <w:r w:rsidRPr="004B5A3F">
        <w:rPr>
          <w:rFonts w:ascii="Calibri" w:eastAsia="Calibri" w:hAnsi="Calibri" w:cs="Calibri"/>
          <w:lang w:val="en-US"/>
        </w:rPr>
        <w:t xml:space="preserve">accelerates the consideration of the evidence when it is submitted to CDPP. </w:t>
      </w:r>
      <w:r w:rsidR="00253549" w:rsidRPr="004B5A3F">
        <w:rPr>
          <w:rFonts w:ascii="Calibri" w:eastAsia="Calibri" w:hAnsi="Calibri" w:cs="Calibri"/>
          <w:lang w:val="en-US"/>
        </w:rPr>
        <w:t xml:space="preserve">This </w:t>
      </w:r>
      <w:r w:rsidR="00253549" w:rsidRPr="004B5A3F">
        <w:rPr>
          <w:rFonts w:ascii="Calibri" w:eastAsia="Calibri" w:hAnsi="Calibri" w:cs="Calibri"/>
          <w:lang w:val="en-US"/>
        </w:rPr>
        <w:lastRenderedPageBreak/>
        <w:t>is a direct result of the work of the ECB team and</w:t>
      </w:r>
      <w:r w:rsidRPr="004B5A3F">
        <w:rPr>
          <w:rFonts w:ascii="Calibri" w:eastAsia="Calibri" w:hAnsi="Calibri" w:cs="Calibri"/>
          <w:lang w:val="en-US"/>
        </w:rPr>
        <w:t xml:space="preserve"> allows the same investigator and lawyer to be involved in a case for the duration of the action. Decisions on whether to prosecute are made by CDPP, not ECB, based on the Commonwealth prosecution policy (including whether there is a reasonable prospect of success, and that prosecution is in the public interest). The availability of defences such as mistake of fact can be teased out early and fully considered in the decision as to whether to prosecute. The size and nature of the penalty is not a consideration in whether to prosecute, other than in relation to the public interest, and lesser penalties (such as fines) can still deter other offences being committed. Where a number of offences appear to have been committed, prosecution may focus only on those offences that can be readily proven, including strict liability offences, rather than all possible offences.</w:t>
      </w:r>
    </w:p>
    <w:p w14:paraId="4A2A8AB3" w14:textId="6D077CF4" w:rsidR="0D9EDE59" w:rsidRPr="004B5A3F" w:rsidRDefault="0D9EDE59" w:rsidP="004B5A3F">
      <w:pPr>
        <w:ind w:left="360"/>
        <w:rPr>
          <w:rFonts w:eastAsiaTheme="minorEastAsia"/>
        </w:rPr>
      </w:pPr>
      <w:r w:rsidRPr="004B5A3F">
        <w:rPr>
          <w:rFonts w:ascii="Calibri" w:eastAsia="Calibri" w:hAnsi="Calibri" w:cs="Calibri"/>
          <w:lang w:val="en-US"/>
        </w:rPr>
        <w:t xml:space="preserve">Staff from the Department of Home Affairs and Australian Border Force focus on serious organised crime at the border, but don’t have a major focus on environmental crime as it is </w:t>
      </w:r>
      <w:r w:rsidR="3B3C5525" w:rsidRPr="004B5A3F">
        <w:rPr>
          <w:rFonts w:ascii="Calibri" w:eastAsia="Calibri" w:hAnsi="Calibri" w:cs="Calibri"/>
          <w:lang w:val="en-US"/>
        </w:rPr>
        <w:t xml:space="preserve">not </w:t>
      </w:r>
      <w:r w:rsidRPr="004B5A3F">
        <w:rPr>
          <w:rFonts w:ascii="Calibri" w:eastAsia="Calibri" w:hAnsi="Calibri" w:cs="Calibri"/>
          <w:lang w:val="en-US"/>
        </w:rPr>
        <w:t xml:space="preserve">clear to </w:t>
      </w:r>
      <w:r w:rsidR="00186C79" w:rsidRPr="004B5A3F">
        <w:rPr>
          <w:rFonts w:ascii="Calibri" w:eastAsia="Calibri" w:hAnsi="Calibri" w:cs="Calibri"/>
          <w:lang w:val="en-US"/>
        </w:rPr>
        <w:t xml:space="preserve">them </w:t>
      </w:r>
      <w:r w:rsidR="00D42429" w:rsidRPr="004B5A3F">
        <w:rPr>
          <w:rFonts w:ascii="Calibri" w:eastAsia="Calibri" w:hAnsi="Calibri" w:cs="Calibri"/>
          <w:lang w:val="en-US"/>
        </w:rPr>
        <w:t xml:space="preserve">to </w:t>
      </w:r>
      <w:r w:rsidRPr="004B5A3F">
        <w:rPr>
          <w:rFonts w:ascii="Calibri" w:eastAsia="Calibri" w:hAnsi="Calibri" w:cs="Calibri"/>
          <w:lang w:val="en-US"/>
        </w:rPr>
        <w:t xml:space="preserve">what extent this is a priority </w:t>
      </w:r>
      <w:r w:rsidR="4CB400B6" w:rsidRPr="004B5A3F">
        <w:rPr>
          <w:rFonts w:ascii="Calibri" w:eastAsia="Calibri" w:hAnsi="Calibri" w:cs="Calibri"/>
          <w:lang w:val="en-US"/>
        </w:rPr>
        <w:t xml:space="preserve">in comparison to other responsibilities managed by the Department such as </w:t>
      </w:r>
      <w:r w:rsidR="00296657" w:rsidRPr="004B5A3F">
        <w:rPr>
          <w:rFonts w:ascii="Calibri" w:eastAsia="Calibri" w:hAnsi="Calibri" w:cs="Calibri"/>
          <w:lang w:val="en-US"/>
        </w:rPr>
        <w:t>biosecurity</w:t>
      </w:r>
      <w:r w:rsidR="00D42429" w:rsidRPr="004B5A3F">
        <w:rPr>
          <w:rFonts w:ascii="Calibri" w:eastAsia="Calibri" w:hAnsi="Calibri" w:cs="Calibri"/>
          <w:lang w:val="en-US"/>
        </w:rPr>
        <w:t>. T</w:t>
      </w:r>
      <w:r w:rsidRPr="004B5A3F">
        <w:rPr>
          <w:rFonts w:ascii="Calibri" w:eastAsia="Calibri" w:hAnsi="Calibri" w:cs="Calibri"/>
          <w:lang w:val="en-US"/>
        </w:rPr>
        <w:t>here is no established practice or pathway for front line border force officers to receive training from ECB specialists</w:t>
      </w:r>
      <w:r w:rsidR="00D42429" w:rsidRPr="004B5A3F">
        <w:rPr>
          <w:rFonts w:ascii="Calibri" w:eastAsia="Calibri" w:hAnsi="Calibri" w:cs="Calibri"/>
          <w:lang w:val="en-US"/>
        </w:rPr>
        <w:t xml:space="preserve"> other than for wildlife trade (</w:t>
      </w:r>
      <w:r w:rsidR="0057725E">
        <w:rPr>
          <w:rFonts w:ascii="Calibri" w:eastAsia="Calibri" w:hAnsi="Calibri" w:cs="Calibri"/>
          <w:lang w:val="en-US"/>
        </w:rPr>
        <w:t>although</w:t>
      </w:r>
      <w:r w:rsidR="00D42429" w:rsidRPr="004B5A3F">
        <w:rPr>
          <w:rFonts w:ascii="Calibri" w:eastAsia="Calibri" w:hAnsi="Calibri" w:cs="Calibri"/>
          <w:lang w:val="en-US"/>
        </w:rPr>
        <w:t xml:space="preserve"> this training is not currently occurring </w:t>
      </w:r>
      <w:r w:rsidR="00C0391D" w:rsidRPr="004B5A3F">
        <w:rPr>
          <w:rFonts w:ascii="Calibri" w:eastAsia="Calibri" w:hAnsi="Calibri" w:cs="Calibri"/>
          <w:lang w:val="en-US"/>
        </w:rPr>
        <w:t>due to the significant reduction in overseas travel during the COVID-19 pandemic).</w:t>
      </w:r>
      <w:r w:rsidRPr="004B5A3F">
        <w:rPr>
          <w:rFonts w:ascii="Calibri" w:eastAsia="Calibri" w:hAnsi="Calibri" w:cs="Calibri"/>
          <w:lang w:val="en-US"/>
        </w:rPr>
        <w:t xml:space="preserve"> Within the Department of Home Affairs, compliance and enforcement priorities are signed off by the Executive Board (which includes </w:t>
      </w:r>
      <w:r w:rsidR="00C44822" w:rsidRPr="004B5A3F">
        <w:rPr>
          <w:rFonts w:ascii="Calibri" w:eastAsia="Calibri" w:hAnsi="Calibri" w:cs="Calibri"/>
          <w:lang w:val="en-US"/>
        </w:rPr>
        <w:t>its</w:t>
      </w:r>
      <w:r w:rsidRPr="004B5A3F">
        <w:rPr>
          <w:rFonts w:ascii="Calibri" w:eastAsia="Calibri" w:hAnsi="Calibri" w:cs="Calibri"/>
          <w:lang w:val="en-US"/>
        </w:rPr>
        <w:t xml:space="preserve"> Secretary and the ABF Commissioner) based on the probability of harm occurring. Discussions on national security priorities now routinely include trade and biosecurity issues, but not environmental issues. Offences relating to environmental crimes such as illegal wildlife trade are usually detected by chance, rather than as a result of concerted action. In setting priorities, Home Affairs staff are not clear whether </w:t>
      </w:r>
      <w:r w:rsidR="008E5B91">
        <w:rPr>
          <w:rFonts w:ascii="Calibri" w:eastAsia="Calibri" w:hAnsi="Calibri" w:cs="Calibri"/>
          <w:lang w:val="en-US"/>
        </w:rPr>
        <w:t xml:space="preserve">the </w:t>
      </w:r>
      <w:r w:rsidRPr="004B5A3F">
        <w:rPr>
          <w:rFonts w:ascii="Calibri" w:eastAsia="Calibri" w:hAnsi="Calibri" w:cs="Calibri"/>
          <w:lang w:val="en-US"/>
        </w:rPr>
        <w:t xml:space="preserve">priorities </w:t>
      </w:r>
      <w:r w:rsidR="008E5B91">
        <w:rPr>
          <w:rFonts w:ascii="Calibri" w:eastAsia="Calibri" w:hAnsi="Calibri" w:cs="Calibri"/>
          <w:lang w:val="en-US"/>
        </w:rPr>
        <w:t xml:space="preserve">of the Department of Agriculture, Water and the Environment </w:t>
      </w:r>
      <w:r w:rsidRPr="004B5A3F">
        <w:rPr>
          <w:rFonts w:ascii="Calibri" w:eastAsia="Calibri" w:hAnsi="Calibri" w:cs="Calibri"/>
          <w:lang w:val="en-US"/>
        </w:rPr>
        <w:t>now relate only to biosecurity, or extend to other issues such as environmental crime.</w:t>
      </w:r>
    </w:p>
    <w:p w14:paraId="50175BFA" w14:textId="02FABD58" w:rsidR="0D9EDE59" w:rsidRDefault="4D6F3AAA" w:rsidP="004B5A3F">
      <w:pPr>
        <w:pStyle w:val="Heading2"/>
        <w:ind w:left="360"/>
      </w:pPr>
      <w:bookmarkStart w:id="27" w:name="_Toc72504376"/>
      <w:r w:rsidRPr="60DDA72E">
        <w:rPr>
          <w:rFonts w:ascii="Calibri" w:eastAsia="Calibri" w:hAnsi="Calibri" w:cs="Calibri"/>
          <w:lang w:val="en-US"/>
        </w:rPr>
        <w:t>State regulators</w:t>
      </w:r>
      <w:bookmarkEnd w:id="27"/>
    </w:p>
    <w:p w14:paraId="70465142" w14:textId="17DC6ABF" w:rsidR="0D9EDE59" w:rsidRPr="004B5A3F" w:rsidRDefault="0D9EDE59" w:rsidP="004B5A3F">
      <w:pPr>
        <w:ind w:left="360"/>
        <w:rPr>
          <w:rFonts w:eastAsiaTheme="minorEastAsia"/>
          <w:lang w:val="en-US"/>
        </w:rPr>
      </w:pPr>
      <w:r w:rsidRPr="004B5A3F">
        <w:rPr>
          <w:rFonts w:ascii="Calibri" w:eastAsia="Calibri" w:hAnsi="Calibri" w:cs="Calibri"/>
          <w:lang w:val="en-US"/>
        </w:rPr>
        <w:t xml:space="preserve">Interviews were held with a range of environmental policy, program and regulation senior executives and staff from NSW, Victoria, Queensland and South Australia to ascertain their particular areas of focus, identify any recent improvements they were making and to draw upon their learnings in respect of what is working for them and what is </w:t>
      </w:r>
      <w:r w:rsidR="00DE862E" w:rsidRPr="004B5A3F">
        <w:rPr>
          <w:rFonts w:ascii="Calibri" w:eastAsia="Calibri" w:hAnsi="Calibri" w:cs="Calibri"/>
          <w:lang w:val="en-US"/>
        </w:rPr>
        <w:t>not.</w:t>
      </w:r>
    </w:p>
    <w:p w14:paraId="4B7B961A" w14:textId="31F4E8CA" w:rsidR="0D9EDE59" w:rsidRDefault="0D9EDE59" w:rsidP="004B5A3F">
      <w:pPr>
        <w:pStyle w:val="Heading3"/>
        <w:ind w:left="360"/>
      </w:pPr>
      <w:bookmarkStart w:id="28" w:name="_Toc72504377"/>
      <w:r w:rsidRPr="761DF7AD">
        <w:rPr>
          <w:lang w:val="en-US"/>
        </w:rPr>
        <w:t>New South Wales</w:t>
      </w:r>
      <w:bookmarkEnd w:id="28"/>
    </w:p>
    <w:p w14:paraId="082EC077" w14:textId="57648759" w:rsidR="0D9EDE59" w:rsidRPr="004B5A3F" w:rsidRDefault="0D9EDE59" w:rsidP="004B5A3F">
      <w:pPr>
        <w:ind w:left="360"/>
        <w:rPr>
          <w:rFonts w:eastAsiaTheme="minorEastAsia"/>
        </w:rPr>
      </w:pPr>
      <w:r w:rsidRPr="004B5A3F">
        <w:rPr>
          <w:rFonts w:ascii="Calibri" w:eastAsia="Calibri" w:hAnsi="Calibri" w:cs="Calibri"/>
          <w:lang w:val="en-US"/>
        </w:rPr>
        <w:t xml:space="preserve">Current and former staff of the NSW Department of Planning, Industry and Environment provided information on their approach to managing environmental compliance. Their view is that a successful compliance model requires a partnership approach, particularly with co-regulators where regulatory functions can overlap. For NSW, this includes the Commonwealth, the NSW EPA, the NSW Office of Environment and Heritage, and NSW Health. Close relationships are critical in building trust, achieving influence and efficient resource use, but it is important to remain focused on the outcome that is sought (that is environmental protection, not just a number of fines or prosecutions). If the focus is </w:t>
      </w:r>
      <w:r w:rsidRPr="004B5A3F">
        <w:rPr>
          <w:rFonts w:ascii="Calibri" w:eastAsia="Calibri" w:hAnsi="Calibri" w:cs="Calibri"/>
          <w:lang w:val="en-US"/>
        </w:rPr>
        <w:lastRenderedPageBreak/>
        <w:t>on the outcome, then risks to achieving that outcome can be more readily identified and the most effective mitigation of that risk can be put in place. Risk profiling (identifying relevant factors that create risk) is critical.</w:t>
      </w:r>
      <w:r w:rsidR="6FDFACA3" w:rsidRPr="004B5A3F">
        <w:rPr>
          <w:rFonts w:ascii="Calibri" w:eastAsia="Calibri" w:hAnsi="Calibri" w:cs="Calibri"/>
          <w:lang w:val="en-US"/>
        </w:rPr>
        <w:t xml:space="preserve"> NSW has developed a methodology for undertaking risk assessment at a project level which guides the allocation of resources and priorities.</w:t>
      </w:r>
    </w:p>
    <w:p w14:paraId="5FDABCB6" w14:textId="5ACE1C57" w:rsidR="0D9EDE59" w:rsidRPr="004B5A3F" w:rsidRDefault="0D9EDE59" w:rsidP="004B5A3F">
      <w:pPr>
        <w:ind w:left="360"/>
        <w:rPr>
          <w:rFonts w:eastAsiaTheme="minorEastAsia"/>
        </w:rPr>
      </w:pPr>
      <w:r w:rsidRPr="004B5A3F">
        <w:rPr>
          <w:rFonts w:ascii="Calibri" w:eastAsia="Calibri" w:hAnsi="Calibri" w:cs="Calibri"/>
          <w:lang w:val="en-US"/>
        </w:rPr>
        <w:t>NSW environmental regulators focus on promoting compliance (not just addressing non-compliance), which involves a proactive (not just a reactive) approach through continual engagement with the regulated community. While surveillance and reporting remain important, a reduction in the number of enforcement actions should be seen as evidence of successful regulation based on effective strategic relationships. While engagement with industry peak bodies and senior managers is useful, engagement with staff on the ground is necessary to understand actual compliance and raise industry awareness of the existence of real regulatory oversight.</w:t>
      </w:r>
    </w:p>
    <w:p w14:paraId="434E8B6B" w14:textId="291756F6" w:rsidR="0D9EDE59" w:rsidRPr="004B5A3F" w:rsidRDefault="0D9EDE59" w:rsidP="004B5A3F">
      <w:pPr>
        <w:ind w:left="360"/>
        <w:rPr>
          <w:rFonts w:eastAsiaTheme="minorEastAsia"/>
        </w:rPr>
      </w:pPr>
      <w:r w:rsidRPr="004B5A3F">
        <w:rPr>
          <w:rFonts w:ascii="Calibri" w:eastAsia="Calibri" w:hAnsi="Calibri" w:cs="Calibri"/>
          <w:lang w:val="en-US"/>
        </w:rPr>
        <w:t xml:space="preserve">In NSW, effective use of information management technology has been a game-changer. Their single, public-facing system provides departmental staff with a comprehensive view of proponents of actions with environmental impact, and an ability to identify trends and emerging compliance issues. Transparency through public reporting of information about compliance </w:t>
      </w:r>
      <w:r w:rsidR="796895BD" w:rsidRPr="004B5A3F">
        <w:rPr>
          <w:rFonts w:ascii="Calibri" w:eastAsia="Calibri" w:hAnsi="Calibri" w:cs="Calibri"/>
          <w:lang w:val="en-US"/>
        </w:rPr>
        <w:t>activities encourages</w:t>
      </w:r>
      <w:r w:rsidRPr="004B5A3F">
        <w:rPr>
          <w:rFonts w:ascii="Calibri" w:eastAsia="Calibri" w:hAnsi="Calibri" w:cs="Calibri"/>
          <w:lang w:val="en-US"/>
        </w:rPr>
        <w:t xml:space="preserve"> wider compliance (including through deterrence)</w:t>
      </w:r>
      <w:r w:rsidR="7A7216D6" w:rsidRPr="004B5A3F">
        <w:rPr>
          <w:rFonts w:ascii="Calibri" w:eastAsia="Calibri" w:hAnsi="Calibri" w:cs="Calibri"/>
          <w:lang w:val="en-US"/>
        </w:rPr>
        <w:t xml:space="preserve"> </w:t>
      </w:r>
      <w:r w:rsidRPr="004B5A3F">
        <w:rPr>
          <w:rFonts w:ascii="Calibri" w:eastAsia="Calibri" w:hAnsi="Calibri" w:cs="Calibri"/>
          <w:lang w:val="en-US"/>
        </w:rPr>
        <w:t>and builds credibility of the regulator and community confidence. Factual public reports of formal compliance actions taken include an explanation of why the action was taken and what outcome was achieved to protect the environment.</w:t>
      </w:r>
    </w:p>
    <w:p w14:paraId="127EF244" w14:textId="67887ED0" w:rsidR="0D9EDE59" w:rsidRPr="004B5A3F" w:rsidRDefault="0D9EDE59" w:rsidP="004B5A3F">
      <w:pPr>
        <w:ind w:left="360"/>
        <w:rPr>
          <w:rFonts w:eastAsiaTheme="minorEastAsia"/>
        </w:rPr>
      </w:pPr>
      <w:r w:rsidRPr="004B5A3F">
        <w:rPr>
          <w:rFonts w:ascii="Calibri" w:eastAsia="Calibri" w:hAnsi="Calibri" w:cs="Calibri"/>
          <w:lang w:val="en-US"/>
        </w:rPr>
        <w:t>In NSW, compliance is very closely linked to the assessment process, and there is a continual feedback cycle between assessment, approval and compliance functions.</w:t>
      </w:r>
    </w:p>
    <w:p w14:paraId="5A56B287" w14:textId="56A391FD" w:rsidR="0D9EDE59" w:rsidRDefault="0D9EDE59" w:rsidP="004B5A3F">
      <w:pPr>
        <w:pStyle w:val="Heading3"/>
        <w:ind w:left="360"/>
      </w:pPr>
      <w:bookmarkStart w:id="29" w:name="_Toc72504378"/>
      <w:r w:rsidRPr="761DF7AD">
        <w:rPr>
          <w:lang w:val="en-US"/>
        </w:rPr>
        <w:t>Victoria</w:t>
      </w:r>
      <w:bookmarkEnd w:id="29"/>
    </w:p>
    <w:p w14:paraId="117F069A" w14:textId="367B84EB" w:rsidR="0D9EDE59" w:rsidRPr="004B5A3F" w:rsidRDefault="0D9EDE59" w:rsidP="004B5A3F">
      <w:pPr>
        <w:ind w:left="360"/>
        <w:rPr>
          <w:rFonts w:eastAsiaTheme="minorEastAsia"/>
        </w:rPr>
      </w:pPr>
      <w:r w:rsidRPr="004B5A3F">
        <w:rPr>
          <w:rFonts w:ascii="Calibri" w:eastAsia="Calibri" w:hAnsi="Calibri" w:cs="Calibri"/>
          <w:lang w:val="en-US"/>
        </w:rPr>
        <w:t>New environmental legislation commences in Victoria on 1 July 2021, which has been accompanied by substantial additional investment (</w:t>
      </w:r>
      <w:r w:rsidR="008E5B91">
        <w:rPr>
          <w:rFonts w:ascii="Calibri" w:eastAsia="Calibri" w:hAnsi="Calibri" w:cs="Calibri"/>
          <w:lang w:val="en-US"/>
        </w:rPr>
        <w:t xml:space="preserve">around </w:t>
      </w:r>
      <w:r w:rsidRPr="004B5A3F">
        <w:rPr>
          <w:rFonts w:ascii="Calibri" w:eastAsia="Calibri" w:hAnsi="Calibri" w:cs="Calibri"/>
          <w:lang w:val="en-US"/>
        </w:rPr>
        <w:t>$250 million over 5 years), with an increase in staffing in the Victorian EPA from 300 to 900 staff over the past three years. The new legislation creates a general environmental duty that applies to all Victorians, which is a paradigm shift in regulatory approach by making environmental protection a shared responsibility. There is now a focus on preventing environmental harm using an outcome-focussed and performance-based approach. Anyone creating a risk to the environment can be asked to provide evidence that the risk is being mitigated. Industry (and any other person with an environmental duty) will be accountable for how their risks are being controlled. A new tool has been developed to track priority waste, to assist in detecting stockpiling or diversion of waste.</w:t>
      </w:r>
    </w:p>
    <w:p w14:paraId="19CF49F7" w14:textId="69798916" w:rsidR="0D9EDE59" w:rsidRPr="004B5A3F" w:rsidRDefault="0D9EDE59" w:rsidP="004B5A3F">
      <w:pPr>
        <w:ind w:left="360"/>
        <w:rPr>
          <w:rFonts w:eastAsiaTheme="minorEastAsia"/>
        </w:rPr>
      </w:pPr>
      <w:r w:rsidRPr="004B5A3F">
        <w:rPr>
          <w:rFonts w:ascii="Calibri" w:eastAsia="Calibri" w:hAnsi="Calibri" w:cs="Calibri"/>
          <w:lang w:val="en-US"/>
        </w:rPr>
        <w:t>Victoria</w:t>
      </w:r>
      <w:r w:rsidR="00176F2A">
        <w:rPr>
          <w:rFonts w:ascii="Calibri" w:eastAsia="Calibri" w:hAnsi="Calibri" w:cs="Calibri"/>
          <w:lang w:val="en-US"/>
        </w:rPr>
        <w:t>n officials advised that</w:t>
      </w:r>
      <w:r w:rsidRPr="004B5A3F">
        <w:rPr>
          <w:rFonts w:ascii="Calibri" w:eastAsia="Calibri" w:hAnsi="Calibri" w:cs="Calibri"/>
          <w:lang w:val="en-US"/>
        </w:rPr>
        <w:t xml:space="preserve"> $100 million </w:t>
      </w:r>
      <w:r w:rsidR="00F32B62">
        <w:rPr>
          <w:rFonts w:ascii="Calibri" w:eastAsia="Calibri" w:hAnsi="Calibri" w:cs="Calibri"/>
          <w:lang w:val="en-US"/>
        </w:rPr>
        <w:t xml:space="preserve">has been invested </w:t>
      </w:r>
      <w:r w:rsidRPr="004B5A3F">
        <w:rPr>
          <w:rFonts w:ascii="Calibri" w:eastAsia="Calibri" w:hAnsi="Calibri" w:cs="Calibri"/>
          <w:lang w:val="en-US"/>
        </w:rPr>
        <w:t xml:space="preserve">in new IT systems including a new data repository and customer relationship management (CRM) system. The Victorian EPA is part of a whole-of-government intelligence network. A multi-agency ‘fusion centre’ to manage intelligence on waste has been established that allows the collation of data from multiple sources, and the generation of intelligence reports and </w:t>
      </w:r>
      <w:r w:rsidRPr="004B5A3F">
        <w:rPr>
          <w:rFonts w:ascii="Calibri" w:eastAsia="Calibri" w:hAnsi="Calibri" w:cs="Calibri"/>
          <w:lang w:val="en-US"/>
        </w:rPr>
        <w:lastRenderedPageBreak/>
        <w:t>issues registers. This intelligence-led prioritisation of emerging risks can be addressed by multi-functional teams using agile methods.</w:t>
      </w:r>
    </w:p>
    <w:p w14:paraId="4B79D5C9" w14:textId="0B1AFFB0" w:rsidR="0D9EDE59" w:rsidRPr="004B5A3F" w:rsidRDefault="0D9EDE59" w:rsidP="004B5A3F">
      <w:pPr>
        <w:ind w:left="360"/>
        <w:rPr>
          <w:rFonts w:eastAsiaTheme="minorEastAsia"/>
        </w:rPr>
      </w:pPr>
      <w:r w:rsidRPr="004B5A3F">
        <w:rPr>
          <w:rFonts w:ascii="Calibri" w:eastAsia="Calibri" w:hAnsi="Calibri" w:cs="Calibri"/>
          <w:lang w:val="en-US"/>
        </w:rPr>
        <w:t>Significant investment is being made in informing, educating and engaging stakeholders to bring about behavioural and cultural change. Stakeholder reference groups by industry sector have been established to raise awareness of regulatory obligations and share good practice. There is a strong emphasis on information products, and enforcement actions are publicly reported to promote transparency and trust.</w:t>
      </w:r>
    </w:p>
    <w:p w14:paraId="1CDE9414" w14:textId="3CCFE364" w:rsidR="0D9EDE59" w:rsidRDefault="0D9EDE59" w:rsidP="004B5A3F">
      <w:pPr>
        <w:pStyle w:val="Heading3"/>
        <w:ind w:left="360"/>
      </w:pPr>
      <w:bookmarkStart w:id="30" w:name="_Toc72504379"/>
      <w:r w:rsidRPr="761DF7AD">
        <w:rPr>
          <w:lang w:val="en-US"/>
        </w:rPr>
        <w:t>Queensland</w:t>
      </w:r>
      <w:bookmarkEnd w:id="30"/>
    </w:p>
    <w:p w14:paraId="31138FCF" w14:textId="03581976" w:rsidR="0D9EDE59" w:rsidRPr="004B5A3F" w:rsidRDefault="0D9EDE59" w:rsidP="004B5A3F">
      <w:pPr>
        <w:ind w:left="360"/>
        <w:rPr>
          <w:rFonts w:eastAsiaTheme="minorEastAsia"/>
        </w:rPr>
      </w:pPr>
      <w:r w:rsidRPr="004B5A3F">
        <w:rPr>
          <w:rFonts w:ascii="Calibri" w:eastAsia="Calibri" w:hAnsi="Calibri" w:cs="Calibri"/>
          <w:lang w:val="en-US"/>
        </w:rPr>
        <w:t>In Queensland, assessment of applications and issuing of permits occurs in centralised business hubs (such as for coal or metalliferous mining), whereas compliance is managed through a distributed model (based in the regions). Centralisation of assessments occurred in response to industry concerns about inconsistent application of conditions. Similar</w:t>
      </w:r>
      <w:r w:rsidR="00EB6403" w:rsidRPr="004B5A3F">
        <w:rPr>
          <w:rFonts w:ascii="Calibri" w:eastAsia="Calibri" w:hAnsi="Calibri" w:cs="Calibri"/>
          <w:lang w:val="en-US"/>
        </w:rPr>
        <w:t>ly</w:t>
      </w:r>
      <w:r w:rsidRPr="004B5A3F">
        <w:rPr>
          <w:rFonts w:ascii="Calibri" w:eastAsia="Calibri" w:hAnsi="Calibri" w:cs="Calibri"/>
          <w:lang w:val="en-US"/>
        </w:rPr>
        <w:t xml:space="preserve"> to other jurisdictions</w:t>
      </w:r>
      <w:r w:rsidR="00EB6403" w:rsidRPr="004B5A3F">
        <w:rPr>
          <w:rFonts w:ascii="Calibri" w:eastAsia="Calibri" w:hAnsi="Calibri" w:cs="Calibri"/>
          <w:lang w:val="en-US"/>
        </w:rPr>
        <w:t>,</w:t>
      </w:r>
      <w:r w:rsidRPr="004B5A3F">
        <w:rPr>
          <w:rFonts w:ascii="Calibri" w:eastAsia="Calibri" w:hAnsi="Calibri" w:cs="Calibri"/>
          <w:lang w:val="en-US"/>
        </w:rPr>
        <w:t xml:space="preserve"> model conditions have been developed to reduce the need for frequent consultation between assessment and compliance teams.</w:t>
      </w:r>
    </w:p>
    <w:p w14:paraId="694694DA" w14:textId="770205D1" w:rsidR="0D9EDE59" w:rsidRPr="004B5A3F" w:rsidRDefault="0D9EDE59" w:rsidP="004B5A3F">
      <w:pPr>
        <w:ind w:left="360"/>
        <w:rPr>
          <w:rFonts w:eastAsiaTheme="minorEastAsia"/>
        </w:rPr>
      </w:pPr>
      <w:r w:rsidRPr="004B5A3F">
        <w:rPr>
          <w:rFonts w:ascii="Calibri" w:eastAsia="Calibri" w:hAnsi="Calibri" w:cs="Calibri"/>
          <w:lang w:val="en-US"/>
        </w:rPr>
        <w:t>Regionally-based inspectors (generally with scientific qualifications or competencies) enforce compliance up to the point of consideration for prosecution, through issuing infringement notices, statutory remediation notices, or environmental protection orders. All enforcement decisions above a warning letter are considered by a senior officer (Compliance Manager) to maintain consistency. However, this requirement for senior officer involvement has created an enforcement bottleneck, and consideration is currently being given to moving to a more risk-based approach based on the type of non-compliance.</w:t>
      </w:r>
    </w:p>
    <w:p w14:paraId="4AFA130F" w14:textId="3D1D1E24" w:rsidR="0D9EDE59" w:rsidRPr="004B5A3F" w:rsidRDefault="0D9EDE59" w:rsidP="004B5A3F">
      <w:pPr>
        <w:ind w:left="360"/>
        <w:rPr>
          <w:rFonts w:eastAsiaTheme="minorEastAsia"/>
        </w:rPr>
      </w:pPr>
      <w:r w:rsidRPr="004B5A3F">
        <w:rPr>
          <w:rFonts w:ascii="Calibri" w:eastAsia="Calibri" w:hAnsi="Calibri" w:cs="Calibri"/>
          <w:lang w:val="en-US"/>
        </w:rPr>
        <w:t>Cases being considered for prosecution are referred firstly to an investigations team (15 staff, who also investigate matters for Queensland Parks and Indigenous Cultural Heritage) before being considered by a division-head-level compliance coordination committee. About 30 cases are prosecuted each year (including contested penalty infringement notices).</w:t>
      </w:r>
    </w:p>
    <w:p w14:paraId="630EE0CD" w14:textId="7B66D4ED" w:rsidR="0D9EDE59" w:rsidRPr="004B5A3F" w:rsidRDefault="0D9EDE59" w:rsidP="004B5A3F">
      <w:pPr>
        <w:ind w:left="360"/>
        <w:rPr>
          <w:rFonts w:eastAsiaTheme="minorEastAsia"/>
        </w:rPr>
      </w:pPr>
      <w:r w:rsidRPr="004B5A3F">
        <w:rPr>
          <w:rFonts w:ascii="Calibri" w:eastAsia="Calibri" w:hAnsi="Calibri" w:cs="Calibri"/>
          <w:lang w:val="en-US"/>
        </w:rPr>
        <w:t>A Microsoft Dynamics CRM system has been deployed in the last 12 months to store information from assessments (that can be accessed by compliance staff) and records information about both proactive and reactive compliance activity (including all complaints and allegations).</w:t>
      </w:r>
    </w:p>
    <w:p w14:paraId="721A5887" w14:textId="73C7E426" w:rsidR="0D9EDE59" w:rsidRPr="004B5A3F" w:rsidRDefault="0D9EDE59" w:rsidP="004B5A3F">
      <w:pPr>
        <w:ind w:left="360"/>
        <w:rPr>
          <w:rFonts w:eastAsiaTheme="minorEastAsia"/>
        </w:rPr>
      </w:pPr>
      <w:r w:rsidRPr="004B5A3F">
        <w:rPr>
          <w:rFonts w:ascii="Calibri" w:eastAsia="Calibri" w:hAnsi="Calibri" w:cs="Calibri"/>
          <w:lang w:val="en-US"/>
        </w:rPr>
        <w:t>Complaints and allegations are triaged through a call centre, from which medium to high</w:t>
      </w:r>
      <w:r w:rsidR="007A4CE7" w:rsidRPr="004B5A3F">
        <w:rPr>
          <w:rFonts w:ascii="Calibri" w:eastAsia="Calibri" w:hAnsi="Calibri" w:cs="Calibri"/>
          <w:lang w:val="en-US"/>
        </w:rPr>
        <w:t>-</w:t>
      </w:r>
      <w:r w:rsidRPr="004B5A3F">
        <w:rPr>
          <w:rFonts w:ascii="Calibri" w:eastAsia="Calibri" w:hAnsi="Calibri" w:cs="Calibri"/>
          <w:lang w:val="en-US"/>
        </w:rPr>
        <w:t xml:space="preserve">risk issues are referred for compliance action. All (around 7000) approved projects are reviewed </w:t>
      </w:r>
      <w:r w:rsidR="00A02482" w:rsidRPr="004B5A3F">
        <w:rPr>
          <w:rFonts w:ascii="Calibri" w:eastAsia="Calibri" w:hAnsi="Calibri" w:cs="Calibri"/>
          <w:lang w:val="en-US"/>
        </w:rPr>
        <w:t>every</w:t>
      </w:r>
      <w:r w:rsidRPr="004B5A3F">
        <w:rPr>
          <w:rFonts w:ascii="Calibri" w:eastAsia="Calibri" w:hAnsi="Calibri" w:cs="Calibri"/>
          <w:lang w:val="en-US"/>
        </w:rPr>
        <w:t xml:space="preserve"> 6 months and given a risk profile, which is used to prioritise proactive compliance audits. Current priorities are waste, coal seam gas and the calculation of estimated rehabilitation costs (for financial assurance purposes).</w:t>
      </w:r>
    </w:p>
    <w:p w14:paraId="73B4B4EA" w14:textId="4BA70DC9" w:rsidR="0D9EDE59" w:rsidRPr="004B5A3F" w:rsidRDefault="0D9EDE59" w:rsidP="004B5A3F">
      <w:pPr>
        <w:ind w:left="360"/>
        <w:rPr>
          <w:rFonts w:eastAsiaTheme="minorEastAsia"/>
        </w:rPr>
      </w:pPr>
      <w:r w:rsidRPr="004B5A3F">
        <w:rPr>
          <w:rFonts w:ascii="Calibri" w:eastAsia="Calibri" w:hAnsi="Calibri" w:cs="Calibri"/>
          <w:lang w:val="en-US"/>
        </w:rPr>
        <w:t>Queensland EPA undertakes an annual strategic risk assessment (looking at mega-</w:t>
      </w:r>
      <w:r w:rsidR="00A02482" w:rsidRPr="004B5A3F">
        <w:rPr>
          <w:rFonts w:ascii="Calibri" w:eastAsia="Calibri" w:hAnsi="Calibri" w:cs="Calibri"/>
          <w:lang w:val="en-US"/>
        </w:rPr>
        <w:t>trends</w:t>
      </w:r>
      <w:r w:rsidRPr="004B5A3F">
        <w:rPr>
          <w:rFonts w:ascii="Calibri" w:eastAsia="Calibri" w:hAnsi="Calibri" w:cs="Calibri"/>
          <w:lang w:val="en-US"/>
        </w:rPr>
        <w:t xml:space="preserve">) using all available information, the outcomes of which are published after clearance by a Deputy Director-General. This year, they have identified offsets as a </w:t>
      </w:r>
      <w:r w:rsidRPr="004B5A3F">
        <w:rPr>
          <w:rFonts w:ascii="Calibri" w:eastAsia="Calibri" w:hAnsi="Calibri" w:cs="Calibri"/>
          <w:lang w:val="en-US"/>
        </w:rPr>
        <w:lastRenderedPageBreak/>
        <w:t>challenging issue, not only for vegetation and biodiversity, but increasingly for water quality. Urbanisation has also been identified as a ‘macro risk’.</w:t>
      </w:r>
    </w:p>
    <w:p w14:paraId="6A20F54A" w14:textId="5AE641D2" w:rsidR="0D9EDE59" w:rsidRPr="004B5A3F" w:rsidRDefault="0D9EDE59" w:rsidP="004B5A3F">
      <w:pPr>
        <w:ind w:left="360"/>
        <w:rPr>
          <w:rFonts w:eastAsiaTheme="minorEastAsia"/>
        </w:rPr>
      </w:pPr>
      <w:r w:rsidRPr="004B5A3F">
        <w:rPr>
          <w:rFonts w:ascii="Calibri" w:eastAsia="Calibri" w:hAnsi="Calibri" w:cs="Calibri"/>
          <w:lang w:val="en-US"/>
        </w:rPr>
        <w:t>Although Commonwealth and State regulators engage in relation to environmental impact assessments, there is currently very little joint Commonwealth/State monitoring, compliance and enforcement activity.</w:t>
      </w:r>
    </w:p>
    <w:p w14:paraId="7A7C72E3" w14:textId="6A404924" w:rsidR="0D9EDE59" w:rsidRPr="004B5A3F" w:rsidRDefault="0D9EDE59" w:rsidP="004B5A3F">
      <w:pPr>
        <w:ind w:left="360"/>
        <w:rPr>
          <w:rFonts w:eastAsiaTheme="minorEastAsia"/>
        </w:rPr>
      </w:pPr>
      <w:r w:rsidRPr="004B5A3F">
        <w:rPr>
          <w:rFonts w:ascii="Calibri" w:eastAsia="Calibri" w:hAnsi="Calibri" w:cs="Calibri"/>
          <w:lang w:val="en-US"/>
        </w:rPr>
        <w:t>State inspectors do not routinely check for compliance with Commonwealth-imposed conditions, and there is no robust system for sharing intelligence gained through inspections. They are aware that Commonwealth agencies (and CSIRO) have a lot of other useful data and have started exploring how to access this.</w:t>
      </w:r>
    </w:p>
    <w:p w14:paraId="53B25469" w14:textId="7A3AD373" w:rsidR="0D9EDE59" w:rsidRPr="004B5A3F" w:rsidRDefault="0D9EDE59" w:rsidP="004B5A3F">
      <w:pPr>
        <w:ind w:left="360"/>
        <w:rPr>
          <w:rFonts w:eastAsiaTheme="minorEastAsia"/>
        </w:rPr>
      </w:pPr>
      <w:r w:rsidRPr="004B5A3F">
        <w:rPr>
          <w:rFonts w:ascii="Calibri" w:eastAsia="Calibri" w:hAnsi="Calibri" w:cs="Calibri"/>
          <w:lang w:val="en-US"/>
        </w:rPr>
        <w:t>Queensland uses drones (about 14 drones and 11 drone pilots) to monitor fugitive emissions and has a geospatial information team that uses ESRI and Google Globe (and taps into the Queensland Government library services) to detect and monitor land clearance.</w:t>
      </w:r>
    </w:p>
    <w:p w14:paraId="3F69240B" w14:textId="47F6975B" w:rsidR="0D9EDE59" w:rsidRDefault="0D9EDE59" w:rsidP="004B5A3F">
      <w:pPr>
        <w:pStyle w:val="Heading3"/>
        <w:ind w:left="360"/>
      </w:pPr>
      <w:bookmarkStart w:id="31" w:name="_Toc72504380"/>
      <w:r w:rsidRPr="761DF7AD">
        <w:rPr>
          <w:lang w:val="en-US"/>
        </w:rPr>
        <w:t>South Australia</w:t>
      </w:r>
      <w:bookmarkEnd w:id="31"/>
    </w:p>
    <w:p w14:paraId="3FFD8E54" w14:textId="5AD7429F" w:rsidR="0D9EDE59" w:rsidRPr="004B5A3F" w:rsidRDefault="0D9EDE59" w:rsidP="004B5A3F">
      <w:pPr>
        <w:ind w:left="360"/>
        <w:rPr>
          <w:rFonts w:eastAsiaTheme="minorEastAsia"/>
        </w:rPr>
      </w:pPr>
      <w:r w:rsidRPr="004B5A3F">
        <w:rPr>
          <w:rFonts w:ascii="Calibri" w:eastAsia="Calibri" w:hAnsi="Calibri" w:cs="Calibri"/>
          <w:lang w:val="en-US"/>
        </w:rPr>
        <w:t>South Australian environmental legislation, like that in Victoria, includes a general duty to protect the environment, and emphasi</w:t>
      </w:r>
      <w:r w:rsidR="002B4F8D" w:rsidRPr="004B5A3F">
        <w:rPr>
          <w:rFonts w:ascii="Calibri" w:eastAsia="Calibri" w:hAnsi="Calibri" w:cs="Calibri"/>
          <w:lang w:val="en-US"/>
        </w:rPr>
        <w:t>s</w:t>
      </w:r>
      <w:r w:rsidRPr="004B5A3F">
        <w:rPr>
          <w:rFonts w:ascii="Calibri" w:eastAsia="Calibri" w:hAnsi="Calibri" w:cs="Calibri"/>
          <w:lang w:val="en-US"/>
        </w:rPr>
        <w:t>es a precautionary approach to the risk of environmental harm. All people in South Australia must take reasonable and practicable steps to avoid environmental harm.</w:t>
      </w:r>
    </w:p>
    <w:p w14:paraId="22361C5C" w14:textId="733D6D4D" w:rsidR="0D9EDE59" w:rsidRPr="004B5A3F" w:rsidRDefault="0D9EDE59" w:rsidP="004B5A3F">
      <w:pPr>
        <w:ind w:left="360"/>
        <w:rPr>
          <w:rFonts w:eastAsiaTheme="minorEastAsia"/>
        </w:rPr>
      </w:pPr>
      <w:r w:rsidRPr="004B5A3F">
        <w:rPr>
          <w:rFonts w:ascii="Calibri" w:eastAsia="Calibri" w:hAnsi="Calibri" w:cs="Calibri"/>
          <w:lang w:val="en-US"/>
        </w:rPr>
        <w:t>Responsibility for regulating unlicensed activity rests with local government, while the South Australian EPA regulates licensed activities (including the medical use of radiation).</w:t>
      </w:r>
    </w:p>
    <w:p w14:paraId="7CC647E5" w14:textId="6D5EC234" w:rsidR="0D9EDE59" w:rsidRPr="004B5A3F" w:rsidRDefault="0D9EDE59" w:rsidP="004B5A3F">
      <w:pPr>
        <w:ind w:left="360"/>
        <w:rPr>
          <w:rFonts w:eastAsiaTheme="minorEastAsia"/>
        </w:rPr>
      </w:pPr>
      <w:r w:rsidRPr="004B5A3F">
        <w:rPr>
          <w:rFonts w:ascii="Calibri" w:eastAsia="Calibri" w:hAnsi="Calibri" w:cs="Calibri"/>
          <w:lang w:val="en-US"/>
        </w:rPr>
        <w:t xml:space="preserve">The SA EPA has around 210 staff, of whom around 50 work in compliance. Staff are required to </w:t>
      </w:r>
      <w:r w:rsidR="002B4F8D" w:rsidRPr="004B5A3F">
        <w:rPr>
          <w:rFonts w:ascii="Calibri" w:eastAsia="Calibri" w:hAnsi="Calibri" w:cs="Calibri"/>
          <w:lang w:val="en-US"/>
        </w:rPr>
        <w:t>register</w:t>
      </w:r>
      <w:r w:rsidRPr="004B5A3F">
        <w:rPr>
          <w:rFonts w:ascii="Calibri" w:eastAsia="Calibri" w:hAnsi="Calibri" w:cs="Calibri"/>
          <w:lang w:val="en-US"/>
        </w:rPr>
        <w:t xml:space="preserve"> all regulatory interactions (not only site visits, but phone calls, licence applications, audit notes) in a database system that also </w:t>
      </w:r>
      <w:r w:rsidR="002B4F8D" w:rsidRPr="004B5A3F">
        <w:rPr>
          <w:rFonts w:ascii="Calibri" w:eastAsia="Calibri" w:hAnsi="Calibri" w:cs="Calibri"/>
          <w:lang w:val="en-US"/>
        </w:rPr>
        <w:t>records</w:t>
      </w:r>
      <w:r w:rsidRPr="004B5A3F">
        <w:rPr>
          <w:rFonts w:ascii="Calibri" w:eastAsia="Calibri" w:hAnsi="Calibri" w:cs="Calibri"/>
          <w:lang w:val="en-US"/>
        </w:rPr>
        <w:t xml:space="preserve"> workflows (such a</w:t>
      </w:r>
      <w:r w:rsidR="002D6254">
        <w:rPr>
          <w:rFonts w:ascii="Calibri" w:eastAsia="Calibri" w:hAnsi="Calibri" w:cs="Calibri"/>
          <w:lang w:val="en-US"/>
        </w:rPr>
        <w:t>s</w:t>
      </w:r>
      <w:r w:rsidRPr="004B5A3F">
        <w:rPr>
          <w:rFonts w:ascii="Calibri" w:eastAsia="Calibri" w:hAnsi="Calibri" w:cs="Calibri"/>
          <w:lang w:val="en-US"/>
        </w:rPr>
        <w:t xml:space="preserve"> management of breaches).</w:t>
      </w:r>
    </w:p>
    <w:p w14:paraId="3B0738BE" w14:textId="0B5ECEAC" w:rsidR="0D9EDE59" w:rsidRPr="004B5A3F" w:rsidRDefault="0D9EDE59" w:rsidP="004B5A3F">
      <w:pPr>
        <w:ind w:left="360"/>
        <w:rPr>
          <w:rFonts w:eastAsiaTheme="minorEastAsia"/>
        </w:rPr>
      </w:pPr>
      <w:r w:rsidRPr="004B5A3F">
        <w:rPr>
          <w:rFonts w:ascii="Calibri" w:eastAsia="Calibri" w:hAnsi="Calibri" w:cs="Calibri"/>
          <w:lang w:val="en-US"/>
        </w:rPr>
        <w:t>To assist in meeting statutory assessment timeframes, all development applications are sent immediately to the compliance area on receipt, and compliance input is routinely considered in the assessment process.</w:t>
      </w:r>
    </w:p>
    <w:p w14:paraId="047B0CD7" w14:textId="17748E5F" w:rsidR="0D9EDE59" w:rsidRPr="004B5A3F" w:rsidRDefault="0D9EDE59" w:rsidP="004B5A3F">
      <w:pPr>
        <w:ind w:left="360"/>
        <w:rPr>
          <w:rFonts w:eastAsiaTheme="minorEastAsia"/>
        </w:rPr>
      </w:pPr>
      <w:r w:rsidRPr="004B5A3F">
        <w:rPr>
          <w:rFonts w:ascii="Calibri" w:eastAsia="Calibri" w:hAnsi="Calibri" w:cs="Calibri"/>
          <w:lang w:val="en-US"/>
        </w:rPr>
        <w:t>The SA EPA uses risk assessment to allocate resources to the areas of highest priority based on a range of factors such as the sensitivity of the receiving environment, compliance history, community interest, and local site management of emissions (including noise). This results in ‘the Tiered List’, in which all licensed activities are allocated to one of three tiers (Tier 1 being the highest risk).</w:t>
      </w:r>
    </w:p>
    <w:p w14:paraId="0C7045D6" w14:textId="33B292D9" w:rsidR="0D9EDE59" w:rsidRPr="004B5A3F" w:rsidRDefault="0D9EDE59" w:rsidP="004B5A3F">
      <w:pPr>
        <w:ind w:left="360"/>
        <w:rPr>
          <w:rFonts w:eastAsiaTheme="minorEastAsia"/>
        </w:rPr>
      </w:pPr>
      <w:r w:rsidRPr="004B5A3F">
        <w:rPr>
          <w:rFonts w:ascii="Calibri" w:eastAsia="Calibri" w:hAnsi="Calibri" w:cs="Calibri"/>
          <w:lang w:val="en-US"/>
        </w:rPr>
        <w:t>Activities allocated to Tiers 1 and 2 are further divided into Tier 1(a) and 1(b), and 2(a) and 2(b). Activities given an ‘(a)’ ranking are those that have high potential for harm, a history of non-compliance and strong community interest (or opposition). Management of these is undertaken by a multidisciplinary team from across the EPA, with regular inspections. Activities ranked ‘(b)’ are not inherently low risk, but need to provide regular monitoring data that are assessed by a small team in one area of the EPA.</w:t>
      </w:r>
    </w:p>
    <w:p w14:paraId="20C93D06" w14:textId="38B4C224" w:rsidR="0D9EDE59" w:rsidRPr="004B5A3F" w:rsidRDefault="0D9EDE59" w:rsidP="004B5A3F">
      <w:pPr>
        <w:ind w:left="360"/>
        <w:rPr>
          <w:rFonts w:eastAsiaTheme="minorEastAsia"/>
        </w:rPr>
      </w:pPr>
      <w:r w:rsidRPr="004B5A3F">
        <w:rPr>
          <w:rFonts w:ascii="Calibri" w:eastAsia="Calibri" w:hAnsi="Calibri" w:cs="Calibri"/>
          <w:lang w:val="en-US"/>
        </w:rPr>
        <w:lastRenderedPageBreak/>
        <w:t>Tier 3 activities are further sub-categorised into 3(c) and 3(d). Activities assessed as Tier 3(c) (such as waste haulage businesses) have little active regulatory oversight (other than a requirement for periodic licence renewal), whereas Tier 3(d) activities (such as concrete batching plants) are subject to occasional campaign-based inspections.</w:t>
      </w:r>
    </w:p>
    <w:p w14:paraId="581BE3C4" w14:textId="397CA57C" w:rsidR="0D9EDE59" w:rsidRPr="004B5A3F" w:rsidRDefault="0D9EDE59" w:rsidP="004B5A3F">
      <w:pPr>
        <w:ind w:left="360"/>
        <w:rPr>
          <w:rFonts w:eastAsiaTheme="minorEastAsia"/>
        </w:rPr>
      </w:pPr>
      <w:r w:rsidRPr="004B5A3F">
        <w:rPr>
          <w:rFonts w:ascii="Calibri" w:eastAsia="Calibri" w:hAnsi="Calibri" w:cs="Calibri"/>
          <w:lang w:val="en-US"/>
        </w:rPr>
        <w:t>The SA EPA publishes an annual compliance plan, and is currently drafting a compliance policy, which will be published in due course.</w:t>
      </w:r>
    </w:p>
    <w:p w14:paraId="27487F4A" w14:textId="55418C32" w:rsidR="0D9EDE59" w:rsidRPr="004B5A3F" w:rsidRDefault="0D9EDE59" w:rsidP="004B5A3F">
      <w:pPr>
        <w:ind w:left="360"/>
        <w:rPr>
          <w:rFonts w:eastAsiaTheme="minorEastAsia"/>
        </w:rPr>
      </w:pPr>
      <w:r w:rsidRPr="004B5A3F">
        <w:rPr>
          <w:rFonts w:ascii="Calibri" w:eastAsia="Calibri" w:hAnsi="Calibri" w:cs="Calibri"/>
          <w:lang w:val="en-US"/>
        </w:rPr>
        <w:t xml:space="preserve">They regard staff culture and behaviour as being as important as technical knowledge in achieving </w:t>
      </w:r>
      <w:r w:rsidR="090A2342" w:rsidRPr="004B5A3F">
        <w:rPr>
          <w:rFonts w:ascii="Calibri" w:eastAsia="Calibri" w:hAnsi="Calibri" w:cs="Calibri"/>
          <w:lang w:val="en-US"/>
        </w:rPr>
        <w:t>consistent</w:t>
      </w:r>
      <w:r w:rsidRPr="004B5A3F">
        <w:rPr>
          <w:rFonts w:ascii="Calibri" w:eastAsia="Calibri" w:hAnsi="Calibri" w:cs="Calibri"/>
          <w:lang w:val="en-US"/>
        </w:rPr>
        <w:t xml:space="preserve"> regulatory outcomes. Their focus is on bringing people into compliance, rather than prosecution. A sub-committee of the SA EPA Executive (with some lawyers) sets thresholds for investigation and prosecution, and determines the cases to be prosecuted.</w:t>
      </w:r>
    </w:p>
    <w:p w14:paraId="4FB9E8C5" w14:textId="3662FB2C" w:rsidR="0D9EDE59" w:rsidRDefault="0D9EDE59" w:rsidP="004B5A3F">
      <w:pPr>
        <w:pStyle w:val="Heading2"/>
        <w:ind w:left="360"/>
      </w:pPr>
      <w:bookmarkStart w:id="32" w:name="_Toc72504381"/>
      <w:r w:rsidRPr="761DF7AD">
        <w:rPr>
          <w:rFonts w:ascii="Calibri" w:eastAsia="Calibri" w:hAnsi="Calibri" w:cs="Calibri"/>
          <w:lang w:val="en-US"/>
        </w:rPr>
        <w:t>International counterparts</w:t>
      </w:r>
      <w:bookmarkEnd w:id="32"/>
    </w:p>
    <w:p w14:paraId="3F2E507B" w14:textId="11788DDC" w:rsidR="0D9EDE59" w:rsidRDefault="0D9EDE59" w:rsidP="004B5A3F">
      <w:pPr>
        <w:pStyle w:val="Heading3"/>
        <w:ind w:left="360"/>
        <w:rPr>
          <w:rFonts w:ascii="Calibri Light" w:eastAsia="Yu Gothic Light" w:hAnsi="Calibri Light" w:cs="Times New Roman"/>
          <w:color w:val="1F3763"/>
          <w:lang w:val="en-US"/>
        </w:rPr>
      </w:pPr>
      <w:bookmarkStart w:id="33" w:name="_Toc72504382"/>
      <w:r w:rsidRPr="761DF7AD">
        <w:rPr>
          <w:lang w:val="en-US"/>
        </w:rPr>
        <w:t>Canada</w:t>
      </w:r>
      <w:bookmarkEnd w:id="33"/>
    </w:p>
    <w:p w14:paraId="3FCBCC8D" w14:textId="6D86811D" w:rsidR="0D9EDE59" w:rsidRPr="004B5A3F" w:rsidRDefault="0D9EDE59" w:rsidP="004B5A3F">
      <w:pPr>
        <w:ind w:left="360"/>
        <w:rPr>
          <w:rFonts w:eastAsiaTheme="minorEastAsia"/>
        </w:rPr>
      </w:pPr>
      <w:r w:rsidRPr="004B5A3F">
        <w:rPr>
          <w:rFonts w:ascii="Calibri" w:eastAsia="Calibri" w:hAnsi="Calibri" w:cs="Calibri"/>
          <w:lang w:val="en-US"/>
        </w:rPr>
        <w:t xml:space="preserve">The Canadian Department of Environment and Climate Change has 3000 staff with responsibility for approvals and regulation across numerous provinces with separate functions for diverse aspects such as policy development, species conservation and waste.  There are 42 regulations in place to manage these with limited resources identified as a constraint on their ability to monitor how effective these regulations are. The agency has 500 people located across Canada in specific enforcement functions reporting directly to the deputy Director-General. An annual prioritisation exercise helps direct the attention of regulated activities. Border enforcement is one of the focus areas that includes joint bilateral work with </w:t>
      </w:r>
      <w:r w:rsidR="002925D1" w:rsidRPr="004B5A3F">
        <w:rPr>
          <w:rFonts w:ascii="Calibri" w:eastAsia="Calibri" w:hAnsi="Calibri" w:cs="Calibri"/>
          <w:lang w:val="en-US"/>
        </w:rPr>
        <w:t>the United States of America</w:t>
      </w:r>
      <w:r w:rsidRPr="004B5A3F">
        <w:rPr>
          <w:rFonts w:ascii="Calibri" w:eastAsia="Calibri" w:hAnsi="Calibri" w:cs="Calibri"/>
          <w:lang w:val="en-US"/>
        </w:rPr>
        <w:t>.</w:t>
      </w:r>
    </w:p>
    <w:p w14:paraId="0D9B4C98" w14:textId="3942CA9F" w:rsidR="0D9EDE59" w:rsidRPr="004B5A3F" w:rsidRDefault="0D9EDE59" w:rsidP="004B5A3F">
      <w:pPr>
        <w:ind w:left="360"/>
        <w:rPr>
          <w:rFonts w:eastAsiaTheme="minorEastAsia"/>
          <w:lang w:val="en-US"/>
        </w:rPr>
      </w:pPr>
      <w:r w:rsidRPr="004B5A3F">
        <w:rPr>
          <w:rFonts w:ascii="Calibri" w:eastAsia="Calibri" w:hAnsi="Calibri" w:cs="Calibri"/>
          <w:lang w:val="en-US"/>
        </w:rPr>
        <w:t xml:space="preserve">Program effectiveness and environmental outcomes are specifically measured by a discrete unit that tracks against environmental indicators that include global indicators. These metrics are made </w:t>
      </w:r>
      <w:r w:rsidR="7F4AF9FF" w:rsidRPr="004B5A3F">
        <w:rPr>
          <w:rFonts w:ascii="Calibri" w:eastAsia="Calibri" w:hAnsi="Calibri" w:cs="Calibri"/>
          <w:lang w:val="en-US"/>
        </w:rPr>
        <w:t>public.</w:t>
      </w:r>
    </w:p>
    <w:p w14:paraId="4465E0C3" w14:textId="526410CC" w:rsidR="0D9EDE59" w:rsidRPr="004B5A3F" w:rsidRDefault="0D9EDE59" w:rsidP="004B5A3F">
      <w:pPr>
        <w:ind w:left="360"/>
        <w:rPr>
          <w:rFonts w:eastAsiaTheme="minorEastAsia"/>
        </w:rPr>
      </w:pPr>
      <w:r w:rsidRPr="004B5A3F">
        <w:rPr>
          <w:rFonts w:ascii="Calibri" w:eastAsia="Calibri" w:hAnsi="Calibri" w:cs="Calibri"/>
          <w:lang w:val="en-US"/>
        </w:rPr>
        <w:t>Information systems are often old or fragmented in their inter-operability both at a national level and when interacting at a provincial level. There is a dedicated and sophisticated enforcement system containing confidential data.</w:t>
      </w:r>
    </w:p>
    <w:p w14:paraId="408A3ED5" w14:textId="2E9FD6F4" w:rsidR="0D9EDE59" w:rsidRDefault="0D9EDE59" w:rsidP="004B5A3F">
      <w:pPr>
        <w:pStyle w:val="Heading3"/>
        <w:ind w:left="360"/>
        <w:rPr>
          <w:rFonts w:ascii="Calibri Light" w:eastAsia="Yu Gothic Light" w:hAnsi="Calibri Light" w:cs="Times New Roman"/>
          <w:color w:val="1F3763"/>
          <w:lang w:val="en-US"/>
        </w:rPr>
      </w:pPr>
      <w:bookmarkStart w:id="34" w:name="_Toc72504383"/>
      <w:r w:rsidRPr="761DF7AD">
        <w:rPr>
          <w:lang w:val="en-US"/>
        </w:rPr>
        <w:t>New Zealand</w:t>
      </w:r>
      <w:bookmarkEnd w:id="34"/>
    </w:p>
    <w:p w14:paraId="0E461564" w14:textId="180DFA95" w:rsidR="0D9EDE59" w:rsidRDefault="0D9EDE59" w:rsidP="004B5A3F">
      <w:pPr>
        <w:ind w:left="360"/>
        <w:rPr>
          <w:rFonts w:ascii="Calibri" w:eastAsia="Calibri" w:hAnsi="Calibri" w:cs="Calibri"/>
          <w:lang w:val="en-US"/>
        </w:rPr>
      </w:pPr>
      <w:r w:rsidRPr="004B5A3F">
        <w:rPr>
          <w:rFonts w:ascii="Calibri" w:eastAsia="Calibri" w:hAnsi="Calibri" w:cs="Calibri"/>
          <w:lang w:val="en-US"/>
        </w:rPr>
        <w:t xml:space="preserve">Like in Australia, various levels of government have different parts of environmental regulation responsibility, leading to </w:t>
      </w:r>
      <w:r w:rsidR="002925D1" w:rsidRPr="004B5A3F">
        <w:rPr>
          <w:rFonts w:ascii="Calibri" w:eastAsia="Calibri" w:hAnsi="Calibri" w:cs="Calibri"/>
          <w:lang w:val="en-US"/>
        </w:rPr>
        <w:t xml:space="preserve">some </w:t>
      </w:r>
      <w:r w:rsidRPr="004B5A3F">
        <w:rPr>
          <w:rFonts w:ascii="Calibri" w:eastAsia="Calibri" w:hAnsi="Calibri" w:cs="Calibri"/>
          <w:lang w:val="en-US"/>
        </w:rPr>
        <w:t xml:space="preserve">fragmentation and confusion about roles in compliance and enforcement. For example, </w:t>
      </w:r>
      <w:r w:rsidR="00F07C22" w:rsidRPr="003C2C18">
        <w:rPr>
          <w:rFonts w:ascii="Calibri" w:eastAsia="Calibri" w:hAnsi="Calibri" w:cs="Calibri"/>
          <w:lang w:val="en-US"/>
        </w:rPr>
        <w:t>conservation legislation, ocean/maritime-related controls and animal welfare are primarily centralised</w:t>
      </w:r>
      <w:r w:rsidR="00F07C22" w:rsidRPr="004B5A3F">
        <w:rPr>
          <w:rFonts w:ascii="Calibri" w:eastAsia="Calibri" w:hAnsi="Calibri" w:cs="Calibri"/>
          <w:lang w:val="en-US"/>
        </w:rPr>
        <w:t xml:space="preserve"> </w:t>
      </w:r>
      <w:r w:rsidR="00F07C22">
        <w:rPr>
          <w:rFonts w:ascii="Calibri" w:eastAsia="Calibri" w:hAnsi="Calibri" w:cs="Calibri"/>
          <w:lang w:val="en-US"/>
        </w:rPr>
        <w:t>in the Ministry for the Environment</w:t>
      </w:r>
      <w:r w:rsidR="003C2C18">
        <w:rPr>
          <w:rFonts w:ascii="Calibri" w:eastAsia="Calibri" w:hAnsi="Calibri" w:cs="Calibri"/>
          <w:lang w:val="en-US"/>
        </w:rPr>
        <w:t xml:space="preserve">, while </w:t>
      </w:r>
      <w:r w:rsidRPr="004B5A3F">
        <w:rPr>
          <w:rFonts w:ascii="Calibri" w:eastAsia="Calibri" w:hAnsi="Calibri" w:cs="Calibri"/>
          <w:lang w:val="en-US"/>
        </w:rPr>
        <w:t>local councils are responsible (and report annually) for enforcing the Resource Management Act (</w:t>
      </w:r>
      <w:r w:rsidR="00471D2E">
        <w:rPr>
          <w:rFonts w:ascii="Calibri" w:eastAsia="Calibri" w:hAnsi="Calibri" w:cs="Calibri"/>
          <w:lang w:val="en-US"/>
        </w:rPr>
        <w:t xml:space="preserve">RMA), </w:t>
      </w:r>
      <w:r w:rsidRPr="004B5A3F">
        <w:rPr>
          <w:rFonts w:ascii="Calibri" w:eastAsia="Calibri" w:hAnsi="Calibri" w:cs="Calibri"/>
          <w:lang w:val="en-US"/>
        </w:rPr>
        <w:t>which includes land clearing regulation</w:t>
      </w:r>
      <w:r w:rsidR="00471D2E">
        <w:rPr>
          <w:rFonts w:ascii="Calibri" w:eastAsia="Calibri" w:hAnsi="Calibri" w:cs="Calibri"/>
          <w:lang w:val="en-US"/>
        </w:rPr>
        <w:t>,</w:t>
      </w:r>
      <w:r w:rsidR="003C2C18">
        <w:rPr>
          <w:rFonts w:ascii="Calibri" w:eastAsia="Calibri" w:hAnsi="Calibri" w:cs="Calibri"/>
          <w:lang w:val="en-US"/>
        </w:rPr>
        <w:t xml:space="preserve"> and</w:t>
      </w:r>
      <w:r w:rsidRPr="004B5A3F">
        <w:rPr>
          <w:rFonts w:ascii="Calibri" w:eastAsia="Calibri" w:hAnsi="Calibri" w:cs="Calibri"/>
          <w:lang w:val="en-US"/>
        </w:rPr>
        <w:t xml:space="preserve"> the NZ EPA has the power to support, assist or intervene in council actions. </w:t>
      </w:r>
      <w:r w:rsidR="007C7D05" w:rsidRPr="007C7D05">
        <w:rPr>
          <w:rFonts w:ascii="Calibri" w:eastAsia="Calibri" w:hAnsi="Calibri" w:cs="Calibri"/>
          <w:lang w:val="en-US"/>
        </w:rPr>
        <w:t xml:space="preserve">The </w:t>
      </w:r>
      <w:r w:rsidR="00D64BE0">
        <w:rPr>
          <w:rFonts w:ascii="Calibri" w:eastAsia="Calibri" w:hAnsi="Calibri" w:cs="Calibri"/>
          <w:lang w:val="en-US"/>
        </w:rPr>
        <w:t>RMA</w:t>
      </w:r>
      <w:r w:rsidR="007C7D05" w:rsidRPr="007C7D05">
        <w:rPr>
          <w:rFonts w:ascii="Calibri" w:eastAsia="Calibri" w:hAnsi="Calibri" w:cs="Calibri"/>
          <w:lang w:val="en-US"/>
        </w:rPr>
        <w:t xml:space="preserve"> is poised for significant review </w:t>
      </w:r>
      <w:r w:rsidR="00D64BE0">
        <w:rPr>
          <w:rFonts w:ascii="Calibri" w:eastAsia="Calibri" w:hAnsi="Calibri" w:cs="Calibri"/>
          <w:lang w:val="en-US"/>
        </w:rPr>
        <w:t>in respect to</w:t>
      </w:r>
      <w:r w:rsidR="007C7D05" w:rsidRPr="007C7D05">
        <w:rPr>
          <w:rFonts w:ascii="Calibri" w:eastAsia="Calibri" w:hAnsi="Calibri" w:cs="Calibri"/>
          <w:lang w:val="en-US"/>
        </w:rPr>
        <w:t xml:space="preserve"> both </w:t>
      </w:r>
      <w:r w:rsidR="00D64BE0">
        <w:rPr>
          <w:rFonts w:ascii="Calibri" w:eastAsia="Calibri" w:hAnsi="Calibri" w:cs="Calibri"/>
          <w:lang w:val="en-US"/>
        </w:rPr>
        <w:t xml:space="preserve">its </w:t>
      </w:r>
      <w:r w:rsidR="007C7D05" w:rsidRPr="007C7D05">
        <w:rPr>
          <w:rFonts w:ascii="Calibri" w:eastAsia="Calibri" w:hAnsi="Calibri" w:cs="Calibri"/>
          <w:lang w:val="en-US"/>
        </w:rPr>
        <w:t>tools and (potentially) institutional arrangements.</w:t>
      </w:r>
    </w:p>
    <w:p w14:paraId="2748D87F" w14:textId="0FBCFB18" w:rsidR="0D9EDE59" w:rsidRPr="004B5A3F" w:rsidRDefault="0D9EDE59" w:rsidP="004B5A3F">
      <w:pPr>
        <w:ind w:left="360"/>
        <w:rPr>
          <w:rFonts w:eastAsiaTheme="minorEastAsia"/>
        </w:rPr>
      </w:pPr>
      <w:r w:rsidRPr="004B5A3F">
        <w:rPr>
          <w:rFonts w:ascii="Calibri" w:eastAsia="Calibri" w:hAnsi="Calibri" w:cs="Calibri"/>
          <w:lang w:val="en-US"/>
        </w:rPr>
        <w:lastRenderedPageBreak/>
        <w:t xml:space="preserve">The New Zealand Government has made ‘environment, climate change and natural resources’ one of its 16 National Security and Intelligence Priorities, which has increased </w:t>
      </w:r>
      <w:r w:rsidR="00E72D16" w:rsidRPr="004B5A3F">
        <w:rPr>
          <w:rFonts w:ascii="Calibri" w:eastAsia="Calibri" w:hAnsi="Calibri" w:cs="Calibri"/>
          <w:lang w:val="en-US"/>
        </w:rPr>
        <w:t>the</w:t>
      </w:r>
      <w:r w:rsidRPr="004B5A3F">
        <w:rPr>
          <w:rFonts w:ascii="Calibri" w:eastAsia="Calibri" w:hAnsi="Calibri" w:cs="Calibri"/>
          <w:lang w:val="en-US"/>
        </w:rPr>
        <w:t xml:space="preserve"> focus on compliance with environment protection legislation. </w:t>
      </w:r>
    </w:p>
    <w:p w14:paraId="4382CE79" w14:textId="477885C5" w:rsidR="0D9EDE59" w:rsidRPr="004B5A3F" w:rsidRDefault="0D9EDE59" w:rsidP="004B5A3F">
      <w:pPr>
        <w:ind w:left="360"/>
        <w:rPr>
          <w:rFonts w:eastAsiaTheme="minorEastAsia"/>
        </w:rPr>
      </w:pPr>
      <w:r w:rsidRPr="004B5A3F">
        <w:rPr>
          <w:rFonts w:ascii="Calibri" w:eastAsia="Calibri" w:hAnsi="Calibri" w:cs="Calibri"/>
          <w:lang w:val="en-US"/>
        </w:rPr>
        <w:t>The NZ EPA has recently restructured in order to move to a more risk-based compliance approach. It has established an intelligence and reporting team to identify emerging trends and recommend changes in internal resource allocation. NZ EPA has 90 staff working in regulatory roles (engagement and regulatory operation), with 28 compliance officers undertaking monitoring and audit activities. This year, they are looking to expand their ‘inform and educate’ functions.</w:t>
      </w:r>
    </w:p>
    <w:p w14:paraId="1C696ACA" w14:textId="2D1EF14A" w:rsidR="00E40AD1" w:rsidRDefault="0D9EDE59" w:rsidP="00E40AD1">
      <w:pPr>
        <w:ind w:left="360"/>
        <w:rPr>
          <w:rFonts w:ascii="Calibri" w:eastAsia="Calibri" w:hAnsi="Calibri" w:cs="Calibri"/>
          <w:lang w:val="en-US"/>
        </w:rPr>
      </w:pPr>
      <w:r w:rsidRPr="004B5A3F">
        <w:rPr>
          <w:rFonts w:ascii="Calibri" w:eastAsia="Calibri" w:hAnsi="Calibri" w:cs="Calibri"/>
          <w:lang w:val="en-US"/>
        </w:rPr>
        <w:t>A risk-based national regulatory approach requires a comprehensive understanding of the regulated community to understand where the risks lie, and this remains a challenge for New Zealand.</w:t>
      </w:r>
      <w:r w:rsidR="00F41E19">
        <w:rPr>
          <w:rFonts w:ascii="Calibri" w:eastAsia="Calibri" w:hAnsi="Calibri" w:cs="Calibri"/>
          <w:lang w:val="en-US"/>
        </w:rPr>
        <w:t xml:space="preserve"> T</w:t>
      </w:r>
      <w:r w:rsidR="00672803" w:rsidRPr="00424630">
        <w:rPr>
          <w:rFonts w:ascii="Calibri" w:eastAsia="Calibri" w:hAnsi="Calibri" w:cs="Calibri"/>
          <w:lang w:val="en-US"/>
        </w:rPr>
        <w:t xml:space="preserve">he </w:t>
      </w:r>
      <w:r w:rsidR="00F41E19" w:rsidRPr="00424630">
        <w:rPr>
          <w:rFonts w:ascii="Calibri" w:eastAsia="Calibri" w:hAnsi="Calibri" w:cs="Calibri"/>
          <w:lang w:val="en-US"/>
        </w:rPr>
        <w:t xml:space="preserve">compliance and enforcement </w:t>
      </w:r>
      <w:r w:rsidR="00672803" w:rsidRPr="00424630">
        <w:rPr>
          <w:rFonts w:ascii="Calibri" w:eastAsia="Calibri" w:hAnsi="Calibri" w:cs="Calibri"/>
          <w:lang w:val="en-US"/>
        </w:rPr>
        <w:t xml:space="preserve">tools available vary from some </w:t>
      </w:r>
      <w:r w:rsidR="00153838">
        <w:rPr>
          <w:rFonts w:ascii="Calibri" w:eastAsia="Calibri" w:hAnsi="Calibri" w:cs="Calibri"/>
          <w:lang w:val="en-US"/>
        </w:rPr>
        <w:t>A</w:t>
      </w:r>
      <w:r w:rsidR="00672803" w:rsidRPr="00424630">
        <w:rPr>
          <w:rFonts w:ascii="Calibri" w:eastAsia="Calibri" w:hAnsi="Calibri" w:cs="Calibri"/>
          <w:lang w:val="en-US"/>
        </w:rPr>
        <w:t xml:space="preserve">cts </w:t>
      </w:r>
      <w:r w:rsidR="00F41E19" w:rsidRPr="00424630">
        <w:rPr>
          <w:rFonts w:ascii="Calibri" w:eastAsia="Calibri" w:hAnsi="Calibri" w:cs="Calibri"/>
          <w:lang w:val="en-US"/>
        </w:rPr>
        <w:t>that</w:t>
      </w:r>
      <w:r w:rsidR="00672803" w:rsidRPr="00424630">
        <w:rPr>
          <w:rFonts w:ascii="Calibri" w:eastAsia="Calibri" w:hAnsi="Calibri" w:cs="Calibri"/>
          <w:lang w:val="en-US"/>
        </w:rPr>
        <w:t xml:space="preserve"> have a single enforcement option (prosecution with a low maximum fine) through to legislation with a range of enforcement tools that can be applied proportion</w:t>
      </w:r>
      <w:r w:rsidR="00F2738C" w:rsidRPr="00424630">
        <w:rPr>
          <w:rFonts w:ascii="Calibri" w:eastAsia="Calibri" w:hAnsi="Calibri" w:cs="Calibri"/>
          <w:lang w:val="en-US"/>
        </w:rPr>
        <w:t>ately</w:t>
      </w:r>
      <w:r w:rsidR="00672803" w:rsidRPr="00424630">
        <w:rPr>
          <w:rFonts w:ascii="Calibri" w:eastAsia="Calibri" w:hAnsi="Calibri" w:cs="Calibri"/>
          <w:lang w:val="en-US"/>
        </w:rPr>
        <w:t xml:space="preserve"> to circumstances. </w:t>
      </w:r>
      <w:r w:rsidR="00F2738C" w:rsidRPr="00424630">
        <w:rPr>
          <w:rFonts w:ascii="Calibri" w:eastAsia="Calibri" w:hAnsi="Calibri" w:cs="Calibri"/>
          <w:lang w:val="en-US"/>
        </w:rPr>
        <w:t>For example, t</w:t>
      </w:r>
      <w:r w:rsidR="00672803" w:rsidRPr="00424630">
        <w:rPr>
          <w:rFonts w:ascii="Calibri" w:eastAsia="Calibri" w:hAnsi="Calibri" w:cs="Calibri"/>
          <w:lang w:val="en-US"/>
        </w:rPr>
        <w:t>he RMA has infringement fines, abatement notices (directive orders that can be issued by the agency but that are subject to appeal), enforcement orders (</w:t>
      </w:r>
      <w:r w:rsidR="00F2738C" w:rsidRPr="00424630">
        <w:rPr>
          <w:rFonts w:ascii="Calibri" w:eastAsia="Calibri" w:hAnsi="Calibri" w:cs="Calibri"/>
          <w:lang w:val="en-US"/>
        </w:rPr>
        <w:t>that</w:t>
      </w:r>
      <w:r w:rsidR="00672803" w:rsidRPr="00424630">
        <w:rPr>
          <w:rFonts w:ascii="Calibri" w:eastAsia="Calibri" w:hAnsi="Calibri" w:cs="Calibri"/>
          <w:lang w:val="en-US"/>
        </w:rPr>
        <w:t xml:space="preserve"> must be applied for in Court) and prosecutions.</w:t>
      </w:r>
    </w:p>
    <w:p w14:paraId="1029A821" w14:textId="77777777" w:rsidR="006238FF" w:rsidRPr="00015E77" w:rsidRDefault="006238FF" w:rsidP="006238FF">
      <w:pPr>
        <w:ind w:left="360"/>
        <w:rPr>
          <w:rFonts w:ascii="Calibri" w:eastAsia="Calibri" w:hAnsi="Calibri" w:cs="Calibri"/>
          <w:lang w:val="en-US"/>
        </w:rPr>
      </w:pPr>
      <w:r w:rsidRPr="00015E77">
        <w:rPr>
          <w:rFonts w:ascii="Calibri" w:eastAsia="Calibri" w:hAnsi="Calibri" w:cs="Calibri"/>
          <w:lang w:val="en-US"/>
        </w:rPr>
        <w:t xml:space="preserve">Outreach programs across all agencies </w:t>
      </w:r>
      <w:r>
        <w:rPr>
          <w:rFonts w:ascii="Calibri" w:eastAsia="Calibri" w:hAnsi="Calibri" w:cs="Calibri"/>
          <w:lang w:val="en-US"/>
        </w:rPr>
        <w:t>generally provide</w:t>
      </w:r>
      <w:r w:rsidRPr="00015E77">
        <w:rPr>
          <w:rFonts w:ascii="Calibri" w:eastAsia="Calibri" w:hAnsi="Calibri" w:cs="Calibri"/>
          <w:lang w:val="en-US"/>
        </w:rPr>
        <w:t xml:space="preserve"> information on expectations (brochures/website</w:t>
      </w:r>
      <w:r>
        <w:rPr>
          <w:rFonts w:ascii="Calibri" w:eastAsia="Calibri" w:hAnsi="Calibri" w:cs="Calibri"/>
          <w:lang w:val="en-US"/>
        </w:rPr>
        <w:t>s</w:t>
      </w:r>
      <w:r w:rsidRPr="00015E77">
        <w:rPr>
          <w:rFonts w:ascii="Calibri" w:eastAsia="Calibri" w:hAnsi="Calibri" w:cs="Calibri"/>
          <w:lang w:val="en-US"/>
        </w:rPr>
        <w:t xml:space="preserve">), proactive engagement with the regulated community to model best practice (e.g. open days on farms by regional councils regarding freshwater management), </w:t>
      </w:r>
      <w:r>
        <w:rPr>
          <w:rFonts w:ascii="Calibri" w:eastAsia="Calibri" w:hAnsi="Calibri" w:cs="Calibri"/>
          <w:lang w:val="en-US"/>
        </w:rPr>
        <w:t>responding to phone or email enquiries</w:t>
      </w:r>
      <w:r w:rsidRPr="00015E77">
        <w:rPr>
          <w:rFonts w:ascii="Calibri" w:eastAsia="Calibri" w:hAnsi="Calibri" w:cs="Calibri"/>
          <w:lang w:val="en-US"/>
        </w:rPr>
        <w:t xml:space="preserve"> and adopting a graduated enforcement model that seeks to educate as a first option where appropriate.</w:t>
      </w:r>
    </w:p>
    <w:p w14:paraId="5849F3B2" w14:textId="33037019" w:rsidR="00E40AD1" w:rsidRPr="00424630" w:rsidRDefault="00E40AD1" w:rsidP="00E40AD1">
      <w:pPr>
        <w:ind w:left="360"/>
        <w:rPr>
          <w:rFonts w:ascii="Calibri" w:eastAsia="Calibri" w:hAnsi="Calibri" w:cs="Calibri"/>
          <w:lang w:val="en-US"/>
        </w:rPr>
      </w:pPr>
      <w:r w:rsidRPr="004B5A3F">
        <w:rPr>
          <w:rFonts w:ascii="Calibri" w:eastAsia="Calibri" w:hAnsi="Calibri" w:cs="Calibri"/>
          <w:lang w:val="en-US"/>
        </w:rPr>
        <w:t xml:space="preserve">However, significant challenges remain to be addressed. </w:t>
      </w:r>
      <w:r>
        <w:rPr>
          <w:rFonts w:ascii="Calibri" w:eastAsia="Calibri" w:hAnsi="Calibri" w:cs="Calibri"/>
          <w:lang w:val="en-US"/>
        </w:rPr>
        <w:t xml:space="preserve">The sophistication of information systems varies between agencies and there is little system-wide integration. </w:t>
      </w:r>
      <w:r w:rsidRPr="004B5A3F">
        <w:rPr>
          <w:rFonts w:ascii="Calibri" w:eastAsia="Calibri" w:hAnsi="Calibri" w:cs="Calibri"/>
          <w:lang w:val="en-US"/>
        </w:rPr>
        <w:t>Information relevant to compliance is held in a large number of discrete non-interoperable software systems, and nationally aggregated reporting (which requires manual collation with associated data quality risks) focuses on environmental monitoring but not compliance. Each regional council uses some form of geospatial mapping, but the lack of national integration of this information limits its utility for compliance purposes.</w:t>
      </w:r>
    </w:p>
    <w:p w14:paraId="50B4834A" w14:textId="485B6138" w:rsidR="54666461" w:rsidRDefault="54666461" w:rsidP="004B5A3F">
      <w:pPr>
        <w:pStyle w:val="Heading2"/>
        <w:ind w:left="360"/>
      </w:pPr>
      <w:bookmarkStart w:id="35" w:name="_Toc72504384"/>
      <w:r w:rsidRPr="761DF7AD">
        <w:rPr>
          <w:rFonts w:ascii="Calibri" w:eastAsia="Calibri" w:hAnsi="Calibri" w:cs="Calibri"/>
          <w:lang w:val="en-US"/>
        </w:rPr>
        <w:t>Non-</w:t>
      </w:r>
      <w:r w:rsidR="00D500D6">
        <w:rPr>
          <w:rFonts w:ascii="Calibri" w:eastAsia="Calibri" w:hAnsi="Calibri" w:cs="Calibri"/>
          <w:lang w:val="en-US"/>
        </w:rPr>
        <w:t>g</w:t>
      </w:r>
      <w:r w:rsidRPr="761DF7AD">
        <w:rPr>
          <w:rFonts w:ascii="Calibri" w:eastAsia="Calibri" w:hAnsi="Calibri" w:cs="Calibri"/>
          <w:lang w:val="en-US"/>
        </w:rPr>
        <w:t>overnment</w:t>
      </w:r>
      <w:r w:rsidR="130B4993" w:rsidRPr="761DF7AD">
        <w:rPr>
          <w:rFonts w:ascii="Calibri" w:eastAsia="Calibri" w:hAnsi="Calibri" w:cs="Calibri"/>
          <w:lang w:val="en-US"/>
        </w:rPr>
        <w:t xml:space="preserve"> </w:t>
      </w:r>
      <w:r w:rsidR="00D500D6">
        <w:rPr>
          <w:rFonts w:ascii="Calibri" w:eastAsia="Calibri" w:hAnsi="Calibri" w:cs="Calibri"/>
          <w:lang w:val="en-US"/>
        </w:rPr>
        <w:t>s</w:t>
      </w:r>
      <w:r w:rsidR="130B4993" w:rsidRPr="761DF7AD">
        <w:rPr>
          <w:rFonts w:ascii="Calibri" w:eastAsia="Calibri" w:hAnsi="Calibri" w:cs="Calibri"/>
          <w:lang w:val="en-US"/>
        </w:rPr>
        <w:t>takeholders</w:t>
      </w:r>
      <w:bookmarkEnd w:id="35"/>
    </w:p>
    <w:p w14:paraId="48902BAA" w14:textId="65E5002A" w:rsidR="0D9EDE59" w:rsidRPr="004B5A3F" w:rsidRDefault="0D9EDE59" w:rsidP="004B5A3F">
      <w:pPr>
        <w:ind w:left="360"/>
        <w:rPr>
          <w:rFonts w:ascii="Calibri" w:eastAsia="Calibri" w:hAnsi="Calibri" w:cs="Calibri"/>
          <w:lang w:val="en-US"/>
        </w:rPr>
      </w:pPr>
      <w:r w:rsidRPr="004B5A3F">
        <w:rPr>
          <w:rFonts w:ascii="Calibri" w:eastAsia="Calibri" w:hAnsi="Calibri" w:cs="Calibri"/>
          <w:lang w:val="en-US"/>
        </w:rPr>
        <w:t>Following an analysis of submissions provided to the recent review of the EPBC Act undertaken by Graeme Samuel</w:t>
      </w:r>
      <w:r w:rsidR="002E1D6F" w:rsidRPr="004B5A3F">
        <w:rPr>
          <w:rFonts w:ascii="Calibri" w:eastAsia="Calibri" w:hAnsi="Calibri" w:cs="Calibri"/>
          <w:lang w:val="en-US"/>
        </w:rPr>
        <w:t>,</w:t>
      </w:r>
      <w:r w:rsidRPr="004B5A3F">
        <w:rPr>
          <w:rFonts w:ascii="Calibri" w:eastAsia="Calibri" w:hAnsi="Calibri" w:cs="Calibri"/>
          <w:lang w:val="en-US"/>
        </w:rPr>
        <w:t xml:space="preserve"> the </w:t>
      </w:r>
      <w:r w:rsidR="002E1D6F" w:rsidRPr="004B5A3F">
        <w:rPr>
          <w:rFonts w:ascii="Calibri" w:eastAsia="Calibri" w:hAnsi="Calibri" w:cs="Calibri"/>
          <w:lang w:val="en-US"/>
        </w:rPr>
        <w:t>R</w:t>
      </w:r>
      <w:r w:rsidRPr="004B5A3F">
        <w:rPr>
          <w:rFonts w:ascii="Calibri" w:eastAsia="Calibri" w:hAnsi="Calibri" w:cs="Calibri"/>
          <w:lang w:val="en-US"/>
        </w:rPr>
        <w:t>eview team held further discussions with a small number of key agencies from both the community and industry sectors to better understand their views about the Department’s approach to environmental compliance, but to also seek their ideas and suggestions.</w:t>
      </w:r>
    </w:p>
    <w:p w14:paraId="0136E490" w14:textId="5E4C628A" w:rsidR="5F384186" w:rsidRPr="004B5A3F" w:rsidRDefault="5F384186" w:rsidP="004B5A3F">
      <w:pPr>
        <w:ind w:left="360"/>
        <w:rPr>
          <w:rFonts w:ascii="Calibri" w:eastAsia="Calibri" w:hAnsi="Calibri" w:cs="Calibri"/>
          <w:lang w:val="en-US"/>
        </w:rPr>
      </w:pPr>
      <w:bookmarkStart w:id="36" w:name="_Toc72504385"/>
      <w:r w:rsidRPr="004B5A3F">
        <w:rPr>
          <w:rStyle w:val="Heading3Char"/>
          <w:lang w:val="en-US"/>
        </w:rPr>
        <w:t>Community</w:t>
      </w:r>
      <w:bookmarkEnd w:id="36"/>
    </w:p>
    <w:p w14:paraId="3BA6B0F0" w14:textId="6CDD8F33" w:rsidR="00703DFF" w:rsidRPr="004B5A3F" w:rsidRDefault="00AB696F" w:rsidP="004B5A3F">
      <w:pPr>
        <w:ind w:left="360"/>
        <w:rPr>
          <w:rFonts w:ascii="Calibri" w:eastAsia="Calibri" w:hAnsi="Calibri" w:cs="Calibri"/>
          <w:lang w:val="en-US"/>
        </w:rPr>
      </w:pPr>
      <w:r w:rsidRPr="004B5A3F">
        <w:rPr>
          <w:rFonts w:ascii="Calibri" w:eastAsia="Calibri" w:hAnsi="Calibri" w:cs="Calibri"/>
          <w:lang w:val="en-US"/>
        </w:rPr>
        <w:t>T</w:t>
      </w:r>
      <w:r w:rsidR="0D9EDE59" w:rsidRPr="004B5A3F">
        <w:rPr>
          <w:rFonts w:ascii="Calibri" w:eastAsia="Calibri" w:hAnsi="Calibri" w:cs="Calibri"/>
          <w:lang w:val="en-US"/>
        </w:rPr>
        <w:t xml:space="preserve">he community sector </w:t>
      </w:r>
      <w:r w:rsidR="00B23AF9" w:rsidRPr="004B5A3F">
        <w:rPr>
          <w:rFonts w:ascii="Calibri" w:eastAsia="Calibri" w:hAnsi="Calibri" w:cs="Calibri"/>
          <w:lang w:val="en-US"/>
        </w:rPr>
        <w:t xml:space="preserve">generally </w:t>
      </w:r>
      <w:r w:rsidR="3203D543" w:rsidRPr="004B5A3F">
        <w:rPr>
          <w:rFonts w:ascii="Calibri" w:eastAsia="Calibri" w:hAnsi="Calibri" w:cs="Calibri"/>
          <w:lang w:val="en-US"/>
        </w:rPr>
        <w:t>support</w:t>
      </w:r>
      <w:r w:rsidR="00D6326F" w:rsidRPr="004B5A3F">
        <w:rPr>
          <w:rFonts w:ascii="Calibri" w:eastAsia="Calibri" w:hAnsi="Calibri" w:cs="Calibri"/>
          <w:lang w:val="en-US"/>
        </w:rPr>
        <w:t>s</w:t>
      </w:r>
      <w:r w:rsidR="0D9EDE59" w:rsidRPr="004B5A3F">
        <w:rPr>
          <w:rFonts w:ascii="Calibri" w:eastAsia="Calibri" w:hAnsi="Calibri" w:cs="Calibri"/>
          <w:lang w:val="en-US"/>
        </w:rPr>
        <w:t xml:space="preserve"> the findings of the Samuel review </w:t>
      </w:r>
      <w:r w:rsidR="00464611" w:rsidRPr="004B5A3F">
        <w:rPr>
          <w:rFonts w:ascii="Calibri" w:eastAsia="Calibri" w:hAnsi="Calibri" w:cs="Calibri"/>
          <w:lang w:val="en-US"/>
        </w:rPr>
        <w:t>regarding</w:t>
      </w:r>
      <w:r w:rsidR="00E9112A" w:rsidRPr="004B5A3F">
        <w:rPr>
          <w:rFonts w:ascii="Calibri" w:eastAsia="Calibri" w:hAnsi="Calibri" w:cs="Calibri"/>
          <w:lang w:val="en-US"/>
        </w:rPr>
        <w:t xml:space="preserve"> legislative re</w:t>
      </w:r>
      <w:r w:rsidR="355F4DF0" w:rsidRPr="004B5A3F">
        <w:rPr>
          <w:rFonts w:ascii="Calibri" w:eastAsia="Calibri" w:hAnsi="Calibri" w:cs="Calibri"/>
          <w:lang w:val="en-US"/>
        </w:rPr>
        <w:t>form</w:t>
      </w:r>
      <w:r w:rsidR="785EF3B1" w:rsidRPr="004B5A3F">
        <w:rPr>
          <w:rFonts w:ascii="Calibri" w:eastAsia="Calibri" w:hAnsi="Calibri" w:cs="Calibri"/>
          <w:lang w:val="en-US"/>
        </w:rPr>
        <w:t>,</w:t>
      </w:r>
      <w:r w:rsidR="0D9EDE59" w:rsidRPr="004B5A3F">
        <w:rPr>
          <w:rFonts w:ascii="Calibri" w:eastAsia="Calibri" w:hAnsi="Calibri" w:cs="Calibri"/>
          <w:lang w:val="en-US"/>
        </w:rPr>
        <w:t xml:space="preserve"> particularly </w:t>
      </w:r>
      <w:r w:rsidR="00D6326F" w:rsidRPr="004B5A3F">
        <w:rPr>
          <w:rFonts w:ascii="Calibri" w:eastAsia="Calibri" w:hAnsi="Calibri" w:cs="Calibri"/>
          <w:lang w:val="en-US"/>
        </w:rPr>
        <w:t xml:space="preserve">the </w:t>
      </w:r>
      <w:r w:rsidR="0D9EDE59" w:rsidRPr="004B5A3F">
        <w:rPr>
          <w:rFonts w:ascii="Calibri" w:eastAsia="Calibri" w:hAnsi="Calibri" w:cs="Calibri"/>
          <w:lang w:val="en-US"/>
        </w:rPr>
        <w:t>establish</w:t>
      </w:r>
      <w:r w:rsidR="00D6326F" w:rsidRPr="004B5A3F">
        <w:rPr>
          <w:rFonts w:ascii="Calibri" w:eastAsia="Calibri" w:hAnsi="Calibri" w:cs="Calibri"/>
          <w:lang w:val="en-US"/>
        </w:rPr>
        <w:t>ment of</w:t>
      </w:r>
      <w:r w:rsidR="0D9EDE59" w:rsidRPr="004B5A3F">
        <w:rPr>
          <w:rFonts w:ascii="Calibri" w:eastAsia="Calibri" w:hAnsi="Calibri" w:cs="Calibri"/>
          <w:lang w:val="en-US"/>
        </w:rPr>
        <w:t xml:space="preserve"> environmental standards and the </w:t>
      </w:r>
      <w:r w:rsidR="0D9EDE59" w:rsidRPr="004B5A3F">
        <w:rPr>
          <w:rFonts w:ascii="Calibri" w:eastAsia="Calibri" w:hAnsi="Calibri" w:cs="Calibri"/>
          <w:lang w:val="en-US"/>
        </w:rPr>
        <w:lastRenderedPageBreak/>
        <w:t>Department</w:t>
      </w:r>
      <w:r w:rsidR="00456D9A" w:rsidRPr="004B5A3F">
        <w:rPr>
          <w:rFonts w:ascii="Calibri" w:eastAsia="Calibri" w:hAnsi="Calibri" w:cs="Calibri"/>
          <w:lang w:val="en-US"/>
        </w:rPr>
        <w:t>’s access to</w:t>
      </w:r>
      <w:r w:rsidR="0D9EDE59" w:rsidRPr="004B5A3F">
        <w:rPr>
          <w:rFonts w:ascii="Calibri" w:eastAsia="Calibri" w:hAnsi="Calibri" w:cs="Calibri"/>
          <w:lang w:val="en-US"/>
        </w:rPr>
        <w:t xml:space="preserve"> a full suite of </w:t>
      </w:r>
      <w:r w:rsidR="00456D9A" w:rsidRPr="004B5A3F">
        <w:rPr>
          <w:rFonts w:ascii="Calibri" w:eastAsia="Calibri" w:hAnsi="Calibri" w:cs="Calibri"/>
          <w:lang w:val="en-US"/>
        </w:rPr>
        <w:t xml:space="preserve">contemporary </w:t>
      </w:r>
      <w:r w:rsidR="0D9EDE59" w:rsidRPr="004B5A3F">
        <w:rPr>
          <w:rFonts w:ascii="Calibri" w:eastAsia="Calibri" w:hAnsi="Calibri" w:cs="Calibri"/>
          <w:lang w:val="en-US"/>
        </w:rPr>
        <w:t>regulatory tools</w:t>
      </w:r>
      <w:r w:rsidR="00251442" w:rsidRPr="004B5A3F">
        <w:rPr>
          <w:rFonts w:ascii="Calibri" w:eastAsia="Calibri" w:hAnsi="Calibri" w:cs="Calibri"/>
          <w:lang w:val="en-US"/>
        </w:rPr>
        <w:t xml:space="preserve"> a</w:t>
      </w:r>
      <w:r w:rsidR="2FD5ABB3" w:rsidRPr="004B5A3F">
        <w:rPr>
          <w:rFonts w:ascii="Calibri" w:eastAsia="Calibri" w:hAnsi="Calibri" w:cs="Calibri"/>
          <w:lang w:val="en-US"/>
        </w:rPr>
        <w:t xml:space="preserve">cross all of </w:t>
      </w:r>
      <w:r w:rsidR="00115881" w:rsidRPr="004B5A3F">
        <w:rPr>
          <w:rFonts w:ascii="Calibri" w:eastAsia="Calibri" w:hAnsi="Calibri" w:cs="Calibri"/>
          <w:lang w:val="en-US"/>
        </w:rPr>
        <w:t>its</w:t>
      </w:r>
      <w:r w:rsidR="2FD5ABB3" w:rsidRPr="004B5A3F">
        <w:rPr>
          <w:rFonts w:ascii="Calibri" w:eastAsia="Calibri" w:hAnsi="Calibri" w:cs="Calibri"/>
          <w:lang w:val="en-US"/>
        </w:rPr>
        <w:t xml:space="preserve"> </w:t>
      </w:r>
      <w:r w:rsidR="0D9EDE59" w:rsidRPr="004B5A3F">
        <w:rPr>
          <w:rFonts w:ascii="Calibri" w:eastAsia="Calibri" w:hAnsi="Calibri" w:cs="Calibri"/>
          <w:lang w:val="en-US"/>
        </w:rPr>
        <w:t xml:space="preserve">legislative </w:t>
      </w:r>
      <w:r w:rsidR="00115881" w:rsidRPr="004B5A3F">
        <w:rPr>
          <w:rFonts w:ascii="Calibri" w:eastAsia="Calibri" w:hAnsi="Calibri" w:cs="Calibri"/>
          <w:lang w:val="en-US"/>
        </w:rPr>
        <w:t>schemes</w:t>
      </w:r>
      <w:r w:rsidR="0D9EDE59" w:rsidRPr="004B5A3F">
        <w:rPr>
          <w:rFonts w:ascii="Calibri" w:eastAsia="Calibri" w:hAnsi="Calibri" w:cs="Calibri"/>
          <w:lang w:val="en-US"/>
        </w:rPr>
        <w:t>.</w:t>
      </w:r>
    </w:p>
    <w:p w14:paraId="44475832" w14:textId="43DB3972" w:rsidR="0D9EDE59" w:rsidRPr="004B5A3F" w:rsidRDefault="1B6AAA4F" w:rsidP="004B5A3F">
      <w:pPr>
        <w:ind w:left="360"/>
        <w:rPr>
          <w:rFonts w:ascii="Calibri" w:eastAsia="Calibri" w:hAnsi="Calibri" w:cs="Calibri"/>
          <w:lang w:val="en-US"/>
        </w:rPr>
      </w:pPr>
      <w:r w:rsidRPr="004B5A3F">
        <w:rPr>
          <w:rFonts w:ascii="Calibri" w:eastAsia="Calibri" w:hAnsi="Calibri" w:cs="Calibri"/>
          <w:lang w:val="en-US"/>
        </w:rPr>
        <w:t>Whil</w:t>
      </w:r>
      <w:r w:rsidR="002A732F" w:rsidRPr="004B5A3F">
        <w:rPr>
          <w:rFonts w:ascii="Calibri" w:eastAsia="Calibri" w:hAnsi="Calibri" w:cs="Calibri"/>
          <w:lang w:val="en-US"/>
        </w:rPr>
        <w:t>e</w:t>
      </w:r>
      <w:r w:rsidR="0D9EDE59" w:rsidRPr="004B5A3F">
        <w:rPr>
          <w:rFonts w:ascii="Calibri" w:eastAsia="Calibri" w:hAnsi="Calibri" w:cs="Calibri"/>
          <w:lang w:val="en-US"/>
        </w:rPr>
        <w:t xml:space="preserve"> </w:t>
      </w:r>
      <w:r w:rsidR="17642DF3" w:rsidRPr="004B5A3F">
        <w:rPr>
          <w:rFonts w:ascii="Calibri" w:eastAsia="Calibri" w:hAnsi="Calibri" w:cs="Calibri"/>
          <w:lang w:val="en-US"/>
        </w:rPr>
        <w:t>recognis</w:t>
      </w:r>
      <w:r w:rsidR="00703DFF" w:rsidRPr="004B5A3F">
        <w:rPr>
          <w:rFonts w:ascii="Calibri" w:eastAsia="Calibri" w:hAnsi="Calibri" w:cs="Calibri"/>
          <w:lang w:val="en-US"/>
        </w:rPr>
        <w:t>ing</w:t>
      </w:r>
      <w:r w:rsidR="17642DF3" w:rsidRPr="004B5A3F">
        <w:rPr>
          <w:rFonts w:ascii="Calibri" w:eastAsia="Calibri" w:hAnsi="Calibri" w:cs="Calibri"/>
          <w:lang w:val="en-US"/>
        </w:rPr>
        <w:t xml:space="preserve"> the importance of working with </w:t>
      </w:r>
      <w:r w:rsidR="00505115" w:rsidRPr="004B5A3F">
        <w:rPr>
          <w:rFonts w:ascii="Calibri" w:eastAsia="Calibri" w:hAnsi="Calibri" w:cs="Calibri"/>
          <w:lang w:val="en-US"/>
        </w:rPr>
        <w:t>different industry sectors</w:t>
      </w:r>
      <w:r w:rsidR="0114E1A2" w:rsidRPr="004B5A3F">
        <w:rPr>
          <w:rFonts w:ascii="Calibri" w:eastAsia="Calibri" w:hAnsi="Calibri" w:cs="Calibri"/>
          <w:lang w:val="en-US"/>
        </w:rPr>
        <w:t xml:space="preserve">, </w:t>
      </w:r>
      <w:r w:rsidR="00274431" w:rsidRPr="004B5A3F">
        <w:rPr>
          <w:rFonts w:ascii="Calibri" w:eastAsia="Calibri" w:hAnsi="Calibri" w:cs="Calibri"/>
          <w:lang w:val="en-US"/>
        </w:rPr>
        <w:t>project proponents</w:t>
      </w:r>
      <w:r w:rsidR="0114E1A2" w:rsidRPr="004B5A3F">
        <w:rPr>
          <w:rFonts w:ascii="Calibri" w:eastAsia="Calibri" w:hAnsi="Calibri" w:cs="Calibri"/>
          <w:lang w:val="en-US"/>
        </w:rPr>
        <w:t xml:space="preserve"> and the community </w:t>
      </w:r>
      <w:r w:rsidR="18DEB69B" w:rsidRPr="004B5A3F">
        <w:rPr>
          <w:rFonts w:ascii="Calibri" w:eastAsia="Calibri" w:hAnsi="Calibri" w:cs="Calibri"/>
          <w:lang w:val="en-US"/>
        </w:rPr>
        <w:t xml:space="preserve">to prevent </w:t>
      </w:r>
      <w:r w:rsidR="00100E7D" w:rsidRPr="004B5A3F">
        <w:rPr>
          <w:rFonts w:ascii="Calibri" w:eastAsia="Calibri" w:hAnsi="Calibri" w:cs="Calibri"/>
          <w:lang w:val="en-US"/>
        </w:rPr>
        <w:t>non</w:t>
      </w:r>
      <w:r w:rsidR="00D6326F" w:rsidRPr="004B5A3F">
        <w:rPr>
          <w:rFonts w:ascii="Calibri" w:eastAsia="Calibri" w:hAnsi="Calibri" w:cs="Calibri"/>
          <w:lang w:val="en-US"/>
        </w:rPr>
        <w:t>-</w:t>
      </w:r>
      <w:r w:rsidR="00100E7D" w:rsidRPr="004B5A3F">
        <w:rPr>
          <w:rFonts w:ascii="Calibri" w:eastAsia="Calibri" w:hAnsi="Calibri" w:cs="Calibri"/>
          <w:lang w:val="en-US"/>
        </w:rPr>
        <w:t>compliance</w:t>
      </w:r>
      <w:r w:rsidR="00D6326F" w:rsidRPr="004B5A3F">
        <w:rPr>
          <w:rFonts w:ascii="Calibri" w:eastAsia="Calibri" w:hAnsi="Calibri" w:cs="Calibri"/>
          <w:lang w:val="en-US"/>
        </w:rPr>
        <w:t>,</w:t>
      </w:r>
      <w:r w:rsidR="18DEB69B" w:rsidRPr="004B5A3F">
        <w:rPr>
          <w:rFonts w:ascii="Calibri" w:eastAsia="Calibri" w:hAnsi="Calibri" w:cs="Calibri"/>
          <w:lang w:val="en-US"/>
        </w:rPr>
        <w:t xml:space="preserve"> </w:t>
      </w:r>
      <w:r w:rsidR="00F124C3" w:rsidRPr="004B5A3F">
        <w:rPr>
          <w:rFonts w:ascii="Calibri" w:eastAsia="Calibri" w:hAnsi="Calibri" w:cs="Calibri"/>
          <w:lang w:val="en-US"/>
        </w:rPr>
        <w:t>civil society groups</w:t>
      </w:r>
      <w:r w:rsidR="0D9EDE59" w:rsidRPr="004B5A3F">
        <w:rPr>
          <w:rFonts w:ascii="Calibri" w:eastAsia="Calibri" w:hAnsi="Calibri" w:cs="Calibri"/>
          <w:lang w:val="en-US"/>
        </w:rPr>
        <w:t xml:space="preserve"> are concerned that the Department has been placing too much emphasis on achieving voluntary compliance, and that community-based groups themselves are left to take civil action in respect of egregious breaches of environmental laws. Although community groups recognise that education and awareness-raising are important in achieving compliance, the role of prosecutions to create deterrence is also critical.</w:t>
      </w:r>
      <w:r w:rsidR="00AA19CD" w:rsidRPr="004B5A3F">
        <w:rPr>
          <w:rFonts w:ascii="Calibri" w:eastAsia="Calibri" w:hAnsi="Calibri" w:cs="Calibri"/>
          <w:lang w:val="en-US"/>
        </w:rPr>
        <w:t xml:space="preserve"> They prefer to see the Department adopt a stronger enforcement approach for serious offences.</w:t>
      </w:r>
    </w:p>
    <w:p w14:paraId="2CF9FAD7" w14:textId="6EABEB28" w:rsidR="00D91D40" w:rsidRPr="004B5A3F" w:rsidRDefault="0D9EDE59" w:rsidP="004B5A3F">
      <w:pPr>
        <w:ind w:left="360"/>
        <w:rPr>
          <w:rFonts w:ascii="Calibri" w:eastAsia="Calibri" w:hAnsi="Calibri" w:cs="Calibri"/>
          <w:lang w:val="en-US"/>
        </w:rPr>
      </w:pPr>
      <w:r w:rsidRPr="004B5A3F">
        <w:rPr>
          <w:rFonts w:ascii="Calibri" w:eastAsia="Calibri" w:hAnsi="Calibri" w:cs="Calibri"/>
          <w:lang w:val="en-US"/>
        </w:rPr>
        <w:t>Community advocates</w:t>
      </w:r>
      <w:r w:rsidR="00701C9C" w:rsidRPr="004B5A3F">
        <w:rPr>
          <w:rFonts w:ascii="Calibri" w:eastAsia="Calibri" w:hAnsi="Calibri" w:cs="Calibri"/>
          <w:lang w:val="en-US"/>
        </w:rPr>
        <w:t xml:space="preserve"> are concerned</w:t>
      </w:r>
      <w:r w:rsidRPr="004B5A3F">
        <w:rPr>
          <w:rFonts w:ascii="Calibri" w:eastAsia="Calibri" w:hAnsi="Calibri" w:cs="Calibri"/>
          <w:lang w:val="en-US"/>
        </w:rPr>
        <w:t xml:space="preserve"> that </w:t>
      </w:r>
      <w:r w:rsidR="00701C9C" w:rsidRPr="004B5A3F">
        <w:rPr>
          <w:rFonts w:ascii="Calibri" w:eastAsia="Calibri" w:hAnsi="Calibri" w:cs="Calibri"/>
          <w:lang w:val="en-US"/>
        </w:rPr>
        <w:t xml:space="preserve">some </w:t>
      </w:r>
      <w:r w:rsidRPr="004B5A3F">
        <w:rPr>
          <w:rFonts w:ascii="Calibri" w:eastAsia="Calibri" w:hAnsi="Calibri" w:cs="Calibri"/>
          <w:lang w:val="en-US"/>
        </w:rPr>
        <w:t xml:space="preserve">people </w:t>
      </w:r>
      <w:r w:rsidR="00701C9C" w:rsidRPr="004B5A3F">
        <w:rPr>
          <w:rFonts w:ascii="Calibri" w:eastAsia="Calibri" w:hAnsi="Calibri" w:cs="Calibri"/>
          <w:lang w:val="en-US"/>
        </w:rPr>
        <w:t xml:space="preserve">feel that they </w:t>
      </w:r>
      <w:r w:rsidRPr="004B5A3F">
        <w:rPr>
          <w:rFonts w:ascii="Calibri" w:eastAsia="Calibri" w:hAnsi="Calibri" w:cs="Calibri"/>
          <w:lang w:val="en-US"/>
        </w:rPr>
        <w:t>can ignore their environmental obligations with impunity, with a resultant loss of trust in the Government’s commitment to protecting our environment. This loss of trust could be addressed by a stronger regulatory posture, as well as through greater transparency such as through publication of the prioritisation and resource allocation framework and a regularly updated public register of compliance actions and outcomes. This would need to be done carefully so that the Department does not imply that non-prioritised areas will be totally ignored.</w:t>
      </w:r>
    </w:p>
    <w:p w14:paraId="44B25E4F" w14:textId="20DD613B" w:rsidR="3C420FAE" w:rsidRPr="004B5A3F" w:rsidRDefault="3C420FAE" w:rsidP="004B5A3F">
      <w:pPr>
        <w:ind w:left="360"/>
        <w:rPr>
          <w:lang w:val="en-US"/>
        </w:rPr>
      </w:pPr>
      <w:r w:rsidRPr="004B5A3F">
        <w:rPr>
          <w:rFonts w:ascii="Calibri" w:eastAsia="Calibri" w:hAnsi="Calibri" w:cs="Calibri"/>
          <w:lang w:val="en-US"/>
        </w:rPr>
        <w:t xml:space="preserve">They </w:t>
      </w:r>
      <w:r w:rsidR="00997E01" w:rsidRPr="004B5A3F">
        <w:rPr>
          <w:rFonts w:ascii="Calibri" w:eastAsia="Calibri" w:hAnsi="Calibri" w:cs="Calibri"/>
          <w:lang w:val="en-US"/>
        </w:rPr>
        <w:t>support a more active program</w:t>
      </w:r>
      <w:r w:rsidR="00D96127" w:rsidRPr="004B5A3F">
        <w:rPr>
          <w:rFonts w:ascii="Calibri" w:eastAsia="Calibri" w:hAnsi="Calibri" w:cs="Calibri"/>
          <w:lang w:val="en-US"/>
        </w:rPr>
        <w:t xml:space="preserve"> audit</w:t>
      </w:r>
      <w:r w:rsidR="00997E01" w:rsidRPr="004B5A3F">
        <w:rPr>
          <w:rFonts w:ascii="Calibri" w:eastAsia="Calibri" w:hAnsi="Calibri" w:cs="Calibri"/>
          <w:lang w:val="en-US"/>
        </w:rPr>
        <w:t xml:space="preserve"> </w:t>
      </w:r>
      <w:r w:rsidR="00D96127" w:rsidRPr="004B5A3F">
        <w:rPr>
          <w:rFonts w:ascii="Calibri" w:eastAsia="Calibri" w:hAnsi="Calibri" w:cs="Calibri"/>
          <w:lang w:val="en-US"/>
        </w:rPr>
        <w:t>approach</w:t>
      </w:r>
      <w:r w:rsidRPr="004B5A3F">
        <w:rPr>
          <w:rFonts w:ascii="Calibri" w:eastAsia="Calibri" w:hAnsi="Calibri" w:cs="Calibri"/>
          <w:lang w:val="en-US"/>
        </w:rPr>
        <w:t xml:space="preserve"> </w:t>
      </w:r>
      <w:r w:rsidR="004C0526" w:rsidRPr="004B5A3F">
        <w:rPr>
          <w:rFonts w:ascii="Calibri" w:eastAsia="Calibri" w:hAnsi="Calibri" w:cs="Calibri"/>
          <w:lang w:val="en-US"/>
        </w:rPr>
        <w:t>on particular environmental issues (such as</w:t>
      </w:r>
      <w:r w:rsidR="00371898" w:rsidRPr="004B5A3F">
        <w:rPr>
          <w:rFonts w:ascii="Calibri" w:eastAsia="Calibri" w:hAnsi="Calibri" w:cs="Calibri"/>
          <w:lang w:val="en-US"/>
        </w:rPr>
        <w:t xml:space="preserve"> illegal</w:t>
      </w:r>
      <w:r w:rsidR="004C0526" w:rsidRPr="004B5A3F">
        <w:rPr>
          <w:rFonts w:ascii="Calibri" w:eastAsia="Calibri" w:hAnsi="Calibri" w:cs="Calibri"/>
          <w:lang w:val="en-US"/>
        </w:rPr>
        <w:t xml:space="preserve"> land clearing</w:t>
      </w:r>
      <w:r w:rsidR="00E6484C" w:rsidRPr="004B5A3F">
        <w:rPr>
          <w:rFonts w:ascii="Calibri" w:eastAsia="Calibri" w:hAnsi="Calibri" w:cs="Calibri"/>
          <w:lang w:val="en-US"/>
        </w:rPr>
        <w:t xml:space="preserve"> or sea dump</w:t>
      </w:r>
      <w:r w:rsidR="00BE7911" w:rsidRPr="004B5A3F">
        <w:rPr>
          <w:rFonts w:ascii="Calibri" w:eastAsia="Calibri" w:hAnsi="Calibri" w:cs="Calibri"/>
          <w:lang w:val="en-US"/>
        </w:rPr>
        <w:t>i</w:t>
      </w:r>
      <w:r w:rsidR="00E6484C" w:rsidRPr="004B5A3F">
        <w:rPr>
          <w:rFonts w:ascii="Calibri" w:eastAsia="Calibri" w:hAnsi="Calibri" w:cs="Calibri"/>
          <w:lang w:val="en-US"/>
        </w:rPr>
        <w:t>ng</w:t>
      </w:r>
      <w:r w:rsidR="00F401F3" w:rsidRPr="004B5A3F">
        <w:rPr>
          <w:rFonts w:ascii="Calibri" w:eastAsia="Calibri" w:hAnsi="Calibri" w:cs="Calibri"/>
          <w:lang w:val="en-US"/>
        </w:rPr>
        <w:t>) and identif</w:t>
      </w:r>
      <w:r w:rsidR="002E1D6F" w:rsidRPr="004B5A3F">
        <w:rPr>
          <w:rFonts w:ascii="Calibri" w:eastAsia="Calibri" w:hAnsi="Calibri" w:cs="Calibri"/>
          <w:lang w:val="en-US"/>
        </w:rPr>
        <w:t>y</w:t>
      </w:r>
      <w:r w:rsidR="00F401F3" w:rsidRPr="004B5A3F">
        <w:rPr>
          <w:rFonts w:ascii="Calibri" w:eastAsia="Calibri" w:hAnsi="Calibri" w:cs="Calibri"/>
          <w:lang w:val="en-US"/>
        </w:rPr>
        <w:t xml:space="preserve"> the diminution of compliance resources</w:t>
      </w:r>
      <w:r w:rsidR="00BE7911" w:rsidRPr="004B5A3F">
        <w:rPr>
          <w:rFonts w:ascii="Calibri" w:eastAsia="Calibri" w:hAnsi="Calibri" w:cs="Calibri"/>
          <w:lang w:val="en-US"/>
        </w:rPr>
        <w:t xml:space="preserve"> and </w:t>
      </w:r>
      <w:r w:rsidR="000D05AB" w:rsidRPr="004B5A3F">
        <w:rPr>
          <w:rFonts w:ascii="Calibri" w:eastAsia="Calibri" w:hAnsi="Calibri" w:cs="Calibri"/>
          <w:lang w:val="en-US"/>
        </w:rPr>
        <w:t>lack of transparency</w:t>
      </w:r>
      <w:r w:rsidR="00F401F3" w:rsidRPr="004B5A3F">
        <w:rPr>
          <w:rFonts w:ascii="Calibri" w:eastAsia="Calibri" w:hAnsi="Calibri" w:cs="Calibri"/>
          <w:lang w:val="en-US"/>
        </w:rPr>
        <w:t xml:space="preserve"> as</w:t>
      </w:r>
      <w:r w:rsidR="000D05AB" w:rsidRPr="004B5A3F">
        <w:rPr>
          <w:rFonts w:ascii="Calibri" w:eastAsia="Calibri" w:hAnsi="Calibri" w:cs="Calibri"/>
          <w:lang w:val="en-US"/>
        </w:rPr>
        <w:t xml:space="preserve"> </w:t>
      </w:r>
      <w:r w:rsidR="00F401F3" w:rsidRPr="004B5A3F">
        <w:rPr>
          <w:rFonts w:ascii="Calibri" w:eastAsia="Calibri" w:hAnsi="Calibri" w:cs="Calibri"/>
          <w:lang w:val="en-US"/>
        </w:rPr>
        <w:t xml:space="preserve">major </w:t>
      </w:r>
      <w:r w:rsidR="00781303" w:rsidRPr="004B5A3F">
        <w:rPr>
          <w:rFonts w:ascii="Calibri" w:eastAsia="Calibri" w:hAnsi="Calibri" w:cs="Calibri"/>
          <w:lang w:val="en-US"/>
        </w:rPr>
        <w:t>impediments</w:t>
      </w:r>
      <w:r w:rsidR="005C0D33" w:rsidRPr="004B5A3F">
        <w:rPr>
          <w:rFonts w:ascii="Calibri" w:eastAsia="Calibri" w:hAnsi="Calibri" w:cs="Calibri"/>
          <w:lang w:val="en-US"/>
        </w:rPr>
        <w:t xml:space="preserve"> to achieving</w:t>
      </w:r>
      <w:r w:rsidR="00172944" w:rsidRPr="004B5A3F">
        <w:rPr>
          <w:rFonts w:ascii="Calibri" w:eastAsia="Calibri" w:hAnsi="Calibri" w:cs="Calibri"/>
          <w:lang w:val="en-US"/>
        </w:rPr>
        <w:t xml:space="preserve"> better</w:t>
      </w:r>
      <w:r w:rsidR="005C0D33" w:rsidRPr="004B5A3F">
        <w:rPr>
          <w:rFonts w:ascii="Calibri" w:eastAsia="Calibri" w:hAnsi="Calibri" w:cs="Calibri"/>
          <w:lang w:val="en-US"/>
        </w:rPr>
        <w:t xml:space="preserve"> compliance.</w:t>
      </w:r>
    </w:p>
    <w:p w14:paraId="4DB5A66C" w14:textId="65A582FA" w:rsidR="0D9EDE59" w:rsidRPr="004B5A3F" w:rsidRDefault="0D9EDE59" w:rsidP="004B5A3F">
      <w:pPr>
        <w:ind w:left="360"/>
        <w:rPr>
          <w:rFonts w:ascii="Calibri" w:eastAsia="Calibri" w:hAnsi="Calibri" w:cs="Calibri"/>
          <w:lang w:val="en-US"/>
        </w:rPr>
      </w:pPr>
      <w:r w:rsidRPr="004B5A3F">
        <w:rPr>
          <w:rFonts w:ascii="Calibri" w:eastAsia="Calibri" w:hAnsi="Calibri" w:cs="Calibri"/>
          <w:lang w:val="en-US"/>
        </w:rPr>
        <w:t xml:space="preserve">In terms of prioritisation, community groups recommend greater thought be given to targeting relevant regulatory tools to the environmental harm being managed. </w:t>
      </w:r>
      <w:r w:rsidR="0051359D" w:rsidRPr="004B5A3F">
        <w:rPr>
          <w:rFonts w:ascii="Calibri" w:eastAsia="Calibri" w:hAnsi="Calibri" w:cs="Calibri"/>
          <w:lang w:val="en-US"/>
        </w:rPr>
        <w:t>They note that i</w:t>
      </w:r>
      <w:r w:rsidRPr="004B5A3F">
        <w:rPr>
          <w:rFonts w:ascii="Calibri" w:eastAsia="Calibri" w:hAnsi="Calibri" w:cs="Calibri"/>
          <w:lang w:val="en-US"/>
        </w:rPr>
        <w:t>nconsistent or patchy use of regulatory tools creates reputational risk for the Department. They recommend stronger partnerships be developed with other agencies, such as those with greater capability in geospatial imaging or other sources of intelligence.</w:t>
      </w:r>
    </w:p>
    <w:p w14:paraId="424A5D94" w14:textId="25F04D6B" w:rsidR="0076564C" w:rsidRPr="004B5A3F" w:rsidRDefault="0D9EDE59" w:rsidP="004B5A3F">
      <w:pPr>
        <w:ind w:left="360"/>
        <w:rPr>
          <w:lang w:val="en-US"/>
        </w:rPr>
      </w:pPr>
      <w:r w:rsidRPr="004B5A3F">
        <w:rPr>
          <w:rFonts w:ascii="Calibri" w:eastAsia="Calibri" w:hAnsi="Calibri" w:cs="Calibri"/>
          <w:lang w:val="en-US"/>
        </w:rPr>
        <w:t>Even if certain Commonwealth compliance functions (such as site inspections) are devolved to states and territories, community-based groups note that there will still be a need for a strong Commonwealth compliance presence. Such devolution should not result in a reduction in resources for Commonwealth compliance activities</w:t>
      </w:r>
      <w:r w:rsidR="007E5493" w:rsidRPr="004B5A3F">
        <w:rPr>
          <w:rFonts w:ascii="Calibri" w:eastAsia="Calibri" w:hAnsi="Calibri" w:cs="Calibri"/>
          <w:lang w:val="en-US"/>
        </w:rPr>
        <w:t xml:space="preserve"> - </w:t>
      </w:r>
      <w:r w:rsidRPr="004B5A3F">
        <w:rPr>
          <w:rFonts w:ascii="Calibri" w:eastAsia="Calibri" w:hAnsi="Calibri" w:cs="Calibri"/>
          <w:lang w:val="en-US"/>
        </w:rPr>
        <w:t xml:space="preserve">they feel that </w:t>
      </w:r>
      <w:r w:rsidR="0F68CDA5" w:rsidRPr="004B5A3F">
        <w:rPr>
          <w:rFonts w:ascii="Calibri" w:eastAsia="Calibri" w:hAnsi="Calibri" w:cs="Calibri"/>
          <w:lang w:val="en-US"/>
        </w:rPr>
        <w:t xml:space="preserve">Matters of National Environmental Significance are </w:t>
      </w:r>
      <w:r w:rsidR="000C2729" w:rsidRPr="004B5A3F">
        <w:rPr>
          <w:rFonts w:ascii="Calibri" w:eastAsia="Calibri" w:hAnsi="Calibri" w:cs="Calibri"/>
          <w:lang w:val="en-US"/>
        </w:rPr>
        <w:t xml:space="preserve">already </w:t>
      </w:r>
      <w:r w:rsidR="0F68CDA5" w:rsidRPr="004B5A3F">
        <w:rPr>
          <w:rFonts w:ascii="Calibri" w:eastAsia="Calibri" w:hAnsi="Calibri" w:cs="Calibri"/>
          <w:lang w:val="en-US"/>
        </w:rPr>
        <w:t xml:space="preserve">underdone </w:t>
      </w:r>
      <w:r w:rsidR="000C2729" w:rsidRPr="004B5A3F">
        <w:rPr>
          <w:rFonts w:ascii="Calibri" w:eastAsia="Calibri" w:hAnsi="Calibri" w:cs="Calibri"/>
          <w:lang w:val="en-US"/>
        </w:rPr>
        <w:t xml:space="preserve">from a compliance perspective </w:t>
      </w:r>
      <w:r w:rsidR="0F68CDA5" w:rsidRPr="004B5A3F">
        <w:rPr>
          <w:rFonts w:ascii="Calibri" w:eastAsia="Calibri" w:hAnsi="Calibri" w:cs="Calibri"/>
          <w:lang w:val="en-US"/>
        </w:rPr>
        <w:t xml:space="preserve">as </w:t>
      </w:r>
      <w:r w:rsidR="005C5225" w:rsidRPr="004B5A3F">
        <w:rPr>
          <w:rFonts w:ascii="Calibri" w:eastAsia="Calibri" w:hAnsi="Calibri" w:cs="Calibri"/>
          <w:lang w:val="en-US"/>
        </w:rPr>
        <w:t xml:space="preserve">enforcement action in </w:t>
      </w:r>
      <w:r w:rsidRPr="004B5A3F">
        <w:rPr>
          <w:rFonts w:ascii="Calibri" w:eastAsia="Calibri" w:hAnsi="Calibri" w:cs="Calibri"/>
          <w:lang w:val="en-US"/>
        </w:rPr>
        <w:t xml:space="preserve">these areas </w:t>
      </w:r>
      <w:r w:rsidR="003824DE" w:rsidRPr="004B5A3F">
        <w:rPr>
          <w:rFonts w:ascii="Calibri" w:eastAsia="Calibri" w:hAnsi="Calibri" w:cs="Calibri"/>
          <w:lang w:val="en-US"/>
        </w:rPr>
        <w:t>is</w:t>
      </w:r>
      <w:r w:rsidRPr="004B5A3F">
        <w:rPr>
          <w:rFonts w:ascii="Calibri" w:eastAsia="Calibri" w:hAnsi="Calibri" w:cs="Calibri"/>
          <w:lang w:val="en-US"/>
        </w:rPr>
        <w:t xml:space="preserve"> significantly under-resourced and ineffectual.</w:t>
      </w:r>
    </w:p>
    <w:p w14:paraId="27682289" w14:textId="75758EBE" w:rsidR="08FCCFA6" w:rsidRPr="004B5A3F" w:rsidRDefault="08FCCFA6" w:rsidP="004B5A3F">
      <w:pPr>
        <w:ind w:left="360"/>
        <w:rPr>
          <w:lang w:val="en-US"/>
        </w:rPr>
      </w:pPr>
      <w:r w:rsidRPr="004B5A3F">
        <w:rPr>
          <w:rFonts w:ascii="Calibri" w:eastAsia="Calibri" w:hAnsi="Calibri" w:cs="Calibri"/>
          <w:lang w:val="en-US"/>
        </w:rPr>
        <w:t xml:space="preserve">Community organisations </w:t>
      </w:r>
      <w:r w:rsidR="00C542A4" w:rsidRPr="004B5A3F">
        <w:rPr>
          <w:rFonts w:ascii="Calibri" w:eastAsia="Calibri" w:hAnsi="Calibri" w:cs="Calibri"/>
          <w:lang w:val="en-US"/>
        </w:rPr>
        <w:t>note</w:t>
      </w:r>
      <w:r w:rsidRPr="004B5A3F">
        <w:rPr>
          <w:rFonts w:ascii="Calibri" w:eastAsia="Calibri" w:hAnsi="Calibri" w:cs="Calibri"/>
          <w:lang w:val="en-US"/>
        </w:rPr>
        <w:t xml:space="preserve"> the need for better data and the need for further investment in systems to provide </w:t>
      </w:r>
      <w:r w:rsidR="6AA8EA62" w:rsidRPr="004B5A3F">
        <w:rPr>
          <w:rFonts w:ascii="Calibri" w:eastAsia="Calibri" w:hAnsi="Calibri" w:cs="Calibri"/>
          <w:lang w:val="en-US"/>
        </w:rPr>
        <w:t xml:space="preserve">more </w:t>
      </w:r>
      <w:r w:rsidR="007E5493" w:rsidRPr="004B5A3F">
        <w:rPr>
          <w:rFonts w:ascii="Calibri" w:eastAsia="Calibri" w:hAnsi="Calibri" w:cs="Calibri"/>
          <w:lang w:val="en-US"/>
        </w:rPr>
        <w:t>targeted</w:t>
      </w:r>
      <w:r w:rsidRPr="004B5A3F">
        <w:rPr>
          <w:rFonts w:ascii="Calibri" w:eastAsia="Calibri" w:hAnsi="Calibri" w:cs="Calibri"/>
          <w:lang w:val="en-US"/>
        </w:rPr>
        <w:t xml:space="preserve"> response</w:t>
      </w:r>
      <w:r w:rsidR="4C7EE31C" w:rsidRPr="004B5A3F">
        <w:rPr>
          <w:rFonts w:ascii="Calibri" w:eastAsia="Calibri" w:hAnsi="Calibri" w:cs="Calibri"/>
          <w:lang w:val="en-US"/>
        </w:rPr>
        <w:t>s</w:t>
      </w:r>
      <w:r w:rsidRPr="004B5A3F">
        <w:rPr>
          <w:rFonts w:ascii="Calibri" w:eastAsia="Calibri" w:hAnsi="Calibri" w:cs="Calibri"/>
          <w:lang w:val="en-US"/>
        </w:rPr>
        <w:t xml:space="preserve"> and </w:t>
      </w:r>
      <w:r w:rsidR="0CDBF84C" w:rsidRPr="004B5A3F">
        <w:rPr>
          <w:rFonts w:ascii="Calibri" w:eastAsia="Calibri" w:hAnsi="Calibri" w:cs="Calibri"/>
          <w:lang w:val="en-US"/>
        </w:rPr>
        <w:t xml:space="preserve">increase the </w:t>
      </w:r>
      <w:r w:rsidRPr="004B5A3F">
        <w:rPr>
          <w:rFonts w:ascii="Calibri" w:eastAsia="Calibri" w:hAnsi="Calibri" w:cs="Calibri"/>
          <w:lang w:val="en-US"/>
        </w:rPr>
        <w:t>analytical capability</w:t>
      </w:r>
      <w:r w:rsidR="00224613" w:rsidRPr="004B5A3F">
        <w:rPr>
          <w:rFonts w:ascii="Calibri" w:eastAsia="Calibri" w:hAnsi="Calibri" w:cs="Calibri"/>
          <w:lang w:val="en-US"/>
        </w:rPr>
        <w:t xml:space="preserve"> at a national level</w:t>
      </w:r>
      <w:r w:rsidRPr="004B5A3F">
        <w:rPr>
          <w:rFonts w:ascii="Calibri" w:eastAsia="Calibri" w:hAnsi="Calibri" w:cs="Calibri"/>
          <w:lang w:val="en-US"/>
        </w:rPr>
        <w:t xml:space="preserve">. They suggest that better data would help to </w:t>
      </w:r>
      <w:r w:rsidR="1D59DBF2" w:rsidRPr="004B5A3F">
        <w:rPr>
          <w:rFonts w:ascii="Calibri" w:eastAsia="Calibri" w:hAnsi="Calibri" w:cs="Calibri"/>
          <w:lang w:val="en-US"/>
        </w:rPr>
        <w:t>understand the size of the problems</w:t>
      </w:r>
      <w:r w:rsidR="003435B2" w:rsidRPr="004B5A3F">
        <w:rPr>
          <w:rFonts w:ascii="Calibri" w:eastAsia="Calibri" w:hAnsi="Calibri" w:cs="Calibri"/>
          <w:lang w:val="en-US"/>
        </w:rPr>
        <w:t>,</w:t>
      </w:r>
      <w:r w:rsidR="1D59DBF2" w:rsidRPr="004B5A3F">
        <w:rPr>
          <w:rFonts w:ascii="Calibri" w:eastAsia="Calibri" w:hAnsi="Calibri" w:cs="Calibri"/>
          <w:lang w:val="en-US"/>
        </w:rPr>
        <w:t xml:space="preserve"> including through greater</w:t>
      </w:r>
      <w:r w:rsidR="001837FE" w:rsidRPr="004B5A3F">
        <w:rPr>
          <w:rFonts w:ascii="Calibri" w:eastAsia="Calibri" w:hAnsi="Calibri" w:cs="Calibri"/>
          <w:lang w:val="en-US"/>
        </w:rPr>
        <w:t xml:space="preserve"> proactive</w:t>
      </w:r>
      <w:r w:rsidR="1D59DBF2" w:rsidRPr="004B5A3F">
        <w:rPr>
          <w:rFonts w:ascii="Calibri" w:eastAsia="Calibri" w:hAnsi="Calibri" w:cs="Calibri"/>
          <w:lang w:val="en-US"/>
        </w:rPr>
        <w:t xml:space="preserve"> use of satellite </w:t>
      </w:r>
      <w:r w:rsidR="003435B2" w:rsidRPr="004B5A3F">
        <w:rPr>
          <w:rFonts w:ascii="Calibri" w:eastAsia="Calibri" w:hAnsi="Calibri" w:cs="Calibri"/>
          <w:lang w:val="en-US"/>
        </w:rPr>
        <w:t>surveillance</w:t>
      </w:r>
      <w:r w:rsidR="1D59DBF2" w:rsidRPr="004B5A3F">
        <w:rPr>
          <w:rFonts w:ascii="Calibri" w:eastAsia="Calibri" w:hAnsi="Calibri" w:cs="Calibri"/>
          <w:lang w:val="en-US"/>
        </w:rPr>
        <w:t>.</w:t>
      </w:r>
    </w:p>
    <w:p w14:paraId="2E7BD0FC" w14:textId="2AE81D2C" w:rsidR="0D9EDE59" w:rsidRDefault="0D9EDE59" w:rsidP="004B5A3F">
      <w:pPr>
        <w:pStyle w:val="Heading3"/>
        <w:ind w:left="360"/>
        <w:rPr>
          <w:rFonts w:ascii="Calibri Light" w:eastAsia="Yu Gothic Light" w:hAnsi="Calibri Light" w:cs="Times New Roman"/>
          <w:color w:val="1F3763"/>
          <w:lang w:val="en-US"/>
        </w:rPr>
      </w:pPr>
      <w:bookmarkStart w:id="37" w:name="_Toc72504386"/>
      <w:r w:rsidRPr="761DF7AD">
        <w:rPr>
          <w:lang w:val="en-US"/>
        </w:rPr>
        <w:lastRenderedPageBreak/>
        <w:t>Industry</w:t>
      </w:r>
      <w:bookmarkEnd w:id="37"/>
    </w:p>
    <w:p w14:paraId="344B891B" w14:textId="48A04AE2" w:rsidR="0D9EDE59" w:rsidRDefault="0D9EDE59" w:rsidP="004B5A3F">
      <w:pPr>
        <w:ind w:left="360"/>
      </w:pPr>
      <w:r w:rsidRPr="004B5A3F">
        <w:rPr>
          <w:rFonts w:ascii="Calibri" w:eastAsia="Calibri" w:hAnsi="Calibri" w:cs="Calibri"/>
          <w:lang w:val="en-US"/>
        </w:rPr>
        <w:t>Industry associations recognise that a compliance framework that includes education, monitoring and enforcement is critical to maintain community confidence that the environment is being appropriately protected. To manage this process effectively, industry recognises that the Department needs sufficient resources to undertake meaningful compliance activities.</w:t>
      </w:r>
    </w:p>
    <w:p w14:paraId="1327F147" w14:textId="0FD739C1" w:rsidR="0D9EDE59" w:rsidRPr="004B5A3F" w:rsidRDefault="00053586" w:rsidP="004B5A3F">
      <w:pPr>
        <w:ind w:left="360"/>
        <w:rPr>
          <w:rFonts w:ascii="Calibri" w:eastAsia="Calibri" w:hAnsi="Calibri" w:cs="Calibri"/>
          <w:lang w:val="en-US"/>
        </w:rPr>
      </w:pPr>
      <w:r>
        <w:rPr>
          <w:rFonts w:ascii="Calibri" w:eastAsia="Calibri" w:hAnsi="Calibri" w:cs="Calibri"/>
          <w:lang w:val="en-US"/>
        </w:rPr>
        <w:t>I</w:t>
      </w:r>
      <w:r w:rsidR="0D9EDE59" w:rsidRPr="004B5A3F">
        <w:rPr>
          <w:rFonts w:ascii="Calibri" w:eastAsia="Calibri" w:hAnsi="Calibri" w:cs="Calibri"/>
          <w:lang w:val="en-US"/>
        </w:rPr>
        <w:t xml:space="preserve">ndustry is concerned that </w:t>
      </w:r>
      <w:r w:rsidR="005D6A92">
        <w:rPr>
          <w:rFonts w:ascii="Calibri" w:eastAsia="Calibri" w:hAnsi="Calibri" w:cs="Calibri"/>
          <w:lang w:val="en-US"/>
        </w:rPr>
        <w:t>some</w:t>
      </w:r>
      <w:r w:rsidR="0D9EDE59" w:rsidRPr="004B5A3F">
        <w:rPr>
          <w:rFonts w:ascii="Calibri" w:eastAsia="Calibri" w:hAnsi="Calibri" w:cs="Calibri"/>
          <w:lang w:val="en-US"/>
        </w:rPr>
        <w:t xml:space="preserve"> activities detrimental to the environment are escaping the net</w:t>
      </w:r>
      <w:r w:rsidR="002851E7">
        <w:rPr>
          <w:rFonts w:ascii="Calibri" w:eastAsia="Calibri" w:hAnsi="Calibri" w:cs="Calibri"/>
          <w:lang w:val="en-US"/>
        </w:rPr>
        <w:t>, while other sectors seem disproportionately targeted</w:t>
      </w:r>
      <w:r w:rsidR="0D9EDE59" w:rsidRPr="004B5A3F">
        <w:rPr>
          <w:rFonts w:ascii="Calibri" w:eastAsia="Calibri" w:hAnsi="Calibri" w:cs="Calibri"/>
          <w:lang w:val="en-US"/>
        </w:rPr>
        <w:t xml:space="preserve">. The agricultural sector in particular notes a disconnect between legislative requirements and people’s understanding of their obligations, and confusion caused by different frameworks that apply in both Commonwealth and State legislation. Agricultural stakeholders would prefer to see a ‘whole of landscape’ </w:t>
      </w:r>
      <w:r w:rsidR="0075603E" w:rsidRPr="004B5A3F">
        <w:rPr>
          <w:rFonts w:ascii="Calibri" w:eastAsia="Calibri" w:hAnsi="Calibri" w:cs="Calibri"/>
          <w:lang w:val="en-US"/>
        </w:rPr>
        <w:t xml:space="preserve">approach </w:t>
      </w:r>
      <w:r w:rsidR="0D9EDE59" w:rsidRPr="004B5A3F">
        <w:rPr>
          <w:rFonts w:ascii="Calibri" w:eastAsia="Calibri" w:hAnsi="Calibri" w:cs="Calibri"/>
          <w:lang w:val="en-US"/>
        </w:rPr>
        <w:t xml:space="preserve">with closer links between the Department and </w:t>
      </w:r>
      <w:r w:rsidR="0075603E" w:rsidRPr="004B5A3F">
        <w:rPr>
          <w:rFonts w:ascii="Calibri" w:eastAsia="Calibri" w:hAnsi="Calibri" w:cs="Calibri"/>
          <w:lang w:val="en-US"/>
        </w:rPr>
        <w:t>s</w:t>
      </w:r>
      <w:r w:rsidR="0D9EDE59" w:rsidRPr="004B5A3F">
        <w:rPr>
          <w:rFonts w:ascii="Calibri" w:eastAsia="Calibri" w:hAnsi="Calibri" w:cs="Calibri"/>
          <w:lang w:val="en-US"/>
        </w:rPr>
        <w:t xml:space="preserve">tate and regional </w:t>
      </w:r>
      <w:r w:rsidR="004D2407" w:rsidRPr="004B5A3F">
        <w:rPr>
          <w:rFonts w:ascii="Calibri" w:eastAsia="Calibri" w:hAnsi="Calibri" w:cs="Calibri"/>
          <w:lang w:val="en-US"/>
        </w:rPr>
        <w:t>authorities</w:t>
      </w:r>
      <w:r w:rsidR="00F32E17">
        <w:rPr>
          <w:rFonts w:ascii="Calibri" w:eastAsia="Calibri" w:hAnsi="Calibri" w:cs="Calibri"/>
          <w:lang w:val="en-US"/>
        </w:rPr>
        <w:t xml:space="preserve"> so that all relevant information is taken into account</w:t>
      </w:r>
      <w:r w:rsidR="003979CC">
        <w:rPr>
          <w:rFonts w:ascii="Calibri" w:eastAsia="Calibri" w:hAnsi="Calibri" w:cs="Calibri"/>
          <w:lang w:val="en-US"/>
        </w:rPr>
        <w:t xml:space="preserve"> in identifying risks and taking compliance action</w:t>
      </w:r>
      <w:r w:rsidR="004D2407" w:rsidRPr="004B5A3F">
        <w:rPr>
          <w:rFonts w:ascii="Calibri" w:eastAsia="Calibri" w:hAnsi="Calibri" w:cs="Calibri"/>
          <w:lang w:val="en-US"/>
        </w:rPr>
        <w:t>. The</w:t>
      </w:r>
      <w:r w:rsidR="0D9EDE59" w:rsidRPr="004B5A3F">
        <w:rPr>
          <w:rFonts w:ascii="Calibri" w:eastAsia="Calibri" w:hAnsi="Calibri" w:cs="Calibri"/>
          <w:lang w:val="en-US"/>
        </w:rPr>
        <w:t xml:space="preserve"> agriculture sector has struggled in interpreting published guidance and would likely respond with increased engagement where there are clear steps in identifying where intersections with </w:t>
      </w:r>
      <w:r w:rsidR="004D2407" w:rsidRPr="004B5A3F">
        <w:rPr>
          <w:rFonts w:ascii="Calibri" w:eastAsia="Calibri" w:hAnsi="Calibri" w:cs="Calibri"/>
          <w:lang w:val="en-US"/>
        </w:rPr>
        <w:t>Commonwealth</w:t>
      </w:r>
      <w:r w:rsidR="0D9EDE59" w:rsidRPr="004B5A3F">
        <w:rPr>
          <w:rFonts w:ascii="Calibri" w:eastAsia="Calibri" w:hAnsi="Calibri" w:cs="Calibri"/>
          <w:lang w:val="en-US"/>
        </w:rPr>
        <w:t xml:space="preserve"> Acts occur and what precise steps need to be taken.</w:t>
      </w:r>
    </w:p>
    <w:p w14:paraId="07F866F9" w14:textId="33B113FA" w:rsidR="0D9EDE59" w:rsidRPr="004B5A3F" w:rsidRDefault="0D9EDE59" w:rsidP="004B5A3F">
      <w:pPr>
        <w:ind w:left="360"/>
        <w:rPr>
          <w:rFonts w:ascii="Calibri" w:eastAsia="Calibri" w:hAnsi="Calibri" w:cs="Calibri"/>
          <w:lang w:val="en-US"/>
        </w:rPr>
      </w:pPr>
      <w:r w:rsidRPr="004B5A3F">
        <w:rPr>
          <w:rFonts w:ascii="Calibri" w:eastAsia="Calibri" w:hAnsi="Calibri" w:cs="Calibri"/>
          <w:lang w:val="en-US"/>
        </w:rPr>
        <w:t>Industry would prefer a flexible outcomes-based approach to compliance, with a focus on the objectives being sought (priority risks to the environment), rather than a prescriptive rules-based approach. They feel that such an approach would drive continuous quality improvement and innovation, which would lead to better industry practices and therefore a reduced need for punitive compliance action. They feel that the recent ANAO audit report focuses too much on process, rather than outcome.</w:t>
      </w:r>
    </w:p>
    <w:p w14:paraId="7EB72CE0" w14:textId="03A2ED2C" w:rsidR="0D9EDE59" w:rsidRPr="004B5A3F" w:rsidRDefault="0D9EDE59" w:rsidP="004B5A3F">
      <w:pPr>
        <w:ind w:left="360"/>
        <w:rPr>
          <w:rFonts w:ascii="Calibri" w:eastAsia="Calibri" w:hAnsi="Calibri" w:cs="Calibri"/>
          <w:lang w:val="en-US"/>
        </w:rPr>
      </w:pPr>
      <w:r w:rsidRPr="004B5A3F">
        <w:rPr>
          <w:rFonts w:ascii="Calibri" w:eastAsia="Calibri" w:hAnsi="Calibri" w:cs="Calibri"/>
          <w:lang w:val="en-US"/>
        </w:rPr>
        <w:t>A clear exposition of the outcomes expected and what good compliance looks like can be achieved through better communication. They suggest education programs for the regulated community, which could include face-to-face workshops for industry employees. Such workshops would also provide the Department with a better understanding of the regulated industry. This education should continue after a project has been approved, and would be assisted by continuity of Departmental staff involved. In this regard, industry is dissatisfied with the high level of staff turnover in the Department (and in particular the loss of staff with industry knowledge), which creates high costs for industry in educating departmental officials on industry practices.</w:t>
      </w:r>
    </w:p>
    <w:p w14:paraId="7AF762D8" w14:textId="1C716D9B" w:rsidR="0D9EDE59" w:rsidRPr="004B5A3F" w:rsidRDefault="0D9EDE59" w:rsidP="004B5A3F">
      <w:pPr>
        <w:ind w:left="360"/>
        <w:rPr>
          <w:rFonts w:ascii="Calibri" w:eastAsia="Calibri" w:hAnsi="Calibri" w:cs="Calibri"/>
          <w:lang w:val="en-US"/>
        </w:rPr>
      </w:pPr>
      <w:r w:rsidRPr="004B5A3F">
        <w:rPr>
          <w:rFonts w:ascii="Calibri" w:eastAsia="Calibri" w:hAnsi="Calibri" w:cs="Calibri"/>
          <w:lang w:val="en-US"/>
        </w:rPr>
        <w:t xml:space="preserve">Different industry sectors are at different stages of maturity with respect to regulatory compliance, which reinforces the need for the Department to collect better baseline data about a project and a proponent to be able to measure progress in quality improvement. They support a centralised repository of environmental data that is available to everyone. They see no competitive advantage to industry in refusing to share available data, and believe that greater community access to these data would lead to a better understanding of environmental issues, including the outcomes of the project approval process. In order to build trust, members of the community need to understand their rights, and to know where to take any concerns they may have about a </w:t>
      </w:r>
      <w:r w:rsidRPr="004B5A3F">
        <w:rPr>
          <w:rFonts w:ascii="Calibri" w:eastAsia="Calibri" w:hAnsi="Calibri" w:cs="Calibri"/>
          <w:lang w:val="en-US"/>
        </w:rPr>
        <w:lastRenderedPageBreak/>
        <w:t>project. Industry would be happy to partner with the Department in such community education activities.</w:t>
      </w:r>
    </w:p>
    <w:p w14:paraId="24EF68B2" w14:textId="600F7C7C" w:rsidR="0D9EDE59" w:rsidRPr="004B5A3F" w:rsidRDefault="0D9EDE59" w:rsidP="004B5A3F">
      <w:pPr>
        <w:ind w:left="360"/>
        <w:rPr>
          <w:rFonts w:ascii="Calibri" w:eastAsia="Calibri" w:hAnsi="Calibri" w:cs="Calibri"/>
          <w:lang w:val="en-US"/>
        </w:rPr>
      </w:pPr>
      <w:r w:rsidRPr="004B5A3F">
        <w:rPr>
          <w:rFonts w:ascii="Calibri" w:eastAsia="Calibri" w:hAnsi="Calibri" w:cs="Calibri"/>
          <w:lang w:val="en-US"/>
        </w:rPr>
        <w:t>Industry regards project approval as a process that continues for the life of the project, not just at the beginning. Industry feels that the Department generally adopts a very passive approach to compliance, mixed with periods of intense activity.</w:t>
      </w:r>
    </w:p>
    <w:p w14:paraId="7AB9700C" w14:textId="7CBA3F52" w:rsidR="0D9EDE59" w:rsidRPr="004B5A3F" w:rsidRDefault="0D9EDE59" w:rsidP="004B5A3F">
      <w:pPr>
        <w:ind w:left="360"/>
        <w:rPr>
          <w:rFonts w:ascii="Calibri" w:eastAsia="Calibri" w:hAnsi="Calibri" w:cs="Calibri"/>
          <w:lang w:val="en-US"/>
        </w:rPr>
      </w:pPr>
      <w:r w:rsidRPr="004B5A3F">
        <w:rPr>
          <w:rFonts w:ascii="Calibri" w:eastAsia="Calibri" w:hAnsi="Calibri" w:cs="Calibri"/>
          <w:lang w:val="en-US"/>
        </w:rPr>
        <w:t>Industry representatives feel that there are clear synergies between compliance activities conducted by the Department and those conducted by state or territory agencies, and support a closer partnership approach between different levels of Government.</w:t>
      </w:r>
      <w:r w:rsidR="008A53B3" w:rsidRPr="004B5A3F">
        <w:rPr>
          <w:rFonts w:ascii="Calibri" w:eastAsia="Calibri" w:hAnsi="Calibri" w:cs="Calibri"/>
          <w:lang w:val="en-US"/>
        </w:rPr>
        <w:br w:type="page"/>
      </w:r>
    </w:p>
    <w:p w14:paraId="2008747A" w14:textId="576F99DE" w:rsidR="00E11D20" w:rsidRDefault="00E66104" w:rsidP="00A54BB9">
      <w:pPr>
        <w:pStyle w:val="Heading1"/>
        <w:rPr>
          <w:lang w:val="en-US"/>
        </w:rPr>
      </w:pPr>
      <w:bookmarkStart w:id="38" w:name="_Toc72504387"/>
      <w:r>
        <w:rPr>
          <w:lang w:val="en-US"/>
        </w:rPr>
        <w:lastRenderedPageBreak/>
        <w:t>Addressing</w:t>
      </w:r>
      <w:r w:rsidR="002D04F5">
        <w:rPr>
          <w:lang w:val="en-US"/>
        </w:rPr>
        <w:t xml:space="preserve"> c</w:t>
      </w:r>
      <w:r w:rsidR="5424598D" w:rsidRPr="614575A4">
        <w:rPr>
          <w:lang w:val="en-US"/>
        </w:rPr>
        <w:t xml:space="preserve">ompliance </w:t>
      </w:r>
      <w:r w:rsidR="002D04F5">
        <w:rPr>
          <w:lang w:val="en-US"/>
        </w:rPr>
        <w:t>r</w:t>
      </w:r>
      <w:r w:rsidR="5424598D" w:rsidRPr="614575A4">
        <w:rPr>
          <w:lang w:val="en-US"/>
        </w:rPr>
        <w:t>isks</w:t>
      </w:r>
      <w:r w:rsidR="760110F0" w:rsidRPr="2750CF67">
        <w:rPr>
          <w:lang w:val="en-US"/>
        </w:rPr>
        <w:t xml:space="preserve"> and </w:t>
      </w:r>
      <w:r w:rsidR="002D04F5">
        <w:rPr>
          <w:lang w:val="en-US"/>
        </w:rPr>
        <w:t>g</w:t>
      </w:r>
      <w:r w:rsidR="760110F0" w:rsidRPr="2750CF67">
        <w:rPr>
          <w:lang w:val="en-US"/>
        </w:rPr>
        <w:t>aps</w:t>
      </w:r>
      <w:bookmarkEnd w:id="38"/>
    </w:p>
    <w:p w14:paraId="1F360D8D" w14:textId="6318E663" w:rsidR="005B4555" w:rsidRPr="005B4555" w:rsidRDefault="005B4555" w:rsidP="005B4555">
      <w:pPr>
        <w:rPr>
          <w:lang w:val="en-US"/>
        </w:rPr>
      </w:pPr>
      <w:r>
        <w:rPr>
          <w:lang w:val="en-US"/>
        </w:rPr>
        <w:t>A</w:t>
      </w:r>
      <w:r w:rsidRPr="005B4555">
        <w:rPr>
          <w:lang w:val="en-US"/>
        </w:rPr>
        <w:t>ssuring compliance with Commonwealth environmental legislation is an important aspect not only of protecting the Australian environment, but also increasing community confidence in the Department as a regulator.</w:t>
      </w:r>
    </w:p>
    <w:p w14:paraId="3A01C527" w14:textId="3AFF988A" w:rsidR="007607C2" w:rsidRDefault="5D50A90A" w:rsidP="7327ADDC">
      <w:pPr>
        <w:rPr>
          <w:lang w:val="en-US"/>
        </w:rPr>
      </w:pPr>
      <w:r w:rsidRPr="7327ADDC">
        <w:rPr>
          <w:lang w:val="en-US"/>
        </w:rPr>
        <w:t xml:space="preserve">Following extensive internal and external consultation and an analysis of relevant documents, the Review has found that the Department’s environmental compliance function needs </w:t>
      </w:r>
      <w:r w:rsidR="006C4AA5">
        <w:rPr>
          <w:lang w:val="en-US"/>
        </w:rPr>
        <w:t xml:space="preserve">investment and </w:t>
      </w:r>
      <w:r w:rsidRPr="7327ADDC">
        <w:rPr>
          <w:lang w:val="en-US"/>
        </w:rPr>
        <w:t>reform to be able to assess and prioritise risks to the environment arising from any non-compliance with statutory requirements.</w:t>
      </w:r>
    </w:p>
    <w:p w14:paraId="702FA080" w14:textId="6003D51B" w:rsidR="00FC0EAF" w:rsidRDefault="000C73B7" w:rsidP="00FC0EAF">
      <w:pPr>
        <w:rPr>
          <w:lang w:val="en-US"/>
        </w:rPr>
      </w:pPr>
      <w:r w:rsidRPr="7327ADDC">
        <w:rPr>
          <w:lang w:val="en-US"/>
        </w:rPr>
        <w:t>Although</w:t>
      </w:r>
      <w:r w:rsidR="5D50A90A" w:rsidRPr="7327ADDC">
        <w:rPr>
          <w:lang w:val="en-US"/>
        </w:rPr>
        <w:t xml:space="preserve"> </w:t>
      </w:r>
      <w:r w:rsidR="006E2473">
        <w:rPr>
          <w:lang w:val="en-US"/>
        </w:rPr>
        <w:t>EC</w:t>
      </w:r>
      <w:r w:rsidR="00F37787">
        <w:rPr>
          <w:lang w:val="en-US"/>
        </w:rPr>
        <w:t>B’s</w:t>
      </w:r>
      <w:r w:rsidR="5D50A90A" w:rsidRPr="7327ADDC">
        <w:rPr>
          <w:lang w:val="en-US"/>
        </w:rPr>
        <w:t xml:space="preserve"> dedicated and expert staff have been doing their best to address non-compliance regarding some statutory requirements, including implementing recommendations from a 2014-15 ANAO audit</w:t>
      </w:r>
      <w:r w:rsidR="00F37787">
        <w:rPr>
          <w:lang w:val="en-US"/>
        </w:rPr>
        <w:t xml:space="preserve"> report</w:t>
      </w:r>
      <w:r w:rsidR="5D50A90A" w:rsidRPr="7327ADDC">
        <w:rPr>
          <w:lang w:val="en-US"/>
        </w:rPr>
        <w:t>, the level of available resources has been diminishing, and data</w:t>
      </w:r>
      <w:r w:rsidR="000774BD">
        <w:rPr>
          <w:lang w:val="en-US"/>
        </w:rPr>
        <w:t xml:space="preserve"> and intelligence</w:t>
      </w:r>
      <w:r w:rsidR="5D50A90A" w:rsidRPr="7327ADDC">
        <w:rPr>
          <w:lang w:val="en-US"/>
        </w:rPr>
        <w:t xml:space="preserve"> that are necessary to allow a fully effective regulatory regime to operate effectively are not readily available.</w:t>
      </w:r>
      <w:r w:rsidR="003747F7" w:rsidRPr="003747F7">
        <w:rPr>
          <w:lang w:val="en-US"/>
        </w:rPr>
        <w:t xml:space="preserve"> </w:t>
      </w:r>
      <w:r w:rsidR="003747F7" w:rsidRPr="7327ADDC">
        <w:rPr>
          <w:lang w:val="en-US"/>
        </w:rPr>
        <w:t>Further to this, the current departmental structure has resulted in environmental compliance teams becoming siloed and their links back into the program areas are faltering resulting in an inconsistent, reactive and diminishing set of compliance activities.</w:t>
      </w:r>
    </w:p>
    <w:p w14:paraId="61EAA79B" w14:textId="77777777" w:rsidR="00C16E33" w:rsidRDefault="00C16E33" w:rsidP="00C16E33">
      <w:pPr>
        <w:rPr>
          <w:lang w:val="en-US"/>
        </w:rPr>
      </w:pPr>
      <w:r>
        <w:rPr>
          <w:lang w:val="en-US"/>
        </w:rPr>
        <w:t>Currently, different sections in ECB focus on different parts of the EPBC Act and other legislation, as illustrated in the following diagram:</w:t>
      </w:r>
    </w:p>
    <w:p w14:paraId="022CD2EF" w14:textId="77777777" w:rsidR="00C16E33" w:rsidRDefault="00C16E33" w:rsidP="00C16E33">
      <w:pPr>
        <w:rPr>
          <w:lang w:val="en-US"/>
        </w:rPr>
      </w:pPr>
      <w:r>
        <w:rPr>
          <w:noProof/>
        </w:rPr>
        <mc:AlternateContent>
          <mc:Choice Requires="cx1">
            <w:drawing>
              <wp:inline distT="0" distB="0" distL="0" distR="0" wp14:anchorId="0CA4C457" wp14:editId="280CE2D9">
                <wp:extent cx="5731510" cy="4176395"/>
                <wp:effectExtent l="0" t="0" r="2540" b="14605"/>
                <wp:docPr id="3" name="Chart 3">
                  <a:extLst xmlns:a="http://schemas.openxmlformats.org/drawingml/2006/main">
                    <a:ext uri="{FF2B5EF4-FFF2-40B4-BE49-F238E27FC236}">
                      <a16:creationId xmlns:a16="http://schemas.microsoft.com/office/drawing/2014/main" id="{D6FEADC5-ABC1-473D-BF19-3D2C0118A232}"/>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1"/>
                  </a:graphicData>
                </a:graphic>
              </wp:inline>
            </w:drawing>
          </mc:Choice>
          <mc:Fallback>
            <w:drawing>
              <wp:inline distT="0" distB="0" distL="0" distR="0" wp14:anchorId="0CA4C457" wp14:editId="280CE2D9">
                <wp:extent cx="5731510" cy="4176395"/>
                <wp:effectExtent l="0" t="0" r="2540" b="14605"/>
                <wp:docPr id="3" name="Chart 3">
                  <a:extLst xmlns:a="http://schemas.openxmlformats.org/drawingml/2006/main">
                    <a:ext uri="{FF2B5EF4-FFF2-40B4-BE49-F238E27FC236}">
                      <a16:creationId xmlns:a16="http://schemas.microsoft.com/office/drawing/2014/main" id="{D6FEADC5-ABC1-473D-BF19-3D2C0118A232}"/>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 name="Chart 3">
                          <a:extLst>
                            <a:ext uri="{FF2B5EF4-FFF2-40B4-BE49-F238E27FC236}">
                              <a16:creationId xmlns:a16="http://schemas.microsoft.com/office/drawing/2014/main" id="{D6FEADC5-ABC1-473D-BF19-3D2C0118A232}"/>
                            </a:ext>
                          </a:extLst>
                        </pic:cNvPr>
                        <pic:cNvPicPr>
                          <a:picLocks noGrp="1" noRot="1" noChangeAspect="1" noMove="1" noResize="1" noEditPoints="1" noAdjustHandles="1" noChangeArrowheads="1" noChangeShapeType="1"/>
                        </pic:cNvPicPr>
                      </pic:nvPicPr>
                      <pic:blipFill>
                        <a:blip r:embed="rId12"/>
                        <a:stretch>
                          <a:fillRect/>
                        </a:stretch>
                      </pic:blipFill>
                      <pic:spPr>
                        <a:xfrm>
                          <a:off x="0" y="0"/>
                          <a:ext cx="5731510" cy="4176395"/>
                        </a:xfrm>
                        <a:prstGeom prst="rect">
                          <a:avLst/>
                        </a:prstGeom>
                      </pic:spPr>
                    </pic:pic>
                  </a:graphicData>
                </a:graphic>
              </wp:inline>
            </w:drawing>
          </mc:Fallback>
        </mc:AlternateContent>
      </w:r>
    </w:p>
    <w:p w14:paraId="0E13508B" w14:textId="77777777" w:rsidR="00C16E33" w:rsidRDefault="00C16E33" w:rsidP="00FC0EAF">
      <w:pPr>
        <w:rPr>
          <w:lang w:val="en-US"/>
        </w:rPr>
      </w:pPr>
    </w:p>
    <w:p w14:paraId="22E6B05B" w14:textId="5C9B6A25" w:rsidR="001035EE" w:rsidRDefault="001035EE" w:rsidP="00A81AE7">
      <w:pPr>
        <w:pStyle w:val="Heading2"/>
        <w:rPr>
          <w:lang w:val="en-US"/>
        </w:rPr>
      </w:pPr>
      <w:bookmarkStart w:id="39" w:name="_Toc72504388"/>
      <w:r>
        <w:rPr>
          <w:lang w:val="en-US"/>
        </w:rPr>
        <w:lastRenderedPageBreak/>
        <w:t>Risks under different legislative regimes</w:t>
      </w:r>
      <w:bookmarkEnd w:id="39"/>
    </w:p>
    <w:p w14:paraId="020E57BC" w14:textId="59DA3316" w:rsidR="0085183B" w:rsidRPr="00FC0EAF" w:rsidRDefault="006F6F4B" w:rsidP="00FC0EAF">
      <w:pPr>
        <w:rPr>
          <w:lang w:val="en-US"/>
        </w:rPr>
      </w:pPr>
      <w:r>
        <w:rPr>
          <w:lang w:val="en-US"/>
        </w:rPr>
        <w:t>The</w:t>
      </w:r>
      <w:r w:rsidR="00A11AC8">
        <w:rPr>
          <w:lang w:val="en-US"/>
        </w:rPr>
        <w:t xml:space="preserve"> </w:t>
      </w:r>
      <w:r>
        <w:rPr>
          <w:lang w:val="en-US"/>
        </w:rPr>
        <w:t xml:space="preserve">Review </w:t>
      </w:r>
      <w:r w:rsidR="00A11AC8">
        <w:rPr>
          <w:lang w:val="en-US"/>
        </w:rPr>
        <w:t xml:space="preserve">identified </w:t>
      </w:r>
      <w:r>
        <w:rPr>
          <w:lang w:val="en-US"/>
        </w:rPr>
        <w:t xml:space="preserve">risks </w:t>
      </w:r>
      <w:r w:rsidR="00A11AC8">
        <w:rPr>
          <w:lang w:val="en-US"/>
        </w:rPr>
        <w:t xml:space="preserve">in respect of each </w:t>
      </w:r>
      <w:r w:rsidR="0016624E">
        <w:rPr>
          <w:lang w:val="en-US"/>
        </w:rPr>
        <w:t xml:space="preserve">of the </w:t>
      </w:r>
      <w:r w:rsidR="002A21B0">
        <w:rPr>
          <w:lang w:val="en-US"/>
        </w:rPr>
        <w:t>environmental</w:t>
      </w:r>
      <w:r w:rsidR="0016624E">
        <w:rPr>
          <w:lang w:val="en-US"/>
        </w:rPr>
        <w:t xml:space="preserve"> Acts as follows:</w:t>
      </w:r>
    </w:p>
    <w:p w14:paraId="0D37514F" w14:textId="6881E064" w:rsidR="00FB6776" w:rsidRDefault="00FB6776" w:rsidP="00FB6776">
      <w:pPr>
        <w:pStyle w:val="Heading3"/>
        <w:rPr>
          <w:szCs w:val="28"/>
          <w:lang w:val="en-US"/>
        </w:rPr>
      </w:pPr>
      <w:bookmarkStart w:id="40" w:name="_Toc72504389"/>
      <w:r w:rsidRPr="761DF7AD">
        <w:rPr>
          <w:i/>
          <w:iCs/>
          <w:lang w:val="en-US"/>
        </w:rPr>
        <w:t>Environment Protection and Biodiversity Conservation Act 1999</w:t>
      </w:r>
      <w:r>
        <w:rPr>
          <w:lang w:val="en-US"/>
        </w:rPr>
        <w:t xml:space="preserve"> (EPBC Act)</w:t>
      </w:r>
      <w:bookmarkEnd w:id="40"/>
      <w:r w:rsidRPr="7571B2C9">
        <w:rPr>
          <w:szCs w:val="28"/>
          <w:lang w:val="en-US"/>
        </w:rPr>
        <w:t xml:space="preserve"> </w:t>
      </w:r>
    </w:p>
    <w:p w14:paraId="1E36FA2D" w14:textId="77777777" w:rsidR="00FB6776" w:rsidRPr="00D778BB" w:rsidRDefault="00FB6776" w:rsidP="00FB6776">
      <w:pPr>
        <w:pStyle w:val="ListParagraph"/>
        <w:numPr>
          <w:ilvl w:val="0"/>
          <w:numId w:val="4"/>
        </w:numPr>
        <w:rPr>
          <w:rFonts w:eastAsiaTheme="minorEastAsia"/>
          <w:lang w:val="en-US"/>
        </w:rPr>
      </w:pPr>
      <w:r>
        <w:rPr>
          <w:lang w:val="en-US"/>
        </w:rPr>
        <w:t>There</w:t>
      </w:r>
      <w:r w:rsidRPr="00D778BB">
        <w:rPr>
          <w:rFonts w:ascii="Calibri" w:eastAsia="Calibri" w:hAnsi="Calibri" w:cs="Calibri"/>
          <w:lang w:val="en-US"/>
        </w:rPr>
        <w:t xml:space="preserve"> has been a rapid decline in on</w:t>
      </w:r>
      <w:r>
        <w:rPr>
          <w:rFonts w:ascii="Calibri" w:eastAsia="Calibri" w:hAnsi="Calibri" w:cs="Calibri"/>
          <w:lang w:val="en-US"/>
        </w:rPr>
        <w:t>-</w:t>
      </w:r>
      <w:r w:rsidRPr="00D778BB">
        <w:rPr>
          <w:rFonts w:ascii="Calibri" w:eastAsia="Calibri" w:hAnsi="Calibri" w:cs="Calibri"/>
          <w:lang w:val="en-US"/>
        </w:rPr>
        <w:t>the</w:t>
      </w:r>
      <w:r>
        <w:rPr>
          <w:rFonts w:ascii="Calibri" w:eastAsia="Calibri" w:hAnsi="Calibri" w:cs="Calibri"/>
          <w:lang w:val="en-US"/>
        </w:rPr>
        <w:t>-</w:t>
      </w:r>
      <w:r w:rsidRPr="00D778BB">
        <w:rPr>
          <w:rFonts w:ascii="Calibri" w:eastAsia="Calibri" w:hAnsi="Calibri" w:cs="Calibri"/>
          <w:lang w:val="en-US"/>
        </w:rPr>
        <w:t>ground compliance activity</w:t>
      </w:r>
      <w:r w:rsidRPr="005E19D9">
        <w:rPr>
          <w:lang w:val="en-US"/>
        </w:rPr>
        <w:t xml:space="preserve"> </w:t>
      </w:r>
      <w:r>
        <w:rPr>
          <w:lang w:val="en-US"/>
        </w:rPr>
        <w:t xml:space="preserve">for the EPBC Act over </w:t>
      </w:r>
      <w:r w:rsidRPr="00D778BB">
        <w:rPr>
          <w:lang w:val="en-US"/>
        </w:rPr>
        <w:t>the l</w:t>
      </w:r>
      <w:r w:rsidRPr="00D778BB">
        <w:rPr>
          <w:rFonts w:ascii="Calibri" w:eastAsia="Calibri" w:hAnsi="Calibri" w:cs="Calibri"/>
          <w:lang w:val="en-US"/>
        </w:rPr>
        <w:t>ast 3 financial years:</w:t>
      </w:r>
    </w:p>
    <w:p w14:paraId="3E2845D9" w14:textId="77777777" w:rsidR="00FB6776" w:rsidRDefault="00FB6776" w:rsidP="00FB6776">
      <w:pPr>
        <w:pStyle w:val="ListParagraph"/>
        <w:numPr>
          <w:ilvl w:val="1"/>
          <w:numId w:val="3"/>
        </w:numPr>
        <w:rPr>
          <w:rFonts w:eastAsiaTheme="minorEastAsia"/>
          <w:lang w:val="en-US"/>
        </w:rPr>
      </w:pPr>
      <w:r w:rsidRPr="2F836E1C">
        <w:rPr>
          <w:rFonts w:ascii="Calibri" w:eastAsia="Calibri" w:hAnsi="Calibri" w:cs="Calibri"/>
          <w:lang w:val="en-US"/>
        </w:rPr>
        <w:t xml:space="preserve">2018 - 2019: 79 </w:t>
      </w:r>
      <w:r>
        <w:rPr>
          <w:rFonts w:ascii="Calibri" w:eastAsia="Calibri" w:hAnsi="Calibri" w:cs="Calibri"/>
          <w:lang w:val="en-US"/>
        </w:rPr>
        <w:t>c</w:t>
      </w:r>
      <w:r w:rsidRPr="2F836E1C">
        <w:rPr>
          <w:rFonts w:ascii="Calibri" w:eastAsia="Calibri" w:hAnsi="Calibri" w:cs="Calibri"/>
          <w:lang w:val="en-US"/>
        </w:rPr>
        <w:t>ompliance site visits</w:t>
      </w:r>
    </w:p>
    <w:p w14:paraId="2A0C63D6" w14:textId="77777777" w:rsidR="00FB6776" w:rsidRDefault="00FB6776" w:rsidP="00FB6776">
      <w:pPr>
        <w:pStyle w:val="ListParagraph"/>
        <w:numPr>
          <w:ilvl w:val="1"/>
          <w:numId w:val="3"/>
        </w:numPr>
        <w:rPr>
          <w:rFonts w:eastAsiaTheme="minorEastAsia"/>
          <w:lang w:val="en-US"/>
        </w:rPr>
      </w:pPr>
      <w:r w:rsidRPr="2F836E1C">
        <w:rPr>
          <w:rFonts w:ascii="Calibri" w:eastAsia="Calibri" w:hAnsi="Calibri" w:cs="Calibri"/>
          <w:lang w:val="en-US"/>
        </w:rPr>
        <w:t xml:space="preserve">2019 - 2020:  8 </w:t>
      </w:r>
      <w:r>
        <w:rPr>
          <w:rFonts w:ascii="Calibri" w:eastAsia="Calibri" w:hAnsi="Calibri" w:cs="Calibri"/>
          <w:lang w:val="en-US"/>
        </w:rPr>
        <w:t>c</w:t>
      </w:r>
      <w:r w:rsidRPr="2F836E1C">
        <w:rPr>
          <w:rFonts w:ascii="Calibri" w:eastAsia="Calibri" w:hAnsi="Calibri" w:cs="Calibri"/>
          <w:lang w:val="en-US"/>
        </w:rPr>
        <w:t xml:space="preserve">ompliance site visits </w:t>
      </w:r>
    </w:p>
    <w:p w14:paraId="385EBF97" w14:textId="4863CF06" w:rsidR="00FB6776" w:rsidRPr="00A83ACC" w:rsidRDefault="00FB6776" w:rsidP="00FB6776">
      <w:pPr>
        <w:pStyle w:val="ListParagraph"/>
        <w:numPr>
          <w:ilvl w:val="1"/>
          <w:numId w:val="3"/>
        </w:numPr>
        <w:rPr>
          <w:rFonts w:eastAsiaTheme="minorEastAsia"/>
          <w:lang w:val="en-US"/>
        </w:rPr>
      </w:pPr>
      <w:r w:rsidRPr="2F836E1C">
        <w:rPr>
          <w:rFonts w:ascii="Calibri" w:eastAsia="Calibri" w:hAnsi="Calibri" w:cs="Calibri"/>
          <w:lang w:val="en-US"/>
        </w:rPr>
        <w:t xml:space="preserve">2020 - 2021:  </w:t>
      </w:r>
      <w:r>
        <w:rPr>
          <w:rFonts w:ascii="Calibri" w:eastAsia="Calibri" w:hAnsi="Calibri" w:cs="Calibri"/>
          <w:lang w:val="en-US"/>
        </w:rPr>
        <w:t>5 c</w:t>
      </w:r>
      <w:r w:rsidRPr="2F836E1C">
        <w:rPr>
          <w:rFonts w:ascii="Calibri" w:eastAsia="Calibri" w:hAnsi="Calibri" w:cs="Calibri"/>
          <w:lang w:val="en-US"/>
        </w:rPr>
        <w:t>ompliance site inspections</w:t>
      </w:r>
    </w:p>
    <w:p w14:paraId="696CB45F" w14:textId="3EAC7857" w:rsidR="00E91CFE" w:rsidRDefault="00DE2C78" w:rsidP="00130C6B">
      <w:pPr>
        <w:pStyle w:val="ListParagraph"/>
        <w:numPr>
          <w:ilvl w:val="0"/>
          <w:numId w:val="3"/>
        </w:numPr>
        <w:rPr>
          <w:lang w:val="en-US"/>
        </w:rPr>
      </w:pPr>
      <w:r w:rsidRPr="00130C6B">
        <w:rPr>
          <w:lang w:val="en-US"/>
        </w:rPr>
        <w:t xml:space="preserve">This has resulted </w:t>
      </w:r>
      <w:r w:rsidR="00130C6B" w:rsidRPr="00130C6B">
        <w:rPr>
          <w:lang w:val="en-US"/>
        </w:rPr>
        <w:t>in only a very small proportion of active projects being directly monitored each year:</w:t>
      </w:r>
    </w:p>
    <w:p w14:paraId="79916A82" w14:textId="77777777" w:rsidR="00130C6B" w:rsidRPr="00130C6B" w:rsidRDefault="00130C6B" w:rsidP="00130C6B">
      <w:pPr>
        <w:pStyle w:val="ListParagraph"/>
        <w:rPr>
          <w:lang w:val="en-US"/>
        </w:rPr>
      </w:pPr>
    </w:p>
    <w:p w14:paraId="616395AA" w14:textId="6F7EC918" w:rsidR="00E91CFE" w:rsidRDefault="00E91CFE" w:rsidP="00E91CFE">
      <w:pPr>
        <w:pStyle w:val="ListParagraph"/>
        <w:rPr>
          <w:rFonts w:eastAsiaTheme="minorEastAsia"/>
          <w:lang w:val="en-US"/>
        </w:rPr>
      </w:pPr>
      <w:r>
        <w:rPr>
          <w:noProof/>
        </w:rPr>
        <w:drawing>
          <wp:inline distT="0" distB="0" distL="0" distR="0" wp14:anchorId="6DF5990C" wp14:editId="6B7068BF">
            <wp:extent cx="4198775" cy="2519265"/>
            <wp:effectExtent l="0" t="0" r="0" b="0"/>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219260" cy="2531556"/>
                    </a:xfrm>
                    <a:prstGeom prst="rect">
                      <a:avLst/>
                    </a:prstGeom>
                  </pic:spPr>
                </pic:pic>
              </a:graphicData>
            </a:graphic>
          </wp:inline>
        </w:drawing>
      </w:r>
    </w:p>
    <w:p w14:paraId="50A6D6D7" w14:textId="2B8CC382" w:rsidR="00E91CFE" w:rsidRDefault="00E91CFE" w:rsidP="00E91CFE">
      <w:pPr>
        <w:pStyle w:val="ListParagraph"/>
        <w:rPr>
          <w:rFonts w:eastAsiaTheme="minorEastAsia"/>
          <w:lang w:val="en-US"/>
        </w:rPr>
      </w:pPr>
    </w:p>
    <w:p w14:paraId="25E8DC33" w14:textId="66CD5D3D" w:rsidR="00FB6776" w:rsidRPr="00FD2EA5" w:rsidRDefault="00FB6776" w:rsidP="00FB6776">
      <w:pPr>
        <w:pStyle w:val="ListParagraph"/>
        <w:numPr>
          <w:ilvl w:val="0"/>
          <w:numId w:val="3"/>
        </w:numPr>
        <w:rPr>
          <w:lang w:val="en-US"/>
        </w:rPr>
      </w:pPr>
      <w:r w:rsidRPr="00FD2EA5">
        <w:rPr>
          <w:lang w:val="en-US"/>
        </w:rPr>
        <w:t>Less than half of the annual compliance reports submitted by proponents under the EPBC Act are now appropriately assessed. Of the 289 annual compliance reports received by the Environment Compliance Branch last year, only 129 were able to be reviewed. Further to this, staff feel that many more reports should have been received, but a lack of accessible data (such as the start date of approved activities) is hampering their ability to undertake the necessary follow-up and any relevant compliance action.</w:t>
      </w:r>
    </w:p>
    <w:p w14:paraId="715449EB" w14:textId="2DFEAE5F" w:rsidR="00FB6776" w:rsidRPr="00FD2EA5" w:rsidRDefault="00B16968" w:rsidP="00FB6776">
      <w:pPr>
        <w:pStyle w:val="ListParagraph"/>
        <w:numPr>
          <w:ilvl w:val="0"/>
          <w:numId w:val="3"/>
        </w:numPr>
        <w:rPr>
          <w:lang w:val="en-US"/>
        </w:rPr>
      </w:pPr>
      <w:r>
        <w:rPr>
          <w:lang w:val="en-US"/>
        </w:rPr>
        <w:t>T</w:t>
      </w:r>
      <w:r w:rsidR="00FB6776" w:rsidRPr="4D4F929A">
        <w:rPr>
          <w:lang w:val="en-US"/>
        </w:rPr>
        <w:t>his reduction in resource has resulted in inadequate scrutiny of annual compliance reports submitted by EPBC Act approval-holders and almost no on-site verification of compliance with conditions of approval</w:t>
      </w:r>
      <w:r w:rsidR="00FD2EA5">
        <w:rPr>
          <w:lang w:val="en-US"/>
        </w:rPr>
        <w:t>:</w:t>
      </w:r>
    </w:p>
    <w:p w14:paraId="45E1E6FD" w14:textId="62967566" w:rsidR="00FD2EA5" w:rsidRDefault="00FD2EA5" w:rsidP="00FD2EA5">
      <w:pPr>
        <w:rPr>
          <w:rFonts w:eastAsiaTheme="minorEastAsia"/>
          <w:lang w:val="en-US"/>
        </w:rPr>
      </w:pPr>
      <w:r>
        <w:rPr>
          <w:noProof/>
        </w:rPr>
        <w:lastRenderedPageBreak/>
        <w:drawing>
          <wp:inline distT="0" distB="0" distL="0" distR="0" wp14:anchorId="4122B32E" wp14:editId="4B203400">
            <wp:extent cx="4268755" cy="2561253"/>
            <wp:effectExtent l="0" t="0" r="0" b="0"/>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282605" cy="2569563"/>
                    </a:xfrm>
                    <a:prstGeom prst="rect">
                      <a:avLst/>
                    </a:prstGeom>
                  </pic:spPr>
                </pic:pic>
              </a:graphicData>
            </a:graphic>
          </wp:inline>
        </w:drawing>
      </w:r>
    </w:p>
    <w:p w14:paraId="0C935727" w14:textId="77777777" w:rsidR="008013FD" w:rsidRPr="008013FD" w:rsidRDefault="008013FD" w:rsidP="008013FD">
      <w:pPr>
        <w:pStyle w:val="ListParagraph"/>
        <w:rPr>
          <w:rFonts w:eastAsiaTheme="minorEastAsia"/>
          <w:lang w:val="en-US"/>
        </w:rPr>
      </w:pPr>
    </w:p>
    <w:p w14:paraId="49A4C1D1" w14:textId="75BA1DE2" w:rsidR="00FB6776" w:rsidRPr="000B09C5" w:rsidRDefault="00B16968" w:rsidP="00FB6776">
      <w:pPr>
        <w:pStyle w:val="ListParagraph"/>
        <w:numPr>
          <w:ilvl w:val="0"/>
          <w:numId w:val="3"/>
        </w:numPr>
        <w:rPr>
          <w:rFonts w:eastAsiaTheme="minorEastAsia"/>
          <w:lang w:val="en-US"/>
        </w:rPr>
      </w:pPr>
      <w:r>
        <w:rPr>
          <w:lang w:val="en-US"/>
        </w:rPr>
        <w:t>T</w:t>
      </w:r>
      <w:r w:rsidR="00FB6776" w:rsidRPr="4D4F929A">
        <w:rPr>
          <w:lang w:val="en-US"/>
        </w:rPr>
        <w:t>o improve statutory timeframe performance in the EPBC Act assessment process, conditions are increasingly being imposed that require post-approval confirmation, which has led to a 25% increase in requests to ECB for comment:</w:t>
      </w:r>
    </w:p>
    <w:p w14:paraId="00196822" w14:textId="77777777" w:rsidR="000B09C5" w:rsidRPr="00FD2EA5" w:rsidRDefault="000B09C5" w:rsidP="000B09C5">
      <w:pPr>
        <w:pStyle w:val="ListParagraph"/>
        <w:rPr>
          <w:rFonts w:eastAsiaTheme="minorEastAsia"/>
          <w:lang w:val="en-US"/>
        </w:rPr>
      </w:pPr>
    </w:p>
    <w:p w14:paraId="134F4A21" w14:textId="19AF99A4" w:rsidR="00FD2EA5" w:rsidRDefault="00096F6E" w:rsidP="00FD2EA5">
      <w:pPr>
        <w:rPr>
          <w:rFonts w:eastAsiaTheme="minorEastAsia"/>
          <w:lang w:val="en-US"/>
        </w:rPr>
      </w:pPr>
      <w:r>
        <w:rPr>
          <w:noProof/>
        </w:rPr>
        <w:drawing>
          <wp:inline distT="0" distB="0" distL="0" distR="0" wp14:anchorId="00A5F5AF" wp14:editId="23CA9BE8">
            <wp:extent cx="4292082" cy="2575249"/>
            <wp:effectExtent l="0" t="0" r="0" b="0"/>
            <wp:docPr id="4"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ar char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318024" cy="2590814"/>
                    </a:xfrm>
                    <a:prstGeom prst="rect">
                      <a:avLst/>
                    </a:prstGeom>
                  </pic:spPr>
                </pic:pic>
              </a:graphicData>
            </a:graphic>
          </wp:inline>
        </w:drawing>
      </w:r>
    </w:p>
    <w:p w14:paraId="01498BA9" w14:textId="77777777" w:rsidR="000B09C5" w:rsidRPr="000B09C5" w:rsidRDefault="000B09C5" w:rsidP="000B09C5">
      <w:pPr>
        <w:pStyle w:val="ListParagraph"/>
        <w:rPr>
          <w:rFonts w:eastAsiaTheme="minorEastAsia"/>
          <w:lang w:val="en-US"/>
        </w:rPr>
      </w:pPr>
    </w:p>
    <w:p w14:paraId="50AC5C18" w14:textId="69BC8BBC" w:rsidR="00FB6776" w:rsidRPr="006E4D19" w:rsidRDefault="00B16968" w:rsidP="00FB6776">
      <w:pPr>
        <w:pStyle w:val="ListParagraph"/>
        <w:numPr>
          <w:ilvl w:val="0"/>
          <w:numId w:val="3"/>
        </w:numPr>
        <w:rPr>
          <w:rFonts w:eastAsiaTheme="minorEastAsia"/>
          <w:lang w:val="en-US"/>
        </w:rPr>
      </w:pPr>
      <w:r>
        <w:rPr>
          <w:lang w:val="en-US"/>
        </w:rPr>
        <w:t>T</w:t>
      </w:r>
      <w:r w:rsidR="00FB6776" w:rsidRPr="4D4F929A">
        <w:rPr>
          <w:lang w:val="en-US"/>
        </w:rPr>
        <w:t xml:space="preserve">here has been </w:t>
      </w:r>
      <w:r w:rsidR="00DB31A3">
        <w:rPr>
          <w:lang w:val="en-US"/>
        </w:rPr>
        <w:t xml:space="preserve">an </w:t>
      </w:r>
      <w:r w:rsidR="00FB6776" w:rsidRPr="4D4F929A">
        <w:rPr>
          <w:lang w:val="en-US"/>
        </w:rPr>
        <w:t xml:space="preserve">increase </w:t>
      </w:r>
      <w:r w:rsidR="00DB31A3">
        <w:rPr>
          <w:lang w:val="en-US"/>
        </w:rPr>
        <w:t>(of around 250%) i</w:t>
      </w:r>
      <w:r w:rsidR="00FB6776" w:rsidRPr="4D4F929A">
        <w:rPr>
          <w:lang w:val="en-US"/>
        </w:rPr>
        <w:t>n the number of allegations of non-compliance with conditions of EPBC Act approval, but only around half of compliance cases are being resolved</w:t>
      </w:r>
      <w:r w:rsidR="00224AC1">
        <w:rPr>
          <w:lang w:val="en-US"/>
        </w:rPr>
        <w:t>:</w:t>
      </w:r>
    </w:p>
    <w:p w14:paraId="3DE4B5ED" w14:textId="67173C76" w:rsidR="006E4D19" w:rsidRDefault="00831EAB" w:rsidP="006E4D19">
      <w:pPr>
        <w:rPr>
          <w:rFonts w:eastAsiaTheme="minorEastAsia"/>
          <w:lang w:val="en-US"/>
        </w:rPr>
      </w:pPr>
      <w:r>
        <w:rPr>
          <w:noProof/>
        </w:rPr>
        <w:lastRenderedPageBreak/>
        <w:drawing>
          <wp:inline distT="0" distB="0" distL="0" distR="0" wp14:anchorId="01777B86" wp14:editId="001FBCF9">
            <wp:extent cx="4253203" cy="2551922"/>
            <wp:effectExtent l="0" t="0" r="0" b="1270"/>
            <wp:docPr id="5" name="Picture 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ar char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264902" cy="2558941"/>
                    </a:xfrm>
                    <a:prstGeom prst="rect">
                      <a:avLst/>
                    </a:prstGeom>
                  </pic:spPr>
                </pic:pic>
              </a:graphicData>
            </a:graphic>
          </wp:inline>
        </w:drawing>
      </w:r>
    </w:p>
    <w:p w14:paraId="58B682BE" w14:textId="1DE3E237" w:rsidR="00D02DB8" w:rsidRDefault="00395629" w:rsidP="006E4D19">
      <w:pPr>
        <w:rPr>
          <w:rFonts w:eastAsiaTheme="minorEastAsia"/>
          <w:lang w:val="en-US"/>
        </w:rPr>
      </w:pPr>
      <w:r>
        <w:rPr>
          <w:noProof/>
        </w:rPr>
        <w:drawing>
          <wp:inline distT="0" distB="0" distL="0" distR="0" wp14:anchorId="4A6A0AC8" wp14:editId="20768D81">
            <wp:extent cx="4253626" cy="2649064"/>
            <wp:effectExtent l="0" t="0" r="0" b="0"/>
            <wp:docPr id="6" name="Picture 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ar char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276022" cy="2663012"/>
                    </a:xfrm>
                    <a:prstGeom prst="rect">
                      <a:avLst/>
                    </a:prstGeom>
                  </pic:spPr>
                </pic:pic>
              </a:graphicData>
            </a:graphic>
          </wp:inline>
        </w:drawing>
      </w:r>
    </w:p>
    <w:p w14:paraId="7F55F781" w14:textId="77777777" w:rsidR="00FB6776" w:rsidRPr="00697C21" w:rsidRDefault="00FB6776" w:rsidP="00FB6776">
      <w:pPr>
        <w:pStyle w:val="ListParagraph"/>
        <w:numPr>
          <w:ilvl w:val="0"/>
          <w:numId w:val="3"/>
        </w:numPr>
        <w:rPr>
          <w:lang w:val="en-US"/>
        </w:rPr>
      </w:pPr>
      <w:r w:rsidRPr="003A63F9">
        <w:rPr>
          <w:rFonts w:ascii="Calibri" w:eastAsia="Calibri" w:hAnsi="Calibri" w:cs="Calibri"/>
          <w:lang w:val="en-US"/>
        </w:rPr>
        <w:t>On average</w:t>
      </w:r>
      <w:r>
        <w:rPr>
          <w:rFonts w:ascii="Calibri" w:eastAsia="Calibri" w:hAnsi="Calibri" w:cs="Calibri"/>
          <w:lang w:val="en-US"/>
        </w:rPr>
        <w:t>,</w:t>
      </w:r>
      <w:r w:rsidRPr="003A63F9">
        <w:rPr>
          <w:rFonts w:ascii="Calibri" w:eastAsia="Calibri" w:hAnsi="Calibri" w:cs="Calibri"/>
          <w:lang w:val="en-US"/>
        </w:rPr>
        <w:t xml:space="preserve"> </w:t>
      </w:r>
      <w:r>
        <w:rPr>
          <w:rFonts w:ascii="Calibri" w:eastAsia="Calibri" w:hAnsi="Calibri" w:cs="Calibri"/>
          <w:lang w:val="en-US"/>
        </w:rPr>
        <w:t>each</w:t>
      </w:r>
      <w:r w:rsidRPr="003A63F9">
        <w:rPr>
          <w:rFonts w:ascii="Calibri" w:eastAsia="Calibri" w:hAnsi="Calibri" w:cs="Calibri"/>
          <w:lang w:val="en-US"/>
        </w:rPr>
        <w:t xml:space="preserve"> </w:t>
      </w:r>
      <w:r>
        <w:rPr>
          <w:rFonts w:ascii="Calibri" w:eastAsia="Calibri" w:hAnsi="Calibri" w:cs="Calibri"/>
          <w:lang w:val="en-US"/>
        </w:rPr>
        <w:t xml:space="preserve">project </w:t>
      </w:r>
      <w:r w:rsidRPr="003A63F9">
        <w:rPr>
          <w:rFonts w:ascii="Calibri" w:eastAsia="Calibri" w:hAnsi="Calibri" w:cs="Calibri"/>
          <w:lang w:val="en-US"/>
        </w:rPr>
        <w:t>approv</w:t>
      </w:r>
      <w:r>
        <w:rPr>
          <w:rFonts w:ascii="Calibri" w:eastAsia="Calibri" w:hAnsi="Calibri" w:cs="Calibri"/>
          <w:lang w:val="en-US"/>
        </w:rPr>
        <w:t>ed</w:t>
      </w:r>
      <w:r w:rsidRPr="003A63F9">
        <w:rPr>
          <w:rFonts w:ascii="Calibri" w:eastAsia="Calibri" w:hAnsi="Calibri" w:cs="Calibri"/>
          <w:lang w:val="en-US"/>
        </w:rPr>
        <w:t xml:space="preserve"> </w:t>
      </w:r>
      <w:r>
        <w:rPr>
          <w:rFonts w:ascii="Calibri" w:eastAsia="Calibri" w:hAnsi="Calibri" w:cs="Calibri"/>
          <w:lang w:val="en-US"/>
        </w:rPr>
        <w:t>under the EPBC Act has</w:t>
      </w:r>
      <w:r w:rsidRPr="003A63F9">
        <w:rPr>
          <w:rFonts w:ascii="Calibri" w:eastAsia="Calibri" w:hAnsi="Calibri" w:cs="Calibri"/>
          <w:lang w:val="en-US"/>
        </w:rPr>
        <w:t xml:space="preserve"> 26 conditions applied</w:t>
      </w:r>
      <w:r>
        <w:rPr>
          <w:rFonts w:ascii="Calibri" w:eastAsia="Calibri" w:hAnsi="Calibri" w:cs="Calibri"/>
          <w:lang w:val="en-US"/>
        </w:rPr>
        <w:t>. The</w:t>
      </w:r>
      <w:r w:rsidRPr="003A63F9">
        <w:rPr>
          <w:rFonts w:ascii="Calibri" w:eastAsia="Calibri" w:hAnsi="Calibri" w:cs="Calibri"/>
          <w:lang w:val="en-US"/>
        </w:rPr>
        <w:t xml:space="preserve"> recent increase in approvals means that </w:t>
      </w:r>
      <w:r>
        <w:rPr>
          <w:rFonts w:ascii="Calibri" w:eastAsia="Calibri" w:hAnsi="Calibri" w:cs="Calibri"/>
          <w:lang w:val="en-US"/>
        </w:rPr>
        <w:t>there is a parallel requirement emerging for more and ongoing compliance involvement and activity; however, unlike the assessment and referrals team, the compliance resources are actually reducing at this time.</w:t>
      </w:r>
    </w:p>
    <w:p w14:paraId="20051A8F" w14:textId="77777777" w:rsidR="00FB6776" w:rsidRDefault="00FB6776" w:rsidP="00FB6776">
      <w:pPr>
        <w:pStyle w:val="ListParagraph"/>
        <w:numPr>
          <w:ilvl w:val="0"/>
          <w:numId w:val="3"/>
        </w:numPr>
        <w:rPr>
          <w:rFonts w:eastAsiaTheme="minorEastAsia"/>
          <w:lang w:val="en-US"/>
        </w:rPr>
      </w:pPr>
      <w:r w:rsidRPr="0AF3493E">
        <w:rPr>
          <w:lang w:val="en-US"/>
        </w:rPr>
        <w:t>Some compliance activity is continuing for the wildlife trade program, although this has been the subject of a recent KPMG review that identified a number of areas requiring improvement</w:t>
      </w:r>
      <w:r>
        <w:rPr>
          <w:lang w:val="en-US"/>
        </w:rPr>
        <w:t>.</w:t>
      </w:r>
    </w:p>
    <w:p w14:paraId="7ED89BD0" w14:textId="77777777" w:rsidR="00FB6776" w:rsidRDefault="00FB6776" w:rsidP="00FB6776">
      <w:pPr>
        <w:pStyle w:val="ListParagraph"/>
        <w:numPr>
          <w:ilvl w:val="0"/>
          <w:numId w:val="3"/>
        </w:numPr>
        <w:rPr>
          <w:rFonts w:eastAsiaTheme="minorEastAsia"/>
          <w:lang w:val="en-US"/>
        </w:rPr>
      </w:pPr>
      <w:r w:rsidRPr="78377FA9">
        <w:rPr>
          <w:rFonts w:ascii="Calibri" w:eastAsia="Calibri" w:hAnsi="Calibri" w:cs="Calibri"/>
          <w:lang w:val="en-US"/>
        </w:rPr>
        <w:t>Functions such as external stakeholder education, compliance officer training and triage have become lost, disjointed or diluted over time as a result of historical structural changes</w:t>
      </w:r>
      <w:r>
        <w:rPr>
          <w:rFonts w:ascii="Calibri" w:eastAsia="Calibri" w:hAnsi="Calibri" w:cs="Calibri"/>
          <w:lang w:val="en-US"/>
        </w:rPr>
        <w:t>.</w:t>
      </w:r>
    </w:p>
    <w:p w14:paraId="56DE7FC9" w14:textId="77777777" w:rsidR="00FB6776" w:rsidRDefault="00FB6776" w:rsidP="00FB6776">
      <w:pPr>
        <w:pStyle w:val="ListParagraph"/>
        <w:numPr>
          <w:ilvl w:val="0"/>
          <w:numId w:val="3"/>
        </w:numPr>
        <w:rPr>
          <w:rFonts w:eastAsiaTheme="minorEastAsia"/>
          <w:lang w:val="en-US"/>
        </w:rPr>
      </w:pPr>
      <w:r w:rsidRPr="4632E374">
        <w:rPr>
          <w:rFonts w:ascii="Calibri" w:eastAsia="Calibri" w:hAnsi="Calibri" w:cs="Calibri"/>
          <w:lang w:val="en-US"/>
        </w:rPr>
        <w:t xml:space="preserve">Recent increases in resources in program areas to accelerate assessment of applications have not been matched by a proportionate increase in compliance resources to monitor approved activities. Comments on proposed conditions of approval are often not taken up because, by the time they have been prepared, the program area has negotiated different conditions with the proponent (on which </w:t>
      </w:r>
      <w:r w:rsidRPr="4632E374">
        <w:rPr>
          <w:rFonts w:ascii="Calibri" w:eastAsia="Calibri" w:hAnsi="Calibri" w:cs="Calibri"/>
          <w:lang w:val="en-US"/>
        </w:rPr>
        <w:lastRenderedPageBreak/>
        <w:t>input from the compliance team is then not sought due to statutory timeframe constraints)</w:t>
      </w:r>
      <w:r>
        <w:rPr>
          <w:rFonts w:ascii="Calibri" w:eastAsia="Calibri" w:hAnsi="Calibri" w:cs="Calibri"/>
          <w:lang w:val="en-US"/>
        </w:rPr>
        <w:t>.</w:t>
      </w:r>
    </w:p>
    <w:p w14:paraId="30D91A5C" w14:textId="77777777" w:rsidR="00FB6776" w:rsidRPr="00EB4D61" w:rsidRDefault="00FB6776" w:rsidP="00FB6776">
      <w:pPr>
        <w:pStyle w:val="ListParagraph"/>
        <w:numPr>
          <w:ilvl w:val="0"/>
          <w:numId w:val="3"/>
        </w:numPr>
        <w:rPr>
          <w:rFonts w:eastAsiaTheme="minorEastAsia"/>
          <w:lang w:val="en-US"/>
        </w:rPr>
      </w:pPr>
      <w:r w:rsidRPr="4632E374">
        <w:rPr>
          <w:rFonts w:ascii="Calibri" w:eastAsia="Calibri" w:hAnsi="Calibri" w:cs="Calibri"/>
          <w:lang w:val="en-US"/>
        </w:rPr>
        <w:t>In addition, to facilitate meeting statutory timeframes, submission by the proponent of information on environmental impacts is increasingly being deferred to the post approval phase, which increases compliance risks and workload</w:t>
      </w:r>
      <w:r>
        <w:rPr>
          <w:rFonts w:ascii="Calibri" w:eastAsia="Calibri" w:hAnsi="Calibri" w:cs="Calibri"/>
          <w:lang w:val="en-US"/>
        </w:rPr>
        <w:t>.</w:t>
      </w:r>
    </w:p>
    <w:p w14:paraId="13D51B2F" w14:textId="77777777" w:rsidR="00FB6776" w:rsidRPr="00162FA7" w:rsidRDefault="00FB6776" w:rsidP="00FB6776">
      <w:pPr>
        <w:pStyle w:val="ListParagraph"/>
        <w:numPr>
          <w:ilvl w:val="0"/>
          <w:numId w:val="3"/>
        </w:numPr>
        <w:rPr>
          <w:lang w:val="en-US"/>
        </w:rPr>
      </w:pPr>
      <w:r>
        <w:rPr>
          <w:lang w:val="en-US"/>
        </w:rPr>
        <w:t>increasing resources for issuing approvals (with conditions) should be balanced with increased resourcing to ensure compliance with those conditions.</w:t>
      </w:r>
    </w:p>
    <w:p w14:paraId="718092CB" w14:textId="4FE7C2C6" w:rsidR="00FB6776" w:rsidRPr="00456328" w:rsidRDefault="00FB6776" w:rsidP="00FB6776">
      <w:pPr>
        <w:pStyle w:val="Heading3"/>
        <w:rPr>
          <w:i/>
          <w:iCs/>
          <w:lang w:val="en-US"/>
        </w:rPr>
      </w:pPr>
      <w:bookmarkStart w:id="41" w:name="_Toc72504390"/>
      <w:r w:rsidRPr="00456328">
        <w:rPr>
          <w:i/>
          <w:iCs/>
          <w:lang w:val="en-US"/>
        </w:rPr>
        <w:t>Underwater Cultural Heritage Act 2018</w:t>
      </w:r>
      <w:bookmarkEnd w:id="41"/>
    </w:p>
    <w:p w14:paraId="6C8C62D7" w14:textId="77777777" w:rsidR="00FB6776" w:rsidRDefault="00FB6776" w:rsidP="00FB6776">
      <w:pPr>
        <w:pStyle w:val="ListParagraph"/>
        <w:numPr>
          <w:ilvl w:val="0"/>
          <w:numId w:val="3"/>
        </w:numPr>
        <w:rPr>
          <w:rFonts w:eastAsiaTheme="minorEastAsia"/>
          <w:lang w:val="en-US"/>
        </w:rPr>
      </w:pPr>
      <w:r w:rsidRPr="3DC74AC6">
        <w:rPr>
          <w:lang w:val="en-US"/>
        </w:rPr>
        <w:t>The inspection and investigation functions of the Underwater Cultural Heritage program, including surveillance and monitoring of around 7,500 shipwreck sites, have come to a standstill as state and territory inspectors await approval and training on the new legislation from the Department to carry out their functions</w:t>
      </w:r>
      <w:r>
        <w:rPr>
          <w:lang w:val="en-US"/>
        </w:rPr>
        <w:t>.</w:t>
      </w:r>
    </w:p>
    <w:p w14:paraId="60B8BDED" w14:textId="77777777" w:rsidR="00FB6776" w:rsidRPr="00F401F3" w:rsidRDefault="00FB6776" w:rsidP="00FB6776">
      <w:pPr>
        <w:pStyle w:val="ListParagraph"/>
        <w:numPr>
          <w:ilvl w:val="0"/>
          <w:numId w:val="3"/>
        </w:numPr>
        <w:rPr>
          <w:lang w:val="en-US"/>
        </w:rPr>
      </w:pPr>
      <w:r w:rsidRPr="353BCC20">
        <w:rPr>
          <w:lang w:val="en-US"/>
        </w:rPr>
        <w:t xml:space="preserve">Roles and </w:t>
      </w:r>
      <w:r>
        <w:rPr>
          <w:lang w:val="en-US"/>
        </w:rPr>
        <w:t>r</w:t>
      </w:r>
      <w:r w:rsidRPr="353BCC20">
        <w:rPr>
          <w:lang w:val="en-US"/>
        </w:rPr>
        <w:t>esponsibilities regarding the identification and provision of investigators for serious non</w:t>
      </w:r>
      <w:r>
        <w:rPr>
          <w:lang w:val="en-US"/>
        </w:rPr>
        <w:t>-</w:t>
      </w:r>
      <w:r w:rsidRPr="353BCC20">
        <w:rPr>
          <w:lang w:val="en-US"/>
        </w:rPr>
        <w:t>c</w:t>
      </w:r>
      <w:r w:rsidRPr="2CAEEBB9">
        <w:rPr>
          <w:lang w:val="en-US"/>
        </w:rPr>
        <w:t>ompliance</w:t>
      </w:r>
      <w:r w:rsidRPr="353BCC20">
        <w:rPr>
          <w:lang w:val="en-US"/>
        </w:rPr>
        <w:t xml:space="preserve"> such as </w:t>
      </w:r>
      <w:r w:rsidRPr="2CAEEBB9">
        <w:rPr>
          <w:lang w:val="en-US"/>
        </w:rPr>
        <w:t>identified looting of shipwrecks is unclear</w:t>
      </w:r>
      <w:r>
        <w:rPr>
          <w:lang w:val="en-US"/>
        </w:rPr>
        <w:t>.</w:t>
      </w:r>
    </w:p>
    <w:p w14:paraId="2A5B15A0" w14:textId="77777777" w:rsidR="00FB6776" w:rsidRDefault="00FB6776" w:rsidP="00FB6776">
      <w:pPr>
        <w:pStyle w:val="ListParagraph"/>
        <w:numPr>
          <w:ilvl w:val="0"/>
          <w:numId w:val="3"/>
        </w:numPr>
        <w:rPr>
          <w:lang w:val="en-US"/>
        </w:rPr>
      </w:pPr>
      <w:r w:rsidRPr="333C4DC8">
        <w:rPr>
          <w:lang w:val="en-US"/>
        </w:rPr>
        <w:t>The Underwater Cultural Heritage program area advised that it took 6 months for the Environment Compliance Branch to appoint an investigator to examine a major compliance incident (looting of a shipwreck site). At one level, this could be viewed as being due to a lack of available compliance resources but it also points to a lack of clarity about the role of (and delegations held by) compliance and program management in the context of the introduction of relatively new legislation. Interestingly, there was limited escalation of this matter within the Department, which again seems to illustrate the silos emerging in the organisation that are leading to poor communication and a lack of clarity about the respective roles and responsibilities of environmental program and compliance groups</w:t>
      </w:r>
      <w:r>
        <w:rPr>
          <w:lang w:val="en-US"/>
        </w:rPr>
        <w:t>.</w:t>
      </w:r>
    </w:p>
    <w:p w14:paraId="03595D84" w14:textId="56340BB0" w:rsidR="00FB6776" w:rsidRDefault="00FB6776" w:rsidP="00FB6776">
      <w:pPr>
        <w:pStyle w:val="Heading3"/>
        <w:rPr>
          <w:i/>
          <w:iCs/>
          <w:lang w:val="en-US"/>
        </w:rPr>
      </w:pPr>
      <w:bookmarkStart w:id="42" w:name="_Toc72504391"/>
      <w:r w:rsidRPr="70E9F0C7">
        <w:rPr>
          <w:i/>
          <w:iCs/>
          <w:lang w:val="en-US"/>
        </w:rPr>
        <w:t>Ozone Protection and Synthetic Greenhouse Gas Management Act 1989</w:t>
      </w:r>
      <w:bookmarkEnd w:id="42"/>
    </w:p>
    <w:p w14:paraId="166541E2" w14:textId="77777777" w:rsidR="00FB6776" w:rsidRDefault="00FB6776" w:rsidP="00FB6776">
      <w:pPr>
        <w:pStyle w:val="ListParagraph"/>
        <w:numPr>
          <w:ilvl w:val="0"/>
          <w:numId w:val="3"/>
        </w:numPr>
        <w:rPr>
          <w:lang w:val="en-US"/>
        </w:rPr>
      </w:pPr>
      <w:r w:rsidRPr="70E9F0C7">
        <w:rPr>
          <w:lang w:val="en-US"/>
        </w:rPr>
        <w:t>Compliance activities for Acts related to ozone and greenhouse gas management are diminishing and program managers could not describe how compliance activity is in fact being undertaken</w:t>
      </w:r>
      <w:r>
        <w:rPr>
          <w:lang w:val="en-US"/>
        </w:rPr>
        <w:t>.</w:t>
      </w:r>
    </w:p>
    <w:p w14:paraId="459D4608" w14:textId="77777777" w:rsidR="00FB6776" w:rsidRDefault="00FB6776" w:rsidP="00FB6776">
      <w:pPr>
        <w:pStyle w:val="ListParagraph"/>
        <w:numPr>
          <w:ilvl w:val="0"/>
          <w:numId w:val="3"/>
        </w:numPr>
        <w:rPr>
          <w:lang w:val="en-US"/>
        </w:rPr>
      </w:pPr>
      <w:r w:rsidRPr="70E9F0C7">
        <w:rPr>
          <w:lang w:val="en-US"/>
        </w:rPr>
        <w:t>There is no written agreement between program and compliance areas</w:t>
      </w:r>
      <w:r>
        <w:rPr>
          <w:lang w:val="en-US"/>
        </w:rPr>
        <w:t>.</w:t>
      </w:r>
    </w:p>
    <w:p w14:paraId="3D946CF5" w14:textId="77777777" w:rsidR="00FB6776" w:rsidRPr="005C5225" w:rsidRDefault="00FB6776" w:rsidP="00FB6776">
      <w:pPr>
        <w:pStyle w:val="ListParagraph"/>
        <w:numPr>
          <w:ilvl w:val="0"/>
          <w:numId w:val="3"/>
        </w:numPr>
        <w:rPr>
          <w:lang w:val="en-US"/>
        </w:rPr>
      </w:pPr>
      <w:r w:rsidRPr="70E9F0C7">
        <w:rPr>
          <w:lang w:val="en-US"/>
        </w:rPr>
        <w:t>There are no agreed or clear triggers for matters that should be referred to ECB</w:t>
      </w:r>
      <w:r>
        <w:rPr>
          <w:lang w:val="en-US"/>
        </w:rPr>
        <w:t>.</w:t>
      </w:r>
    </w:p>
    <w:p w14:paraId="0224DADC" w14:textId="77777777" w:rsidR="00FB6776" w:rsidRPr="00BE7911" w:rsidRDefault="00FB6776" w:rsidP="00FB6776">
      <w:pPr>
        <w:pStyle w:val="ListParagraph"/>
        <w:numPr>
          <w:ilvl w:val="0"/>
          <w:numId w:val="3"/>
        </w:numPr>
        <w:rPr>
          <w:lang w:val="en-US"/>
        </w:rPr>
      </w:pPr>
      <w:r w:rsidRPr="70E9F0C7">
        <w:rPr>
          <w:lang w:val="en-US"/>
        </w:rPr>
        <w:t>Roles and responsibilities regarding compliance are not clear and there is limited visibility of what compliance is in fact being undertaken</w:t>
      </w:r>
      <w:r>
        <w:rPr>
          <w:lang w:val="en-US"/>
        </w:rPr>
        <w:t>.</w:t>
      </w:r>
    </w:p>
    <w:p w14:paraId="5AECD3F5" w14:textId="550431AB" w:rsidR="00FB6776" w:rsidRPr="00272040" w:rsidRDefault="00FB6776" w:rsidP="00FB6776">
      <w:pPr>
        <w:pStyle w:val="Heading3"/>
        <w:rPr>
          <w:i/>
          <w:iCs/>
          <w:lang w:val="en-US"/>
        </w:rPr>
      </w:pPr>
      <w:bookmarkStart w:id="43" w:name="_Toc72504392"/>
      <w:r w:rsidRPr="60DDA72E">
        <w:rPr>
          <w:i/>
          <w:iCs/>
          <w:lang w:val="en-US"/>
        </w:rPr>
        <w:t>Product Emissions Standards Act 2017</w:t>
      </w:r>
      <w:bookmarkEnd w:id="43"/>
    </w:p>
    <w:p w14:paraId="4A8C3406" w14:textId="60BCF3D7" w:rsidR="00FB6776" w:rsidRDefault="00FB6776" w:rsidP="00FB6776">
      <w:pPr>
        <w:pStyle w:val="ListParagraph"/>
        <w:numPr>
          <w:ilvl w:val="0"/>
          <w:numId w:val="3"/>
        </w:numPr>
        <w:rPr>
          <w:lang w:val="en-US"/>
        </w:rPr>
      </w:pPr>
      <w:r w:rsidRPr="70E9F0C7">
        <w:rPr>
          <w:lang w:val="en-US"/>
        </w:rPr>
        <w:t>The program area has funding available for undertaking compliance, but the lack of agreement on the activities to be undertaken by ECB has meant that these funds remain with the program area</w:t>
      </w:r>
      <w:r>
        <w:rPr>
          <w:lang w:val="en-US"/>
        </w:rPr>
        <w:t>.</w:t>
      </w:r>
    </w:p>
    <w:p w14:paraId="7FB4A8BC" w14:textId="77777777" w:rsidR="00FB6776" w:rsidRPr="005C5225" w:rsidRDefault="00FB6776" w:rsidP="00FB6776">
      <w:pPr>
        <w:pStyle w:val="ListParagraph"/>
        <w:numPr>
          <w:ilvl w:val="0"/>
          <w:numId w:val="3"/>
        </w:numPr>
        <w:rPr>
          <w:lang w:val="en-US"/>
        </w:rPr>
      </w:pPr>
      <w:r w:rsidRPr="70E9F0C7">
        <w:rPr>
          <w:lang w:val="en-US"/>
        </w:rPr>
        <w:t>There are no agreed or clear triggers for matters that should be referred to ECB</w:t>
      </w:r>
      <w:r>
        <w:rPr>
          <w:lang w:val="en-US"/>
        </w:rPr>
        <w:t>.</w:t>
      </w:r>
    </w:p>
    <w:p w14:paraId="50BA3D57" w14:textId="415CD8EE" w:rsidR="00FB6776" w:rsidRPr="00272040" w:rsidRDefault="00FB6776" w:rsidP="00FB6776">
      <w:pPr>
        <w:pStyle w:val="Heading3"/>
        <w:rPr>
          <w:i/>
          <w:iCs/>
          <w:color w:val="4472C4" w:themeColor="accent1"/>
          <w:lang w:val="en-US"/>
        </w:rPr>
      </w:pPr>
      <w:bookmarkStart w:id="44" w:name="_Toc72504393"/>
      <w:r w:rsidRPr="60DDA72E">
        <w:rPr>
          <w:i/>
          <w:iCs/>
          <w:lang w:val="en-US"/>
        </w:rPr>
        <w:t>Hazardous Waste (Regulation of Exports and Imports) Act 1999</w:t>
      </w:r>
      <w:bookmarkEnd w:id="44"/>
    </w:p>
    <w:p w14:paraId="13D014FD" w14:textId="77777777" w:rsidR="00FB6776" w:rsidRPr="00E6484C" w:rsidRDefault="00FB6776" w:rsidP="00FB6776">
      <w:pPr>
        <w:pStyle w:val="ListParagraph"/>
        <w:numPr>
          <w:ilvl w:val="0"/>
          <w:numId w:val="3"/>
        </w:numPr>
        <w:rPr>
          <w:lang w:val="en-US"/>
        </w:rPr>
      </w:pPr>
      <w:r w:rsidRPr="60DDA72E">
        <w:rPr>
          <w:lang w:val="en-US"/>
        </w:rPr>
        <w:t>The circular economy aimed at eliminating waste and promoting reuse of resources is presenting a range of new challenges in respect of waste management for which there is a very limited strategic or intelligence capability</w:t>
      </w:r>
      <w:r>
        <w:rPr>
          <w:lang w:val="en-US"/>
        </w:rPr>
        <w:t>.</w:t>
      </w:r>
    </w:p>
    <w:p w14:paraId="700291C6" w14:textId="77777777" w:rsidR="007823D2" w:rsidRPr="00481A05" w:rsidRDefault="007823D2" w:rsidP="007823D2">
      <w:pPr>
        <w:pStyle w:val="ListParagraph"/>
        <w:numPr>
          <w:ilvl w:val="0"/>
          <w:numId w:val="3"/>
        </w:numPr>
        <w:rPr>
          <w:lang w:val="en-US"/>
        </w:rPr>
      </w:pPr>
      <w:r w:rsidRPr="00481A05">
        <w:rPr>
          <w:lang w:val="en-US"/>
        </w:rPr>
        <w:lastRenderedPageBreak/>
        <w:t>Staff advise that they have experienced recent difficulty in obtaining cooperation from Australian Border Force (ABF) when they become aware of intelligence suggesting that a shipment of hazardous waste is being prepared for illegal export, due to hazardous waste not being a current ABF operational priority</w:t>
      </w:r>
      <w:r>
        <w:rPr>
          <w:lang w:val="en-US"/>
        </w:rPr>
        <w:t>.</w:t>
      </w:r>
    </w:p>
    <w:p w14:paraId="2D9F5756" w14:textId="77777777" w:rsidR="007823D2" w:rsidRPr="00481A05" w:rsidRDefault="007823D2" w:rsidP="007823D2">
      <w:pPr>
        <w:pStyle w:val="ListParagraph"/>
        <w:numPr>
          <w:ilvl w:val="0"/>
          <w:numId w:val="3"/>
        </w:numPr>
        <w:rPr>
          <w:lang w:val="en-US"/>
        </w:rPr>
      </w:pPr>
      <w:r w:rsidRPr="00481A05">
        <w:rPr>
          <w:lang w:val="en-US"/>
        </w:rPr>
        <w:t>ABF staff advise that input on border priorities from the Department has focused primarily on biosecurity</w:t>
      </w:r>
      <w:r>
        <w:rPr>
          <w:lang w:val="en-US"/>
        </w:rPr>
        <w:t>.</w:t>
      </w:r>
    </w:p>
    <w:p w14:paraId="30C1F458" w14:textId="06C77933" w:rsidR="00FB6776" w:rsidRPr="00172944" w:rsidRDefault="00FB6776" w:rsidP="00FB6776">
      <w:pPr>
        <w:pStyle w:val="ListParagraph"/>
        <w:numPr>
          <w:ilvl w:val="0"/>
          <w:numId w:val="3"/>
        </w:numPr>
        <w:rPr>
          <w:lang w:val="en-US"/>
        </w:rPr>
      </w:pPr>
      <w:r w:rsidRPr="60DDA72E">
        <w:rPr>
          <w:lang w:val="en-US"/>
        </w:rPr>
        <w:t xml:space="preserve">The prioritisation of illegal exports of hazardous waste requires much more detailed discussion with </w:t>
      </w:r>
      <w:r w:rsidR="00CD3533">
        <w:rPr>
          <w:lang w:val="en-US"/>
        </w:rPr>
        <w:t>ABF</w:t>
      </w:r>
      <w:r w:rsidRPr="60DDA72E">
        <w:rPr>
          <w:lang w:val="en-US"/>
        </w:rPr>
        <w:t xml:space="preserve"> and an agreement about how resources can be rapidly deployed when significant non-compliance is identified</w:t>
      </w:r>
      <w:r w:rsidR="00CD3533">
        <w:rPr>
          <w:lang w:val="en-US"/>
        </w:rPr>
        <w:t xml:space="preserve"> to enable this Act to be fully effective.</w:t>
      </w:r>
    </w:p>
    <w:p w14:paraId="1BC7A3EB" w14:textId="1A793522" w:rsidR="00FB6776" w:rsidRDefault="00FB6776" w:rsidP="00FB6776">
      <w:pPr>
        <w:pStyle w:val="Heading3"/>
        <w:rPr>
          <w:rFonts w:ascii="Calibri Light" w:eastAsia="Yu Gothic Light" w:hAnsi="Calibri Light" w:cs="Times New Roman"/>
          <w:i/>
          <w:color w:val="1F3763"/>
          <w:lang w:val="en-US"/>
        </w:rPr>
      </w:pPr>
      <w:bookmarkStart w:id="45" w:name="_Toc72504394"/>
      <w:r w:rsidRPr="60DDA72E">
        <w:rPr>
          <w:i/>
          <w:iCs/>
          <w:lang w:val="en-US"/>
        </w:rPr>
        <w:t>Recycling and Waste Reduction Act 2020</w:t>
      </w:r>
      <w:bookmarkEnd w:id="45"/>
    </w:p>
    <w:p w14:paraId="6D103DD5" w14:textId="1FEF114F" w:rsidR="00FB6776" w:rsidRPr="000178D8" w:rsidRDefault="002C1E8A" w:rsidP="00866E73">
      <w:pPr>
        <w:pStyle w:val="ListParagraph"/>
        <w:numPr>
          <w:ilvl w:val="0"/>
          <w:numId w:val="14"/>
        </w:numPr>
        <w:rPr>
          <w:rFonts w:eastAsiaTheme="minorEastAsia"/>
          <w:lang w:val="en-US"/>
        </w:rPr>
      </w:pPr>
      <w:r w:rsidRPr="000178D8">
        <w:rPr>
          <w:lang w:val="en-US"/>
        </w:rPr>
        <w:t xml:space="preserve">The compliance arrangements </w:t>
      </w:r>
      <w:r w:rsidR="00C81735" w:rsidRPr="000178D8">
        <w:rPr>
          <w:lang w:val="en-US"/>
        </w:rPr>
        <w:t>for this Act were recently designed with ECB to ensure there are dedicated resources available for compliance</w:t>
      </w:r>
      <w:r w:rsidR="00B75149" w:rsidRPr="000178D8">
        <w:rPr>
          <w:lang w:val="en-US"/>
        </w:rPr>
        <w:t>. A small amount of funding is available in 2021</w:t>
      </w:r>
      <w:r w:rsidR="002836AC" w:rsidRPr="000178D8">
        <w:rPr>
          <w:lang w:val="en-US"/>
        </w:rPr>
        <w:t xml:space="preserve"> -22 to commence the process of planning future compliance activity.</w:t>
      </w:r>
    </w:p>
    <w:p w14:paraId="4BE61ACE" w14:textId="5E1DE6A1" w:rsidR="002836AC" w:rsidRPr="000178D8" w:rsidRDefault="009F5F21" w:rsidP="00866E73">
      <w:pPr>
        <w:pStyle w:val="ListParagraph"/>
        <w:numPr>
          <w:ilvl w:val="0"/>
          <w:numId w:val="14"/>
        </w:numPr>
        <w:rPr>
          <w:rFonts w:eastAsiaTheme="minorEastAsia"/>
          <w:lang w:val="en-US"/>
        </w:rPr>
      </w:pPr>
      <w:r w:rsidRPr="000178D8">
        <w:rPr>
          <w:lang w:val="en-US"/>
        </w:rPr>
        <w:t>In future years</w:t>
      </w:r>
      <w:r w:rsidR="00920DD3">
        <w:rPr>
          <w:lang w:val="en-US"/>
        </w:rPr>
        <w:t>,</w:t>
      </w:r>
      <w:r w:rsidRPr="000178D8">
        <w:rPr>
          <w:lang w:val="en-US"/>
        </w:rPr>
        <w:t xml:space="preserve"> dedicated funding for ECB is </w:t>
      </w:r>
      <w:r w:rsidR="000178D8" w:rsidRPr="000178D8">
        <w:rPr>
          <w:lang w:val="en-US"/>
        </w:rPr>
        <w:t>available</w:t>
      </w:r>
      <w:r w:rsidRPr="000178D8">
        <w:rPr>
          <w:lang w:val="en-US"/>
        </w:rPr>
        <w:t xml:space="preserve"> to ensure </w:t>
      </w:r>
      <w:r w:rsidR="000178D8" w:rsidRPr="000178D8">
        <w:rPr>
          <w:lang w:val="en-US"/>
        </w:rPr>
        <w:t xml:space="preserve">that there are resources in place to carry out agreed </w:t>
      </w:r>
      <w:r w:rsidR="000E48E9">
        <w:rPr>
          <w:lang w:val="en-US"/>
        </w:rPr>
        <w:t>measures</w:t>
      </w:r>
      <w:r w:rsidR="00920DD3">
        <w:rPr>
          <w:lang w:val="en-US"/>
        </w:rPr>
        <w:t xml:space="preserve"> to address non-compliance.</w:t>
      </w:r>
      <w:r w:rsidR="00A742EC">
        <w:rPr>
          <w:lang w:val="en-US"/>
        </w:rPr>
        <w:t xml:space="preserve"> However, detailed planning and </w:t>
      </w:r>
      <w:r w:rsidR="00414677">
        <w:rPr>
          <w:lang w:val="en-US"/>
        </w:rPr>
        <w:t xml:space="preserve">relationships with </w:t>
      </w:r>
      <w:r w:rsidR="00CD3533">
        <w:rPr>
          <w:lang w:val="en-US"/>
        </w:rPr>
        <w:t>ABF</w:t>
      </w:r>
      <w:r w:rsidR="00414677">
        <w:rPr>
          <w:lang w:val="en-US"/>
        </w:rPr>
        <w:t xml:space="preserve"> (on which this program relies for compliance) need to be settled.</w:t>
      </w:r>
    </w:p>
    <w:p w14:paraId="2320FDE1" w14:textId="051E7309" w:rsidR="00FB6776" w:rsidRPr="00272040" w:rsidRDefault="00FB6776" w:rsidP="00FB6776">
      <w:pPr>
        <w:pStyle w:val="Heading3"/>
        <w:rPr>
          <w:i/>
          <w:iCs/>
          <w:lang w:val="en-US"/>
        </w:rPr>
      </w:pPr>
      <w:bookmarkStart w:id="46" w:name="_Toc72504395"/>
      <w:r w:rsidRPr="60DDA72E">
        <w:rPr>
          <w:i/>
          <w:iCs/>
          <w:lang w:val="en-US"/>
        </w:rPr>
        <w:t>Environment Protection (Sea Dumping) Act 1981</w:t>
      </w:r>
      <w:bookmarkEnd w:id="46"/>
    </w:p>
    <w:p w14:paraId="43B870FD" w14:textId="77777777" w:rsidR="00FB6776" w:rsidRDefault="00FB6776" w:rsidP="00FB6776">
      <w:pPr>
        <w:pStyle w:val="ListParagraph"/>
        <w:numPr>
          <w:ilvl w:val="0"/>
          <w:numId w:val="4"/>
        </w:numPr>
        <w:rPr>
          <w:lang w:val="en-US"/>
        </w:rPr>
      </w:pPr>
      <w:r w:rsidRPr="70E9F0C7">
        <w:rPr>
          <w:lang w:val="en-US"/>
        </w:rPr>
        <w:t>Staff advise no audits of permit-holders have taken place since 2016, no criminal or civil action has ever been taken in respect of a breach of permit conditions, and no remediation orders have ever been issued</w:t>
      </w:r>
      <w:r>
        <w:rPr>
          <w:lang w:val="en-US"/>
        </w:rPr>
        <w:t>.</w:t>
      </w:r>
    </w:p>
    <w:p w14:paraId="15D361FE" w14:textId="77777777" w:rsidR="00FB6776" w:rsidRDefault="00FB6776" w:rsidP="00FB6776">
      <w:pPr>
        <w:pStyle w:val="ListParagraph"/>
        <w:numPr>
          <w:ilvl w:val="0"/>
          <w:numId w:val="4"/>
        </w:numPr>
        <w:rPr>
          <w:lang w:val="en-US"/>
        </w:rPr>
      </w:pPr>
      <w:r w:rsidRPr="70E9F0C7">
        <w:rPr>
          <w:lang w:val="en-US"/>
        </w:rPr>
        <w:t>A recent internal audit has found that controls to monitor adherence to permit conditions are inadequate</w:t>
      </w:r>
      <w:r>
        <w:rPr>
          <w:lang w:val="en-US"/>
        </w:rPr>
        <w:t>.</w:t>
      </w:r>
    </w:p>
    <w:p w14:paraId="69631D12" w14:textId="77777777" w:rsidR="00FB6776" w:rsidRDefault="00FB6776" w:rsidP="00FB6776">
      <w:pPr>
        <w:pStyle w:val="ListParagraph"/>
        <w:numPr>
          <w:ilvl w:val="0"/>
          <w:numId w:val="4"/>
        </w:numPr>
        <w:rPr>
          <w:lang w:val="en-US"/>
        </w:rPr>
      </w:pPr>
      <w:r w:rsidRPr="70E9F0C7">
        <w:rPr>
          <w:lang w:val="en-US"/>
        </w:rPr>
        <w:t>There are no clear protocols for referring matters for compliance action, with program staff informally determining the ‘capacity or willingness’ of ECB staff to investigate apparent breaches of permit conditions</w:t>
      </w:r>
      <w:r>
        <w:rPr>
          <w:lang w:val="en-US"/>
        </w:rPr>
        <w:t>.</w:t>
      </w:r>
    </w:p>
    <w:p w14:paraId="1A5F268A" w14:textId="77777777" w:rsidR="00FB6776" w:rsidRDefault="00FB6776" w:rsidP="00FB6776">
      <w:pPr>
        <w:pStyle w:val="ListParagraph"/>
        <w:numPr>
          <w:ilvl w:val="0"/>
          <w:numId w:val="4"/>
        </w:numPr>
        <w:rPr>
          <w:lang w:val="en-US"/>
        </w:rPr>
      </w:pPr>
      <w:r w:rsidRPr="60DDA72E">
        <w:rPr>
          <w:lang w:val="en-US"/>
        </w:rPr>
        <w:t>Currently information is held on individual files as there is no information management system or even a spreadsheet that would allow ready access to information by ECB staff</w:t>
      </w:r>
      <w:r>
        <w:rPr>
          <w:lang w:val="en-US"/>
        </w:rPr>
        <w:t>.</w:t>
      </w:r>
    </w:p>
    <w:p w14:paraId="4F563E4B" w14:textId="2034AB26" w:rsidR="00FB6776" w:rsidRDefault="00FB6776" w:rsidP="00FB6776">
      <w:pPr>
        <w:pStyle w:val="ListParagraph"/>
        <w:numPr>
          <w:ilvl w:val="0"/>
          <w:numId w:val="4"/>
        </w:numPr>
        <w:rPr>
          <w:lang w:val="en-US"/>
        </w:rPr>
      </w:pPr>
      <w:r w:rsidRPr="70E9F0C7">
        <w:rPr>
          <w:lang w:val="en-US"/>
        </w:rPr>
        <w:t>Risks associated with new types of industries recently seeking sea-dumping permits (eg artificial reefs in deep water (old oil rigs) for scuba diving, sea-bed carbon capture and storage installations, debris from spacecraft and burials at sea) have not been systematically assessed</w:t>
      </w:r>
      <w:r>
        <w:rPr>
          <w:lang w:val="en-US"/>
        </w:rPr>
        <w:t>.</w:t>
      </w:r>
    </w:p>
    <w:p w14:paraId="1F96906C" w14:textId="45CD82B4" w:rsidR="008D1250" w:rsidRDefault="00111F60" w:rsidP="008D1250">
      <w:pPr>
        <w:rPr>
          <w:lang w:val="en-US"/>
        </w:rPr>
      </w:pPr>
      <w:r>
        <w:rPr>
          <w:lang w:val="en-US"/>
        </w:rPr>
        <w:t>There</w:t>
      </w:r>
      <w:r w:rsidR="00DA6FE3">
        <w:rPr>
          <w:lang w:val="en-US"/>
        </w:rPr>
        <w:t xml:space="preserve"> are</w:t>
      </w:r>
      <w:r>
        <w:rPr>
          <w:lang w:val="en-US"/>
        </w:rPr>
        <w:t xml:space="preserve"> a range of tasks that could be immediately undertaken to address the matters raised above</w:t>
      </w:r>
      <w:r w:rsidR="00337B08">
        <w:rPr>
          <w:lang w:val="en-US"/>
        </w:rPr>
        <w:t xml:space="preserve"> and</w:t>
      </w:r>
      <w:r w:rsidR="006743BE">
        <w:rPr>
          <w:lang w:val="en-US"/>
        </w:rPr>
        <w:t>,</w:t>
      </w:r>
      <w:r w:rsidR="00337B08">
        <w:rPr>
          <w:lang w:val="en-US"/>
        </w:rPr>
        <w:t xml:space="preserve"> if given priority</w:t>
      </w:r>
      <w:r w:rsidR="006743BE">
        <w:rPr>
          <w:lang w:val="en-US"/>
        </w:rPr>
        <w:t>,</w:t>
      </w:r>
      <w:r w:rsidR="00337B08">
        <w:rPr>
          <w:lang w:val="en-US"/>
        </w:rPr>
        <w:t xml:space="preserve"> there are some quick gains to be mad</w:t>
      </w:r>
      <w:r w:rsidR="00F839DE">
        <w:rPr>
          <w:lang w:val="en-US"/>
        </w:rPr>
        <w:t xml:space="preserve">e. </w:t>
      </w:r>
      <w:r w:rsidR="007E4914">
        <w:rPr>
          <w:lang w:val="en-US"/>
        </w:rPr>
        <w:t xml:space="preserve">Given the wide range of </w:t>
      </w:r>
      <w:r w:rsidR="0069300D">
        <w:rPr>
          <w:lang w:val="en-US"/>
        </w:rPr>
        <w:t>risks</w:t>
      </w:r>
      <w:r w:rsidR="007E4914">
        <w:rPr>
          <w:lang w:val="en-US"/>
        </w:rPr>
        <w:t xml:space="preserve"> </w:t>
      </w:r>
      <w:r w:rsidR="00712E26">
        <w:rPr>
          <w:lang w:val="en-US"/>
        </w:rPr>
        <w:t xml:space="preserve">now </w:t>
      </w:r>
      <w:r w:rsidR="007E4914">
        <w:rPr>
          <w:lang w:val="en-US"/>
        </w:rPr>
        <w:t xml:space="preserve">requiring attention across a number of </w:t>
      </w:r>
      <w:r w:rsidR="003B6374">
        <w:rPr>
          <w:lang w:val="en-US"/>
        </w:rPr>
        <w:t>pieces of legislation</w:t>
      </w:r>
      <w:r w:rsidR="00712E26">
        <w:rPr>
          <w:lang w:val="en-US"/>
        </w:rPr>
        <w:t>,</w:t>
      </w:r>
      <w:r w:rsidR="003B6374">
        <w:rPr>
          <w:lang w:val="en-US"/>
        </w:rPr>
        <w:t xml:space="preserve"> the Review is </w:t>
      </w:r>
      <w:r w:rsidR="00AB49EB">
        <w:rPr>
          <w:lang w:val="en-US"/>
        </w:rPr>
        <w:t xml:space="preserve">of the opinion that </w:t>
      </w:r>
      <w:r w:rsidR="003B6374">
        <w:rPr>
          <w:lang w:val="en-US"/>
        </w:rPr>
        <w:t>a coordinated program of reform be undertaken</w:t>
      </w:r>
      <w:r w:rsidR="001F5A2E">
        <w:rPr>
          <w:lang w:val="en-US"/>
        </w:rPr>
        <w:t xml:space="preserve"> that comprises a range of specific projects</w:t>
      </w:r>
      <w:r w:rsidR="00E8120D">
        <w:rPr>
          <w:lang w:val="en-US"/>
        </w:rPr>
        <w:t xml:space="preserve"> </w:t>
      </w:r>
      <w:r w:rsidR="00F839DE">
        <w:rPr>
          <w:lang w:val="en-US"/>
        </w:rPr>
        <w:t>to address</w:t>
      </w:r>
      <w:r w:rsidR="00873EE6">
        <w:rPr>
          <w:lang w:val="en-US"/>
        </w:rPr>
        <w:t xml:space="preserve"> these matters</w:t>
      </w:r>
      <w:r w:rsidR="006743BE">
        <w:rPr>
          <w:lang w:val="en-US"/>
        </w:rPr>
        <w:t xml:space="preserve">. The Review also </w:t>
      </w:r>
      <w:r w:rsidR="005317CE">
        <w:rPr>
          <w:lang w:val="en-US"/>
        </w:rPr>
        <w:t>recommends</w:t>
      </w:r>
      <w:r w:rsidR="00062F3A">
        <w:rPr>
          <w:lang w:val="en-US"/>
        </w:rPr>
        <w:t xml:space="preserve"> an increase in </w:t>
      </w:r>
      <w:r w:rsidR="00E8120D">
        <w:rPr>
          <w:lang w:val="en-US"/>
        </w:rPr>
        <w:t>on</w:t>
      </w:r>
      <w:r w:rsidR="005317CE">
        <w:rPr>
          <w:lang w:val="en-US"/>
        </w:rPr>
        <w:t>-</w:t>
      </w:r>
      <w:r w:rsidR="00E8120D">
        <w:rPr>
          <w:lang w:val="en-US"/>
        </w:rPr>
        <w:t>the</w:t>
      </w:r>
      <w:r w:rsidR="005317CE">
        <w:rPr>
          <w:lang w:val="en-US"/>
        </w:rPr>
        <w:t>-</w:t>
      </w:r>
      <w:r w:rsidR="00E8120D">
        <w:rPr>
          <w:lang w:val="en-US"/>
        </w:rPr>
        <w:t>ground resourcing</w:t>
      </w:r>
      <w:r w:rsidR="00062F3A">
        <w:rPr>
          <w:lang w:val="en-US"/>
        </w:rPr>
        <w:t xml:space="preserve"> in particular areas and</w:t>
      </w:r>
      <w:r w:rsidR="001F5A2E">
        <w:rPr>
          <w:lang w:val="en-US"/>
        </w:rPr>
        <w:t xml:space="preserve"> </w:t>
      </w:r>
      <w:r w:rsidR="005317CE">
        <w:rPr>
          <w:lang w:val="en-US"/>
        </w:rPr>
        <w:t xml:space="preserve">that </w:t>
      </w:r>
      <w:r w:rsidR="001F5A2E">
        <w:rPr>
          <w:lang w:val="en-US"/>
        </w:rPr>
        <w:t xml:space="preserve">a </w:t>
      </w:r>
      <w:r w:rsidR="00A35FD8">
        <w:rPr>
          <w:lang w:val="en-US"/>
        </w:rPr>
        <w:t xml:space="preserve">small </w:t>
      </w:r>
      <w:r w:rsidR="001F5A2E">
        <w:rPr>
          <w:lang w:val="en-US"/>
        </w:rPr>
        <w:t>dedicated team</w:t>
      </w:r>
      <w:r w:rsidR="004E20E5">
        <w:rPr>
          <w:lang w:val="en-US"/>
        </w:rPr>
        <w:t xml:space="preserve"> </w:t>
      </w:r>
      <w:r w:rsidR="001F5A2E">
        <w:rPr>
          <w:lang w:val="en-US"/>
        </w:rPr>
        <w:t xml:space="preserve">reporting to </w:t>
      </w:r>
      <w:r w:rsidR="001F5A2E">
        <w:rPr>
          <w:lang w:val="en-US"/>
        </w:rPr>
        <w:lastRenderedPageBreak/>
        <w:t xml:space="preserve">the </w:t>
      </w:r>
      <w:r w:rsidR="00C60FA3">
        <w:rPr>
          <w:lang w:val="en-US"/>
        </w:rPr>
        <w:t xml:space="preserve">First Assistant Secretary </w:t>
      </w:r>
      <w:r w:rsidR="0007184A">
        <w:rPr>
          <w:lang w:val="en-US"/>
        </w:rPr>
        <w:t xml:space="preserve">of the </w:t>
      </w:r>
      <w:r w:rsidR="00C60FA3">
        <w:rPr>
          <w:lang w:val="en-US"/>
        </w:rPr>
        <w:t>Compliance</w:t>
      </w:r>
      <w:r w:rsidR="0069300D">
        <w:rPr>
          <w:lang w:val="en-US"/>
        </w:rPr>
        <w:t xml:space="preserve"> </w:t>
      </w:r>
      <w:r w:rsidR="0007184A">
        <w:rPr>
          <w:lang w:val="en-US"/>
        </w:rPr>
        <w:t xml:space="preserve">and Enforcement Division </w:t>
      </w:r>
      <w:r w:rsidR="005317CE">
        <w:rPr>
          <w:lang w:val="en-US"/>
        </w:rPr>
        <w:t>be</w:t>
      </w:r>
      <w:r w:rsidR="00A35FD8">
        <w:rPr>
          <w:lang w:val="en-US"/>
        </w:rPr>
        <w:t xml:space="preserve"> established </w:t>
      </w:r>
      <w:r w:rsidR="002C1E8A">
        <w:rPr>
          <w:lang w:val="en-US"/>
        </w:rPr>
        <w:t>to coordinate and</w:t>
      </w:r>
      <w:r w:rsidR="00C60FA3">
        <w:rPr>
          <w:lang w:val="en-US"/>
        </w:rPr>
        <w:t xml:space="preserve"> </w:t>
      </w:r>
      <w:r w:rsidR="00F566AC">
        <w:rPr>
          <w:lang w:val="en-US"/>
        </w:rPr>
        <w:t xml:space="preserve">project </w:t>
      </w:r>
      <w:r w:rsidR="008B432B">
        <w:rPr>
          <w:lang w:val="en-US"/>
        </w:rPr>
        <w:t xml:space="preserve">manage </w:t>
      </w:r>
      <w:r w:rsidR="00F566AC">
        <w:rPr>
          <w:lang w:val="en-US"/>
        </w:rPr>
        <w:t>the reforms over the next two years</w:t>
      </w:r>
      <w:r w:rsidR="008B432B">
        <w:rPr>
          <w:lang w:val="en-US"/>
        </w:rPr>
        <w:t>.</w:t>
      </w:r>
    </w:p>
    <w:p w14:paraId="2541B1FB" w14:textId="5D1137F3" w:rsidR="004C0294" w:rsidRDefault="000A33FA" w:rsidP="008D1250">
      <w:pPr>
        <w:rPr>
          <w:lang w:val="en-US"/>
        </w:rPr>
      </w:pPr>
      <w:r>
        <w:rPr>
          <w:lang w:val="en-US"/>
        </w:rPr>
        <w:t xml:space="preserve">The Review </w:t>
      </w:r>
      <w:r w:rsidR="00C25820">
        <w:rPr>
          <w:lang w:val="en-US"/>
        </w:rPr>
        <w:t>considers</w:t>
      </w:r>
      <w:r>
        <w:rPr>
          <w:lang w:val="en-US"/>
        </w:rPr>
        <w:t xml:space="preserve"> that</w:t>
      </w:r>
      <w:r w:rsidR="00C25820">
        <w:rPr>
          <w:lang w:val="en-US"/>
        </w:rPr>
        <w:t>,</w:t>
      </w:r>
      <w:r>
        <w:rPr>
          <w:lang w:val="en-US"/>
        </w:rPr>
        <w:t xml:space="preserve"> without additional resources and a dedicated effort</w:t>
      </w:r>
      <w:r w:rsidR="00C25820">
        <w:rPr>
          <w:lang w:val="en-US"/>
        </w:rPr>
        <w:t>,</w:t>
      </w:r>
      <w:r>
        <w:rPr>
          <w:lang w:val="en-US"/>
        </w:rPr>
        <w:t xml:space="preserve"> </w:t>
      </w:r>
      <w:r w:rsidR="00F91AB5">
        <w:rPr>
          <w:lang w:val="en-US"/>
        </w:rPr>
        <w:t xml:space="preserve">it would be difficult </w:t>
      </w:r>
      <w:r w:rsidR="00C25820">
        <w:rPr>
          <w:lang w:val="en-US"/>
        </w:rPr>
        <w:t xml:space="preserve">for the Department </w:t>
      </w:r>
      <w:r w:rsidR="00F91AB5">
        <w:rPr>
          <w:lang w:val="en-US"/>
        </w:rPr>
        <w:t>to undertake the level of change required</w:t>
      </w:r>
      <w:r w:rsidR="00615F52">
        <w:rPr>
          <w:lang w:val="en-US"/>
        </w:rPr>
        <w:t xml:space="preserve"> to improve environmental compliance</w:t>
      </w:r>
      <w:r w:rsidR="00F91AB5">
        <w:rPr>
          <w:lang w:val="en-US"/>
        </w:rPr>
        <w:t xml:space="preserve">. </w:t>
      </w:r>
      <w:r w:rsidR="00FE63B8">
        <w:rPr>
          <w:lang w:val="en-US"/>
        </w:rPr>
        <w:t xml:space="preserve">The current reform being undertaken by the </w:t>
      </w:r>
      <w:r w:rsidR="00DA1557">
        <w:rPr>
          <w:lang w:val="en-US"/>
        </w:rPr>
        <w:t xml:space="preserve">EPBC program area </w:t>
      </w:r>
      <w:r w:rsidR="00C94130">
        <w:rPr>
          <w:lang w:val="en-US"/>
        </w:rPr>
        <w:t>shows</w:t>
      </w:r>
      <w:r w:rsidR="00DA1557">
        <w:rPr>
          <w:lang w:val="en-US"/>
        </w:rPr>
        <w:t xml:space="preserve"> what can be achieved through a concerted effort</w:t>
      </w:r>
      <w:r w:rsidR="00615F52">
        <w:rPr>
          <w:lang w:val="en-US"/>
        </w:rPr>
        <w:t xml:space="preserve"> that also</w:t>
      </w:r>
      <w:r w:rsidR="00DA1557">
        <w:rPr>
          <w:lang w:val="en-US"/>
        </w:rPr>
        <w:t xml:space="preserve"> provide</w:t>
      </w:r>
      <w:r w:rsidR="00615F52">
        <w:rPr>
          <w:lang w:val="en-US"/>
        </w:rPr>
        <w:t>s</w:t>
      </w:r>
      <w:r w:rsidR="00DA1557">
        <w:rPr>
          <w:lang w:val="en-US"/>
        </w:rPr>
        <w:t xml:space="preserve"> an opportunity for </w:t>
      </w:r>
      <w:r w:rsidR="00E51E2B">
        <w:rPr>
          <w:lang w:val="en-US"/>
        </w:rPr>
        <w:t>ex</w:t>
      </w:r>
      <w:r w:rsidR="003350C1">
        <w:rPr>
          <w:lang w:val="en-US"/>
        </w:rPr>
        <w:t>isting</w:t>
      </w:r>
      <w:r w:rsidR="00E51E2B">
        <w:rPr>
          <w:lang w:val="en-US"/>
        </w:rPr>
        <w:t xml:space="preserve"> staff</w:t>
      </w:r>
      <w:r w:rsidR="00DA1557">
        <w:rPr>
          <w:lang w:val="en-US"/>
        </w:rPr>
        <w:t xml:space="preserve"> to </w:t>
      </w:r>
      <w:r w:rsidR="003350C1">
        <w:rPr>
          <w:lang w:val="en-US"/>
        </w:rPr>
        <w:t xml:space="preserve">apply their expertise </w:t>
      </w:r>
      <w:r w:rsidR="00DA1557">
        <w:rPr>
          <w:lang w:val="en-US"/>
        </w:rPr>
        <w:t>in the reform project</w:t>
      </w:r>
      <w:r w:rsidR="003350C1">
        <w:rPr>
          <w:lang w:val="en-US"/>
        </w:rPr>
        <w:t xml:space="preserve">, with </w:t>
      </w:r>
      <w:r w:rsidR="00726249">
        <w:rPr>
          <w:lang w:val="en-US"/>
        </w:rPr>
        <w:t xml:space="preserve">their roles </w:t>
      </w:r>
      <w:r w:rsidR="003350C1">
        <w:rPr>
          <w:lang w:val="en-US"/>
        </w:rPr>
        <w:t>being</w:t>
      </w:r>
      <w:r w:rsidR="00726249">
        <w:rPr>
          <w:lang w:val="en-US"/>
        </w:rPr>
        <w:t xml:space="preserve"> temporarily </w:t>
      </w:r>
      <w:r w:rsidR="003350C1">
        <w:rPr>
          <w:lang w:val="en-US"/>
        </w:rPr>
        <w:t>backfilled</w:t>
      </w:r>
      <w:r w:rsidR="00726249">
        <w:rPr>
          <w:lang w:val="en-US"/>
        </w:rPr>
        <w:t xml:space="preserve"> with short</w:t>
      </w:r>
      <w:r w:rsidR="00543116">
        <w:rPr>
          <w:lang w:val="en-US"/>
        </w:rPr>
        <w:t>-</w:t>
      </w:r>
      <w:r w:rsidR="00726249">
        <w:rPr>
          <w:lang w:val="en-US"/>
        </w:rPr>
        <w:t>term contract staff. This approach</w:t>
      </w:r>
      <w:r w:rsidR="00C94130">
        <w:rPr>
          <w:lang w:val="en-US"/>
        </w:rPr>
        <w:t xml:space="preserve">, albeit on a smaller scale, </w:t>
      </w:r>
      <w:r w:rsidR="0093669C">
        <w:rPr>
          <w:lang w:val="en-US"/>
        </w:rPr>
        <w:t xml:space="preserve">would be appropriate for </w:t>
      </w:r>
      <w:r w:rsidR="003350C1">
        <w:rPr>
          <w:lang w:val="en-US"/>
        </w:rPr>
        <w:t xml:space="preserve">reforming the environmental </w:t>
      </w:r>
      <w:r w:rsidR="0093669C">
        <w:rPr>
          <w:lang w:val="en-US"/>
        </w:rPr>
        <w:t>compliance</w:t>
      </w:r>
      <w:r w:rsidR="003350C1">
        <w:rPr>
          <w:lang w:val="en-US"/>
        </w:rPr>
        <w:t xml:space="preserve"> function</w:t>
      </w:r>
      <w:r w:rsidR="0093669C">
        <w:rPr>
          <w:lang w:val="en-US"/>
        </w:rPr>
        <w:t>.</w:t>
      </w:r>
    </w:p>
    <w:p w14:paraId="59A18A23" w14:textId="1699FC8E" w:rsidR="00D27D46" w:rsidRDefault="00612053" w:rsidP="008D1250">
      <w:pPr>
        <w:rPr>
          <w:lang w:val="en-US"/>
        </w:rPr>
      </w:pPr>
      <w:r>
        <w:rPr>
          <w:lang w:val="en-US"/>
        </w:rPr>
        <w:t>Discrete</w:t>
      </w:r>
      <w:r w:rsidR="00D27D46">
        <w:rPr>
          <w:lang w:val="en-US"/>
        </w:rPr>
        <w:t xml:space="preserve"> packages of work and the resources required to implement </w:t>
      </w:r>
      <w:r w:rsidR="00BE5B56">
        <w:rPr>
          <w:lang w:val="en-US"/>
        </w:rPr>
        <w:t>the recommended</w:t>
      </w:r>
      <w:r w:rsidR="00D27D46">
        <w:rPr>
          <w:lang w:val="en-US"/>
        </w:rPr>
        <w:t xml:space="preserve"> program of reforms </w:t>
      </w:r>
      <w:r w:rsidR="00C645A2">
        <w:rPr>
          <w:lang w:val="en-US"/>
        </w:rPr>
        <w:t>are</w:t>
      </w:r>
      <w:r w:rsidR="00D27D46">
        <w:rPr>
          <w:lang w:val="en-US"/>
        </w:rPr>
        <w:t xml:space="preserve"> discussed in more detail </w:t>
      </w:r>
      <w:r w:rsidR="009920CD">
        <w:rPr>
          <w:lang w:val="en-US"/>
        </w:rPr>
        <w:t xml:space="preserve">below </w:t>
      </w:r>
      <w:r w:rsidR="00D27D46">
        <w:rPr>
          <w:lang w:val="en-US"/>
        </w:rPr>
        <w:t xml:space="preserve">in the section on </w:t>
      </w:r>
      <w:hyperlink w:anchor="_Resources" w:history="1">
        <w:r w:rsidR="00D27D46" w:rsidRPr="00612053">
          <w:rPr>
            <w:rStyle w:val="Hyperlink"/>
            <w:lang w:val="en-US"/>
          </w:rPr>
          <w:t>Resources</w:t>
        </w:r>
      </w:hyperlink>
      <w:r w:rsidR="00D27D46">
        <w:rPr>
          <w:lang w:val="en-US"/>
        </w:rPr>
        <w:t>.</w:t>
      </w:r>
    </w:p>
    <w:p w14:paraId="063CD2EF" w14:textId="1283A37C" w:rsidR="007E4914" w:rsidRPr="000A769E" w:rsidRDefault="00E8120D" w:rsidP="000A769E">
      <w:pPr>
        <w:pStyle w:val="Heading4"/>
      </w:pPr>
      <w:r w:rsidRPr="000A769E">
        <w:t>Recommendation</w:t>
      </w:r>
      <w:r w:rsidR="00C92064" w:rsidRPr="000A769E">
        <w:t xml:space="preserve"> 1</w:t>
      </w:r>
    </w:p>
    <w:p w14:paraId="0161A245" w14:textId="29B902EF" w:rsidR="007E4914" w:rsidRDefault="007E4914" w:rsidP="007E4914">
      <w:pPr>
        <w:spacing w:after="200" w:line="276" w:lineRule="auto"/>
        <w:rPr>
          <w:b/>
          <w:bCs/>
        </w:rPr>
      </w:pPr>
      <w:r w:rsidRPr="007E4914">
        <w:rPr>
          <w:b/>
          <w:bCs/>
        </w:rPr>
        <w:t>The Department initiate a comprehensive reform program of its environmental compliance functions (</w:t>
      </w:r>
      <w:hyperlink w:anchor="_Attachment_A_–" w:history="1">
        <w:r w:rsidRPr="007E4914">
          <w:rPr>
            <w:rStyle w:val="Hyperlink"/>
            <w:b/>
            <w:bCs/>
          </w:rPr>
          <w:t>Attachment A</w:t>
        </w:r>
      </w:hyperlink>
      <w:r w:rsidRPr="007E4914">
        <w:rPr>
          <w:b/>
          <w:bCs/>
        </w:rPr>
        <w:t>) that addresses its governance, structure and resources, information management and intelligence, regulatory tools, approach to risk, prioritisation, and stakeholder partnerships and engagement with the aim of developing environmental compliance as a model national approach (centre of excellence)</w:t>
      </w:r>
      <w:r w:rsidR="008267BE">
        <w:rPr>
          <w:b/>
          <w:bCs/>
        </w:rPr>
        <w:t>.</w:t>
      </w:r>
    </w:p>
    <w:p w14:paraId="3C18212F" w14:textId="070A5BD5" w:rsidR="00E11D20" w:rsidRDefault="032AC1C6" w:rsidP="00FD416A">
      <w:pPr>
        <w:pStyle w:val="Heading2"/>
        <w:rPr>
          <w:lang w:val="en-US"/>
        </w:rPr>
      </w:pPr>
      <w:bookmarkStart w:id="47" w:name="_Toc72504396"/>
      <w:r w:rsidRPr="60DDA72E">
        <w:rPr>
          <w:lang w:val="en-US"/>
        </w:rPr>
        <w:t>Governance</w:t>
      </w:r>
      <w:r w:rsidR="00DC75BE" w:rsidRPr="00DC75BE">
        <w:rPr>
          <w:lang w:val="en-US"/>
        </w:rPr>
        <w:t xml:space="preserve"> </w:t>
      </w:r>
      <w:r w:rsidR="00313BA1">
        <w:rPr>
          <w:lang w:val="en-US"/>
        </w:rPr>
        <w:t>and s</w:t>
      </w:r>
      <w:r w:rsidR="00DC75BE">
        <w:rPr>
          <w:lang w:val="en-US"/>
        </w:rPr>
        <w:t>tructure</w:t>
      </w:r>
      <w:bookmarkEnd w:id="47"/>
    </w:p>
    <w:p w14:paraId="305FD54A" w14:textId="7B61E7F0" w:rsidR="00B71DBD" w:rsidRDefault="00D76AD3" w:rsidP="00D76AD3">
      <w:pPr>
        <w:rPr>
          <w:lang w:val="en-US"/>
        </w:rPr>
      </w:pPr>
      <w:r w:rsidRPr="3BEDEA6D">
        <w:rPr>
          <w:lang w:val="en-US"/>
        </w:rPr>
        <w:t xml:space="preserve">The current </w:t>
      </w:r>
      <w:r>
        <w:rPr>
          <w:lang w:val="en-US"/>
        </w:rPr>
        <w:t xml:space="preserve">environmental compliance </w:t>
      </w:r>
      <w:r w:rsidRPr="3BEDEA6D">
        <w:rPr>
          <w:lang w:val="en-US"/>
        </w:rPr>
        <w:t>arrangements fall well short of the approach the Department has committed to in its new Regulatory Practice Statement</w:t>
      </w:r>
      <w:r w:rsidRPr="3BEDEA6D">
        <w:rPr>
          <w:rStyle w:val="FootnoteReference"/>
          <w:lang w:val="en-US"/>
        </w:rPr>
        <w:footnoteReference w:id="9"/>
      </w:r>
      <w:r w:rsidRPr="3BEDEA6D">
        <w:rPr>
          <w:lang w:val="en-US"/>
        </w:rPr>
        <w:t xml:space="preserve">, which describes a model approach to managing regulatory compliance. </w:t>
      </w:r>
      <w:r w:rsidRPr="32782FA1">
        <w:rPr>
          <w:lang w:val="en-US"/>
        </w:rPr>
        <w:t>To create a more effective compliance approach</w:t>
      </w:r>
      <w:r>
        <w:rPr>
          <w:lang w:val="en-US"/>
        </w:rPr>
        <w:t xml:space="preserve">, </w:t>
      </w:r>
      <w:r w:rsidR="00D7460F">
        <w:rPr>
          <w:lang w:val="en-US"/>
        </w:rPr>
        <w:t xml:space="preserve">strong governance is required to ensure that </w:t>
      </w:r>
      <w:r>
        <w:rPr>
          <w:lang w:val="en-US"/>
        </w:rPr>
        <w:t xml:space="preserve">each of the above risks </w:t>
      </w:r>
      <w:r w:rsidR="00D7460F">
        <w:rPr>
          <w:lang w:val="en-US"/>
        </w:rPr>
        <w:t>is</w:t>
      </w:r>
      <w:r>
        <w:rPr>
          <w:lang w:val="en-US"/>
        </w:rPr>
        <w:t xml:space="preserve"> addressed</w:t>
      </w:r>
      <w:r w:rsidR="00943B73">
        <w:rPr>
          <w:lang w:val="en-US"/>
        </w:rPr>
        <w:t xml:space="preserve">, with ongoing assessment and prioritisation of </w:t>
      </w:r>
      <w:r w:rsidR="00FA359A">
        <w:rPr>
          <w:lang w:val="en-US"/>
        </w:rPr>
        <w:t>residual</w:t>
      </w:r>
      <w:r w:rsidR="00943B73">
        <w:rPr>
          <w:lang w:val="en-US"/>
        </w:rPr>
        <w:t xml:space="preserve"> and emerging risks</w:t>
      </w:r>
      <w:r>
        <w:rPr>
          <w:lang w:val="en-US"/>
        </w:rPr>
        <w:t>.</w:t>
      </w:r>
    </w:p>
    <w:p w14:paraId="2DFC756F" w14:textId="77777777" w:rsidR="009A78A2" w:rsidRDefault="009A78A2" w:rsidP="009A78A2">
      <w:pPr>
        <w:rPr>
          <w:lang w:val="en-US"/>
        </w:rPr>
      </w:pPr>
      <w:r w:rsidRPr="00F855C0">
        <w:rPr>
          <w:lang w:val="en-US"/>
        </w:rPr>
        <w:t>Effective achievement of compliance objectives requires a detailed knowledge of the regulated community, as well as a clear understanding of the legislation being administered.</w:t>
      </w:r>
      <w:r>
        <w:rPr>
          <w:lang w:val="en-US"/>
        </w:rPr>
        <w:t xml:space="preserve"> </w:t>
      </w:r>
      <w:r w:rsidRPr="6D1836CF">
        <w:rPr>
          <w:lang w:val="en-US"/>
        </w:rPr>
        <w:t xml:space="preserve">Retaining a </w:t>
      </w:r>
      <w:r>
        <w:rPr>
          <w:lang w:val="en-US"/>
        </w:rPr>
        <w:t xml:space="preserve">specialised </w:t>
      </w:r>
      <w:r w:rsidRPr="6D1836CF">
        <w:rPr>
          <w:lang w:val="en-US"/>
        </w:rPr>
        <w:t>focus on environmental compliance is essential to maintain this sectoral knowledge</w:t>
      </w:r>
      <w:r>
        <w:rPr>
          <w:lang w:val="en-US"/>
        </w:rPr>
        <w:t>.</w:t>
      </w:r>
    </w:p>
    <w:p w14:paraId="7F922C28" w14:textId="5AAD17A8" w:rsidR="00D76AD3" w:rsidRPr="00E91D68" w:rsidRDefault="00D76AD3" w:rsidP="00D76AD3">
      <w:pPr>
        <w:rPr>
          <w:lang w:val="en-US"/>
        </w:rPr>
      </w:pPr>
      <w:r>
        <w:rPr>
          <w:lang w:val="en-US"/>
        </w:rPr>
        <w:t>G</w:t>
      </w:r>
      <w:r w:rsidRPr="00E91D68">
        <w:rPr>
          <w:lang w:val="en-US"/>
        </w:rPr>
        <w:t>iven the Commonwealth’s responsibilities for matters of national environmental significance (MNES), Australia's borders (including Australian waters) and international treaty obligations</w:t>
      </w:r>
      <w:r>
        <w:rPr>
          <w:lang w:val="en-US"/>
        </w:rPr>
        <w:t>,</w:t>
      </w:r>
      <w:r w:rsidRPr="00E91D68">
        <w:rPr>
          <w:lang w:val="en-US"/>
        </w:rPr>
        <w:t xml:space="preserve"> </w:t>
      </w:r>
      <w:r>
        <w:rPr>
          <w:lang w:val="en-US"/>
        </w:rPr>
        <w:t>the Review considers</w:t>
      </w:r>
      <w:r w:rsidRPr="00E91D68">
        <w:rPr>
          <w:lang w:val="en-US"/>
        </w:rPr>
        <w:t xml:space="preserve"> that</w:t>
      </w:r>
      <w:r>
        <w:rPr>
          <w:lang w:val="en-US"/>
        </w:rPr>
        <w:t>,</w:t>
      </w:r>
      <w:r w:rsidRPr="00E91D68">
        <w:rPr>
          <w:lang w:val="en-US"/>
        </w:rPr>
        <w:t xml:space="preserve"> in </w:t>
      </w:r>
      <w:r>
        <w:rPr>
          <w:lang w:val="en-US"/>
        </w:rPr>
        <w:t>addition to addressing the specific regulatory risks outlined above</w:t>
      </w:r>
      <w:r w:rsidR="00FA359A">
        <w:rPr>
          <w:lang w:val="en-US"/>
        </w:rPr>
        <w:t>,</w:t>
      </w:r>
      <w:r>
        <w:rPr>
          <w:lang w:val="en-US"/>
        </w:rPr>
        <w:t xml:space="preserve"> the Department needs to make a number of changes to </w:t>
      </w:r>
      <w:r w:rsidR="00B71DBD" w:rsidRPr="2AF6B18B">
        <w:rPr>
          <w:lang w:val="en-US"/>
        </w:rPr>
        <w:t xml:space="preserve">strengthen the </w:t>
      </w:r>
      <w:r w:rsidR="00B71DBD" w:rsidRPr="7562C52D">
        <w:rPr>
          <w:lang w:val="en-US"/>
        </w:rPr>
        <w:t xml:space="preserve">governance </w:t>
      </w:r>
      <w:r w:rsidR="00B71DBD" w:rsidRPr="3F858226">
        <w:rPr>
          <w:lang w:val="en-US"/>
        </w:rPr>
        <w:t>framework</w:t>
      </w:r>
      <w:r w:rsidR="00B71DBD" w:rsidRPr="7562C52D">
        <w:rPr>
          <w:lang w:val="en-US"/>
        </w:rPr>
        <w:t xml:space="preserve"> that supports </w:t>
      </w:r>
      <w:r w:rsidR="00C10ECA">
        <w:rPr>
          <w:lang w:val="en-US"/>
        </w:rPr>
        <w:t xml:space="preserve">ECB </w:t>
      </w:r>
      <w:r>
        <w:rPr>
          <w:lang w:val="en-US"/>
        </w:rPr>
        <w:t>so that it</w:t>
      </w:r>
      <w:r w:rsidR="00471F80">
        <w:rPr>
          <w:lang w:val="en-US"/>
        </w:rPr>
        <w:t xml:space="preserve">s </w:t>
      </w:r>
      <w:r w:rsidR="00862309">
        <w:rPr>
          <w:lang w:val="en-US"/>
        </w:rPr>
        <w:t xml:space="preserve">compliance functions are </w:t>
      </w:r>
      <w:r w:rsidR="00081AA0">
        <w:rPr>
          <w:lang w:val="en-US"/>
        </w:rPr>
        <w:t xml:space="preserve">achieving the objects of the </w:t>
      </w:r>
      <w:r w:rsidR="00FA359A">
        <w:rPr>
          <w:lang w:val="en-US"/>
        </w:rPr>
        <w:t xml:space="preserve">full suite of </w:t>
      </w:r>
      <w:r w:rsidR="00081AA0">
        <w:rPr>
          <w:lang w:val="en-US"/>
        </w:rPr>
        <w:t>legislation</w:t>
      </w:r>
      <w:r w:rsidR="00267167">
        <w:rPr>
          <w:lang w:val="en-US"/>
        </w:rPr>
        <w:t>,</w:t>
      </w:r>
      <w:r w:rsidR="00081AA0">
        <w:rPr>
          <w:lang w:val="en-US"/>
        </w:rPr>
        <w:t xml:space="preserve"> </w:t>
      </w:r>
      <w:r w:rsidR="00862309">
        <w:rPr>
          <w:lang w:val="en-US"/>
        </w:rPr>
        <w:t>including</w:t>
      </w:r>
      <w:r w:rsidR="00AF450F">
        <w:rPr>
          <w:lang w:val="en-US"/>
        </w:rPr>
        <w:t xml:space="preserve"> by</w:t>
      </w:r>
      <w:r>
        <w:rPr>
          <w:lang w:val="en-US"/>
        </w:rPr>
        <w:t>:</w:t>
      </w:r>
    </w:p>
    <w:p w14:paraId="25B4F065" w14:textId="4DF7DD3C" w:rsidR="00D76AD3" w:rsidRPr="00E91D68" w:rsidRDefault="00D76AD3" w:rsidP="00D76AD3">
      <w:pPr>
        <w:pStyle w:val="ListParagraph"/>
        <w:numPr>
          <w:ilvl w:val="0"/>
          <w:numId w:val="4"/>
        </w:numPr>
        <w:rPr>
          <w:lang w:val="en-US"/>
        </w:rPr>
      </w:pPr>
      <w:r>
        <w:rPr>
          <w:lang w:val="en-US"/>
        </w:rPr>
        <w:t>r</w:t>
      </w:r>
      <w:r w:rsidRPr="1A325935">
        <w:rPr>
          <w:lang w:val="en-US"/>
        </w:rPr>
        <w:t xml:space="preserve">etaining a dedicated environmental </w:t>
      </w:r>
      <w:r w:rsidRPr="2AF6B18B">
        <w:rPr>
          <w:lang w:val="en-US"/>
        </w:rPr>
        <w:t>compliance team</w:t>
      </w:r>
    </w:p>
    <w:p w14:paraId="297721E4" w14:textId="787CAA69" w:rsidR="00D76AD3" w:rsidRPr="00E91D68" w:rsidRDefault="00D76AD3" w:rsidP="00D76AD3">
      <w:pPr>
        <w:pStyle w:val="ListParagraph"/>
        <w:numPr>
          <w:ilvl w:val="0"/>
          <w:numId w:val="4"/>
        </w:numPr>
        <w:rPr>
          <w:lang w:val="en-US"/>
        </w:rPr>
      </w:pPr>
      <w:r>
        <w:rPr>
          <w:lang w:val="en-US"/>
        </w:rPr>
        <w:t>i</w:t>
      </w:r>
      <w:r w:rsidRPr="5F8230EF">
        <w:rPr>
          <w:lang w:val="en-US"/>
        </w:rPr>
        <w:t>ncreasing the resources</w:t>
      </w:r>
      <w:r w:rsidR="00B77D16">
        <w:rPr>
          <w:lang w:val="en-US"/>
        </w:rPr>
        <w:t>,</w:t>
      </w:r>
      <w:r w:rsidRPr="5F8230EF">
        <w:rPr>
          <w:lang w:val="en-US"/>
        </w:rPr>
        <w:t xml:space="preserve"> </w:t>
      </w:r>
      <w:r w:rsidR="00B77D16" w:rsidRPr="24BD245D">
        <w:rPr>
          <w:lang w:val="en-US"/>
        </w:rPr>
        <w:t xml:space="preserve">capability and skill </w:t>
      </w:r>
      <w:r w:rsidR="00B77D16" w:rsidRPr="278A8B63">
        <w:rPr>
          <w:lang w:val="en-US"/>
        </w:rPr>
        <w:t>set</w:t>
      </w:r>
      <w:r w:rsidR="00B77D16" w:rsidRPr="5F8230EF">
        <w:rPr>
          <w:lang w:val="en-US"/>
        </w:rPr>
        <w:t xml:space="preserve"> </w:t>
      </w:r>
      <w:r w:rsidR="00B77D16">
        <w:rPr>
          <w:lang w:val="en-US"/>
        </w:rPr>
        <w:t>for</w:t>
      </w:r>
      <w:r w:rsidRPr="3E007C42">
        <w:rPr>
          <w:lang w:val="en-US"/>
        </w:rPr>
        <w:t xml:space="preserve"> environmental compliance</w:t>
      </w:r>
    </w:p>
    <w:p w14:paraId="5A5C0171" w14:textId="6D4664D0" w:rsidR="00D76AD3" w:rsidRPr="00E91D68" w:rsidRDefault="00D76AD3" w:rsidP="00D76AD3">
      <w:pPr>
        <w:pStyle w:val="ListParagraph"/>
        <w:numPr>
          <w:ilvl w:val="0"/>
          <w:numId w:val="4"/>
        </w:numPr>
        <w:rPr>
          <w:lang w:val="en-US"/>
        </w:rPr>
      </w:pPr>
      <w:r w:rsidRPr="278A8B63">
        <w:rPr>
          <w:lang w:val="en-US"/>
        </w:rPr>
        <w:t>building</w:t>
      </w:r>
      <w:r w:rsidRPr="00E91D68">
        <w:rPr>
          <w:lang w:val="en-US"/>
        </w:rPr>
        <w:t xml:space="preserve"> up </w:t>
      </w:r>
      <w:r w:rsidR="004F2C9D">
        <w:rPr>
          <w:lang w:val="en-US"/>
        </w:rPr>
        <w:t xml:space="preserve">its </w:t>
      </w:r>
      <w:r w:rsidRPr="00E91D68">
        <w:rPr>
          <w:lang w:val="en-US"/>
        </w:rPr>
        <w:t xml:space="preserve">information </w:t>
      </w:r>
      <w:r w:rsidR="00B77D16">
        <w:rPr>
          <w:lang w:val="en-US"/>
        </w:rPr>
        <w:t xml:space="preserve">management </w:t>
      </w:r>
      <w:r w:rsidRPr="00E91D68">
        <w:rPr>
          <w:lang w:val="en-US"/>
        </w:rPr>
        <w:t xml:space="preserve">and intelligence </w:t>
      </w:r>
      <w:r w:rsidR="00B77D16">
        <w:rPr>
          <w:lang w:val="en-US"/>
        </w:rPr>
        <w:t>capacity</w:t>
      </w:r>
    </w:p>
    <w:p w14:paraId="16B02F2F" w14:textId="77777777" w:rsidR="00D76AD3" w:rsidRPr="00E91D68" w:rsidRDefault="00D76AD3" w:rsidP="00D76AD3">
      <w:pPr>
        <w:pStyle w:val="ListParagraph"/>
        <w:numPr>
          <w:ilvl w:val="0"/>
          <w:numId w:val="4"/>
        </w:numPr>
        <w:rPr>
          <w:lang w:val="en-US"/>
        </w:rPr>
      </w:pPr>
      <w:r w:rsidRPr="00E91D68">
        <w:rPr>
          <w:lang w:val="en-US"/>
        </w:rPr>
        <w:lastRenderedPageBreak/>
        <w:t>putting more effort into strategic planning and priority-setting</w:t>
      </w:r>
    </w:p>
    <w:p w14:paraId="000EDD78" w14:textId="34E34370" w:rsidR="00D76AD3" w:rsidRDefault="00D76AD3" w:rsidP="00D76AD3">
      <w:pPr>
        <w:pStyle w:val="ListParagraph"/>
        <w:numPr>
          <w:ilvl w:val="0"/>
          <w:numId w:val="4"/>
        </w:numPr>
        <w:rPr>
          <w:lang w:val="en-US"/>
        </w:rPr>
      </w:pPr>
      <w:r w:rsidRPr="00E91D68">
        <w:rPr>
          <w:lang w:val="en-US"/>
        </w:rPr>
        <w:t xml:space="preserve">strengthening partnerships with other Commonwealth </w:t>
      </w:r>
      <w:r>
        <w:rPr>
          <w:lang w:val="en-US"/>
        </w:rPr>
        <w:t xml:space="preserve">and state </w:t>
      </w:r>
      <w:r w:rsidRPr="00E91D68">
        <w:rPr>
          <w:lang w:val="en-US"/>
        </w:rPr>
        <w:t>agencies who have on-the-ground monitoring and surveillance capabilities</w:t>
      </w:r>
      <w:r w:rsidR="004F2C9D" w:rsidRPr="004F2C9D">
        <w:rPr>
          <w:lang w:val="en-US"/>
        </w:rPr>
        <w:t xml:space="preserve"> </w:t>
      </w:r>
      <w:r w:rsidR="004F2C9D">
        <w:rPr>
          <w:lang w:val="en-US"/>
        </w:rPr>
        <w:t>to optimise</w:t>
      </w:r>
      <w:r w:rsidR="004F2C9D" w:rsidRPr="00E91D68">
        <w:rPr>
          <w:lang w:val="en-US"/>
        </w:rPr>
        <w:t xml:space="preserve"> </w:t>
      </w:r>
      <w:r w:rsidR="004F2C9D">
        <w:rPr>
          <w:lang w:val="en-US"/>
        </w:rPr>
        <w:t xml:space="preserve">the benefit of available environmental protection </w:t>
      </w:r>
      <w:r w:rsidR="004F2C9D" w:rsidRPr="00E91D68">
        <w:rPr>
          <w:lang w:val="en-US"/>
        </w:rPr>
        <w:t>resources</w:t>
      </w:r>
      <w:r w:rsidRPr="00E91D68">
        <w:rPr>
          <w:lang w:val="en-US"/>
        </w:rPr>
        <w:t>.</w:t>
      </w:r>
    </w:p>
    <w:p w14:paraId="00B3150B" w14:textId="6A56B232" w:rsidR="003126F8" w:rsidRDefault="00C074D2" w:rsidP="009C151C">
      <w:pPr>
        <w:rPr>
          <w:lang w:val="en-US"/>
        </w:rPr>
      </w:pPr>
      <w:r>
        <w:rPr>
          <w:lang w:val="en-US"/>
        </w:rPr>
        <w:t>Compliance should</w:t>
      </w:r>
      <w:r w:rsidR="003126F8" w:rsidRPr="6D1836CF">
        <w:rPr>
          <w:lang w:val="en-US"/>
        </w:rPr>
        <w:t xml:space="preserve"> operate as an integral part of overall environmental program management.</w:t>
      </w:r>
      <w:r>
        <w:rPr>
          <w:lang w:val="en-US"/>
        </w:rPr>
        <w:t xml:space="preserve"> Many stakeholders </w:t>
      </w:r>
      <w:r w:rsidR="0092513B">
        <w:rPr>
          <w:lang w:val="en-US"/>
        </w:rPr>
        <w:t>regard</w:t>
      </w:r>
      <w:r>
        <w:rPr>
          <w:lang w:val="en-US"/>
        </w:rPr>
        <w:t xml:space="preserve"> compliance </w:t>
      </w:r>
      <w:r w:rsidR="008273C2">
        <w:rPr>
          <w:lang w:val="en-US"/>
        </w:rPr>
        <w:t>as a cycle of activity with</w:t>
      </w:r>
      <w:r w:rsidR="00693918">
        <w:rPr>
          <w:lang w:val="en-US"/>
        </w:rPr>
        <w:t xml:space="preserve"> three </w:t>
      </w:r>
      <w:r w:rsidR="00225124">
        <w:rPr>
          <w:lang w:val="en-US"/>
        </w:rPr>
        <w:t xml:space="preserve">iterative </w:t>
      </w:r>
      <w:r w:rsidR="00693918">
        <w:rPr>
          <w:lang w:val="en-US"/>
        </w:rPr>
        <w:t>parts: 1</w:t>
      </w:r>
      <w:r w:rsidR="00E77647">
        <w:rPr>
          <w:lang w:val="en-US"/>
        </w:rPr>
        <w:t>)</w:t>
      </w:r>
      <w:r w:rsidR="00693918">
        <w:rPr>
          <w:lang w:val="en-US"/>
        </w:rPr>
        <w:t xml:space="preserve"> approvals</w:t>
      </w:r>
      <w:r w:rsidR="00C645A2">
        <w:rPr>
          <w:lang w:val="en-US"/>
        </w:rPr>
        <w:t>;</w:t>
      </w:r>
      <w:r w:rsidR="00693918">
        <w:rPr>
          <w:lang w:val="en-US"/>
        </w:rPr>
        <w:t xml:space="preserve"> 2</w:t>
      </w:r>
      <w:r w:rsidR="00E77647">
        <w:rPr>
          <w:lang w:val="en-US"/>
        </w:rPr>
        <w:t>)</w:t>
      </w:r>
      <w:r w:rsidR="00693918">
        <w:rPr>
          <w:lang w:val="en-US"/>
        </w:rPr>
        <w:t xml:space="preserve"> post</w:t>
      </w:r>
      <w:r w:rsidR="009A408D">
        <w:rPr>
          <w:lang w:val="en-US"/>
        </w:rPr>
        <w:t>-</w:t>
      </w:r>
      <w:r w:rsidR="00693918">
        <w:rPr>
          <w:lang w:val="en-US"/>
        </w:rPr>
        <w:t>approval follow</w:t>
      </w:r>
      <w:r w:rsidR="0092513B">
        <w:rPr>
          <w:lang w:val="en-US"/>
        </w:rPr>
        <w:t>-</w:t>
      </w:r>
      <w:r w:rsidR="00693918">
        <w:rPr>
          <w:lang w:val="en-US"/>
        </w:rPr>
        <w:t>up</w:t>
      </w:r>
      <w:r w:rsidR="00C645A2">
        <w:rPr>
          <w:lang w:val="en-US"/>
        </w:rPr>
        <w:t>;</w:t>
      </w:r>
      <w:r w:rsidR="00693918">
        <w:rPr>
          <w:lang w:val="en-US"/>
        </w:rPr>
        <w:t xml:space="preserve"> and 3</w:t>
      </w:r>
      <w:r w:rsidR="00E77647">
        <w:rPr>
          <w:lang w:val="en-US"/>
        </w:rPr>
        <w:t>)</w:t>
      </w:r>
      <w:r w:rsidR="00693918">
        <w:rPr>
          <w:lang w:val="en-US"/>
        </w:rPr>
        <w:t xml:space="preserve"> </w:t>
      </w:r>
      <w:r w:rsidR="008F5CA6">
        <w:rPr>
          <w:lang w:val="en-US"/>
        </w:rPr>
        <w:t>ongoing</w:t>
      </w:r>
      <w:r w:rsidR="005E3DA8">
        <w:rPr>
          <w:lang w:val="en-US"/>
        </w:rPr>
        <w:t xml:space="preserve"> compliance</w:t>
      </w:r>
      <w:r w:rsidR="007E5D8D">
        <w:rPr>
          <w:lang w:val="en-US"/>
        </w:rPr>
        <w:t xml:space="preserve">. </w:t>
      </w:r>
      <w:r w:rsidR="00225124">
        <w:rPr>
          <w:lang w:val="en-US"/>
        </w:rPr>
        <w:t>T</w:t>
      </w:r>
      <w:r w:rsidR="00E77647">
        <w:rPr>
          <w:lang w:val="en-US"/>
        </w:rPr>
        <w:t xml:space="preserve">he knowledge and insights gained from steps 1 and 2 </w:t>
      </w:r>
      <w:r w:rsidR="0092513B">
        <w:rPr>
          <w:lang w:val="en-US"/>
        </w:rPr>
        <w:t>are</w:t>
      </w:r>
      <w:r w:rsidR="00E77647">
        <w:rPr>
          <w:lang w:val="en-US"/>
        </w:rPr>
        <w:t xml:space="preserve"> integral to </w:t>
      </w:r>
      <w:r w:rsidR="00FC6818">
        <w:rPr>
          <w:lang w:val="en-US"/>
        </w:rPr>
        <w:t xml:space="preserve">identifying </w:t>
      </w:r>
      <w:r w:rsidR="00025C5E">
        <w:rPr>
          <w:lang w:val="en-US"/>
        </w:rPr>
        <w:t>potential</w:t>
      </w:r>
      <w:r w:rsidR="00FC6818">
        <w:rPr>
          <w:lang w:val="en-US"/>
        </w:rPr>
        <w:t xml:space="preserve"> and actual </w:t>
      </w:r>
      <w:r w:rsidR="00633C75">
        <w:rPr>
          <w:lang w:val="en-US"/>
        </w:rPr>
        <w:t>non-compliance</w:t>
      </w:r>
      <w:r w:rsidR="009A408D">
        <w:rPr>
          <w:lang w:val="en-US"/>
        </w:rPr>
        <w:t xml:space="preserve"> in step 3</w:t>
      </w:r>
      <w:r w:rsidR="00693918">
        <w:rPr>
          <w:lang w:val="en-US"/>
        </w:rPr>
        <w:t xml:space="preserve">. </w:t>
      </w:r>
      <w:r w:rsidR="00FC6818">
        <w:rPr>
          <w:lang w:val="en-US"/>
        </w:rPr>
        <w:t xml:space="preserve">For example, </w:t>
      </w:r>
      <w:r w:rsidR="00327DBB">
        <w:rPr>
          <w:lang w:val="en-US"/>
        </w:rPr>
        <w:t>difficulty</w:t>
      </w:r>
      <w:r w:rsidR="00754EAD">
        <w:rPr>
          <w:lang w:val="en-US"/>
        </w:rPr>
        <w:t xml:space="preserve"> complying with </w:t>
      </w:r>
      <w:r w:rsidR="0025376D">
        <w:rPr>
          <w:lang w:val="en-US"/>
        </w:rPr>
        <w:t xml:space="preserve">early </w:t>
      </w:r>
      <w:r w:rsidR="007E5D8D">
        <w:rPr>
          <w:lang w:val="en-US"/>
        </w:rPr>
        <w:t>post</w:t>
      </w:r>
      <w:r w:rsidR="009A408D">
        <w:rPr>
          <w:lang w:val="en-US"/>
        </w:rPr>
        <w:t>-</w:t>
      </w:r>
      <w:r w:rsidR="007E5D8D">
        <w:rPr>
          <w:lang w:val="en-US"/>
        </w:rPr>
        <w:t xml:space="preserve">approval </w:t>
      </w:r>
      <w:r w:rsidR="00754EAD">
        <w:rPr>
          <w:lang w:val="en-US"/>
        </w:rPr>
        <w:t xml:space="preserve">conditions </w:t>
      </w:r>
      <w:r w:rsidR="00E40080">
        <w:rPr>
          <w:lang w:val="en-US"/>
        </w:rPr>
        <w:t>often indicate</w:t>
      </w:r>
      <w:r w:rsidR="001265E6">
        <w:rPr>
          <w:lang w:val="en-US"/>
        </w:rPr>
        <w:t>s</w:t>
      </w:r>
      <w:r w:rsidR="00754EAD">
        <w:rPr>
          <w:lang w:val="en-US"/>
        </w:rPr>
        <w:t xml:space="preserve"> </w:t>
      </w:r>
      <w:r w:rsidR="008F5CA6">
        <w:rPr>
          <w:lang w:val="en-US"/>
        </w:rPr>
        <w:t xml:space="preserve">the need for </w:t>
      </w:r>
      <w:r w:rsidR="007E5D8D">
        <w:rPr>
          <w:lang w:val="en-US"/>
        </w:rPr>
        <w:t>increas</w:t>
      </w:r>
      <w:r w:rsidR="0025376D">
        <w:rPr>
          <w:lang w:val="en-US"/>
        </w:rPr>
        <w:t>ed</w:t>
      </w:r>
      <w:r w:rsidR="007E5D8D">
        <w:rPr>
          <w:lang w:val="en-US"/>
        </w:rPr>
        <w:t xml:space="preserve"> monitoring and</w:t>
      </w:r>
      <w:r w:rsidR="001C3E88">
        <w:rPr>
          <w:lang w:val="en-US"/>
        </w:rPr>
        <w:t>,</w:t>
      </w:r>
      <w:r w:rsidR="007E5D8D">
        <w:rPr>
          <w:lang w:val="en-US"/>
        </w:rPr>
        <w:t xml:space="preserve"> if need be</w:t>
      </w:r>
      <w:r w:rsidR="001C3E88">
        <w:rPr>
          <w:lang w:val="en-US"/>
        </w:rPr>
        <w:t>,</w:t>
      </w:r>
      <w:r w:rsidR="007E5D8D">
        <w:rPr>
          <w:lang w:val="en-US"/>
        </w:rPr>
        <w:t xml:space="preserve"> </w:t>
      </w:r>
      <w:r w:rsidR="00754EAD">
        <w:rPr>
          <w:lang w:val="en-US"/>
        </w:rPr>
        <w:t xml:space="preserve">early </w:t>
      </w:r>
      <w:r w:rsidR="001C3E88">
        <w:rPr>
          <w:lang w:val="en-US"/>
        </w:rPr>
        <w:t>intervention</w:t>
      </w:r>
      <w:r w:rsidR="005641A8">
        <w:rPr>
          <w:lang w:val="en-US"/>
        </w:rPr>
        <w:t xml:space="preserve">. Similarly, analysis of common conditions or </w:t>
      </w:r>
      <w:r w:rsidR="007807E8">
        <w:rPr>
          <w:lang w:val="en-US"/>
        </w:rPr>
        <w:t xml:space="preserve">sets of </w:t>
      </w:r>
      <w:r w:rsidR="005641A8">
        <w:rPr>
          <w:lang w:val="en-US"/>
        </w:rPr>
        <w:t xml:space="preserve">conditions </w:t>
      </w:r>
      <w:r w:rsidR="00A823A7">
        <w:rPr>
          <w:lang w:val="en-US"/>
        </w:rPr>
        <w:t>that</w:t>
      </w:r>
      <w:r w:rsidR="005641A8">
        <w:rPr>
          <w:lang w:val="en-US"/>
        </w:rPr>
        <w:t xml:space="preserve"> </w:t>
      </w:r>
      <w:r w:rsidR="000A57F4">
        <w:rPr>
          <w:lang w:val="en-US"/>
        </w:rPr>
        <w:t>proponents</w:t>
      </w:r>
      <w:r w:rsidR="005641A8">
        <w:rPr>
          <w:lang w:val="en-US"/>
        </w:rPr>
        <w:t xml:space="preserve"> are </w:t>
      </w:r>
      <w:r w:rsidR="00A823A7">
        <w:rPr>
          <w:lang w:val="en-US"/>
        </w:rPr>
        <w:t xml:space="preserve">consistently </w:t>
      </w:r>
      <w:r w:rsidR="005641A8">
        <w:rPr>
          <w:lang w:val="en-US"/>
        </w:rPr>
        <w:t xml:space="preserve">having trouble </w:t>
      </w:r>
      <w:r w:rsidR="00926B6E">
        <w:rPr>
          <w:lang w:val="en-US"/>
        </w:rPr>
        <w:t xml:space="preserve">implementing will </w:t>
      </w:r>
      <w:r w:rsidR="00A823A7">
        <w:rPr>
          <w:lang w:val="en-US"/>
        </w:rPr>
        <w:t xml:space="preserve">suggest </w:t>
      </w:r>
      <w:r w:rsidR="007807E8">
        <w:rPr>
          <w:lang w:val="en-US"/>
        </w:rPr>
        <w:t>that</w:t>
      </w:r>
      <w:r w:rsidR="00926B6E">
        <w:rPr>
          <w:lang w:val="en-US"/>
        </w:rPr>
        <w:t xml:space="preserve"> program</w:t>
      </w:r>
      <w:r w:rsidR="00633C75">
        <w:rPr>
          <w:lang w:val="en-US"/>
        </w:rPr>
        <w:t>-</w:t>
      </w:r>
      <w:r w:rsidR="00926B6E">
        <w:rPr>
          <w:lang w:val="en-US"/>
        </w:rPr>
        <w:t xml:space="preserve">based audits </w:t>
      </w:r>
      <w:r w:rsidR="007807E8">
        <w:rPr>
          <w:lang w:val="en-US"/>
        </w:rPr>
        <w:t>and more widespread follow</w:t>
      </w:r>
      <w:r w:rsidR="0025376D">
        <w:rPr>
          <w:lang w:val="en-US"/>
        </w:rPr>
        <w:t>-</w:t>
      </w:r>
      <w:r w:rsidR="007807E8">
        <w:rPr>
          <w:lang w:val="en-US"/>
        </w:rPr>
        <w:t>up</w:t>
      </w:r>
      <w:r w:rsidR="00926B6E">
        <w:rPr>
          <w:lang w:val="en-US"/>
        </w:rPr>
        <w:t xml:space="preserve"> take place. External stakeholders identified </w:t>
      </w:r>
      <w:r w:rsidR="005D6599">
        <w:rPr>
          <w:lang w:val="en-US"/>
        </w:rPr>
        <w:t>land</w:t>
      </w:r>
      <w:r w:rsidR="000A57F4">
        <w:rPr>
          <w:lang w:val="en-US"/>
        </w:rPr>
        <w:t>-</w:t>
      </w:r>
      <w:r w:rsidR="005D6599">
        <w:rPr>
          <w:lang w:val="en-US"/>
        </w:rPr>
        <w:t xml:space="preserve">clearing and </w:t>
      </w:r>
      <w:r w:rsidR="00BD554B">
        <w:rPr>
          <w:lang w:val="en-US"/>
        </w:rPr>
        <w:t>the difficulties a number of projects are having in meeting offset obligations</w:t>
      </w:r>
      <w:r w:rsidR="005D6599">
        <w:rPr>
          <w:lang w:val="en-US"/>
        </w:rPr>
        <w:t xml:space="preserve"> as one such area</w:t>
      </w:r>
      <w:r w:rsidR="009C56E6">
        <w:rPr>
          <w:lang w:val="en-US"/>
        </w:rPr>
        <w:t xml:space="preserve"> in need of </w:t>
      </w:r>
      <w:r w:rsidR="0020371D">
        <w:rPr>
          <w:lang w:val="en-US"/>
        </w:rPr>
        <w:t>focused compliance action</w:t>
      </w:r>
      <w:r w:rsidR="005D6599">
        <w:rPr>
          <w:lang w:val="en-US"/>
        </w:rPr>
        <w:t>.</w:t>
      </w:r>
    </w:p>
    <w:p w14:paraId="6C4F0F3E" w14:textId="05A78650" w:rsidR="00900979" w:rsidRDefault="00A8232B" w:rsidP="00DA1467">
      <w:pPr>
        <w:rPr>
          <w:lang w:val="en-US"/>
        </w:rPr>
      </w:pPr>
      <w:r w:rsidRPr="7DE5AE8D">
        <w:rPr>
          <w:lang w:val="en-US"/>
        </w:rPr>
        <w:t xml:space="preserve">Following a recent machinery of government change, </w:t>
      </w:r>
      <w:r w:rsidR="002447D2">
        <w:rPr>
          <w:lang w:val="en-US"/>
        </w:rPr>
        <w:t>ECB</w:t>
      </w:r>
      <w:r w:rsidRPr="7DE5AE8D">
        <w:rPr>
          <w:lang w:val="en-US"/>
        </w:rPr>
        <w:t xml:space="preserve"> was relocated into to a broader compliance division (with no other functions relating to environmental protection), which primarily has responsibility for biosecurity compliance and related </w:t>
      </w:r>
      <w:r w:rsidR="0069069B" w:rsidRPr="7DE5AE8D">
        <w:rPr>
          <w:lang w:val="en-US"/>
        </w:rPr>
        <w:t>activities</w:t>
      </w:r>
      <w:r w:rsidR="0069069B">
        <w:rPr>
          <w:lang w:val="en-US"/>
        </w:rPr>
        <w:t>.</w:t>
      </w:r>
      <w:r w:rsidR="0069069B" w:rsidRPr="7DE5AE8D">
        <w:rPr>
          <w:lang w:val="en-US"/>
        </w:rPr>
        <w:t xml:space="preserve"> Whi</w:t>
      </w:r>
      <w:r w:rsidR="0069069B">
        <w:rPr>
          <w:lang w:val="en-US"/>
        </w:rPr>
        <w:t>le</w:t>
      </w:r>
      <w:r w:rsidR="00900979" w:rsidRPr="7DE5AE8D">
        <w:rPr>
          <w:lang w:val="en-US"/>
        </w:rPr>
        <w:t xml:space="preserve"> the aim at that time was to build a centre of excellence for the application and development of compliance skills in a newly amalgamated Department, </w:t>
      </w:r>
      <w:r w:rsidR="000822BA">
        <w:rPr>
          <w:lang w:val="en-US"/>
        </w:rPr>
        <w:t>an unintended consequence</w:t>
      </w:r>
      <w:r w:rsidR="00900979" w:rsidRPr="7DE5AE8D">
        <w:rPr>
          <w:lang w:val="en-US"/>
        </w:rPr>
        <w:t xml:space="preserve"> has been that the environmental compliance function </w:t>
      </w:r>
      <w:r w:rsidR="00900979">
        <w:rPr>
          <w:lang w:val="en-US"/>
        </w:rPr>
        <w:t>has become</w:t>
      </w:r>
      <w:r w:rsidR="00900979" w:rsidRPr="7DE5AE8D">
        <w:rPr>
          <w:lang w:val="en-US"/>
        </w:rPr>
        <w:t xml:space="preserve"> increasingly ineffectual</w:t>
      </w:r>
      <w:r w:rsidR="00201E44">
        <w:rPr>
          <w:lang w:val="en-US"/>
        </w:rPr>
        <w:t>,</w:t>
      </w:r>
      <w:r w:rsidR="00900979" w:rsidRPr="7DE5AE8D">
        <w:rPr>
          <w:lang w:val="en-US"/>
        </w:rPr>
        <w:t xml:space="preserve"> </w:t>
      </w:r>
      <w:r w:rsidR="00201E44">
        <w:rPr>
          <w:lang w:val="en-US"/>
        </w:rPr>
        <w:t xml:space="preserve">focusing </w:t>
      </w:r>
      <w:r w:rsidR="00900979" w:rsidRPr="7DE5AE8D">
        <w:rPr>
          <w:lang w:val="en-US"/>
        </w:rPr>
        <w:t xml:space="preserve">more </w:t>
      </w:r>
      <w:r w:rsidR="00870506">
        <w:rPr>
          <w:lang w:val="en-US"/>
        </w:rPr>
        <w:t>on</w:t>
      </w:r>
      <w:r w:rsidR="00900979" w:rsidRPr="7DE5AE8D">
        <w:rPr>
          <w:lang w:val="en-US"/>
        </w:rPr>
        <w:t xml:space="preserve"> process, managing </w:t>
      </w:r>
      <w:r w:rsidR="00ED523F">
        <w:rPr>
          <w:lang w:val="en-US"/>
        </w:rPr>
        <w:t xml:space="preserve">increasingly scarce </w:t>
      </w:r>
      <w:r w:rsidR="00900979" w:rsidRPr="7DE5AE8D">
        <w:rPr>
          <w:lang w:val="en-US"/>
        </w:rPr>
        <w:t xml:space="preserve">resources and reacting to some of the higher profile issues </w:t>
      </w:r>
      <w:r w:rsidR="00870506">
        <w:rPr>
          <w:lang w:val="en-US"/>
        </w:rPr>
        <w:t>than collab</w:t>
      </w:r>
      <w:r w:rsidR="00310BD9">
        <w:rPr>
          <w:lang w:val="en-US"/>
        </w:rPr>
        <w:t>orating with their</w:t>
      </w:r>
      <w:r w:rsidR="00870506" w:rsidRPr="7DE5AE8D">
        <w:rPr>
          <w:lang w:val="en-US"/>
        </w:rPr>
        <w:t xml:space="preserve"> environmental program counterparts</w:t>
      </w:r>
      <w:r w:rsidR="00ED523F">
        <w:rPr>
          <w:lang w:val="en-US"/>
        </w:rPr>
        <w:t xml:space="preserve"> to set prioritie</w:t>
      </w:r>
      <w:r w:rsidR="00086DC6">
        <w:rPr>
          <w:lang w:val="en-US"/>
        </w:rPr>
        <w:t>s for</w:t>
      </w:r>
      <w:r w:rsidR="00310BD9">
        <w:rPr>
          <w:lang w:val="en-US"/>
        </w:rPr>
        <w:t xml:space="preserve"> improv</w:t>
      </w:r>
      <w:r w:rsidR="00086DC6">
        <w:rPr>
          <w:lang w:val="en-US"/>
        </w:rPr>
        <w:t>ing</w:t>
      </w:r>
      <w:r w:rsidR="00900979" w:rsidRPr="7DE5AE8D">
        <w:rPr>
          <w:lang w:val="en-US"/>
        </w:rPr>
        <w:t xml:space="preserve"> environmental outcomes</w:t>
      </w:r>
      <w:r w:rsidR="00900979">
        <w:rPr>
          <w:lang w:val="en-US"/>
        </w:rPr>
        <w:t>.</w:t>
      </w:r>
    </w:p>
    <w:p w14:paraId="2D256EB6" w14:textId="4F7E2D8F" w:rsidR="002B1124" w:rsidRPr="0064716B" w:rsidRDefault="00814ACE" w:rsidP="002B1124">
      <w:pPr>
        <w:rPr>
          <w:lang w:val="en-US"/>
        </w:rPr>
      </w:pPr>
      <w:r>
        <w:rPr>
          <w:lang w:val="en-US"/>
        </w:rPr>
        <w:t>The structural separation of ECB</w:t>
      </w:r>
      <w:r w:rsidR="00AA52F4">
        <w:rPr>
          <w:lang w:val="en-US"/>
        </w:rPr>
        <w:t xml:space="preserve"> from the day-to-day management of environmental programs, including the assessment and post-approval functions of the EPBC </w:t>
      </w:r>
      <w:r w:rsidR="002C3EB3">
        <w:rPr>
          <w:lang w:val="en-US"/>
        </w:rPr>
        <w:t xml:space="preserve">Act </w:t>
      </w:r>
      <w:r w:rsidR="00AA52F4">
        <w:rPr>
          <w:lang w:val="en-US"/>
        </w:rPr>
        <w:t>and all other environmental legislation</w:t>
      </w:r>
      <w:r w:rsidR="008D5AB3">
        <w:rPr>
          <w:lang w:val="en-US"/>
        </w:rPr>
        <w:t xml:space="preserve"> creates challenges for program administration</w:t>
      </w:r>
      <w:r w:rsidR="00AA52F4">
        <w:rPr>
          <w:lang w:val="en-US"/>
        </w:rPr>
        <w:t xml:space="preserve">. </w:t>
      </w:r>
      <w:r w:rsidR="002B1124" w:rsidRPr="0064716B">
        <w:rPr>
          <w:lang w:val="en-US"/>
        </w:rPr>
        <w:t xml:space="preserve">The location of environmental compliance within a division primarily responsible for biosecurity (and organisationally separated from relevant environmental policy and program areas) </w:t>
      </w:r>
      <w:r w:rsidR="002B1124">
        <w:rPr>
          <w:lang w:val="en-US"/>
        </w:rPr>
        <w:t>has challenged</w:t>
      </w:r>
      <w:r w:rsidR="002B1124" w:rsidRPr="0064716B">
        <w:rPr>
          <w:lang w:val="en-US"/>
        </w:rPr>
        <w:t xml:space="preserve"> </w:t>
      </w:r>
      <w:r w:rsidR="002B1124">
        <w:rPr>
          <w:lang w:val="en-US"/>
        </w:rPr>
        <w:t xml:space="preserve">knowledge-sharing and </w:t>
      </w:r>
      <w:r w:rsidR="002B1124" w:rsidRPr="0064716B">
        <w:rPr>
          <w:lang w:val="en-US"/>
        </w:rPr>
        <w:t>workflow integration</w:t>
      </w:r>
      <w:r w:rsidR="002B1124">
        <w:rPr>
          <w:lang w:val="en-US"/>
        </w:rPr>
        <w:t>.</w:t>
      </w:r>
    </w:p>
    <w:p w14:paraId="59A7573B" w14:textId="10151942" w:rsidR="00260CBE" w:rsidRPr="001004D7" w:rsidRDefault="7772F44F" w:rsidP="00260CBE">
      <w:pPr>
        <w:rPr>
          <w:rFonts w:eastAsiaTheme="minorEastAsia"/>
          <w:lang w:val="en-US"/>
        </w:rPr>
      </w:pPr>
      <w:r w:rsidRPr="7DE5AE8D">
        <w:rPr>
          <w:lang w:val="en-US"/>
        </w:rPr>
        <w:t xml:space="preserve">In order to better understand the impact of </w:t>
      </w:r>
      <w:r w:rsidR="00AA52F4">
        <w:rPr>
          <w:lang w:val="en-US"/>
        </w:rPr>
        <w:t xml:space="preserve">this </w:t>
      </w:r>
      <w:r w:rsidRPr="7DE5AE8D">
        <w:rPr>
          <w:lang w:val="en-US"/>
        </w:rPr>
        <w:t xml:space="preserve">organisational separation, one of the benchmarking questions the Review asked </w:t>
      </w:r>
      <w:r w:rsidR="00E011D5">
        <w:rPr>
          <w:lang w:val="en-US"/>
        </w:rPr>
        <w:t>other</w:t>
      </w:r>
      <w:r w:rsidRPr="7DE5AE8D">
        <w:rPr>
          <w:lang w:val="en-US"/>
        </w:rPr>
        <w:t xml:space="preserve"> </w:t>
      </w:r>
      <w:r w:rsidR="00086DC6">
        <w:rPr>
          <w:lang w:val="en-US"/>
        </w:rPr>
        <w:t xml:space="preserve">government </w:t>
      </w:r>
      <w:r w:rsidRPr="7DE5AE8D">
        <w:rPr>
          <w:lang w:val="en-US"/>
        </w:rPr>
        <w:t>agencies was about the extent to which their program and policy areas work together with compliance. Based on all of the discussions undertaken with regulatory agencies within the Commonwealth, internationally and from a state jurisdictional perspective it is apparent that environmental compliance activities are most effective when they are managed as part of an integrated project lifecycle approach</w:t>
      </w:r>
      <w:r w:rsidR="00E011D5">
        <w:rPr>
          <w:lang w:val="en-US"/>
        </w:rPr>
        <w:t>. This requires</w:t>
      </w:r>
      <w:r w:rsidRPr="7DE5AE8D">
        <w:rPr>
          <w:lang w:val="en-US"/>
        </w:rPr>
        <w:t xml:space="preserve"> strong and ongoing feedback loops between project assessment, post-approval and compliance functions. In practice, this involves joint priority-setting, frequent (daily) officer-to-officer interactions and, most importantly, joint leadership and oversight accountability. </w:t>
      </w:r>
    </w:p>
    <w:p w14:paraId="1EC28AF8" w14:textId="24F46E5A" w:rsidR="00326DA8" w:rsidRPr="00354032" w:rsidRDefault="00326DA8" w:rsidP="00326DA8">
      <w:pPr>
        <w:rPr>
          <w:rFonts w:eastAsiaTheme="minorEastAsia"/>
          <w:lang w:val="en-US"/>
        </w:rPr>
      </w:pPr>
      <w:r w:rsidRPr="7DE5AE8D">
        <w:rPr>
          <w:lang w:val="en-US"/>
        </w:rPr>
        <w:lastRenderedPageBreak/>
        <w:t xml:space="preserve">Within the Department, </w:t>
      </w:r>
      <w:r w:rsidR="0017151B">
        <w:rPr>
          <w:lang w:val="en-US"/>
        </w:rPr>
        <w:t>i</w:t>
      </w:r>
      <w:r w:rsidRPr="7DE5AE8D">
        <w:rPr>
          <w:lang w:val="en-US"/>
        </w:rPr>
        <w:t xml:space="preserve">t </w:t>
      </w:r>
      <w:r w:rsidRPr="0065182E">
        <w:rPr>
          <w:lang w:val="en-US"/>
        </w:rPr>
        <w:t>bec</w:t>
      </w:r>
      <w:r>
        <w:rPr>
          <w:lang w:val="en-US"/>
        </w:rPr>
        <w:t>a</w:t>
      </w:r>
      <w:r w:rsidRPr="0065182E">
        <w:rPr>
          <w:lang w:val="en-US"/>
        </w:rPr>
        <w:t>me</w:t>
      </w:r>
      <w:r w:rsidRPr="7DE5AE8D">
        <w:rPr>
          <w:lang w:val="en-US"/>
        </w:rPr>
        <w:t xml:space="preserve"> apparent during the Review that there is a high level of dissatisfaction and concern about the compliance function among the environmental program managers and staff, with several senior managers expressing the view the environmental compliance activities are invisible to them, they are concerned that compliance now seems like a major gap in the administration of their legislation, they feel that their issues are not appropriately prioritised and they are not able to draw on the support of compliance when investigations, monitoring or advice is needed</w:t>
      </w:r>
      <w:r>
        <w:rPr>
          <w:lang w:val="en-US"/>
        </w:rPr>
        <w:t>.</w:t>
      </w:r>
    </w:p>
    <w:p w14:paraId="285A184C" w14:textId="77777777" w:rsidR="00326DA8" w:rsidRDefault="00326DA8" w:rsidP="00326DA8">
      <w:pPr>
        <w:rPr>
          <w:lang w:val="en-US"/>
        </w:rPr>
      </w:pPr>
      <w:r>
        <w:rPr>
          <w:lang w:val="en-US"/>
        </w:rPr>
        <w:t>There are also inconsistencies regarding the degree to which policy or program areas manage various elements of compliance themselves, and where ECB is expected to play a role.</w:t>
      </w:r>
    </w:p>
    <w:p w14:paraId="2362EB09" w14:textId="66D99319" w:rsidR="00326DA8" w:rsidRPr="0016017F" w:rsidRDefault="00326DA8" w:rsidP="00326DA8">
      <w:pPr>
        <w:rPr>
          <w:lang w:val="en-US"/>
        </w:rPr>
      </w:pPr>
      <w:r w:rsidRPr="001D26B7">
        <w:rPr>
          <w:rFonts w:eastAsiaTheme="minorEastAsia"/>
          <w:lang w:val="en-US"/>
        </w:rPr>
        <w:t>Currently, environmental policy and program management (including assessment and approvals) and program integrity (compliance) activities report to different Deputy Secretaries, which means that the first point of joint oversight of these activities in the organisational structure is at the level of the Department’s Secretary. This degree of structural separation requires stronger governance mechanisms to achieve an iterative, collaborative and robust approach to mana</w:t>
      </w:r>
      <w:r w:rsidRPr="001D26B7">
        <w:rPr>
          <w:lang w:val="en-US"/>
        </w:rPr>
        <w:t>ging environmental risks.</w:t>
      </w:r>
    </w:p>
    <w:p w14:paraId="7A0768FE" w14:textId="37AB8DA4" w:rsidR="00922A55" w:rsidRPr="00922A55" w:rsidRDefault="00922A55" w:rsidP="008673B1">
      <w:pPr>
        <w:rPr>
          <w:rFonts w:eastAsiaTheme="minorEastAsia"/>
          <w:lang w:val="en-US"/>
        </w:rPr>
      </w:pPr>
      <w:r w:rsidRPr="00922A55">
        <w:rPr>
          <w:lang w:val="en-US"/>
        </w:rPr>
        <w:t>Senior (CEO or Executive Board) involvement in determining, resourcing and actively promoting compliance priorities (including through advocating for these priorities with key external stakeholders) was also seen as critically important by most benchmarked agencies, particularly for new or emerging issues (such as managing environmental offsets).</w:t>
      </w:r>
    </w:p>
    <w:p w14:paraId="5AD4BE54" w14:textId="77777777" w:rsidR="00A24F83" w:rsidRDefault="00922A55" w:rsidP="008673B1">
      <w:pPr>
        <w:rPr>
          <w:lang w:val="en-US"/>
        </w:rPr>
      </w:pPr>
      <w:r w:rsidRPr="00922A55">
        <w:rPr>
          <w:lang w:val="en-US"/>
        </w:rPr>
        <w:t>Most benchmarked agencies agree that separation of assessment and compliance duties at an officer level is considered best practice (in part due to the different skills involved in assessing whether a proposed activity can be undertaken without undue risk to the environment, and conducting surveillance, monitoring, investigation and correction of an authorised or unauthorised activity).</w:t>
      </w:r>
      <w:r w:rsidR="00A24F83">
        <w:rPr>
          <w:lang w:val="en-US"/>
        </w:rPr>
        <w:t xml:space="preserve"> </w:t>
      </w:r>
      <w:r w:rsidRPr="00922A55">
        <w:rPr>
          <w:lang w:val="en-US"/>
        </w:rPr>
        <w:t>However, there is consensus that the assessment, approval, post-approval and compliance functions need to be tightly integrated in order to achieve the policy objectives of the environmental legislation.</w:t>
      </w:r>
    </w:p>
    <w:p w14:paraId="1F10B455" w14:textId="77777777" w:rsidR="00693D70" w:rsidRDefault="00693D70" w:rsidP="00693D70">
      <w:pPr>
        <w:rPr>
          <w:lang w:val="en-US"/>
        </w:rPr>
      </w:pPr>
      <w:r w:rsidRPr="7DE5AE8D">
        <w:rPr>
          <w:lang w:val="en-US"/>
        </w:rPr>
        <w:t xml:space="preserve">This structural separation is now adversely impacting </w:t>
      </w:r>
      <w:r>
        <w:rPr>
          <w:lang w:val="en-US"/>
        </w:rPr>
        <w:t xml:space="preserve">the </w:t>
      </w:r>
      <w:r w:rsidRPr="7DE5AE8D">
        <w:rPr>
          <w:lang w:val="en-US"/>
        </w:rPr>
        <w:t>effective administration of environmental legislation</w:t>
      </w:r>
      <w:r>
        <w:rPr>
          <w:lang w:val="en-US"/>
        </w:rPr>
        <w:t xml:space="preserve"> and, if that structural separation is retained, a concerted effort through very strong governance is required to overcome the functional difficulties that have emerged. This level of governance needs oversight by very senior executives from both compliance and program areas so that compliance is considered a shared responsibility.</w:t>
      </w:r>
    </w:p>
    <w:p w14:paraId="40AC47D3" w14:textId="3E7445BF" w:rsidR="00540405" w:rsidRPr="001E7339" w:rsidRDefault="00091BEE" w:rsidP="007D7A8B">
      <w:pPr>
        <w:rPr>
          <w:lang w:val="en-US"/>
        </w:rPr>
      </w:pPr>
      <w:r>
        <w:rPr>
          <w:lang w:val="en-US"/>
        </w:rPr>
        <w:t>To support</w:t>
      </w:r>
      <w:r w:rsidR="000A7CEB">
        <w:rPr>
          <w:lang w:val="en-US"/>
        </w:rPr>
        <w:t xml:space="preserve"> more effective</w:t>
      </w:r>
      <w:r w:rsidR="00540405" w:rsidRPr="001E7339">
        <w:rPr>
          <w:lang w:val="en-US"/>
        </w:rPr>
        <w:t xml:space="preserve"> governance, </w:t>
      </w:r>
      <w:r w:rsidR="00E641C3">
        <w:rPr>
          <w:lang w:val="en-US"/>
        </w:rPr>
        <w:t>reporting on</w:t>
      </w:r>
      <w:r w:rsidR="00540405" w:rsidRPr="001E7339">
        <w:rPr>
          <w:lang w:val="en-US"/>
        </w:rPr>
        <w:t xml:space="preserve"> compliance activities should </w:t>
      </w:r>
      <w:r w:rsidR="000A7CEB" w:rsidRPr="001E7339">
        <w:rPr>
          <w:lang w:val="en-US"/>
        </w:rPr>
        <w:t>explicit</w:t>
      </w:r>
      <w:r w:rsidR="000A7CEB">
        <w:rPr>
          <w:lang w:val="en-US"/>
        </w:rPr>
        <w:t>ly</w:t>
      </w:r>
      <w:r w:rsidR="000A7CEB" w:rsidRPr="001E7339">
        <w:rPr>
          <w:lang w:val="en-US"/>
        </w:rPr>
        <w:t xml:space="preserve"> </w:t>
      </w:r>
      <w:r w:rsidR="000A7CEB">
        <w:rPr>
          <w:lang w:val="en-US"/>
        </w:rPr>
        <w:t xml:space="preserve">focus on the achievement of </w:t>
      </w:r>
      <w:r w:rsidR="00803620">
        <w:rPr>
          <w:lang w:val="en-US"/>
        </w:rPr>
        <w:t>the</w:t>
      </w:r>
      <w:r w:rsidR="005250E6">
        <w:rPr>
          <w:lang w:val="en-US"/>
        </w:rPr>
        <w:t xml:space="preserve"> objectives</w:t>
      </w:r>
      <w:r w:rsidR="00803620">
        <w:rPr>
          <w:lang w:val="en-US"/>
        </w:rPr>
        <w:t xml:space="preserve"> of each environmental program</w:t>
      </w:r>
      <w:r w:rsidR="00D91C70">
        <w:rPr>
          <w:lang w:val="en-US"/>
        </w:rPr>
        <w:t>.</w:t>
      </w:r>
    </w:p>
    <w:p w14:paraId="2EBB570F" w14:textId="484CCB5C" w:rsidR="003B10B7" w:rsidRDefault="003B10B7" w:rsidP="003B10B7">
      <w:pPr>
        <w:rPr>
          <w:lang w:val="en-US"/>
        </w:rPr>
      </w:pPr>
      <w:r w:rsidRPr="00922A55">
        <w:rPr>
          <w:lang w:val="en-US"/>
        </w:rPr>
        <w:t>A consistent and robust risk management approach requires a shared understanding of and focus on the legislative objectives, a common view about what, how and why conditions are applied to an approval, agreement on compliance program priorities, iterative feedback loops, and an early and joint understanding of trends and risks.</w:t>
      </w:r>
    </w:p>
    <w:p w14:paraId="538F20FF" w14:textId="69E027AF" w:rsidR="00D9101F" w:rsidRDefault="00D9101F" w:rsidP="00D9101F">
      <w:pPr>
        <w:rPr>
          <w:lang w:val="en-US"/>
        </w:rPr>
      </w:pPr>
      <w:r>
        <w:rPr>
          <w:lang w:val="en-US"/>
        </w:rPr>
        <w:t xml:space="preserve">The Department currently has a well-established process for managing and reporting on enterprise or corporate risks. A similar approach to managing regulatory risks across </w:t>
      </w:r>
      <w:r>
        <w:rPr>
          <w:lang w:val="en-US"/>
        </w:rPr>
        <w:lastRenderedPageBreak/>
        <w:t>environmental legislative regimes would achieve a more holistic approach to priority-setting and provide greater oversight and visibility about the range of compliance activities.</w:t>
      </w:r>
    </w:p>
    <w:p w14:paraId="0A54FD80" w14:textId="410D9B5A" w:rsidR="00916DEC" w:rsidRDefault="00041DA3" w:rsidP="00633C75">
      <w:pPr>
        <w:pStyle w:val="Heading4"/>
        <w:rPr>
          <w:lang w:val="en-US"/>
        </w:rPr>
      </w:pPr>
      <w:r w:rsidRPr="00041DA3">
        <w:rPr>
          <w:lang w:val="en-US"/>
        </w:rPr>
        <w:t>Recommendation</w:t>
      </w:r>
      <w:r w:rsidR="00DE2DD3">
        <w:rPr>
          <w:lang w:val="en-US"/>
        </w:rPr>
        <w:t xml:space="preserve"> </w:t>
      </w:r>
      <w:r w:rsidR="00916DEC">
        <w:rPr>
          <w:lang w:val="en-US"/>
        </w:rPr>
        <w:t xml:space="preserve">2 </w:t>
      </w:r>
    </w:p>
    <w:p w14:paraId="2838B6F2" w14:textId="206C660B" w:rsidR="00041DA3" w:rsidRPr="00A476CF" w:rsidRDefault="00041DA3" w:rsidP="00916DEC">
      <w:pPr>
        <w:rPr>
          <w:b/>
          <w:bCs/>
          <w:color w:val="000000" w:themeColor="text1"/>
        </w:rPr>
      </w:pPr>
      <w:r w:rsidRPr="00A476CF">
        <w:rPr>
          <w:b/>
          <w:bCs/>
          <w:color w:val="000000" w:themeColor="text1"/>
        </w:rPr>
        <w:t>The Department maintain a strong and dedicated focus on environmental compliance through the retention of a specifically identified environmental compliance branch, with strong executive-level governance</w:t>
      </w:r>
      <w:r w:rsidR="003B10B7">
        <w:rPr>
          <w:b/>
          <w:bCs/>
          <w:color w:val="000000" w:themeColor="text1"/>
        </w:rPr>
        <w:t>.</w:t>
      </w:r>
    </w:p>
    <w:p w14:paraId="3E51B801" w14:textId="77777777" w:rsidR="00916DEC" w:rsidRDefault="00916DEC" w:rsidP="00633C75">
      <w:pPr>
        <w:pStyle w:val="Heading4"/>
      </w:pPr>
      <w:r>
        <w:t>Recommendation 3</w:t>
      </w:r>
    </w:p>
    <w:p w14:paraId="00A1EA68" w14:textId="2655A2C2" w:rsidR="00041DA3" w:rsidRPr="00A476CF" w:rsidRDefault="00041DA3" w:rsidP="00A476CF">
      <w:pPr>
        <w:spacing w:after="200" w:line="276" w:lineRule="auto"/>
        <w:rPr>
          <w:b/>
          <w:bCs/>
          <w:color w:val="000000" w:themeColor="text1"/>
        </w:rPr>
      </w:pPr>
      <w:r w:rsidRPr="00A476CF">
        <w:rPr>
          <w:b/>
          <w:bCs/>
          <w:color w:val="000000" w:themeColor="text1"/>
        </w:rPr>
        <w:t>To maintain a coherent focus on national environmental protection, the Deputy Secretary responsible for environmental compliance chair an Executive Committee comprised of First Assistant Secretaries responsible for the Department’s environmental policy, program and compliance areas so that:</w:t>
      </w:r>
    </w:p>
    <w:p w14:paraId="5EAA3B72" w14:textId="24A507CC" w:rsidR="00041DA3" w:rsidRPr="00041DA3" w:rsidRDefault="00041DA3" w:rsidP="00866E73">
      <w:pPr>
        <w:pStyle w:val="ListParagraph"/>
        <w:numPr>
          <w:ilvl w:val="0"/>
          <w:numId w:val="25"/>
        </w:numPr>
        <w:spacing w:after="200" w:line="276" w:lineRule="auto"/>
        <w:contextualSpacing w:val="0"/>
        <w:rPr>
          <w:b/>
          <w:bCs/>
          <w:color w:val="000000" w:themeColor="text1"/>
        </w:rPr>
      </w:pPr>
      <w:r w:rsidRPr="00041DA3">
        <w:rPr>
          <w:b/>
          <w:bCs/>
          <w:color w:val="000000" w:themeColor="text1"/>
        </w:rPr>
        <w:t>compliance is managed as an integral part of the program management cycle, using information generated through and feeding back into applications and approvals to effectively inform department’s approval/permit management</w:t>
      </w:r>
      <w:r w:rsidR="00AE61F5">
        <w:rPr>
          <w:b/>
          <w:bCs/>
          <w:color w:val="000000" w:themeColor="text1"/>
        </w:rPr>
        <w:t xml:space="preserve"> processes</w:t>
      </w:r>
    </w:p>
    <w:p w14:paraId="43B76FF0" w14:textId="3B24FB9B" w:rsidR="00041DA3" w:rsidRDefault="00041DA3" w:rsidP="00866E73">
      <w:pPr>
        <w:pStyle w:val="ListParagraph"/>
        <w:numPr>
          <w:ilvl w:val="0"/>
          <w:numId w:val="25"/>
        </w:numPr>
        <w:spacing w:after="200" w:line="276" w:lineRule="auto"/>
        <w:contextualSpacing w:val="0"/>
        <w:rPr>
          <w:b/>
          <w:bCs/>
          <w:color w:val="000000" w:themeColor="text1"/>
        </w:rPr>
      </w:pPr>
      <w:r w:rsidRPr="00041DA3">
        <w:rPr>
          <w:b/>
          <w:bCs/>
          <w:color w:val="000000" w:themeColor="text1"/>
        </w:rPr>
        <w:t>more effective relationships and operational linkages can be established and maintained with environmental policy and environmental program areas (including through sharing data and intelligence)</w:t>
      </w:r>
    </w:p>
    <w:p w14:paraId="6F4E223A" w14:textId="77777777" w:rsidR="00041DA3" w:rsidRPr="00041DA3" w:rsidRDefault="00041DA3" w:rsidP="00866E73">
      <w:pPr>
        <w:pStyle w:val="ListParagraph"/>
        <w:numPr>
          <w:ilvl w:val="0"/>
          <w:numId w:val="25"/>
        </w:numPr>
        <w:spacing w:after="200" w:line="276" w:lineRule="auto"/>
        <w:contextualSpacing w:val="0"/>
        <w:rPr>
          <w:b/>
          <w:bCs/>
          <w:color w:val="000000" w:themeColor="text1"/>
        </w:rPr>
      </w:pPr>
      <w:r w:rsidRPr="00041DA3">
        <w:rPr>
          <w:b/>
          <w:bCs/>
          <w:color w:val="000000" w:themeColor="text1"/>
        </w:rPr>
        <w:t>the development of the regulatory risk dashboard (see Recommendation 5) is coordinated and supported</w:t>
      </w:r>
    </w:p>
    <w:p w14:paraId="2383F552" w14:textId="4B589EB5" w:rsidR="00041DA3" w:rsidRDefault="00041DA3" w:rsidP="00866E73">
      <w:pPr>
        <w:pStyle w:val="ListParagraph"/>
        <w:numPr>
          <w:ilvl w:val="0"/>
          <w:numId w:val="25"/>
        </w:numPr>
        <w:spacing w:after="200" w:line="276" w:lineRule="auto"/>
        <w:contextualSpacing w:val="0"/>
        <w:rPr>
          <w:b/>
          <w:bCs/>
          <w:color w:val="000000" w:themeColor="text1"/>
        </w:rPr>
      </w:pPr>
      <w:r w:rsidRPr="00041DA3">
        <w:rPr>
          <w:b/>
          <w:bCs/>
          <w:color w:val="000000" w:themeColor="text1"/>
        </w:rPr>
        <w:t xml:space="preserve">compliance priorities and </w:t>
      </w:r>
      <w:r w:rsidRPr="005B453C">
        <w:rPr>
          <w:b/>
          <w:bCs/>
          <w:color w:val="000000" w:themeColor="text1"/>
        </w:rPr>
        <w:t xml:space="preserve">an Annual Compliance Plan (see Recommendation </w:t>
      </w:r>
      <w:r w:rsidR="00DA0958">
        <w:rPr>
          <w:b/>
          <w:bCs/>
          <w:color w:val="000000" w:themeColor="text1"/>
        </w:rPr>
        <w:t>20</w:t>
      </w:r>
      <w:r w:rsidRPr="005B453C">
        <w:rPr>
          <w:b/>
          <w:bCs/>
          <w:color w:val="000000" w:themeColor="text1"/>
        </w:rPr>
        <w:t>) can be developed and agreed with input from both program and compliance teams</w:t>
      </w:r>
    </w:p>
    <w:p w14:paraId="508D3651" w14:textId="77777777" w:rsidR="003E3175" w:rsidRPr="003E3175" w:rsidRDefault="003E3175" w:rsidP="00866E73">
      <w:pPr>
        <w:pStyle w:val="ListParagraph"/>
        <w:numPr>
          <w:ilvl w:val="0"/>
          <w:numId w:val="25"/>
        </w:numPr>
        <w:spacing w:after="200" w:line="276" w:lineRule="auto"/>
        <w:contextualSpacing w:val="0"/>
        <w:rPr>
          <w:b/>
          <w:bCs/>
        </w:rPr>
      </w:pPr>
      <w:r w:rsidRPr="003E3175">
        <w:rPr>
          <w:b/>
          <w:bCs/>
        </w:rPr>
        <w:t>implementation of these reforms is coordinated and monitored.</w:t>
      </w:r>
    </w:p>
    <w:p w14:paraId="3AD9A7B8" w14:textId="4B97435A" w:rsidR="00E07D65" w:rsidRPr="00E07D65" w:rsidRDefault="004962C3" w:rsidP="00633C75">
      <w:pPr>
        <w:pStyle w:val="Heading4"/>
      </w:pPr>
      <w:r w:rsidRPr="005B453C">
        <w:t>Recommendation 4</w:t>
      </w:r>
    </w:p>
    <w:p w14:paraId="626AF5B8" w14:textId="25C7664C" w:rsidR="00485FC9" w:rsidRPr="00A476CF" w:rsidRDefault="00485FC9" w:rsidP="00A476CF">
      <w:pPr>
        <w:spacing w:after="200" w:line="276" w:lineRule="auto"/>
        <w:rPr>
          <w:b/>
          <w:bCs/>
          <w:color w:val="000000" w:themeColor="text1"/>
        </w:rPr>
      </w:pPr>
      <w:r w:rsidRPr="00A476CF">
        <w:rPr>
          <w:b/>
          <w:bCs/>
          <w:color w:val="000000" w:themeColor="text1"/>
        </w:rPr>
        <w:t xml:space="preserve">The Department immediately step up its executive-level reporting on environmental compliance matters to provide greater </w:t>
      </w:r>
      <w:r w:rsidR="00443C4A">
        <w:rPr>
          <w:b/>
          <w:bCs/>
          <w:color w:val="000000" w:themeColor="text1"/>
        </w:rPr>
        <w:t>corporate</w:t>
      </w:r>
      <w:r w:rsidRPr="00A476CF">
        <w:rPr>
          <w:b/>
          <w:bCs/>
          <w:color w:val="000000" w:themeColor="text1"/>
        </w:rPr>
        <w:t xml:space="preserve"> visibility</w:t>
      </w:r>
      <w:r w:rsidR="00443C4A">
        <w:rPr>
          <w:b/>
          <w:bCs/>
          <w:color w:val="000000" w:themeColor="text1"/>
        </w:rPr>
        <w:t xml:space="preserve"> of this function</w:t>
      </w:r>
      <w:r w:rsidRPr="00A476CF">
        <w:rPr>
          <w:b/>
          <w:bCs/>
          <w:color w:val="000000" w:themeColor="text1"/>
        </w:rPr>
        <w:t xml:space="preserve">, commencing with monthly reporting to the Deputy Secretary responsible for environmental compliance on </w:t>
      </w:r>
      <w:r w:rsidR="005B5106">
        <w:rPr>
          <w:b/>
          <w:bCs/>
          <w:color w:val="000000" w:themeColor="text1"/>
        </w:rPr>
        <w:t xml:space="preserve">monitoring, audit and enforcement activities across the legislative regimes, as well as </w:t>
      </w:r>
      <w:r w:rsidRPr="00A476CF">
        <w:rPr>
          <w:b/>
          <w:bCs/>
          <w:color w:val="000000" w:themeColor="text1"/>
        </w:rPr>
        <w:t xml:space="preserve">progress on the recommended </w:t>
      </w:r>
      <w:r w:rsidR="00603CE4">
        <w:rPr>
          <w:b/>
          <w:bCs/>
          <w:color w:val="000000" w:themeColor="text1"/>
        </w:rPr>
        <w:t xml:space="preserve">compliance-based </w:t>
      </w:r>
      <w:r w:rsidRPr="00A476CF">
        <w:rPr>
          <w:b/>
          <w:bCs/>
          <w:color w:val="000000" w:themeColor="text1"/>
        </w:rPr>
        <w:t>business improvement reforms and insights into intelligence issues</w:t>
      </w:r>
      <w:r w:rsidR="003B10B7">
        <w:rPr>
          <w:b/>
          <w:bCs/>
          <w:color w:val="000000" w:themeColor="text1"/>
        </w:rPr>
        <w:t>.</w:t>
      </w:r>
    </w:p>
    <w:p w14:paraId="7E1A14FE" w14:textId="77777777" w:rsidR="004962C3" w:rsidRDefault="004962C3" w:rsidP="00633C75">
      <w:pPr>
        <w:pStyle w:val="Heading4"/>
      </w:pPr>
      <w:r>
        <w:t>Recommendation 5</w:t>
      </w:r>
    </w:p>
    <w:p w14:paraId="5FA4B610" w14:textId="2CD426F4" w:rsidR="00513F45" w:rsidRDefault="00041DA3" w:rsidP="00FA567C">
      <w:pPr>
        <w:spacing w:after="200" w:line="276" w:lineRule="auto"/>
        <w:rPr>
          <w:b/>
          <w:bCs/>
          <w:color w:val="000000" w:themeColor="text1"/>
        </w:rPr>
      </w:pPr>
      <w:r w:rsidRPr="00A476CF">
        <w:rPr>
          <w:b/>
          <w:bCs/>
          <w:color w:val="000000" w:themeColor="text1"/>
        </w:rPr>
        <w:t>The Department allocate sufficient funds ($200,000 - $300, 000) for the Chief Risk Officer to undertake a project to develop a dedicated business-focused regulatory</w:t>
      </w:r>
      <w:r w:rsidR="00F35D60">
        <w:rPr>
          <w:b/>
          <w:bCs/>
          <w:color w:val="000000" w:themeColor="text1"/>
        </w:rPr>
        <w:t xml:space="preserve"> risk </w:t>
      </w:r>
      <w:r w:rsidRPr="00A476CF">
        <w:rPr>
          <w:b/>
          <w:bCs/>
          <w:color w:val="000000" w:themeColor="text1"/>
        </w:rPr>
        <w:t xml:space="preserve">dashboard to monitor how risk is being managed across all environment legislative regimes, for </w:t>
      </w:r>
      <w:r w:rsidRPr="00A476CF">
        <w:rPr>
          <w:b/>
          <w:bCs/>
          <w:color w:val="000000" w:themeColor="text1"/>
        </w:rPr>
        <w:lastRenderedPageBreak/>
        <w:t xml:space="preserve">provision to the Executive Board to ultimately replace the monthly reporting described in recommendation </w:t>
      </w:r>
      <w:r w:rsidR="0047206D">
        <w:rPr>
          <w:b/>
          <w:bCs/>
          <w:color w:val="000000" w:themeColor="text1"/>
        </w:rPr>
        <w:t>4</w:t>
      </w:r>
      <w:r w:rsidR="003B10B7">
        <w:rPr>
          <w:b/>
          <w:bCs/>
          <w:color w:val="000000" w:themeColor="text1"/>
        </w:rPr>
        <w:t>.</w:t>
      </w:r>
    </w:p>
    <w:p w14:paraId="4DA6B766" w14:textId="38EAE9DD" w:rsidR="0BFA84F7" w:rsidRDefault="0BFA84F7" w:rsidP="00FD416A">
      <w:pPr>
        <w:pStyle w:val="Heading2"/>
        <w:rPr>
          <w:lang w:val="en-US"/>
        </w:rPr>
      </w:pPr>
      <w:bookmarkStart w:id="48" w:name="_Resources"/>
      <w:bookmarkStart w:id="49" w:name="_Toc72504397"/>
      <w:bookmarkEnd w:id="48"/>
      <w:r w:rsidRPr="3EE65D62">
        <w:rPr>
          <w:lang w:val="en-US"/>
        </w:rPr>
        <w:t>Resources</w:t>
      </w:r>
      <w:bookmarkEnd w:id="49"/>
    </w:p>
    <w:p w14:paraId="14BD97AD" w14:textId="0B675B84" w:rsidR="1A83DD01" w:rsidRDefault="007C7061" w:rsidP="00A40BC2">
      <w:pPr>
        <w:rPr>
          <w:rFonts w:eastAsiaTheme="minorEastAsia"/>
          <w:lang w:val="en-US"/>
        </w:rPr>
      </w:pPr>
      <w:r>
        <w:rPr>
          <w:lang w:val="en-US"/>
        </w:rPr>
        <w:t>The</w:t>
      </w:r>
      <w:r w:rsidR="1A83DD01" w:rsidRPr="55594E51">
        <w:rPr>
          <w:lang w:val="en-US"/>
        </w:rPr>
        <w:t xml:space="preserve"> continuing reduction </w:t>
      </w:r>
      <w:r>
        <w:rPr>
          <w:lang w:val="en-US"/>
        </w:rPr>
        <w:t>of</w:t>
      </w:r>
      <w:r w:rsidR="1A83DD01" w:rsidRPr="55594E51">
        <w:rPr>
          <w:lang w:val="en-US"/>
        </w:rPr>
        <w:t xml:space="preserve"> resources dedicated to environmental compliance is reducing the level of mitigation of environmental risks</w:t>
      </w:r>
      <w:r w:rsidR="009504E4">
        <w:rPr>
          <w:lang w:val="en-US"/>
        </w:rPr>
        <w:t>.</w:t>
      </w:r>
    </w:p>
    <w:p w14:paraId="6E2EA7BF" w14:textId="61B5D303" w:rsidR="0BFA84F7" w:rsidRDefault="0BFA84F7" w:rsidP="00A40BC2">
      <w:pPr>
        <w:rPr>
          <w:lang w:val="en-US"/>
        </w:rPr>
      </w:pPr>
      <w:r w:rsidRPr="3EE65D62">
        <w:rPr>
          <w:lang w:val="en-US"/>
        </w:rPr>
        <w:t>Since 2018-19</w:t>
      </w:r>
      <w:r w:rsidR="004F15D2">
        <w:rPr>
          <w:lang w:val="en-US"/>
        </w:rPr>
        <w:t>,</w:t>
      </w:r>
      <w:r w:rsidRPr="3EE65D62">
        <w:rPr>
          <w:lang w:val="en-US"/>
        </w:rPr>
        <w:t xml:space="preserve"> the </w:t>
      </w:r>
      <w:r w:rsidR="00A241A8">
        <w:rPr>
          <w:lang w:val="en-US"/>
        </w:rPr>
        <w:t>level</w:t>
      </w:r>
      <w:r w:rsidRPr="3EE65D62">
        <w:rPr>
          <w:lang w:val="en-US"/>
        </w:rPr>
        <w:t xml:space="preserve"> of compliance </w:t>
      </w:r>
      <w:r w:rsidR="00A241A8">
        <w:rPr>
          <w:lang w:val="en-US"/>
        </w:rPr>
        <w:t>staffing</w:t>
      </w:r>
      <w:r w:rsidRPr="3EE65D62">
        <w:rPr>
          <w:lang w:val="en-US"/>
        </w:rPr>
        <w:t xml:space="preserve"> has dropped from 58 to 41, of which </w:t>
      </w:r>
      <w:r w:rsidR="005200A4">
        <w:rPr>
          <w:lang w:val="en-US"/>
        </w:rPr>
        <w:t>several</w:t>
      </w:r>
      <w:r w:rsidRPr="3EE65D62">
        <w:rPr>
          <w:lang w:val="en-US"/>
        </w:rPr>
        <w:t xml:space="preserve"> positions remain vacant due to </w:t>
      </w:r>
      <w:r w:rsidR="00E54C0C" w:rsidRPr="3EE65D62">
        <w:rPr>
          <w:lang w:val="en-US"/>
        </w:rPr>
        <w:t xml:space="preserve">lengthy approval processes and </w:t>
      </w:r>
      <w:r w:rsidRPr="3EE65D62">
        <w:rPr>
          <w:lang w:val="en-US"/>
        </w:rPr>
        <w:t xml:space="preserve">the Division’s overall ASL cap having been reached. This means that currently around </w:t>
      </w:r>
      <w:r w:rsidRPr="005200A4">
        <w:rPr>
          <w:lang w:val="en-US"/>
        </w:rPr>
        <w:t>3</w:t>
      </w:r>
      <w:r w:rsidR="005200A4" w:rsidRPr="005200A4">
        <w:rPr>
          <w:lang w:val="en-US"/>
        </w:rPr>
        <w:t>6</w:t>
      </w:r>
      <w:r w:rsidRPr="005200A4">
        <w:rPr>
          <w:lang w:val="en-US"/>
        </w:rPr>
        <w:t xml:space="preserve"> filled positions </w:t>
      </w:r>
      <w:r w:rsidRPr="3EE65D62">
        <w:rPr>
          <w:lang w:val="en-US"/>
        </w:rPr>
        <w:t>are attempting to cover 8 pieces of environmental legislation and an increasing workload in terms of the number of approvals, permits and licences being issued across relevant program areas.</w:t>
      </w:r>
    </w:p>
    <w:p w14:paraId="31B70DC1" w14:textId="06BFB252" w:rsidR="0054227F" w:rsidRPr="0054227F" w:rsidRDefault="0054227F" w:rsidP="00A40BC2">
      <w:pPr>
        <w:rPr>
          <w:lang w:val="en-US"/>
        </w:rPr>
      </w:pPr>
      <w:r>
        <w:rPr>
          <w:noProof/>
        </w:rPr>
        <w:drawing>
          <wp:inline distT="0" distB="0" distL="0" distR="0" wp14:anchorId="0328AADE" wp14:editId="5346AC74">
            <wp:extent cx="4589145" cy="2636520"/>
            <wp:effectExtent l="0" t="0" r="1905" b="11430"/>
            <wp:docPr id="7" name="Chart 7">
              <a:extLst xmlns:a="http://schemas.openxmlformats.org/drawingml/2006/main">
                <a:ext uri="{FF2B5EF4-FFF2-40B4-BE49-F238E27FC236}">
                  <a16:creationId xmlns:a16="http://schemas.microsoft.com/office/drawing/2014/main" id="{EBF48DD6-953D-475E-A0D2-BD73F44BD3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AB7E1CB" w14:textId="430F081F" w:rsidR="0054227F" w:rsidRDefault="0054227F" w:rsidP="00A40BC2">
      <w:pPr>
        <w:rPr>
          <w:lang w:val="en-US"/>
        </w:rPr>
      </w:pPr>
    </w:p>
    <w:p w14:paraId="32B755B8" w14:textId="11DCDDC9" w:rsidR="002F2A1A" w:rsidRDefault="002F2A1A" w:rsidP="00A40BC2">
      <w:pPr>
        <w:rPr>
          <w:lang w:val="en-US"/>
        </w:rPr>
      </w:pPr>
      <w:r>
        <w:rPr>
          <w:noProof/>
        </w:rPr>
        <w:drawing>
          <wp:inline distT="0" distB="0" distL="0" distR="0" wp14:anchorId="613515F3" wp14:editId="60F8831A">
            <wp:extent cx="4558004" cy="2636520"/>
            <wp:effectExtent l="0" t="0" r="14605" b="11430"/>
            <wp:docPr id="8" name="Chart 8">
              <a:extLst xmlns:a="http://schemas.openxmlformats.org/drawingml/2006/main">
                <a:ext uri="{FF2B5EF4-FFF2-40B4-BE49-F238E27FC236}">
                  <a16:creationId xmlns:a16="http://schemas.microsoft.com/office/drawing/2014/main" id="{039B202D-4D01-4CBA-AAA9-3535EF0865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B6280F0" w14:textId="5F903F6F" w:rsidR="00D23EC2" w:rsidRPr="001511A0" w:rsidRDefault="002260CC" w:rsidP="00A40BC2">
      <w:pPr>
        <w:rPr>
          <w:lang w:val="en-US"/>
        </w:rPr>
      </w:pPr>
      <w:r>
        <w:rPr>
          <w:lang w:val="en-US"/>
        </w:rPr>
        <w:t xml:space="preserve">As highlighted earlier </w:t>
      </w:r>
      <w:r w:rsidR="007238BF">
        <w:rPr>
          <w:lang w:val="en-US"/>
        </w:rPr>
        <w:t>in this</w:t>
      </w:r>
      <w:r>
        <w:rPr>
          <w:lang w:val="en-US"/>
        </w:rPr>
        <w:t xml:space="preserve"> report</w:t>
      </w:r>
      <w:r w:rsidR="002F2A1A">
        <w:rPr>
          <w:lang w:val="en-US"/>
        </w:rPr>
        <w:t>,</w:t>
      </w:r>
      <w:r>
        <w:rPr>
          <w:lang w:val="en-US"/>
        </w:rPr>
        <w:t xml:space="preserve"> </w:t>
      </w:r>
      <w:r w:rsidR="00D23EC2" w:rsidRPr="3EE65D62">
        <w:rPr>
          <w:lang w:val="en-US"/>
        </w:rPr>
        <w:t>ECB resources are largely applied to managing compliance with the EPBC Act, with some resource</w:t>
      </w:r>
      <w:r w:rsidR="00D23EC2">
        <w:rPr>
          <w:lang w:val="en-US"/>
        </w:rPr>
        <w:t>s</w:t>
      </w:r>
      <w:r w:rsidR="00D23EC2" w:rsidRPr="3EE65D62">
        <w:rPr>
          <w:lang w:val="en-US"/>
        </w:rPr>
        <w:t xml:space="preserve"> being applied to managing compliance </w:t>
      </w:r>
      <w:r w:rsidR="00D23EC2" w:rsidRPr="3EE65D62">
        <w:rPr>
          <w:lang w:val="en-US"/>
        </w:rPr>
        <w:lastRenderedPageBreak/>
        <w:t>with 3 other Acts.</w:t>
      </w:r>
      <w:r w:rsidR="00D23EC2">
        <w:rPr>
          <w:lang w:val="en-US"/>
        </w:rPr>
        <w:t xml:space="preserve"> </w:t>
      </w:r>
      <w:r w:rsidR="00A3077A">
        <w:rPr>
          <w:lang w:val="en-US"/>
        </w:rPr>
        <w:t>Due to the reduction of resourc</w:t>
      </w:r>
      <w:r w:rsidR="007238BF">
        <w:rPr>
          <w:lang w:val="en-US"/>
        </w:rPr>
        <w:t>e</w:t>
      </w:r>
      <w:r w:rsidR="00A3077A">
        <w:rPr>
          <w:lang w:val="en-US"/>
        </w:rPr>
        <w:t>s</w:t>
      </w:r>
      <w:r w:rsidR="00DB47BE">
        <w:rPr>
          <w:lang w:val="en-US"/>
        </w:rPr>
        <w:t>,</w:t>
      </w:r>
      <w:r w:rsidR="00A3077A">
        <w:rPr>
          <w:lang w:val="en-US"/>
        </w:rPr>
        <w:t xml:space="preserve"> f</w:t>
      </w:r>
      <w:r w:rsidR="00D23EC2">
        <w:rPr>
          <w:lang w:val="en-US"/>
        </w:rPr>
        <w:t>ew</w:t>
      </w:r>
      <w:r w:rsidR="00A3077A">
        <w:rPr>
          <w:lang w:val="en-US"/>
        </w:rPr>
        <w:t xml:space="preserve"> (if an</w:t>
      </w:r>
      <w:r w:rsidR="007238BF">
        <w:rPr>
          <w:lang w:val="en-US"/>
        </w:rPr>
        <w:t xml:space="preserve">y) </w:t>
      </w:r>
      <w:r w:rsidR="00D23EC2">
        <w:rPr>
          <w:lang w:val="en-US"/>
        </w:rPr>
        <w:t xml:space="preserve">resources are </w:t>
      </w:r>
      <w:r w:rsidR="00DB47BE">
        <w:rPr>
          <w:lang w:val="en-US"/>
        </w:rPr>
        <w:t xml:space="preserve">now </w:t>
      </w:r>
      <w:r w:rsidR="00D23EC2">
        <w:rPr>
          <w:lang w:val="en-US"/>
        </w:rPr>
        <w:t xml:space="preserve">applied to other </w:t>
      </w:r>
      <w:r w:rsidR="00DB47BE">
        <w:rPr>
          <w:lang w:val="en-US"/>
        </w:rPr>
        <w:t xml:space="preserve">environmental </w:t>
      </w:r>
      <w:r w:rsidR="00D23EC2">
        <w:rPr>
          <w:lang w:val="en-US"/>
        </w:rPr>
        <w:t>legislation with compliance obligations.</w:t>
      </w:r>
    </w:p>
    <w:p w14:paraId="44ED02A4" w14:textId="58EB2331" w:rsidR="007C0A8B" w:rsidRDefault="004572BF" w:rsidP="007C0A8B">
      <w:pPr>
        <w:rPr>
          <w:lang w:val="en-US"/>
        </w:rPr>
      </w:pPr>
      <w:r>
        <w:rPr>
          <w:lang w:val="en-US"/>
        </w:rPr>
        <w:t>I</w:t>
      </w:r>
      <w:r w:rsidRPr="7DE5AE8D">
        <w:rPr>
          <w:lang w:val="en-US"/>
        </w:rPr>
        <w:t xml:space="preserve">ndustry associations and </w:t>
      </w:r>
      <w:r w:rsidR="006E4717">
        <w:rPr>
          <w:lang w:val="en-US"/>
        </w:rPr>
        <w:t>community groups</w:t>
      </w:r>
      <w:r w:rsidRPr="7DE5AE8D">
        <w:rPr>
          <w:lang w:val="en-US"/>
        </w:rPr>
        <w:t xml:space="preserve"> identif</w:t>
      </w:r>
      <w:r w:rsidR="00CC7D7B">
        <w:rPr>
          <w:lang w:val="en-US"/>
        </w:rPr>
        <w:t>y</w:t>
      </w:r>
      <w:r w:rsidRPr="7DE5AE8D">
        <w:rPr>
          <w:lang w:val="en-US"/>
        </w:rPr>
        <w:t xml:space="preserve"> a number of issues </w:t>
      </w:r>
      <w:r w:rsidR="003A0869">
        <w:rPr>
          <w:lang w:val="en-US"/>
        </w:rPr>
        <w:t xml:space="preserve">that reduce the </w:t>
      </w:r>
      <w:r w:rsidR="00053248">
        <w:rPr>
          <w:lang w:val="en-US"/>
        </w:rPr>
        <w:t xml:space="preserve">efficiency and </w:t>
      </w:r>
      <w:r w:rsidR="003A0869">
        <w:rPr>
          <w:lang w:val="en-US"/>
        </w:rPr>
        <w:t xml:space="preserve">effectiveness of compliance activities, </w:t>
      </w:r>
      <w:r w:rsidRPr="7DE5AE8D">
        <w:rPr>
          <w:lang w:val="en-US"/>
        </w:rPr>
        <w:t>including inconsistent compliance approaches, a stop</w:t>
      </w:r>
      <w:r>
        <w:rPr>
          <w:lang w:val="en-US"/>
        </w:rPr>
        <w:t>-</w:t>
      </w:r>
      <w:r w:rsidRPr="7DE5AE8D">
        <w:rPr>
          <w:lang w:val="en-US"/>
        </w:rPr>
        <w:t xml:space="preserve">start approach </w:t>
      </w:r>
      <w:r w:rsidR="00DE2EBB">
        <w:rPr>
          <w:lang w:val="en-US"/>
        </w:rPr>
        <w:t xml:space="preserve">due to </w:t>
      </w:r>
      <w:r w:rsidR="009663A0">
        <w:rPr>
          <w:lang w:val="en-US"/>
        </w:rPr>
        <w:t>changing priorities</w:t>
      </w:r>
      <w:r>
        <w:rPr>
          <w:lang w:val="en-US"/>
        </w:rPr>
        <w:t xml:space="preserve">, </w:t>
      </w:r>
      <w:r w:rsidR="009663A0">
        <w:rPr>
          <w:lang w:val="en-US"/>
        </w:rPr>
        <w:t xml:space="preserve">and </w:t>
      </w:r>
      <w:r>
        <w:rPr>
          <w:lang w:val="en-US"/>
        </w:rPr>
        <w:t xml:space="preserve">loss of continuity </w:t>
      </w:r>
      <w:r w:rsidR="009663A0">
        <w:rPr>
          <w:lang w:val="en-US"/>
        </w:rPr>
        <w:t>and</w:t>
      </w:r>
      <w:r w:rsidR="009663A0" w:rsidRPr="7DE5AE8D">
        <w:rPr>
          <w:lang w:val="en-US"/>
        </w:rPr>
        <w:t xml:space="preserve"> </w:t>
      </w:r>
      <w:r w:rsidR="009663A0">
        <w:rPr>
          <w:lang w:val="en-US"/>
        </w:rPr>
        <w:t>reduction in</w:t>
      </w:r>
      <w:r w:rsidR="009663A0" w:rsidRPr="7DE5AE8D">
        <w:rPr>
          <w:lang w:val="en-US"/>
        </w:rPr>
        <w:t xml:space="preserve"> subject matter expert</w:t>
      </w:r>
      <w:r w:rsidR="009663A0">
        <w:rPr>
          <w:lang w:val="en-US"/>
        </w:rPr>
        <w:t>i</w:t>
      </w:r>
      <w:r w:rsidR="009663A0" w:rsidRPr="7DE5AE8D">
        <w:rPr>
          <w:lang w:val="en-US"/>
        </w:rPr>
        <w:t>s</w:t>
      </w:r>
      <w:r w:rsidR="009663A0">
        <w:rPr>
          <w:lang w:val="en-US"/>
        </w:rPr>
        <w:t xml:space="preserve">e </w:t>
      </w:r>
      <w:r w:rsidR="00F128DC">
        <w:rPr>
          <w:lang w:val="en-US"/>
        </w:rPr>
        <w:t>due to staff turnover</w:t>
      </w:r>
      <w:r w:rsidR="004E7993">
        <w:rPr>
          <w:lang w:val="en-US"/>
        </w:rPr>
        <w:t>.</w:t>
      </w:r>
      <w:r w:rsidR="00D06FD8">
        <w:rPr>
          <w:lang w:val="en-US"/>
        </w:rPr>
        <w:t xml:space="preserve"> </w:t>
      </w:r>
      <w:r w:rsidR="00CC7D7B">
        <w:rPr>
          <w:lang w:val="en-US"/>
        </w:rPr>
        <w:t>Stakeholders also note</w:t>
      </w:r>
      <w:r w:rsidR="00D06FD8">
        <w:rPr>
          <w:lang w:val="en-US"/>
        </w:rPr>
        <w:t xml:space="preserve"> </w:t>
      </w:r>
      <w:r w:rsidR="00307D00">
        <w:rPr>
          <w:lang w:val="en-US"/>
        </w:rPr>
        <w:t>in</w:t>
      </w:r>
      <w:r w:rsidR="000A7960" w:rsidRPr="3EE65D62">
        <w:rPr>
          <w:lang w:val="en-US"/>
        </w:rPr>
        <w:t>consisten</w:t>
      </w:r>
      <w:r w:rsidR="00307D00">
        <w:rPr>
          <w:lang w:val="en-US"/>
        </w:rPr>
        <w:t xml:space="preserve">cies in </w:t>
      </w:r>
      <w:r w:rsidR="00307D00" w:rsidRPr="3EE65D62">
        <w:rPr>
          <w:lang w:val="en-US"/>
        </w:rPr>
        <w:t>the split of responsibility between program and compliance areas</w:t>
      </w:r>
      <w:r w:rsidR="00307D00">
        <w:rPr>
          <w:lang w:val="en-US"/>
        </w:rPr>
        <w:t xml:space="preserve"> </w:t>
      </w:r>
      <w:r w:rsidR="0007422F">
        <w:rPr>
          <w:lang w:val="en-US"/>
        </w:rPr>
        <w:t>for</w:t>
      </w:r>
      <w:r w:rsidR="000A7960" w:rsidRPr="3EE65D62">
        <w:rPr>
          <w:lang w:val="en-US"/>
        </w:rPr>
        <w:t xml:space="preserve"> the different environmental programs with respect to monitoring, surveillance, inspection and compliance-focused education. </w:t>
      </w:r>
    </w:p>
    <w:p w14:paraId="6E56D3F8" w14:textId="1F655131" w:rsidR="005B7C76" w:rsidRDefault="00D84C0C" w:rsidP="007C0A8B">
      <w:pPr>
        <w:rPr>
          <w:lang w:val="en-US"/>
        </w:rPr>
      </w:pPr>
      <w:r>
        <w:rPr>
          <w:lang w:val="en-US"/>
        </w:rPr>
        <w:t>I</w:t>
      </w:r>
      <w:r w:rsidR="003B4B2A">
        <w:rPr>
          <w:lang w:val="en-US"/>
        </w:rPr>
        <w:t>n discussion</w:t>
      </w:r>
      <w:r w:rsidR="007C0A8B" w:rsidRPr="7DE5AE8D">
        <w:rPr>
          <w:lang w:val="en-US"/>
        </w:rPr>
        <w:t xml:space="preserve"> with key external stakeholders (both in industry and community sectors) </w:t>
      </w:r>
      <w:r w:rsidR="003B4B2A">
        <w:rPr>
          <w:lang w:val="en-US"/>
        </w:rPr>
        <w:t xml:space="preserve">there was </w:t>
      </w:r>
      <w:r w:rsidR="007C0A8B" w:rsidRPr="7DE5AE8D">
        <w:rPr>
          <w:lang w:val="en-US"/>
        </w:rPr>
        <w:t>concern about loss of expertise in the specific environmental aspects of compliance</w:t>
      </w:r>
      <w:r w:rsidR="007C0A8B" w:rsidRPr="00CB17FC">
        <w:rPr>
          <w:lang w:val="en-US"/>
        </w:rPr>
        <w:t xml:space="preserve"> </w:t>
      </w:r>
      <w:r w:rsidR="007C0A8B" w:rsidRPr="7DE5AE8D">
        <w:rPr>
          <w:lang w:val="en-US"/>
        </w:rPr>
        <w:t xml:space="preserve">and poor visibility of </w:t>
      </w:r>
      <w:r w:rsidR="00CC7D7B">
        <w:rPr>
          <w:lang w:val="en-US"/>
        </w:rPr>
        <w:t>the</w:t>
      </w:r>
      <w:r w:rsidR="007C0A8B" w:rsidRPr="7DE5AE8D">
        <w:rPr>
          <w:lang w:val="en-US"/>
        </w:rPr>
        <w:t xml:space="preserve"> Commonwealth</w:t>
      </w:r>
      <w:r w:rsidR="007C0A8B">
        <w:rPr>
          <w:lang w:val="en-US"/>
        </w:rPr>
        <w:t xml:space="preserve"> environmental</w:t>
      </w:r>
      <w:r w:rsidR="007C0A8B" w:rsidRPr="7DE5AE8D">
        <w:rPr>
          <w:lang w:val="en-US"/>
        </w:rPr>
        <w:t xml:space="preserve"> compliance function. </w:t>
      </w:r>
      <w:r w:rsidR="001B53A7">
        <w:rPr>
          <w:lang w:val="en-US"/>
        </w:rPr>
        <w:t>Many external stakeholders</w:t>
      </w:r>
      <w:r w:rsidR="003B4B2A">
        <w:rPr>
          <w:lang w:val="en-US"/>
        </w:rPr>
        <w:t xml:space="preserve"> raised this as </w:t>
      </w:r>
      <w:r w:rsidR="00F3017C">
        <w:rPr>
          <w:lang w:val="en-US"/>
        </w:rPr>
        <w:t>their key concern</w:t>
      </w:r>
      <w:r w:rsidR="000A4E6A">
        <w:rPr>
          <w:lang w:val="en-US"/>
        </w:rPr>
        <w:t xml:space="preserve">. </w:t>
      </w:r>
      <w:r w:rsidR="00F3017C">
        <w:rPr>
          <w:lang w:val="en-US"/>
        </w:rPr>
        <w:t>Industry stakeholders</w:t>
      </w:r>
      <w:r w:rsidR="000A4E6A">
        <w:rPr>
          <w:lang w:val="en-US"/>
        </w:rPr>
        <w:t xml:space="preserve"> said that</w:t>
      </w:r>
      <w:r w:rsidR="00F3017C">
        <w:rPr>
          <w:lang w:val="en-US"/>
        </w:rPr>
        <w:t>,</w:t>
      </w:r>
      <w:r w:rsidR="000A4E6A">
        <w:rPr>
          <w:lang w:val="en-US"/>
        </w:rPr>
        <w:t xml:space="preserve"> due to </w:t>
      </w:r>
      <w:r w:rsidR="00CA1713">
        <w:rPr>
          <w:lang w:val="en-US"/>
        </w:rPr>
        <w:t>loss</w:t>
      </w:r>
      <w:r w:rsidR="000A4E6A">
        <w:rPr>
          <w:lang w:val="en-US"/>
        </w:rPr>
        <w:t xml:space="preserve"> of </w:t>
      </w:r>
      <w:r w:rsidR="00067CB2">
        <w:rPr>
          <w:lang w:val="en-US"/>
        </w:rPr>
        <w:t>subject matter</w:t>
      </w:r>
      <w:r w:rsidR="005B7C76">
        <w:rPr>
          <w:lang w:val="en-US"/>
        </w:rPr>
        <w:t xml:space="preserve"> expertise</w:t>
      </w:r>
      <w:r w:rsidR="00CA1713">
        <w:rPr>
          <w:lang w:val="en-US"/>
        </w:rPr>
        <w:t xml:space="preserve"> in the Department</w:t>
      </w:r>
      <w:r w:rsidR="00F3017C">
        <w:rPr>
          <w:lang w:val="en-US"/>
        </w:rPr>
        <w:t>,</w:t>
      </w:r>
      <w:r w:rsidR="005B7C76">
        <w:rPr>
          <w:lang w:val="en-US"/>
        </w:rPr>
        <w:t xml:space="preserve"> </w:t>
      </w:r>
      <w:r w:rsidR="00775704">
        <w:rPr>
          <w:lang w:val="en-US"/>
        </w:rPr>
        <w:t xml:space="preserve">they </w:t>
      </w:r>
      <w:r w:rsidR="00CA1713">
        <w:rPr>
          <w:lang w:val="en-US"/>
        </w:rPr>
        <w:t>need</w:t>
      </w:r>
      <w:r w:rsidR="00775704">
        <w:rPr>
          <w:lang w:val="en-US"/>
        </w:rPr>
        <w:t xml:space="preserve"> to educate officials on </w:t>
      </w:r>
      <w:r w:rsidR="007768FD">
        <w:rPr>
          <w:lang w:val="en-US"/>
        </w:rPr>
        <w:t>issues</w:t>
      </w:r>
      <w:r w:rsidR="00775704">
        <w:rPr>
          <w:lang w:val="en-US"/>
        </w:rPr>
        <w:t xml:space="preserve"> such as groundwater, </w:t>
      </w:r>
      <w:r w:rsidR="000B7DFC">
        <w:rPr>
          <w:lang w:val="en-US"/>
        </w:rPr>
        <w:t>emissions</w:t>
      </w:r>
      <w:r w:rsidR="00775704">
        <w:rPr>
          <w:lang w:val="en-US"/>
        </w:rPr>
        <w:t xml:space="preserve"> and other specialist areas</w:t>
      </w:r>
      <w:r w:rsidR="007768FD">
        <w:rPr>
          <w:lang w:val="en-US"/>
        </w:rPr>
        <w:t>.</w:t>
      </w:r>
      <w:r w:rsidR="000B7DFC">
        <w:rPr>
          <w:lang w:val="en-US"/>
        </w:rPr>
        <w:t xml:space="preserve"> This results in</w:t>
      </w:r>
      <w:r w:rsidR="00BC4AE2">
        <w:rPr>
          <w:lang w:val="en-US"/>
        </w:rPr>
        <w:t xml:space="preserve"> i</w:t>
      </w:r>
      <w:r w:rsidR="00D0125E">
        <w:rPr>
          <w:lang w:val="en-US"/>
        </w:rPr>
        <w:t xml:space="preserve">nspections, audits and monitoring </w:t>
      </w:r>
      <w:r w:rsidR="00A002C8">
        <w:rPr>
          <w:lang w:val="en-US"/>
        </w:rPr>
        <w:t>requiring more time and effort</w:t>
      </w:r>
      <w:r w:rsidR="00D0125E">
        <w:rPr>
          <w:lang w:val="en-US"/>
        </w:rPr>
        <w:t xml:space="preserve"> than necessary</w:t>
      </w:r>
      <w:r w:rsidR="00A002C8">
        <w:rPr>
          <w:lang w:val="en-US"/>
        </w:rPr>
        <w:t>, raising</w:t>
      </w:r>
      <w:r w:rsidR="003B4B2A">
        <w:rPr>
          <w:lang w:val="en-US"/>
        </w:rPr>
        <w:t xml:space="preserve"> costs for them as </w:t>
      </w:r>
      <w:r w:rsidR="00762213">
        <w:rPr>
          <w:lang w:val="en-US"/>
        </w:rPr>
        <w:t xml:space="preserve">well as the </w:t>
      </w:r>
      <w:r w:rsidR="00681E5B">
        <w:rPr>
          <w:lang w:val="en-US"/>
        </w:rPr>
        <w:t>Department.</w:t>
      </w:r>
    </w:p>
    <w:p w14:paraId="24CB0F72" w14:textId="7108765C" w:rsidR="00CA138C" w:rsidRDefault="007768FD" w:rsidP="00AF1DF7">
      <w:pPr>
        <w:rPr>
          <w:lang w:val="en-US"/>
        </w:rPr>
      </w:pPr>
      <w:r>
        <w:rPr>
          <w:lang w:val="en-US"/>
        </w:rPr>
        <w:t xml:space="preserve">Discussions with </w:t>
      </w:r>
      <w:r w:rsidR="00904DD4">
        <w:rPr>
          <w:lang w:val="en-US"/>
        </w:rPr>
        <w:t xml:space="preserve">ECB staff confirmed </w:t>
      </w:r>
      <w:r w:rsidR="005F06FF">
        <w:rPr>
          <w:lang w:val="en-US"/>
        </w:rPr>
        <w:t xml:space="preserve">that </w:t>
      </w:r>
      <w:r w:rsidR="00904DD4">
        <w:rPr>
          <w:lang w:val="en-US"/>
        </w:rPr>
        <w:t>t</w:t>
      </w:r>
      <w:r>
        <w:rPr>
          <w:lang w:val="en-US"/>
        </w:rPr>
        <w:t xml:space="preserve">he </w:t>
      </w:r>
      <w:r w:rsidR="005F06FF">
        <w:rPr>
          <w:lang w:val="en-US"/>
        </w:rPr>
        <w:t>lack</w:t>
      </w:r>
      <w:r>
        <w:rPr>
          <w:lang w:val="en-US"/>
        </w:rPr>
        <w:t xml:space="preserve"> of specialist expertise </w:t>
      </w:r>
      <w:r w:rsidR="00904DD4">
        <w:rPr>
          <w:lang w:val="en-US"/>
        </w:rPr>
        <w:t>was an issue in some aspects of their work</w:t>
      </w:r>
      <w:r w:rsidR="007B2C8A">
        <w:rPr>
          <w:lang w:val="en-US"/>
        </w:rPr>
        <w:t xml:space="preserve">. </w:t>
      </w:r>
      <w:r w:rsidR="00666D06">
        <w:rPr>
          <w:lang w:val="en-US"/>
        </w:rPr>
        <w:t xml:space="preserve">ECB currently depends on a few long-term staff to pass down knowledge; however, </w:t>
      </w:r>
      <w:r w:rsidR="00180FE6">
        <w:rPr>
          <w:lang w:val="en-US"/>
        </w:rPr>
        <w:t>if these staff take extended leave or retire</w:t>
      </w:r>
      <w:r w:rsidR="00921B6E">
        <w:rPr>
          <w:lang w:val="en-US"/>
        </w:rPr>
        <w:t>, there is a risk that this knowledge will be lost</w:t>
      </w:r>
      <w:r w:rsidR="00666D06">
        <w:rPr>
          <w:lang w:val="en-US"/>
        </w:rPr>
        <w:t xml:space="preserve">. </w:t>
      </w:r>
      <w:r w:rsidR="005A7D74">
        <w:rPr>
          <w:lang w:val="en-US"/>
        </w:rPr>
        <w:t>Staff</w:t>
      </w:r>
      <w:r w:rsidR="007B2C8A">
        <w:rPr>
          <w:lang w:val="en-US"/>
        </w:rPr>
        <w:t xml:space="preserve"> also </w:t>
      </w:r>
      <w:r w:rsidR="005A7D74">
        <w:rPr>
          <w:lang w:val="en-US"/>
        </w:rPr>
        <w:t>expressed a need for</w:t>
      </w:r>
      <w:r w:rsidR="007B2C8A">
        <w:rPr>
          <w:lang w:val="en-US"/>
        </w:rPr>
        <w:t xml:space="preserve"> </w:t>
      </w:r>
      <w:r w:rsidR="00A22F59">
        <w:rPr>
          <w:lang w:val="en-US"/>
        </w:rPr>
        <w:t xml:space="preserve">training </w:t>
      </w:r>
      <w:r w:rsidR="007B2C8A">
        <w:rPr>
          <w:lang w:val="en-US"/>
        </w:rPr>
        <w:t xml:space="preserve">on </w:t>
      </w:r>
      <w:r w:rsidR="00F918A7">
        <w:rPr>
          <w:lang w:val="en-US"/>
        </w:rPr>
        <w:t xml:space="preserve">more </w:t>
      </w:r>
      <w:r w:rsidR="00A22F59">
        <w:rPr>
          <w:lang w:val="en-US"/>
        </w:rPr>
        <w:t xml:space="preserve">generic </w:t>
      </w:r>
      <w:r w:rsidR="005A7D74">
        <w:rPr>
          <w:lang w:val="en-US"/>
        </w:rPr>
        <w:t xml:space="preserve">compliance </w:t>
      </w:r>
      <w:r w:rsidR="007B2C8A">
        <w:rPr>
          <w:lang w:val="en-US"/>
        </w:rPr>
        <w:t xml:space="preserve">matters such as </w:t>
      </w:r>
      <w:r w:rsidR="00F918A7">
        <w:rPr>
          <w:lang w:val="en-US"/>
        </w:rPr>
        <w:t xml:space="preserve">interpreting legislation, </w:t>
      </w:r>
      <w:r w:rsidR="007B2C8A">
        <w:rPr>
          <w:lang w:val="en-US"/>
        </w:rPr>
        <w:t>apply</w:t>
      </w:r>
      <w:r w:rsidR="00F918A7">
        <w:rPr>
          <w:lang w:val="en-US"/>
        </w:rPr>
        <w:t>ing</w:t>
      </w:r>
      <w:r w:rsidR="007B2C8A">
        <w:rPr>
          <w:lang w:val="en-US"/>
        </w:rPr>
        <w:t xml:space="preserve"> a risk</w:t>
      </w:r>
      <w:r>
        <w:rPr>
          <w:lang w:val="en-US"/>
        </w:rPr>
        <w:t>-</w:t>
      </w:r>
      <w:r w:rsidR="007B2C8A">
        <w:rPr>
          <w:lang w:val="en-US"/>
        </w:rPr>
        <w:t>proportionate approach to enforcement</w:t>
      </w:r>
      <w:r w:rsidR="00090A2C">
        <w:rPr>
          <w:lang w:val="en-US"/>
        </w:rPr>
        <w:t xml:space="preserve">, </w:t>
      </w:r>
      <w:r w:rsidR="00A22F59">
        <w:rPr>
          <w:lang w:val="en-US"/>
        </w:rPr>
        <w:t>planning</w:t>
      </w:r>
      <w:r w:rsidR="00090A2C">
        <w:rPr>
          <w:lang w:val="en-US"/>
        </w:rPr>
        <w:t xml:space="preserve"> an investigation</w:t>
      </w:r>
      <w:r w:rsidR="00D134E2">
        <w:rPr>
          <w:lang w:val="en-US"/>
        </w:rPr>
        <w:t xml:space="preserve"> and</w:t>
      </w:r>
      <w:r w:rsidR="00090A2C">
        <w:rPr>
          <w:lang w:val="en-US"/>
        </w:rPr>
        <w:t xml:space="preserve"> writ</w:t>
      </w:r>
      <w:r w:rsidR="00A22F59">
        <w:rPr>
          <w:lang w:val="en-US"/>
        </w:rPr>
        <w:t>ing</w:t>
      </w:r>
      <w:r w:rsidR="00090A2C">
        <w:rPr>
          <w:lang w:val="en-US"/>
        </w:rPr>
        <w:t xml:space="preserve"> up compliance reports</w:t>
      </w:r>
      <w:r w:rsidR="00CA138C">
        <w:rPr>
          <w:lang w:val="en-US"/>
        </w:rPr>
        <w:t>.</w:t>
      </w:r>
      <w:r w:rsidR="007A6707">
        <w:rPr>
          <w:lang w:val="en-US"/>
        </w:rPr>
        <w:t xml:space="preserve"> </w:t>
      </w:r>
      <w:r w:rsidR="00B64EAB">
        <w:rPr>
          <w:lang w:val="en-US"/>
        </w:rPr>
        <w:t>A</w:t>
      </w:r>
      <w:r w:rsidR="007A6707">
        <w:rPr>
          <w:lang w:val="en-US"/>
        </w:rPr>
        <w:t xml:space="preserve">gencies </w:t>
      </w:r>
      <w:r w:rsidR="00F166F1">
        <w:rPr>
          <w:lang w:val="en-US"/>
        </w:rPr>
        <w:t xml:space="preserve">such as </w:t>
      </w:r>
      <w:r w:rsidR="00B64EAB">
        <w:rPr>
          <w:lang w:val="en-US"/>
        </w:rPr>
        <w:t>s</w:t>
      </w:r>
      <w:r w:rsidR="00F166F1">
        <w:rPr>
          <w:lang w:val="en-US"/>
        </w:rPr>
        <w:t>tate Environment Protection Authorit</w:t>
      </w:r>
      <w:r w:rsidR="00B64EAB">
        <w:rPr>
          <w:lang w:val="en-US"/>
        </w:rPr>
        <w:t xml:space="preserve">ies </w:t>
      </w:r>
      <w:r w:rsidR="00C013DC">
        <w:rPr>
          <w:lang w:val="en-US"/>
        </w:rPr>
        <w:t xml:space="preserve">provide </w:t>
      </w:r>
      <w:r w:rsidR="00F166F1">
        <w:rPr>
          <w:lang w:val="en-US"/>
        </w:rPr>
        <w:t xml:space="preserve">regular training including </w:t>
      </w:r>
      <w:r w:rsidR="00C013DC">
        <w:rPr>
          <w:lang w:val="en-US"/>
        </w:rPr>
        <w:t xml:space="preserve">formal </w:t>
      </w:r>
      <w:r w:rsidR="00F166F1">
        <w:rPr>
          <w:lang w:val="en-US"/>
        </w:rPr>
        <w:t>coaching and mentoring</w:t>
      </w:r>
      <w:r w:rsidR="00020558">
        <w:rPr>
          <w:lang w:val="en-US"/>
        </w:rPr>
        <w:t xml:space="preserve"> </w:t>
      </w:r>
      <w:r w:rsidR="00F166F1">
        <w:rPr>
          <w:lang w:val="en-US"/>
        </w:rPr>
        <w:t>of newer staff.</w:t>
      </w:r>
    </w:p>
    <w:p w14:paraId="7A80A984" w14:textId="238A74EB" w:rsidR="000A7960" w:rsidRDefault="0091782D" w:rsidP="00AF1DF7">
      <w:pPr>
        <w:rPr>
          <w:lang w:val="en-US"/>
        </w:rPr>
      </w:pPr>
      <w:r>
        <w:rPr>
          <w:lang w:val="en-US"/>
        </w:rPr>
        <w:t xml:space="preserve">The Samuel report proposes that </w:t>
      </w:r>
      <w:r w:rsidR="006507A2">
        <w:rPr>
          <w:lang w:val="en-US"/>
        </w:rPr>
        <w:t>some</w:t>
      </w:r>
      <w:r>
        <w:rPr>
          <w:lang w:val="en-US"/>
        </w:rPr>
        <w:t xml:space="preserve"> of the on</w:t>
      </w:r>
      <w:r w:rsidR="00C013DC">
        <w:rPr>
          <w:lang w:val="en-US"/>
        </w:rPr>
        <w:t>-</w:t>
      </w:r>
      <w:r>
        <w:rPr>
          <w:lang w:val="en-US"/>
        </w:rPr>
        <w:t>the</w:t>
      </w:r>
      <w:r w:rsidR="00C013DC">
        <w:rPr>
          <w:lang w:val="en-US"/>
        </w:rPr>
        <w:t>-</w:t>
      </w:r>
      <w:r>
        <w:rPr>
          <w:lang w:val="en-US"/>
        </w:rPr>
        <w:t xml:space="preserve">ground compliance </w:t>
      </w:r>
      <w:r w:rsidR="006507A2">
        <w:rPr>
          <w:lang w:val="en-US"/>
        </w:rPr>
        <w:t xml:space="preserve">activities </w:t>
      </w:r>
      <w:r>
        <w:rPr>
          <w:lang w:val="en-US"/>
        </w:rPr>
        <w:t xml:space="preserve">for the EPBC Act </w:t>
      </w:r>
      <w:r w:rsidR="00487848">
        <w:rPr>
          <w:lang w:val="en-US"/>
        </w:rPr>
        <w:t xml:space="preserve">be undertaken by </w:t>
      </w:r>
      <w:r w:rsidR="006B6B0A">
        <w:rPr>
          <w:lang w:val="en-US"/>
        </w:rPr>
        <w:t>s</w:t>
      </w:r>
      <w:r w:rsidR="00487848">
        <w:rPr>
          <w:lang w:val="en-US"/>
        </w:rPr>
        <w:t xml:space="preserve">tate and </w:t>
      </w:r>
      <w:r w:rsidR="006B6B0A">
        <w:rPr>
          <w:lang w:val="en-US"/>
        </w:rPr>
        <w:t>t</w:t>
      </w:r>
      <w:r w:rsidR="00487848">
        <w:rPr>
          <w:lang w:val="en-US"/>
        </w:rPr>
        <w:t xml:space="preserve">erritory compliance officers. </w:t>
      </w:r>
      <w:r w:rsidR="00F9045C">
        <w:rPr>
          <w:lang w:val="en-US"/>
        </w:rPr>
        <w:t xml:space="preserve">However, this would not be grounds to reduce Commonwealth compliance resources. </w:t>
      </w:r>
      <w:r w:rsidR="00CD7163">
        <w:rPr>
          <w:lang w:val="en-US"/>
        </w:rPr>
        <w:t>E</w:t>
      </w:r>
      <w:r w:rsidR="000A7960" w:rsidRPr="3EE65D62">
        <w:rPr>
          <w:lang w:val="en-US"/>
        </w:rPr>
        <w:t xml:space="preserve">ven if </w:t>
      </w:r>
      <w:r w:rsidR="00CD7163">
        <w:rPr>
          <w:lang w:val="en-US"/>
        </w:rPr>
        <w:t xml:space="preserve">some </w:t>
      </w:r>
      <w:r w:rsidR="000A7960" w:rsidRPr="3EE65D62">
        <w:rPr>
          <w:lang w:val="en-US"/>
        </w:rPr>
        <w:t xml:space="preserve">states and territories agree to undertake on-the-ground compliance audits for new projects approved following referral under the EPBC Act, there are still insufficient </w:t>
      </w:r>
      <w:r w:rsidR="00CD7163">
        <w:rPr>
          <w:lang w:val="en-US"/>
        </w:rPr>
        <w:t xml:space="preserve">Commonwealth </w:t>
      </w:r>
      <w:r w:rsidR="000A7960" w:rsidRPr="3EE65D62">
        <w:rPr>
          <w:lang w:val="en-US"/>
        </w:rPr>
        <w:t xml:space="preserve">compliance staff to monitor existing approvals, let alone develop more desktop, analytical and intelligence-led activities </w:t>
      </w:r>
      <w:r w:rsidR="008904D0">
        <w:rPr>
          <w:lang w:val="en-US"/>
        </w:rPr>
        <w:t xml:space="preserve">that are </w:t>
      </w:r>
      <w:r w:rsidR="000A7960" w:rsidRPr="3EE65D62">
        <w:rPr>
          <w:lang w:val="en-US"/>
        </w:rPr>
        <w:t xml:space="preserve">necessary to support a more strategic compliance approach </w:t>
      </w:r>
      <w:r w:rsidR="004501E0">
        <w:rPr>
          <w:lang w:val="en-US"/>
        </w:rPr>
        <w:t>through</w:t>
      </w:r>
      <w:r w:rsidR="003669FA">
        <w:rPr>
          <w:lang w:val="en-US"/>
        </w:rPr>
        <w:t xml:space="preserve"> which</w:t>
      </w:r>
      <w:r w:rsidR="000A7960" w:rsidRPr="3EE65D62">
        <w:rPr>
          <w:lang w:val="en-US"/>
        </w:rPr>
        <w:t xml:space="preserve"> the Commonwealth </w:t>
      </w:r>
      <w:r w:rsidR="004501E0">
        <w:rPr>
          <w:lang w:val="en-US"/>
        </w:rPr>
        <w:t>can focus</w:t>
      </w:r>
      <w:r w:rsidR="000A7960" w:rsidRPr="3EE65D62">
        <w:rPr>
          <w:lang w:val="en-US"/>
        </w:rPr>
        <w:t xml:space="preserve"> its efforts on preventing non-compliance and </w:t>
      </w:r>
      <w:r w:rsidR="004501E0" w:rsidRPr="3EE65D62">
        <w:rPr>
          <w:lang w:val="en-US"/>
        </w:rPr>
        <w:t>o</w:t>
      </w:r>
      <w:r w:rsidR="004501E0">
        <w:rPr>
          <w:lang w:val="en-US"/>
        </w:rPr>
        <w:t>n</w:t>
      </w:r>
      <w:r w:rsidR="004501E0" w:rsidRPr="3EE65D62">
        <w:rPr>
          <w:lang w:val="en-US"/>
        </w:rPr>
        <w:t xml:space="preserve"> enforcement and prosecution </w:t>
      </w:r>
      <w:r w:rsidR="000A7960" w:rsidRPr="3EE65D62">
        <w:rPr>
          <w:lang w:val="en-US"/>
        </w:rPr>
        <w:t>at the top end of the compliance pyramid.</w:t>
      </w:r>
    </w:p>
    <w:p w14:paraId="08745C78" w14:textId="78A343EB" w:rsidR="00416A43" w:rsidRDefault="00416A43" w:rsidP="00AF1DF7">
      <w:pPr>
        <w:rPr>
          <w:lang w:val="en-US"/>
        </w:rPr>
      </w:pPr>
      <w:r>
        <w:rPr>
          <w:lang w:val="en-US"/>
        </w:rPr>
        <w:t xml:space="preserve">The risk analysis of </w:t>
      </w:r>
      <w:r w:rsidR="002B3F17">
        <w:rPr>
          <w:lang w:val="en-US"/>
        </w:rPr>
        <w:t>individual pieces of legislation</w:t>
      </w:r>
      <w:r w:rsidR="003C5EA0">
        <w:rPr>
          <w:lang w:val="en-US"/>
        </w:rPr>
        <w:t xml:space="preserve"> (above)</w:t>
      </w:r>
      <w:r w:rsidR="002B3F17">
        <w:rPr>
          <w:lang w:val="en-US"/>
        </w:rPr>
        <w:t xml:space="preserve"> highlighted some areas where a</w:t>
      </w:r>
      <w:r w:rsidR="00CE6DD5">
        <w:rPr>
          <w:lang w:val="en-US"/>
        </w:rPr>
        <w:t xml:space="preserve"> significant increase </w:t>
      </w:r>
      <w:r w:rsidR="00FB0E57">
        <w:rPr>
          <w:lang w:val="en-US"/>
        </w:rPr>
        <w:t xml:space="preserve">in </w:t>
      </w:r>
      <w:r w:rsidR="00540B5E">
        <w:rPr>
          <w:lang w:val="en-US"/>
        </w:rPr>
        <w:t>work</w:t>
      </w:r>
      <w:r w:rsidR="00FB0E57">
        <w:rPr>
          <w:lang w:val="en-US"/>
        </w:rPr>
        <w:t>load</w:t>
      </w:r>
      <w:r w:rsidR="00540B5E">
        <w:rPr>
          <w:lang w:val="en-US"/>
        </w:rPr>
        <w:t xml:space="preserve"> has </w:t>
      </w:r>
      <w:r w:rsidR="00877562">
        <w:rPr>
          <w:lang w:val="en-US"/>
        </w:rPr>
        <w:t>emerged</w:t>
      </w:r>
      <w:r w:rsidR="0025266D">
        <w:rPr>
          <w:lang w:val="en-US"/>
        </w:rPr>
        <w:t xml:space="preserve">, </w:t>
      </w:r>
      <w:r w:rsidR="00330B5A">
        <w:rPr>
          <w:lang w:val="en-US"/>
        </w:rPr>
        <w:t>particularly</w:t>
      </w:r>
      <w:r w:rsidR="00E978BD">
        <w:rPr>
          <w:lang w:val="en-US"/>
        </w:rPr>
        <w:t xml:space="preserve"> where</w:t>
      </w:r>
      <w:r w:rsidR="008863C3">
        <w:rPr>
          <w:lang w:val="en-US"/>
        </w:rPr>
        <w:t xml:space="preserve"> the number of approvals is rapidly increasing as the Department works through assessments </w:t>
      </w:r>
      <w:r w:rsidR="00AA4620">
        <w:rPr>
          <w:lang w:val="en-US"/>
        </w:rPr>
        <w:t>more quickly</w:t>
      </w:r>
      <w:r w:rsidR="00CE6DD5">
        <w:rPr>
          <w:lang w:val="en-US"/>
        </w:rPr>
        <w:t xml:space="preserve"> </w:t>
      </w:r>
      <w:r w:rsidR="001450DE">
        <w:rPr>
          <w:lang w:val="en-US"/>
        </w:rPr>
        <w:t xml:space="preserve">to meet statutory timeframes </w:t>
      </w:r>
      <w:r w:rsidR="00CE6DD5">
        <w:rPr>
          <w:lang w:val="en-US"/>
        </w:rPr>
        <w:t>and where new pieces of legislation</w:t>
      </w:r>
      <w:r w:rsidR="00330B5A">
        <w:rPr>
          <w:lang w:val="en-US"/>
        </w:rPr>
        <w:t xml:space="preserve"> have been implemented</w:t>
      </w:r>
      <w:r w:rsidR="00AA4620">
        <w:rPr>
          <w:lang w:val="en-US"/>
        </w:rPr>
        <w:t xml:space="preserve">. </w:t>
      </w:r>
      <w:r w:rsidR="00330B5A">
        <w:rPr>
          <w:lang w:val="en-US"/>
        </w:rPr>
        <w:t xml:space="preserve">Areas of </w:t>
      </w:r>
      <w:r w:rsidR="00B0747C">
        <w:rPr>
          <w:lang w:val="en-US"/>
        </w:rPr>
        <w:t>particular</w:t>
      </w:r>
      <w:r w:rsidR="00330B5A">
        <w:rPr>
          <w:lang w:val="en-US"/>
        </w:rPr>
        <w:t xml:space="preserve"> concern are the</w:t>
      </w:r>
      <w:r w:rsidR="00AA4620">
        <w:rPr>
          <w:lang w:val="en-US"/>
        </w:rPr>
        <w:t xml:space="preserve"> backlog </w:t>
      </w:r>
      <w:r w:rsidR="00A418EB">
        <w:rPr>
          <w:lang w:val="en-US"/>
        </w:rPr>
        <w:t>management reports under the EPBC Act that require</w:t>
      </w:r>
      <w:r w:rsidR="007C4E46">
        <w:rPr>
          <w:lang w:val="en-US"/>
        </w:rPr>
        <w:t xml:space="preserve"> </w:t>
      </w:r>
      <w:r w:rsidR="00A418EB">
        <w:rPr>
          <w:lang w:val="en-US"/>
        </w:rPr>
        <w:t>review</w:t>
      </w:r>
      <w:r w:rsidR="00330B5A">
        <w:rPr>
          <w:lang w:val="en-US"/>
        </w:rPr>
        <w:t xml:space="preserve"> and follow</w:t>
      </w:r>
      <w:r w:rsidR="00A418EB">
        <w:rPr>
          <w:lang w:val="en-US"/>
        </w:rPr>
        <w:t>-</w:t>
      </w:r>
      <w:r w:rsidR="00330B5A">
        <w:rPr>
          <w:lang w:val="en-US"/>
        </w:rPr>
        <w:t>up</w:t>
      </w:r>
      <w:r w:rsidR="007C4E46">
        <w:rPr>
          <w:lang w:val="en-US"/>
        </w:rPr>
        <w:t>,</w:t>
      </w:r>
      <w:r w:rsidR="00330B5A">
        <w:rPr>
          <w:lang w:val="en-US"/>
        </w:rPr>
        <w:t xml:space="preserve"> </w:t>
      </w:r>
      <w:r w:rsidR="00375222">
        <w:rPr>
          <w:lang w:val="en-US"/>
        </w:rPr>
        <w:t>the increasing number of conditions</w:t>
      </w:r>
      <w:r w:rsidR="00330B5A">
        <w:rPr>
          <w:lang w:val="en-US"/>
        </w:rPr>
        <w:t xml:space="preserve"> </w:t>
      </w:r>
      <w:r w:rsidR="00375222">
        <w:rPr>
          <w:lang w:val="en-US"/>
        </w:rPr>
        <w:t>that now need to be monitored</w:t>
      </w:r>
      <w:r w:rsidR="00330B5A">
        <w:rPr>
          <w:lang w:val="en-US"/>
        </w:rPr>
        <w:t xml:space="preserve"> under the EPBC Act</w:t>
      </w:r>
      <w:r w:rsidR="00061EA7">
        <w:rPr>
          <w:lang w:val="en-US"/>
        </w:rPr>
        <w:t>,</w:t>
      </w:r>
      <w:r w:rsidR="0024004A">
        <w:rPr>
          <w:lang w:val="en-US"/>
        </w:rPr>
        <w:t xml:space="preserve"> and </w:t>
      </w:r>
      <w:r w:rsidR="00A418EB">
        <w:rPr>
          <w:lang w:val="en-US"/>
        </w:rPr>
        <w:t>the legislative regimes</w:t>
      </w:r>
      <w:r w:rsidR="0024004A">
        <w:rPr>
          <w:lang w:val="en-US"/>
        </w:rPr>
        <w:t xml:space="preserve"> where compliance arrangements are not </w:t>
      </w:r>
      <w:r w:rsidR="0024004A">
        <w:rPr>
          <w:lang w:val="en-US"/>
        </w:rPr>
        <w:lastRenderedPageBreak/>
        <w:t>well defined.</w:t>
      </w:r>
      <w:r w:rsidR="00AE20F8">
        <w:rPr>
          <w:lang w:val="en-US"/>
        </w:rPr>
        <w:t xml:space="preserve"> These issues can be addressed </w:t>
      </w:r>
      <w:r w:rsidR="00111913">
        <w:rPr>
          <w:lang w:val="en-US"/>
        </w:rPr>
        <w:t xml:space="preserve">by applying dedicated resources using </w:t>
      </w:r>
      <w:r w:rsidR="00AE20F8">
        <w:rPr>
          <w:lang w:val="en-US"/>
        </w:rPr>
        <w:t>a project management approach.</w:t>
      </w:r>
    </w:p>
    <w:p w14:paraId="1D04D8B3" w14:textId="77777777" w:rsidR="001373C2" w:rsidRDefault="004E2476" w:rsidP="001373C2">
      <w:pPr>
        <w:rPr>
          <w:lang w:val="en-US"/>
        </w:rPr>
      </w:pPr>
      <w:r>
        <w:rPr>
          <w:lang w:val="en-US"/>
        </w:rPr>
        <w:t xml:space="preserve">ECB </w:t>
      </w:r>
      <w:r w:rsidR="00563819">
        <w:rPr>
          <w:lang w:val="en-US"/>
        </w:rPr>
        <w:t xml:space="preserve">currently has insufficient resources </w:t>
      </w:r>
      <w:r>
        <w:rPr>
          <w:lang w:val="en-US"/>
        </w:rPr>
        <w:t xml:space="preserve">to manage </w:t>
      </w:r>
      <w:r w:rsidR="00563819">
        <w:rPr>
          <w:lang w:val="en-US"/>
        </w:rPr>
        <w:t xml:space="preserve">its day-to-day work, let alone implement the recommended reforms. </w:t>
      </w:r>
      <w:r w:rsidR="00E30586">
        <w:rPr>
          <w:lang w:val="en-US"/>
        </w:rPr>
        <w:t>As with any reform program</w:t>
      </w:r>
      <w:r w:rsidR="00563819">
        <w:rPr>
          <w:lang w:val="en-US"/>
        </w:rPr>
        <w:t>,</w:t>
      </w:r>
      <w:r w:rsidR="00E30586">
        <w:rPr>
          <w:lang w:val="en-US"/>
        </w:rPr>
        <w:t xml:space="preserve"> some up</w:t>
      </w:r>
      <w:r w:rsidR="00563819">
        <w:rPr>
          <w:lang w:val="en-US"/>
        </w:rPr>
        <w:t>-</w:t>
      </w:r>
      <w:r w:rsidR="00E30586">
        <w:rPr>
          <w:lang w:val="en-US"/>
        </w:rPr>
        <w:t xml:space="preserve">front investment is needed </w:t>
      </w:r>
      <w:r w:rsidR="000B66C0">
        <w:rPr>
          <w:lang w:val="en-US"/>
        </w:rPr>
        <w:t xml:space="preserve">to </w:t>
      </w:r>
      <w:r w:rsidR="00563819">
        <w:rPr>
          <w:lang w:val="en-US"/>
        </w:rPr>
        <w:t>manage the</w:t>
      </w:r>
      <w:r w:rsidR="000D3E9C">
        <w:rPr>
          <w:lang w:val="en-US"/>
        </w:rPr>
        <w:t xml:space="preserve"> change process</w:t>
      </w:r>
      <w:r w:rsidR="000B66C0">
        <w:rPr>
          <w:lang w:val="en-US"/>
        </w:rPr>
        <w:t>.</w:t>
      </w:r>
      <w:r w:rsidR="00A3214C">
        <w:rPr>
          <w:lang w:val="en-US"/>
        </w:rPr>
        <w:t xml:space="preserve"> </w:t>
      </w:r>
      <w:r w:rsidR="000D3E9C">
        <w:rPr>
          <w:lang w:val="en-US"/>
        </w:rPr>
        <w:t>The Review recommends that the Department move quickly to fill vacant positions in ECB (with contractors until positions can be permanently filled</w:t>
      </w:r>
      <w:r w:rsidR="001528B4">
        <w:rPr>
          <w:lang w:val="en-US"/>
        </w:rPr>
        <w:t>),</w:t>
      </w:r>
      <w:r w:rsidR="000D3E9C">
        <w:rPr>
          <w:lang w:val="en-US"/>
        </w:rPr>
        <w:t xml:space="preserve"> that</w:t>
      </w:r>
      <w:r w:rsidR="00A3214C">
        <w:rPr>
          <w:lang w:val="en-US"/>
        </w:rPr>
        <w:t xml:space="preserve"> </w:t>
      </w:r>
      <w:r w:rsidR="001528B4">
        <w:rPr>
          <w:lang w:val="en-US"/>
        </w:rPr>
        <w:t xml:space="preserve">a small number of additional resources be provided to address identified gaps, </w:t>
      </w:r>
      <w:r w:rsidR="00322936">
        <w:rPr>
          <w:lang w:val="en-US"/>
        </w:rPr>
        <w:t>a</w:t>
      </w:r>
      <w:r w:rsidR="001528B4">
        <w:rPr>
          <w:lang w:val="en-US"/>
        </w:rPr>
        <w:t>nd</w:t>
      </w:r>
      <w:r w:rsidR="00322936">
        <w:rPr>
          <w:lang w:val="en-US"/>
        </w:rPr>
        <w:t xml:space="preserve"> </w:t>
      </w:r>
      <w:r w:rsidR="001528B4">
        <w:rPr>
          <w:lang w:val="en-US"/>
        </w:rPr>
        <w:t xml:space="preserve">a </w:t>
      </w:r>
      <w:r w:rsidR="00322936">
        <w:rPr>
          <w:lang w:val="en-US"/>
        </w:rPr>
        <w:t xml:space="preserve">small project team </w:t>
      </w:r>
      <w:r w:rsidR="000D3E9C">
        <w:rPr>
          <w:lang w:val="en-US"/>
        </w:rPr>
        <w:t>be established</w:t>
      </w:r>
      <w:r w:rsidR="001528B4">
        <w:rPr>
          <w:lang w:val="en-US"/>
        </w:rPr>
        <w:t xml:space="preserve"> to manage</w:t>
      </w:r>
      <w:r w:rsidR="005B63D3">
        <w:rPr>
          <w:lang w:val="en-US"/>
        </w:rPr>
        <w:t xml:space="preserve"> </w:t>
      </w:r>
      <w:r w:rsidR="001373C2">
        <w:rPr>
          <w:lang w:val="en-US"/>
        </w:rPr>
        <w:t>the reform process (including the development of training modules)</w:t>
      </w:r>
      <w:r w:rsidR="001813E3">
        <w:rPr>
          <w:lang w:val="en-US"/>
        </w:rPr>
        <w:t>.</w:t>
      </w:r>
    </w:p>
    <w:p w14:paraId="21C27BDC" w14:textId="3CE119E8" w:rsidR="001373C2" w:rsidRPr="0049722E" w:rsidRDefault="001373C2" w:rsidP="001373C2">
      <w:pPr>
        <w:rPr>
          <w:rFonts w:eastAsiaTheme="minorEastAsia"/>
          <w:lang w:val="en-US"/>
        </w:rPr>
      </w:pPr>
      <w:r>
        <w:rPr>
          <w:lang w:val="en-US"/>
        </w:rPr>
        <w:t>Another resource gap is having sufficient investigators to follow through on more serious issues of non-compliance, particularly in the areas of wildlife trade, sea dumping, hazardous waste and underwater cultural heritage. The establishment of a panel of investigators would help to address this situation, supplemented by online training modules.</w:t>
      </w:r>
    </w:p>
    <w:p w14:paraId="757CD7E8" w14:textId="117FD93F" w:rsidR="00187A9A" w:rsidRPr="006F11E8" w:rsidRDefault="001813E3" w:rsidP="006C4ADF">
      <w:pPr>
        <w:pStyle w:val="Heading4"/>
        <w:rPr>
          <w:lang w:val="en-US"/>
        </w:rPr>
      </w:pPr>
      <w:r w:rsidRPr="006F11E8">
        <w:rPr>
          <w:lang w:val="en-US"/>
        </w:rPr>
        <w:t>Recommendation</w:t>
      </w:r>
      <w:r w:rsidR="00C84C53">
        <w:rPr>
          <w:lang w:val="en-US"/>
        </w:rPr>
        <w:t xml:space="preserve"> </w:t>
      </w:r>
      <w:r w:rsidR="002B5067">
        <w:rPr>
          <w:lang w:val="en-US"/>
        </w:rPr>
        <w:t>6</w:t>
      </w:r>
    </w:p>
    <w:p w14:paraId="6ADA8EA9" w14:textId="202524D4" w:rsidR="002450FB" w:rsidRPr="006F11E8" w:rsidRDefault="002450FB" w:rsidP="006F11E8">
      <w:pPr>
        <w:spacing w:after="200" w:line="276" w:lineRule="auto"/>
        <w:rPr>
          <w:b/>
          <w:bCs/>
        </w:rPr>
      </w:pPr>
      <w:r w:rsidRPr="006F11E8">
        <w:rPr>
          <w:b/>
          <w:bCs/>
        </w:rPr>
        <w:t>To enable reforms to commence, the Environment Compliance Branch immediately fill all vacant positions</w:t>
      </w:r>
      <w:r w:rsidR="00913501">
        <w:rPr>
          <w:b/>
          <w:bCs/>
        </w:rPr>
        <w:t>,</w:t>
      </w:r>
      <w:r w:rsidRPr="006F11E8">
        <w:rPr>
          <w:b/>
          <w:bCs/>
        </w:rPr>
        <w:t xml:space="preserve"> including using contractors until positions can be permanently filled</w:t>
      </w:r>
      <w:r w:rsidR="003329C2">
        <w:rPr>
          <w:b/>
          <w:bCs/>
        </w:rPr>
        <w:t>.</w:t>
      </w:r>
    </w:p>
    <w:p w14:paraId="51161C0F" w14:textId="45AF1874" w:rsidR="00C84C53" w:rsidRDefault="00C84C53" w:rsidP="006C4ADF">
      <w:pPr>
        <w:pStyle w:val="Heading4"/>
      </w:pPr>
      <w:r>
        <w:t xml:space="preserve">Recommendation </w:t>
      </w:r>
      <w:r w:rsidR="002B5067">
        <w:t>7</w:t>
      </w:r>
    </w:p>
    <w:p w14:paraId="5D9FDECE" w14:textId="6CD18586" w:rsidR="002450FB" w:rsidRDefault="002450FB" w:rsidP="006F11E8">
      <w:pPr>
        <w:spacing w:after="200" w:line="276" w:lineRule="auto"/>
        <w:rPr>
          <w:b/>
          <w:bCs/>
        </w:rPr>
      </w:pPr>
      <w:r w:rsidRPr="006F11E8">
        <w:rPr>
          <w:b/>
          <w:bCs/>
        </w:rPr>
        <w:t xml:space="preserve">Additional resources of </w:t>
      </w:r>
      <w:r w:rsidR="00F52B41">
        <w:rPr>
          <w:b/>
          <w:bCs/>
        </w:rPr>
        <w:t>3-4</w:t>
      </w:r>
      <w:r w:rsidRPr="006F11E8">
        <w:rPr>
          <w:b/>
          <w:bCs/>
        </w:rPr>
        <w:t xml:space="preserve"> staff reporting directly to the First Assistant Secretary be provided to establish a project management approach to implementing the proposed reforms</w:t>
      </w:r>
      <w:r w:rsidR="00913501">
        <w:rPr>
          <w:b/>
          <w:bCs/>
        </w:rPr>
        <w:t xml:space="preserve">, coordinate procurement </w:t>
      </w:r>
      <w:r w:rsidR="001B1BCA">
        <w:rPr>
          <w:b/>
          <w:bCs/>
        </w:rPr>
        <w:t>for the specific packages of work identified in this report</w:t>
      </w:r>
      <w:r w:rsidRPr="006F11E8">
        <w:rPr>
          <w:b/>
          <w:bCs/>
        </w:rPr>
        <w:t xml:space="preserve"> and provide initial secretariat support for preparing papers for the </w:t>
      </w:r>
      <w:r w:rsidR="007F0E9D">
        <w:rPr>
          <w:b/>
          <w:bCs/>
        </w:rPr>
        <w:t>Executive Committee described in Recommendation</w:t>
      </w:r>
      <w:r w:rsidR="00C20AB3">
        <w:rPr>
          <w:b/>
          <w:bCs/>
        </w:rPr>
        <w:t xml:space="preserve"> 3</w:t>
      </w:r>
      <w:r w:rsidR="006C4ADF">
        <w:rPr>
          <w:b/>
          <w:bCs/>
        </w:rPr>
        <w:t>.</w:t>
      </w:r>
    </w:p>
    <w:p w14:paraId="1C44406C" w14:textId="77777777" w:rsidR="00837C23" w:rsidRDefault="00D7512C" w:rsidP="006C4ADF">
      <w:pPr>
        <w:pStyle w:val="Heading4"/>
      </w:pPr>
      <w:r>
        <w:t xml:space="preserve">Recommendation </w:t>
      </w:r>
      <w:r w:rsidR="00837C23">
        <w:t>8</w:t>
      </w:r>
    </w:p>
    <w:p w14:paraId="21B946DC" w14:textId="3B771683" w:rsidR="00020558" w:rsidRDefault="00020558" w:rsidP="006F11E8">
      <w:pPr>
        <w:spacing w:after="200" w:line="276" w:lineRule="auto"/>
        <w:rPr>
          <w:b/>
          <w:bCs/>
        </w:rPr>
      </w:pPr>
      <w:r>
        <w:rPr>
          <w:b/>
          <w:bCs/>
        </w:rPr>
        <w:t xml:space="preserve">A small team be </w:t>
      </w:r>
      <w:r w:rsidR="00D4234C">
        <w:rPr>
          <w:b/>
          <w:bCs/>
        </w:rPr>
        <w:t>contracted</w:t>
      </w:r>
      <w:r>
        <w:rPr>
          <w:b/>
          <w:bCs/>
        </w:rPr>
        <w:t xml:space="preserve"> to work with senior </w:t>
      </w:r>
      <w:r w:rsidR="009D636E">
        <w:rPr>
          <w:b/>
          <w:bCs/>
        </w:rPr>
        <w:t>compliance staff</w:t>
      </w:r>
      <w:r>
        <w:rPr>
          <w:b/>
          <w:bCs/>
        </w:rPr>
        <w:t xml:space="preserve"> </w:t>
      </w:r>
      <w:r w:rsidR="004D02CC">
        <w:rPr>
          <w:b/>
          <w:bCs/>
        </w:rPr>
        <w:t xml:space="preserve">to develop some interactive training modules </w:t>
      </w:r>
      <w:r w:rsidR="00E51791">
        <w:rPr>
          <w:b/>
          <w:bCs/>
        </w:rPr>
        <w:t xml:space="preserve">for ECB staff </w:t>
      </w:r>
      <w:r w:rsidR="00645187">
        <w:rPr>
          <w:b/>
          <w:bCs/>
        </w:rPr>
        <w:t xml:space="preserve">and where possible this team work with </w:t>
      </w:r>
      <w:r w:rsidR="00E51791">
        <w:rPr>
          <w:b/>
          <w:bCs/>
        </w:rPr>
        <w:t>s</w:t>
      </w:r>
      <w:r w:rsidR="00645187">
        <w:rPr>
          <w:b/>
          <w:bCs/>
        </w:rPr>
        <w:t xml:space="preserve">tate and </w:t>
      </w:r>
      <w:r w:rsidR="00E51791">
        <w:rPr>
          <w:b/>
          <w:bCs/>
        </w:rPr>
        <w:t>t</w:t>
      </w:r>
      <w:r w:rsidR="00645187">
        <w:rPr>
          <w:b/>
          <w:bCs/>
        </w:rPr>
        <w:t xml:space="preserve">erritory counterparts to </w:t>
      </w:r>
      <w:r w:rsidR="000D635D">
        <w:rPr>
          <w:b/>
          <w:bCs/>
        </w:rPr>
        <w:t>draw on their expertise and training material</w:t>
      </w:r>
      <w:r w:rsidR="005E3F54">
        <w:rPr>
          <w:b/>
          <w:bCs/>
        </w:rPr>
        <w:t>s</w:t>
      </w:r>
      <w:r w:rsidR="005F2857">
        <w:rPr>
          <w:b/>
          <w:bCs/>
        </w:rPr>
        <w:t>.</w:t>
      </w:r>
    </w:p>
    <w:p w14:paraId="2FCE63CD" w14:textId="77777777" w:rsidR="00837C23" w:rsidRDefault="00837C23" w:rsidP="006C4ADF">
      <w:pPr>
        <w:pStyle w:val="Heading4"/>
      </w:pPr>
      <w:r>
        <w:t>Recommendation 9</w:t>
      </w:r>
    </w:p>
    <w:p w14:paraId="0131C835" w14:textId="016BC768" w:rsidR="00373B96" w:rsidRDefault="005F2857" w:rsidP="006F11E8">
      <w:pPr>
        <w:spacing w:after="200" w:line="276" w:lineRule="auto"/>
        <w:rPr>
          <w:b/>
          <w:bCs/>
        </w:rPr>
      </w:pPr>
      <w:r>
        <w:rPr>
          <w:b/>
          <w:bCs/>
        </w:rPr>
        <w:t xml:space="preserve">A panel of subject matter </w:t>
      </w:r>
      <w:r w:rsidR="00A14A5B">
        <w:rPr>
          <w:b/>
          <w:bCs/>
        </w:rPr>
        <w:t>experts and a panel of c</w:t>
      </w:r>
      <w:r>
        <w:rPr>
          <w:b/>
          <w:bCs/>
        </w:rPr>
        <w:t xml:space="preserve">ompliance experts be established upon </w:t>
      </w:r>
      <w:r w:rsidR="00AE30CF">
        <w:rPr>
          <w:b/>
          <w:bCs/>
        </w:rPr>
        <w:t>whom</w:t>
      </w:r>
      <w:r>
        <w:rPr>
          <w:b/>
          <w:bCs/>
        </w:rPr>
        <w:t xml:space="preserve"> the Department can draw to </w:t>
      </w:r>
      <w:r w:rsidR="003106B4">
        <w:rPr>
          <w:b/>
          <w:bCs/>
        </w:rPr>
        <w:t>assist with inspections, audits and investigations, particularly where on</w:t>
      </w:r>
      <w:r w:rsidR="00AE30CF">
        <w:rPr>
          <w:b/>
          <w:bCs/>
        </w:rPr>
        <w:t>-</w:t>
      </w:r>
      <w:r w:rsidR="003106B4">
        <w:rPr>
          <w:b/>
          <w:bCs/>
        </w:rPr>
        <w:t>the</w:t>
      </w:r>
      <w:r w:rsidR="00AE30CF">
        <w:rPr>
          <w:b/>
          <w:bCs/>
        </w:rPr>
        <w:t>-</w:t>
      </w:r>
      <w:r w:rsidR="003106B4">
        <w:rPr>
          <w:b/>
          <w:bCs/>
        </w:rPr>
        <w:t>ground site visits are needed and there is interaction with specific industry officials.</w:t>
      </w:r>
    </w:p>
    <w:p w14:paraId="6C3547A3" w14:textId="77777777" w:rsidR="00373B96" w:rsidRDefault="00373B96">
      <w:pPr>
        <w:rPr>
          <w:b/>
          <w:bCs/>
        </w:rPr>
      </w:pPr>
      <w:r>
        <w:rPr>
          <w:b/>
          <w:bCs/>
        </w:rPr>
        <w:br w:type="page"/>
      </w:r>
    </w:p>
    <w:p w14:paraId="1AF0B673" w14:textId="34B66CA7" w:rsidR="00E11D20" w:rsidRDefault="00E11D20" w:rsidP="00FD416A">
      <w:pPr>
        <w:pStyle w:val="Heading2"/>
        <w:rPr>
          <w:lang w:val="en-US"/>
        </w:rPr>
      </w:pPr>
      <w:bookmarkStart w:id="50" w:name="_Information_management_and"/>
      <w:bookmarkStart w:id="51" w:name="_Toc72504398"/>
      <w:bookmarkEnd w:id="50"/>
      <w:r>
        <w:rPr>
          <w:lang w:val="en-US"/>
        </w:rPr>
        <w:lastRenderedPageBreak/>
        <w:t>Information management</w:t>
      </w:r>
      <w:r w:rsidR="00233444">
        <w:rPr>
          <w:lang w:val="en-US"/>
        </w:rPr>
        <w:t xml:space="preserve"> and systems</w:t>
      </w:r>
      <w:bookmarkEnd w:id="51"/>
    </w:p>
    <w:p w14:paraId="032E8EDB" w14:textId="77777777" w:rsidR="00E47217" w:rsidRDefault="00E47217" w:rsidP="00AF1DF7">
      <w:pPr>
        <w:tabs>
          <w:tab w:val="left" w:pos="1080"/>
        </w:tabs>
        <w:rPr>
          <w:lang w:val="en-US"/>
        </w:rPr>
      </w:pPr>
      <w:r w:rsidRPr="00E47217">
        <w:rPr>
          <w:lang w:val="en-US"/>
        </w:rPr>
        <w:t>Effective management of environmental risk requires access to information and data from a wide range of sources, including applicant information and history, relevant approvals and their conditions, environmental impact studies conducted as part of the assessment process, geospatial mapping information (including satellite images of areas under threat), information supplied by a wide range of stakeholders (including individual citizens and civil society groups as well as industry proponents and peak bodies), and information obtained from other Australian and international regulatory, intelligence and law enforcement agencies.</w:t>
      </w:r>
    </w:p>
    <w:p w14:paraId="6F7FC0F8" w14:textId="5F55E20D" w:rsidR="003D1273" w:rsidRPr="003D1273" w:rsidRDefault="003D1273" w:rsidP="00AF1DF7">
      <w:pPr>
        <w:rPr>
          <w:lang w:val="en-US"/>
        </w:rPr>
      </w:pPr>
      <w:r>
        <w:rPr>
          <w:lang w:val="en-US"/>
        </w:rPr>
        <w:t xml:space="preserve">A number of reviews have identified an urgent need for the Department to better manage </w:t>
      </w:r>
      <w:r w:rsidR="003E1A4A">
        <w:rPr>
          <w:lang w:val="en-US"/>
        </w:rPr>
        <w:t xml:space="preserve">the </w:t>
      </w:r>
      <w:r>
        <w:rPr>
          <w:lang w:val="en-US"/>
        </w:rPr>
        <w:t>information necessary not only for assessment of applications, but also for compliance.</w:t>
      </w:r>
    </w:p>
    <w:p w14:paraId="0BCA64AE" w14:textId="2EF8ADFB" w:rsidR="00E47217" w:rsidRPr="00CB78F4" w:rsidRDefault="00E47217" w:rsidP="00AF1DF7">
      <w:pPr>
        <w:tabs>
          <w:tab w:val="left" w:pos="1080"/>
        </w:tabs>
        <w:rPr>
          <w:lang w:val="en-US"/>
        </w:rPr>
      </w:pPr>
      <w:r w:rsidRPr="00CB78F4">
        <w:rPr>
          <w:lang w:val="en-US"/>
        </w:rPr>
        <w:t>The Review has identified a number of options for improving the management of information relevant to environmental compliance. These include introducing an electronic system for improving the local management (within the Environment Compliance Branch</w:t>
      </w:r>
      <w:r w:rsidR="00FD27C7">
        <w:rPr>
          <w:lang w:val="en-US"/>
        </w:rPr>
        <w:t xml:space="preserve"> (ECB)</w:t>
      </w:r>
      <w:r w:rsidRPr="00CB78F4">
        <w:rPr>
          <w:lang w:val="en-US"/>
        </w:rPr>
        <w:t>) of information directly related to approved activities (such as annual compliance reports, allegations and audit findings). Such a system needs to include the history of applicants seeking an approval, ability to audit outstanding management reports that are required as a condition of approval, and ability to assess conditions of approval in aggregated format to inform program-based compliance activities rather than the current file-by-file approach. This system needs to integrate and aggregate information relevant to the work of the Branch that is held by the program areas of the department and by other agencies.</w:t>
      </w:r>
    </w:p>
    <w:p w14:paraId="6E852E04" w14:textId="77777777" w:rsidR="00E47217" w:rsidRPr="00E47217" w:rsidRDefault="00E47217" w:rsidP="00AF1DF7">
      <w:pPr>
        <w:rPr>
          <w:lang w:val="en-US"/>
        </w:rPr>
      </w:pPr>
      <w:r w:rsidRPr="00E47217">
        <w:rPr>
          <w:lang w:val="en-US"/>
        </w:rPr>
        <w:t>The current system for managing compliance information, which is largely based on spreadsheets maintained by different sections in the branch, requires multiple data entry points (with the potential to introduce and perpetuate errors) and does not afford a comprehensive view of project proponents, industry sectors, trends or emerging risks. A number of the spreadsheets contain so much information that they are at risk of no longer functioning reliably. The spreadsheet system precludes data sharing and manipulation (data mining), consistency in compliance approaches (an issue of concern raised by industry bodies), the ability to record how or if a potential compliance matter has been resolved and does not allow officers in the Department to provide reliable executive level reporting.</w:t>
      </w:r>
    </w:p>
    <w:p w14:paraId="6CA3B2FB" w14:textId="44D644A4" w:rsidR="00040A34" w:rsidRDefault="00040A34" w:rsidP="00AF1DF7">
      <w:pPr>
        <w:rPr>
          <w:lang w:val="en-US"/>
        </w:rPr>
      </w:pPr>
      <w:r w:rsidRPr="5A4719B3">
        <w:rPr>
          <w:lang w:val="en-US"/>
        </w:rPr>
        <w:t xml:space="preserve">Investment in information systems is overdue. </w:t>
      </w:r>
      <w:r w:rsidR="00FD27C7">
        <w:rPr>
          <w:lang w:val="en-US"/>
        </w:rPr>
        <w:t>ECB</w:t>
      </w:r>
      <w:r w:rsidRPr="5A4719B3">
        <w:rPr>
          <w:lang w:val="en-US"/>
        </w:rPr>
        <w:t xml:space="preserve"> needs to urgently develop systems to hold and interrogate its own data as current systems are spreadsheet-based and are at risk of failure. The branch has recently been working to procure more effective and modern systems, but this process has been delayed due to discussions about whether such systems should be expanded so that other (non-environmental) programs such as biosecurity can leverage the benefits of any systems investment.</w:t>
      </w:r>
    </w:p>
    <w:p w14:paraId="042CBE99" w14:textId="746ACB99" w:rsidR="003D1273" w:rsidRDefault="00FD27C7" w:rsidP="00AF1DF7">
      <w:pPr>
        <w:rPr>
          <w:lang w:val="en-US"/>
        </w:rPr>
      </w:pPr>
      <w:r>
        <w:rPr>
          <w:lang w:val="en-US"/>
        </w:rPr>
        <w:t>ECB</w:t>
      </w:r>
      <w:r w:rsidR="003D1273" w:rsidRPr="00E47217">
        <w:rPr>
          <w:lang w:val="en-US"/>
        </w:rPr>
        <w:t xml:space="preserve"> has recently commenced procurement of a more integrated and contemporary information system (the Compliance Intelligence and Investigation Management System - CIIMS) to manage information relating to the compliance aspects of a range of environmental programs. This work should proceed as a matter of urgency. It is important </w:t>
      </w:r>
      <w:r w:rsidR="003D1273" w:rsidRPr="00E47217">
        <w:rPr>
          <w:lang w:val="en-US"/>
        </w:rPr>
        <w:lastRenderedPageBreak/>
        <w:t>that implementation of this system is not delayed given the existing systems are no longer adequately supporting compliance functions. Without this investment, the compliance area will be unable to function reliably or effectively.</w:t>
      </w:r>
    </w:p>
    <w:p w14:paraId="0643423F" w14:textId="77777777" w:rsidR="00E47217" w:rsidRPr="00A4053A" w:rsidRDefault="00E47217" w:rsidP="00AF1DF7">
      <w:r>
        <w:t xml:space="preserve">The National Environmental Significance and Threat Risk Assessment (NESTRA) tool is a spreadsheet that uses an algorithm to derive a relative risk rating of actions approved under the EPBC Act for case management, case prioritisation, quality assurance and workflow management. </w:t>
      </w:r>
      <w:r w:rsidRPr="00E47217">
        <w:rPr>
          <w:lang w:val="en-US"/>
        </w:rPr>
        <w:t>Work has commenced with the CSIRO to develop business rules for moving this system to a cloud-based database. Modernising other internal compliance systems should be prioritised and supported, but with greater executive level oversight of how these systems interface and integrate with broader departmental assessment workflow, data management and corporate records systems.</w:t>
      </w:r>
    </w:p>
    <w:p w14:paraId="44D4F596" w14:textId="77777777" w:rsidR="00E47217" w:rsidRPr="00E47217" w:rsidRDefault="00E47217" w:rsidP="00AF1DF7">
      <w:pPr>
        <w:rPr>
          <w:lang w:val="en-US"/>
        </w:rPr>
      </w:pPr>
      <w:r>
        <w:t>NESTRA will undergo an efficiency review in 2021-22 to determine if it is adequately identifying risk. The review will be undertaken by a team of risk specialists and data scientists from the CSIRO. The review will be finalised in early 2022. This</w:t>
      </w:r>
      <w:r w:rsidRPr="00E47217">
        <w:rPr>
          <w:lang w:val="en-US"/>
        </w:rPr>
        <w:t xml:space="preserve"> work should continue as a matter of priority.</w:t>
      </w:r>
    </w:p>
    <w:p w14:paraId="6E6C7D96" w14:textId="77777777" w:rsidR="003D1273" w:rsidRPr="00E47217" w:rsidRDefault="003D1273" w:rsidP="00AF1DF7">
      <w:pPr>
        <w:rPr>
          <w:lang w:val="en-US"/>
        </w:rPr>
      </w:pPr>
      <w:r w:rsidRPr="00E47217">
        <w:rPr>
          <w:lang w:val="en-US"/>
        </w:rPr>
        <w:t>Software that allows mirroring of devices such as computers and mobile phones during site visits, and access to satellite imaging analytics systems such as Planet are also necessary tools to undertake effective compliance.</w:t>
      </w:r>
    </w:p>
    <w:p w14:paraId="38DE57CE" w14:textId="401190FC" w:rsidR="00E47217" w:rsidRPr="00E47217" w:rsidRDefault="00E47217" w:rsidP="00AF1DF7">
      <w:pPr>
        <w:rPr>
          <w:lang w:val="en-US"/>
        </w:rPr>
      </w:pPr>
      <w:r w:rsidRPr="00E47217">
        <w:rPr>
          <w:lang w:val="en-US"/>
        </w:rPr>
        <w:t xml:space="preserve">Whilst the </w:t>
      </w:r>
      <w:r w:rsidR="003D1273">
        <w:rPr>
          <w:lang w:val="en-US"/>
        </w:rPr>
        <w:t>recommended</w:t>
      </w:r>
      <w:r w:rsidRPr="00E47217">
        <w:rPr>
          <w:lang w:val="en-US"/>
        </w:rPr>
        <w:t xml:space="preserve"> approach means that compliance information about a project or proponent is not immediately available to program areas for consideration for new or varied approvals, and information considered in the approval or conditioning process is not available for compliance purposes this can be addressed at a later stage by creating interfaces to other systems such as the new assessment portal and workflow system.</w:t>
      </w:r>
    </w:p>
    <w:p w14:paraId="44DB4B48" w14:textId="77777777" w:rsidR="00E47217" w:rsidRDefault="00E47217" w:rsidP="00AF1DF7">
      <w:pPr>
        <w:rPr>
          <w:lang w:val="en-US"/>
        </w:rPr>
      </w:pPr>
      <w:r w:rsidRPr="00E47217">
        <w:rPr>
          <w:lang w:val="en-US"/>
        </w:rPr>
        <w:t>There may be some concern that these systems (as currently planned) do not fully integrate with other information systems in place, or under development, in related policy and program areas, or be available to support other compliance functions within the broader Department. However, this concern can be addressed by designing and implementing CIIMS and upgrading NESTRA so that in future they can become modules in a suite of environmental program IT solutions. To achieve this, the implementation of CIIMS and the redesign of NESTRA should be undertaken in accordance with Departmental IT architecture standards and governed accordingly.</w:t>
      </w:r>
    </w:p>
    <w:p w14:paraId="105622EC" w14:textId="42FC958E" w:rsidR="00FD27C7" w:rsidRPr="00F727CC" w:rsidRDefault="00FD27C7" w:rsidP="00AF1DF7">
      <w:pPr>
        <w:rPr>
          <w:lang w:val="en-US"/>
        </w:rPr>
      </w:pPr>
      <w:r w:rsidRPr="00F727CC">
        <w:rPr>
          <w:lang w:val="en-US"/>
        </w:rPr>
        <w:t>Work currently under way to establish new information systems needs to be coordinated to ensure that consistent information is available to all departmental staff responsible for managing risks to the environment.</w:t>
      </w:r>
      <w:r w:rsidR="00F727CC" w:rsidRPr="00F727CC">
        <w:rPr>
          <w:lang w:val="en-US"/>
        </w:rPr>
        <w:t xml:space="preserve"> </w:t>
      </w:r>
      <w:r w:rsidRPr="00F727CC">
        <w:rPr>
          <w:lang w:val="en-US"/>
        </w:rPr>
        <w:t>Progress on this IT system build should be monitored and supported via the board established to oversee the design and implementation of the Digital Environmental Assessment Program (DEAP).</w:t>
      </w:r>
    </w:p>
    <w:p w14:paraId="2BE3F401" w14:textId="41D4BAB0" w:rsidR="00E47217" w:rsidRPr="00E47217" w:rsidRDefault="00E47217" w:rsidP="00AF1DF7">
      <w:pPr>
        <w:rPr>
          <w:lang w:val="en-US"/>
        </w:rPr>
      </w:pPr>
      <w:r w:rsidRPr="00E47217">
        <w:rPr>
          <w:lang w:val="en-US"/>
        </w:rPr>
        <w:t xml:space="preserve">Work currently underway on developing DEAP should be expanded to include the design of functional interfaces with the systems being developed for compliance purposes (CIIMS) and risk rating (NESTRA) so that these systems can operate in the future as modules of a more comprehensive approach to managing information relevant to protection of the </w:t>
      </w:r>
      <w:r w:rsidRPr="00E47217">
        <w:rPr>
          <w:lang w:val="en-US"/>
        </w:rPr>
        <w:lastRenderedPageBreak/>
        <w:t>environment from across the Department. This should allow compliance staff access to the full suite of information considered in assessments, and assessment staff to have access to the compliance history of proponents and the suitability (or otherwise) of specific conditions of approval.</w:t>
      </w:r>
    </w:p>
    <w:p w14:paraId="6314A4F3" w14:textId="743BEACA" w:rsidR="00E47217" w:rsidRDefault="00E47217" w:rsidP="00AF1DF7">
      <w:pPr>
        <w:rPr>
          <w:lang w:val="en-US"/>
        </w:rPr>
      </w:pPr>
      <w:r w:rsidRPr="00E47217">
        <w:rPr>
          <w:lang w:val="en-US"/>
        </w:rPr>
        <w:t>Over time, the adoption of more sophisticated data warehousing and data mining technologies should be implemented to identify trends and emerging compliance risks based on data from a wide range of sources, to inform risk assessment and prioritisation of resource allocation, and to measure the success of compliance interventions in environmental terms. Implementation of such information management capability would require significant investment but would be of immense value to the Department’s policy and program management functions, as well as its compliance operations. However, it would be premature to make this investment without having high quality data stored in a readily accessible form.</w:t>
      </w:r>
      <w:r w:rsidR="00B86F06">
        <w:rPr>
          <w:lang w:val="en-US"/>
        </w:rPr>
        <w:t xml:space="preserve"> A staged approach is </w:t>
      </w:r>
      <w:r w:rsidR="00BA71A5">
        <w:rPr>
          <w:lang w:val="en-US"/>
        </w:rPr>
        <w:t>recommended.</w:t>
      </w:r>
    </w:p>
    <w:p w14:paraId="6109B40C" w14:textId="0468D72B" w:rsidR="00995C72" w:rsidRDefault="001E4A94" w:rsidP="006C4ADF">
      <w:pPr>
        <w:pStyle w:val="Heading4"/>
      </w:pPr>
      <w:r>
        <w:t xml:space="preserve">Recommendation </w:t>
      </w:r>
      <w:r w:rsidR="00837C23">
        <w:t>10</w:t>
      </w:r>
    </w:p>
    <w:p w14:paraId="38DBA919" w14:textId="26C7FB8A" w:rsidR="00134938" w:rsidRPr="00995C72" w:rsidRDefault="00134938" w:rsidP="0071138D">
      <w:pPr>
        <w:pStyle w:val="ListParagraph"/>
        <w:spacing w:after="200" w:line="276" w:lineRule="auto"/>
        <w:ind w:left="0"/>
        <w:contextualSpacing w:val="0"/>
        <w:rPr>
          <w:b/>
          <w:bCs/>
        </w:rPr>
      </w:pPr>
      <w:r w:rsidRPr="00995C72">
        <w:rPr>
          <w:b/>
          <w:bCs/>
        </w:rPr>
        <w:t>Investment into information systems to support activities relating to environmental compliance occur in three stages, with strong executive-level oversight to ensure and promote interoperability with other systems in the Department:</w:t>
      </w:r>
    </w:p>
    <w:p w14:paraId="5DF2E38B" w14:textId="77777777" w:rsidR="00134938" w:rsidRPr="00995C72" w:rsidRDefault="00134938" w:rsidP="00134938">
      <w:pPr>
        <w:pStyle w:val="ListParagraph"/>
        <w:spacing w:after="200" w:line="276" w:lineRule="auto"/>
        <w:ind w:left="360"/>
        <w:contextualSpacing w:val="0"/>
        <w:rPr>
          <w:b/>
          <w:bCs/>
        </w:rPr>
      </w:pPr>
      <w:r w:rsidRPr="00995C72">
        <w:rPr>
          <w:b/>
          <w:bCs/>
        </w:rPr>
        <w:t>Stage one</w:t>
      </w:r>
    </w:p>
    <w:p w14:paraId="4A1045EE" w14:textId="77777777" w:rsidR="00134938" w:rsidRPr="00995C72" w:rsidRDefault="00134938" w:rsidP="00866E73">
      <w:pPr>
        <w:pStyle w:val="ListParagraph"/>
        <w:numPr>
          <w:ilvl w:val="1"/>
          <w:numId w:val="24"/>
        </w:numPr>
        <w:spacing w:after="200" w:line="276" w:lineRule="auto"/>
        <w:contextualSpacing w:val="0"/>
        <w:rPr>
          <w:b/>
          <w:bCs/>
        </w:rPr>
      </w:pPr>
      <w:r w:rsidRPr="00995C72">
        <w:rPr>
          <w:b/>
          <w:bCs/>
        </w:rPr>
        <w:t>continue implementation of the Compliance Intelligence and Information Management System (CIIMS) currently being procured by the Environment Compliance Branch to support compliance functions across all legislation that the environmental compliance team needs to administer</w:t>
      </w:r>
    </w:p>
    <w:p w14:paraId="6D578DA8" w14:textId="77777777" w:rsidR="00134938" w:rsidRPr="00995C72" w:rsidRDefault="00134938" w:rsidP="00866E73">
      <w:pPr>
        <w:pStyle w:val="ListParagraph"/>
        <w:numPr>
          <w:ilvl w:val="1"/>
          <w:numId w:val="24"/>
        </w:numPr>
        <w:spacing w:after="200" w:line="276" w:lineRule="auto"/>
        <w:contextualSpacing w:val="0"/>
        <w:rPr>
          <w:b/>
          <w:bCs/>
        </w:rPr>
      </w:pPr>
      <w:r w:rsidRPr="00995C72">
        <w:rPr>
          <w:b/>
          <w:bCs/>
        </w:rPr>
        <w:t>review and update the National Environmental Significance and Threat Risk Assessment (NESTRA) tool</w:t>
      </w:r>
    </w:p>
    <w:p w14:paraId="52E249D6" w14:textId="77777777" w:rsidR="00134938" w:rsidRPr="00995C72" w:rsidRDefault="00134938" w:rsidP="00134938">
      <w:pPr>
        <w:pStyle w:val="ListParagraph"/>
        <w:spacing w:after="200" w:line="276" w:lineRule="auto"/>
        <w:ind w:left="360"/>
        <w:contextualSpacing w:val="0"/>
        <w:rPr>
          <w:b/>
          <w:bCs/>
        </w:rPr>
      </w:pPr>
      <w:r w:rsidRPr="00995C72">
        <w:rPr>
          <w:b/>
          <w:bCs/>
        </w:rPr>
        <w:t>Stage two</w:t>
      </w:r>
    </w:p>
    <w:p w14:paraId="4E376E7C" w14:textId="77777777" w:rsidR="00134938" w:rsidRPr="00995C72" w:rsidRDefault="00134938" w:rsidP="00866E73">
      <w:pPr>
        <w:pStyle w:val="ListParagraph"/>
        <w:numPr>
          <w:ilvl w:val="1"/>
          <w:numId w:val="24"/>
        </w:numPr>
        <w:spacing w:after="200" w:line="276" w:lineRule="auto"/>
        <w:contextualSpacing w:val="0"/>
        <w:rPr>
          <w:b/>
          <w:bCs/>
        </w:rPr>
      </w:pPr>
      <w:r w:rsidRPr="00995C72">
        <w:rPr>
          <w:b/>
          <w:bCs/>
        </w:rPr>
        <w:t>build preliminary compliance requirements into the development of the Digital Environmental Assessment Program (DEAP), with a particular focus on inclusion of fields for proponent compliance history, and for managing compliance reports required from proponents as part of their conditions of approval</w:t>
      </w:r>
    </w:p>
    <w:p w14:paraId="3F96596C" w14:textId="38A412D9" w:rsidR="00CF20F3" w:rsidRDefault="00134938" w:rsidP="00866E73">
      <w:pPr>
        <w:pStyle w:val="ListParagraph"/>
        <w:numPr>
          <w:ilvl w:val="1"/>
          <w:numId w:val="24"/>
        </w:numPr>
        <w:spacing w:after="200" w:line="276" w:lineRule="auto"/>
        <w:contextualSpacing w:val="0"/>
        <w:rPr>
          <w:b/>
          <w:bCs/>
        </w:rPr>
      </w:pPr>
      <w:r w:rsidRPr="00995C72">
        <w:rPr>
          <w:b/>
          <w:bCs/>
        </w:rPr>
        <w:t xml:space="preserve">identify the information management requirements for effective compliance monitoring and enforcement under the </w:t>
      </w:r>
      <w:r w:rsidRPr="00995C72">
        <w:rPr>
          <w:b/>
          <w:bCs/>
          <w:i/>
          <w:iCs/>
        </w:rPr>
        <w:t>Environment Protection (Sea Dumping) Act 1981</w:t>
      </w:r>
      <w:r w:rsidRPr="00995C72">
        <w:rPr>
          <w:b/>
          <w:bCs/>
        </w:rPr>
        <w:t xml:space="preserve"> and how existing or planned systems can capture and use this information</w:t>
      </w:r>
    </w:p>
    <w:p w14:paraId="3033955F" w14:textId="77777777" w:rsidR="00CF20F3" w:rsidRDefault="00CF20F3">
      <w:pPr>
        <w:rPr>
          <w:b/>
          <w:bCs/>
        </w:rPr>
      </w:pPr>
      <w:r>
        <w:rPr>
          <w:b/>
          <w:bCs/>
        </w:rPr>
        <w:br w:type="page"/>
      </w:r>
    </w:p>
    <w:p w14:paraId="05F15DED" w14:textId="77777777" w:rsidR="00134938" w:rsidRPr="00995C72" w:rsidRDefault="00134938" w:rsidP="00134938">
      <w:pPr>
        <w:pStyle w:val="ListParagraph"/>
        <w:spacing w:after="200" w:line="276" w:lineRule="auto"/>
        <w:ind w:left="360"/>
        <w:contextualSpacing w:val="0"/>
        <w:rPr>
          <w:b/>
          <w:bCs/>
        </w:rPr>
      </w:pPr>
      <w:r w:rsidRPr="00995C72">
        <w:rPr>
          <w:b/>
          <w:bCs/>
        </w:rPr>
        <w:lastRenderedPageBreak/>
        <w:t>Stage three</w:t>
      </w:r>
    </w:p>
    <w:p w14:paraId="17AD10D6" w14:textId="77777777" w:rsidR="00134938" w:rsidRPr="00995C72" w:rsidRDefault="00134938" w:rsidP="00866E73">
      <w:pPr>
        <w:pStyle w:val="ListParagraph"/>
        <w:numPr>
          <w:ilvl w:val="1"/>
          <w:numId w:val="24"/>
        </w:numPr>
        <w:spacing w:after="200" w:line="276" w:lineRule="auto"/>
        <w:contextualSpacing w:val="0"/>
        <w:rPr>
          <w:b/>
          <w:bCs/>
        </w:rPr>
      </w:pPr>
      <w:r w:rsidRPr="00995C72">
        <w:rPr>
          <w:b/>
          <w:bCs/>
        </w:rPr>
        <w:t>more fully integrate the Portal and Assessments System and the compliance systems to leverage the data to generate better management reporting (including to Parliament), link with other intelligence agencies and undertake strategic planning</w:t>
      </w:r>
    </w:p>
    <w:p w14:paraId="656B9D02" w14:textId="77777777" w:rsidR="00134938" w:rsidRPr="00995C72" w:rsidRDefault="00134938" w:rsidP="00866E73">
      <w:pPr>
        <w:pStyle w:val="ListParagraph"/>
        <w:numPr>
          <w:ilvl w:val="1"/>
          <w:numId w:val="24"/>
        </w:numPr>
        <w:spacing w:after="200" w:line="276" w:lineRule="auto"/>
        <w:contextualSpacing w:val="0"/>
        <w:rPr>
          <w:b/>
          <w:bCs/>
        </w:rPr>
      </w:pPr>
      <w:r w:rsidRPr="00995C72">
        <w:rPr>
          <w:b/>
          <w:bCs/>
        </w:rPr>
        <w:t>develop data warehousing and data mining capabilities to better inform policy development, program administration (including compliance) and intelligence.</w:t>
      </w:r>
    </w:p>
    <w:p w14:paraId="5121B1C6" w14:textId="77777777" w:rsidR="00134938" w:rsidRPr="00995C72" w:rsidRDefault="00134938" w:rsidP="00AF1DF7">
      <w:pPr>
        <w:rPr>
          <w:b/>
          <w:bCs/>
          <w:lang w:val="en-US"/>
        </w:rPr>
      </w:pPr>
    </w:p>
    <w:p w14:paraId="13A61836" w14:textId="77777777" w:rsidR="00CF20F3" w:rsidRDefault="00CF20F3">
      <w:pPr>
        <w:rPr>
          <w:rFonts w:asciiTheme="majorHAnsi" w:eastAsiaTheme="majorEastAsia" w:hAnsiTheme="majorHAnsi" w:cstheme="majorBidi"/>
          <w:b/>
          <w:color w:val="1F3763" w:themeColor="accent1" w:themeShade="7F"/>
          <w:sz w:val="28"/>
          <w:szCs w:val="24"/>
          <w:lang w:val="en-US"/>
        </w:rPr>
      </w:pPr>
      <w:r>
        <w:rPr>
          <w:lang w:val="en-US"/>
        </w:rPr>
        <w:br w:type="page"/>
      </w:r>
    </w:p>
    <w:p w14:paraId="1960F315" w14:textId="38118849" w:rsidR="00E11D20" w:rsidRDefault="7849A58C" w:rsidP="006F56AD">
      <w:pPr>
        <w:pStyle w:val="Heading2"/>
        <w:rPr>
          <w:lang w:val="en-US"/>
        </w:rPr>
      </w:pPr>
      <w:bookmarkStart w:id="52" w:name="_Toc72504399"/>
      <w:r w:rsidRPr="794632FE">
        <w:rPr>
          <w:lang w:val="en-US"/>
        </w:rPr>
        <w:lastRenderedPageBreak/>
        <w:t>Risk</w:t>
      </w:r>
      <w:r w:rsidR="17288A11" w:rsidRPr="794632FE">
        <w:rPr>
          <w:lang w:val="en-US"/>
        </w:rPr>
        <w:t>s</w:t>
      </w:r>
      <w:r w:rsidR="00E11D20">
        <w:rPr>
          <w:lang w:val="en-US"/>
        </w:rPr>
        <w:t xml:space="preserve"> and </w:t>
      </w:r>
      <w:r w:rsidR="00EC5416">
        <w:rPr>
          <w:lang w:val="en-US"/>
        </w:rPr>
        <w:t>P</w:t>
      </w:r>
      <w:r w:rsidR="00E11D20">
        <w:rPr>
          <w:lang w:val="en-US"/>
        </w:rPr>
        <w:t>rioritisation</w:t>
      </w:r>
      <w:bookmarkEnd w:id="52"/>
    </w:p>
    <w:p w14:paraId="0A1B44CB" w14:textId="70282BEF" w:rsidR="00603FCE" w:rsidRPr="003B2B21" w:rsidRDefault="00603FCE" w:rsidP="000153CA">
      <w:pPr>
        <w:spacing w:line="252" w:lineRule="auto"/>
        <w:rPr>
          <w:color w:val="000000"/>
        </w:rPr>
      </w:pPr>
      <w:r w:rsidRPr="003B2B21">
        <w:rPr>
          <w:color w:val="000000"/>
        </w:rPr>
        <w:t>Regulators will never have sufficient resources to prevent all environmental harms. To optimally deploy limited compliance resources, a strategic approach is required that:</w:t>
      </w:r>
    </w:p>
    <w:p w14:paraId="532AE701" w14:textId="77777777" w:rsidR="00603FCE" w:rsidRPr="00B004D2" w:rsidRDefault="00603FCE" w:rsidP="00866E73">
      <w:pPr>
        <w:pStyle w:val="ListParagraph"/>
        <w:numPr>
          <w:ilvl w:val="0"/>
          <w:numId w:val="15"/>
        </w:numPr>
        <w:spacing w:line="252" w:lineRule="auto"/>
        <w:rPr>
          <w:color w:val="000000"/>
        </w:rPr>
      </w:pPr>
      <w:r w:rsidRPr="00B004D2">
        <w:rPr>
          <w:color w:val="000000"/>
        </w:rPr>
        <w:t>anticipates and proactively addresses emerging threats before environmental harm occurs</w:t>
      </w:r>
    </w:p>
    <w:p w14:paraId="2FECE13D" w14:textId="77777777" w:rsidR="00603FCE" w:rsidRPr="00B004D2" w:rsidRDefault="00603FCE" w:rsidP="00866E73">
      <w:pPr>
        <w:pStyle w:val="ListParagraph"/>
        <w:numPr>
          <w:ilvl w:val="0"/>
          <w:numId w:val="15"/>
        </w:numPr>
        <w:spacing w:line="252" w:lineRule="auto"/>
        <w:rPr>
          <w:color w:val="000000"/>
        </w:rPr>
      </w:pPr>
      <w:r w:rsidRPr="00B004D2">
        <w:rPr>
          <w:color w:val="000000"/>
        </w:rPr>
        <w:t>uses intelligence-based risk assessments to identify areas of greatest risk</w:t>
      </w:r>
    </w:p>
    <w:p w14:paraId="2D89ACC4" w14:textId="77777777" w:rsidR="00603FCE" w:rsidRPr="00B004D2" w:rsidRDefault="00603FCE" w:rsidP="00866E73">
      <w:pPr>
        <w:pStyle w:val="ListParagraph"/>
        <w:numPr>
          <w:ilvl w:val="0"/>
          <w:numId w:val="15"/>
        </w:numPr>
        <w:spacing w:line="252" w:lineRule="auto"/>
        <w:rPr>
          <w:color w:val="000000"/>
        </w:rPr>
      </w:pPr>
      <w:r w:rsidRPr="00B004D2">
        <w:rPr>
          <w:color w:val="000000"/>
        </w:rPr>
        <w:t>designs risk-proportionate intervention strategies</w:t>
      </w:r>
    </w:p>
    <w:p w14:paraId="15B5993F" w14:textId="77777777" w:rsidR="00603FCE" w:rsidRPr="00B004D2" w:rsidRDefault="00603FCE" w:rsidP="00866E73">
      <w:pPr>
        <w:pStyle w:val="ListParagraph"/>
        <w:numPr>
          <w:ilvl w:val="0"/>
          <w:numId w:val="15"/>
        </w:numPr>
        <w:spacing w:line="252" w:lineRule="auto"/>
        <w:rPr>
          <w:color w:val="000000"/>
        </w:rPr>
      </w:pPr>
      <w:r w:rsidRPr="00B004D2">
        <w:rPr>
          <w:color w:val="000000"/>
        </w:rPr>
        <w:t>deploys robust and sophisticated compliance capabilities to effectively mitigate environmental risks.</w:t>
      </w:r>
    </w:p>
    <w:p w14:paraId="0358BF89" w14:textId="44389D70" w:rsidR="00BC695F" w:rsidRPr="00BC695F" w:rsidRDefault="003B2B21" w:rsidP="000153CA">
      <w:pPr>
        <w:rPr>
          <w:lang w:val="en-US"/>
        </w:rPr>
      </w:pPr>
      <w:r w:rsidRPr="003B2B21">
        <w:rPr>
          <w:lang w:val="en-US"/>
        </w:rPr>
        <w:t>Managing environmental compliance involves both reactive and proactive approaches to assessing and managing risks to the environment: the Department needs to be able to prioritise and respond to allegations and evidence of non-compliance and to have a program of work to monitor adherence to conditions of approval</w:t>
      </w:r>
      <w:r w:rsidR="00B97E8E">
        <w:rPr>
          <w:lang w:val="en-US"/>
        </w:rPr>
        <w:t xml:space="preserve"> but it also needs </w:t>
      </w:r>
      <w:r w:rsidR="00183F35">
        <w:rPr>
          <w:lang w:val="en-US"/>
        </w:rPr>
        <w:t xml:space="preserve">to hold, integrate and analyse information from a range of sources to effectively and efficiently undertake </w:t>
      </w:r>
      <w:r w:rsidR="007954E0">
        <w:rPr>
          <w:lang w:val="en-US"/>
        </w:rPr>
        <w:t>compliance activities across complex and varied legislation</w:t>
      </w:r>
      <w:r w:rsidRPr="003B2B21">
        <w:rPr>
          <w:lang w:val="en-US"/>
        </w:rPr>
        <w:t>.</w:t>
      </w:r>
    </w:p>
    <w:p w14:paraId="5B297669" w14:textId="77777777" w:rsidR="00A51367" w:rsidRDefault="00A51367" w:rsidP="00A51367">
      <w:pPr>
        <w:rPr>
          <w:lang w:val="en-US"/>
        </w:rPr>
      </w:pPr>
      <w:r w:rsidRPr="003B2B21">
        <w:rPr>
          <w:lang w:val="en-US"/>
        </w:rPr>
        <w:t>Currently, environmental compliance priorities are set by the Assistant Secretary of the Environment Compliance Branch and, within individual sections in the branch, priorities are determined based on individual prioritisation frameworks developed at a section level.</w:t>
      </w:r>
      <w:r>
        <w:rPr>
          <w:lang w:val="en-US"/>
        </w:rPr>
        <w:t xml:space="preserve"> </w:t>
      </w:r>
      <w:r w:rsidRPr="003B2B21">
        <w:rPr>
          <w:lang w:val="en-US"/>
        </w:rPr>
        <w:t>Whilst this goes some way to assisting with the management of resources, the focus is largely on the EPBC Act and the justification for the relevant priorities is not visible to either other members of the branch, other program areas or executive level decision-makers across the Department.</w:t>
      </w:r>
    </w:p>
    <w:p w14:paraId="4D78C6C8" w14:textId="1BFD8D97" w:rsidR="003B2B21" w:rsidRDefault="00A51367" w:rsidP="000153CA">
      <w:pPr>
        <w:rPr>
          <w:lang w:val="en-US"/>
        </w:rPr>
      </w:pPr>
      <w:r>
        <w:rPr>
          <w:lang w:val="en-US"/>
        </w:rPr>
        <w:t>T</w:t>
      </w:r>
      <w:r w:rsidR="008869CF">
        <w:rPr>
          <w:lang w:val="en-US"/>
        </w:rPr>
        <w:t xml:space="preserve">he Review has </w:t>
      </w:r>
      <w:r w:rsidR="008869CF" w:rsidRPr="76510824">
        <w:rPr>
          <w:lang w:val="en-US"/>
        </w:rPr>
        <w:t xml:space="preserve">identified </w:t>
      </w:r>
      <w:r w:rsidR="008869CF">
        <w:rPr>
          <w:lang w:val="en-US"/>
        </w:rPr>
        <w:t>the need for</w:t>
      </w:r>
      <w:r w:rsidR="008869CF" w:rsidRPr="00162FA7">
        <w:rPr>
          <w:lang w:val="en-US"/>
        </w:rPr>
        <w:t xml:space="preserve"> </w:t>
      </w:r>
      <w:r w:rsidR="008869CF">
        <w:rPr>
          <w:lang w:val="en-US"/>
        </w:rPr>
        <w:t>more active oversight</w:t>
      </w:r>
      <w:r w:rsidR="008869CF" w:rsidRPr="00162FA7">
        <w:rPr>
          <w:lang w:val="en-US"/>
        </w:rPr>
        <w:t xml:space="preserve"> </w:t>
      </w:r>
      <w:r w:rsidR="008869CF" w:rsidRPr="77EDA2CE">
        <w:rPr>
          <w:lang w:val="en-US"/>
        </w:rPr>
        <w:t xml:space="preserve">and </w:t>
      </w:r>
      <w:r w:rsidR="008869CF" w:rsidRPr="040ABD3B">
        <w:rPr>
          <w:lang w:val="en-US"/>
        </w:rPr>
        <w:t>involvement in the process of determining and setting priorities by</w:t>
      </w:r>
      <w:r w:rsidR="008869CF" w:rsidRPr="00162FA7">
        <w:rPr>
          <w:lang w:val="en-US"/>
        </w:rPr>
        <w:t xml:space="preserve"> </w:t>
      </w:r>
      <w:r w:rsidR="0039727D">
        <w:rPr>
          <w:lang w:val="en-US"/>
        </w:rPr>
        <w:t xml:space="preserve">program areas and </w:t>
      </w:r>
      <w:r w:rsidR="008869CF" w:rsidRPr="00162FA7">
        <w:rPr>
          <w:lang w:val="en-US"/>
        </w:rPr>
        <w:t>the Department’s Executive Board</w:t>
      </w:r>
      <w:r w:rsidR="008869CF">
        <w:rPr>
          <w:lang w:val="en-US"/>
        </w:rPr>
        <w:t xml:space="preserve"> and</w:t>
      </w:r>
      <w:r w:rsidR="008869CF" w:rsidRPr="00162FA7">
        <w:rPr>
          <w:lang w:val="en-US"/>
        </w:rPr>
        <w:t xml:space="preserve"> Audit Committee</w:t>
      </w:r>
      <w:r w:rsidR="008869CF">
        <w:rPr>
          <w:lang w:val="en-US"/>
        </w:rPr>
        <w:t xml:space="preserve">. </w:t>
      </w:r>
      <w:r w:rsidR="003B2B21" w:rsidRPr="003B2B21">
        <w:rPr>
          <w:lang w:val="en-US"/>
        </w:rPr>
        <w:t xml:space="preserve">The basis for </w:t>
      </w:r>
      <w:r w:rsidR="00CB2915">
        <w:rPr>
          <w:lang w:val="en-US"/>
        </w:rPr>
        <w:t xml:space="preserve">the appropriate </w:t>
      </w:r>
      <w:r w:rsidR="003B2B21" w:rsidRPr="003B2B21">
        <w:rPr>
          <w:lang w:val="en-US"/>
        </w:rPr>
        <w:t xml:space="preserve">prioritisation of resource allocation needs to be </w:t>
      </w:r>
      <w:r w:rsidR="00CB2915">
        <w:rPr>
          <w:lang w:val="en-US"/>
        </w:rPr>
        <w:t xml:space="preserve">based </w:t>
      </w:r>
      <w:r w:rsidR="003B2B21" w:rsidRPr="003B2B21">
        <w:rPr>
          <w:lang w:val="en-US"/>
        </w:rPr>
        <w:t xml:space="preserve">on proper consideration of </w:t>
      </w:r>
      <w:r w:rsidR="007100B5">
        <w:rPr>
          <w:lang w:val="en-US"/>
        </w:rPr>
        <w:t xml:space="preserve">the </w:t>
      </w:r>
      <w:r w:rsidR="003B2B21" w:rsidRPr="003B2B21">
        <w:rPr>
          <w:lang w:val="en-US"/>
        </w:rPr>
        <w:t xml:space="preserve">information </w:t>
      </w:r>
      <w:r w:rsidR="007100B5">
        <w:rPr>
          <w:lang w:val="en-US"/>
        </w:rPr>
        <w:t xml:space="preserve">it draws </w:t>
      </w:r>
      <w:r w:rsidR="003B2B21" w:rsidRPr="003B2B21">
        <w:rPr>
          <w:lang w:val="en-US"/>
        </w:rPr>
        <w:t xml:space="preserve">from a wide range of sources. Because the Environment Compliance Branch is responsible for managing compliance with seven individual pieces of environmental legislation, the prioritisation process </w:t>
      </w:r>
      <w:r w:rsidR="007100B5">
        <w:rPr>
          <w:lang w:val="en-US"/>
        </w:rPr>
        <w:t xml:space="preserve">also </w:t>
      </w:r>
      <w:r w:rsidR="003B2B21" w:rsidRPr="003B2B21">
        <w:rPr>
          <w:lang w:val="en-US"/>
        </w:rPr>
        <w:t>needs to be cognisant of current and emerging risks across a wide range of environmental threats.</w:t>
      </w:r>
    </w:p>
    <w:p w14:paraId="1EC02DEB" w14:textId="3396C72E" w:rsidR="009D4191" w:rsidRPr="003B2B21" w:rsidRDefault="00425379" w:rsidP="009D4191">
      <w:pPr>
        <w:spacing w:line="252" w:lineRule="auto"/>
        <w:rPr>
          <w:color w:val="000000"/>
        </w:rPr>
      </w:pPr>
      <w:r>
        <w:rPr>
          <w:color w:val="000000"/>
        </w:rPr>
        <w:t xml:space="preserve">The creation of a strong </w:t>
      </w:r>
      <w:r w:rsidR="007100B5">
        <w:rPr>
          <w:color w:val="000000"/>
        </w:rPr>
        <w:t>intelligence</w:t>
      </w:r>
      <w:r>
        <w:rPr>
          <w:color w:val="000000"/>
        </w:rPr>
        <w:t xml:space="preserve"> </w:t>
      </w:r>
      <w:r w:rsidR="007100B5">
        <w:rPr>
          <w:color w:val="000000"/>
        </w:rPr>
        <w:t>capability</w:t>
      </w:r>
      <w:r w:rsidR="00DA007F">
        <w:rPr>
          <w:color w:val="000000"/>
        </w:rPr>
        <w:t xml:space="preserve"> within the ECB </w:t>
      </w:r>
      <w:r w:rsidR="007100B5">
        <w:rPr>
          <w:color w:val="000000"/>
        </w:rPr>
        <w:t xml:space="preserve">that is </w:t>
      </w:r>
      <w:r w:rsidR="00C145A0">
        <w:rPr>
          <w:color w:val="000000"/>
        </w:rPr>
        <w:t>knowledgeable</w:t>
      </w:r>
      <w:r w:rsidR="007100B5">
        <w:rPr>
          <w:color w:val="000000"/>
        </w:rPr>
        <w:t xml:space="preserve"> about environment programs</w:t>
      </w:r>
      <w:r w:rsidR="00C145A0">
        <w:rPr>
          <w:color w:val="000000"/>
        </w:rPr>
        <w:t xml:space="preserve">, stakeholder concerns and </w:t>
      </w:r>
      <w:r w:rsidR="000F2600">
        <w:rPr>
          <w:color w:val="000000"/>
        </w:rPr>
        <w:t xml:space="preserve">what </w:t>
      </w:r>
      <w:r w:rsidR="00600496">
        <w:rPr>
          <w:color w:val="000000"/>
        </w:rPr>
        <w:t xml:space="preserve">has experience </w:t>
      </w:r>
      <w:r w:rsidR="005A1DCA">
        <w:rPr>
          <w:color w:val="000000"/>
        </w:rPr>
        <w:t xml:space="preserve">of </w:t>
      </w:r>
      <w:r w:rsidR="000F2600">
        <w:rPr>
          <w:color w:val="000000"/>
        </w:rPr>
        <w:t xml:space="preserve">works and what does not </w:t>
      </w:r>
      <w:r w:rsidR="009D4191" w:rsidRPr="003B2B21">
        <w:rPr>
          <w:color w:val="000000"/>
        </w:rPr>
        <w:t xml:space="preserve">is a critical input for assessing </w:t>
      </w:r>
      <w:r w:rsidR="0087406B">
        <w:rPr>
          <w:color w:val="000000"/>
        </w:rPr>
        <w:t xml:space="preserve">risk and prioritising day to day work activity as well as for pulling together large and more targeted programs of work. </w:t>
      </w:r>
      <w:r w:rsidR="000F2600">
        <w:rPr>
          <w:color w:val="000000"/>
        </w:rPr>
        <w:t>Through a well established operational intelligence function</w:t>
      </w:r>
      <w:r w:rsidR="00072CA0">
        <w:rPr>
          <w:color w:val="000000"/>
        </w:rPr>
        <w:t>,</w:t>
      </w:r>
      <w:r w:rsidR="000F2600">
        <w:rPr>
          <w:color w:val="000000"/>
        </w:rPr>
        <w:t xml:space="preserve"> </w:t>
      </w:r>
      <w:r w:rsidR="009D4191" w:rsidRPr="003B2B21">
        <w:rPr>
          <w:color w:val="000000"/>
        </w:rPr>
        <w:t xml:space="preserve">the </w:t>
      </w:r>
      <w:r w:rsidR="009D4191" w:rsidRPr="003015B2">
        <w:rPr>
          <w:color w:val="000000"/>
        </w:rPr>
        <w:t>likelihood</w:t>
      </w:r>
      <w:r w:rsidR="009D4191" w:rsidRPr="003B2B21">
        <w:rPr>
          <w:color w:val="000000"/>
        </w:rPr>
        <w:t xml:space="preserve"> of non-compliance by considering an entity’s compliance posture (including its compliance capability and history) and identifying emerging issues </w:t>
      </w:r>
      <w:r w:rsidR="00751490">
        <w:rPr>
          <w:color w:val="000000"/>
        </w:rPr>
        <w:t>will assist the Department take a much stronger lead in environmental compliance and provide reassurance to the government and the community about what it is doing and why.</w:t>
      </w:r>
    </w:p>
    <w:p w14:paraId="19BED2FF" w14:textId="365C1288" w:rsidR="00BC695F" w:rsidRDefault="00FC5B5C" w:rsidP="000153CA">
      <w:r>
        <w:t xml:space="preserve">In addition to an operational intelligence capability </w:t>
      </w:r>
      <w:r w:rsidR="005F6285">
        <w:t xml:space="preserve">a </w:t>
      </w:r>
      <w:r w:rsidR="00F75563">
        <w:t xml:space="preserve">dedicated environmental </w:t>
      </w:r>
      <w:r w:rsidR="005F6285">
        <w:t>strategic inte</w:t>
      </w:r>
      <w:r w:rsidR="00F75563">
        <w:t>l</w:t>
      </w:r>
      <w:r w:rsidR="005F6285">
        <w:t xml:space="preserve">ligence capability can further enhance the Department’s compliance efforts. </w:t>
      </w:r>
      <w:r w:rsidR="00F75563">
        <w:t xml:space="preserve">As </w:t>
      </w:r>
      <w:r w:rsidR="00F75563">
        <w:lastRenderedPageBreak/>
        <w:t>i</w:t>
      </w:r>
      <w:r w:rsidR="00BC695F">
        <w:t>ntelligence uses information from a wide range of sources to identify and assess existing and emerging threats in the operating environment</w:t>
      </w:r>
      <w:r w:rsidR="00701E81" w:rsidRPr="00701E81">
        <w:t xml:space="preserve"> </w:t>
      </w:r>
      <w:r w:rsidR="00701E81">
        <w:t xml:space="preserve">strategic intelligence can </w:t>
      </w:r>
      <w:r w:rsidR="00103710">
        <w:t>assist with identifying</w:t>
      </w:r>
      <w:r w:rsidR="00701E81">
        <w:t xml:space="preserve"> </w:t>
      </w:r>
      <w:r w:rsidR="00103710">
        <w:t xml:space="preserve">emerging </w:t>
      </w:r>
      <w:r w:rsidR="00701E81">
        <w:t>trends</w:t>
      </w:r>
      <w:r w:rsidR="00506375">
        <w:t xml:space="preserve"> and can be integrated with intelligence from other agencies to identify</w:t>
      </w:r>
      <w:r w:rsidR="00B10C87">
        <w:t xml:space="preserve"> and prioritise </w:t>
      </w:r>
      <w:r w:rsidR="00103710">
        <w:t>broader threats</w:t>
      </w:r>
      <w:r w:rsidR="00506375">
        <w:t>.</w:t>
      </w:r>
      <w:r w:rsidR="00BC695F" w:rsidRPr="008B67CD">
        <w:t xml:space="preserve"> </w:t>
      </w:r>
      <w:r w:rsidR="00BC695F">
        <w:t xml:space="preserve">A successful compliance approach uses intelligence at </w:t>
      </w:r>
      <w:r w:rsidR="00603FCE">
        <w:t xml:space="preserve">both </w:t>
      </w:r>
      <w:r w:rsidR="00BC695F">
        <w:t xml:space="preserve">strategic and operational levels to inform and guide </w:t>
      </w:r>
      <w:r w:rsidR="00143E31">
        <w:t xml:space="preserve">prioritisation of activities, resource allocation, </w:t>
      </w:r>
      <w:r w:rsidR="00BC695F">
        <w:t>decisions, and policies.</w:t>
      </w:r>
    </w:p>
    <w:p w14:paraId="17D6847D" w14:textId="232BACDB" w:rsidR="005D7A70" w:rsidRDefault="003B2B21" w:rsidP="00B41CB9">
      <w:pPr>
        <w:rPr>
          <w:lang w:val="en-US"/>
        </w:rPr>
      </w:pPr>
      <w:r w:rsidRPr="003B2B21">
        <w:rPr>
          <w:lang w:val="en-US"/>
        </w:rPr>
        <w:t xml:space="preserve">The Environment Compliance Branch held a workshop in May 2021 to commence the process of developing a more systematic approach to prioritisation that spans all relevant pieces of legislation, </w:t>
      </w:r>
      <w:r w:rsidR="00E86170" w:rsidRPr="003B2B21">
        <w:rPr>
          <w:lang w:val="en-US"/>
        </w:rPr>
        <w:t xml:space="preserve">using a sectoral framework </w:t>
      </w:r>
      <w:r w:rsidR="00E86170">
        <w:rPr>
          <w:lang w:val="en-US"/>
        </w:rPr>
        <w:t>to assess</w:t>
      </w:r>
      <w:r w:rsidRPr="003B2B21">
        <w:rPr>
          <w:lang w:val="en-US"/>
        </w:rPr>
        <w:t xml:space="preserve"> environmental risks.</w:t>
      </w:r>
      <w:r w:rsidR="006312E7">
        <w:rPr>
          <w:lang w:val="en-US"/>
        </w:rPr>
        <w:t xml:space="preserve"> </w:t>
      </w:r>
      <w:r w:rsidR="0072075C">
        <w:rPr>
          <w:lang w:val="en-US"/>
        </w:rPr>
        <w:t xml:space="preserve">The workshop identified a wide range of sectors </w:t>
      </w:r>
      <w:r w:rsidR="0027174A">
        <w:rPr>
          <w:lang w:val="en-US"/>
        </w:rPr>
        <w:t xml:space="preserve">(as </w:t>
      </w:r>
      <w:r w:rsidR="004D0126">
        <w:rPr>
          <w:lang w:val="en-US"/>
        </w:rPr>
        <w:t>s</w:t>
      </w:r>
      <w:r w:rsidR="0027174A">
        <w:rPr>
          <w:lang w:val="en-US"/>
        </w:rPr>
        <w:t xml:space="preserve">et out at </w:t>
      </w:r>
      <w:hyperlink w:anchor="_Attachment_D_-" w:history="1">
        <w:r w:rsidR="0027174A" w:rsidRPr="00CB294E">
          <w:rPr>
            <w:rStyle w:val="Hyperlink"/>
            <w:lang w:val="en-US"/>
          </w:rPr>
          <w:t>Attachment</w:t>
        </w:r>
        <w:r w:rsidR="00371B7B" w:rsidRPr="00CB294E">
          <w:rPr>
            <w:rStyle w:val="Hyperlink"/>
            <w:lang w:val="en-US"/>
          </w:rPr>
          <w:t xml:space="preserve"> D</w:t>
        </w:r>
      </w:hyperlink>
      <w:r w:rsidR="0027174A">
        <w:rPr>
          <w:lang w:val="en-US"/>
        </w:rPr>
        <w:t>)</w:t>
      </w:r>
      <w:r w:rsidR="004D0126">
        <w:rPr>
          <w:lang w:val="en-US"/>
        </w:rPr>
        <w:t xml:space="preserve"> </w:t>
      </w:r>
      <w:r w:rsidR="00386078">
        <w:rPr>
          <w:lang w:val="en-US"/>
        </w:rPr>
        <w:t xml:space="preserve">that ECB could use in future risk assessment and prioritisation exercises </w:t>
      </w:r>
      <w:r w:rsidR="004D0126">
        <w:rPr>
          <w:lang w:val="en-US"/>
        </w:rPr>
        <w:t>and</w:t>
      </w:r>
      <w:r w:rsidR="0027174A">
        <w:rPr>
          <w:lang w:val="en-US"/>
        </w:rPr>
        <w:t xml:space="preserve"> </w:t>
      </w:r>
      <w:r w:rsidR="004D0126">
        <w:rPr>
          <w:lang w:val="en-US"/>
        </w:rPr>
        <w:t>identified a four-step rating scale of low, medium, high and extreme to compare risks and priorities</w:t>
      </w:r>
      <w:r w:rsidR="0027174A">
        <w:rPr>
          <w:lang w:val="en-US"/>
        </w:rPr>
        <w:t>.</w:t>
      </w:r>
      <w:r w:rsidR="0014248C">
        <w:rPr>
          <w:lang w:val="en-US"/>
        </w:rPr>
        <w:t xml:space="preserve"> </w:t>
      </w:r>
      <w:r w:rsidR="00916CD0">
        <w:rPr>
          <w:lang w:val="en-US"/>
        </w:rPr>
        <w:t>Within the rating scale</w:t>
      </w:r>
      <w:r w:rsidR="00E306D7">
        <w:rPr>
          <w:lang w:val="en-US"/>
        </w:rPr>
        <w:t>,</w:t>
      </w:r>
      <w:r w:rsidR="00916CD0">
        <w:rPr>
          <w:lang w:val="en-US"/>
        </w:rPr>
        <w:t xml:space="preserve"> </w:t>
      </w:r>
      <w:r w:rsidR="00E306D7">
        <w:rPr>
          <w:lang w:val="en-US"/>
        </w:rPr>
        <w:t>staff</w:t>
      </w:r>
      <w:r w:rsidR="00916CD0">
        <w:rPr>
          <w:lang w:val="en-US"/>
        </w:rPr>
        <w:t xml:space="preserve"> </w:t>
      </w:r>
      <w:r w:rsidR="00E306D7">
        <w:rPr>
          <w:lang w:val="en-US"/>
        </w:rPr>
        <w:t>commen</w:t>
      </w:r>
      <w:r w:rsidR="00386078">
        <w:rPr>
          <w:lang w:val="en-US"/>
        </w:rPr>
        <w:t>c</w:t>
      </w:r>
      <w:r w:rsidR="00E306D7">
        <w:rPr>
          <w:lang w:val="en-US"/>
        </w:rPr>
        <w:t xml:space="preserve">ed development of </w:t>
      </w:r>
      <w:r w:rsidR="00916CD0">
        <w:rPr>
          <w:lang w:val="en-US"/>
        </w:rPr>
        <w:t xml:space="preserve">a scoring system similar to </w:t>
      </w:r>
      <w:r w:rsidR="00386078">
        <w:rPr>
          <w:lang w:val="en-US"/>
        </w:rPr>
        <w:t>those</w:t>
      </w:r>
      <w:r w:rsidR="00916CD0">
        <w:rPr>
          <w:lang w:val="en-US"/>
        </w:rPr>
        <w:t xml:space="preserve"> </w:t>
      </w:r>
      <w:r w:rsidR="006C75C8">
        <w:rPr>
          <w:lang w:val="en-US"/>
        </w:rPr>
        <w:t>used by environment agencies in</w:t>
      </w:r>
      <w:r w:rsidR="00E306D7">
        <w:rPr>
          <w:lang w:val="en-US"/>
        </w:rPr>
        <w:t xml:space="preserve"> </w:t>
      </w:r>
      <w:r w:rsidR="006C75C8">
        <w:rPr>
          <w:lang w:val="en-US"/>
        </w:rPr>
        <w:t xml:space="preserve">some </w:t>
      </w:r>
      <w:r w:rsidR="00E306D7">
        <w:rPr>
          <w:lang w:val="en-US"/>
        </w:rPr>
        <w:t>s</w:t>
      </w:r>
      <w:r w:rsidR="006C75C8">
        <w:rPr>
          <w:lang w:val="en-US"/>
        </w:rPr>
        <w:t xml:space="preserve">tates and </w:t>
      </w:r>
      <w:r w:rsidR="00E306D7">
        <w:rPr>
          <w:lang w:val="en-US"/>
        </w:rPr>
        <w:t>t</w:t>
      </w:r>
      <w:r w:rsidR="006C75C8">
        <w:rPr>
          <w:lang w:val="en-US"/>
        </w:rPr>
        <w:t xml:space="preserve">erritories to ensure that issues were able to be </w:t>
      </w:r>
      <w:r w:rsidR="00E306D7">
        <w:rPr>
          <w:lang w:val="en-US"/>
        </w:rPr>
        <w:t>objectively</w:t>
      </w:r>
      <w:r w:rsidR="006C75C8">
        <w:rPr>
          <w:lang w:val="en-US"/>
        </w:rPr>
        <w:t xml:space="preserve"> considered. </w:t>
      </w:r>
      <w:r w:rsidR="006312E7">
        <w:rPr>
          <w:lang w:val="en-US"/>
        </w:rPr>
        <w:t>However,</w:t>
      </w:r>
      <w:r w:rsidR="0014248C">
        <w:rPr>
          <w:lang w:val="en-US"/>
        </w:rPr>
        <w:t xml:space="preserve"> in </w:t>
      </w:r>
      <w:r w:rsidR="00636FCC">
        <w:rPr>
          <w:lang w:val="en-US"/>
        </w:rPr>
        <w:t xml:space="preserve">identifying risk criteria </w:t>
      </w:r>
      <w:r w:rsidR="001E75E8">
        <w:rPr>
          <w:lang w:val="en-US"/>
        </w:rPr>
        <w:t>to which ratings could then be applied</w:t>
      </w:r>
      <w:r w:rsidR="004724C5">
        <w:rPr>
          <w:lang w:val="en-US"/>
        </w:rPr>
        <w:t>,</w:t>
      </w:r>
      <w:r w:rsidR="001E75E8">
        <w:rPr>
          <w:lang w:val="en-US"/>
        </w:rPr>
        <w:t xml:space="preserve"> </w:t>
      </w:r>
      <w:r w:rsidR="004724C5">
        <w:rPr>
          <w:lang w:val="en-US"/>
        </w:rPr>
        <w:t>staff recognised</w:t>
      </w:r>
      <w:r w:rsidR="00EE7387">
        <w:rPr>
          <w:lang w:val="en-US"/>
        </w:rPr>
        <w:t xml:space="preserve"> that the criteria </w:t>
      </w:r>
      <w:r w:rsidR="000B6B8B">
        <w:rPr>
          <w:lang w:val="en-US"/>
        </w:rPr>
        <w:t>may</w:t>
      </w:r>
      <w:r w:rsidR="00EE7387">
        <w:rPr>
          <w:lang w:val="en-US"/>
        </w:rPr>
        <w:t xml:space="preserve"> </w:t>
      </w:r>
      <w:r w:rsidR="00636FCC">
        <w:rPr>
          <w:lang w:val="en-US"/>
        </w:rPr>
        <w:t xml:space="preserve">need to </w:t>
      </w:r>
      <w:r w:rsidR="00EE7387">
        <w:rPr>
          <w:lang w:val="en-US"/>
        </w:rPr>
        <w:t>differ between Acts</w:t>
      </w:r>
      <w:r w:rsidR="001E75E8">
        <w:rPr>
          <w:lang w:val="en-US"/>
        </w:rPr>
        <w:t xml:space="preserve"> and</w:t>
      </w:r>
      <w:r w:rsidR="00EE7387">
        <w:rPr>
          <w:lang w:val="en-US"/>
        </w:rPr>
        <w:t xml:space="preserve"> there </w:t>
      </w:r>
      <w:r w:rsidR="00B37CAF">
        <w:rPr>
          <w:lang w:val="en-US"/>
        </w:rPr>
        <w:t xml:space="preserve">was a need for a </w:t>
      </w:r>
      <w:r w:rsidR="00CE6545">
        <w:rPr>
          <w:lang w:val="en-US"/>
        </w:rPr>
        <w:t>greater degree</w:t>
      </w:r>
      <w:r w:rsidR="00B37CAF">
        <w:rPr>
          <w:lang w:val="en-US"/>
        </w:rPr>
        <w:t xml:space="preserve"> of granularity </w:t>
      </w:r>
      <w:r w:rsidR="00F3738F">
        <w:rPr>
          <w:lang w:val="en-US"/>
        </w:rPr>
        <w:t>of data within sectors</w:t>
      </w:r>
      <w:r w:rsidR="00E01D0F">
        <w:rPr>
          <w:lang w:val="en-US"/>
        </w:rPr>
        <w:t xml:space="preserve">, which requires </w:t>
      </w:r>
      <w:r w:rsidR="006970FA">
        <w:rPr>
          <w:lang w:val="en-US"/>
        </w:rPr>
        <w:t>expertise from program areas</w:t>
      </w:r>
      <w:r w:rsidR="00F3738F">
        <w:rPr>
          <w:lang w:val="en-US"/>
        </w:rPr>
        <w:t>.</w:t>
      </w:r>
    </w:p>
    <w:p w14:paraId="3BD5AE1F" w14:textId="77777777" w:rsidR="005145F9" w:rsidRDefault="00CE6545" w:rsidP="00D64775">
      <w:pPr>
        <w:rPr>
          <w:lang w:val="en-US"/>
        </w:rPr>
      </w:pPr>
      <w:r>
        <w:rPr>
          <w:lang w:val="en-US"/>
        </w:rPr>
        <w:t>The workshop recognised</w:t>
      </w:r>
      <w:r w:rsidR="00F3738F">
        <w:rPr>
          <w:lang w:val="en-US"/>
        </w:rPr>
        <w:t xml:space="preserve"> </w:t>
      </w:r>
      <w:r w:rsidR="003B2B21" w:rsidRPr="003B2B21">
        <w:rPr>
          <w:lang w:val="en-US"/>
        </w:rPr>
        <w:t xml:space="preserve">that ECB does not have access to the data necessary to properly assess and prioritise risks </w:t>
      </w:r>
      <w:r w:rsidR="005D6EBB">
        <w:rPr>
          <w:lang w:val="en-US"/>
        </w:rPr>
        <w:t>as they relate to each piece of legislation</w:t>
      </w:r>
      <w:r w:rsidR="00764BBA">
        <w:rPr>
          <w:lang w:val="en-US"/>
        </w:rPr>
        <w:t>,</w:t>
      </w:r>
      <w:r w:rsidR="005D6EBB">
        <w:rPr>
          <w:lang w:val="en-US"/>
        </w:rPr>
        <w:t xml:space="preserve"> let alone to prioritise </w:t>
      </w:r>
      <w:r w:rsidR="003B2B21" w:rsidRPr="003B2B21">
        <w:rPr>
          <w:lang w:val="en-US"/>
        </w:rPr>
        <w:t>across the full suite of environmental legislation.</w:t>
      </w:r>
    </w:p>
    <w:p w14:paraId="0DBF5EC8" w14:textId="4F98BACE" w:rsidR="00D64775" w:rsidRDefault="005D6EBB" w:rsidP="00D64775">
      <w:pPr>
        <w:rPr>
          <w:lang w:val="en-US"/>
        </w:rPr>
      </w:pPr>
      <w:r>
        <w:rPr>
          <w:lang w:val="en-US"/>
        </w:rPr>
        <w:t xml:space="preserve">By way of example based on the knowledge and information held </w:t>
      </w:r>
      <w:r w:rsidR="006F16D7">
        <w:rPr>
          <w:lang w:val="en-US"/>
        </w:rPr>
        <w:t>at a branch level</w:t>
      </w:r>
      <w:r w:rsidR="00764BBA">
        <w:rPr>
          <w:lang w:val="en-US"/>
        </w:rPr>
        <w:t>,</w:t>
      </w:r>
      <w:r w:rsidR="006F16D7">
        <w:rPr>
          <w:lang w:val="en-US"/>
        </w:rPr>
        <w:t xml:space="preserve"> 5 key areas of focus were identified: mining</w:t>
      </w:r>
      <w:r w:rsidR="00DD730C">
        <w:rPr>
          <w:lang w:val="en-US"/>
        </w:rPr>
        <w:t>;</w:t>
      </w:r>
      <w:r w:rsidR="006F16D7">
        <w:rPr>
          <w:lang w:val="en-US"/>
        </w:rPr>
        <w:t xml:space="preserve"> agriculture</w:t>
      </w:r>
      <w:r w:rsidR="00DD730C">
        <w:rPr>
          <w:lang w:val="en-US"/>
        </w:rPr>
        <w:t>;</w:t>
      </w:r>
      <w:r w:rsidR="006F16D7">
        <w:rPr>
          <w:lang w:val="en-US"/>
        </w:rPr>
        <w:t xml:space="preserve"> </w:t>
      </w:r>
      <w:r w:rsidR="008D2305">
        <w:rPr>
          <w:lang w:val="en-US"/>
        </w:rPr>
        <w:t>waste</w:t>
      </w:r>
      <w:r w:rsidR="00770BCE">
        <w:rPr>
          <w:lang w:val="en-US"/>
        </w:rPr>
        <w:t>;</w:t>
      </w:r>
      <w:r w:rsidR="00EB15EC">
        <w:rPr>
          <w:lang w:val="en-US"/>
        </w:rPr>
        <w:t xml:space="preserve"> construction and development</w:t>
      </w:r>
      <w:r w:rsidR="00770BCE">
        <w:rPr>
          <w:lang w:val="en-US"/>
        </w:rPr>
        <w:t>;</w:t>
      </w:r>
      <w:r w:rsidR="00EB15EC">
        <w:rPr>
          <w:lang w:val="en-US"/>
        </w:rPr>
        <w:t xml:space="preserve"> and</w:t>
      </w:r>
      <w:r w:rsidR="00220F08">
        <w:rPr>
          <w:lang w:val="en-US"/>
        </w:rPr>
        <w:t xml:space="preserve"> wildlife trade. </w:t>
      </w:r>
      <w:r w:rsidR="004D2704">
        <w:rPr>
          <w:lang w:val="en-US"/>
        </w:rPr>
        <w:t>The workshop</w:t>
      </w:r>
      <w:r w:rsidR="00220F08">
        <w:rPr>
          <w:lang w:val="en-US"/>
        </w:rPr>
        <w:t xml:space="preserve"> noted that these areas relat</w:t>
      </w:r>
      <w:r w:rsidR="005D7A70">
        <w:rPr>
          <w:lang w:val="en-US"/>
        </w:rPr>
        <w:t>e</w:t>
      </w:r>
      <w:r w:rsidR="00220F08">
        <w:rPr>
          <w:lang w:val="en-US"/>
        </w:rPr>
        <w:t xml:space="preserve">d </w:t>
      </w:r>
      <w:r w:rsidR="00F15BDD">
        <w:rPr>
          <w:lang w:val="en-US"/>
        </w:rPr>
        <w:t>primarily</w:t>
      </w:r>
      <w:r w:rsidR="004D2704">
        <w:rPr>
          <w:lang w:val="en-US"/>
        </w:rPr>
        <w:t xml:space="preserve"> </w:t>
      </w:r>
      <w:r w:rsidR="00220F08">
        <w:rPr>
          <w:lang w:val="en-US"/>
        </w:rPr>
        <w:t>to the EPBC Act</w:t>
      </w:r>
      <w:r w:rsidR="008A5166">
        <w:rPr>
          <w:lang w:val="en-US"/>
        </w:rPr>
        <w:t>.</w:t>
      </w:r>
      <w:r w:rsidR="00220F08">
        <w:rPr>
          <w:lang w:val="en-US"/>
        </w:rPr>
        <w:t xml:space="preserve"> </w:t>
      </w:r>
      <w:r w:rsidR="008A5166">
        <w:rPr>
          <w:lang w:val="en-US"/>
        </w:rPr>
        <w:t>I</w:t>
      </w:r>
      <w:r w:rsidR="006312E7">
        <w:rPr>
          <w:lang w:val="en-US"/>
        </w:rPr>
        <w:t xml:space="preserve">n terms of identifying where the branch should put </w:t>
      </w:r>
      <w:r w:rsidR="00AD71D3">
        <w:rPr>
          <w:lang w:val="en-US"/>
        </w:rPr>
        <w:t>its</w:t>
      </w:r>
      <w:r w:rsidR="006312E7">
        <w:rPr>
          <w:lang w:val="en-US"/>
        </w:rPr>
        <w:t xml:space="preserve"> efforts </w:t>
      </w:r>
      <w:r w:rsidR="002E219E">
        <w:rPr>
          <w:lang w:val="en-US"/>
        </w:rPr>
        <w:t>across the different legislative regimes</w:t>
      </w:r>
      <w:r w:rsidR="00AD71D3">
        <w:rPr>
          <w:lang w:val="en-US"/>
        </w:rPr>
        <w:t>,</w:t>
      </w:r>
      <w:r w:rsidR="002E219E">
        <w:rPr>
          <w:lang w:val="en-US"/>
        </w:rPr>
        <w:t xml:space="preserve"> </w:t>
      </w:r>
      <w:r w:rsidR="0046240E">
        <w:rPr>
          <w:lang w:val="en-US"/>
        </w:rPr>
        <w:t xml:space="preserve">there was </w:t>
      </w:r>
      <w:r w:rsidR="00510677">
        <w:rPr>
          <w:lang w:val="en-US"/>
        </w:rPr>
        <w:t xml:space="preserve">limited knowledge or </w:t>
      </w:r>
      <w:r w:rsidR="00492685">
        <w:rPr>
          <w:lang w:val="en-US"/>
        </w:rPr>
        <w:t xml:space="preserve">access to </w:t>
      </w:r>
      <w:r w:rsidR="00F10F59">
        <w:rPr>
          <w:lang w:val="en-US"/>
        </w:rPr>
        <w:t xml:space="preserve">relevant </w:t>
      </w:r>
      <w:r w:rsidR="00492685">
        <w:rPr>
          <w:lang w:val="en-US"/>
        </w:rPr>
        <w:t>information as this was primarily retained in the program area.</w:t>
      </w:r>
      <w:r w:rsidR="00603FDC" w:rsidRPr="00603FDC">
        <w:rPr>
          <w:lang w:val="en-US"/>
        </w:rPr>
        <w:t xml:space="preserve"> </w:t>
      </w:r>
      <w:r w:rsidR="00603FDC">
        <w:rPr>
          <w:lang w:val="en-US"/>
        </w:rPr>
        <w:t>Further work is need</w:t>
      </w:r>
      <w:r w:rsidR="0027205A">
        <w:rPr>
          <w:lang w:val="en-US"/>
        </w:rPr>
        <w:t>ed</w:t>
      </w:r>
      <w:r w:rsidR="00603FDC">
        <w:rPr>
          <w:lang w:val="en-US"/>
        </w:rPr>
        <w:t xml:space="preserve"> to be more granular</w:t>
      </w:r>
      <w:r w:rsidR="00497778">
        <w:rPr>
          <w:lang w:val="en-US"/>
        </w:rPr>
        <w:t>.</w:t>
      </w:r>
      <w:r w:rsidR="002E219E">
        <w:rPr>
          <w:lang w:val="en-US"/>
        </w:rPr>
        <w:t xml:space="preserve"> F</w:t>
      </w:r>
      <w:r w:rsidR="0082289A">
        <w:rPr>
          <w:lang w:val="en-US"/>
        </w:rPr>
        <w:t>or example</w:t>
      </w:r>
      <w:r w:rsidR="002E219E">
        <w:rPr>
          <w:lang w:val="en-US"/>
        </w:rPr>
        <w:t>,</w:t>
      </w:r>
      <w:r w:rsidR="0082289A">
        <w:rPr>
          <w:lang w:val="en-US"/>
        </w:rPr>
        <w:t xml:space="preserve"> </w:t>
      </w:r>
      <w:r w:rsidR="002E219E">
        <w:rPr>
          <w:lang w:val="en-US"/>
        </w:rPr>
        <w:t>‘</w:t>
      </w:r>
      <w:r w:rsidR="0082289A">
        <w:rPr>
          <w:lang w:val="en-US"/>
        </w:rPr>
        <w:t>agriculture</w:t>
      </w:r>
      <w:r w:rsidR="002E219E">
        <w:rPr>
          <w:lang w:val="en-US"/>
        </w:rPr>
        <w:t>’</w:t>
      </w:r>
      <w:r w:rsidR="0082289A">
        <w:rPr>
          <w:lang w:val="en-US"/>
        </w:rPr>
        <w:t xml:space="preserve"> could cover land</w:t>
      </w:r>
      <w:r w:rsidR="00D51275">
        <w:rPr>
          <w:lang w:val="en-US"/>
        </w:rPr>
        <w:t>-</w:t>
      </w:r>
      <w:r w:rsidR="0082289A">
        <w:rPr>
          <w:lang w:val="en-US"/>
        </w:rPr>
        <w:t xml:space="preserve">clearing, </w:t>
      </w:r>
      <w:r w:rsidR="00F82C88">
        <w:rPr>
          <w:lang w:val="en-US"/>
        </w:rPr>
        <w:t>hazardous substance management</w:t>
      </w:r>
      <w:r w:rsidR="00391E5D">
        <w:rPr>
          <w:lang w:val="en-US"/>
        </w:rPr>
        <w:t xml:space="preserve">, </w:t>
      </w:r>
      <w:r w:rsidR="00367DEE">
        <w:rPr>
          <w:lang w:val="en-US"/>
        </w:rPr>
        <w:t xml:space="preserve">water pollution or </w:t>
      </w:r>
      <w:r w:rsidR="0054323C">
        <w:rPr>
          <w:lang w:val="en-US"/>
        </w:rPr>
        <w:t xml:space="preserve">land </w:t>
      </w:r>
      <w:r w:rsidR="00367DEE">
        <w:rPr>
          <w:lang w:val="en-US"/>
        </w:rPr>
        <w:t xml:space="preserve">overuse. Within </w:t>
      </w:r>
      <w:r w:rsidR="00D51275">
        <w:rPr>
          <w:lang w:val="en-US"/>
        </w:rPr>
        <w:t>‘</w:t>
      </w:r>
      <w:r w:rsidR="00367DEE">
        <w:rPr>
          <w:lang w:val="en-US"/>
        </w:rPr>
        <w:t>mining</w:t>
      </w:r>
      <w:r w:rsidR="00D51275">
        <w:rPr>
          <w:lang w:val="en-US"/>
        </w:rPr>
        <w:t>’,</w:t>
      </w:r>
      <w:r w:rsidR="00367DEE">
        <w:rPr>
          <w:lang w:val="en-US"/>
        </w:rPr>
        <w:t xml:space="preserve"> </w:t>
      </w:r>
      <w:r w:rsidR="00B451D5">
        <w:rPr>
          <w:lang w:val="en-US"/>
        </w:rPr>
        <w:t xml:space="preserve">air quality, noise, odours or surface water impacts were </w:t>
      </w:r>
      <w:r w:rsidR="00D95A58">
        <w:rPr>
          <w:lang w:val="en-US"/>
        </w:rPr>
        <w:t xml:space="preserve">specific </w:t>
      </w:r>
      <w:r w:rsidR="00373DA1">
        <w:rPr>
          <w:lang w:val="en-US"/>
        </w:rPr>
        <w:t xml:space="preserve">subsets of </w:t>
      </w:r>
      <w:r w:rsidR="00D95A58">
        <w:rPr>
          <w:lang w:val="en-US"/>
        </w:rPr>
        <w:t xml:space="preserve">concerns, and </w:t>
      </w:r>
      <w:r w:rsidR="00367DEE">
        <w:rPr>
          <w:lang w:val="en-US"/>
        </w:rPr>
        <w:t>land</w:t>
      </w:r>
      <w:r w:rsidR="00D51275">
        <w:rPr>
          <w:lang w:val="en-US"/>
        </w:rPr>
        <w:t>-</w:t>
      </w:r>
      <w:r w:rsidR="00367DEE">
        <w:rPr>
          <w:lang w:val="en-US"/>
        </w:rPr>
        <w:t>clearing</w:t>
      </w:r>
      <w:r w:rsidR="005D7A70">
        <w:rPr>
          <w:lang w:val="en-US"/>
        </w:rPr>
        <w:t xml:space="preserve"> </w:t>
      </w:r>
      <w:r w:rsidR="00D51275">
        <w:rPr>
          <w:lang w:val="en-US"/>
        </w:rPr>
        <w:t xml:space="preserve">could </w:t>
      </w:r>
      <w:r w:rsidR="00B451D5">
        <w:rPr>
          <w:lang w:val="en-US"/>
        </w:rPr>
        <w:t xml:space="preserve">be </w:t>
      </w:r>
      <w:r w:rsidR="00391E5D">
        <w:rPr>
          <w:lang w:val="en-US"/>
        </w:rPr>
        <w:t>approved with offsets</w:t>
      </w:r>
      <w:r w:rsidR="00B451D5">
        <w:rPr>
          <w:lang w:val="en-US"/>
        </w:rPr>
        <w:t>,</w:t>
      </w:r>
      <w:r w:rsidR="00A6116A">
        <w:rPr>
          <w:lang w:val="en-US"/>
        </w:rPr>
        <w:t xml:space="preserve"> so </w:t>
      </w:r>
      <w:r w:rsidR="00B451D5">
        <w:rPr>
          <w:lang w:val="en-US"/>
        </w:rPr>
        <w:t xml:space="preserve">compliance with </w:t>
      </w:r>
      <w:r w:rsidR="00A6116A">
        <w:rPr>
          <w:lang w:val="en-US"/>
        </w:rPr>
        <w:t xml:space="preserve">offsets </w:t>
      </w:r>
      <w:r w:rsidR="00B451D5">
        <w:rPr>
          <w:lang w:val="en-US"/>
        </w:rPr>
        <w:t>was</w:t>
      </w:r>
      <w:r w:rsidR="00A6116A">
        <w:rPr>
          <w:lang w:val="en-US"/>
        </w:rPr>
        <w:t xml:space="preserve"> </w:t>
      </w:r>
      <w:r w:rsidR="00F15BDD">
        <w:rPr>
          <w:lang w:val="en-US"/>
        </w:rPr>
        <w:t>likely to be</w:t>
      </w:r>
      <w:r w:rsidR="00A6116A">
        <w:rPr>
          <w:lang w:val="en-US"/>
        </w:rPr>
        <w:t xml:space="preserve"> a</w:t>
      </w:r>
      <w:r w:rsidR="00D95A58">
        <w:rPr>
          <w:lang w:val="en-US"/>
        </w:rPr>
        <w:t>n</w:t>
      </w:r>
      <w:r w:rsidR="00373DA1">
        <w:rPr>
          <w:lang w:val="en-US"/>
        </w:rPr>
        <w:t>other</w:t>
      </w:r>
      <w:r w:rsidR="00D95A58">
        <w:rPr>
          <w:lang w:val="en-US"/>
        </w:rPr>
        <w:t xml:space="preserve"> important </w:t>
      </w:r>
      <w:r w:rsidR="00A6116A">
        <w:rPr>
          <w:lang w:val="en-US"/>
        </w:rPr>
        <w:t>focu</w:t>
      </w:r>
      <w:r w:rsidR="0054323C">
        <w:rPr>
          <w:lang w:val="en-US"/>
        </w:rPr>
        <w:t>s</w:t>
      </w:r>
      <w:r w:rsidR="00D95A58">
        <w:rPr>
          <w:lang w:val="en-US"/>
        </w:rPr>
        <w:t xml:space="preserve"> for compliance activity</w:t>
      </w:r>
      <w:r w:rsidR="00686C0D">
        <w:rPr>
          <w:lang w:val="en-US"/>
        </w:rPr>
        <w:t xml:space="preserve">. Alternatively, </w:t>
      </w:r>
      <w:r w:rsidR="00F15BDD">
        <w:rPr>
          <w:lang w:val="en-US"/>
        </w:rPr>
        <w:t>compliance activities could focus on projects</w:t>
      </w:r>
      <w:r w:rsidR="00B376A1">
        <w:rPr>
          <w:lang w:val="en-US"/>
        </w:rPr>
        <w:t xml:space="preserve"> with the most conditions or </w:t>
      </w:r>
      <w:r w:rsidR="00E740D1">
        <w:rPr>
          <w:lang w:val="en-US"/>
        </w:rPr>
        <w:t>proponents</w:t>
      </w:r>
      <w:r w:rsidR="00B376A1">
        <w:rPr>
          <w:lang w:val="en-US"/>
        </w:rPr>
        <w:t xml:space="preserve"> with a poor </w:t>
      </w:r>
      <w:r w:rsidR="00E740D1">
        <w:rPr>
          <w:lang w:val="en-US"/>
        </w:rPr>
        <w:t xml:space="preserve">compliance </w:t>
      </w:r>
      <w:r w:rsidR="00B376A1">
        <w:rPr>
          <w:lang w:val="en-US"/>
        </w:rPr>
        <w:t>history</w:t>
      </w:r>
      <w:r w:rsidR="0053735E">
        <w:rPr>
          <w:lang w:val="en-US"/>
        </w:rPr>
        <w:t xml:space="preserve">. </w:t>
      </w:r>
      <w:r w:rsidR="00D64775">
        <w:rPr>
          <w:lang w:val="en-US"/>
        </w:rPr>
        <w:t>It was noted that this level of information would be much more accessible following the completion of the first stage of the proposed CIIMS case management system.</w:t>
      </w:r>
    </w:p>
    <w:p w14:paraId="2D6EB46F" w14:textId="5E49A775" w:rsidR="003B2B21" w:rsidRPr="003B2B21" w:rsidRDefault="00E75527" w:rsidP="00B41CB9">
      <w:pPr>
        <w:rPr>
          <w:lang w:val="en-US"/>
        </w:rPr>
      </w:pPr>
      <w:r>
        <w:rPr>
          <w:lang w:val="en-US"/>
        </w:rPr>
        <w:t xml:space="preserve">ECB </w:t>
      </w:r>
      <w:r w:rsidR="00161E21">
        <w:rPr>
          <w:lang w:val="en-US"/>
        </w:rPr>
        <w:t xml:space="preserve">staff at the workshop </w:t>
      </w:r>
      <w:r>
        <w:rPr>
          <w:lang w:val="en-US"/>
        </w:rPr>
        <w:t xml:space="preserve">agreed that </w:t>
      </w:r>
      <w:r w:rsidR="00161E21">
        <w:rPr>
          <w:lang w:val="en-US"/>
        </w:rPr>
        <w:t>a transparent</w:t>
      </w:r>
      <w:r w:rsidR="0053735E">
        <w:rPr>
          <w:lang w:val="en-US"/>
        </w:rPr>
        <w:t xml:space="preserve"> process of </w:t>
      </w:r>
      <w:r>
        <w:rPr>
          <w:lang w:val="en-US"/>
        </w:rPr>
        <w:t>prioriti</w:t>
      </w:r>
      <w:r w:rsidR="0053735E">
        <w:rPr>
          <w:lang w:val="en-US"/>
        </w:rPr>
        <w:t>s</w:t>
      </w:r>
      <w:r>
        <w:rPr>
          <w:lang w:val="en-US"/>
        </w:rPr>
        <w:t xml:space="preserve">ation was essential to </w:t>
      </w:r>
      <w:r w:rsidR="004156B6">
        <w:rPr>
          <w:lang w:val="en-US"/>
        </w:rPr>
        <w:t>properly targeted compliance activity</w:t>
      </w:r>
      <w:r w:rsidR="00713E3E">
        <w:rPr>
          <w:lang w:val="en-US"/>
        </w:rPr>
        <w:t xml:space="preserve"> but without the necessary intelligence, partnerships and governance this would be difficult to</w:t>
      </w:r>
      <w:r w:rsidR="00C24D14">
        <w:rPr>
          <w:lang w:val="en-US"/>
        </w:rPr>
        <w:t xml:space="preserve"> </w:t>
      </w:r>
      <w:r w:rsidR="00713E3E">
        <w:rPr>
          <w:lang w:val="en-US"/>
        </w:rPr>
        <w:t>achieve</w:t>
      </w:r>
      <w:r>
        <w:rPr>
          <w:lang w:val="en-US"/>
        </w:rPr>
        <w:t xml:space="preserve">. </w:t>
      </w:r>
      <w:r w:rsidR="003B2B21" w:rsidRPr="003B2B21">
        <w:rPr>
          <w:lang w:val="en-US"/>
        </w:rPr>
        <w:t xml:space="preserve">Following the workshop, the coordinated branch approach to risk management and priority-setting should be continued to enable a suitable framework to be developed and refined. The completion of the framework can then form the basis of a more transparent approach to updating the </w:t>
      </w:r>
      <w:r w:rsidR="00A26307">
        <w:rPr>
          <w:lang w:val="en-US"/>
        </w:rPr>
        <w:t>A</w:t>
      </w:r>
      <w:r w:rsidR="003B2B21" w:rsidRPr="003B2B21">
        <w:rPr>
          <w:lang w:val="en-US"/>
        </w:rPr>
        <w:t xml:space="preserve">nnual </w:t>
      </w:r>
      <w:r w:rsidR="00A26307">
        <w:rPr>
          <w:lang w:val="en-US"/>
        </w:rPr>
        <w:lastRenderedPageBreak/>
        <w:t>C</w:t>
      </w:r>
      <w:r w:rsidR="003B2B21" w:rsidRPr="003B2B21">
        <w:rPr>
          <w:lang w:val="en-US"/>
        </w:rPr>
        <w:t>ompliance</w:t>
      </w:r>
      <w:r w:rsidR="00A26307">
        <w:rPr>
          <w:lang w:val="en-US"/>
        </w:rPr>
        <w:t xml:space="preserve"> P</w:t>
      </w:r>
      <w:r w:rsidR="003B2B21" w:rsidRPr="003B2B21">
        <w:rPr>
          <w:lang w:val="en-US"/>
        </w:rPr>
        <w:t>lan</w:t>
      </w:r>
      <w:r w:rsidR="00A26307">
        <w:rPr>
          <w:lang w:val="en-US"/>
        </w:rPr>
        <w:t xml:space="preserve"> for Executive endorsement</w:t>
      </w:r>
      <w:r w:rsidR="003B2B21" w:rsidRPr="003B2B21">
        <w:rPr>
          <w:lang w:val="en-US"/>
        </w:rPr>
        <w:t>, thereby addressing the risk management recommendation in the recent ANAO audit.</w:t>
      </w:r>
    </w:p>
    <w:p w14:paraId="0B0CCEA2" w14:textId="40E82880" w:rsidR="003B2B21" w:rsidRDefault="003B2B21" w:rsidP="00B41CB9">
      <w:pPr>
        <w:rPr>
          <w:lang w:val="en-US"/>
        </w:rPr>
      </w:pPr>
      <w:r w:rsidRPr="003B2B21">
        <w:rPr>
          <w:lang w:val="en-US"/>
        </w:rPr>
        <w:t xml:space="preserve">To progress this, a specific </w:t>
      </w:r>
      <w:r w:rsidR="00152A02">
        <w:rPr>
          <w:lang w:val="en-US"/>
        </w:rPr>
        <w:t xml:space="preserve">short-term project </w:t>
      </w:r>
      <w:r w:rsidRPr="003B2B21">
        <w:rPr>
          <w:lang w:val="en-US"/>
        </w:rPr>
        <w:t xml:space="preserve">team </w:t>
      </w:r>
      <w:r w:rsidR="00C055EB" w:rsidRPr="003B2B21">
        <w:rPr>
          <w:lang w:val="en-US"/>
        </w:rPr>
        <w:t xml:space="preserve">within </w:t>
      </w:r>
      <w:r w:rsidR="00C055EB">
        <w:rPr>
          <w:lang w:val="en-US"/>
        </w:rPr>
        <w:t>ECB</w:t>
      </w:r>
      <w:r w:rsidR="00C055EB" w:rsidRPr="003B2B21">
        <w:rPr>
          <w:lang w:val="en-US"/>
        </w:rPr>
        <w:t xml:space="preserve"> </w:t>
      </w:r>
      <w:r w:rsidR="00834928">
        <w:rPr>
          <w:lang w:val="en-US"/>
        </w:rPr>
        <w:t>with some dedicated resources</w:t>
      </w:r>
      <w:r w:rsidR="00B37244">
        <w:rPr>
          <w:lang w:val="en-US"/>
        </w:rPr>
        <w:t xml:space="preserve"> </w:t>
      </w:r>
      <w:r w:rsidR="009A225C">
        <w:rPr>
          <w:lang w:val="en-US"/>
        </w:rPr>
        <w:t xml:space="preserve">(around $300,000) </w:t>
      </w:r>
      <w:r w:rsidRPr="003B2B21">
        <w:rPr>
          <w:lang w:val="en-US"/>
        </w:rPr>
        <w:t>should be tasked with coordinating a</w:t>
      </w:r>
      <w:r w:rsidR="00B37244">
        <w:rPr>
          <w:lang w:val="en-US"/>
        </w:rPr>
        <w:t xml:space="preserve"> first stage </w:t>
      </w:r>
      <w:r w:rsidRPr="003B2B21">
        <w:rPr>
          <w:lang w:val="en-US"/>
        </w:rPr>
        <w:t xml:space="preserve">risk review and prioritisation process across all legislative programs that results in the development of an </w:t>
      </w:r>
      <w:r w:rsidR="001C2F58">
        <w:rPr>
          <w:lang w:val="en-US"/>
        </w:rPr>
        <w:t>A</w:t>
      </w:r>
      <w:r w:rsidRPr="003B2B21">
        <w:rPr>
          <w:lang w:val="en-US"/>
        </w:rPr>
        <w:t xml:space="preserve">nnual </w:t>
      </w:r>
      <w:r w:rsidR="001C2F58">
        <w:rPr>
          <w:lang w:val="en-US"/>
        </w:rPr>
        <w:t>C</w:t>
      </w:r>
      <w:r w:rsidRPr="003B2B21">
        <w:rPr>
          <w:lang w:val="en-US"/>
        </w:rPr>
        <w:t xml:space="preserve">ompliance </w:t>
      </w:r>
      <w:r w:rsidR="001C2F58">
        <w:rPr>
          <w:lang w:val="en-US"/>
        </w:rPr>
        <w:t>P</w:t>
      </w:r>
      <w:r w:rsidRPr="003B2B21">
        <w:rPr>
          <w:lang w:val="en-US"/>
        </w:rPr>
        <w:t xml:space="preserve">lan. The development of this plan should </w:t>
      </w:r>
      <w:r w:rsidR="00C055EB">
        <w:rPr>
          <w:lang w:val="en-US"/>
        </w:rPr>
        <w:t>commence with detailed</w:t>
      </w:r>
      <w:r w:rsidRPr="003B2B21">
        <w:rPr>
          <w:lang w:val="en-US"/>
        </w:rPr>
        <w:t xml:space="preserve"> consultation with program areas and oversight by the Executive Board.</w:t>
      </w:r>
    </w:p>
    <w:p w14:paraId="64E227AB" w14:textId="6267D227" w:rsidR="00D02930" w:rsidRDefault="003B2B21" w:rsidP="004A4639">
      <w:pPr>
        <w:rPr>
          <w:lang w:val="en-US"/>
        </w:rPr>
      </w:pPr>
      <w:r w:rsidRPr="003B2B21">
        <w:rPr>
          <w:lang w:val="en-US"/>
        </w:rPr>
        <w:t xml:space="preserve">Over time, </w:t>
      </w:r>
      <w:r w:rsidR="00B37244">
        <w:rPr>
          <w:lang w:val="en-US"/>
        </w:rPr>
        <w:t xml:space="preserve">though </w:t>
      </w:r>
      <w:r w:rsidRPr="003B2B21">
        <w:rPr>
          <w:lang w:val="en-US"/>
        </w:rPr>
        <w:t>the Department needs to develop a more strategic approach to compliance priority-setting, based on assessment of trends and emerging issues using data drawn from a variety of sources</w:t>
      </w:r>
      <w:r w:rsidR="00912761">
        <w:rPr>
          <w:lang w:val="en-US"/>
        </w:rPr>
        <w:t>,</w:t>
      </w:r>
      <w:r w:rsidRPr="003B2B21">
        <w:rPr>
          <w:lang w:val="en-US"/>
        </w:rPr>
        <w:t xml:space="preserve"> including</w:t>
      </w:r>
      <w:r w:rsidR="00D574FA">
        <w:rPr>
          <w:lang w:val="en-US"/>
        </w:rPr>
        <w:t xml:space="preserve"> from</w:t>
      </w:r>
      <w:r w:rsidRPr="003B2B21">
        <w:rPr>
          <w:lang w:val="en-US"/>
        </w:rPr>
        <w:t>:</w:t>
      </w:r>
    </w:p>
    <w:p w14:paraId="631DC69F" w14:textId="77777777" w:rsidR="00F3256A" w:rsidRDefault="00B37244" w:rsidP="00866E73">
      <w:pPr>
        <w:pStyle w:val="ListParagraph"/>
        <w:numPr>
          <w:ilvl w:val="0"/>
          <w:numId w:val="16"/>
        </w:numPr>
        <w:rPr>
          <w:lang w:val="en-US"/>
        </w:rPr>
      </w:pPr>
      <w:r>
        <w:rPr>
          <w:lang w:val="en-US"/>
        </w:rPr>
        <w:t xml:space="preserve">its </w:t>
      </w:r>
      <w:r w:rsidR="00F3256A">
        <w:rPr>
          <w:lang w:val="en-US"/>
        </w:rPr>
        <w:t>case management system</w:t>
      </w:r>
    </w:p>
    <w:p w14:paraId="7C5793DC" w14:textId="47354ED3" w:rsidR="00D574FA" w:rsidRPr="009B0EB5" w:rsidRDefault="00D574FA" w:rsidP="00866E73">
      <w:pPr>
        <w:pStyle w:val="ListParagraph"/>
        <w:numPr>
          <w:ilvl w:val="0"/>
          <w:numId w:val="16"/>
        </w:numPr>
        <w:rPr>
          <w:lang w:val="en-US"/>
        </w:rPr>
      </w:pPr>
      <w:r w:rsidRPr="009B0EB5">
        <w:rPr>
          <w:lang w:val="en-US"/>
        </w:rPr>
        <w:t>complaints and allegations received by the Department</w:t>
      </w:r>
    </w:p>
    <w:p w14:paraId="634FF591" w14:textId="3FECD942" w:rsidR="00D574FA" w:rsidRPr="009B0EB5" w:rsidRDefault="003B2B21" w:rsidP="00866E73">
      <w:pPr>
        <w:pStyle w:val="ListParagraph"/>
        <w:numPr>
          <w:ilvl w:val="0"/>
          <w:numId w:val="16"/>
        </w:numPr>
        <w:rPr>
          <w:lang w:val="en-US"/>
        </w:rPr>
      </w:pPr>
      <w:r w:rsidRPr="009B0EB5">
        <w:rPr>
          <w:lang w:val="en-US"/>
        </w:rPr>
        <w:t>the systems in place for effective program management</w:t>
      </w:r>
    </w:p>
    <w:p w14:paraId="1F736A1D" w14:textId="1D3EFAF6" w:rsidR="00D574FA" w:rsidRPr="009B0EB5" w:rsidRDefault="003B2B21" w:rsidP="00866E73">
      <w:pPr>
        <w:pStyle w:val="ListParagraph"/>
        <w:numPr>
          <w:ilvl w:val="0"/>
          <w:numId w:val="16"/>
        </w:numPr>
        <w:rPr>
          <w:lang w:val="en-US"/>
        </w:rPr>
      </w:pPr>
      <w:r w:rsidRPr="009B0EB5">
        <w:rPr>
          <w:lang w:val="en-US"/>
        </w:rPr>
        <w:t>other intelligence agencies</w:t>
      </w:r>
    </w:p>
    <w:p w14:paraId="2250AD52" w14:textId="77777777" w:rsidR="00912761" w:rsidRPr="009B0EB5" w:rsidRDefault="008766B6" w:rsidP="00866E73">
      <w:pPr>
        <w:pStyle w:val="ListParagraph"/>
        <w:numPr>
          <w:ilvl w:val="0"/>
          <w:numId w:val="16"/>
        </w:numPr>
        <w:rPr>
          <w:lang w:val="en-US"/>
        </w:rPr>
      </w:pPr>
      <w:r w:rsidRPr="009B0EB5">
        <w:rPr>
          <w:lang w:val="en-US"/>
        </w:rPr>
        <w:t>s</w:t>
      </w:r>
      <w:r w:rsidR="003B2B21" w:rsidRPr="009B0EB5">
        <w:rPr>
          <w:lang w:val="en-US"/>
        </w:rPr>
        <w:t xml:space="preserve">tates and </w:t>
      </w:r>
      <w:r w:rsidRPr="009B0EB5">
        <w:rPr>
          <w:lang w:val="en-US"/>
        </w:rPr>
        <w:t>t</w:t>
      </w:r>
      <w:r w:rsidR="003B2B21" w:rsidRPr="009B0EB5">
        <w:rPr>
          <w:lang w:val="en-US"/>
        </w:rPr>
        <w:t>erritories</w:t>
      </w:r>
    </w:p>
    <w:p w14:paraId="06FDF52E" w14:textId="77777777" w:rsidR="00912761" w:rsidRPr="009B0EB5" w:rsidRDefault="003B2B21" w:rsidP="00866E73">
      <w:pPr>
        <w:pStyle w:val="ListParagraph"/>
        <w:numPr>
          <w:ilvl w:val="0"/>
          <w:numId w:val="16"/>
        </w:numPr>
        <w:rPr>
          <w:lang w:val="en-US"/>
        </w:rPr>
      </w:pPr>
      <w:r w:rsidRPr="009B0EB5">
        <w:rPr>
          <w:lang w:val="en-US"/>
        </w:rPr>
        <w:t>geospatial information systems used by the department (which may require additional resources in those areas)</w:t>
      </w:r>
    </w:p>
    <w:p w14:paraId="055FDB32" w14:textId="28C42CC5" w:rsidR="003B2B21" w:rsidRPr="009B0EB5" w:rsidRDefault="003B2B21" w:rsidP="00866E73">
      <w:pPr>
        <w:pStyle w:val="ListParagraph"/>
        <w:numPr>
          <w:ilvl w:val="0"/>
          <w:numId w:val="16"/>
        </w:numPr>
        <w:rPr>
          <w:lang w:val="en-US"/>
        </w:rPr>
      </w:pPr>
      <w:r w:rsidRPr="009B0EB5">
        <w:rPr>
          <w:lang w:val="en-US"/>
        </w:rPr>
        <w:t>access to satellite-based environmental surveillance systems managed by third parties.</w:t>
      </w:r>
    </w:p>
    <w:p w14:paraId="1D1DF0B6" w14:textId="77777777" w:rsidR="00CE1994" w:rsidRPr="00CE1994" w:rsidRDefault="003B2B21" w:rsidP="004A4639">
      <w:pPr>
        <w:rPr>
          <w:rFonts w:eastAsia="Times New Roman"/>
        </w:rPr>
      </w:pPr>
      <w:r w:rsidRPr="003B2B21">
        <w:rPr>
          <w:lang w:val="en-US"/>
        </w:rPr>
        <w:t>All of these data would come together to not only inform risk assessment and resource prioritisation but the effectiveness of remediation and enforcement and outcomes measurement.</w:t>
      </w:r>
    </w:p>
    <w:p w14:paraId="4968C56F" w14:textId="54CED067" w:rsidR="003B2B21" w:rsidRPr="003B2B21" w:rsidRDefault="003B2B21" w:rsidP="004A4639">
      <w:pPr>
        <w:rPr>
          <w:rFonts w:eastAsia="Times New Roman"/>
        </w:rPr>
      </w:pPr>
      <w:r w:rsidRPr="003B2B21">
        <w:rPr>
          <w:lang w:val="en-US"/>
        </w:rPr>
        <w:t xml:space="preserve">In addition, </w:t>
      </w:r>
      <w:r w:rsidRPr="003B2B21">
        <w:rPr>
          <w:rFonts w:eastAsia="Times New Roman"/>
        </w:rPr>
        <w:t>the capture of relevant environmental data could feed into internal reporting and external benchmarking (such as State of the Environment reports) that enables the Department to be transparent and objectively determine whether the objects of the Acts or the environmental outcomes are actually being achieved and further aid prioritisation and resource allocation.</w:t>
      </w:r>
    </w:p>
    <w:p w14:paraId="62B3D52D" w14:textId="089517E3" w:rsidR="00F3256A" w:rsidRDefault="007D24A8" w:rsidP="009B73CB">
      <w:pPr>
        <w:pStyle w:val="Heading4"/>
        <w:rPr>
          <w:lang w:val="en-US"/>
        </w:rPr>
      </w:pPr>
      <w:r>
        <w:rPr>
          <w:lang w:val="en-US"/>
        </w:rPr>
        <w:t>Recommendation</w:t>
      </w:r>
      <w:r w:rsidR="00502DCD">
        <w:rPr>
          <w:lang w:val="en-US"/>
        </w:rPr>
        <w:t xml:space="preserve"> </w:t>
      </w:r>
      <w:r w:rsidR="00837C23">
        <w:rPr>
          <w:lang w:val="en-US"/>
        </w:rPr>
        <w:t>11</w:t>
      </w:r>
    </w:p>
    <w:p w14:paraId="1C017B25" w14:textId="77777777" w:rsidR="000E0BC6" w:rsidRPr="000E0BC6" w:rsidRDefault="000E0BC6" w:rsidP="000E0BC6">
      <w:pPr>
        <w:spacing w:after="200" w:line="276" w:lineRule="auto"/>
        <w:rPr>
          <w:b/>
          <w:bCs/>
        </w:rPr>
      </w:pPr>
      <w:r w:rsidRPr="000E0BC6">
        <w:rPr>
          <w:rFonts w:eastAsiaTheme="minorEastAsia"/>
          <w:b/>
          <w:bCs/>
          <w:lang w:val="en-US"/>
        </w:rPr>
        <w:t>The Department establish a project costing around $300,000 to engage personnel to clear the backlog of reviewing, assessing, and undertaking follow-up action for the outstanding EPBC management reports</w:t>
      </w:r>
      <w:r w:rsidRPr="000E0BC6">
        <w:rPr>
          <w:b/>
          <w:bCs/>
        </w:rPr>
        <w:t xml:space="preserve"> and to establish a framework for more timely future review, follow-up and action.</w:t>
      </w:r>
    </w:p>
    <w:p w14:paraId="68ACF825" w14:textId="655A16D2" w:rsidR="000D3CE0" w:rsidRDefault="000D3CE0" w:rsidP="009B73CB">
      <w:pPr>
        <w:pStyle w:val="Heading4"/>
      </w:pPr>
      <w:r>
        <w:t>Recommendation 1</w:t>
      </w:r>
      <w:r w:rsidR="00837C23">
        <w:t>2</w:t>
      </w:r>
    </w:p>
    <w:p w14:paraId="251C8830" w14:textId="566CE3A9" w:rsidR="0021070F" w:rsidRPr="00281F42" w:rsidRDefault="00627E27" w:rsidP="0021070F">
      <w:pPr>
        <w:rPr>
          <w:rFonts w:eastAsiaTheme="minorEastAsia"/>
          <w:b/>
          <w:bCs/>
          <w:lang w:val="en-US"/>
        </w:rPr>
      </w:pPr>
      <w:r w:rsidRPr="00627E27">
        <w:rPr>
          <w:b/>
          <w:bCs/>
        </w:rPr>
        <w:t>The Department design a program-based audit process to assess the effectiveness of regularly applied conditions (such as offsets), in terms of adherence and achievement of positive environmental outcomes.</w:t>
      </w:r>
      <w:r w:rsidR="0021070F" w:rsidRPr="0021070F">
        <w:rPr>
          <w:rFonts w:eastAsiaTheme="minorEastAsia"/>
          <w:b/>
          <w:bCs/>
          <w:lang w:val="en-US"/>
        </w:rPr>
        <w:t xml:space="preserve"> </w:t>
      </w:r>
      <w:r w:rsidR="0021070F" w:rsidRPr="00281F42">
        <w:rPr>
          <w:rFonts w:eastAsiaTheme="minorEastAsia"/>
          <w:b/>
          <w:bCs/>
          <w:lang w:val="en-US"/>
        </w:rPr>
        <w:t>The Department establish a project to significantly strengthen ECB</w:t>
      </w:r>
      <w:r w:rsidR="00941B63">
        <w:rPr>
          <w:rFonts w:eastAsiaTheme="minorEastAsia"/>
          <w:b/>
          <w:bCs/>
          <w:lang w:val="en-US"/>
        </w:rPr>
        <w:t>’</w:t>
      </w:r>
      <w:r w:rsidR="0021070F" w:rsidRPr="00281F42">
        <w:rPr>
          <w:rFonts w:eastAsiaTheme="minorEastAsia"/>
          <w:b/>
          <w:bCs/>
          <w:lang w:val="en-US"/>
        </w:rPr>
        <w:t>s approach to monitoring approval conditions including:</w:t>
      </w:r>
    </w:p>
    <w:p w14:paraId="52A16A96" w14:textId="77777777" w:rsidR="0021070F" w:rsidRPr="00281F42" w:rsidRDefault="0021070F" w:rsidP="00866E73">
      <w:pPr>
        <w:pStyle w:val="ListParagraph"/>
        <w:numPr>
          <w:ilvl w:val="0"/>
          <w:numId w:val="17"/>
        </w:numPr>
        <w:rPr>
          <w:rFonts w:eastAsiaTheme="minorEastAsia"/>
          <w:b/>
          <w:bCs/>
          <w:lang w:val="en-US"/>
        </w:rPr>
      </w:pPr>
      <w:r w:rsidRPr="00281F42">
        <w:rPr>
          <w:rFonts w:eastAsiaTheme="minorEastAsia"/>
          <w:b/>
          <w:bCs/>
          <w:lang w:val="en-US"/>
        </w:rPr>
        <w:t xml:space="preserve">Grouping like conditions and reviewing these as programs of work to form a view on how these conditions are being met overall. </w:t>
      </w:r>
    </w:p>
    <w:p w14:paraId="1582CB78" w14:textId="77777777" w:rsidR="0021070F" w:rsidRDefault="0021070F" w:rsidP="00866E73">
      <w:pPr>
        <w:pStyle w:val="ListParagraph"/>
        <w:numPr>
          <w:ilvl w:val="0"/>
          <w:numId w:val="17"/>
        </w:numPr>
        <w:rPr>
          <w:rFonts w:eastAsiaTheme="minorEastAsia"/>
          <w:b/>
          <w:bCs/>
          <w:lang w:val="en-US"/>
        </w:rPr>
      </w:pPr>
      <w:r w:rsidRPr="00281F42">
        <w:rPr>
          <w:rFonts w:eastAsiaTheme="minorEastAsia"/>
          <w:b/>
          <w:bCs/>
          <w:lang w:val="en-US"/>
        </w:rPr>
        <w:lastRenderedPageBreak/>
        <w:t>Identifying the extent to which these kinds of conditions are or can be met.</w:t>
      </w:r>
    </w:p>
    <w:p w14:paraId="4CE3C334" w14:textId="10B2383F" w:rsidR="00502DCD" w:rsidRDefault="00502DCD" w:rsidP="009B73CB">
      <w:pPr>
        <w:pStyle w:val="Heading4"/>
      </w:pPr>
      <w:r>
        <w:t xml:space="preserve">Recommendation </w:t>
      </w:r>
      <w:r w:rsidR="005150B0">
        <w:t>1</w:t>
      </w:r>
      <w:r w:rsidR="00837C23">
        <w:t>3</w:t>
      </w:r>
    </w:p>
    <w:p w14:paraId="616D9A0A" w14:textId="350A72EB" w:rsidR="0021070F" w:rsidRPr="004D60E6" w:rsidRDefault="0021070F" w:rsidP="0021070F">
      <w:pPr>
        <w:spacing w:after="200" w:line="276" w:lineRule="auto"/>
        <w:rPr>
          <w:b/>
          <w:bCs/>
        </w:rPr>
      </w:pPr>
      <w:r w:rsidRPr="004D60E6">
        <w:rPr>
          <w:b/>
          <w:bCs/>
        </w:rPr>
        <w:t xml:space="preserve">The Department urgently finalise inspection and monitoring arrangements with states and territories for shipwrecks managed under the </w:t>
      </w:r>
      <w:r w:rsidRPr="004D60E6">
        <w:rPr>
          <w:b/>
          <w:bCs/>
          <w:i/>
          <w:iCs/>
        </w:rPr>
        <w:t>Underwater Cultural Heritage Act 2018</w:t>
      </w:r>
      <w:r w:rsidRPr="004D60E6">
        <w:rPr>
          <w:b/>
          <w:bCs/>
        </w:rPr>
        <w:t>, and clarify responsibilities for investigations to enable timely engagement of an investigator when necessary</w:t>
      </w:r>
      <w:r w:rsidR="001B1170">
        <w:rPr>
          <w:b/>
          <w:bCs/>
        </w:rPr>
        <w:t>.</w:t>
      </w:r>
    </w:p>
    <w:p w14:paraId="2BBED3E6" w14:textId="33FFFF3B" w:rsidR="005E55EA" w:rsidRDefault="005E55EA" w:rsidP="009B73CB">
      <w:pPr>
        <w:pStyle w:val="Heading4"/>
        <w:rPr>
          <w:lang w:val="en-US"/>
        </w:rPr>
      </w:pPr>
      <w:r>
        <w:rPr>
          <w:lang w:val="en-US"/>
        </w:rPr>
        <w:t>Recommendation 1</w:t>
      </w:r>
      <w:r w:rsidR="00837C23">
        <w:rPr>
          <w:lang w:val="en-US"/>
        </w:rPr>
        <w:t>4</w:t>
      </w:r>
    </w:p>
    <w:p w14:paraId="3A00F29A" w14:textId="15B9A957" w:rsidR="006D3DA4" w:rsidRPr="004D60E6" w:rsidRDefault="006D3DA4" w:rsidP="006D3DA4">
      <w:pPr>
        <w:spacing w:after="200" w:line="276" w:lineRule="auto"/>
        <w:rPr>
          <w:b/>
          <w:bCs/>
        </w:rPr>
      </w:pPr>
      <w:r w:rsidRPr="004D60E6">
        <w:rPr>
          <w:b/>
          <w:bCs/>
        </w:rPr>
        <w:t>The Department undertake a strategic intelligence review of the illegal export of hazardous waste, to identify the level of compliance resources needed to mitigate risk and to build stronger relationships with Australian Border Force to plan for ongoing monitoring and enforcement</w:t>
      </w:r>
      <w:r w:rsidR="00E22A56">
        <w:rPr>
          <w:b/>
          <w:bCs/>
        </w:rPr>
        <w:t xml:space="preserve"> </w:t>
      </w:r>
      <w:r w:rsidR="00D622C6">
        <w:rPr>
          <w:b/>
          <w:bCs/>
        </w:rPr>
        <w:t>on which</w:t>
      </w:r>
      <w:r w:rsidR="00A637E5">
        <w:rPr>
          <w:b/>
          <w:bCs/>
        </w:rPr>
        <w:t xml:space="preserve"> compliance arrangements </w:t>
      </w:r>
      <w:r w:rsidR="00D622C6">
        <w:rPr>
          <w:b/>
          <w:bCs/>
        </w:rPr>
        <w:t xml:space="preserve">rely </w:t>
      </w:r>
      <w:r w:rsidR="00A637E5">
        <w:rPr>
          <w:b/>
          <w:bCs/>
        </w:rPr>
        <w:t>to be fully effective.</w:t>
      </w:r>
    </w:p>
    <w:p w14:paraId="2458B54F" w14:textId="3F7DC7B9" w:rsidR="00EB2D41" w:rsidRDefault="00EB2D41" w:rsidP="009B73CB">
      <w:pPr>
        <w:pStyle w:val="Heading4"/>
        <w:rPr>
          <w:lang w:val="en-US"/>
        </w:rPr>
      </w:pPr>
      <w:r>
        <w:rPr>
          <w:lang w:val="en-US"/>
        </w:rPr>
        <w:t>Recommendation 1</w:t>
      </w:r>
      <w:r w:rsidR="00837C23">
        <w:rPr>
          <w:lang w:val="en-US"/>
        </w:rPr>
        <w:t>5</w:t>
      </w:r>
    </w:p>
    <w:p w14:paraId="7F3F485F" w14:textId="28A8A096" w:rsidR="00141325" w:rsidRPr="004D60E6" w:rsidRDefault="00141325" w:rsidP="00141325">
      <w:pPr>
        <w:spacing w:after="200" w:line="276" w:lineRule="auto"/>
        <w:rPr>
          <w:b/>
          <w:bCs/>
        </w:rPr>
      </w:pPr>
      <w:r w:rsidRPr="004D60E6">
        <w:rPr>
          <w:b/>
          <w:bCs/>
        </w:rPr>
        <w:t xml:space="preserve">Program-specific compliance plans that identify roles and responsibilities and prioritisation arrangements for the </w:t>
      </w:r>
      <w:r w:rsidRPr="004D60E6">
        <w:rPr>
          <w:b/>
          <w:bCs/>
          <w:i/>
          <w:iCs/>
        </w:rPr>
        <w:t>Ozone and Synthetic Greenhouse Gas Management Act 1989</w:t>
      </w:r>
      <w:r w:rsidRPr="004D60E6">
        <w:rPr>
          <w:b/>
          <w:bCs/>
        </w:rPr>
        <w:t xml:space="preserve">, the </w:t>
      </w:r>
      <w:r w:rsidRPr="004D60E6">
        <w:rPr>
          <w:b/>
          <w:bCs/>
          <w:i/>
          <w:iCs/>
        </w:rPr>
        <w:t>Product Emissions Standards Act 2017</w:t>
      </w:r>
      <w:r w:rsidRPr="004D60E6">
        <w:rPr>
          <w:b/>
          <w:bCs/>
        </w:rPr>
        <w:t xml:space="preserve"> and the </w:t>
      </w:r>
      <w:r w:rsidRPr="004D60E6">
        <w:rPr>
          <w:b/>
          <w:bCs/>
          <w:i/>
          <w:iCs/>
        </w:rPr>
        <w:t>Recycling and Waste Reduction Act 2020</w:t>
      </w:r>
      <w:r w:rsidRPr="004D60E6">
        <w:rPr>
          <w:b/>
          <w:bCs/>
        </w:rPr>
        <w:t xml:space="preserve"> be developed for endorsement by the Executive Committee identified in Recommendation </w:t>
      </w:r>
      <w:r w:rsidR="008A701D">
        <w:rPr>
          <w:b/>
          <w:bCs/>
        </w:rPr>
        <w:t>3</w:t>
      </w:r>
      <w:r w:rsidR="001B1170">
        <w:rPr>
          <w:b/>
          <w:bCs/>
        </w:rPr>
        <w:t>.</w:t>
      </w:r>
    </w:p>
    <w:p w14:paraId="29624CB0" w14:textId="2AA3E28E" w:rsidR="00AA2B06" w:rsidRDefault="00AA2B06" w:rsidP="009B73CB">
      <w:pPr>
        <w:pStyle w:val="Heading4"/>
      </w:pPr>
      <w:r>
        <w:t>Recommendation 1</w:t>
      </w:r>
      <w:r w:rsidR="00837C23">
        <w:t>6</w:t>
      </w:r>
    </w:p>
    <w:p w14:paraId="6E7EDED6" w14:textId="374B9B9B" w:rsidR="00E26709" w:rsidRDefault="00E26709" w:rsidP="00E26709">
      <w:pPr>
        <w:spacing w:after="200" w:line="276" w:lineRule="auto"/>
        <w:rPr>
          <w:b/>
          <w:bCs/>
        </w:rPr>
      </w:pPr>
      <w:r w:rsidRPr="001634C9">
        <w:rPr>
          <w:b/>
          <w:bCs/>
        </w:rPr>
        <w:t xml:space="preserve">The Department establish a short-term project to undertake a risk assessment of categories of permit holders under the </w:t>
      </w:r>
      <w:r w:rsidRPr="001634C9">
        <w:rPr>
          <w:b/>
          <w:bCs/>
          <w:i/>
          <w:iCs/>
        </w:rPr>
        <w:t>Environment Protection (Sea Dumping) Act 1981</w:t>
      </w:r>
      <w:r w:rsidRPr="001634C9">
        <w:rPr>
          <w:b/>
          <w:bCs/>
        </w:rPr>
        <w:t>, address recommendations from the recent internal audit</w:t>
      </w:r>
      <w:r w:rsidR="006949CE">
        <w:rPr>
          <w:b/>
          <w:bCs/>
        </w:rPr>
        <w:t xml:space="preserve"> and</w:t>
      </w:r>
      <w:r w:rsidRPr="001634C9">
        <w:rPr>
          <w:b/>
          <w:bCs/>
        </w:rPr>
        <w:t xml:space="preserve"> clearly establish compliance roles </w:t>
      </w:r>
      <w:r w:rsidR="006949CE">
        <w:rPr>
          <w:b/>
          <w:bCs/>
        </w:rPr>
        <w:t>and responsibilities</w:t>
      </w:r>
      <w:r w:rsidR="001B1170">
        <w:rPr>
          <w:b/>
          <w:bCs/>
        </w:rPr>
        <w:t>.</w:t>
      </w:r>
    </w:p>
    <w:p w14:paraId="4E937DAF" w14:textId="1A2401FC" w:rsidR="00FF7F10" w:rsidRDefault="00FF7F10" w:rsidP="009B73CB">
      <w:pPr>
        <w:pStyle w:val="Heading4"/>
      </w:pPr>
      <w:r>
        <w:t>Recommendation 1</w:t>
      </w:r>
      <w:r w:rsidR="00837C23">
        <w:t>7</w:t>
      </w:r>
    </w:p>
    <w:p w14:paraId="77CC19C8" w14:textId="16B94605" w:rsidR="006E753B" w:rsidRPr="000820F6" w:rsidRDefault="006E753B" w:rsidP="006E753B">
      <w:pPr>
        <w:spacing w:after="200" w:line="276" w:lineRule="auto"/>
        <w:rPr>
          <w:b/>
          <w:bCs/>
        </w:rPr>
      </w:pPr>
      <w:r w:rsidRPr="000820F6">
        <w:rPr>
          <w:b/>
          <w:bCs/>
        </w:rPr>
        <w:t xml:space="preserve">The Department establish a project with dedicated funding ($300,000 - $500,000) to </w:t>
      </w:r>
      <w:r w:rsidR="00C00D2D">
        <w:rPr>
          <w:b/>
          <w:bCs/>
        </w:rPr>
        <w:t>design and plan</w:t>
      </w:r>
      <w:r w:rsidRPr="000820F6">
        <w:rPr>
          <w:b/>
          <w:bCs/>
        </w:rPr>
        <w:t xml:space="preserve"> its intelligence capability at both the operational (supporting effective monitoring, enforcement, risk assessment and prioritisation) and strategic (identifying emerging domestic and international trends relevant to compliance and enforcement) levels</w:t>
      </w:r>
      <w:r w:rsidR="001B1170">
        <w:rPr>
          <w:b/>
          <w:bCs/>
        </w:rPr>
        <w:t>.</w:t>
      </w:r>
    </w:p>
    <w:p w14:paraId="742B43B2" w14:textId="55C3A831" w:rsidR="00964853" w:rsidRDefault="00964853" w:rsidP="009B73CB">
      <w:pPr>
        <w:pStyle w:val="Heading4"/>
      </w:pPr>
      <w:r>
        <w:t>Recommendation 1</w:t>
      </w:r>
      <w:r w:rsidR="00837C23">
        <w:t>8</w:t>
      </w:r>
    </w:p>
    <w:p w14:paraId="6937F4AF" w14:textId="333CC1AA" w:rsidR="006E753B" w:rsidRPr="000820F6" w:rsidRDefault="006E753B" w:rsidP="006E753B">
      <w:pPr>
        <w:spacing w:after="200" w:line="276" w:lineRule="auto"/>
        <w:rPr>
          <w:b/>
          <w:bCs/>
        </w:rPr>
      </w:pPr>
      <w:r w:rsidRPr="000820F6">
        <w:rPr>
          <w:b/>
          <w:bCs/>
        </w:rPr>
        <w:t>The Department establish a short-term dedicated project team of 2-3 staff to develop a prioritisation framework that can be used to establish priorities across all relevant environmental legislation to inform the development of the Annual Compliance Plan (</w:t>
      </w:r>
      <w:r w:rsidRPr="00F36538">
        <w:rPr>
          <w:b/>
          <w:bCs/>
        </w:rPr>
        <w:t xml:space="preserve">Recommendation </w:t>
      </w:r>
      <w:r w:rsidR="00F36538">
        <w:rPr>
          <w:b/>
          <w:bCs/>
        </w:rPr>
        <w:t>20</w:t>
      </w:r>
      <w:r w:rsidRPr="000820F6">
        <w:rPr>
          <w:b/>
          <w:bCs/>
        </w:rPr>
        <w:t>), which:</w:t>
      </w:r>
    </w:p>
    <w:p w14:paraId="22B2CB1F" w14:textId="77777777" w:rsidR="006E753B" w:rsidRPr="000820F6" w:rsidRDefault="006E753B" w:rsidP="00866E73">
      <w:pPr>
        <w:pStyle w:val="ListParagraph"/>
        <w:numPr>
          <w:ilvl w:val="0"/>
          <w:numId w:val="18"/>
        </w:numPr>
        <w:spacing w:after="200" w:line="276" w:lineRule="auto"/>
        <w:rPr>
          <w:b/>
          <w:bCs/>
        </w:rPr>
      </w:pPr>
      <w:r w:rsidRPr="000820F6">
        <w:rPr>
          <w:b/>
          <w:bCs/>
        </w:rPr>
        <w:t xml:space="preserve">Consults in detail with program areas to define sectors at a level of granularity (eg land clearing not just agriculture, quarries not just mining) to enable associated risks to be clearly identified and a program of compliance action to be identified </w:t>
      </w:r>
    </w:p>
    <w:p w14:paraId="40272D2B" w14:textId="77777777" w:rsidR="006E753B" w:rsidRPr="000820F6" w:rsidRDefault="006E753B" w:rsidP="00866E73">
      <w:pPr>
        <w:pStyle w:val="ListParagraph"/>
        <w:numPr>
          <w:ilvl w:val="0"/>
          <w:numId w:val="18"/>
        </w:numPr>
        <w:spacing w:after="200" w:line="276" w:lineRule="auto"/>
        <w:rPr>
          <w:b/>
          <w:bCs/>
        </w:rPr>
      </w:pPr>
      <w:r w:rsidRPr="000820F6">
        <w:rPr>
          <w:b/>
          <w:bCs/>
        </w:rPr>
        <w:lastRenderedPageBreak/>
        <w:t>Draws on aggregated program data such as the number of like conditions, numbers of management reports required relating to a certain topic, history of an entity, the level of geographic coverage, proximity to population or known threatened species</w:t>
      </w:r>
    </w:p>
    <w:p w14:paraId="39FC9A58" w14:textId="77777777" w:rsidR="006E753B" w:rsidRPr="000820F6" w:rsidRDefault="006E753B" w:rsidP="00866E73">
      <w:pPr>
        <w:pStyle w:val="ListParagraph"/>
        <w:numPr>
          <w:ilvl w:val="0"/>
          <w:numId w:val="18"/>
        </w:numPr>
        <w:spacing w:after="200" w:line="276" w:lineRule="auto"/>
        <w:rPr>
          <w:b/>
          <w:bCs/>
        </w:rPr>
      </w:pPr>
      <w:r w:rsidRPr="000820F6">
        <w:rPr>
          <w:b/>
          <w:bCs/>
        </w:rPr>
        <w:t>Develops a rating system that enables sectors to be scored so work can be prioritised and resources transparently allocated</w:t>
      </w:r>
    </w:p>
    <w:p w14:paraId="2ABA0600" w14:textId="4D30D61B" w:rsidR="006E753B" w:rsidRPr="000820F6" w:rsidRDefault="006E753B" w:rsidP="00866E73">
      <w:pPr>
        <w:pStyle w:val="ListParagraph"/>
        <w:numPr>
          <w:ilvl w:val="0"/>
          <w:numId w:val="18"/>
        </w:numPr>
        <w:spacing w:after="200" w:line="276" w:lineRule="auto"/>
        <w:rPr>
          <w:b/>
          <w:bCs/>
        </w:rPr>
      </w:pPr>
      <w:r w:rsidRPr="000820F6">
        <w:rPr>
          <w:b/>
          <w:bCs/>
        </w:rPr>
        <w:t>Identifies ongoing data and information requirements that can then be used as a basis for ongoing risk assessment and building the new compliance information systems shifting the initial qualitative approach to a more quantitative capability</w:t>
      </w:r>
      <w:r w:rsidR="00D65A77">
        <w:rPr>
          <w:b/>
          <w:bCs/>
        </w:rPr>
        <w:t>.</w:t>
      </w:r>
    </w:p>
    <w:p w14:paraId="3B33F212" w14:textId="77777777" w:rsidR="00172F4C" w:rsidRDefault="00172F4C" w:rsidP="00172F4C">
      <w:pPr>
        <w:pStyle w:val="Heading4"/>
      </w:pPr>
      <w:r>
        <w:t>Recommendation 19</w:t>
      </w:r>
    </w:p>
    <w:p w14:paraId="3D84F449" w14:textId="1DA4A245" w:rsidR="006E753B" w:rsidRPr="00930380" w:rsidRDefault="006E753B" w:rsidP="0071138D">
      <w:pPr>
        <w:spacing w:after="200" w:line="276" w:lineRule="auto"/>
        <w:rPr>
          <w:b/>
          <w:bCs/>
        </w:rPr>
      </w:pPr>
      <w:r w:rsidRPr="00930380">
        <w:rPr>
          <w:b/>
          <w:bCs/>
        </w:rPr>
        <w:t>The Department establish a dedicated project ($300,000) to engage contractors to clear the current backlog of monitoring and management reports for activities approved under the EPBC Act and establish a framework for more timely future review, follow up and action</w:t>
      </w:r>
      <w:r w:rsidR="00D65A77">
        <w:rPr>
          <w:b/>
          <w:bCs/>
        </w:rPr>
        <w:t>.</w:t>
      </w:r>
    </w:p>
    <w:p w14:paraId="1FC8504A" w14:textId="77591C08" w:rsidR="009450B7" w:rsidRDefault="009450B7" w:rsidP="009B73CB">
      <w:pPr>
        <w:pStyle w:val="Heading4"/>
      </w:pPr>
      <w:r>
        <w:t xml:space="preserve">Recommendation </w:t>
      </w:r>
      <w:r w:rsidR="00172F4C">
        <w:t>20</w:t>
      </w:r>
    </w:p>
    <w:p w14:paraId="3FAD45F9" w14:textId="13FE59D1" w:rsidR="001634C9" w:rsidRPr="001634C9" w:rsidRDefault="001634C9" w:rsidP="001634C9">
      <w:pPr>
        <w:spacing w:after="200" w:line="276" w:lineRule="auto"/>
        <w:rPr>
          <w:rFonts w:eastAsiaTheme="minorEastAsia"/>
          <w:b/>
          <w:bCs/>
        </w:rPr>
      </w:pPr>
      <w:r w:rsidRPr="001634C9">
        <w:rPr>
          <w:b/>
          <w:bCs/>
        </w:rPr>
        <w:t>The Department prepare an Annual Compliance Plan, ideally for each financial year, that sets out the major areas of focus for the year, how compliance will be undertaken for each of its regulatory regimes and how its dedicated compliance resources will be allocated</w:t>
      </w:r>
    </w:p>
    <w:p w14:paraId="756233CD" w14:textId="77777777" w:rsidR="001634C9" w:rsidRPr="001634C9" w:rsidRDefault="001634C9" w:rsidP="00866E73">
      <w:pPr>
        <w:pStyle w:val="ListParagraph"/>
        <w:numPr>
          <w:ilvl w:val="0"/>
          <w:numId w:val="20"/>
        </w:numPr>
        <w:spacing w:after="200" w:line="276" w:lineRule="auto"/>
        <w:rPr>
          <w:b/>
          <w:bCs/>
        </w:rPr>
      </w:pPr>
      <w:r w:rsidRPr="001634C9">
        <w:rPr>
          <w:b/>
          <w:bCs/>
        </w:rPr>
        <w:t xml:space="preserve">the Annual Compliance Plan be confirmed by the Department’s Executive Board, approved by the Department’s Secretary and reported to its Audit Committee </w:t>
      </w:r>
    </w:p>
    <w:p w14:paraId="536A3137" w14:textId="77777777" w:rsidR="001634C9" w:rsidRPr="001634C9" w:rsidRDefault="001634C9" w:rsidP="00866E73">
      <w:pPr>
        <w:pStyle w:val="ListParagraph"/>
        <w:numPr>
          <w:ilvl w:val="0"/>
          <w:numId w:val="20"/>
        </w:numPr>
        <w:spacing w:after="200" w:line="276" w:lineRule="auto"/>
        <w:rPr>
          <w:b/>
          <w:bCs/>
        </w:rPr>
      </w:pPr>
      <w:r w:rsidRPr="001634C9">
        <w:rPr>
          <w:b/>
          <w:bCs/>
        </w:rPr>
        <w:t xml:space="preserve">the Department’s Executive Board (or delegate) approve any request to deviate from the approved Annual Compliance Plan priorities </w:t>
      </w:r>
    </w:p>
    <w:p w14:paraId="2BEEDAA1" w14:textId="77777777" w:rsidR="001634C9" w:rsidRPr="001634C9" w:rsidRDefault="001634C9" w:rsidP="00866E73">
      <w:pPr>
        <w:pStyle w:val="ListParagraph"/>
        <w:numPr>
          <w:ilvl w:val="0"/>
          <w:numId w:val="20"/>
        </w:numPr>
        <w:spacing w:after="200" w:line="276" w:lineRule="auto"/>
        <w:rPr>
          <w:b/>
          <w:bCs/>
        </w:rPr>
      </w:pPr>
      <w:r w:rsidRPr="001634C9">
        <w:rPr>
          <w:b/>
          <w:bCs/>
        </w:rPr>
        <w:t>any deviation from the Annual Compliance Plan should include approval of reallocation of resources (i.e. either allocate additional resources for any new priority or specify areas that are no longer a funded priority)</w:t>
      </w:r>
    </w:p>
    <w:p w14:paraId="05462F8E" w14:textId="214F4F98" w:rsidR="001634C9" w:rsidRPr="001634C9" w:rsidRDefault="001634C9" w:rsidP="00866E73">
      <w:pPr>
        <w:pStyle w:val="ListParagraph"/>
        <w:numPr>
          <w:ilvl w:val="0"/>
          <w:numId w:val="20"/>
        </w:numPr>
        <w:spacing w:after="200" w:line="276" w:lineRule="auto"/>
        <w:rPr>
          <w:b/>
          <w:bCs/>
        </w:rPr>
      </w:pPr>
      <w:r w:rsidRPr="001634C9">
        <w:rPr>
          <w:b/>
          <w:bCs/>
        </w:rPr>
        <w:t>the Department annually publish a summary of activities undertaken against the plan for each of its environmental legislative regimes</w:t>
      </w:r>
      <w:r w:rsidR="00FE1509">
        <w:rPr>
          <w:b/>
          <w:bCs/>
        </w:rPr>
        <w:t>.</w:t>
      </w:r>
    </w:p>
    <w:p w14:paraId="29E5BBF8" w14:textId="605A2E09" w:rsidR="00E11D20" w:rsidRDefault="00E11D20" w:rsidP="006F56AD">
      <w:pPr>
        <w:pStyle w:val="Heading2"/>
        <w:rPr>
          <w:lang w:val="en-US"/>
        </w:rPr>
      </w:pPr>
      <w:bookmarkStart w:id="53" w:name="_Toc72504400"/>
      <w:r>
        <w:rPr>
          <w:lang w:val="en-US"/>
        </w:rPr>
        <w:t>Partnerships</w:t>
      </w:r>
      <w:r w:rsidR="002D67A8">
        <w:rPr>
          <w:lang w:val="en-US"/>
        </w:rPr>
        <w:t xml:space="preserve"> and engagement</w:t>
      </w:r>
      <w:bookmarkEnd w:id="53"/>
    </w:p>
    <w:p w14:paraId="1637AEBF" w14:textId="0D8CA015" w:rsidR="00964567" w:rsidRDefault="00C8152E" w:rsidP="00256240">
      <w:pPr>
        <w:rPr>
          <w:lang w:val="en-US"/>
        </w:rPr>
      </w:pPr>
      <w:r>
        <w:rPr>
          <w:lang w:val="en-US"/>
        </w:rPr>
        <w:t xml:space="preserve">The </w:t>
      </w:r>
      <w:r w:rsidR="00A8786F">
        <w:rPr>
          <w:lang w:val="en-US"/>
        </w:rPr>
        <w:t xml:space="preserve">Department’s </w:t>
      </w:r>
      <w:r>
        <w:rPr>
          <w:lang w:val="en-US"/>
        </w:rPr>
        <w:t>success</w:t>
      </w:r>
      <w:r w:rsidR="00A8786F">
        <w:rPr>
          <w:lang w:val="en-US"/>
        </w:rPr>
        <w:t xml:space="preserve"> in </w:t>
      </w:r>
      <w:r>
        <w:rPr>
          <w:lang w:val="en-US"/>
        </w:rPr>
        <w:t>achieving</w:t>
      </w:r>
      <w:r w:rsidR="00A8786F">
        <w:rPr>
          <w:lang w:val="en-US"/>
        </w:rPr>
        <w:t xml:space="preserve"> compliance relies on partnerships</w:t>
      </w:r>
      <w:r w:rsidR="002C7A77">
        <w:rPr>
          <w:lang w:val="en-US"/>
        </w:rPr>
        <w:t xml:space="preserve">. </w:t>
      </w:r>
      <w:r w:rsidR="0003475E">
        <w:rPr>
          <w:lang w:val="en-US"/>
        </w:rPr>
        <w:t>The experience of other regulators shows that i</w:t>
      </w:r>
      <w:r w:rsidR="00964567">
        <w:rPr>
          <w:lang w:val="en-US"/>
        </w:rPr>
        <w:t xml:space="preserve">mproved environmental outcomes result from more active engagement with regulated entities </w:t>
      </w:r>
      <w:r w:rsidR="000536DF">
        <w:rPr>
          <w:lang w:val="en-US"/>
        </w:rPr>
        <w:t>(</w:t>
      </w:r>
      <w:r w:rsidR="00964567">
        <w:rPr>
          <w:lang w:val="en-US"/>
        </w:rPr>
        <w:t>while avoiding regulatory capture</w:t>
      </w:r>
      <w:r w:rsidR="000536DF">
        <w:rPr>
          <w:lang w:val="en-US"/>
        </w:rPr>
        <w:t>)</w:t>
      </w:r>
      <w:r w:rsidR="00964567">
        <w:rPr>
          <w:lang w:val="en-US"/>
        </w:rPr>
        <w:t xml:space="preserve">, other state/territory, national and international regulators as well as industry and the community. </w:t>
      </w:r>
      <w:r w:rsidR="002C7A77">
        <w:rPr>
          <w:lang w:val="en-US"/>
        </w:rPr>
        <w:t xml:space="preserve">These partnerships </w:t>
      </w:r>
      <w:r w:rsidR="007722EA">
        <w:rPr>
          <w:lang w:val="en-US"/>
        </w:rPr>
        <w:t xml:space="preserve">provide </w:t>
      </w:r>
      <w:r w:rsidR="00B5334B">
        <w:rPr>
          <w:lang w:val="en-US"/>
        </w:rPr>
        <w:t xml:space="preserve">guidance, </w:t>
      </w:r>
      <w:r w:rsidR="007722EA">
        <w:rPr>
          <w:lang w:val="en-US"/>
        </w:rPr>
        <w:t>information and intelligence but they also assist the Department to</w:t>
      </w:r>
      <w:r w:rsidR="0085344B">
        <w:rPr>
          <w:lang w:val="en-US"/>
        </w:rPr>
        <w:t xml:space="preserve"> </w:t>
      </w:r>
      <w:r w:rsidR="007722EA">
        <w:rPr>
          <w:lang w:val="en-US"/>
        </w:rPr>
        <w:t xml:space="preserve">implement </w:t>
      </w:r>
      <w:r w:rsidR="009F2047">
        <w:rPr>
          <w:lang w:val="en-US"/>
        </w:rPr>
        <w:t>its compliance activit</w:t>
      </w:r>
      <w:r w:rsidR="00B5334B">
        <w:rPr>
          <w:lang w:val="en-US"/>
        </w:rPr>
        <w:t>ies</w:t>
      </w:r>
      <w:r w:rsidR="00E94D47">
        <w:rPr>
          <w:lang w:val="en-US"/>
        </w:rPr>
        <w:t xml:space="preserve">. </w:t>
      </w:r>
    </w:p>
    <w:p w14:paraId="60250CCE" w14:textId="728B20F1" w:rsidR="00B55029" w:rsidRDefault="00B55029" w:rsidP="00B55029">
      <w:pPr>
        <w:rPr>
          <w:lang w:val="en-US"/>
        </w:rPr>
      </w:pPr>
      <w:r w:rsidRPr="00BE06F6">
        <w:rPr>
          <w:lang w:val="en-US"/>
        </w:rPr>
        <w:t xml:space="preserve">Staff in the Environment Compliance Branch should proactively </w:t>
      </w:r>
      <w:r w:rsidR="00F96617">
        <w:rPr>
          <w:lang w:val="en-US"/>
        </w:rPr>
        <w:t>build</w:t>
      </w:r>
      <w:r w:rsidRPr="00BE06F6">
        <w:rPr>
          <w:lang w:val="en-US"/>
        </w:rPr>
        <w:t xml:space="preserve"> closer working relationships with officers in other areas of the Department administering environmental protection programs, including through regular meeting</w:t>
      </w:r>
      <w:r w:rsidR="00335152">
        <w:rPr>
          <w:lang w:val="en-US"/>
        </w:rPr>
        <w:t>s</w:t>
      </w:r>
      <w:r w:rsidRPr="00BE06F6">
        <w:rPr>
          <w:lang w:val="en-US"/>
        </w:rPr>
        <w:t xml:space="preserve"> to identify actions to improve processes and procedures relating to information</w:t>
      </w:r>
      <w:r w:rsidR="00335152">
        <w:rPr>
          <w:lang w:val="en-US"/>
        </w:rPr>
        <w:t>-</w:t>
      </w:r>
      <w:r w:rsidRPr="00BE06F6">
        <w:rPr>
          <w:lang w:val="en-US"/>
        </w:rPr>
        <w:t xml:space="preserve">sharing and joint ways of working. </w:t>
      </w:r>
      <w:r>
        <w:rPr>
          <w:lang w:val="en-US"/>
        </w:rPr>
        <w:lastRenderedPageBreak/>
        <w:t xml:space="preserve">Periodic meetings between </w:t>
      </w:r>
      <w:r w:rsidR="00335152">
        <w:rPr>
          <w:lang w:val="en-US"/>
        </w:rPr>
        <w:t>a</w:t>
      </w:r>
      <w:r>
        <w:rPr>
          <w:lang w:val="en-US"/>
        </w:rPr>
        <w:t xml:space="preserve">ssistant </w:t>
      </w:r>
      <w:r w:rsidR="00335152">
        <w:rPr>
          <w:lang w:val="en-US"/>
        </w:rPr>
        <w:t>s</w:t>
      </w:r>
      <w:r>
        <w:rPr>
          <w:lang w:val="en-US"/>
        </w:rPr>
        <w:t xml:space="preserve">ecretaries and directors </w:t>
      </w:r>
      <w:r w:rsidR="00335152">
        <w:rPr>
          <w:lang w:val="en-US"/>
        </w:rPr>
        <w:t xml:space="preserve">from program and compliance areas </w:t>
      </w:r>
      <w:r>
        <w:rPr>
          <w:lang w:val="en-US"/>
        </w:rPr>
        <w:t>would help to foster these relationships as well as provide a mechanism for information</w:t>
      </w:r>
      <w:r w:rsidR="006F6052">
        <w:rPr>
          <w:lang w:val="en-US"/>
        </w:rPr>
        <w:t>-</w:t>
      </w:r>
      <w:r>
        <w:rPr>
          <w:lang w:val="en-US"/>
        </w:rPr>
        <w:t xml:space="preserve">sharing </w:t>
      </w:r>
      <w:r w:rsidR="006F6052">
        <w:rPr>
          <w:lang w:val="en-US"/>
        </w:rPr>
        <w:t xml:space="preserve">and joint action </w:t>
      </w:r>
      <w:r>
        <w:rPr>
          <w:lang w:val="en-US"/>
        </w:rPr>
        <w:t xml:space="preserve">on </w:t>
      </w:r>
      <w:r w:rsidR="00845B78">
        <w:rPr>
          <w:lang w:val="en-US"/>
        </w:rPr>
        <w:t xml:space="preserve">emerging </w:t>
      </w:r>
      <w:r>
        <w:rPr>
          <w:lang w:val="en-US"/>
        </w:rPr>
        <w:t>issues, gaps and solutions.</w:t>
      </w:r>
    </w:p>
    <w:p w14:paraId="66B53093" w14:textId="38967941" w:rsidR="00E86195" w:rsidRDefault="00E86195" w:rsidP="00E86195">
      <w:pPr>
        <w:rPr>
          <w:lang w:val="en-US"/>
        </w:rPr>
      </w:pPr>
      <w:r w:rsidRPr="001E7339">
        <w:rPr>
          <w:lang w:val="en-US"/>
        </w:rPr>
        <w:t>The Review recommends that division heads and branch heads responsible for environmental policies and programs and environmental compliance meet regularly</w:t>
      </w:r>
      <w:r>
        <w:rPr>
          <w:lang w:val="en-US"/>
        </w:rPr>
        <w:t xml:space="preserve"> to promote information</w:t>
      </w:r>
      <w:r w:rsidR="00845B78">
        <w:rPr>
          <w:lang w:val="en-US"/>
        </w:rPr>
        <w:t>-</w:t>
      </w:r>
      <w:r>
        <w:rPr>
          <w:lang w:val="en-US"/>
        </w:rPr>
        <w:t>sharing, encourage a focus of joint responsibility and support the implementation of the range of joint activities outlined in this report</w:t>
      </w:r>
      <w:r w:rsidRPr="001E7339">
        <w:rPr>
          <w:lang w:val="en-US"/>
        </w:rPr>
        <w:t>. On a quarterly basis, these meetings should identify any current or emerging issues relating to the role of the compliance function in achieving policy objectives, and on an annual basis these meetings should sign off the compliance priorities being recommended to the Executive Board for approval by the Secretary together with a resource plan and a risk review. This would also allow more comprehensive advice to be provided to the Minister for the Environment regarding prioritisation and a more holistic approach to achieving environmental outcomes.</w:t>
      </w:r>
    </w:p>
    <w:p w14:paraId="26EF92FC" w14:textId="66575691" w:rsidR="004D56AB" w:rsidRDefault="004D56AB" w:rsidP="004D56AB">
      <w:pPr>
        <w:rPr>
          <w:lang w:val="en-US"/>
        </w:rPr>
      </w:pPr>
      <w:r w:rsidRPr="24E0C250">
        <w:rPr>
          <w:lang w:val="en-US"/>
        </w:rPr>
        <w:t xml:space="preserve">A number of important partnerships have been developed in recent years by </w:t>
      </w:r>
      <w:r>
        <w:rPr>
          <w:lang w:val="en-US"/>
        </w:rPr>
        <w:t>ECB</w:t>
      </w:r>
      <w:r w:rsidRPr="24E0C250">
        <w:rPr>
          <w:lang w:val="en-US"/>
        </w:rPr>
        <w:t xml:space="preserve"> with other law enforcement agencies such as the Department of Home Affairs</w:t>
      </w:r>
      <w:r w:rsidR="00604269">
        <w:rPr>
          <w:lang w:val="en-US"/>
        </w:rPr>
        <w:t xml:space="preserve"> and the Commonwealth Director of Public Prosecutions</w:t>
      </w:r>
      <w:r w:rsidRPr="24E0C250">
        <w:rPr>
          <w:lang w:val="en-US"/>
        </w:rPr>
        <w:t xml:space="preserve">. However, </w:t>
      </w:r>
      <w:r w:rsidR="0078216E">
        <w:rPr>
          <w:lang w:val="en-US"/>
        </w:rPr>
        <w:t xml:space="preserve">some of </w:t>
      </w:r>
      <w:r w:rsidRPr="24E0C250">
        <w:rPr>
          <w:lang w:val="en-US"/>
        </w:rPr>
        <w:t>these relationships have struggled in recent months as supporting agencies have become unclear about the relative priorities between biosecurity and environmental compliance. These partnerships are essential for intelligence and enforcement purposes, particularly when it comes to matters such as wildlife trade, illegal waste management and sea dumping</w:t>
      </w:r>
      <w:r>
        <w:rPr>
          <w:lang w:val="en-US"/>
        </w:rPr>
        <w:t>.</w:t>
      </w:r>
    </w:p>
    <w:p w14:paraId="223BE67F" w14:textId="0126BEF9" w:rsidR="00C8152E" w:rsidRDefault="00E07BE1" w:rsidP="00C8152E">
      <w:pPr>
        <w:rPr>
          <w:lang w:val="en-US"/>
        </w:rPr>
      </w:pPr>
      <w:r>
        <w:rPr>
          <w:lang w:val="en-US"/>
        </w:rPr>
        <w:t>ECB</w:t>
      </w:r>
      <w:r w:rsidRPr="00BE06F6">
        <w:rPr>
          <w:lang w:val="en-US"/>
        </w:rPr>
        <w:t xml:space="preserve"> staff should continue to foster good officer-level working relationships with staff in other Commonwealth agencies </w:t>
      </w:r>
      <w:r w:rsidR="00C8152E">
        <w:rPr>
          <w:lang w:val="en-US"/>
        </w:rPr>
        <w:t>such as Australian Border Force, Austrac, and the Commonwealth Director of Public Prosecutions to increase their understanding of issues relating to environmental crime.</w:t>
      </w:r>
      <w:r w:rsidR="00F96617">
        <w:rPr>
          <w:lang w:val="en-US"/>
        </w:rPr>
        <w:t xml:space="preserve"> This work should be actively supported by the Department’s executive</w:t>
      </w:r>
      <w:r w:rsidR="00340C34">
        <w:rPr>
          <w:lang w:val="en-US"/>
        </w:rPr>
        <w:t>, particularly when issues require escalation.</w:t>
      </w:r>
    </w:p>
    <w:p w14:paraId="57CC8B3E" w14:textId="639A19C1" w:rsidR="00E07BE1" w:rsidRDefault="00340C34" w:rsidP="00E07BE1">
      <w:pPr>
        <w:rPr>
          <w:lang w:val="en-US"/>
        </w:rPr>
      </w:pPr>
      <w:r>
        <w:rPr>
          <w:lang w:val="en-US"/>
        </w:rPr>
        <w:t>ECB</w:t>
      </w:r>
      <w:r w:rsidR="00E07BE1" w:rsidRPr="00BE06F6">
        <w:rPr>
          <w:lang w:val="en-US"/>
        </w:rPr>
        <w:t xml:space="preserve"> should also </w:t>
      </w:r>
      <w:r>
        <w:rPr>
          <w:lang w:val="en-US"/>
        </w:rPr>
        <w:t>consider</w:t>
      </w:r>
      <w:r w:rsidR="00E07BE1" w:rsidRPr="00BE06F6">
        <w:rPr>
          <w:lang w:val="en-US"/>
        </w:rPr>
        <w:t xml:space="preserve"> where </w:t>
      </w:r>
      <w:r w:rsidR="001B672E">
        <w:rPr>
          <w:lang w:val="en-US"/>
        </w:rPr>
        <w:t xml:space="preserve">the Department could be better </w:t>
      </w:r>
      <w:r w:rsidR="00E07BE1" w:rsidRPr="00BE06F6">
        <w:rPr>
          <w:lang w:val="en-US"/>
        </w:rPr>
        <w:t xml:space="preserve">engaged </w:t>
      </w:r>
      <w:r w:rsidR="00B50140" w:rsidRPr="00BE06F6">
        <w:rPr>
          <w:lang w:val="en-US"/>
        </w:rPr>
        <w:t xml:space="preserve">and provide advice and recommended actions to the Deputy Secretary </w:t>
      </w:r>
      <w:r w:rsidR="00E07BE1" w:rsidRPr="00BE06F6">
        <w:rPr>
          <w:lang w:val="en-US"/>
        </w:rPr>
        <w:t xml:space="preserve">such as </w:t>
      </w:r>
      <w:r w:rsidR="00B50140">
        <w:rPr>
          <w:lang w:val="en-US"/>
        </w:rPr>
        <w:t>for</w:t>
      </w:r>
      <w:r w:rsidR="00E07BE1" w:rsidRPr="00BE06F6">
        <w:rPr>
          <w:lang w:val="en-US"/>
        </w:rPr>
        <w:t xml:space="preserve"> higher-level strategic discussions </w:t>
      </w:r>
      <w:r w:rsidR="00DE4255">
        <w:rPr>
          <w:lang w:val="en-US"/>
        </w:rPr>
        <w:t xml:space="preserve">that can </w:t>
      </w:r>
      <w:r w:rsidR="00E07BE1" w:rsidRPr="00BE06F6">
        <w:rPr>
          <w:lang w:val="en-US"/>
        </w:rPr>
        <w:t>raise environmental crime as a priority with other law enforcement</w:t>
      </w:r>
      <w:r w:rsidR="00B50140">
        <w:rPr>
          <w:lang w:val="en-US"/>
        </w:rPr>
        <w:t>, national security</w:t>
      </w:r>
      <w:r w:rsidR="00E07BE1" w:rsidRPr="00BE06F6">
        <w:rPr>
          <w:lang w:val="en-US"/>
        </w:rPr>
        <w:t xml:space="preserve"> or intelligence agencies.</w:t>
      </w:r>
    </w:p>
    <w:p w14:paraId="03288F74" w14:textId="22A2FC28" w:rsidR="002725E0" w:rsidRDefault="002725E0" w:rsidP="002725E0">
      <w:pPr>
        <w:rPr>
          <w:lang w:val="en-US"/>
        </w:rPr>
      </w:pPr>
      <w:r w:rsidRPr="24E0C250">
        <w:rPr>
          <w:lang w:val="en-US"/>
        </w:rPr>
        <w:t xml:space="preserve">Departmental representation on high level security committees is </w:t>
      </w:r>
      <w:r w:rsidR="00DE4255">
        <w:rPr>
          <w:lang w:val="en-US"/>
        </w:rPr>
        <w:t>currently</w:t>
      </w:r>
      <w:r w:rsidRPr="24E0C250">
        <w:rPr>
          <w:lang w:val="en-US"/>
        </w:rPr>
        <w:t xml:space="preserve"> focused on biosecurity</w:t>
      </w:r>
      <w:r w:rsidR="00DE4255">
        <w:rPr>
          <w:lang w:val="en-US"/>
        </w:rPr>
        <w:t>, so</w:t>
      </w:r>
      <w:r w:rsidRPr="24E0C250">
        <w:rPr>
          <w:lang w:val="en-US"/>
        </w:rPr>
        <w:t xml:space="preserve"> environmental </w:t>
      </w:r>
      <w:r w:rsidR="00DE4255">
        <w:rPr>
          <w:lang w:val="en-US"/>
        </w:rPr>
        <w:t>considerations</w:t>
      </w:r>
      <w:r w:rsidRPr="24E0C250">
        <w:rPr>
          <w:lang w:val="en-US"/>
        </w:rPr>
        <w:t xml:space="preserve"> are usually not prominent at these forums. This contrasts with New Zealand, which has listed environment and climate change of one of 16 national security priority areas (with biosecurity also a priority).</w:t>
      </w:r>
    </w:p>
    <w:p w14:paraId="500B0968" w14:textId="419B9D8F" w:rsidR="00F47748" w:rsidRPr="00BE06F6" w:rsidRDefault="003B2DFE" w:rsidP="00F47748">
      <w:pPr>
        <w:rPr>
          <w:lang w:val="en-US"/>
        </w:rPr>
      </w:pPr>
      <w:r>
        <w:rPr>
          <w:lang w:val="en-US"/>
        </w:rPr>
        <w:t>B</w:t>
      </w:r>
      <w:r w:rsidR="00184BEE">
        <w:rPr>
          <w:lang w:val="en-US"/>
        </w:rPr>
        <w:t xml:space="preserve">oth industry and the community </w:t>
      </w:r>
      <w:r>
        <w:rPr>
          <w:lang w:val="en-US"/>
        </w:rPr>
        <w:t xml:space="preserve">sectors </w:t>
      </w:r>
      <w:r w:rsidR="005874FC">
        <w:rPr>
          <w:lang w:val="en-US"/>
        </w:rPr>
        <w:t>are keen</w:t>
      </w:r>
      <w:r w:rsidR="00317517">
        <w:rPr>
          <w:lang w:val="en-US"/>
        </w:rPr>
        <w:t xml:space="preserve"> </w:t>
      </w:r>
      <w:r w:rsidR="00312F0D">
        <w:rPr>
          <w:lang w:val="en-US"/>
        </w:rPr>
        <w:t xml:space="preserve">to </w:t>
      </w:r>
      <w:r w:rsidR="002F1FB7">
        <w:rPr>
          <w:lang w:val="en-US"/>
        </w:rPr>
        <w:t>strengthen</w:t>
      </w:r>
      <w:r w:rsidR="00312F0D">
        <w:rPr>
          <w:lang w:val="en-US"/>
        </w:rPr>
        <w:t xml:space="preserve"> </w:t>
      </w:r>
      <w:r w:rsidR="005874FC">
        <w:rPr>
          <w:lang w:val="en-US"/>
        </w:rPr>
        <w:t>their relationships with the Department on compliance issues</w:t>
      </w:r>
      <w:r w:rsidR="00312F0D">
        <w:rPr>
          <w:lang w:val="en-US"/>
        </w:rPr>
        <w:t>.</w:t>
      </w:r>
      <w:r w:rsidR="00740A0E">
        <w:rPr>
          <w:lang w:val="en-US"/>
        </w:rPr>
        <w:t xml:space="preserve"> </w:t>
      </w:r>
      <w:r w:rsidR="005B2F2C">
        <w:rPr>
          <w:lang w:val="en-US"/>
        </w:rPr>
        <w:t>A</w:t>
      </w:r>
      <w:r w:rsidR="00740A0E">
        <w:rPr>
          <w:lang w:val="en-US"/>
        </w:rPr>
        <w:t xml:space="preserve"> key message </w:t>
      </w:r>
      <w:r w:rsidR="005B2F2C">
        <w:rPr>
          <w:lang w:val="en-US"/>
        </w:rPr>
        <w:t>to the Review</w:t>
      </w:r>
      <w:r w:rsidR="00740A0E">
        <w:rPr>
          <w:lang w:val="en-US"/>
        </w:rPr>
        <w:t xml:space="preserve"> from both industry and the community was a willingness to </w:t>
      </w:r>
      <w:r w:rsidR="00EF1124">
        <w:rPr>
          <w:lang w:val="en-US"/>
        </w:rPr>
        <w:t>h</w:t>
      </w:r>
      <w:r w:rsidR="007F61F9">
        <w:rPr>
          <w:lang w:val="en-US"/>
        </w:rPr>
        <w:t xml:space="preserve">elp </w:t>
      </w:r>
      <w:r w:rsidR="001B7F9C">
        <w:rPr>
          <w:lang w:val="en-US"/>
        </w:rPr>
        <w:t>foster a culture of compliance</w:t>
      </w:r>
      <w:r w:rsidR="005B2F2C">
        <w:rPr>
          <w:lang w:val="en-US"/>
        </w:rPr>
        <w:t xml:space="preserve">. ECB could </w:t>
      </w:r>
      <w:r w:rsidR="00DD4A11">
        <w:rPr>
          <w:lang w:val="en-US"/>
        </w:rPr>
        <w:t xml:space="preserve">gain </w:t>
      </w:r>
      <w:r w:rsidR="005B2F2C">
        <w:rPr>
          <w:lang w:val="en-US"/>
        </w:rPr>
        <w:t xml:space="preserve">knowledge and intelligence </w:t>
      </w:r>
      <w:r w:rsidR="00DD4A11">
        <w:rPr>
          <w:lang w:val="en-US"/>
        </w:rPr>
        <w:t xml:space="preserve">from better relationships </w:t>
      </w:r>
      <w:r w:rsidR="00C47B4D">
        <w:rPr>
          <w:lang w:val="en-US"/>
        </w:rPr>
        <w:t xml:space="preserve">with the regulated community </w:t>
      </w:r>
      <w:r w:rsidR="00DD4A11">
        <w:rPr>
          <w:lang w:val="en-US"/>
        </w:rPr>
        <w:t xml:space="preserve">as well as </w:t>
      </w:r>
      <w:r w:rsidR="00006E02">
        <w:rPr>
          <w:lang w:val="en-US"/>
        </w:rPr>
        <w:t xml:space="preserve">ensuring that guidelines and communication material </w:t>
      </w:r>
      <w:r w:rsidR="00F155FC">
        <w:rPr>
          <w:lang w:val="en-US"/>
        </w:rPr>
        <w:t>resonate with</w:t>
      </w:r>
      <w:r w:rsidR="00006E02">
        <w:rPr>
          <w:lang w:val="en-US"/>
        </w:rPr>
        <w:t xml:space="preserve"> their intended audience. </w:t>
      </w:r>
      <w:r w:rsidR="00D41403">
        <w:rPr>
          <w:lang w:val="en-US"/>
        </w:rPr>
        <w:t>J</w:t>
      </w:r>
      <w:r w:rsidR="00D41403" w:rsidRPr="00BE06F6">
        <w:rPr>
          <w:lang w:val="en-US"/>
        </w:rPr>
        <w:t xml:space="preserve">ointly run workshops </w:t>
      </w:r>
      <w:r w:rsidR="00D41403">
        <w:rPr>
          <w:lang w:val="en-US"/>
        </w:rPr>
        <w:t>with local land councils or water catchment authorities</w:t>
      </w:r>
      <w:r w:rsidR="00D41403" w:rsidRPr="00D41403">
        <w:rPr>
          <w:lang w:val="en-US"/>
        </w:rPr>
        <w:t xml:space="preserve"> </w:t>
      </w:r>
      <w:r w:rsidR="002F1FB7">
        <w:rPr>
          <w:lang w:val="en-US"/>
        </w:rPr>
        <w:t>at the local level</w:t>
      </w:r>
      <w:r w:rsidR="00D41403">
        <w:rPr>
          <w:lang w:val="en-US"/>
        </w:rPr>
        <w:t xml:space="preserve"> could be effective at</w:t>
      </w:r>
      <w:r w:rsidR="00D41403" w:rsidRPr="00BE06F6">
        <w:rPr>
          <w:lang w:val="en-US"/>
        </w:rPr>
        <w:t xml:space="preserve"> increas</w:t>
      </w:r>
      <w:r w:rsidR="00D41403">
        <w:rPr>
          <w:lang w:val="en-US"/>
        </w:rPr>
        <w:t>ing</w:t>
      </w:r>
      <w:r w:rsidR="00D41403" w:rsidRPr="00BE06F6">
        <w:rPr>
          <w:lang w:val="en-US"/>
        </w:rPr>
        <w:t xml:space="preserve"> awareness of environmental protection </w:t>
      </w:r>
      <w:r w:rsidR="00D41403" w:rsidRPr="00BE06F6">
        <w:rPr>
          <w:lang w:val="en-US"/>
        </w:rPr>
        <w:lastRenderedPageBreak/>
        <w:t>obligations among different industry sectors (eg mining, agriculture, residential development)</w:t>
      </w:r>
      <w:r w:rsidR="00EF1124">
        <w:rPr>
          <w:lang w:val="en-US"/>
        </w:rPr>
        <w:t>.</w:t>
      </w:r>
    </w:p>
    <w:p w14:paraId="35496B56" w14:textId="73A8A5D6" w:rsidR="00F47748" w:rsidRPr="00BE06F6" w:rsidRDefault="00A62F2D" w:rsidP="00F47748">
      <w:pPr>
        <w:rPr>
          <w:lang w:val="en-US"/>
        </w:rPr>
      </w:pPr>
      <w:r>
        <w:rPr>
          <w:lang w:val="en-US"/>
        </w:rPr>
        <w:t xml:space="preserve">States and </w:t>
      </w:r>
      <w:r w:rsidR="00F35C4A">
        <w:rPr>
          <w:lang w:val="en-US"/>
        </w:rPr>
        <w:t>t</w:t>
      </w:r>
      <w:r>
        <w:rPr>
          <w:lang w:val="en-US"/>
        </w:rPr>
        <w:t xml:space="preserve">erritories are continually improving their </w:t>
      </w:r>
      <w:r w:rsidR="00FB538B">
        <w:rPr>
          <w:lang w:val="en-US"/>
        </w:rPr>
        <w:t xml:space="preserve">compliance </w:t>
      </w:r>
      <w:r>
        <w:rPr>
          <w:lang w:val="en-US"/>
        </w:rPr>
        <w:t xml:space="preserve">approaches </w:t>
      </w:r>
      <w:r w:rsidR="00F57810">
        <w:rPr>
          <w:lang w:val="en-US"/>
        </w:rPr>
        <w:t>and they indicated a willingness for ongoing dialogu</w:t>
      </w:r>
      <w:r w:rsidR="00A42A6D">
        <w:rPr>
          <w:lang w:val="en-US"/>
        </w:rPr>
        <w:t xml:space="preserve">e and </w:t>
      </w:r>
      <w:r w:rsidR="00B54F23">
        <w:rPr>
          <w:lang w:val="en-US"/>
        </w:rPr>
        <w:t>joint work.</w:t>
      </w:r>
      <w:r w:rsidR="00A42A6D">
        <w:rPr>
          <w:lang w:val="en-US"/>
        </w:rPr>
        <w:t xml:space="preserve"> To achieve this</w:t>
      </w:r>
      <w:r w:rsidR="00A31408">
        <w:rPr>
          <w:lang w:val="en-US"/>
        </w:rPr>
        <w:t>,</w:t>
      </w:r>
      <w:r w:rsidR="00A42A6D">
        <w:rPr>
          <w:lang w:val="en-US"/>
        </w:rPr>
        <w:t xml:space="preserve"> </w:t>
      </w:r>
      <w:r w:rsidR="00B7759B">
        <w:rPr>
          <w:lang w:val="en-US"/>
        </w:rPr>
        <w:t>ECB</w:t>
      </w:r>
      <w:r w:rsidR="00366EEA" w:rsidRPr="00BE06F6">
        <w:rPr>
          <w:lang w:val="en-US"/>
        </w:rPr>
        <w:t xml:space="preserve"> should identify key compliance contacts in </w:t>
      </w:r>
      <w:r w:rsidR="00A31408">
        <w:rPr>
          <w:lang w:val="en-US"/>
        </w:rPr>
        <w:t>other</w:t>
      </w:r>
      <w:r w:rsidR="00366EEA" w:rsidRPr="00BE06F6">
        <w:rPr>
          <w:lang w:val="en-US"/>
        </w:rPr>
        <w:t xml:space="preserve"> jurisdictions, through which to build better working relationships over the longer term, or escalate urgent matters in the shorter term.</w:t>
      </w:r>
      <w:r w:rsidR="00F47748" w:rsidRPr="00F47748">
        <w:rPr>
          <w:lang w:val="en-US"/>
        </w:rPr>
        <w:t xml:space="preserve"> </w:t>
      </w:r>
    </w:p>
    <w:p w14:paraId="105C621A" w14:textId="6E4E2549" w:rsidR="006F7295" w:rsidRDefault="006F7295" w:rsidP="006F7295">
      <w:pPr>
        <w:rPr>
          <w:lang w:val="en-US"/>
        </w:rPr>
      </w:pPr>
      <w:r w:rsidRPr="00C96567">
        <w:rPr>
          <w:lang w:val="en-US"/>
        </w:rPr>
        <w:t>Further to this</w:t>
      </w:r>
      <w:r w:rsidR="009B73CB" w:rsidRPr="00C96567">
        <w:rPr>
          <w:lang w:val="en-US"/>
        </w:rPr>
        <w:t>,</w:t>
      </w:r>
      <w:r w:rsidRPr="00C96567">
        <w:rPr>
          <w:lang w:val="en-US"/>
        </w:rPr>
        <w:t xml:space="preserve"> the Government has committed to implementing certain matters recommended in the recent review of the EPBC Act by Graeme Samuel, including rigorous assurance monitoring for bilateral agreements with states and territories. As these agreements are likely to have implications for environmental compliance monitoring and enforcement, involvement of senior executives from compliance </w:t>
      </w:r>
      <w:r w:rsidR="00C96567" w:rsidRPr="00C96567">
        <w:rPr>
          <w:lang w:val="en-US"/>
        </w:rPr>
        <w:t xml:space="preserve">in these discussions </w:t>
      </w:r>
      <w:r w:rsidRPr="00C96567">
        <w:rPr>
          <w:lang w:val="en-US"/>
        </w:rPr>
        <w:t>is essential.</w:t>
      </w:r>
    </w:p>
    <w:p w14:paraId="37071FDB" w14:textId="04ABD14C" w:rsidR="00BE06F6" w:rsidRPr="00BE06F6" w:rsidRDefault="00B55029" w:rsidP="00B36472">
      <w:pPr>
        <w:rPr>
          <w:lang w:val="en-US"/>
        </w:rPr>
      </w:pPr>
      <w:r>
        <w:rPr>
          <w:lang w:val="en-US"/>
        </w:rPr>
        <w:t xml:space="preserve">Discussions </w:t>
      </w:r>
      <w:r w:rsidR="007B18FE">
        <w:rPr>
          <w:lang w:val="en-US"/>
        </w:rPr>
        <w:t>with</w:t>
      </w:r>
      <w:r w:rsidR="00BE06F6" w:rsidRPr="00BE06F6">
        <w:rPr>
          <w:lang w:val="en-US"/>
        </w:rPr>
        <w:t xml:space="preserve"> international counterparts in Canada and New Zealand </w:t>
      </w:r>
      <w:r w:rsidR="007B18FE">
        <w:rPr>
          <w:lang w:val="en-US"/>
        </w:rPr>
        <w:t>revealed</w:t>
      </w:r>
      <w:r w:rsidR="00BE06F6" w:rsidRPr="00BE06F6">
        <w:rPr>
          <w:lang w:val="en-US"/>
        </w:rPr>
        <w:t xml:space="preserve"> a keen interest in developing meaningful dialogue with the Department on environmental compliance. </w:t>
      </w:r>
      <w:r w:rsidR="00197340">
        <w:rPr>
          <w:lang w:val="en-US"/>
        </w:rPr>
        <w:t>Further c</w:t>
      </w:r>
      <w:r w:rsidR="00BE06F6" w:rsidRPr="00BE06F6">
        <w:rPr>
          <w:lang w:val="en-US"/>
        </w:rPr>
        <w:t>onsider</w:t>
      </w:r>
      <w:r w:rsidR="00C758A2">
        <w:rPr>
          <w:lang w:val="en-US"/>
        </w:rPr>
        <w:t>ation</w:t>
      </w:r>
      <w:r w:rsidR="00197340">
        <w:rPr>
          <w:lang w:val="en-US"/>
        </w:rPr>
        <w:t xml:space="preserve"> of</w:t>
      </w:r>
      <w:r w:rsidR="00BE06F6" w:rsidRPr="00BE06F6">
        <w:rPr>
          <w:lang w:val="en-US"/>
        </w:rPr>
        <w:t xml:space="preserve"> how </w:t>
      </w:r>
      <w:r w:rsidR="00B7759B">
        <w:rPr>
          <w:lang w:val="en-US"/>
        </w:rPr>
        <w:t>ECB</w:t>
      </w:r>
      <w:r w:rsidR="00BE06F6" w:rsidRPr="00BE06F6">
        <w:rPr>
          <w:lang w:val="en-US"/>
        </w:rPr>
        <w:t xml:space="preserve"> would engage most constructively with these stakeholders</w:t>
      </w:r>
      <w:r w:rsidR="00197340">
        <w:rPr>
          <w:lang w:val="en-US"/>
        </w:rPr>
        <w:t xml:space="preserve"> is needed. An annual </w:t>
      </w:r>
      <w:r w:rsidR="00473073">
        <w:rPr>
          <w:lang w:val="en-US"/>
        </w:rPr>
        <w:t xml:space="preserve">high level </w:t>
      </w:r>
      <w:r w:rsidR="00197340">
        <w:rPr>
          <w:lang w:val="en-US"/>
        </w:rPr>
        <w:t>video</w:t>
      </w:r>
      <w:r w:rsidR="00473073">
        <w:rPr>
          <w:lang w:val="en-US"/>
        </w:rPr>
        <w:t>conference</w:t>
      </w:r>
      <w:r w:rsidR="00197340">
        <w:rPr>
          <w:lang w:val="en-US"/>
        </w:rPr>
        <w:t xml:space="preserve"> in the first instance would help ECB keep abreast of </w:t>
      </w:r>
      <w:r w:rsidR="00473073">
        <w:rPr>
          <w:lang w:val="en-US"/>
        </w:rPr>
        <w:t xml:space="preserve">international </w:t>
      </w:r>
      <w:r w:rsidR="00D10740">
        <w:rPr>
          <w:lang w:val="en-US"/>
        </w:rPr>
        <w:t>developments in environmental compliance and could lead to the development of work-sharing projects.</w:t>
      </w:r>
    </w:p>
    <w:p w14:paraId="623120AE" w14:textId="0A79603D" w:rsidR="00F316C0" w:rsidRPr="00BE06F6" w:rsidRDefault="002D1288" w:rsidP="00B36472">
      <w:pPr>
        <w:rPr>
          <w:lang w:val="en-US"/>
        </w:rPr>
      </w:pPr>
      <w:r w:rsidRPr="00BE06F6">
        <w:rPr>
          <w:lang w:val="en-US"/>
        </w:rPr>
        <w:t>Some moderate additional resources would increase the branch’s capacity to engage with key stakeholders</w:t>
      </w:r>
      <w:r>
        <w:rPr>
          <w:lang w:val="en-US"/>
        </w:rPr>
        <w:t>.</w:t>
      </w:r>
      <w:r w:rsidRPr="00BE06F6">
        <w:rPr>
          <w:lang w:val="en-US"/>
        </w:rPr>
        <w:t xml:space="preserve"> </w:t>
      </w:r>
      <w:r w:rsidR="00F316C0" w:rsidRPr="00BE06F6">
        <w:rPr>
          <w:lang w:val="en-US"/>
        </w:rPr>
        <w:t xml:space="preserve">To be an effective regulator (in accordance with the Department’s new Regulatory Practice Statement), </w:t>
      </w:r>
      <w:r w:rsidR="00B7759B">
        <w:rPr>
          <w:lang w:val="en-US"/>
        </w:rPr>
        <w:t>ECB</w:t>
      </w:r>
      <w:r w:rsidR="00F316C0" w:rsidRPr="00BE06F6">
        <w:rPr>
          <w:lang w:val="en-US"/>
        </w:rPr>
        <w:t xml:space="preserve"> needs to </w:t>
      </w:r>
      <w:r w:rsidR="00F316C0">
        <w:t>engage with stakeholders when identifying risks and setting requirements to ensure that achieving compliance is as efficient and practical as possible, and that the requirements manage the risks in building a shared understanding of regulatory objectives and expectations. Stakeholder engagement is a tool in achieving better compliance, not an end in itself, and therefore such relationships need to have clear strategic objectives and be based on mutual trust.</w:t>
      </w:r>
    </w:p>
    <w:p w14:paraId="440F1475" w14:textId="6DF2C0F8" w:rsidR="002D1288" w:rsidRDefault="00EA065D" w:rsidP="00140BDE">
      <w:pPr>
        <w:pStyle w:val="Heading4"/>
        <w:rPr>
          <w:lang w:val="en-US"/>
        </w:rPr>
      </w:pPr>
      <w:r>
        <w:rPr>
          <w:lang w:val="en-US"/>
        </w:rPr>
        <w:t>Recommendation</w:t>
      </w:r>
      <w:r w:rsidR="006868AE">
        <w:rPr>
          <w:lang w:val="en-US"/>
        </w:rPr>
        <w:t xml:space="preserve"> </w:t>
      </w:r>
      <w:r w:rsidR="00837C23">
        <w:rPr>
          <w:lang w:val="en-US"/>
        </w:rPr>
        <w:t>2</w:t>
      </w:r>
      <w:r w:rsidR="00172F4C">
        <w:rPr>
          <w:lang w:val="en-US"/>
        </w:rPr>
        <w:t>1</w:t>
      </w:r>
    </w:p>
    <w:p w14:paraId="069FF9B2" w14:textId="4FE6963A" w:rsidR="00EA065D" w:rsidRDefault="00EA065D" w:rsidP="00692633">
      <w:pPr>
        <w:spacing w:after="200" w:line="276" w:lineRule="auto"/>
        <w:rPr>
          <w:b/>
          <w:bCs/>
        </w:rPr>
      </w:pPr>
      <w:r w:rsidRPr="00692633">
        <w:rPr>
          <w:b/>
          <w:bCs/>
        </w:rPr>
        <w:t>Assistant Secretaries of environmental programs and compliance meet at least twice annually to examine priorities, emerging issues, resources and progress across the range of environmental legislation being administered by the Department</w:t>
      </w:r>
      <w:r w:rsidR="004D56AB">
        <w:rPr>
          <w:b/>
          <w:bCs/>
        </w:rPr>
        <w:t>.</w:t>
      </w:r>
    </w:p>
    <w:p w14:paraId="6598F750" w14:textId="3576CA5E" w:rsidR="006868AE" w:rsidRDefault="006868AE" w:rsidP="00140BDE">
      <w:pPr>
        <w:pStyle w:val="Heading4"/>
      </w:pPr>
      <w:r>
        <w:t xml:space="preserve">Recommendation </w:t>
      </w:r>
      <w:r w:rsidR="00837C23">
        <w:t>2</w:t>
      </w:r>
      <w:r w:rsidR="00172F4C">
        <w:t>2</w:t>
      </w:r>
    </w:p>
    <w:p w14:paraId="43DAB87A" w14:textId="1E7BF9CD" w:rsidR="00D00F45" w:rsidRPr="00B16FDC" w:rsidRDefault="00D00F45" w:rsidP="00D00F45">
      <w:pPr>
        <w:spacing w:after="200" w:line="276" w:lineRule="auto"/>
        <w:rPr>
          <w:b/>
          <w:bCs/>
        </w:rPr>
      </w:pPr>
      <w:r w:rsidRPr="00B16FDC">
        <w:rPr>
          <w:b/>
          <w:bCs/>
        </w:rPr>
        <w:t>The Environment Compliance Branch be actively included in the current process to develop model conditions for activities approved under the EPBC Act, to ensure that these conditions can be effectively monitored and enforced</w:t>
      </w:r>
      <w:r w:rsidR="004D56AB">
        <w:rPr>
          <w:b/>
          <w:bCs/>
        </w:rPr>
        <w:t>.</w:t>
      </w:r>
    </w:p>
    <w:p w14:paraId="64946B54" w14:textId="53866EFE" w:rsidR="00DF4998" w:rsidRPr="00692633" w:rsidRDefault="00DF4998" w:rsidP="00362A19">
      <w:pPr>
        <w:pStyle w:val="Heading4"/>
      </w:pPr>
      <w:r>
        <w:t>Recommendation 2</w:t>
      </w:r>
      <w:r w:rsidR="00172F4C">
        <w:t>3</w:t>
      </w:r>
    </w:p>
    <w:p w14:paraId="635DB6C9" w14:textId="77777777" w:rsidR="00EA065D" w:rsidRPr="00692633" w:rsidRDefault="00EA065D" w:rsidP="00692633">
      <w:pPr>
        <w:spacing w:after="200" w:line="276" w:lineRule="auto"/>
        <w:rPr>
          <w:b/>
          <w:bCs/>
        </w:rPr>
      </w:pPr>
      <w:r w:rsidRPr="00692633">
        <w:rPr>
          <w:b/>
          <w:bCs/>
        </w:rPr>
        <w:t>External partnerships be strengthened and maintained including with:</w:t>
      </w:r>
    </w:p>
    <w:p w14:paraId="1D3A3462" w14:textId="77777777" w:rsidR="00EA065D" w:rsidRPr="00692633" w:rsidRDefault="00EA065D" w:rsidP="00866E73">
      <w:pPr>
        <w:pStyle w:val="ListParagraph"/>
        <w:numPr>
          <w:ilvl w:val="0"/>
          <w:numId w:val="19"/>
        </w:numPr>
        <w:spacing w:after="200" w:line="276" w:lineRule="auto"/>
        <w:rPr>
          <w:b/>
          <w:bCs/>
        </w:rPr>
      </w:pPr>
      <w:r w:rsidRPr="00692633">
        <w:rPr>
          <w:b/>
          <w:bCs/>
        </w:rPr>
        <w:t xml:space="preserve">state, territory and international environmental regulators </w:t>
      </w:r>
    </w:p>
    <w:p w14:paraId="5CF854A3" w14:textId="086257A5" w:rsidR="00EA065D" w:rsidRPr="00692633" w:rsidRDefault="00EA065D" w:rsidP="00866E73">
      <w:pPr>
        <w:pStyle w:val="ListParagraph"/>
        <w:numPr>
          <w:ilvl w:val="0"/>
          <w:numId w:val="19"/>
        </w:numPr>
        <w:spacing w:after="200" w:line="276" w:lineRule="auto"/>
        <w:rPr>
          <w:b/>
          <w:bCs/>
        </w:rPr>
      </w:pPr>
      <w:r w:rsidRPr="00692633">
        <w:rPr>
          <w:b/>
          <w:bCs/>
        </w:rPr>
        <w:t>national intelligence agencies - to share intelligence, strengthen data exchange, expand horizon scanning and coordinate actions against sophisticated offenders</w:t>
      </w:r>
      <w:r w:rsidR="004D56AB">
        <w:rPr>
          <w:b/>
          <w:bCs/>
        </w:rPr>
        <w:t>.</w:t>
      </w:r>
    </w:p>
    <w:p w14:paraId="5E303824" w14:textId="70707151" w:rsidR="00DF4998" w:rsidRDefault="00DF4998" w:rsidP="00362A19">
      <w:pPr>
        <w:pStyle w:val="Heading4"/>
      </w:pPr>
      <w:r>
        <w:lastRenderedPageBreak/>
        <w:t>Recommendation 2</w:t>
      </w:r>
      <w:r w:rsidR="00172F4C">
        <w:t>4</w:t>
      </w:r>
    </w:p>
    <w:p w14:paraId="3DD3E488" w14:textId="653D151E" w:rsidR="00EA065D" w:rsidRPr="00E24AD4" w:rsidRDefault="00EA065D" w:rsidP="0071138D">
      <w:pPr>
        <w:spacing w:after="200" w:line="276" w:lineRule="auto"/>
        <w:rPr>
          <w:b/>
          <w:bCs/>
        </w:rPr>
      </w:pPr>
      <w:r w:rsidRPr="00E24AD4">
        <w:rPr>
          <w:b/>
          <w:bCs/>
        </w:rPr>
        <w:t xml:space="preserve">A specific area of the Department coordinate engagement in </w:t>
      </w:r>
      <w:r w:rsidR="00582246">
        <w:rPr>
          <w:b/>
          <w:bCs/>
        </w:rPr>
        <w:t>cross-portfolio</w:t>
      </w:r>
      <w:r w:rsidRPr="00E24AD4">
        <w:rPr>
          <w:b/>
          <w:bCs/>
        </w:rPr>
        <w:t xml:space="preserve"> forums relating to serious and organised crime and national security and intelligence, to ensure that environmental issues are considered as part of these discussions</w:t>
      </w:r>
      <w:r w:rsidR="004D56AB">
        <w:rPr>
          <w:b/>
          <w:bCs/>
        </w:rPr>
        <w:t>.</w:t>
      </w:r>
    </w:p>
    <w:p w14:paraId="0457DE8D" w14:textId="2B061E8A" w:rsidR="24B1F93F" w:rsidRDefault="009C6EF4" w:rsidP="006F56AD">
      <w:pPr>
        <w:pStyle w:val="Heading2"/>
        <w:rPr>
          <w:lang w:val="en-US"/>
        </w:rPr>
      </w:pPr>
      <w:bookmarkStart w:id="54" w:name="_Toc72504401"/>
      <w:r>
        <w:rPr>
          <w:lang w:val="en-US"/>
        </w:rPr>
        <w:t xml:space="preserve">Compliance </w:t>
      </w:r>
      <w:r w:rsidR="0076393C">
        <w:rPr>
          <w:lang w:val="en-US"/>
        </w:rPr>
        <w:t>p</w:t>
      </w:r>
      <w:r>
        <w:rPr>
          <w:lang w:val="en-US"/>
        </w:rPr>
        <w:t>olicy and</w:t>
      </w:r>
      <w:r w:rsidR="00481600">
        <w:rPr>
          <w:lang w:val="en-US"/>
        </w:rPr>
        <w:t xml:space="preserve"> </w:t>
      </w:r>
      <w:r w:rsidR="0076393C">
        <w:rPr>
          <w:lang w:val="en-US"/>
        </w:rPr>
        <w:t>r</w:t>
      </w:r>
      <w:r w:rsidR="24B1F93F" w:rsidRPr="50DF0DE9">
        <w:rPr>
          <w:lang w:val="en-US"/>
        </w:rPr>
        <w:t>egulatory tools</w:t>
      </w:r>
      <w:bookmarkEnd w:id="54"/>
    </w:p>
    <w:p w14:paraId="5BBB4F5F" w14:textId="523A79E6" w:rsidR="00E21222" w:rsidRPr="00E21222" w:rsidRDefault="008D4B32" w:rsidP="0052003D">
      <w:pPr>
        <w:rPr>
          <w:lang w:val="en-US"/>
        </w:rPr>
      </w:pPr>
      <w:r w:rsidRPr="00E21222">
        <w:rPr>
          <w:lang w:val="en-US"/>
        </w:rPr>
        <w:t>One of the challenges for the Department</w:t>
      </w:r>
      <w:r w:rsidR="00694452" w:rsidRPr="00E21222">
        <w:rPr>
          <w:lang w:val="en-US"/>
        </w:rPr>
        <w:t xml:space="preserve"> is how to most effectively apply the regulatory tools</w:t>
      </w:r>
      <w:r w:rsidR="00EA2CD8">
        <w:rPr>
          <w:lang w:val="en-US"/>
        </w:rPr>
        <w:t>et</w:t>
      </w:r>
      <w:r w:rsidR="00694452" w:rsidRPr="00E21222">
        <w:rPr>
          <w:lang w:val="en-US"/>
        </w:rPr>
        <w:t xml:space="preserve"> it has at its disposal. </w:t>
      </w:r>
      <w:r w:rsidR="003D7201" w:rsidRPr="00E21222">
        <w:rPr>
          <w:lang w:val="en-US"/>
        </w:rPr>
        <w:t>Traditional</w:t>
      </w:r>
      <w:r w:rsidR="0020682D">
        <w:rPr>
          <w:lang w:val="en-US"/>
        </w:rPr>
        <w:t>ly,</w:t>
      </w:r>
      <w:r w:rsidR="003D7201" w:rsidRPr="00E21222">
        <w:rPr>
          <w:lang w:val="en-US"/>
        </w:rPr>
        <w:t xml:space="preserve"> regulation relies on </w:t>
      </w:r>
      <w:r w:rsidR="002A1542" w:rsidRPr="00E21222">
        <w:rPr>
          <w:lang w:val="en-US"/>
        </w:rPr>
        <w:t xml:space="preserve">a series of enforcements that are clearly set out in each of the </w:t>
      </w:r>
      <w:r w:rsidR="0020682D" w:rsidRPr="00E21222">
        <w:rPr>
          <w:lang w:val="en-US"/>
        </w:rPr>
        <w:t>regulatory</w:t>
      </w:r>
      <w:r w:rsidR="002A1542" w:rsidRPr="00E21222">
        <w:rPr>
          <w:lang w:val="en-US"/>
        </w:rPr>
        <w:t xml:space="preserve"> regimes. </w:t>
      </w:r>
      <w:r w:rsidR="001A7D5C" w:rsidRPr="00E21222">
        <w:rPr>
          <w:lang w:val="en-US"/>
        </w:rPr>
        <w:t xml:space="preserve">One of the key aims of </w:t>
      </w:r>
      <w:r w:rsidR="0020682D">
        <w:rPr>
          <w:lang w:val="en-US"/>
        </w:rPr>
        <w:t>modern</w:t>
      </w:r>
      <w:r w:rsidR="001A7D5C" w:rsidRPr="00E21222">
        <w:rPr>
          <w:lang w:val="en-US"/>
        </w:rPr>
        <w:t xml:space="preserve"> </w:t>
      </w:r>
      <w:r w:rsidR="0020682D">
        <w:rPr>
          <w:lang w:val="en-US"/>
        </w:rPr>
        <w:t>legislation</w:t>
      </w:r>
      <w:r w:rsidR="001A7D5C" w:rsidRPr="00E21222">
        <w:rPr>
          <w:lang w:val="en-US"/>
        </w:rPr>
        <w:t xml:space="preserve"> is to include a range of </w:t>
      </w:r>
      <w:r w:rsidR="001A1028">
        <w:rPr>
          <w:lang w:val="en-US"/>
        </w:rPr>
        <w:t xml:space="preserve">enforcement </w:t>
      </w:r>
      <w:r w:rsidR="001A7D5C" w:rsidRPr="00E21222">
        <w:rPr>
          <w:lang w:val="en-US"/>
        </w:rPr>
        <w:t xml:space="preserve">measures so that </w:t>
      </w:r>
      <w:r w:rsidR="0020682D">
        <w:rPr>
          <w:lang w:val="en-US"/>
        </w:rPr>
        <w:t>actions to achieve</w:t>
      </w:r>
      <w:r w:rsidR="0020682D" w:rsidRPr="00E21222">
        <w:rPr>
          <w:lang w:val="en-US"/>
        </w:rPr>
        <w:t xml:space="preserve"> </w:t>
      </w:r>
      <w:r w:rsidR="0020682D">
        <w:rPr>
          <w:lang w:val="en-US"/>
        </w:rPr>
        <w:t xml:space="preserve">compliance </w:t>
      </w:r>
      <w:r w:rsidR="001A7D5C" w:rsidRPr="00E21222">
        <w:rPr>
          <w:lang w:val="en-US"/>
        </w:rPr>
        <w:t>can be proportionate to the issue being addressed.</w:t>
      </w:r>
      <w:r w:rsidR="00DB2F38">
        <w:rPr>
          <w:lang w:val="en-US"/>
        </w:rPr>
        <w:t xml:space="preserve"> </w:t>
      </w:r>
      <w:r w:rsidR="00997BB5">
        <w:rPr>
          <w:lang w:val="en-US"/>
        </w:rPr>
        <w:t xml:space="preserve">However, there is broad recognition </w:t>
      </w:r>
      <w:r w:rsidR="00107461">
        <w:rPr>
          <w:lang w:val="en-US"/>
        </w:rPr>
        <w:t xml:space="preserve">that educative approaches are very powerful in preventing non-compliance (rather than waiting to penalise </w:t>
      </w:r>
      <w:r w:rsidR="00330741">
        <w:rPr>
          <w:lang w:val="en-US"/>
        </w:rPr>
        <w:t>regulatory breaches</w:t>
      </w:r>
      <w:r w:rsidR="00107461">
        <w:rPr>
          <w:lang w:val="en-US"/>
        </w:rPr>
        <w:t>).</w:t>
      </w:r>
    </w:p>
    <w:p w14:paraId="242928DE" w14:textId="43D8C30F" w:rsidR="00E21222" w:rsidRPr="00E21222" w:rsidRDefault="00E21222" w:rsidP="0052003D">
      <w:pPr>
        <w:rPr>
          <w:lang w:val="en-US"/>
        </w:rPr>
      </w:pPr>
      <w:r w:rsidRPr="00E21222">
        <w:rPr>
          <w:lang w:val="en-US"/>
        </w:rPr>
        <w:t xml:space="preserve">New regulatory tools (including the more consistent use of powers available under the Regulatory Powers Act) and a more sophisticated approach to determining risk and allocating priorities are required if the Department is to effectively protect the Australian environment through </w:t>
      </w:r>
      <w:r w:rsidR="00C70F95">
        <w:rPr>
          <w:lang w:val="en-US"/>
        </w:rPr>
        <w:t>promoting</w:t>
      </w:r>
      <w:r w:rsidRPr="00E21222">
        <w:rPr>
          <w:lang w:val="en-US"/>
        </w:rPr>
        <w:t xml:space="preserve"> compliance with the full range of legislation enacted by the Parliament.</w:t>
      </w:r>
    </w:p>
    <w:p w14:paraId="5F527088" w14:textId="5F1211FF" w:rsidR="008C36D2" w:rsidRPr="005F5561" w:rsidRDefault="00C70F95" w:rsidP="0052003D">
      <w:pPr>
        <w:spacing w:after="200" w:line="276" w:lineRule="auto"/>
        <w:rPr>
          <w:lang w:val="en-US"/>
        </w:rPr>
      </w:pPr>
      <w:r>
        <w:rPr>
          <w:lang w:val="en-US"/>
        </w:rPr>
        <w:t>In addition</w:t>
      </w:r>
      <w:r w:rsidR="00DD22F8">
        <w:rPr>
          <w:lang w:val="en-US"/>
        </w:rPr>
        <w:t xml:space="preserve">, </w:t>
      </w:r>
      <w:r w:rsidR="0020682D" w:rsidRPr="005F5561">
        <w:rPr>
          <w:lang w:val="en-US"/>
        </w:rPr>
        <w:t xml:space="preserve">regulators </w:t>
      </w:r>
      <w:r w:rsidR="00CC610B" w:rsidRPr="005F5561">
        <w:rPr>
          <w:lang w:val="en-US"/>
        </w:rPr>
        <w:t xml:space="preserve">are </w:t>
      </w:r>
      <w:r w:rsidR="0020682D">
        <w:rPr>
          <w:lang w:val="en-US"/>
        </w:rPr>
        <w:t>i</w:t>
      </w:r>
      <w:r w:rsidR="0020682D" w:rsidRPr="005F5561">
        <w:rPr>
          <w:lang w:val="en-US"/>
        </w:rPr>
        <w:t xml:space="preserve">ncreasingly </w:t>
      </w:r>
      <w:r w:rsidR="00CC610B" w:rsidRPr="005F5561">
        <w:rPr>
          <w:lang w:val="en-US"/>
        </w:rPr>
        <w:t>including information</w:t>
      </w:r>
      <w:r w:rsidR="0020682D">
        <w:rPr>
          <w:lang w:val="en-US"/>
        </w:rPr>
        <w:t>-based</w:t>
      </w:r>
      <w:r w:rsidR="00CC610B" w:rsidRPr="005F5561">
        <w:rPr>
          <w:lang w:val="en-US"/>
        </w:rPr>
        <w:t xml:space="preserve"> approaches </w:t>
      </w:r>
      <w:r w:rsidR="00E21222" w:rsidRPr="005F5561">
        <w:rPr>
          <w:lang w:val="en-US"/>
        </w:rPr>
        <w:t>as a part of their regulatory toolbox</w:t>
      </w:r>
      <w:r w:rsidR="0015183C" w:rsidRPr="005F5561">
        <w:rPr>
          <w:lang w:val="en-US"/>
        </w:rPr>
        <w:t xml:space="preserve">. </w:t>
      </w:r>
      <w:r w:rsidR="00826F93">
        <w:rPr>
          <w:lang w:val="en-US"/>
        </w:rPr>
        <w:t>Whil</w:t>
      </w:r>
      <w:r w:rsidR="0020682D">
        <w:rPr>
          <w:lang w:val="en-US"/>
        </w:rPr>
        <w:t>e</w:t>
      </w:r>
      <w:r w:rsidR="00826F93">
        <w:rPr>
          <w:lang w:val="en-US"/>
        </w:rPr>
        <w:t xml:space="preserve"> some stakeholders consulted as part of the Review process felt that the best deterrence of non</w:t>
      </w:r>
      <w:r w:rsidR="0020682D">
        <w:rPr>
          <w:lang w:val="en-US"/>
        </w:rPr>
        <w:t>-c</w:t>
      </w:r>
      <w:r w:rsidR="00826F93">
        <w:rPr>
          <w:lang w:val="en-US"/>
        </w:rPr>
        <w:t xml:space="preserve">ompliance </w:t>
      </w:r>
      <w:r w:rsidR="00092477">
        <w:rPr>
          <w:lang w:val="en-US"/>
        </w:rPr>
        <w:t>was a stronger application of traditional enforcement</w:t>
      </w:r>
      <w:r w:rsidR="0020682D">
        <w:rPr>
          <w:lang w:val="en-US"/>
        </w:rPr>
        <w:t xml:space="preserve"> tool</w:t>
      </w:r>
      <w:r w:rsidR="00092477">
        <w:rPr>
          <w:lang w:val="en-US"/>
        </w:rPr>
        <w:t>s</w:t>
      </w:r>
      <w:r w:rsidR="00DD22F8">
        <w:rPr>
          <w:lang w:val="en-US"/>
        </w:rPr>
        <w:t>,</w:t>
      </w:r>
      <w:r w:rsidR="00092477">
        <w:rPr>
          <w:lang w:val="en-US"/>
        </w:rPr>
        <w:t xml:space="preserve"> others </w:t>
      </w:r>
      <w:r w:rsidR="00DD22F8">
        <w:rPr>
          <w:lang w:val="en-US"/>
        </w:rPr>
        <w:t xml:space="preserve">spoke about </w:t>
      </w:r>
      <w:r w:rsidR="00B543E9">
        <w:rPr>
          <w:lang w:val="en-US"/>
        </w:rPr>
        <w:t xml:space="preserve">the range of benefits being achieved through more proactive use of information as a mechanism for </w:t>
      </w:r>
      <w:r w:rsidR="0020682D" w:rsidRPr="005F5561">
        <w:rPr>
          <w:lang w:val="en-US"/>
        </w:rPr>
        <w:t xml:space="preserve">increasing awareness and </w:t>
      </w:r>
      <w:r w:rsidR="00F612DD" w:rsidRPr="005F5561">
        <w:rPr>
          <w:lang w:val="en-US"/>
        </w:rPr>
        <w:t>changing behaviour</w:t>
      </w:r>
      <w:r w:rsidR="00342540" w:rsidRPr="005F5561">
        <w:rPr>
          <w:lang w:val="en-US"/>
        </w:rPr>
        <w:t xml:space="preserve">. </w:t>
      </w:r>
      <w:r w:rsidR="00C31A56">
        <w:rPr>
          <w:lang w:val="en-US"/>
        </w:rPr>
        <w:t>Publishing a detailed</w:t>
      </w:r>
      <w:r w:rsidR="00FF4064">
        <w:rPr>
          <w:lang w:val="en-US"/>
        </w:rPr>
        <w:t xml:space="preserve"> c</w:t>
      </w:r>
      <w:r w:rsidR="009A43AC">
        <w:rPr>
          <w:lang w:val="en-US"/>
        </w:rPr>
        <w:t>ompliance policy and publishing data on enforcements</w:t>
      </w:r>
      <w:r w:rsidR="00FF4064">
        <w:rPr>
          <w:lang w:val="en-US"/>
        </w:rPr>
        <w:t xml:space="preserve"> being </w:t>
      </w:r>
      <w:r w:rsidR="0020682D">
        <w:rPr>
          <w:lang w:val="en-US"/>
        </w:rPr>
        <w:t>applied,</w:t>
      </w:r>
      <w:r w:rsidR="00FF4064">
        <w:rPr>
          <w:lang w:val="en-US"/>
        </w:rPr>
        <w:t xml:space="preserve"> together with positive stories about how entities were a</w:t>
      </w:r>
      <w:r w:rsidR="0020682D">
        <w:rPr>
          <w:lang w:val="en-US"/>
        </w:rPr>
        <w:t>chieving compliance,</w:t>
      </w:r>
      <w:r w:rsidR="00FF4064">
        <w:rPr>
          <w:lang w:val="en-US"/>
        </w:rPr>
        <w:t xml:space="preserve"> </w:t>
      </w:r>
      <w:r w:rsidR="0020682D">
        <w:rPr>
          <w:lang w:val="en-US"/>
        </w:rPr>
        <w:t>have been</w:t>
      </w:r>
      <w:r w:rsidR="00FF4064">
        <w:rPr>
          <w:lang w:val="en-US"/>
        </w:rPr>
        <w:t xml:space="preserve"> paying dividends </w:t>
      </w:r>
      <w:r w:rsidR="0020682D">
        <w:rPr>
          <w:lang w:val="en-US"/>
        </w:rPr>
        <w:t xml:space="preserve">for other regulators </w:t>
      </w:r>
      <w:r w:rsidR="00FF4064">
        <w:rPr>
          <w:lang w:val="en-US"/>
        </w:rPr>
        <w:t xml:space="preserve">as they were </w:t>
      </w:r>
      <w:r w:rsidR="0020682D">
        <w:rPr>
          <w:lang w:val="en-US"/>
        </w:rPr>
        <w:t>focusing</w:t>
      </w:r>
      <w:r w:rsidR="00FF4064">
        <w:rPr>
          <w:lang w:val="en-US"/>
        </w:rPr>
        <w:t xml:space="preserve"> on </w:t>
      </w:r>
      <w:r w:rsidR="0020682D">
        <w:rPr>
          <w:lang w:val="en-US"/>
        </w:rPr>
        <w:t xml:space="preserve">the reputation and ‘social licence’ of </w:t>
      </w:r>
      <w:r w:rsidR="00FF4064">
        <w:rPr>
          <w:lang w:val="en-US"/>
        </w:rPr>
        <w:t>companies and individuals.</w:t>
      </w:r>
    </w:p>
    <w:p w14:paraId="045DDE89" w14:textId="38A6516D" w:rsidR="00D91084" w:rsidRPr="0052003D" w:rsidRDefault="008C36D2" w:rsidP="0052003D">
      <w:pPr>
        <w:spacing w:after="200" w:line="276" w:lineRule="auto"/>
        <w:rPr>
          <w:lang w:val="en-US"/>
        </w:rPr>
      </w:pPr>
      <w:r w:rsidRPr="0052003D">
        <w:rPr>
          <w:lang w:val="en-US"/>
        </w:rPr>
        <w:t>In this regard</w:t>
      </w:r>
      <w:r w:rsidR="0020682D" w:rsidRPr="0052003D">
        <w:rPr>
          <w:lang w:val="en-US"/>
        </w:rPr>
        <w:t>, although</w:t>
      </w:r>
      <w:r w:rsidRPr="0052003D">
        <w:rPr>
          <w:lang w:val="en-US"/>
        </w:rPr>
        <w:t xml:space="preserve"> t</w:t>
      </w:r>
      <w:r w:rsidR="00D91084" w:rsidRPr="0052003D">
        <w:rPr>
          <w:lang w:val="en-US"/>
        </w:rPr>
        <w:t>he Department’s environment compliance policy is published on its website, it is very broad and needs</w:t>
      </w:r>
      <w:r w:rsidR="0020682D" w:rsidRPr="0052003D">
        <w:rPr>
          <w:lang w:val="en-US"/>
        </w:rPr>
        <w:t xml:space="preserve"> revision</w:t>
      </w:r>
      <w:r w:rsidR="00D91084" w:rsidRPr="0052003D">
        <w:rPr>
          <w:lang w:val="en-US"/>
        </w:rPr>
        <w:t xml:space="preserve"> to more clearly set out its approach and the range of </w:t>
      </w:r>
      <w:r w:rsidR="0020682D" w:rsidRPr="0052003D">
        <w:rPr>
          <w:lang w:val="en-US"/>
        </w:rPr>
        <w:t>tools that are available</w:t>
      </w:r>
      <w:r w:rsidR="00D91084" w:rsidRPr="0052003D">
        <w:rPr>
          <w:lang w:val="en-US"/>
        </w:rPr>
        <w:t xml:space="preserve"> when non</w:t>
      </w:r>
      <w:r w:rsidR="0020682D" w:rsidRPr="0052003D">
        <w:rPr>
          <w:lang w:val="en-US"/>
        </w:rPr>
        <w:t>-</w:t>
      </w:r>
      <w:r w:rsidR="00D91084" w:rsidRPr="0052003D">
        <w:rPr>
          <w:lang w:val="en-US"/>
        </w:rPr>
        <w:t>compliance occurs. The NSW Department of Planning</w:t>
      </w:r>
      <w:r w:rsidR="0020682D" w:rsidRPr="0052003D">
        <w:rPr>
          <w:lang w:val="en-US"/>
        </w:rPr>
        <w:t>,</w:t>
      </w:r>
      <w:r w:rsidR="00D91084" w:rsidRPr="0052003D">
        <w:rPr>
          <w:lang w:val="en-US"/>
        </w:rPr>
        <w:t xml:space="preserve"> </w:t>
      </w:r>
      <w:r w:rsidR="0020682D" w:rsidRPr="0052003D">
        <w:rPr>
          <w:lang w:val="en-US"/>
        </w:rPr>
        <w:t xml:space="preserve">Industry </w:t>
      </w:r>
      <w:r w:rsidR="00D91084" w:rsidRPr="0052003D">
        <w:rPr>
          <w:lang w:val="en-US"/>
        </w:rPr>
        <w:t>and Environment has a public</w:t>
      </w:r>
      <w:r w:rsidR="0020682D" w:rsidRPr="0052003D">
        <w:rPr>
          <w:lang w:val="en-US"/>
        </w:rPr>
        <w:t xml:space="preserve">-facing </w:t>
      </w:r>
      <w:r w:rsidR="00D91084" w:rsidRPr="0052003D">
        <w:rPr>
          <w:lang w:val="en-US"/>
        </w:rPr>
        <w:t xml:space="preserve">policy that sets out in quite some detail how the Department </w:t>
      </w:r>
      <w:r w:rsidR="0020682D" w:rsidRPr="0052003D">
        <w:rPr>
          <w:lang w:val="en-US"/>
        </w:rPr>
        <w:t>manages</w:t>
      </w:r>
      <w:r w:rsidR="00D91084" w:rsidRPr="0052003D">
        <w:rPr>
          <w:lang w:val="en-US"/>
        </w:rPr>
        <w:t xml:space="preserve"> compliance</w:t>
      </w:r>
      <w:r w:rsidR="00A85FBE">
        <w:rPr>
          <w:rStyle w:val="FootnoteReference"/>
          <w:lang w:val="en-US"/>
        </w:rPr>
        <w:footnoteReference w:id="10"/>
      </w:r>
      <w:r w:rsidR="0020682D" w:rsidRPr="0052003D">
        <w:rPr>
          <w:lang w:val="en-US"/>
        </w:rPr>
        <w:t xml:space="preserve">. This policy is a </w:t>
      </w:r>
      <w:r w:rsidR="00D91084" w:rsidRPr="0052003D">
        <w:rPr>
          <w:lang w:val="en-US"/>
        </w:rPr>
        <w:t xml:space="preserve">tool to assist the </w:t>
      </w:r>
      <w:r w:rsidR="0020682D" w:rsidRPr="0052003D">
        <w:rPr>
          <w:lang w:val="en-US"/>
        </w:rPr>
        <w:t>regulated community and inform the general community</w:t>
      </w:r>
      <w:r w:rsidR="00D91084" w:rsidRPr="0052003D">
        <w:rPr>
          <w:lang w:val="en-US"/>
        </w:rPr>
        <w:t xml:space="preserve"> </w:t>
      </w:r>
      <w:r w:rsidR="0020682D" w:rsidRPr="0052003D">
        <w:rPr>
          <w:lang w:val="en-US"/>
        </w:rPr>
        <w:t>about how compliance is facilitated and non-compliance is addressed</w:t>
      </w:r>
      <w:r w:rsidR="00D91084" w:rsidRPr="0052003D">
        <w:rPr>
          <w:lang w:val="en-US"/>
        </w:rPr>
        <w:t>.</w:t>
      </w:r>
    </w:p>
    <w:p w14:paraId="202EDEC6" w14:textId="319A53B5" w:rsidR="00D91084" w:rsidRDefault="00D91084" w:rsidP="0052003D">
      <w:pPr>
        <w:spacing w:after="200" w:line="276" w:lineRule="auto"/>
      </w:pPr>
      <w:r w:rsidRPr="0052003D">
        <w:rPr>
          <w:lang w:val="en-US"/>
        </w:rPr>
        <w:t>The Department’s</w:t>
      </w:r>
      <w:r w:rsidR="0020682D" w:rsidRPr="0052003D">
        <w:rPr>
          <w:lang w:val="en-US"/>
        </w:rPr>
        <w:t xml:space="preserve"> published </w:t>
      </w:r>
      <w:r w:rsidRPr="0052003D">
        <w:rPr>
          <w:lang w:val="en-US"/>
        </w:rPr>
        <w:t xml:space="preserve">environmental compliance policy should </w:t>
      </w:r>
      <w:r w:rsidR="002B2400">
        <w:rPr>
          <w:lang w:val="en-US"/>
        </w:rPr>
        <w:t xml:space="preserve">be updated to </w:t>
      </w:r>
      <w:r>
        <w:t>clearly set out:</w:t>
      </w:r>
    </w:p>
    <w:p w14:paraId="412523D4" w14:textId="77777777" w:rsidR="00D91084" w:rsidRDefault="00D91084" w:rsidP="00866E73">
      <w:pPr>
        <w:pStyle w:val="ListParagraph"/>
        <w:numPr>
          <w:ilvl w:val="0"/>
          <w:numId w:val="27"/>
        </w:numPr>
        <w:spacing w:after="200" w:line="276" w:lineRule="auto"/>
        <w:contextualSpacing w:val="0"/>
      </w:pPr>
      <w:r>
        <w:t xml:space="preserve"> its role in administering environmental legislation</w:t>
      </w:r>
    </w:p>
    <w:p w14:paraId="48DC43F2" w14:textId="77777777" w:rsidR="00D91084" w:rsidRDefault="00D91084" w:rsidP="00866E73">
      <w:pPr>
        <w:pStyle w:val="ListParagraph"/>
        <w:numPr>
          <w:ilvl w:val="0"/>
          <w:numId w:val="27"/>
        </w:numPr>
        <w:spacing w:after="200" w:line="276" w:lineRule="auto"/>
        <w:contextualSpacing w:val="0"/>
      </w:pPr>
      <w:r>
        <w:lastRenderedPageBreak/>
        <w:t>the purpose of achieving compliance with relevant legislation</w:t>
      </w:r>
    </w:p>
    <w:p w14:paraId="45278324" w14:textId="75D012F3" w:rsidR="00D91084" w:rsidRDefault="00D91084" w:rsidP="00866E73">
      <w:pPr>
        <w:pStyle w:val="ListParagraph"/>
        <w:numPr>
          <w:ilvl w:val="0"/>
          <w:numId w:val="27"/>
        </w:numPr>
        <w:spacing w:after="200" w:line="276" w:lineRule="auto"/>
        <w:contextualSpacing w:val="0"/>
      </w:pPr>
      <w:r>
        <w:t>the Department’s framework and principles for managing compliance, including key relationships</w:t>
      </w:r>
    </w:p>
    <w:p w14:paraId="17DEC8F5" w14:textId="77777777" w:rsidR="00D91084" w:rsidRDefault="00D91084" w:rsidP="00866E73">
      <w:pPr>
        <w:pStyle w:val="ListParagraph"/>
        <w:numPr>
          <w:ilvl w:val="0"/>
          <w:numId w:val="27"/>
        </w:numPr>
        <w:spacing w:after="200" w:line="276" w:lineRule="auto"/>
        <w:contextualSpacing w:val="0"/>
      </w:pPr>
      <w:r>
        <w:t>its approach to achieving compliance including</w:t>
      </w:r>
    </w:p>
    <w:p w14:paraId="58D0206A" w14:textId="77777777" w:rsidR="00D91084" w:rsidRDefault="00D91084" w:rsidP="00866E73">
      <w:pPr>
        <w:pStyle w:val="ListParagraph"/>
        <w:numPr>
          <w:ilvl w:val="2"/>
          <w:numId w:val="28"/>
        </w:numPr>
        <w:spacing w:after="200" w:line="276" w:lineRule="auto"/>
        <w:contextualSpacing w:val="0"/>
      </w:pPr>
      <w:r>
        <w:t>the monitoring and investigative powers and tools in place</w:t>
      </w:r>
    </w:p>
    <w:p w14:paraId="4378724D" w14:textId="77777777" w:rsidR="00D91084" w:rsidRDefault="00D91084" w:rsidP="00866E73">
      <w:pPr>
        <w:pStyle w:val="ListParagraph"/>
        <w:numPr>
          <w:ilvl w:val="2"/>
          <w:numId w:val="28"/>
        </w:numPr>
        <w:spacing w:after="200" w:line="276" w:lineRule="auto"/>
        <w:contextualSpacing w:val="0"/>
      </w:pPr>
      <w:r>
        <w:t>its approach to assessing breaches</w:t>
      </w:r>
    </w:p>
    <w:p w14:paraId="7EC5CE1C" w14:textId="77777777" w:rsidR="00D91084" w:rsidRDefault="00D91084" w:rsidP="00866E73">
      <w:pPr>
        <w:pStyle w:val="ListParagraph"/>
        <w:numPr>
          <w:ilvl w:val="2"/>
          <w:numId w:val="28"/>
        </w:numPr>
        <w:spacing w:after="200" w:line="276" w:lineRule="auto"/>
        <w:contextualSpacing w:val="0"/>
      </w:pPr>
      <w:r>
        <w:t>how it determines the significance of a breach and the risk-proportionate regulatory responses it uses</w:t>
      </w:r>
    </w:p>
    <w:p w14:paraId="7C731304" w14:textId="088A0AA5" w:rsidR="00FF4064" w:rsidRPr="00FF4064" w:rsidRDefault="00D91084" w:rsidP="00866E73">
      <w:pPr>
        <w:pStyle w:val="ListParagraph"/>
        <w:numPr>
          <w:ilvl w:val="2"/>
          <w:numId w:val="28"/>
        </w:numPr>
        <w:spacing w:after="200" w:line="276" w:lineRule="auto"/>
        <w:rPr>
          <w:lang w:val="en-US"/>
        </w:rPr>
      </w:pPr>
      <w:r>
        <w:t>the enforcement options that may be applied depending upon the nature and seriousness of non-compliance</w:t>
      </w:r>
      <w:r w:rsidR="002B2400">
        <w:t>.</w:t>
      </w:r>
    </w:p>
    <w:p w14:paraId="487BC137" w14:textId="3000DF40" w:rsidR="00D91084" w:rsidRDefault="00D11320" w:rsidP="00D91084">
      <w:pPr>
        <w:rPr>
          <w:lang w:val="en-US"/>
        </w:rPr>
      </w:pPr>
      <w:r>
        <w:rPr>
          <w:lang w:val="en-US"/>
        </w:rPr>
        <w:t>M</w:t>
      </w:r>
      <w:r w:rsidR="00FF4064">
        <w:rPr>
          <w:lang w:val="en-US"/>
        </w:rPr>
        <w:t>any regulatory agencies are now publishing monthly or quarterly statistics about the</w:t>
      </w:r>
      <w:r w:rsidR="00652A18">
        <w:rPr>
          <w:lang w:val="en-US"/>
        </w:rPr>
        <w:t xml:space="preserve">ir compliance activities, such as </w:t>
      </w:r>
      <w:r>
        <w:rPr>
          <w:lang w:val="en-US"/>
        </w:rPr>
        <w:t xml:space="preserve">compliance </w:t>
      </w:r>
      <w:r w:rsidR="00FF4064">
        <w:rPr>
          <w:lang w:val="en-US"/>
        </w:rPr>
        <w:t xml:space="preserve">reports reviewed, </w:t>
      </w:r>
      <w:r w:rsidR="00652A18">
        <w:rPr>
          <w:lang w:val="en-US"/>
        </w:rPr>
        <w:t>audits undertaken</w:t>
      </w:r>
      <w:r w:rsidR="00FF4064">
        <w:rPr>
          <w:lang w:val="en-US"/>
        </w:rPr>
        <w:t xml:space="preserve"> and </w:t>
      </w:r>
      <w:r w:rsidR="00CA5CE3">
        <w:rPr>
          <w:lang w:val="en-US"/>
        </w:rPr>
        <w:t xml:space="preserve">the use of </w:t>
      </w:r>
      <w:r w:rsidR="00FF4064">
        <w:rPr>
          <w:lang w:val="en-US"/>
        </w:rPr>
        <w:t xml:space="preserve">different </w:t>
      </w:r>
      <w:r w:rsidR="00CA5CE3">
        <w:rPr>
          <w:lang w:val="en-US"/>
        </w:rPr>
        <w:t>forms</w:t>
      </w:r>
      <w:r w:rsidR="00FF4064">
        <w:rPr>
          <w:lang w:val="en-US"/>
        </w:rPr>
        <w:t xml:space="preserve"> of enforcement. To balance the narrative</w:t>
      </w:r>
      <w:r w:rsidR="0076393C">
        <w:rPr>
          <w:lang w:val="en-US"/>
        </w:rPr>
        <w:t>,</w:t>
      </w:r>
      <w:r w:rsidR="00FF4064">
        <w:rPr>
          <w:lang w:val="en-US"/>
        </w:rPr>
        <w:t xml:space="preserve"> they are including positive information </w:t>
      </w:r>
      <w:r w:rsidR="001672C5">
        <w:rPr>
          <w:lang w:val="en-US"/>
        </w:rPr>
        <w:t xml:space="preserve">the environmental outcomes achieved through better compliance by proponents following </w:t>
      </w:r>
      <w:r w:rsidR="00230A87">
        <w:rPr>
          <w:lang w:val="en-US"/>
        </w:rPr>
        <w:t>regulatory intervention</w:t>
      </w:r>
      <w:r w:rsidR="00FF4064">
        <w:rPr>
          <w:lang w:val="en-US"/>
        </w:rPr>
        <w:t xml:space="preserve">. Some jurisdictions advised that some of their </w:t>
      </w:r>
      <w:r w:rsidR="00230A87">
        <w:rPr>
          <w:lang w:val="en-US"/>
        </w:rPr>
        <w:t xml:space="preserve">previously </w:t>
      </w:r>
      <w:r w:rsidR="0076393C">
        <w:rPr>
          <w:lang w:val="en-US"/>
        </w:rPr>
        <w:t>least compl</w:t>
      </w:r>
      <w:r w:rsidR="00230A87">
        <w:rPr>
          <w:lang w:val="en-US"/>
        </w:rPr>
        <w:t>i</w:t>
      </w:r>
      <w:r w:rsidR="0076393C">
        <w:rPr>
          <w:lang w:val="en-US"/>
        </w:rPr>
        <w:t xml:space="preserve">ant </w:t>
      </w:r>
      <w:r w:rsidR="00230A87">
        <w:rPr>
          <w:lang w:val="en-US"/>
        </w:rPr>
        <w:t>proponents</w:t>
      </w:r>
      <w:r w:rsidR="00FF4064">
        <w:rPr>
          <w:lang w:val="en-US"/>
        </w:rPr>
        <w:t xml:space="preserve"> have overcome issues </w:t>
      </w:r>
      <w:r w:rsidR="0076393C">
        <w:rPr>
          <w:lang w:val="en-US"/>
        </w:rPr>
        <w:t>that had been resulting in</w:t>
      </w:r>
      <w:r w:rsidR="00FF4064">
        <w:rPr>
          <w:lang w:val="en-US"/>
        </w:rPr>
        <w:t xml:space="preserve"> </w:t>
      </w:r>
      <w:r w:rsidR="0076393C">
        <w:rPr>
          <w:lang w:val="en-US"/>
        </w:rPr>
        <w:t xml:space="preserve">regulatory </w:t>
      </w:r>
      <w:r w:rsidR="00FF4064">
        <w:rPr>
          <w:lang w:val="en-US"/>
        </w:rPr>
        <w:t>breaches</w:t>
      </w:r>
      <w:r w:rsidR="00230A87">
        <w:rPr>
          <w:lang w:val="en-US"/>
        </w:rPr>
        <w:t xml:space="preserve"> and </w:t>
      </w:r>
      <w:r w:rsidR="00167CB0">
        <w:rPr>
          <w:lang w:val="en-US"/>
        </w:rPr>
        <w:t>have become exemplars of good compliance behaviour</w:t>
      </w:r>
      <w:r w:rsidR="00FF4064">
        <w:rPr>
          <w:lang w:val="en-US"/>
        </w:rPr>
        <w:t xml:space="preserve">. </w:t>
      </w:r>
    </w:p>
    <w:p w14:paraId="77123516" w14:textId="4D670D40" w:rsidR="42CFD8C7" w:rsidRPr="0076393C" w:rsidRDefault="00167CB0" w:rsidP="0076393C">
      <w:pPr>
        <w:rPr>
          <w:lang w:val="en-US"/>
        </w:rPr>
      </w:pPr>
      <w:r>
        <w:rPr>
          <w:lang w:val="en-US"/>
        </w:rPr>
        <w:t>Currently, t</w:t>
      </w:r>
      <w:r w:rsidR="24B1F93F" w:rsidRPr="0076393C">
        <w:rPr>
          <w:lang w:val="en-US"/>
        </w:rPr>
        <w:t xml:space="preserve">he availability of contemporary regulatory monitoring, investigative and enforcement tools (infringement notices, enforceable undertakings, injunctions etc) is not consistent across the different regulatory regimes and could be addressed by amending relevant legislation to trigger the provisions of the </w:t>
      </w:r>
      <w:r w:rsidR="24B1F93F" w:rsidRPr="00B124E1">
        <w:rPr>
          <w:i/>
          <w:iCs/>
          <w:lang w:val="en-US"/>
        </w:rPr>
        <w:t>Regulatory Powers (Standard Provisions) Act 2014</w:t>
      </w:r>
      <w:r w:rsidR="24B1F93F" w:rsidRPr="00B124E1">
        <w:rPr>
          <w:vertAlign w:val="superscript"/>
          <w:lang w:val="en-US"/>
        </w:rPr>
        <w:footnoteReference w:id="11"/>
      </w:r>
      <w:r w:rsidR="00963F4A">
        <w:rPr>
          <w:lang w:val="en-US"/>
        </w:rPr>
        <w:t xml:space="preserve"> (the Regulatory Powers Act)</w:t>
      </w:r>
      <w:r w:rsidR="24B1F93F" w:rsidRPr="0076393C">
        <w:rPr>
          <w:lang w:val="en-US"/>
        </w:rPr>
        <w:t>.</w:t>
      </w:r>
    </w:p>
    <w:p w14:paraId="433936EF" w14:textId="77777777" w:rsidR="00C127F4" w:rsidRDefault="002C269D" w:rsidP="00C127F4">
      <w:pPr>
        <w:rPr>
          <w:lang w:val="en-US"/>
        </w:rPr>
      </w:pPr>
      <w:r w:rsidRPr="0076393C">
        <w:rPr>
          <w:lang w:val="en-US"/>
        </w:rPr>
        <w:t>To undertake risk-proportionate regulation, a range of regulatory tools is required. The Regulatory Powers Act provides a suite of powers to support an effective monitoring, investigation and enforcement approach. More recent environmental legislation (such as the Underwater Cultural Heritage Act 2018 and the Recycling and Waste Reduction Act 2020) adopts this standard suite of powers (where appropriate), whereas older legislation contains an incomplete and varied range of regulatory powers that do not facilitate a contemporary compliance approach consistent with the Australian Government’s regulatory reform agenda.</w:t>
      </w:r>
    </w:p>
    <w:p w14:paraId="30C0893D" w14:textId="74F056A7" w:rsidR="00C127F4" w:rsidRPr="0076393C" w:rsidRDefault="00C127F4" w:rsidP="00C127F4">
      <w:pPr>
        <w:rPr>
          <w:lang w:val="en-US"/>
        </w:rPr>
      </w:pPr>
      <w:r w:rsidRPr="0076393C">
        <w:rPr>
          <w:lang w:val="en-US"/>
        </w:rPr>
        <w:t>The recent review of the EPBC Act by Graeme Samuel recommended that the EPBC Act be amended to adopt relevant powers available under the Regulatory Powers Act. This Review supports that recommendation and also supports work that is currently underway for legislation regulating ozone and synthetic greenhouse gas management to similarly adopt relevant powers under the Regulatory Powers Act.</w:t>
      </w:r>
    </w:p>
    <w:p w14:paraId="18E816A2" w14:textId="77777777" w:rsidR="002C269D" w:rsidRPr="0076393C" w:rsidRDefault="002C269D" w:rsidP="0076393C">
      <w:pPr>
        <w:rPr>
          <w:lang w:val="en-US"/>
        </w:rPr>
      </w:pPr>
      <w:r w:rsidRPr="0076393C">
        <w:rPr>
          <w:lang w:val="en-US"/>
        </w:rPr>
        <w:lastRenderedPageBreak/>
        <w:t>This Review recommends that the Department review its full suite of environmental legislation to determine the appropriateness of adopting these powers more consistently to streamline and simplify monitoring and enforcement powers across its statute book. For some regulatory regimes, such as for sea dumping, it would move away from the current ‘feather or brick’ approach making enforcement options more risk-proportionate.</w:t>
      </w:r>
    </w:p>
    <w:p w14:paraId="1AB90119" w14:textId="46E5DFC6" w:rsidR="002C269D" w:rsidRDefault="002C269D" w:rsidP="0076393C">
      <w:pPr>
        <w:rPr>
          <w:lang w:val="en-US"/>
        </w:rPr>
      </w:pPr>
      <w:r w:rsidRPr="0076393C">
        <w:rPr>
          <w:lang w:val="en-US"/>
        </w:rPr>
        <w:t>Alignment of all relevant legislation with the Regulatory Powers Act would provide compliance officers with flexible and risk-proportionate monitoring and enforcement powers (such as monitoring warrants, injunctions, infringement notices, enforceable undertakings, and civil and criminal offence provisions) to assist in making environmental compliance more effective. The Department should also produce guidance for compliance staff to promote consistent and risk-proportionate use of different regulatory tools.</w:t>
      </w:r>
    </w:p>
    <w:p w14:paraId="4FE0F595" w14:textId="4896092A" w:rsidR="009530B4" w:rsidRDefault="009530B4" w:rsidP="00362A19">
      <w:pPr>
        <w:pStyle w:val="Heading4"/>
        <w:rPr>
          <w:lang w:val="en-US"/>
        </w:rPr>
      </w:pPr>
      <w:r>
        <w:rPr>
          <w:lang w:val="en-US"/>
        </w:rPr>
        <w:t>Recommendation</w:t>
      </w:r>
      <w:r w:rsidR="00C621EF">
        <w:rPr>
          <w:lang w:val="en-US"/>
        </w:rPr>
        <w:t xml:space="preserve"> 2</w:t>
      </w:r>
      <w:r w:rsidR="00172F4C">
        <w:rPr>
          <w:lang w:val="en-US"/>
        </w:rPr>
        <w:t>5</w:t>
      </w:r>
    </w:p>
    <w:p w14:paraId="6BECBB28" w14:textId="3DB42FDB" w:rsidR="00E103A5" w:rsidRPr="00E103A5" w:rsidRDefault="00E103A5" w:rsidP="00E103A5">
      <w:pPr>
        <w:spacing w:after="200" w:line="276" w:lineRule="auto"/>
        <w:rPr>
          <w:b/>
          <w:bCs/>
        </w:rPr>
      </w:pPr>
      <w:r w:rsidRPr="00E103A5">
        <w:rPr>
          <w:b/>
          <w:bCs/>
        </w:rPr>
        <w:t>The Department put in place a project team with dedicated funding of around $</w:t>
      </w:r>
      <w:r w:rsidR="002C1346">
        <w:rPr>
          <w:b/>
          <w:bCs/>
        </w:rPr>
        <w:t>2</w:t>
      </w:r>
      <w:r w:rsidRPr="00E103A5">
        <w:rPr>
          <w:b/>
          <w:bCs/>
        </w:rPr>
        <w:t>00,000 to immediately update and publish its compliance policy to clearly set out:</w:t>
      </w:r>
    </w:p>
    <w:p w14:paraId="73D4E663" w14:textId="77777777" w:rsidR="00E103A5" w:rsidRPr="00E103A5" w:rsidRDefault="00E103A5" w:rsidP="00866E73">
      <w:pPr>
        <w:pStyle w:val="ListParagraph"/>
        <w:numPr>
          <w:ilvl w:val="1"/>
          <w:numId w:val="21"/>
        </w:numPr>
        <w:spacing w:after="200" w:line="276" w:lineRule="auto"/>
        <w:contextualSpacing w:val="0"/>
        <w:rPr>
          <w:b/>
          <w:bCs/>
        </w:rPr>
      </w:pPr>
      <w:r w:rsidRPr="00E103A5">
        <w:rPr>
          <w:b/>
          <w:bCs/>
        </w:rPr>
        <w:t xml:space="preserve"> its role in administering environmental legislation</w:t>
      </w:r>
    </w:p>
    <w:p w14:paraId="499763B8" w14:textId="77777777" w:rsidR="00E103A5" w:rsidRPr="00E103A5" w:rsidRDefault="00E103A5" w:rsidP="00866E73">
      <w:pPr>
        <w:pStyle w:val="ListParagraph"/>
        <w:numPr>
          <w:ilvl w:val="1"/>
          <w:numId w:val="21"/>
        </w:numPr>
        <w:spacing w:after="200" w:line="276" w:lineRule="auto"/>
        <w:contextualSpacing w:val="0"/>
        <w:rPr>
          <w:b/>
          <w:bCs/>
        </w:rPr>
      </w:pPr>
      <w:r w:rsidRPr="00E103A5">
        <w:rPr>
          <w:b/>
          <w:bCs/>
        </w:rPr>
        <w:t>the purpose of achieving compliance with this legislation</w:t>
      </w:r>
    </w:p>
    <w:p w14:paraId="4FD95825" w14:textId="77777777" w:rsidR="00E103A5" w:rsidRPr="00E103A5" w:rsidRDefault="00E103A5" w:rsidP="00866E73">
      <w:pPr>
        <w:pStyle w:val="ListParagraph"/>
        <w:numPr>
          <w:ilvl w:val="1"/>
          <w:numId w:val="21"/>
        </w:numPr>
        <w:spacing w:after="200" w:line="276" w:lineRule="auto"/>
        <w:contextualSpacing w:val="0"/>
        <w:rPr>
          <w:b/>
          <w:bCs/>
        </w:rPr>
      </w:pPr>
      <w:r w:rsidRPr="00E103A5">
        <w:rPr>
          <w:b/>
          <w:bCs/>
        </w:rPr>
        <w:t>its framework and principles for managing compliance, including key relationships</w:t>
      </w:r>
    </w:p>
    <w:p w14:paraId="60175629" w14:textId="77777777" w:rsidR="00E103A5" w:rsidRPr="00E103A5" w:rsidRDefault="00E103A5" w:rsidP="00866E73">
      <w:pPr>
        <w:pStyle w:val="ListParagraph"/>
        <w:numPr>
          <w:ilvl w:val="1"/>
          <w:numId w:val="21"/>
        </w:numPr>
        <w:spacing w:after="200" w:line="276" w:lineRule="auto"/>
        <w:contextualSpacing w:val="0"/>
        <w:rPr>
          <w:b/>
          <w:bCs/>
        </w:rPr>
      </w:pPr>
      <w:r w:rsidRPr="00E103A5">
        <w:rPr>
          <w:b/>
          <w:bCs/>
        </w:rPr>
        <w:t>its approach to achieving compliance including</w:t>
      </w:r>
    </w:p>
    <w:p w14:paraId="7A51511C" w14:textId="77777777" w:rsidR="00E103A5" w:rsidRPr="00E103A5" w:rsidRDefault="00E103A5" w:rsidP="00866E73">
      <w:pPr>
        <w:pStyle w:val="ListParagraph"/>
        <w:numPr>
          <w:ilvl w:val="2"/>
          <w:numId w:val="29"/>
        </w:numPr>
        <w:spacing w:after="200" w:line="276" w:lineRule="auto"/>
        <w:contextualSpacing w:val="0"/>
        <w:rPr>
          <w:b/>
          <w:bCs/>
        </w:rPr>
      </w:pPr>
      <w:r w:rsidRPr="00E103A5">
        <w:rPr>
          <w:b/>
          <w:bCs/>
        </w:rPr>
        <w:t>the monitoring and investigative powers and tools in place</w:t>
      </w:r>
    </w:p>
    <w:p w14:paraId="1CA1A6CB" w14:textId="77777777" w:rsidR="00E103A5" w:rsidRPr="00E103A5" w:rsidRDefault="00E103A5" w:rsidP="00866E73">
      <w:pPr>
        <w:pStyle w:val="ListParagraph"/>
        <w:numPr>
          <w:ilvl w:val="2"/>
          <w:numId w:val="29"/>
        </w:numPr>
        <w:spacing w:after="200" w:line="276" w:lineRule="auto"/>
        <w:contextualSpacing w:val="0"/>
        <w:rPr>
          <w:b/>
          <w:bCs/>
        </w:rPr>
      </w:pPr>
      <w:r w:rsidRPr="00E103A5">
        <w:rPr>
          <w:b/>
          <w:bCs/>
        </w:rPr>
        <w:t>its approach to assessing breaches</w:t>
      </w:r>
    </w:p>
    <w:p w14:paraId="00888AE6" w14:textId="77777777" w:rsidR="00E103A5" w:rsidRPr="00E103A5" w:rsidRDefault="00E103A5" w:rsidP="00866E73">
      <w:pPr>
        <w:pStyle w:val="ListParagraph"/>
        <w:numPr>
          <w:ilvl w:val="2"/>
          <w:numId w:val="29"/>
        </w:numPr>
        <w:spacing w:after="200" w:line="276" w:lineRule="auto"/>
        <w:contextualSpacing w:val="0"/>
        <w:rPr>
          <w:b/>
          <w:bCs/>
        </w:rPr>
      </w:pPr>
      <w:r w:rsidRPr="00E103A5">
        <w:rPr>
          <w:b/>
          <w:bCs/>
        </w:rPr>
        <w:t>how it determines the significance of a breach and the risk-proportionate regulatory responses it uses</w:t>
      </w:r>
    </w:p>
    <w:p w14:paraId="1145422B" w14:textId="77777777" w:rsidR="00E103A5" w:rsidRPr="00E103A5" w:rsidRDefault="00E103A5" w:rsidP="00866E73">
      <w:pPr>
        <w:pStyle w:val="ListParagraph"/>
        <w:numPr>
          <w:ilvl w:val="2"/>
          <w:numId w:val="29"/>
        </w:numPr>
        <w:spacing w:after="200" w:line="276" w:lineRule="auto"/>
        <w:contextualSpacing w:val="0"/>
        <w:rPr>
          <w:b/>
          <w:bCs/>
        </w:rPr>
      </w:pPr>
      <w:r w:rsidRPr="00E103A5">
        <w:rPr>
          <w:b/>
          <w:bCs/>
        </w:rPr>
        <w:t>the enforcement options that may be applied depending upon the nature and seriousness of non-compliance</w:t>
      </w:r>
    </w:p>
    <w:p w14:paraId="282BFE66" w14:textId="42372FC8" w:rsidR="006C6BAE" w:rsidRDefault="006C6BAE" w:rsidP="00362A19">
      <w:pPr>
        <w:pStyle w:val="Heading4"/>
      </w:pPr>
      <w:r>
        <w:t>Recommendation 2</w:t>
      </w:r>
      <w:r w:rsidR="00172F4C">
        <w:t>6</w:t>
      </w:r>
    </w:p>
    <w:p w14:paraId="29083055" w14:textId="3C587276" w:rsidR="00E103A5" w:rsidRPr="00E103A5" w:rsidRDefault="00E103A5" w:rsidP="00E103A5">
      <w:pPr>
        <w:spacing w:after="200" w:line="276" w:lineRule="auto"/>
        <w:rPr>
          <w:b/>
          <w:bCs/>
        </w:rPr>
      </w:pPr>
      <w:r w:rsidRPr="00E103A5">
        <w:rPr>
          <w:b/>
          <w:bCs/>
        </w:rPr>
        <w:t>To increase community confidence in the Department’s protection of Australia’s environment, the Department annually publish:</w:t>
      </w:r>
    </w:p>
    <w:p w14:paraId="3A330183" w14:textId="77777777" w:rsidR="00E103A5" w:rsidRPr="00E103A5" w:rsidRDefault="00E103A5" w:rsidP="00866E73">
      <w:pPr>
        <w:pStyle w:val="ListParagraph"/>
        <w:numPr>
          <w:ilvl w:val="0"/>
          <w:numId w:val="22"/>
        </w:numPr>
        <w:spacing w:after="200" w:line="276" w:lineRule="auto"/>
        <w:contextualSpacing w:val="0"/>
        <w:rPr>
          <w:b/>
          <w:bCs/>
        </w:rPr>
      </w:pPr>
      <w:r w:rsidRPr="00E103A5">
        <w:rPr>
          <w:b/>
          <w:bCs/>
        </w:rPr>
        <w:t>information, updated monthly, on regulatory activity including the number of monitoring activities, investigations, reviews of documentation, enforcement actions (including official cautions, orders imposed, enforceable undertakings, penalty notices and prosecutions)</w:t>
      </w:r>
    </w:p>
    <w:p w14:paraId="51CDCB81" w14:textId="76933C65" w:rsidR="00E103A5" w:rsidRPr="00E103A5" w:rsidRDefault="0091650F" w:rsidP="00866E73">
      <w:pPr>
        <w:pStyle w:val="ListParagraph"/>
        <w:numPr>
          <w:ilvl w:val="0"/>
          <w:numId w:val="22"/>
        </w:numPr>
        <w:spacing w:after="200" w:line="276" w:lineRule="auto"/>
        <w:contextualSpacing w:val="0"/>
        <w:rPr>
          <w:b/>
          <w:bCs/>
        </w:rPr>
      </w:pPr>
      <w:r>
        <w:rPr>
          <w:b/>
          <w:bCs/>
        </w:rPr>
        <w:t>a</w:t>
      </w:r>
      <w:r w:rsidR="00E103A5" w:rsidRPr="00E103A5">
        <w:rPr>
          <w:b/>
          <w:bCs/>
        </w:rPr>
        <w:t xml:space="preserve"> list of organisations that have an enforceable undertaking or been subject to a formal enforcement action, including how the organisation responded and the </w:t>
      </w:r>
      <w:r w:rsidR="00E103A5" w:rsidRPr="00E103A5">
        <w:rPr>
          <w:b/>
          <w:bCs/>
        </w:rPr>
        <w:lastRenderedPageBreak/>
        <w:t>environment protected (as a mechanism to disseminate positive actions by industry)</w:t>
      </w:r>
      <w:r w:rsidR="006C38F0">
        <w:rPr>
          <w:b/>
          <w:bCs/>
        </w:rPr>
        <w:t>.</w:t>
      </w:r>
    </w:p>
    <w:p w14:paraId="2C056F98" w14:textId="1E1B0AC1" w:rsidR="003678DF" w:rsidRPr="00362A19" w:rsidRDefault="003678DF" w:rsidP="00362A19">
      <w:pPr>
        <w:pStyle w:val="Heading4"/>
      </w:pPr>
      <w:r w:rsidRPr="00362A19">
        <w:t>Recommendation 2</w:t>
      </w:r>
      <w:r w:rsidR="00172F4C">
        <w:t>7</w:t>
      </w:r>
    </w:p>
    <w:p w14:paraId="3130531F" w14:textId="078C4A27" w:rsidR="00F37DF0" w:rsidRPr="000D215F" w:rsidRDefault="00F37DF0" w:rsidP="0071138D">
      <w:pPr>
        <w:spacing w:after="200" w:line="276" w:lineRule="auto"/>
        <w:rPr>
          <w:b/>
          <w:bCs/>
        </w:rPr>
      </w:pPr>
      <w:r w:rsidRPr="000D215F">
        <w:rPr>
          <w:b/>
          <w:bCs/>
        </w:rPr>
        <w:t>The Department increase its educational activities in respect of compliance including conducting forums with industry about compliance expectations and key compliance topics and adopt a user-centred approach to developing and disseminating its compliance guidance, including accessible information on how compliance is undertaken, plain English guides, FAQs, fact sheets, etc.</w:t>
      </w:r>
    </w:p>
    <w:p w14:paraId="71DF402B" w14:textId="39788CFF" w:rsidR="00E103A5" w:rsidRDefault="00C46E4B" w:rsidP="00362A19">
      <w:pPr>
        <w:pStyle w:val="Heading4"/>
        <w:rPr>
          <w:lang w:val="en-US"/>
        </w:rPr>
      </w:pPr>
      <w:r>
        <w:rPr>
          <w:lang w:val="en-US"/>
        </w:rPr>
        <w:t>Recommendation 2</w:t>
      </w:r>
      <w:r w:rsidR="00172F4C">
        <w:rPr>
          <w:lang w:val="en-US"/>
        </w:rPr>
        <w:t>8</w:t>
      </w:r>
    </w:p>
    <w:p w14:paraId="0C05A181" w14:textId="25EBA7CB" w:rsidR="009530B4" w:rsidRPr="009530B4" w:rsidRDefault="0045119E" w:rsidP="009530B4">
      <w:pPr>
        <w:spacing w:after="200" w:line="276" w:lineRule="auto"/>
        <w:rPr>
          <w:b/>
          <w:bCs/>
        </w:rPr>
      </w:pPr>
      <w:r>
        <w:rPr>
          <w:b/>
          <w:bCs/>
        </w:rPr>
        <w:t xml:space="preserve">Commencing with the </w:t>
      </w:r>
      <w:r w:rsidR="00D318FE">
        <w:rPr>
          <w:b/>
          <w:bCs/>
          <w:i/>
          <w:iCs/>
        </w:rPr>
        <w:t>Environment Protection and Biodiversity Conservation Act 1999</w:t>
      </w:r>
      <w:r w:rsidR="002C74B5">
        <w:rPr>
          <w:b/>
          <w:bCs/>
          <w:i/>
          <w:iCs/>
        </w:rPr>
        <w:t xml:space="preserve"> </w:t>
      </w:r>
      <w:r w:rsidR="002C74B5">
        <w:rPr>
          <w:b/>
          <w:bCs/>
        </w:rPr>
        <w:t>(EPBC Act), t</w:t>
      </w:r>
      <w:r w:rsidR="009530B4" w:rsidRPr="009530B4">
        <w:rPr>
          <w:b/>
          <w:bCs/>
        </w:rPr>
        <w:t>he Department review its full suite of environmental legislation to determine the appropriate inclusion of powers to support an effective monitoring, investigation and enforcement approach, as set out in the </w:t>
      </w:r>
      <w:r w:rsidR="009530B4" w:rsidRPr="002C74B5">
        <w:rPr>
          <w:b/>
          <w:bCs/>
          <w:i/>
          <w:iCs/>
        </w:rPr>
        <w:t>Regulatory Powers (Standard Provisions) Act 2014</w:t>
      </w:r>
      <w:r w:rsidR="009530B4" w:rsidRPr="009530B4">
        <w:rPr>
          <w:b/>
          <w:bCs/>
        </w:rPr>
        <w:t> (the Regulatory Powers Act)</w:t>
      </w:r>
      <w:r w:rsidR="006C38F0">
        <w:rPr>
          <w:b/>
          <w:bCs/>
        </w:rPr>
        <w:t>.</w:t>
      </w:r>
    </w:p>
    <w:p w14:paraId="4B701739" w14:textId="4E342BEB" w:rsidR="00B15D4B" w:rsidRDefault="00B15D4B" w:rsidP="00B15D4B">
      <w:pPr>
        <w:pStyle w:val="Heading1"/>
        <w:rPr>
          <w:lang w:val="en-US"/>
        </w:rPr>
      </w:pPr>
      <w:bookmarkStart w:id="55" w:name="_Toc72504402"/>
      <w:r>
        <w:rPr>
          <w:lang w:val="en-US"/>
        </w:rPr>
        <w:t>Conclusion</w:t>
      </w:r>
      <w:bookmarkEnd w:id="55"/>
    </w:p>
    <w:p w14:paraId="3AC483A1" w14:textId="26F9B524" w:rsidR="00B15D4B" w:rsidRDefault="00B15D4B" w:rsidP="00B15D4B">
      <w:pPr>
        <w:rPr>
          <w:lang w:val="en-US"/>
        </w:rPr>
      </w:pPr>
      <w:r w:rsidRPr="3BEDEA6D">
        <w:rPr>
          <w:lang w:val="en-US"/>
        </w:rPr>
        <w:t xml:space="preserve">To make </w:t>
      </w:r>
      <w:r>
        <w:rPr>
          <w:lang w:val="en-US"/>
        </w:rPr>
        <w:t xml:space="preserve">the necessary </w:t>
      </w:r>
      <w:r w:rsidRPr="3BEDEA6D">
        <w:rPr>
          <w:lang w:val="en-US"/>
        </w:rPr>
        <w:t xml:space="preserve">changes in </w:t>
      </w:r>
      <w:r>
        <w:rPr>
          <w:lang w:val="en-US"/>
        </w:rPr>
        <w:t xml:space="preserve">each </w:t>
      </w:r>
      <w:r w:rsidRPr="3BEDEA6D">
        <w:rPr>
          <w:lang w:val="en-US"/>
        </w:rPr>
        <w:t>of these areas</w:t>
      </w:r>
      <w:r>
        <w:rPr>
          <w:lang w:val="en-US"/>
        </w:rPr>
        <w:t>,</w:t>
      </w:r>
      <w:r w:rsidRPr="3BEDEA6D">
        <w:rPr>
          <w:lang w:val="en-US"/>
        </w:rPr>
        <w:t xml:space="preserve"> the Review </w:t>
      </w:r>
      <w:r w:rsidR="00837540">
        <w:rPr>
          <w:lang w:val="en-US"/>
        </w:rPr>
        <w:t xml:space="preserve">recommend </w:t>
      </w:r>
      <w:r w:rsidRPr="3BEDEA6D">
        <w:rPr>
          <w:lang w:val="en-US"/>
        </w:rPr>
        <w:t>ds a reform program be established</w:t>
      </w:r>
      <w:r w:rsidR="00C74B6B">
        <w:rPr>
          <w:lang w:val="en-US"/>
        </w:rPr>
        <w:t xml:space="preserve"> (summarised at </w:t>
      </w:r>
      <w:hyperlink w:anchor="_Attachment_A_–" w:history="1">
        <w:r w:rsidR="00C74B6B" w:rsidRPr="004C7F12">
          <w:rPr>
            <w:rStyle w:val="Hyperlink"/>
            <w:lang w:val="en-US"/>
          </w:rPr>
          <w:t>Attachment A</w:t>
        </w:r>
      </w:hyperlink>
      <w:r w:rsidR="00C74B6B">
        <w:rPr>
          <w:lang w:val="en-US"/>
        </w:rPr>
        <w:t>)</w:t>
      </w:r>
      <w:r w:rsidRPr="3BEDEA6D">
        <w:rPr>
          <w:lang w:val="en-US"/>
        </w:rPr>
        <w:t xml:space="preserve"> to implement a </w:t>
      </w:r>
      <w:r w:rsidR="00EE45A7">
        <w:rPr>
          <w:lang w:val="en-US"/>
        </w:rPr>
        <w:t>range of specific packages of work to overcome some immediate ob</w:t>
      </w:r>
      <w:r w:rsidR="00837540">
        <w:rPr>
          <w:lang w:val="en-US"/>
        </w:rPr>
        <w:t>s</w:t>
      </w:r>
      <w:r w:rsidR="00EE45A7">
        <w:rPr>
          <w:lang w:val="en-US"/>
        </w:rPr>
        <w:t>ta</w:t>
      </w:r>
      <w:r w:rsidR="00837540">
        <w:rPr>
          <w:lang w:val="en-US"/>
        </w:rPr>
        <w:t xml:space="preserve">cles as well as measures to achieve a </w:t>
      </w:r>
      <w:r w:rsidRPr="3BEDEA6D">
        <w:rPr>
          <w:lang w:val="en-US"/>
        </w:rPr>
        <w:t>more partnership-based, intelligence-led, strategic approach to compliance</w:t>
      </w:r>
      <w:r w:rsidR="00F053D2">
        <w:rPr>
          <w:lang w:val="en-US"/>
        </w:rPr>
        <w:t>. A</w:t>
      </w:r>
      <w:r w:rsidRPr="3BEDEA6D">
        <w:rPr>
          <w:lang w:val="en-US"/>
        </w:rPr>
        <w:t xml:space="preserve"> strong prioritisation framework </w:t>
      </w:r>
      <w:r w:rsidR="00F933E1">
        <w:rPr>
          <w:lang w:val="en-US"/>
        </w:rPr>
        <w:t>will</w:t>
      </w:r>
      <w:r w:rsidRPr="3BEDEA6D">
        <w:rPr>
          <w:lang w:val="en-US"/>
        </w:rPr>
        <w:t xml:space="preserve"> provides the basis for strategic compliance assessments </w:t>
      </w:r>
      <w:r w:rsidR="00F933E1">
        <w:rPr>
          <w:lang w:val="en-US"/>
        </w:rPr>
        <w:t>to allow resources to be targeted</w:t>
      </w:r>
      <w:r w:rsidRPr="3BEDEA6D">
        <w:rPr>
          <w:lang w:val="en-US"/>
        </w:rPr>
        <w:t xml:space="preserve"> at addressing key risks to the environment.</w:t>
      </w:r>
    </w:p>
    <w:p w14:paraId="4807521A" w14:textId="4BD444E5" w:rsidR="00F92908" w:rsidRDefault="56E948E9" w:rsidP="00F92908">
      <w:pPr>
        <w:rPr>
          <w:lang w:val="en-US"/>
        </w:rPr>
      </w:pPr>
      <w:r w:rsidRPr="39DB47FB">
        <w:rPr>
          <w:lang w:val="en-US"/>
        </w:rPr>
        <w:t xml:space="preserve">In summary, the Review has </w:t>
      </w:r>
      <w:r w:rsidR="0076393C">
        <w:rPr>
          <w:lang w:val="en-US"/>
        </w:rPr>
        <w:t>found</w:t>
      </w:r>
      <w:r w:rsidRPr="39DB47FB">
        <w:rPr>
          <w:lang w:val="en-US"/>
        </w:rPr>
        <w:t xml:space="preserve"> that a more holistic approach is desirable </w:t>
      </w:r>
      <w:r w:rsidR="000A50D7">
        <w:rPr>
          <w:lang w:val="en-US"/>
        </w:rPr>
        <w:t>to</w:t>
      </w:r>
      <w:r w:rsidRPr="39DB47FB">
        <w:rPr>
          <w:lang w:val="en-US"/>
        </w:rPr>
        <w:t xml:space="preserve"> optimally manag</w:t>
      </w:r>
      <w:r w:rsidR="000A50D7">
        <w:rPr>
          <w:lang w:val="en-US"/>
        </w:rPr>
        <w:t>e the</w:t>
      </w:r>
      <w:r w:rsidRPr="39DB47FB">
        <w:rPr>
          <w:lang w:val="en-US"/>
        </w:rPr>
        <w:t xml:space="preserve"> risks to the environment with a strong emphasis needing to be placed on joint priority setting, close cooperation and information sharing. </w:t>
      </w:r>
      <w:r w:rsidR="0076393C">
        <w:rPr>
          <w:lang w:val="en-US"/>
        </w:rPr>
        <w:t>Stronger governance</w:t>
      </w:r>
      <w:r w:rsidRPr="39DB47FB">
        <w:rPr>
          <w:lang w:val="en-US"/>
        </w:rPr>
        <w:t xml:space="preserve"> is also needed to reduce the growing silos that are emerging in the Department, </w:t>
      </w:r>
      <w:r w:rsidR="0076393C">
        <w:rPr>
          <w:lang w:val="en-US"/>
        </w:rPr>
        <w:t xml:space="preserve">to </w:t>
      </w:r>
      <w:r w:rsidRPr="39DB47FB">
        <w:rPr>
          <w:lang w:val="en-US"/>
        </w:rPr>
        <w:t xml:space="preserve">assist </w:t>
      </w:r>
      <w:r w:rsidR="2EC653C2" w:rsidRPr="39DB47FB">
        <w:rPr>
          <w:lang w:val="en-US"/>
        </w:rPr>
        <w:t xml:space="preserve">the Environment Compliance Branch </w:t>
      </w:r>
      <w:r w:rsidRPr="39DB47FB">
        <w:rPr>
          <w:lang w:val="en-US"/>
        </w:rPr>
        <w:t xml:space="preserve">retain a base of up-to-date knowledge, </w:t>
      </w:r>
      <w:r w:rsidR="17A49CC1" w:rsidRPr="39DB47FB">
        <w:rPr>
          <w:lang w:val="en-US"/>
        </w:rPr>
        <w:t xml:space="preserve">and </w:t>
      </w:r>
      <w:r w:rsidRPr="39DB47FB">
        <w:rPr>
          <w:lang w:val="en-US"/>
        </w:rPr>
        <w:t xml:space="preserve">clarify the roles and responsibilities for sectoral outreach and education across the spectrum of </w:t>
      </w:r>
      <w:r w:rsidR="17A49CC1" w:rsidRPr="39DB47FB">
        <w:rPr>
          <w:lang w:val="en-US"/>
        </w:rPr>
        <w:t>environmental protection programs.</w:t>
      </w:r>
    </w:p>
    <w:p w14:paraId="326FA77D" w14:textId="4F7A4F50" w:rsidR="0048022F" w:rsidRDefault="0048022F" w:rsidP="001B5675">
      <w:pPr>
        <w:pStyle w:val="Heading2"/>
        <w:rPr>
          <w:lang w:val="en-US"/>
        </w:rPr>
      </w:pPr>
    </w:p>
    <w:p w14:paraId="0AAAC0BA" w14:textId="77777777" w:rsidR="00FC00FD" w:rsidRDefault="00FC00FD">
      <w:pPr>
        <w:rPr>
          <w:lang w:val="en-US"/>
        </w:rPr>
        <w:sectPr w:rsidR="00FC00FD" w:rsidSect="00BE1232">
          <w:footerReference w:type="default" r:id="rId20"/>
          <w:pgSz w:w="11906" w:h="16838"/>
          <w:pgMar w:top="1440" w:right="1440" w:bottom="1440" w:left="1440" w:header="708" w:footer="708" w:gutter="0"/>
          <w:cols w:space="708"/>
          <w:titlePg/>
          <w:docGrid w:linePitch="360"/>
        </w:sectPr>
      </w:pPr>
    </w:p>
    <w:p w14:paraId="7F593323" w14:textId="77777777" w:rsidR="009763A8" w:rsidRPr="00864D2F" w:rsidRDefault="009763A8" w:rsidP="009763A8">
      <w:pPr>
        <w:pStyle w:val="Heading1"/>
      </w:pPr>
      <w:bookmarkStart w:id="56" w:name="_Attachment_A_–"/>
      <w:bookmarkStart w:id="57" w:name="_Toc72504403"/>
      <w:bookmarkEnd w:id="56"/>
      <w:r w:rsidRPr="00864D2F">
        <w:lastRenderedPageBreak/>
        <w:t xml:space="preserve">Attachment A – </w:t>
      </w:r>
      <w:r>
        <w:t>A staged approach to reform</w:t>
      </w:r>
      <w:bookmarkEnd w:id="57"/>
    </w:p>
    <w:tbl>
      <w:tblPr>
        <w:tblStyle w:val="TableGrid"/>
        <w:tblW w:w="15392" w:type="dxa"/>
        <w:tblInd w:w="-431" w:type="dxa"/>
        <w:tblLook w:val="04A0" w:firstRow="1" w:lastRow="0" w:firstColumn="1" w:lastColumn="0" w:noHBand="0" w:noVBand="1"/>
      </w:tblPr>
      <w:tblGrid>
        <w:gridCol w:w="1277"/>
        <w:gridCol w:w="5055"/>
        <w:gridCol w:w="4965"/>
        <w:gridCol w:w="4095"/>
      </w:tblGrid>
      <w:tr w:rsidR="009763A8" w:rsidRPr="00857C2D" w14:paraId="57F5B0F6" w14:textId="77777777" w:rsidTr="00451183">
        <w:trPr>
          <w:trHeight w:val="699"/>
        </w:trPr>
        <w:tc>
          <w:tcPr>
            <w:tcW w:w="1277" w:type="dxa"/>
          </w:tcPr>
          <w:p w14:paraId="5F0E7CB9" w14:textId="77777777" w:rsidR="009763A8" w:rsidRDefault="009763A8" w:rsidP="00451183">
            <w:pPr>
              <w:rPr>
                <w:sz w:val="18"/>
                <w:szCs w:val="18"/>
              </w:rPr>
            </w:pPr>
          </w:p>
          <w:p w14:paraId="49D3A8A3" w14:textId="77777777" w:rsidR="009763A8" w:rsidRPr="00857C2D" w:rsidRDefault="009763A8" w:rsidP="00451183">
            <w:pPr>
              <w:rPr>
                <w:rFonts w:cstheme="minorHAnsi"/>
                <w:sz w:val="18"/>
                <w:szCs w:val="18"/>
              </w:rPr>
            </w:pPr>
          </w:p>
        </w:tc>
        <w:tc>
          <w:tcPr>
            <w:tcW w:w="5055" w:type="dxa"/>
          </w:tcPr>
          <w:p w14:paraId="57F9507A" w14:textId="77777777" w:rsidR="009763A8" w:rsidRPr="0023314F" w:rsidRDefault="009763A8" w:rsidP="00451183">
            <w:pPr>
              <w:rPr>
                <w:rFonts w:cstheme="minorHAnsi"/>
                <w:b/>
                <w:sz w:val="18"/>
                <w:szCs w:val="18"/>
              </w:rPr>
            </w:pPr>
          </w:p>
          <w:p w14:paraId="12913B4E" w14:textId="77777777" w:rsidR="009763A8" w:rsidRPr="0023314F" w:rsidRDefault="009763A8" w:rsidP="00451183">
            <w:pPr>
              <w:jc w:val="center"/>
              <w:rPr>
                <w:b/>
                <w:bCs/>
                <w:sz w:val="18"/>
                <w:szCs w:val="18"/>
              </w:rPr>
            </w:pPr>
            <w:r w:rsidRPr="6B1B807B">
              <w:rPr>
                <w:b/>
                <w:bCs/>
                <w:sz w:val="18"/>
                <w:szCs w:val="18"/>
              </w:rPr>
              <w:t>Stage 1</w:t>
            </w:r>
          </w:p>
          <w:p w14:paraId="689CD0C9" w14:textId="77777777" w:rsidR="009763A8" w:rsidRPr="0023314F" w:rsidRDefault="009763A8" w:rsidP="00451183">
            <w:pPr>
              <w:jc w:val="center"/>
              <w:rPr>
                <w:b/>
                <w:bCs/>
                <w:sz w:val="18"/>
                <w:szCs w:val="18"/>
              </w:rPr>
            </w:pPr>
          </w:p>
        </w:tc>
        <w:tc>
          <w:tcPr>
            <w:tcW w:w="4965" w:type="dxa"/>
          </w:tcPr>
          <w:p w14:paraId="6302AAB9" w14:textId="77777777" w:rsidR="009763A8" w:rsidRPr="0023314F" w:rsidRDefault="009763A8" w:rsidP="00451183">
            <w:pPr>
              <w:jc w:val="center"/>
              <w:rPr>
                <w:rFonts w:cstheme="minorHAnsi"/>
                <w:b/>
                <w:sz w:val="18"/>
                <w:szCs w:val="18"/>
              </w:rPr>
            </w:pPr>
          </w:p>
          <w:p w14:paraId="785C7723" w14:textId="77777777" w:rsidR="009763A8" w:rsidRPr="0023314F" w:rsidRDefault="009763A8" w:rsidP="00451183">
            <w:pPr>
              <w:jc w:val="center"/>
              <w:rPr>
                <w:b/>
                <w:bCs/>
                <w:sz w:val="18"/>
                <w:szCs w:val="18"/>
              </w:rPr>
            </w:pPr>
            <w:r w:rsidRPr="6B1B807B">
              <w:rPr>
                <w:b/>
                <w:bCs/>
                <w:sz w:val="18"/>
                <w:szCs w:val="18"/>
              </w:rPr>
              <w:t>Stage</w:t>
            </w:r>
            <w:r w:rsidRPr="4EB71DF0">
              <w:rPr>
                <w:b/>
                <w:bCs/>
                <w:sz w:val="18"/>
                <w:szCs w:val="18"/>
              </w:rPr>
              <w:t xml:space="preserve"> 2  </w:t>
            </w:r>
          </w:p>
        </w:tc>
        <w:tc>
          <w:tcPr>
            <w:tcW w:w="4095" w:type="dxa"/>
          </w:tcPr>
          <w:p w14:paraId="0E536431" w14:textId="77777777" w:rsidR="009763A8" w:rsidRPr="0023314F" w:rsidRDefault="009763A8" w:rsidP="00451183">
            <w:pPr>
              <w:rPr>
                <w:rFonts w:cstheme="minorHAnsi"/>
                <w:b/>
                <w:sz w:val="18"/>
                <w:szCs w:val="18"/>
              </w:rPr>
            </w:pPr>
          </w:p>
          <w:p w14:paraId="303763A0" w14:textId="77777777" w:rsidR="009763A8" w:rsidRPr="0023314F" w:rsidRDefault="009763A8" w:rsidP="00451183">
            <w:pPr>
              <w:jc w:val="center"/>
              <w:rPr>
                <w:b/>
                <w:sz w:val="18"/>
                <w:szCs w:val="18"/>
              </w:rPr>
            </w:pPr>
            <w:r w:rsidRPr="7DC0A021">
              <w:rPr>
                <w:b/>
                <w:bCs/>
                <w:sz w:val="18"/>
                <w:szCs w:val="18"/>
              </w:rPr>
              <w:t>Stage</w:t>
            </w:r>
            <w:r w:rsidRPr="4EB71DF0">
              <w:rPr>
                <w:b/>
                <w:bCs/>
                <w:sz w:val="18"/>
                <w:szCs w:val="18"/>
              </w:rPr>
              <w:t xml:space="preserve"> 3</w:t>
            </w:r>
          </w:p>
        </w:tc>
      </w:tr>
      <w:tr w:rsidR="009763A8" w:rsidRPr="00857C2D" w14:paraId="5BEB675B" w14:textId="77777777" w:rsidTr="00451183">
        <w:trPr>
          <w:trHeight w:val="1372"/>
        </w:trPr>
        <w:tc>
          <w:tcPr>
            <w:tcW w:w="1277" w:type="dxa"/>
          </w:tcPr>
          <w:p w14:paraId="0792C448" w14:textId="77777777" w:rsidR="009763A8" w:rsidRPr="0023314F" w:rsidRDefault="009763A8" w:rsidP="00451183">
            <w:pPr>
              <w:rPr>
                <w:rFonts w:cstheme="minorHAnsi"/>
                <w:b/>
                <w:bCs/>
                <w:sz w:val="18"/>
                <w:szCs w:val="18"/>
              </w:rPr>
            </w:pPr>
          </w:p>
          <w:p w14:paraId="2480BBC0" w14:textId="77777777" w:rsidR="009763A8" w:rsidRPr="0023314F" w:rsidRDefault="009763A8" w:rsidP="00451183">
            <w:pPr>
              <w:rPr>
                <w:rFonts w:cstheme="minorHAnsi"/>
                <w:b/>
                <w:sz w:val="18"/>
                <w:szCs w:val="18"/>
              </w:rPr>
            </w:pPr>
            <w:r>
              <w:rPr>
                <w:rFonts w:cstheme="minorHAnsi"/>
                <w:b/>
                <w:sz w:val="18"/>
                <w:szCs w:val="18"/>
              </w:rPr>
              <w:t>Governance and structure</w:t>
            </w:r>
          </w:p>
        </w:tc>
        <w:tc>
          <w:tcPr>
            <w:tcW w:w="5055" w:type="dxa"/>
          </w:tcPr>
          <w:p w14:paraId="79AF7410" w14:textId="77777777" w:rsidR="009763A8" w:rsidRPr="00D332B4" w:rsidRDefault="009763A8" w:rsidP="009763A8">
            <w:pPr>
              <w:pStyle w:val="ListParagraph"/>
              <w:numPr>
                <w:ilvl w:val="0"/>
                <w:numId w:val="6"/>
              </w:numPr>
              <w:rPr>
                <w:rFonts w:eastAsiaTheme="minorEastAsia"/>
                <w:sz w:val="18"/>
                <w:szCs w:val="18"/>
              </w:rPr>
            </w:pPr>
            <w:r w:rsidRPr="00D332B4">
              <w:rPr>
                <w:sz w:val="18"/>
                <w:szCs w:val="18"/>
              </w:rPr>
              <w:t>Retain a separate Environment Compliance Branch</w:t>
            </w:r>
          </w:p>
          <w:p w14:paraId="5B04764F" w14:textId="77777777" w:rsidR="009763A8" w:rsidRPr="00857C2D" w:rsidRDefault="009763A8" w:rsidP="009763A8">
            <w:pPr>
              <w:pStyle w:val="ListParagraph"/>
              <w:numPr>
                <w:ilvl w:val="0"/>
                <w:numId w:val="6"/>
              </w:numPr>
              <w:rPr>
                <w:sz w:val="18"/>
                <w:szCs w:val="18"/>
              </w:rPr>
            </w:pPr>
            <w:r w:rsidRPr="68548E78">
              <w:rPr>
                <w:sz w:val="18"/>
                <w:szCs w:val="18"/>
              </w:rPr>
              <w:t>Establish</w:t>
            </w:r>
            <w:r w:rsidRPr="44A7C856">
              <w:rPr>
                <w:sz w:val="18"/>
                <w:szCs w:val="18"/>
              </w:rPr>
              <w:t xml:space="preserve"> an </w:t>
            </w:r>
            <w:r>
              <w:rPr>
                <w:sz w:val="18"/>
                <w:szCs w:val="18"/>
              </w:rPr>
              <w:t>E</w:t>
            </w:r>
            <w:r w:rsidRPr="44A7C856">
              <w:rPr>
                <w:sz w:val="18"/>
                <w:szCs w:val="18"/>
              </w:rPr>
              <w:t xml:space="preserve">xecutive </w:t>
            </w:r>
            <w:r>
              <w:rPr>
                <w:sz w:val="18"/>
                <w:szCs w:val="18"/>
              </w:rPr>
              <w:t>C</w:t>
            </w:r>
            <w:r w:rsidRPr="44A7C856">
              <w:rPr>
                <w:sz w:val="18"/>
                <w:szCs w:val="18"/>
              </w:rPr>
              <w:t>ommittee</w:t>
            </w:r>
            <w:r>
              <w:rPr>
                <w:sz w:val="18"/>
                <w:szCs w:val="18"/>
              </w:rPr>
              <w:t>, chaired by the Compliance Deputy Secretary and</w:t>
            </w:r>
            <w:r w:rsidRPr="44A7C856">
              <w:rPr>
                <w:sz w:val="18"/>
                <w:szCs w:val="18"/>
              </w:rPr>
              <w:t xml:space="preserve"> comprising senior compliance and program executives to </w:t>
            </w:r>
            <w:r w:rsidRPr="206F39B7">
              <w:rPr>
                <w:sz w:val="18"/>
                <w:szCs w:val="18"/>
              </w:rPr>
              <w:t>overs</w:t>
            </w:r>
            <w:r>
              <w:rPr>
                <w:sz w:val="18"/>
                <w:szCs w:val="18"/>
              </w:rPr>
              <w:t>ee</w:t>
            </w:r>
            <w:r w:rsidRPr="44A7C856">
              <w:rPr>
                <w:sz w:val="18"/>
                <w:szCs w:val="18"/>
              </w:rPr>
              <w:t xml:space="preserve"> the </w:t>
            </w:r>
            <w:r>
              <w:rPr>
                <w:sz w:val="18"/>
                <w:szCs w:val="18"/>
              </w:rPr>
              <w:t xml:space="preserve">implementation of reform recommendations and </w:t>
            </w:r>
            <w:r w:rsidRPr="44A7C856">
              <w:rPr>
                <w:sz w:val="18"/>
                <w:szCs w:val="18"/>
              </w:rPr>
              <w:t>compliance priorities and then monitor</w:t>
            </w:r>
            <w:r>
              <w:rPr>
                <w:sz w:val="18"/>
                <w:szCs w:val="18"/>
              </w:rPr>
              <w:t xml:space="preserve"> implementation</w:t>
            </w:r>
          </w:p>
          <w:p w14:paraId="553B8F23" w14:textId="77777777" w:rsidR="009763A8" w:rsidRPr="00D203EB" w:rsidRDefault="009763A8" w:rsidP="009763A8">
            <w:pPr>
              <w:pStyle w:val="ListParagraph"/>
              <w:numPr>
                <w:ilvl w:val="0"/>
                <w:numId w:val="6"/>
              </w:numPr>
              <w:rPr>
                <w:sz w:val="18"/>
                <w:szCs w:val="18"/>
              </w:rPr>
            </w:pPr>
            <w:r w:rsidRPr="60DDA72E">
              <w:rPr>
                <w:sz w:val="18"/>
                <w:szCs w:val="18"/>
              </w:rPr>
              <w:t xml:space="preserve">Increase level of reporting </w:t>
            </w:r>
            <w:r>
              <w:rPr>
                <w:sz w:val="18"/>
                <w:szCs w:val="18"/>
              </w:rPr>
              <w:t xml:space="preserve">(at least monthly) </w:t>
            </w:r>
            <w:r w:rsidRPr="60DDA72E">
              <w:rPr>
                <w:sz w:val="18"/>
                <w:szCs w:val="18"/>
              </w:rPr>
              <w:t xml:space="preserve">to </w:t>
            </w:r>
            <w:r>
              <w:rPr>
                <w:sz w:val="18"/>
                <w:szCs w:val="18"/>
              </w:rPr>
              <w:t xml:space="preserve">the </w:t>
            </w:r>
            <w:r w:rsidRPr="60DDA72E">
              <w:rPr>
                <w:sz w:val="18"/>
                <w:szCs w:val="18"/>
              </w:rPr>
              <w:t>Deputy Secretary on recruitment, issues emerging, and the number of compliance actions being undertaken</w:t>
            </w:r>
            <w:r>
              <w:rPr>
                <w:sz w:val="18"/>
                <w:szCs w:val="18"/>
              </w:rPr>
              <w:t>,</w:t>
            </w:r>
            <w:r w:rsidRPr="60DDA72E">
              <w:rPr>
                <w:sz w:val="18"/>
                <w:szCs w:val="18"/>
              </w:rPr>
              <w:t xml:space="preserve"> including </w:t>
            </w:r>
            <w:r>
              <w:rPr>
                <w:sz w:val="18"/>
                <w:szCs w:val="18"/>
              </w:rPr>
              <w:t>under which legislation</w:t>
            </w:r>
          </w:p>
          <w:p w14:paraId="68EF14C5" w14:textId="77777777" w:rsidR="009763A8" w:rsidRDefault="009763A8" w:rsidP="009763A8">
            <w:pPr>
              <w:pStyle w:val="ListParagraph"/>
              <w:numPr>
                <w:ilvl w:val="0"/>
                <w:numId w:val="6"/>
              </w:numPr>
              <w:rPr>
                <w:sz w:val="18"/>
                <w:szCs w:val="18"/>
              </w:rPr>
            </w:pPr>
            <w:r w:rsidRPr="60DDA72E">
              <w:rPr>
                <w:sz w:val="18"/>
                <w:szCs w:val="18"/>
              </w:rPr>
              <w:t>Commence a project to design and develop business level dashboard reporting that can be applied across all of the environmental legislation and later other parts of the business (e</w:t>
            </w:r>
            <w:r>
              <w:rPr>
                <w:sz w:val="18"/>
                <w:szCs w:val="18"/>
              </w:rPr>
              <w:t>.</w:t>
            </w:r>
            <w:r w:rsidRPr="60DDA72E">
              <w:rPr>
                <w:sz w:val="18"/>
                <w:szCs w:val="18"/>
              </w:rPr>
              <w:t>g</w:t>
            </w:r>
            <w:r>
              <w:rPr>
                <w:sz w:val="18"/>
                <w:szCs w:val="18"/>
              </w:rPr>
              <w:t>.</w:t>
            </w:r>
            <w:r w:rsidRPr="60DDA72E">
              <w:rPr>
                <w:sz w:val="18"/>
                <w:szCs w:val="18"/>
              </w:rPr>
              <w:t xml:space="preserve"> biosecurity, water)</w:t>
            </w:r>
          </w:p>
          <w:p w14:paraId="36FCA85A" w14:textId="77777777" w:rsidR="009763A8" w:rsidRPr="00DA209F" w:rsidRDefault="009763A8" w:rsidP="00451183">
            <w:pPr>
              <w:pStyle w:val="ListParagraph"/>
              <w:rPr>
                <w:sz w:val="18"/>
                <w:szCs w:val="18"/>
              </w:rPr>
            </w:pPr>
          </w:p>
        </w:tc>
        <w:tc>
          <w:tcPr>
            <w:tcW w:w="4965" w:type="dxa"/>
          </w:tcPr>
          <w:p w14:paraId="15D355EC" w14:textId="4738855A" w:rsidR="009763A8" w:rsidRPr="00857C2D" w:rsidRDefault="009763A8" w:rsidP="009763A8">
            <w:pPr>
              <w:pStyle w:val="ListParagraph"/>
              <w:numPr>
                <w:ilvl w:val="0"/>
                <w:numId w:val="6"/>
              </w:numPr>
              <w:rPr>
                <w:sz w:val="18"/>
                <w:szCs w:val="18"/>
              </w:rPr>
            </w:pPr>
            <w:r>
              <w:rPr>
                <w:sz w:val="18"/>
                <w:szCs w:val="18"/>
              </w:rPr>
              <w:t>A project be undertaken by the chief risk officer, for around $200,000 to $300,000, to develop a dedicated business</w:t>
            </w:r>
            <w:r w:rsidR="00364D7F">
              <w:rPr>
                <w:sz w:val="18"/>
                <w:szCs w:val="18"/>
              </w:rPr>
              <w:t>-</w:t>
            </w:r>
            <w:r>
              <w:rPr>
                <w:sz w:val="18"/>
                <w:szCs w:val="18"/>
              </w:rPr>
              <w:t xml:space="preserve">focused </w:t>
            </w:r>
            <w:r w:rsidR="00364D7F">
              <w:rPr>
                <w:sz w:val="18"/>
                <w:szCs w:val="18"/>
              </w:rPr>
              <w:t xml:space="preserve">regulatory </w:t>
            </w:r>
            <w:r>
              <w:rPr>
                <w:sz w:val="18"/>
                <w:szCs w:val="18"/>
              </w:rPr>
              <w:t>dashboard for environmental programs (this work could also be extended to biosecurity and water) to monitor and report on risk and how it is being addressed. The dashboard could then replace reporting in stage 1.</w:t>
            </w:r>
          </w:p>
        </w:tc>
        <w:tc>
          <w:tcPr>
            <w:tcW w:w="4095" w:type="dxa"/>
          </w:tcPr>
          <w:p w14:paraId="6793EE50" w14:textId="77777777" w:rsidR="009763A8" w:rsidRPr="00857C2D" w:rsidRDefault="009763A8" w:rsidP="009763A8">
            <w:pPr>
              <w:pStyle w:val="ListParagraph"/>
              <w:numPr>
                <w:ilvl w:val="0"/>
                <w:numId w:val="5"/>
              </w:numPr>
              <w:rPr>
                <w:rFonts w:eastAsiaTheme="minorEastAsia"/>
                <w:sz w:val="18"/>
                <w:szCs w:val="18"/>
              </w:rPr>
            </w:pPr>
            <w:r w:rsidRPr="66881626">
              <w:rPr>
                <w:sz w:val="18"/>
                <w:szCs w:val="18"/>
              </w:rPr>
              <w:t>Move from a reactive compliance approach to a proactive compliance approach via interrogation and reporting of program and compliance data including predictive reporting</w:t>
            </w:r>
          </w:p>
          <w:p w14:paraId="312A5A04" w14:textId="77777777" w:rsidR="009763A8" w:rsidRPr="00857C2D" w:rsidRDefault="009763A8" w:rsidP="009763A8">
            <w:pPr>
              <w:pStyle w:val="ListParagraph"/>
              <w:numPr>
                <w:ilvl w:val="0"/>
                <w:numId w:val="5"/>
              </w:numPr>
              <w:rPr>
                <w:rFonts w:eastAsiaTheme="minorEastAsia"/>
                <w:sz w:val="18"/>
                <w:szCs w:val="18"/>
              </w:rPr>
            </w:pPr>
            <w:r w:rsidRPr="66881626">
              <w:rPr>
                <w:sz w:val="18"/>
                <w:szCs w:val="18"/>
              </w:rPr>
              <w:t xml:space="preserve">Report on the decline of environmental incidents </w:t>
            </w:r>
            <w:r>
              <w:rPr>
                <w:sz w:val="18"/>
                <w:szCs w:val="18"/>
              </w:rPr>
              <w:t>resulting from</w:t>
            </w:r>
            <w:r w:rsidRPr="66881626">
              <w:rPr>
                <w:sz w:val="18"/>
                <w:szCs w:val="18"/>
              </w:rPr>
              <w:t xml:space="preserve"> compliance activities</w:t>
            </w:r>
          </w:p>
          <w:p w14:paraId="40CC14F5" w14:textId="77777777" w:rsidR="009763A8" w:rsidRPr="00857C2D" w:rsidRDefault="009763A8" w:rsidP="009763A8">
            <w:pPr>
              <w:pStyle w:val="ListParagraph"/>
              <w:numPr>
                <w:ilvl w:val="0"/>
                <w:numId w:val="5"/>
              </w:numPr>
              <w:rPr>
                <w:rFonts w:eastAsiaTheme="minorEastAsia"/>
                <w:sz w:val="18"/>
                <w:szCs w:val="18"/>
              </w:rPr>
            </w:pPr>
            <w:r w:rsidRPr="66881626">
              <w:rPr>
                <w:sz w:val="18"/>
                <w:szCs w:val="18"/>
              </w:rPr>
              <w:t>Develop standard reporting on emerging trends and outcomes achieved e.g. move from process-based reporting to outcomes-based reporting</w:t>
            </w:r>
          </w:p>
          <w:p w14:paraId="704CDC1C" w14:textId="77777777" w:rsidR="009763A8" w:rsidRPr="00857C2D" w:rsidRDefault="009763A8" w:rsidP="009763A8">
            <w:pPr>
              <w:pStyle w:val="ListParagraph"/>
              <w:numPr>
                <w:ilvl w:val="0"/>
                <w:numId w:val="5"/>
              </w:numPr>
              <w:rPr>
                <w:rFonts w:eastAsiaTheme="minorEastAsia"/>
                <w:sz w:val="18"/>
                <w:szCs w:val="18"/>
              </w:rPr>
            </w:pPr>
            <w:r>
              <w:rPr>
                <w:sz w:val="18"/>
                <w:szCs w:val="18"/>
              </w:rPr>
              <w:t>More e</w:t>
            </w:r>
            <w:r w:rsidRPr="6DB72CAF">
              <w:rPr>
                <w:sz w:val="18"/>
                <w:szCs w:val="18"/>
              </w:rPr>
              <w:t>ffective and efficient use of resources through strategic planning and management of emerging issues signed off by Executive Board</w:t>
            </w:r>
          </w:p>
          <w:p w14:paraId="4FA50798" w14:textId="77777777" w:rsidR="009763A8" w:rsidRPr="00857C2D" w:rsidRDefault="009763A8" w:rsidP="00451183">
            <w:pPr>
              <w:pStyle w:val="ListParagraph"/>
              <w:rPr>
                <w:sz w:val="18"/>
                <w:szCs w:val="18"/>
              </w:rPr>
            </w:pPr>
          </w:p>
          <w:p w14:paraId="092141F1" w14:textId="77777777" w:rsidR="009763A8" w:rsidRPr="00857C2D" w:rsidRDefault="009763A8" w:rsidP="00451183">
            <w:pPr>
              <w:pStyle w:val="ListParagraph"/>
              <w:rPr>
                <w:rFonts w:eastAsiaTheme="minorEastAsia"/>
                <w:sz w:val="18"/>
                <w:szCs w:val="18"/>
              </w:rPr>
            </w:pPr>
          </w:p>
        </w:tc>
      </w:tr>
      <w:tr w:rsidR="009763A8" w14:paraId="2F9E2F67" w14:textId="77777777" w:rsidTr="00451183">
        <w:trPr>
          <w:trHeight w:val="1322"/>
        </w:trPr>
        <w:tc>
          <w:tcPr>
            <w:tcW w:w="1277" w:type="dxa"/>
          </w:tcPr>
          <w:p w14:paraId="17F2EDCA" w14:textId="77777777" w:rsidR="0093748A" w:rsidRDefault="0093748A" w:rsidP="00451183">
            <w:pPr>
              <w:rPr>
                <w:b/>
                <w:bCs/>
                <w:sz w:val="18"/>
                <w:szCs w:val="18"/>
              </w:rPr>
            </w:pPr>
          </w:p>
          <w:p w14:paraId="70E8FFB9" w14:textId="66E91C63" w:rsidR="009763A8" w:rsidRPr="30E2D023" w:rsidRDefault="009763A8" w:rsidP="00451183">
            <w:pPr>
              <w:rPr>
                <w:b/>
                <w:bCs/>
                <w:sz w:val="18"/>
                <w:szCs w:val="18"/>
              </w:rPr>
            </w:pPr>
            <w:r w:rsidRPr="30E2D023">
              <w:rPr>
                <w:b/>
                <w:bCs/>
                <w:sz w:val="18"/>
                <w:szCs w:val="18"/>
              </w:rPr>
              <w:t>Resources</w:t>
            </w:r>
          </w:p>
        </w:tc>
        <w:tc>
          <w:tcPr>
            <w:tcW w:w="5055" w:type="dxa"/>
          </w:tcPr>
          <w:p w14:paraId="35A74B1A" w14:textId="77777777" w:rsidR="009763A8" w:rsidRPr="00446EED" w:rsidRDefault="009763A8" w:rsidP="009763A8">
            <w:pPr>
              <w:pStyle w:val="ListParagraph"/>
              <w:numPr>
                <w:ilvl w:val="0"/>
                <w:numId w:val="6"/>
              </w:numPr>
              <w:rPr>
                <w:rFonts w:eastAsiaTheme="minorEastAsia"/>
                <w:sz w:val="18"/>
                <w:szCs w:val="18"/>
              </w:rPr>
            </w:pPr>
            <w:r w:rsidRPr="30E2D023">
              <w:rPr>
                <w:sz w:val="18"/>
                <w:szCs w:val="18"/>
              </w:rPr>
              <w:t>Vacant positions are urgently filled including streamlining the approval process to accelerate the recruitment process</w:t>
            </w:r>
          </w:p>
          <w:p w14:paraId="6DF8F7B0" w14:textId="77777777" w:rsidR="009763A8" w:rsidRDefault="009763A8" w:rsidP="009763A8">
            <w:pPr>
              <w:pStyle w:val="ListParagraph"/>
              <w:numPr>
                <w:ilvl w:val="0"/>
                <w:numId w:val="6"/>
              </w:numPr>
              <w:rPr>
                <w:rFonts w:eastAsiaTheme="minorEastAsia"/>
                <w:sz w:val="18"/>
                <w:szCs w:val="18"/>
              </w:rPr>
            </w:pPr>
            <w:r>
              <w:rPr>
                <w:rFonts w:eastAsiaTheme="minorEastAsia"/>
                <w:sz w:val="18"/>
                <w:szCs w:val="18"/>
              </w:rPr>
              <w:t>Additional resources of 3-4 staff ($300,000) to establish a project management and Secretariat team, reporting to the compliance FAS to coordinate the reform process, establish the governance structure outlined above and undertake procurement for identified packages of work</w:t>
            </w:r>
          </w:p>
          <w:p w14:paraId="03431393" w14:textId="77777777" w:rsidR="009763A8" w:rsidRDefault="009763A8" w:rsidP="009763A8">
            <w:pPr>
              <w:pStyle w:val="ListParagraph"/>
              <w:numPr>
                <w:ilvl w:val="0"/>
                <w:numId w:val="6"/>
              </w:numPr>
              <w:rPr>
                <w:rFonts w:cstheme="minorHAnsi"/>
                <w:sz w:val="18"/>
                <w:szCs w:val="18"/>
              </w:rPr>
            </w:pPr>
            <w:r>
              <w:rPr>
                <w:rFonts w:cstheme="minorHAnsi"/>
                <w:sz w:val="18"/>
                <w:szCs w:val="18"/>
              </w:rPr>
              <w:t>Commence work on d</w:t>
            </w:r>
            <w:r w:rsidRPr="00640D56">
              <w:rPr>
                <w:rFonts w:cstheme="minorHAnsi"/>
                <w:sz w:val="18"/>
                <w:szCs w:val="18"/>
              </w:rPr>
              <w:t>evelop guidance and training for staff on applying risk</w:t>
            </w:r>
            <w:r>
              <w:rPr>
                <w:rFonts w:cstheme="minorHAnsi"/>
                <w:sz w:val="18"/>
                <w:szCs w:val="18"/>
              </w:rPr>
              <w:t>-</w:t>
            </w:r>
            <w:r w:rsidRPr="00640D56">
              <w:rPr>
                <w:rFonts w:cstheme="minorHAnsi"/>
                <w:sz w:val="18"/>
                <w:szCs w:val="18"/>
              </w:rPr>
              <w:t>proportionate use of different regulatory tools</w:t>
            </w:r>
          </w:p>
          <w:p w14:paraId="3F52B2F6" w14:textId="77777777" w:rsidR="009763A8" w:rsidRDefault="009763A8" w:rsidP="009763A8">
            <w:pPr>
              <w:pStyle w:val="ListParagraph"/>
              <w:numPr>
                <w:ilvl w:val="0"/>
                <w:numId w:val="6"/>
              </w:numPr>
              <w:rPr>
                <w:rFonts w:eastAsiaTheme="minorEastAsia"/>
                <w:sz w:val="18"/>
                <w:szCs w:val="18"/>
              </w:rPr>
            </w:pPr>
            <w:r>
              <w:rPr>
                <w:rFonts w:eastAsiaTheme="minorEastAsia"/>
                <w:sz w:val="18"/>
                <w:szCs w:val="18"/>
              </w:rPr>
              <w:t>Commence work on establishment of a panel of environment specialists and a panel of investigators</w:t>
            </w:r>
          </w:p>
          <w:p w14:paraId="62A868ED" w14:textId="77777777" w:rsidR="009763A8" w:rsidRPr="30E2D023" w:rsidRDefault="009763A8" w:rsidP="00451183">
            <w:pPr>
              <w:pStyle w:val="ListParagraph"/>
              <w:rPr>
                <w:sz w:val="18"/>
                <w:szCs w:val="18"/>
              </w:rPr>
            </w:pPr>
          </w:p>
        </w:tc>
        <w:tc>
          <w:tcPr>
            <w:tcW w:w="4965" w:type="dxa"/>
          </w:tcPr>
          <w:p w14:paraId="71CE299B" w14:textId="77777777" w:rsidR="009763A8" w:rsidRDefault="009763A8" w:rsidP="009763A8">
            <w:pPr>
              <w:pStyle w:val="ListParagraph"/>
              <w:numPr>
                <w:ilvl w:val="0"/>
                <w:numId w:val="7"/>
              </w:numPr>
              <w:rPr>
                <w:rFonts w:eastAsiaTheme="minorEastAsia"/>
                <w:sz w:val="18"/>
                <w:szCs w:val="18"/>
              </w:rPr>
            </w:pPr>
            <w:r w:rsidRPr="30E2D023">
              <w:rPr>
                <w:sz w:val="18"/>
                <w:szCs w:val="18"/>
              </w:rPr>
              <w:t>In addition to filling currently vacant positions</w:t>
            </w:r>
            <w:r>
              <w:rPr>
                <w:sz w:val="18"/>
                <w:szCs w:val="18"/>
              </w:rPr>
              <w:t>, provide</w:t>
            </w:r>
            <w:r w:rsidRPr="30E2D023">
              <w:rPr>
                <w:sz w:val="18"/>
                <w:szCs w:val="18"/>
              </w:rPr>
              <w:t xml:space="preserve"> a minor increase in staffing of 5-6 people over the allocated 2020-21 level to bring the levels back up to around 46-47 staff plus an additional 3-4 staff to </w:t>
            </w:r>
            <w:r>
              <w:rPr>
                <w:sz w:val="18"/>
                <w:szCs w:val="18"/>
              </w:rPr>
              <w:t xml:space="preserve">continue to </w:t>
            </w:r>
            <w:r w:rsidRPr="30E2D023">
              <w:rPr>
                <w:sz w:val="18"/>
                <w:szCs w:val="18"/>
              </w:rPr>
              <w:t>lead the reform project</w:t>
            </w:r>
          </w:p>
          <w:p w14:paraId="0D1F1387" w14:textId="77777777" w:rsidR="009763A8" w:rsidRDefault="009763A8" w:rsidP="009763A8">
            <w:pPr>
              <w:pStyle w:val="ListParagraph"/>
              <w:numPr>
                <w:ilvl w:val="0"/>
                <w:numId w:val="7"/>
              </w:numPr>
              <w:rPr>
                <w:rFonts w:eastAsiaTheme="minorEastAsia"/>
                <w:sz w:val="18"/>
                <w:szCs w:val="18"/>
              </w:rPr>
            </w:pPr>
            <w:r w:rsidRPr="30E2D023">
              <w:rPr>
                <w:sz w:val="18"/>
                <w:szCs w:val="18"/>
              </w:rPr>
              <w:t>Increase access to specialist personnel through a panel of subject matter experts</w:t>
            </w:r>
          </w:p>
          <w:p w14:paraId="7C3CCB07" w14:textId="77777777" w:rsidR="009763A8" w:rsidRDefault="009763A8" w:rsidP="009763A8">
            <w:pPr>
              <w:pStyle w:val="ListParagraph"/>
              <w:numPr>
                <w:ilvl w:val="0"/>
                <w:numId w:val="7"/>
              </w:numPr>
              <w:rPr>
                <w:rFonts w:eastAsiaTheme="minorEastAsia"/>
                <w:sz w:val="18"/>
                <w:szCs w:val="18"/>
              </w:rPr>
            </w:pPr>
            <w:r w:rsidRPr="30E2D023">
              <w:rPr>
                <w:sz w:val="18"/>
                <w:szCs w:val="18"/>
              </w:rPr>
              <w:t xml:space="preserve">Increase the pool of investigator personnel </w:t>
            </w:r>
            <w:r>
              <w:rPr>
                <w:sz w:val="18"/>
                <w:szCs w:val="18"/>
              </w:rPr>
              <w:t>through contract staff or a pool of investigators that are part of a panel that can work on an as needed basis</w:t>
            </w:r>
          </w:p>
          <w:p w14:paraId="4345B318" w14:textId="5E60A356" w:rsidR="009763A8" w:rsidRDefault="009763A8" w:rsidP="009763A8">
            <w:pPr>
              <w:pStyle w:val="ListParagraph"/>
              <w:numPr>
                <w:ilvl w:val="0"/>
                <w:numId w:val="7"/>
              </w:numPr>
              <w:rPr>
                <w:sz w:val="18"/>
                <w:szCs w:val="18"/>
              </w:rPr>
            </w:pPr>
            <w:r w:rsidRPr="30E2D023">
              <w:rPr>
                <w:sz w:val="18"/>
                <w:szCs w:val="18"/>
              </w:rPr>
              <w:t>Develop a program for internal staff training</w:t>
            </w:r>
          </w:p>
          <w:p w14:paraId="63F47AC1" w14:textId="77777777" w:rsidR="009763A8" w:rsidRPr="30E2D023" w:rsidRDefault="009763A8" w:rsidP="00451183">
            <w:pPr>
              <w:pStyle w:val="ListParagraph"/>
              <w:rPr>
                <w:sz w:val="18"/>
                <w:szCs w:val="18"/>
              </w:rPr>
            </w:pPr>
          </w:p>
        </w:tc>
        <w:tc>
          <w:tcPr>
            <w:tcW w:w="4095" w:type="dxa"/>
          </w:tcPr>
          <w:p w14:paraId="3516328E" w14:textId="77777777" w:rsidR="009763A8" w:rsidRDefault="009763A8" w:rsidP="009763A8">
            <w:pPr>
              <w:pStyle w:val="ListParagraph"/>
              <w:numPr>
                <w:ilvl w:val="0"/>
                <w:numId w:val="5"/>
              </w:numPr>
              <w:rPr>
                <w:sz w:val="18"/>
                <w:szCs w:val="18"/>
              </w:rPr>
            </w:pPr>
            <w:r>
              <w:rPr>
                <w:sz w:val="18"/>
                <w:szCs w:val="18"/>
              </w:rPr>
              <w:t>Allocate resources based on the priorities identified through the Annual Compliance Plan</w:t>
            </w:r>
          </w:p>
        </w:tc>
      </w:tr>
      <w:tr w:rsidR="009763A8" w:rsidRPr="00857C2D" w14:paraId="17567283" w14:textId="77777777" w:rsidTr="00451183">
        <w:trPr>
          <w:trHeight w:val="1322"/>
        </w:trPr>
        <w:tc>
          <w:tcPr>
            <w:tcW w:w="1277" w:type="dxa"/>
          </w:tcPr>
          <w:p w14:paraId="628D56A3" w14:textId="77777777" w:rsidR="009763A8" w:rsidRPr="0023314F" w:rsidRDefault="009763A8" w:rsidP="00451183">
            <w:pPr>
              <w:rPr>
                <w:rFonts w:cstheme="minorHAnsi"/>
                <w:b/>
                <w:sz w:val="18"/>
                <w:szCs w:val="18"/>
              </w:rPr>
            </w:pPr>
          </w:p>
          <w:p w14:paraId="63418B59" w14:textId="77777777" w:rsidR="009763A8" w:rsidRPr="0023314F" w:rsidRDefault="009763A8" w:rsidP="00451183">
            <w:pPr>
              <w:rPr>
                <w:rFonts w:cstheme="minorHAnsi"/>
                <w:b/>
                <w:sz w:val="18"/>
                <w:szCs w:val="18"/>
              </w:rPr>
            </w:pPr>
            <w:r>
              <w:rPr>
                <w:rFonts w:cstheme="minorHAnsi"/>
                <w:b/>
                <w:bCs/>
                <w:sz w:val="18"/>
                <w:szCs w:val="18"/>
              </w:rPr>
              <w:t>Information management and systems</w:t>
            </w:r>
          </w:p>
        </w:tc>
        <w:tc>
          <w:tcPr>
            <w:tcW w:w="5055" w:type="dxa"/>
          </w:tcPr>
          <w:p w14:paraId="648BB0E4" w14:textId="77777777" w:rsidR="009763A8" w:rsidRDefault="009763A8" w:rsidP="009763A8">
            <w:pPr>
              <w:pStyle w:val="ListParagraph"/>
              <w:numPr>
                <w:ilvl w:val="0"/>
                <w:numId w:val="6"/>
              </w:numPr>
              <w:rPr>
                <w:rFonts w:eastAsiaTheme="minorEastAsia"/>
                <w:sz w:val="18"/>
                <w:szCs w:val="18"/>
              </w:rPr>
            </w:pPr>
            <w:r w:rsidRPr="500BFF24">
              <w:rPr>
                <w:sz w:val="18"/>
                <w:szCs w:val="18"/>
              </w:rPr>
              <w:t xml:space="preserve">Finalise procurement of CIIMS (Compliance Intelligence and Investigation </w:t>
            </w:r>
            <w:r>
              <w:rPr>
                <w:sz w:val="18"/>
                <w:szCs w:val="18"/>
              </w:rPr>
              <w:t xml:space="preserve">Management </w:t>
            </w:r>
            <w:r w:rsidRPr="500BFF24">
              <w:rPr>
                <w:sz w:val="18"/>
                <w:szCs w:val="18"/>
              </w:rPr>
              <w:t xml:space="preserve">System) to more effectively manage information relating to the compliance aspects of environmental programs and overcome the risks with the existing spreadsheet-based system </w:t>
            </w:r>
          </w:p>
          <w:p w14:paraId="5E0E19AE" w14:textId="77777777" w:rsidR="009763A8" w:rsidRDefault="009763A8" w:rsidP="009763A8">
            <w:pPr>
              <w:pStyle w:val="ListParagraph"/>
              <w:numPr>
                <w:ilvl w:val="0"/>
                <w:numId w:val="6"/>
              </w:numPr>
              <w:rPr>
                <w:sz w:val="18"/>
                <w:szCs w:val="18"/>
              </w:rPr>
            </w:pPr>
            <w:r>
              <w:rPr>
                <w:sz w:val="18"/>
                <w:szCs w:val="18"/>
              </w:rPr>
              <w:t>Continue the modernisation of the NESTRA system</w:t>
            </w:r>
          </w:p>
          <w:p w14:paraId="5DFC15E8" w14:textId="77777777" w:rsidR="009763A8" w:rsidRDefault="009763A8" w:rsidP="009763A8">
            <w:pPr>
              <w:pStyle w:val="ListParagraph"/>
              <w:numPr>
                <w:ilvl w:val="0"/>
                <w:numId w:val="6"/>
              </w:numPr>
              <w:rPr>
                <w:sz w:val="18"/>
                <w:szCs w:val="18"/>
              </w:rPr>
            </w:pPr>
            <w:r>
              <w:rPr>
                <w:sz w:val="18"/>
                <w:szCs w:val="18"/>
              </w:rPr>
              <w:t xml:space="preserve">Increase executive level oversight of how systems </w:t>
            </w:r>
            <w:r w:rsidRPr="2F1BE777">
              <w:rPr>
                <w:sz w:val="18"/>
                <w:szCs w:val="18"/>
              </w:rPr>
              <w:t xml:space="preserve">will </w:t>
            </w:r>
            <w:r>
              <w:rPr>
                <w:sz w:val="18"/>
                <w:szCs w:val="18"/>
              </w:rPr>
              <w:t>interface and integrate with other Departmental Systems</w:t>
            </w:r>
          </w:p>
          <w:p w14:paraId="2AE13C20" w14:textId="77777777" w:rsidR="009763A8" w:rsidRDefault="009763A8" w:rsidP="009763A8">
            <w:pPr>
              <w:pStyle w:val="ListParagraph"/>
              <w:numPr>
                <w:ilvl w:val="0"/>
                <w:numId w:val="6"/>
              </w:numPr>
              <w:rPr>
                <w:sz w:val="18"/>
                <w:szCs w:val="18"/>
              </w:rPr>
            </w:pPr>
            <w:r>
              <w:rPr>
                <w:sz w:val="18"/>
                <w:szCs w:val="18"/>
              </w:rPr>
              <w:t>Procure the software that allows mirroring of devices (around $100,000)</w:t>
            </w:r>
          </w:p>
          <w:p w14:paraId="1DCC5F1C" w14:textId="77777777" w:rsidR="009763A8" w:rsidRDefault="009763A8" w:rsidP="009763A8">
            <w:pPr>
              <w:pStyle w:val="ListParagraph"/>
              <w:numPr>
                <w:ilvl w:val="0"/>
                <w:numId w:val="6"/>
              </w:numPr>
              <w:rPr>
                <w:sz w:val="18"/>
                <w:szCs w:val="18"/>
              </w:rPr>
            </w:pPr>
            <w:r>
              <w:rPr>
                <w:sz w:val="18"/>
                <w:szCs w:val="18"/>
              </w:rPr>
              <w:t>Procure access to satellite imaging software such as Planet (around $300,000)</w:t>
            </w:r>
          </w:p>
          <w:p w14:paraId="44697396" w14:textId="77777777" w:rsidR="009763A8" w:rsidRDefault="009763A8" w:rsidP="00451183">
            <w:pPr>
              <w:pStyle w:val="ListParagraph"/>
              <w:rPr>
                <w:sz w:val="18"/>
                <w:szCs w:val="18"/>
              </w:rPr>
            </w:pPr>
          </w:p>
          <w:p w14:paraId="1C842719" w14:textId="77777777" w:rsidR="009763A8" w:rsidRPr="00857C2D" w:rsidRDefault="009763A8" w:rsidP="00451183">
            <w:pPr>
              <w:pStyle w:val="ListParagraph"/>
              <w:rPr>
                <w:sz w:val="18"/>
                <w:szCs w:val="18"/>
              </w:rPr>
            </w:pPr>
          </w:p>
        </w:tc>
        <w:tc>
          <w:tcPr>
            <w:tcW w:w="4965" w:type="dxa"/>
          </w:tcPr>
          <w:p w14:paraId="14DCA940" w14:textId="01D774C6" w:rsidR="009763A8" w:rsidRDefault="009763A8" w:rsidP="009763A8">
            <w:pPr>
              <w:pStyle w:val="ListParagraph"/>
              <w:numPr>
                <w:ilvl w:val="0"/>
                <w:numId w:val="6"/>
              </w:numPr>
              <w:rPr>
                <w:sz w:val="18"/>
                <w:szCs w:val="18"/>
              </w:rPr>
            </w:pPr>
            <w:r>
              <w:rPr>
                <w:sz w:val="18"/>
                <w:szCs w:val="18"/>
              </w:rPr>
              <w:t>Implement an updated and modernised NESTRA system</w:t>
            </w:r>
          </w:p>
          <w:p w14:paraId="7055B472" w14:textId="41A772EC" w:rsidR="009763A8" w:rsidRPr="0096004F" w:rsidRDefault="009763A8" w:rsidP="009763A8">
            <w:pPr>
              <w:pStyle w:val="ListParagraph"/>
              <w:numPr>
                <w:ilvl w:val="0"/>
                <w:numId w:val="6"/>
              </w:numPr>
              <w:rPr>
                <w:sz w:val="18"/>
                <w:szCs w:val="18"/>
              </w:rPr>
            </w:pPr>
            <w:r>
              <w:rPr>
                <w:sz w:val="18"/>
                <w:szCs w:val="18"/>
              </w:rPr>
              <w:t>Establish a coordinated governance and oversight role to ensure that new systems are developed in accordance with Department architecture standards</w:t>
            </w:r>
            <w:r w:rsidRPr="0D835CBA">
              <w:rPr>
                <w:sz w:val="18"/>
                <w:szCs w:val="18"/>
              </w:rPr>
              <w:t xml:space="preserve"> and oversight</w:t>
            </w:r>
          </w:p>
          <w:p w14:paraId="22F85C19" w14:textId="77777777" w:rsidR="009763A8" w:rsidRDefault="009763A8" w:rsidP="009763A8">
            <w:pPr>
              <w:pStyle w:val="ListParagraph"/>
              <w:numPr>
                <w:ilvl w:val="0"/>
                <w:numId w:val="6"/>
              </w:numPr>
              <w:rPr>
                <w:rFonts w:eastAsiaTheme="minorEastAsia"/>
                <w:sz w:val="18"/>
                <w:szCs w:val="18"/>
              </w:rPr>
            </w:pPr>
            <w:r w:rsidRPr="2F1BE777">
              <w:rPr>
                <w:sz w:val="18"/>
                <w:szCs w:val="18"/>
              </w:rPr>
              <w:t>Expand</w:t>
            </w:r>
            <w:r w:rsidRPr="4A830462">
              <w:rPr>
                <w:sz w:val="18"/>
                <w:szCs w:val="18"/>
              </w:rPr>
              <w:t xml:space="preserve"> work on the development of the Department’s Digital Interface Program (DEAP) to include the development of functional interfaces for the modern compliance systems so that all information can be integrated and accessible to officers from across the Department</w:t>
            </w:r>
          </w:p>
          <w:p w14:paraId="2CF1E71A" w14:textId="77777777" w:rsidR="009763A8" w:rsidRPr="00484FB2" w:rsidRDefault="009763A8" w:rsidP="00451183">
            <w:pPr>
              <w:rPr>
                <w:sz w:val="18"/>
                <w:szCs w:val="18"/>
              </w:rPr>
            </w:pPr>
          </w:p>
        </w:tc>
        <w:tc>
          <w:tcPr>
            <w:tcW w:w="4095" w:type="dxa"/>
          </w:tcPr>
          <w:p w14:paraId="573B96E0" w14:textId="77777777" w:rsidR="009763A8" w:rsidRPr="00857C2D" w:rsidRDefault="009763A8" w:rsidP="009763A8">
            <w:pPr>
              <w:pStyle w:val="ListParagraph"/>
              <w:numPr>
                <w:ilvl w:val="0"/>
                <w:numId w:val="6"/>
              </w:numPr>
              <w:rPr>
                <w:rFonts w:eastAsiaTheme="minorEastAsia"/>
                <w:sz w:val="18"/>
                <w:szCs w:val="18"/>
              </w:rPr>
            </w:pPr>
            <w:r w:rsidRPr="4A830462">
              <w:rPr>
                <w:sz w:val="18"/>
                <w:szCs w:val="18"/>
              </w:rPr>
              <w:t>Build data warehousing and data mining capabilities to identify trends and emerging compliance risks</w:t>
            </w:r>
          </w:p>
          <w:p w14:paraId="241805B0" w14:textId="77777777" w:rsidR="009763A8" w:rsidRPr="00857C2D" w:rsidRDefault="009763A8" w:rsidP="009763A8">
            <w:pPr>
              <w:pStyle w:val="ListParagraph"/>
              <w:numPr>
                <w:ilvl w:val="0"/>
                <w:numId w:val="6"/>
              </w:numPr>
              <w:rPr>
                <w:sz w:val="18"/>
                <w:szCs w:val="18"/>
              </w:rPr>
            </w:pPr>
            <w:r w:rsidRPr="4A830462">
              <w:rPr>
                <w:sz w:val="18"/>
                <w:szCs w:val="18"/>
              </w:rPr>
              <w:t xml:space="preserve">Establish reporting and data analysis capabilities that enable compliance interventions to be more strategic, evaluated and linked with data and intelligence from other security agencies such as those in the Department of Home Affairs </w:t>
            </w:r>
          </w:p>
          <w:p w14:paraId="489F0382" w14:textId="77777777" w:rsidR="009763A8" w:rsidRPr="00857C2D" w:rsidRDefault="009763A8" w:rsidP="00451183">
            <w:pPr>
              <w:pStyle w:val="ListParagraph"/>
              <w:rPr>
                <w:sz w:val="18"/>
                <w:szCs w:val="18"/>
              </w:rPr>
            </w:pPr>
          </w:p>
        </w:tc>
      </w:tr>
      <w:tr w:rsidR="009763A8" w:rsidRPr="00857C2D" w14:paraId="05B188A7" w14:textId="77777777" w:rsidTr="00451183">
        <w:trPr>
          <w:trHeight w:val="1372"/>
        </w:trPr>
        <w:tc>
          <w:tcPr>
            <w:tcW w:w="1277" w:type="dxa"/>
          </w:tcPr>
          <w:p w14:paraId="6A73CEB9" w14:textId="77777777" w:rsidR="009763A8" w:rsidRPr="0023314F" w:rsidRDefault="009763A8" w:rsidP="00451183">
            <w:pPr>
              <w:rPr>
                <w:rFonts w:cstheme="minorHAnsi"/>
                <w:b/>
                <w:sz w:val="18"/>
                <w:szCs w:val="18"/>
              </w:rPr>
            </w:pPr>
          </w:p>
          <w:p w14:paraId="77CE85D1" w14:textId="77777777" w:rsidR="009763A8" w:rsidRPr="0023314F" w:rsidRDefault="009763A8" w:rsidP="00451183">
            <w:pPr>
              <w:rPr>
                <w:b/>
                <w:sz w:val="18"/>
                <w:szCs w:val="18"/>
              </w:rPr>
            </w:pPr>
            <w:r>
              <w:rPr>
                <w:b/>
                <w:bCs/>
                <w:sz w:val="18"/>
                <w:szCs w:val="18"/>
              </w:rPr>
              <w:t>R</w:t>
            </w:r>
            <w:r w:rsidRPr="344D14CF">
              <w:rPr>
                <w:b/>
                <w:bCs/>
                <w:sz w:val="18"/>
                <w:szCs w:val="18"/>
              </w:rPr>
              <w:t>isk</w:t>
            </w:r>
            <w:r w:rsidRPr="344D14CF">
              <w:rPr>
                <w:b/>
                <w:sz w:val="18"/>
                <w:szCs w:val="18"/>
              </w:rPr>
              <w:t xml:space="preserve"> and prioritisation</w:t>
            </w:r>
          </w:p>
        </w:tc>
        <w:tc>
          <w:tcPr>
            <w:tcW w:w="5055" w:type="dxa"/>
          </w:tcPr>
          <w:p w14:paraId="48F0915F" w14:textId="77777777" w:rsidR="009763A8" w:rsidRPr="00D00B57" w:rsidRDefault="009763A8" w:rsidP="009763A8">
            <w:pPr>
              <w:pStyle w:val="ListParagraph"/>
              <w:numPr>
                <w:ilvl w:val="0"/>
                <w:numId w:val="8"/>
              </w:numPr>
              <w:rPr>
                <w:rFonts w:eastAsiaTheme="minorEastAsia"/>
                <w:sz w:val="18"/>
                <w:szCs w:val="18"/>
              </w:rPr>
            </w:pPr>
            <w:r w:rsidRPr="5A17C0DC">
              <w:rPr>
                <w:sz w:val="18"/>
                <w:szCs w:val="18"/>
              </w:rPr>
              <w:t xml:space="preserve">Urgently finalise inspection and monitoring arrangements </w:t>
            </w:r>
            <w:r>
              <w:rPr>
                <w:sz w:val="18"/>
                <w:szCs w:val="18"/>
              </w:rPr>
              <w:t xml:space="preserve">with States and Territories </w:t>
            </w:r>
            <w:r w:rsidRPr="5A17C0DC">
              <w:rPr>
                <w:sz w:val="18"/>
                <w:szCs w:val="18"/>
              </w:rPr>
              <w:t>for shipwrecks</w:t>
            </w:r>
            <w:r>
              <w:rPr>
                <w:sz w:val="18"/>
                <w:szCs w:val="18"/>
              </w:rPr>
              <w:t xml:space="preserve"> and clarify investigation responsibilities and resourcing</w:t>
            </w:r>
          </w:p>
          <w:p w14:paraId="5005B976" w14:textId="77777777" w:rsidR="009763A8" w:rsidRPr="00F65BBD" w:rsidRDefault="009763A8" w:rsidP="009763A8">
            <w:pPr>
              <w:pStyle w:val="ListParagraph"/>
              <w:numPr>
                <w:ilvl w:val="0"/>
                <w:numId w:val="8"/>
              </w:numPr>
              <w:rPr>
                <w:rFonts w:eastAsiaTheme="minorEastAsia"/>
                <w:sz w:val="18"/>
                <w:szCs w:val="18"/>
              </w:rPr>
            </w:pPr>
            <w:r>
              <w:rPr>
                <w:sz w:val="18"/>
                <w:szCs w:val="18"/>
              </w:rPr>
              <w:t xml:space="preserve">Undertake a strategic intelligence review of the illegal expert of hazardous waste inclusive of identifying resources needed to mitigate risk </w:t>
            </w:r>
            <w:r w:rsidRPr="5A17C0DC">
              <w:rPr>
                <w:sz w:val="18"/>
                <w:szCs w:val="18"/>
              </w:rPr>
              <w:t xml:space="preserve"> </w:t>
            </w:r>
          </w:p>
          <w:p w14:paraId="06A8B671" w14:textId="77777777" w:rsidR="009763A8" w:rsidRPr="0051015E" w:rsidRDefault="009763A8" w:rsidP="009763A8">
            <w:pPr>
              <w:pStyle w:val="ListParagraph"/>
              <w:numPr>
                <w:ilvl w:val="0"/>
                <w:numId w:val="8"/>
              </w:numPr>
              <w:rPr>
                <w:rFonts w:eastAsiaTheme="minorEastAsia"/>
                <w:sz w:val="18"/>
                <w:szCs w:val="18"/>
              </w:rPr>
            </w:pPr>
            <w:r>
              <w:rPr>
                <w:rFonts w:eastAsiaTheme="minorEastAsia"/>
                <w:sz w:val="18"/>
                <w:szCs w:val="18"/>
              </w:rPr>
              <w:t>Establish a project to undertake a risk assessment of permit holders under the Sea Dumping Act inclusive of addressing recent audit and establishing ongoing compliance roles and responsibilities</w:t>
            </w:r>
          </w:p>
          <w:p w14:paraId="116BC6F9" w14:textId="77777777" w:rsidR="009763A8" w:rsidRPr="00F65BBD" w:rsidRDefault="009763A8" w:rsidP="009763A8">
            <w:pPr>
              <w:pStyle w:val="ListParagraph"/>
              <w:numPr>
                <w:ilvl w:val="0"/>
                <w:numId w:val="8"/>
              </w:numPr>
              <w:rPr>
                <w:rFonts w:eastAsiaTheme="minorEastAsia"/>
                <w:sz w:val="18"/>
                <w:szCs w:val="18"/>
              </w:rPr>
            </w:pPr>
            <w:r w:rsidRPr="60DDA72E">
              <w:rPr>
                <w:sz w:val="18"/>
                <w:szCs w:val="18"/>
              </w:rPr>
              <w:t>Urgently establish a project to increase the focus on reviewing management reports with a view to increased follow up on any non-reporting (contract staff could do this</w:t>
            </w:r>
            <w:r>
              <w:rPr>
                <w:sz w:val="18"/>
                <w:szCs w:val="18"/>
              </w:rPr>
              <w:t xml:space="preserve"> around $200,000 to $300,000</w:t>
            </w:r>
            <w:r w:rsidRPr="60DDA72E">
              <w:rPr>
                <w:sz w:val="18"/>
                <w:szCs w:val="18"/>
              </w:rPr>
              <w:t>)</w:t>
            </w:r>
          </w:p>
          <w:p w14:paraId="6EBD0197" w14:textId="18534523" w:rsidR="009763A8" w:rsidRDefault="009763A8" w:rsidP="009763A8">
            <w:pPr>
              <w:pStyle w:val="ListParagraph"/>
              <w:numPr>
                <w:ilvl w:val="0"/>
                <w:numId w:val="8"/>
              </w:numPr>
              <w:rPr>
                <w:rFonts w:eastAsiaTheme="minorEastAsia"/>
                <w:sz w:val="18"/>
                <w:szCs w:val="18"/>
              </w:rPr>
            </w:pPr>
            <w:r>
              <w:rPr>
                <w:rFonts w:eastAsiaTheme="minorEastAsia"/>
                <w:sz w:val="18"/>
                <w:szCs w:val="18"/>
              </w:rPr>
              <w:t>Develop program specific compliance plans for three of the A</w:t>
            </w:r>
            <w:r w:rsidR="00524838">
              <w:rPr>
                <w:rFonts w:eastAsiaTheme="minorEastAsia"/>
                <w:sz w:val="18"/>
                <w:szCs w:val="18"/>
              </w:rPr>
              <w:t>ct</w:t>
            </w:r>
            <w:r>
              <w:rPr>
                <w:rFonts w:eastAsiaTheme="minorEastAsia"/>
                <w:sz w:val="18"/>
                <w:szCs w:val="18"/>
              </w:rPr>
              <w:t>s</w:t>
            </w:r>
            <w:r w:rsidR="00524838">
              <w:rPr>
                <w:rFonts w:eastAsiaTheme="minorEastAsia"/>
                <w:sz w:val="18"/>
                <w:szCs w:val="18"/>
              </w:rPr>
              <w:t>,</w:t>
            </w:r>
            <w:r>
              <w:rPr>
                <w:rFonts w:eastAsiaTheme="minorEastAsia"/>
                <w:sz w:val="18"/>
                <w:szCs w:val="18"/>
              </w:rPr>
              <w:t xml:space="preserve"> </w:t>
            </w:r>
            <w:r w:rsidR="00524838">
              <w:rPr>
                <w:rFonts w:eastAsiaTheme="minorEastAsia"/>
                <w:sz w:val="18"/>
                <w:szCs w:val="18"/>
              </w:rPr>
              <w:t xml:space="preserve">as set out in the report recommendations, </w:t>
            </w:r>
            <w:r>
              <w:rPr>
                <w:rFonts w:eastAsiaTheme="minorEastAsia"/>
                <w:sz w:val="18"/>
                <w:szCs w:val="18"/>
              </w:rPr>
              <w:t xml:space="preserve">where compliance responsibilities are not well defined </w:t>
            </w:r>
          </w:p>
          <w:p w14:paraId="63F2F477" w14:textId="6CAF461E" w:rsidR="009763A8" w:rsidRDefault="009763A8" w:rsidP="009763A8">
            <w:pPr>
              <w:pStyle w:val="ListParagraph"/>
              <w:numPr>
                <w:ilvl w:val="0"/>
                <w:numId w:val="8"/>
              </w:numPr>
              <w:rPr>
                <w:rFonts w:eastAsiaTheme="minorEastAsia"/>
                <w:sz w:val="18"/>
                <w:szCs w:val="18"/>
              </w:rPr>
            </w:pPr>
            <w:r>
              <w:rPr>
                <w:rFonts w:eastAsiaTheme="minorEastAsia"/>
                <w:sz w:val="18"/>
                <w:szCs w:val="18"/>
              </w:rPr>
              <w:t>Undertake a project to define intelligence capability requirements at the both the operational and strategic levels for environmental compliance</w:t>
            </w:r>
            <w:r w:rsidR="0029433E">
              <w:rPr>
                <w:rFonts w:eastAsiaTheme="minorEastAsia"/>
                <w:sz w:val="18"/>
                <w:szCs w:val="18"/>
              </w:rPr>
              <w:t>,</w:t>
            </w:r>
            <w:r>
              <w:rPr>
                <w:rFonts w:eastAsiaTheme="minorEastAsia"/>
                <w:sz w:val="18"/>
                <w:szCs w:val="18"/>
              </w:rPr>
              <w:t xml:space="preserve"> noting the role intelligence will play in defining future priorities across at least 7 legislative regimes</w:t>
            </w:r>
          </w:p>
          <w:p w14:paraId="7A9967BF" w14:textId="77777777" w:rsidR="009763A8" w:rsidRPr="00857C2D" w:rsidRDefault="009763A8" w:rsidP="00451183">
            <w:pPr>
              <w:rPr>
                <w:rFonts w:cstheme="minorHAnsi"/>
                <w:sz w:val="18"/>
                <w:szCs w:val="18"/>
              </w:rPr>
            </w:pPr>
          </w:p>
          <w:p w14:paraId="6A2E0784" w14:textId="77777777" w:rsidR="009763A8" w:rsidRPr="00857C2D" w:rsidRDefault="009763A8" w:rsidP="00451183">
            <w:pPr>
              <w:rPr>
                <w:rFonts w:cstheme="minorHAnsi"/>
                <w:sz w:val="18"/>
                <w:szCs w:val="18"/>
              </w:rPr>
            </w:pPr>
          </w:p>
        </w:tc>
        <w:tc>
          <w:tcPr>
            <w:tcW w:w="4965" w:type="dxa"/>
          </w:tcPr>
          <w:p w14:paraId="02E339FC" w14:textId="77777777" w:rsidR="009763A8" w:rsidRDefault="009763A8" w:rsidP="009763A8">
            <w:pPr>
              <w:pStyle w:val="ListParagraph"/>
              <w:numPr>
                <w:ilvl w:val="0"/>
                <w:numId w:val="8"/>
              </w:numPr>
              <w:rPr>
                <w:sz w:val="18"/>
                <w:szCs w:val="18"/>
              </w:rPr>
            </w:pPr>
            <w:r w:rsidRPr="60DDA72E">
              <w:rPr>
                <w:sz w:val="18"/>
                <w:szCs w:val="18"/>
              </w:rPr>
              <w:t xml:space="preserve">Establish a project team inclusive of </w:t>
            </w:r>
            <w:r>
              <w:rPr>
                <w:sz w:val="18"/>
                <w:szCs w:val="18"/>
              </w:rPr>
              <w:t xml:space="preserve">2-3 staff and some </w:t>
            </w:r>
            <w:r w:rsidRPr="60DDA72E">
              <w:rPr>
                <w:sz w:val="18"/>
                <w:szCs w:val="18"/>
              </w:rPr>
              <w:t>expert contractors to build a tailored risk prioritisation framework that can be applied to more effectively managing non-compliance across all environmental legislative regimes as follows:</w:t>
            </w:r>
          </w:p>
          <w:p w14:paraId="623422A8" w14:textId="77777777" w:rsidR="009763A8" w:rsidRDefault="009763A8" w:rsidP="009763A8">
            <w:pPr>
              <w:pStyle w:val="ListParagraph"/>
              <w:numPr>
                <w:ilvl w:val="1"/>
                <w:numId w:val="8"/>
              </w:numPr>
              <w:rPr>
                <w:sz w:val="18"/>
                <w:szCs w:val="18"/>
              </w:rPr>
            </w:pPr>
            <w:r>
              <w:rPr>
                <w:sz w:val="18"/>
                <w:szCs w:val="18"/>
              </w:rPr>
              <w:t>Consults with relevant program areas</w:t>
            </w:r>
          </w:p>
          <w:p w14:paraId="05226406" w14:textId="77777777" w:rsidR="009763A8" w:rsidRDefault="009763A8" w:rsidP="009763A8">
            <w:pPr>
              <w:pStyle w:val="ListParagraph"/>
              <w:numPr>
                <w:ilvl w:val="1"/>
                <w:numId w:val="8"/>
              </w:numPr>
              <w:rPr>
                <w:sz w:val="18"/>
                <w:szCs w:val="18"/>
              </w:rPr>
            </w:pPr>
            <w:r>
              <w:rPr>
                <w:sz w:val="18"/>
                <w:szCs w:val="18"/>
              </w:rPr>
              <w:t>Draws on program data</w:t>
            </w:r>
          </w:p>
          <w:p w14:paraId="1363EE42" w14:textId="77777777" w:rsidR="009763A8" w:rsidRDefault="009763A8" w:rsidP="009763A8">
            <w:pPr>
              <w:pStyle w:val="ListParagraph"/>
              <w:numPr>
                <w:ilvl w:val="1"/>
                <w:numId w:val="8"/>
              </w:numPr>
              <w:rPr>
                <w:sz w:val="18"/>
                <w:szCs w:val="18"/>
              </w:rPr>
            </w:pPr>
            <w:r>
              <w:rPr>
                <w:sz w:val="18"/>
                <w:szCs w:val="18"/>
              </w:rPr>
              <w:t>Specify s</w:t>
            </w:r>
            <w:r w:rsidRPr="60DDA72E">
              <w:rPr>
                <w:sz w:val="18"/>
                <w:szCs w:val="18"/>
              </w:rPr>
              <w:t>ectors at the right level of granularity to identify, compare and prioritise risk</w:t>
            </w:r>
            <w:r>
              <w:rPr>
                <w:sz w:val="18"/>
                <w:szCs w:val="18"/>
              </w:rPr>
              <w:t xml:space="preserve"> across programs</w:t>
            </w:r>
          </w:p>
          <w:p w14:paraId="7BB816AA" w14:textId="77777777" w:rsidR="009763A8" w:rsidRDefault="009763A8" w:rsidP="009763A8">
            <w:pPr>
              <w:pStyle w:val="ListParagraph"/>
              <w:numPr>
                <w:ilvl w:val="1"/>
                <w:numId w:val="8"/>
              </w:numPr>
              <w:rPr>
                <w:sz w:val="18"/>
                <w:szCs w:val="18"/>
              </w:rPr>
            </w:pPr>
            <w:r w:rsidRPr="60DDA72E">
              <w:rPr>
                <w:sz w:val="18"/>
                <w:szCs w:val="18"/>
              </w:rPr>
              <w:t>Identify environment</w:t>
            </w:r>
            <w:r>
              <w:rPr>
                <w:sz w:val="18"/>
                <w:szCs w:val="18"/>
              </w:rPr>
              <w:t>-</w:t>
            </w:r>
            <w:r w:rsidRPr="60DDA72E">
              <w:rPr>
                <w:sz w:val="18"/>
                <w:szCs w:val="18"/>
              </w:rPr>
              <w:t xml:space="preserve">specific risk </w:t>
            </w:r>
            <w:r>
              <w:rPr>
                <w:sz w:val="18"/>
                <w:szCs w:val="18"/>
              </w:rPr>
              <w:t>relevant to particular sectors</w:t>
            </w:r>
          </w:p>
          <w:p w14:paraId="604A7CE7" w14:textId="77777777" w:rsidR="009763A8" w:rsidRDefault="009763A8" w:rsidP="009763A8">
            <w:pPr>
              <w:pStyle w:val="ListParagraph"/>
              <w:numPr>
                <w:ilvl w:val="1"/>
                <w:numId w:val="8"/>
              </w:numPr>
              <w:rPr>
                <w:sz w:val="18"/>
                <w:szCs w:val="18"/>
              </w:rPr>
            </w:pPr>
            <w:r w:rsidRPr="60DDA72E">
              <w:rPr>
                <w:sz w:val="18"/>
                <w:szCs w:val="18"/>
              </w:rPr>
              <w:t>Develop an appropriate scoring system to more effectively rate the risks in respect of likelihood and consequence of the risk</w:t>
            </w:r>
          </w:p>
          <w:p w14:paraId="24A6A195" w14:textId="77777777" w:rsidR="009763A8" w:rsidRDefault="009763A8" w:rsidP="009763A8">
            <w:pPr>
              <w:pStyle w:val="ListParagraph"/>
              <w:numPr>
                <w:ilvl w:val="0"/>
                <w:numId w:val="8"/>
              </w:numPr>
              <w:rPr>
                <w:rFonts w:eastAsiaTheme="minorEastAsia"/>
                <w:sz w:val="18"/>
                <w:szCs w:val="18"/>
              </w:rPr>
            </w:pPr>
            <w:r w:rsidRPr="1BB38F30">
              <w:rPr>
                <w:sz w:val="18"/>
                <w:szCs w:val="18"/>
              </w:rPr>
              <w:t>Develop an agreed prioritisation framework including executive</w:t>
            </w:r>
            <w:r>
              <w:rPr>
                <w:sz w:val="18"/>
                <w:szCs w:val="18"/>
              </w:rPr>
              <w:t>-</w:t>
            </w:r>
            <w:r w:rsidRPr="1BB38F30">
              <w:rPr>
                <w:sz w:val="18"/>
                <w:szCs w:val="18"/>
              </w:rPr>
              <w:t xml:space="preserve">level briefing and sign off processes </w:t>
            </w:r>
          </w:p>
          <w:p w14:paraId="279187AE" w14:textId="77777777" w:rsidR="009763A8" w:rsidRDefault="009763A8" w:rsidP="009763A8">
            <w:pPr>
              <w:pStyle w:val="ListParagraph"/>
              <w:numPr>
                <w:ilvl w:val="0"/>
                <w:numId w:val="8"/>
              </w:numPr>
              <w:rPr>
                <w:sz w:val="18"/>
                <w:szCs w:val="18"/>
              </w:rPr>
            </w:pPr>
            <w:r w:rsidRPr="60DDA72E">
              <w:rPr>
                <w:sz w:val="18"/>
                <w:szCs w:val="18"/>
              </w:rPr>
              <w:t>Assign the ongoing risk assessment and annual compliance planning to a particular section in the Branch and maintain a process of regular assessment of risks</w:t>
            </w:r>
          </w:p>
          <w:p w14:paraId="150EDAAE" w14:textId="77777777" w:rsidR="009763A8" w:rsidRPr="00FE0472" w:rsidRDefault="009763A8" w:rsidP="009763A8">
            <w:pPr>
              <w:pStyle w:val="ListParagraph"/>
              <w:numPr>
                <w:ilvl w:val="0"/>
                <w:numId w:val="8"/>
              </w:numPr>
              <w:rPr>
                <w:sz w:val="18"/>
                <w:szCs w:val="18"/>
              </w:rPr>
            </w:pPr>
            <w:r>
              <w:rPr>
                <w:sz w:val="18"/>
                <w:szCs w:val="18"/>
              </w:rPr>
              <w:t>Oversight of risk assessment is undertaken by the Executive Board</w:t>
            </w:r>
          </w:p>
          <w:p w14:paraId="6297C2F0" w14:textId="77777777" w:rsidR="009763A8" w:rsidRPr="00857C2D" w:rsidRDefault="009763A8" w:rsidP="00451183">
            <w:pPr>
              <w:rPr>
                <w:sz w:val="18"/>
                <w:szCs w:val="18"/>
              </w:rPr>
            </w:pPr>
          </w:p>
        </w:tc>
        <w:tc>
          <w:tcPr>
            <w:tcW w:w="4095" w:type="dxa"/>
          </w:tcPr>
          <w:p w14:paraId="731E6C71" w14:textId="77777777" w:rsidR="009763A8" w:rsidRDefault="009763A8" w:rsidP="009763A8">
            <w:pPr>
              <w:pStyle w:val="ListParagraph"/>
              <w:numPr>
                <w:ilvl w:val="0"/>
                <w:numId w:val="8"/>
              </w:numPr>
              <w:rPr>
                <w:sz w:val="18"/>
                <w:szCs w:val="18"/>
              </w:rPr>
            </w:pPr>
            <w:r>
              <w:rPr>
                <w:sz w:val="18"/>
                <w:szCs w:val="18"/>
              </w:rPr>
              <w:t>The prioritisation and risk assessment process is accompanied by a detailed project implementation plan and resourcing plan</w:t>
            </w:r>
            <w:r w:rsidRPr="164455D3">
              <w:rPr>
                <w:sz w:val="18"/>
                <w:szCs w:val="18"/>
              </w:rPr>
              <w:t xml:space="preserve"> </w:t>
            </w:r>
          </w:p>
          <w:p w14:paraId="71332388" w14:textId="77777777" w:rsidR="009763A8" w:rsidRDefault="009763A8" w:rsidP="009763A8">
            <w:pPr>
              <w:pStyle w:val="ListParagraph"/>
              <w:numPr>
                <w:ilvl w:val="0"/>
                <w:numId w:val="8"/>
              </w:numPr>
              <w:rPr>
                <w:sz w:val="18"/>
                <w:szCs w:val="18"/>
              </w:rPr>
            </w:pPr>
            <w:r>
              <w:rPr>
                <w:sz w:val="18"/>
                <w:szCs w:val="18"/>
              </w:rPr>
              <w:t xml:space="preserve">Continue to engage </w:t>
            </w:r>
            <w:r w:rsidRPr="164455D3">
              <w:rPr>
                <w:sz w:val="18"/>
                <w:szCs w:val="18"/>
              </w:rPr>
              <w:t xml:space="preserve">Program areas in </w:t>
            </w:r>
            <w:r w:rsidRPr="28384B95">
              <w:rPr>
                <w:sz w:val="18"/>
                <w:szCs w:val="18"/>
              </w:rPr>
              <w:t>the process of annual or biannual</w:t>
            </w:r>
            <w:r>
              <w:rPr>
                <w:sz w:val="18"/>
                <w:szCs w:val="18"/>
              </w:rPr>
              <w:t xml:space="preserve"> risk assessment</w:t>
            </w:r>
          </w:p>
          <w:p w14:paraId="51E71B9B" w14:textId="77777777" w:rsidR="009763A8" w:rsidRPr="00857C2D" w:rsidRDefault="009763A8" w:rsidP="009763A8">
            <w:pPr>
              <w:pStyle w:val="ListParagraph"/>
              <w:numPr>
                <w:ilvl w:val="0"/>
                <w:numId w:val="8"/>
              </w:numPr>
              <w:rPr>
                <w:sz w:val="18"/>
                <w:szCs w:val="18"/>
              </w:rPr>
            </w:pPr>
            <w:r>
              <w:rPr>
                <w:sz w:val="18"/>
                <w:szCs w:val="18"/>
              </w:rPr>
              <w:t>These plans should be overseen by the Executive Board and the Department’s Audit and Risk committee</w:t>
            </w:r>
          </w:p>
          <w:p w14:paraId="2A1AE53F" w14:textId="77777777" w:rsidR="009763A8" w:rsidRDefault="009763A8" w:rsidP="009763A8">
            <w:pPr>
              <w:pStyle w:val="ListParagraph"/>
              <w:numPr>
                <w:ilvl w:val="0"/>
                <w:numId w:val="8"/>
              </w:numPr>
              <w:rPr>
                <w:sz w:val="18"/>
                <w:szCs w:val="18"/>
              </w:rPr>
            </w:pPr>
            <w:r>
              <w:rPr>
                <w:sz w:val="18"/>
                <w:szCs w:val="18"/>
              </w:rPr>
              <w:t>Consider further investment of staff and IT to increase the robustness of the risk assessment process</w:t>
            </w:r>
          </w:p>
          <w:p w14:paraId="64D976DA" w14:textId="77777777" w:rsidR="009763A8" w:rsidRPr="00857C2D" w:rsidRDefault="009763A8" w:rsidP="009763A8">
            <w:pPr>
              <w:pStyle w:val="ListParagraph"/>
              <w:numPr>
                <w:ilvl w:val="0"/>
                <w:numId w:val="8"/>
              </w:numPr>
              <w:rPr>
                <w:rFonts w:eastAsiaTheme="minorEastAsia"/>
                <w:sz w:val="18"/>
                <w:szCs w:val="18"/>
              </w:rPr>
            </w:pPr>
            <w:r>
              <w:rPr>
                <w:sz w:val="18"/>
                <w:szCs w:val="18"/>
              </w:rPr>
              <w:t>Establish</w:t>
            </w:r>
            <w:r w:rsidRPr="17551173">
              <w:rPr>
                <w:sz w:val="18"/>
                <w:szCs w:val="18"/>
              </w:rPr>
              <w:t xml:space="preserve"> priorities for the Commonwealth complemented by the work of the </w:t>
            </w:r>
            <w:r>
              <w:rPr>
                <w:sz w:val="18"/>
                <w:szCs w:val="18"/>
              </w:rPr>
              <w:t>s</w:t>
            </w:r>
            <w:r w:rsidRPr="17551173">
              <w:rPr>
                <w:sz w:val="18"/>
                <w:szCs w:val="18"/>
              </w:rPr>
              <w:t xml:space="preserve">tates and </w:t>
            </w:r>
            <w:r>
              <w:rPr>
                <w:sz w:val="18"/>
                <w:szCs w:val="18"/>
              </w:rPr>
              <w:t>t</w:t>
            </w:r>
            <w:r w:rsidRPr="17551173">
              <w:rPr>
                <w:sz w:val="18"/>
                <w:szCs w:val="18"/>
              </w:rPr>
              <w:t xml:space="preserve">erritories </w:t>
            </w:r>
            <w:r>
              <w:rPr>
                <w:sz w:val="18"/>
                <w:szCs w:val="18"/>
              </w:rPr>
              <w:t>so that</w:t>
            </w:r>
            <w:r w:rsidRPr="17551173">
              <w:rPr>
                <w:sz w:val="18"/>
                <w:szCs w:val="18"/>
              </w:rPr>
              <w:t xml:space="preserve"> the Department develop</w:t>
            </w:r>
            <w:r>
              <w:rPr>
                <w:sz w:val="18"/>
                <w:szCs w:val="18"/>
              </w:rPr>
              <w:t>s</w:t>
            </w:r>
            <w:r w:rsidRPr="17551173">
              <w:rPr>
                <w:sz w:val="18"/>
                <w:szCs w:val="18"/>
              </w:rPr>
              <w:t xml:space="preserve"> a clear and strong narrative about how its responsibilities are being managed not just through its own activity but that of partner organisations</w:t>
            </w:r>
          </w:p>
        </w:tc>
      </w:tr>
      <w:tr w:rsidR="009763A8" w:rsidRPr="00857C2D" w14:paraId="40C62C55" w14:textId="77777777" w:rsidTr="00451183">
        <w:trPr>
          <w:trHeight w:val="545"/>
        </w:trPr>
        <w:tc>
          <w:tcPr>
            <w:tcW w:w="1277" w:type="dxa"/>
          </w:tcPr>
          <w:p w14:paraId="06D42106" w14:textId="77777777" w:rsidR="009763A8" w:rsidRPr="0023314F" w:rsidRDefault="009763A8" w:rsidP="00451183">
            <w:pPr>
              <w:rPr>
                <w:rFonts w:cstheme="minorHAnsi"/>
                <w:b/>
                <w:sz w:val="18"/>
                <w:szCs w:val="18"/>
              </w:rPr>
            </w:pPr>
          </w:p>
          <w:p w14:paraId="1303990E" w14:textId="77777777" w:rsidR="009763A8" w:rsidRPr="00857C2D" w:rsidRDefault="009763A8" w:rsidP="00451183">
            <w:pPr>
              <w:rPr>
                <w:sz w:val="18"/>
                <w:szCs w:val="18"/>
              </w:rPr>
            </w:pPr>
            <w:r w:rsidRPr="3B7D8504">
              <w:rPr>
                <w:b/>
                <w:bCs/>
                <w:sz w:val="18"/>
                <w:szCs w:val="18"/>
              </w:rPr>
              <w:t>Partnerships</w:t>
            </w:r>
            <w:r w:rsidRPr="3B7D8504">
              <w:rPr>
                <w:b/>
                <w:sz w:val="18"/>
                <w:szCs w:val="18"/>
              </w:rPr>
              <w:t xml:space="preserve"> and </w:t>
            </w:r>
            <w:r>
              <w:rPr>
                <w:b/>
                <w:sz w:val="18"/>
                <w:szCs w:val="18"/>
              </w:rPr>
              <w:t>e</w:t>
            </w:r>
            <w:r w:rsidRPr="3B7D8504">
              <w:rPr>
                <w:b/>
                <w:sz w:val="18"/>
                <w:szCs w:val="18"/>
              </w:rPr>
              <w:t>ngagement</w:t>
            </w:r>
          </w:p>
        </w:tc>
        <w:tc>
          <w:tcPr>
            <w:tcW w:w="5055" w:type="dxa"/>
          </w:tcPr>
          <w:p w14:paraId="0C137891" w14:textId="5B8120C6" w:rsidR="009763A8" w:rsidRPr="00857C2D" w:rsidRDefault="0029433E" w:rsidP="009763A8">
            <w:pPr>
              <w:pStyle w:val="ListParagraph"/>
              <w:numPr>
                <w:ilvl w:val="0"/>
                <w:numId w:val="9"/>
              </w:numPr>
              <w:rPr>
                <w:rFonts w:eastAsiaTheme="minorEastAsia"/>
                <w:sz w:val="18"/>
                <w:szCs w:val="18"/>
              </w:rPr>
            </w:pPr>
            <w:r>
              <w:rPr>
                <w:sz w:val="18"/>
                <w:szCs w:val="18"/>
              </w:rPr>
              <w:t>ECB</w:t>
            </w:r>
            <w:r w:rsidR="009763A8" w:rsidRPr="75E5A196">
              <w:rPr>
                <w:sz w:val="18"/>
                <w:szCs w:val="18"/>
              </w:rPr>
              <w:t xml:space="preserve"> to </w:t>
            </w:r>
            <w:r w:rsidR="009763A8">
              <w:rPr>
                <w:sz w:val="18"/>
                <w:szCs w:val="18"/>
              </w:rPr>
              <w:t>be fully included in the work being undertaken by the program area</w:t>
            </w:r>
            <w:r>
              <w:rPr>
                <w:sz w:val="18"/>
                <w:szCs w:val="18"/>
              </w:rPr>
              <w:t>s</w:t>
            </w:r>
            <w:r w:rsidR="009763A8">
              <w:rPr>
                <w:sz w:val="18"/>
                <w:szCs w:val="18"/>
              </w:rPr>
              <w:t xml:space="preserve"> to develop standard conditions</w:t>
            </w:r>
          </w:p>
          <w:p w14:paraId="62051B48" w14:textId="77777777" w:rsidR="009763A8" w:rsidRDefault="009763A8" w:rsidP="009763A8">
            <w:pPr>
              <w:pStyle w:val="ListParagraph"/>
              <w:numPr>
                <w:ilvl w:val="0"/>
                <w:numId w:val="9"/>
              </w:numPr>
              <w:rPr>
                <w:sz w:val="18"/>
                <w:szCs w:val="18"/>
              </w:rPr>
            </w:pPr>
            <w:r w:rsidRPr="2DC79DBB">
              <w:rPr>
                <w:sz w:val="18"/>
                <w:szCs w:val="18"/>
              </w:rPr>
              <w:t xml:space="preserve">Increase compliance officer involvement in the development of non-standard conditions </w:t>
            </w:r>
            <w:r>
              <w:rPr>
                <w:sz w:val="18"/>
                <w:szCs w:val="18"/>
              </w:rPr>
              <w:t>across programs</w:t>
            </w:r>
          </w:p>
          <w:p w14:paraId="78F4735E" w14:textId="77777777" w:rsidR="009763A8" w:rsidRPr="00EE009E" w:rsidRDefault="009763A8" w:rsidP="009763A8">
            <w:pPr>
              <w:pStyle w:val="ListParagraph"/>
              <w:numPr>
                <w:ilvl w:val="0"/>
                <w:numId w:val="9"/>
              </w:numPr>
              <w:rPr>
                <w:rFonts w:eastAsiaTheme="minorEastAsia"/>
                <w:sz w:val="18"/>
                <w:szCs w:val="18"/>
              </w:rPr>
            </w:pPr>
            <w:r w:rsidRPr="550F3050">
              <w:rPr>
                <w:sz w:val="18"/>
                <w:szCs w:val="18"/>
              </w:rPr>
              <w:t xml:space="preserve">Proactively develop good working relationships with officers from program areas </w:t>
            </w:r>
            <w:r>
              <w:rPr>
                <w:sz w:val="18"/>
                <w:szCs w:val="18"/>
              </w:rPr>
              <w:t>through regular meetings be held between program and compliance Assistant Secretaries to support joint projects and promote information sharing, examine priorities, emerging issues and resourcing</w:t>
            </w:r>
          </w:p>
          <w:p w14:paraId="54FAD1A9" w14:textId="77777777" w:rsidR="009763A8" w:rsidRDefault="009763A8" w:rsidP="009763A8">
            <w:pPr>
              <w:pStyle w:val="ListParagraph"/>
              <w:numPr>
                <w:ilvl w:val="0"/>
                <w:numId w:val="9"/>
              </w:numPr>
              <w:rPr>
                <w:rFonts w:eastAsiaTheme="minorEastAsia"/>
                <w:sz w:val="18"/>
                <w:szCs w:val="18"/>
              </w:rPr>
            </w:pPr>
            <w:r>
              <w:rPr>
                <w:sz w:val="18"/>
                <w:szCs w:val="18"/>
              </w:rPr>
              <w:t>A specific area of the Department coordinate engagement in cross portfolio forums relating to serious and organised crime so that Departmental representatives are well equipped to ensure environmental issues are discussed at whole of government meetings</w:t>
            </w:r>
            <w:r w:rsidRPr="2F9779A9">
              <w:rPr>
                <w:sz w:val="18"/>
                <w:szCs w:val="18"/>
              </w:rPr>
              <w:t xml:space="preserve"> </w:t>
            </w:r>
          </w:p>
          <w:p w14:paraId="354A2B9E" w14:textId="77777777" w:rsidR="009763A8" w:rsidRDefault="009763A8" w:rsidP="009763A8">
            <w:pPr>
              <w:pStyle w:val="ListParagraph"/>
              <w:numPr>
                <w:ilvl w:val="0"/>
                <w:numId w:val="9"/>
              </w:numPr>
              <w:rPr>
                <w:rFonts w:cstheme="minorHAnsi"/>
                <w:sz w:val="18"/>
                <w:szCs w:val="18"/>
              </w:rPr>
            </w:pPr>
            <w:r>
              <w:rPr>
                <w:rFonts w:cstheme="minorHAnsi"/>
                <w:sz w:val="18"/>
                <w:szCs w:val="18"/>
              </w:rPr>
              <w:t xml:space="preserve">Continue to foster effective relationships with the CDPP and Australian Border Force including briefing senior executives on any issues and barriers that may emerge to progressing environmental compliance actions </w:t>
            </w:r>
          </w:p>
          <w:p w14:paraId="567F7D60" w14:textId="3C711C32" w:rsidR="009763A8" w:rsidRDefault="009763A8" w:rsidP="00E34A11">
            <w:pPr>
              <w:pStyle w:val="ListParagraph"/>
              <w:numPr>
                <w:ilvl w:val="0"/>
                <w:numId w:val="9"/>
              </w:numPr>
              <w:rPr>
                <w:rFonts w:cstheme="minorHAnsi"/>
                <w:sz w:val="18"/>
                <w:szCs w:val="18"/>
              </w:rPr>
            </w:pPr>
            <w:r w:rsidRPr="00E34A11">
              <w:rPr>
                <w:rFonts w:cstheme="minorHAnsi"/>
                <w:sz w:val="18"/>
                <w:szCs w:val="18"/>
              </w:rPr>
              <w:t xml:space="preserve">Involve </w:t>
            </w:r>
            <w:r w:rsidR="00692E8E">
              <w:rPr>
                <w:rFonts w:cstheme="minorHAnsi"/>
                <w:sz w:val="18"/>
                <w:szCs w:val="18"/>
              </w:rPr>
              <w:t>ECB</w:t>
            </w:r>
            <w:r w:rsidRPr="00E34A11">
              <w:rPr>
                <w:rFonts w:cstheme="minorHAnsi"/>
                <w:sz w:val="18"/>
                <w:szCs w:val="18"/>
              </w:rPr>
              <w:t xml:space="preserve"> in the state and territory officer-level discussions occurring in respect of changes to the administration of the EPBC Act as compliance will be directly impacted and need to adjust its processes. In addition, they can provide useful advice on the range of matters that will need to be considered regarding compliance</w:t>
            </w:r>
          </w:p>
          <w:p w14:paraId="31BB4DE4" w14:textId="5D992078" w:rsidR="0093748A" w:rsidRPr="00857C2D" w:rsidRDefault="0093748A" w:rsidP="0093748A">
            <w:pPr>
              <w:pStyle w:val="ListParagraph"/>
              <w:rPr>
                <w:rFonts w:cstheme="minorHAnsi"/>
                <w:sz w:val="18"/>
                <w:szCs w:val="18"/>
              </w:rPr>
            </w:pPr>
          </w:p>
        </w:tc>
        <w:tc>
          <w:tcPr>
            <w:tcW w:w="4965" w:type="dxa"/>
          </w:tcPr>
          <w:p w14:paraId="79A7EB28" w14:textId="77777777" w:rsidR="009763A8" w:rsidRPr="00C068C6" w:rsidRDefault="009763A8" w:rsidP="009763A8">
            <w:pPr>
              <w:pStyle w:val="ListParagraph"/>
              <w:numPr>
                <w:ilvl w:val="0"/>
                <w:numId w:val="9"/>
              </w:numPr>
              <w:rPr>
                <w:rFonts w:cstheme="minorHAnsi"/>
                <w:sz w:val="18"/>
                <w:szCs w:val="18"/>
              </w:rPr>
            </w:pPr>
            <w:r>
              <w:rPr>
                <w:rFonts w:cstheme="minorHAnsi"/>
                <w:sz w:val="18"/>
                <w:szCs w:val="18"/>
              </w:rPr>
              <w:t xml:space="preserve">Following a small </w:t>
            </w:r>
            <w:r w:rsidRPr="00C068C6">
              <w:rPr>
                <w:rFonts w:cstheme="minorHAnsi"/>
                <w:sz w:val="18"/>
                <w:szCs w:val="18"/>
              </w:rPr>
              <w:t>increase in compliance staffing numbers</w:t>
            </w:r>
            <w:r>
              <w:rPr>
                <w:rFonts w:cstheme="minorHAnsi"/>
                <w:sz w:val="18"/>
                <w:szCs w:val="18"/>
              </w:rPr>
              <w:t>,</w:t>
            </w:r>
            <w:r w:rsidRPr="00C068C6">
              <w:rPr>
                <w:rFonts w:cstheme="minorHAnsi"/>
                <w:sz w:val="18"/>
                <w:szCs w:val="18"/>
              </w:rPr>
              <w:t xml:space="preserve"> identify key contacts for programs and jurisdictions to further develop these key relationships and to progress matters more quickly including through escalation if need be</w:t>
            </w:r>
          </w:p>
          <w:p w14:paraId="39F55ABD" w14:textId="77777777" w:rsidR="009763A8" w:rsidRDefault="009763A8" w:rsidP="009763A8">
            <w:pPr>
              <w:pStyle w:val="ListParagraph"/>
              <w:numPr>
                <w:ilvl w:val="0"/>
                <w:numId w:val="9"/>
              </w:numPr>
              <w:rPr>
                <w:rFonts w:cstheme="minorHAnsi"/>
                <w:sz w:val="18"/>
                <w:szCs w:val="18"/>
              </w:rPr>
            </w:pPr>
            <w:r w:rsidRPr="00C068C6">
              <w:rPr>
                <w:rFonts w:cstheme="minorHAnsi"/>
                <w:sz w:val="18"/>
                <w:szCs w:val="18"/>
              </w:rPr>
              <w:t>Increase senior executive involvement in cross agency matters through more regular advice to senior executives on actions and emerging barriers with other Commonwealth agencies</w:t>
            </w:r>
          </w:p>
          <w:p w14:paraId="5DF545BA" w14:textId="3549B6FC" w:rsidR="009763A8" w:rsidRPr="001A67B2" w:rsidRDefault="009763A8" w:rsidP="001A67B2">
            <w:pPr>
              <w:pStyle w:val="ListParagraph"/>
              <w:numPr>
                <w:ilvl w:val="0"/>
                <w:numId w:val="9"/>
              </w:numPr>
              <w:rPr>
                <w:sz w:val="18"/>
                <w:szCs w:val="18"/>
              </w:rPr>
            </w:pPr>
            <w:r w:rsidRPr="7BCA7822">
              <w:rPr>
                <w:sz w:val="18"/>
                <w:szCs w:val="18"/>
              </w:rPr>
              <w:t>Develop relationships with industry representative bodies to engage them in common and emerging compliance issue discussions and seek their support to educate and advise their members</w:t>
            </w:r>
          </w:p>
        </w:tc>
        <w:tc>
          <w:tcPr>
            <w:tcW w:w="4095" w:type="dxa"/>
          </w:tcPr>
          <w:p w14:paraId="2580D20E" w14:textId="77777777" w:rsidR="009763A8" w:rsidRDefault="009763A8" w:rsidP="009763A8">
            <w:pPr>
              <w:pStyle w:val="ListParagraph"/>
              <w:numPr>
                <w:ilvl w:val="0"/>
                <w:numId w:val="9"/>
              </w:numPr>
              <w:rPr>
                <w:rFonts w:cstheme="minorHAnsi"/>
                <w:sz w:val="18"/>
                <w:szCs w:val="18"/>
              </w:rPr>
            </w:pPr>
            <w:r>
              <w:rPr>
                <w:rFonts w:cstheme="minorHAnsi"/>
                <w:sz w:val="18"/>
                <w:szCs w:val="18"/>
              </w:rPr>
              <w:t>Develop strategies for data and information sharing with other agencies and jurisdictions</w:t>
            </w:r>
          </w:p>
          <w:p w14:paraId="5A0722A0" w14:textId="77777777" w:rsidR="009763A8" w:rsidRPr="00EB6C8D" w:rsidRDefault="009763A8" w:rsidP="009763A8">
            <w:pPr>
              <w:pStyle w:val="ListParagraph"/>
              <w:numPr>
                <w:ilvl w:val="0"/>
                <w:numId w:val="9"/>
              </w:numPr>
              <w:rPr>
                <w:rFonts w:cstheme="minorHAnsi"/>
                <w:sz w:val="18"/>
                <w:szCs w:val="18"/>
              </w:rPr>
            </w:pPr>
            <w:r w:rsidRPr="7BCA7822">
              <w:rPr>
                <w:sz w:val="18"/>
                <w:szCs w:val="18"/>
              </w:rPr>
              <w:t xml:space="preserve">Develop an annual forum </w:t>
            </w:r>
            <w:r>
              <w:rPr>
                <w:sz w:val="18"/>
                <w:szCs w:val="18"/>
              </w:rPr>
              <w:t>in which</w:t>
            </w:r>
            <w:r w:rsidRPr="7BCA7822">
              <w:rPr>
                <w:sz w:val="18"/>
                <w:szCs w:val="18"/>
              </w:rPr>
              <w:t xml:space="preserve"> all stakeholders can share compliance learnings, promote the benefits of compliance and showcase positive case studies</w:t>
            </w:r>
          </w:p>
          <w:p w14:paraId="5EC82F29" w14:textId="77777777" w:rsidR="009763A8" w:rsidRPr="00857C2D" w:rsidRDefault="009763A8" w:rsidP="009763A8">
            <w:pPr>
              <w:pStyle w:val="ListParagraph"/>
              <w:numPr>
                <w:ilvl w:val="0"/>
                <w:numId w:val="9"/>
              </w:numPr>
              <w:rPr>
                <w:rFonts w:eastAsiaTheme="minorEastAsia"/>
                <w:sz w:val="18"/>
                <w:szCs w:val="18"/>
              </w:rPr>
            </w:pPr>
            <w:r>
              <w:rPr>
                <w:rFonts w:eastAsiaTheme="minorEastAsia"/>
                <w:sz w:val="18"/>
                <w:szCs w:val="18"/>
              </w:rPr>
              <w:t>Develop an awards program to highlight and promote well designed and implemented compliance activity by industries</w:t>
            </w:r>
          </w:p>
        </w:tc>
      </w:tr>
      <w:tr w:rsidR="009763A8" w:rsidRPr="00857C2D" w14:paraId="388A7221" w14:textId="77777777" w:rsidTr="00451183">
        <w:trPr>
          <w:trHeight w:val="1322"/>
        </w:trPr>
        <w:tc>
          <w:tcPr>
            <w:tcW w:w="1277" w:type="dxa"/>
          </w:tcPr>
          <w:p w14:paraId="107801C8" w14:textId="77777777" w:rsidR="0093748A" w:rsidRDefault="0093748A" w:rsidP="00451183">
            <w:pPr>
              <w:rPr>
                <w:rFonts w:cstheme="minorHAnsi"/>
                <w:b/>
                <w:bCs/>
                <w:sz w:val="18"/>
                <w:szCs w:val="18"/>
              </w:rPr>
            </w:pPr>
          </w:p>
          <w:p w14:paraId="0D9F9D10" w14:textId="10EDDE5B" w:rsidR="009763A8" w:rsidRPr="0023314F" w:rsidDel="009A1235" w:rsidRDefault="009763A8" w:rsidP="00451183">
            <w:pPr>
              <w:rPr>
                <w:rFonts w:cstheme="minorHAnsi"/>
                <w:b/>
                <w:bCs/>
                <w:sz w:val="18"/>
                <w:szCs w:val="18"/>
              </w:rPr>
            </w:pPr>
            <w:r>
              <w:rPr>
                <w:rFonts w:cstheme="minorHAnsi"/>
                <w:b/>
                <w:bCs/>
                <w:sz w:val="18"/>
                <w:szCs w:val="18"/>
              </w:rPr>
              <w:t>Compliance policy and r</w:t>
            </w:r>
            <w:r w:rsidRPr="0023314F">
              <w:rPr>
                <w:rFonts w:cstheme="minorHAnsi"/>
                <w:b/>
                <w:bCs/>
                <w:sz w:val="18"/>
                <w:szCs w:val="18"/>
              </w:rPr>
              <w:t xml:space="preserve">egulatory </w:t>
            </w:r>
            <w:r>
              <w:rPr>
                <w:rFonts w:cstheme="minorHAnsi"/>
                <w:b/>
                <w:bCs/>
                <w:sz w:val="18"/>
                <w:szCs w:val="18"/>
              </w:rPr>
              <w:t>t</w:t>
            </w:r>
            <w:r w:rsidRPr="0023314F">
              <w:rPr>
                <w:rFonts w:cstheme="minorHAnsi"/>
                <w:b/>
                <w:bCs/>
                <w:sz w:val="18"/>
                <w:szCs w:val="18"/>
              </w:rPr>
              <w:t>ools</w:t>
            </w:r>
          </w:p>
        </w:tc>
        <w:tc>
          <w:tcPr>
            <w:tcW w:w="5055" w:type="dxa"/>
          </w:tcPr>
          <w:p w14:paraId="3F591CAB" w14:textId="143C2E36" w:rsidR="009763A8" w:rsidRPr="00A050C7" w:rsidRDefault="009763A8" w:rsidP="009763A8">
            <w:pPr>
              <w:pStyle w:val="ListParagraph"/>
              <w:numPr>
                <w:ilvl w:val="0"/>
                <w:numId w:val="10"/>
              </w:numPr>
              <w:rPr>
                <w:rFonts w:eastAsiaTheme="minorEastAsia"/>
                <w:sz w:val="18"/>
                <w:szCs w:val="18"/>
              </w:rPr>
            </w:pPr>
            <w:r>
              <w:rPr>
                <w:sz w:val="18"/>
                <w:szCs w:val="18"/>
              </w:rPr>
              <w:t xml:space="preserve">Establish a project of around $200,000 to update and publish the Department’s compliance policy and hence </w:t>
            </w:r>
            <w:r w:rsidRPr="75E5A196">
              <w:rPr>
                <w:sz w:val="18"/>
                <w:szCs w:val="18"/>
              </w:rPr>
              <w:t xml:space="preserve">Increase the visibility of environmental compliance </w:t>
            </w:r>
            <w:r>
              <w:rPr>
                <w:sz w:val="18"/>
                <w:szCs w:val="18"/>
              </w:rPr>
              <w:t>to the public through a clearly explained and transparent policy. Refer to other jurisdictions for examples</w:t>
            </w:r>
            <w:r w:rsidR="00AD6C64">
              <w:rPr>
                <w:sz w:val="18"/>
                <w:szCs w:val="18"/>
              </w:rPr>
              <w:t>.</w:t>
            </w:r>
            <w:r>
              <w:rPr>
                <w:sz w:val="18"/>
                <w:szCs w:val="18"/>
              </w:rPr>
              <w:t xml:space="preserve"> </w:t>
            </w:r>
          </w:p>
          <w:p w14:paraId="58ADAC41" w14:textId="77777777" w:rsidR="009763A8" w:rsidRPr="00857C2D" w:rsidRDefault="009763A8" w:rsidP="009763A8">
            <w:pPr>
              <w:pStyle w:val="ListParagraph"/>
              <w:numPr>
                <w:ilvl w:val="0"/>
                <w:numId w:val="10"/>
              </w:numPr>
              <w:rPr>
                <w:sz w:val="18"/>
                <w:szCs w:val="18"/>
              </w:rPr>
            </w:pPr>
            <w:r w:rsidRPr="2BEC98E2">
              <w:rPr>
                <w:sz w:val="18"/>
                <w:szCs w:val="18"/>
              </w:rPr>
              <w:t xml:space="preserve">Update regulatory powers </w:t>
            </w:r>
            <w:r>
              <w:rPr>
                <w:sz w:val="18"/>
                <w:szCs w:val="18"/>
              </w:rPr>
              <w:t>in</w:t>
            </w:r>
            <w:r w:rsidRPr="2BEC98E2">
              <w:rPr>
                <w:sz w:val="18"/>
                <w:szCs w:val="18"/>
              </w:rPr>
              <w:t xml:space="preserve"> the EPBC Act to be consistent with the Regulatory Powers Act as per the Graeme Samuel report </w:t>
            </w:r>
          </w:p>
        </w:tc>
        <w:tc>
          <w:tcPr>
            <w:tcW w:w="4965" w:type="dxa"/>
          </w:tcPr>
          <w:p w14:paraId="19B6152E" w14:textId="77777777" w:rsidR="009763A8" w:rsidRPr="00640D56" w:rsidRDefault="009763A8" w:rsidP="009763A8">
            <w:pPr>
              <w:pStyle w:val="ListParagraph"/>
              <w:numPr>
                <w:ilvl w:val="0"/>
                <w:numId w:val="11"/>
              </w:numPr>
              <w:rPr>
                <w:rFonts w:cstheme="minorHAnsi"/>
                <w:sz w:val="18"/>
                <w:szCs w:val="18"/>
              </w:rPr>
            </w:pPr>
            <w:r w:rsidRPr="6FAF55F4">
              <w:rPr>
                <w:sz w:val="18"/>
                <w:szCs w:val="18"/>
              </w:rPr>
              <w:t>Provide a program of regular compliance-based education sessions targeted at industries, regions, and particular legislative requirements where compliance is a key to achieving better environmental</w:t>
            </w:r>
            <w:r w:rsidRPr="00640D56">
              <w:rPr>
                <w:rFonts w:cstheme="minorHAnsi"/>
                <w:sz w:val="18"/>
                <w:szCs w:val="18"/>
              </w:rPr>
              <w:t xml:space="preserve"> Review all environmental legislation for availability of contemporary regulatory powers</w:t>
            </w:r>
            <w:r>
              <w:rPr>
                <w:rFonts w:cstheme="minorHAnsi"/>
                <w:sz w:val="18"/>
                <w:szCs w:val="18"/>
              </w:rPr>
              <w:t xml:space="preserve"> (Regulatory Powers Act)</w:t>
            </w:r>
          </w:p>
          <w:p w14:paraId="2205FA70" w14:textId="4C05C704" w:rsidR="009763A8" w:rsidRPr="009A6724" w:rsidRDefault="009763A8" w:rsidP="009A6724">
            <w:pPr>
              <w:pStyle w:val="ListParagraph"/>
              <w:numPr>
                <w:ilvl w:val="0"/>
                <w:numId w:val="11"/>
              </w:numPr>
              <w:rPr>
                <w:rFonts w:eastAsiaTheme="minorEastAsia"/>
                <w:sz w:val="18"/>
                <w:szCs w:val="18"/>
              </w:rPr>
            </w:pPr>
            <w:r w:rsidRPr="6FAF55F4">
              <w:rPr>
                <w:sz w:val="18"/>
                <w:szCs w:val="18"/>
              </w:rPr>
              <w:t>Increase public information on compliance activities</w:t>
            </w:r>
            <w:r w:rsidRPr="4D5A52BC">
              <w:rPr>
                <w:sz w:val="18"/>
                <w:szCs w:val="18"/>
              </w:rPr>
              <w:t xml:space="preserve"> undertaken including </w:t>
            </w:r>
            <w:r w:rsidRPr="2E883E99">
              <w:rPr>
                <w:sz w:val="18"/>
                <w:szCs w:val="18"/>
              </w:rPr>
              <w:t xml:space="preserve">promoting </w:t>
            </w:r>
            <w:r>
              <w:rPr>
                <w:sz w:val="18"/>
                <w:szCs w:val="18"/>
              </w:rPr>
              <w:t>the environmental benefits</w:t>
            </w:r>
          </w:p>
        </w:tc>
        <w:tc>
          <w:tcPr>
            <w:tcW w:w="4095" w:type="dxa"/>
          </w:tcPr>
          <w:p w14:paraId="5A657187" w14:textId="77777777" w:rsidR="009763A8" w:rsidRPr="00640D56" w:rsidRDefault="009763A8" w:rsidP="009763A8">
            <w:pPr>
              <w:pStyle w:val="ListParagraph"/>
              <w:numPr>
                <w:ilvl w:val="0"/>
                <w:numId w:val="10"/>
              </w:numPr>
              <w:rPr>
                <w:sz w:val="18"/>
                <w:szCs w:val="18"/>
              </w:rPr>
            </w:pPr>
            <w:r w:rsidRPr="0FD45213">
              <w:rPr>
                <w:sz w:val="18"/>
                <w:szCs w:val="18"/>
              </w:rPr>
              <w:t xml:space="preserve">Accelerate the application of the Regulatory Powers Act to all relevant environmental </w:t>
            </w:r>
            <w:r>
              <w:rPr>
                <w:sz w:val="18"/>
                <w:szCs w:val="18"/>
              </w:rPr>
              <w:t>legislation</w:t>
            </w:r>
          </w:p>
          <w:p w14:paraId="00C135E4" w14:textId="77777777" w:rsidR="009763A8" w:rsidRPr="00640D56" w:rsidRDefault="009763A8" w:rsidP="009763A8">
            <w:pPr>
              <w:pStyle w:val="ListParagraph"/>
              <w:numPr>
                <w:ilvl w:val="0"/>
                <w:numId w:val="10"/>
              </w:numPr>
              <w:rPr>
                <w:rFonts w:eastAsiaTheme="minorEastAsia"/>
                <w:sz w:val="18"/>
                <w:szCs w:val="18"/>
              </w:rPr>
            </w:pPr>
            <w:r>
              <w:rPr>
                <w:sz w:val="18"/>
                <w:szCs w:val="18"/>
              </w:rPr>
              <w:t>Train</w:t>
            </w:r>
            <w:r w:rsidRPr="0FD45213">
              <w:rPr>
                <w:sz w:val="18"/>
                <w:szCs w:val="18"/>
              </w:rPr>
              <w:t xml:space="preserve"> staff </w:t>
            </w:r>
            <w:r>
              <w:rPr>
                <w:sz w:val="18"/>
                <w:szCs w:val="18"/>
              </w:rPr>
              <w:t xml:space="preserve">in </w:t>
            </w:r>
            <w:r w:rsidRPr="0FD45213">
              <w:rPr>
                <w:sz w:val="18"/>
                <w:szCs w:val="18"/>
              </w:rPr>
              <w:t>applying a risk-proportionate and consistent approach to the use of regulatory powers</w:t>
            </w:r>
            <w:r>
              <w:rPr>
                <w:sz w:val="18"/>
                <w:szCs w:val="18"/>
              </w:rPr>
              <w:t xml:space="preserve"> across programs</w:t>
            </w:r>
          </w:p>
          <w:p w14:paraId="0F3D2A3F" w14:textId="193C4955" w:rsidR="009763A8" w:rsidRPr="00640D56" w:rsidRDefault="009A6724" w:rsidP="009763A8">
            <w:pPr>
              <w:pStyle w:val="ListParagraph"/>
              <w:numPr>
                <w:ilvl w:val="0"/>
                <w:numId w:val="10"/>
              </w:numPr>
              <w:rPr>
                <w:rFonts w:eastAsiaTheme="minorEastAsia"/>
                <w:sz w:val="18"/>
                <w:szCs w:val="18"/>
              </w:rPr>
            </w:pPr>
            <w:r>
              <w:rPr>
                <w:sz w:val="18"/>
                <w:szCs w:val="18"/>
              </w:rPr>
              <w:t>N</w:t>
            </w:r>
            <w:r w:rsidR="006C24E4">
              <w:rPr>
                <w:sz w:val="18"/>
                <w:szCs w:val="18"/>
              </w:rPr>
              <w:t xml:space="preserve">eed for </w:t>
            </w:r>
            <w:r w:rsidR="009763A8" w:rsidRPr="0FD45213">
              <w:rPr>
                <w:sz w:val="18"/>
                <w:szCs w:val="18"/>
              </w:rPr>
              <w:t>enforcement</w:t>
            </w:r>
            <w:r>
              <w:rPr>
                <w:sz w:val="18"/>
                <w:szCs w:val="18"/>
              </w:rPr>
              <w:t xml:space="preserve"> reduced</w:t>
            </w:r>
            <w:r w:rsidR="009763A8" w:rsidRPr="0FD45213">
              <w:rPr>
                <w:sz w:val="18"/>
                <w:szCs w:val="18"/>
              </w:rPr>
              <w:t xml:space="preserve"> i</w:t>
            </w:r>
            <w:r w:rsidR="009763A8">
              <w:rPr>
                <w:sz w:val="18"/>
                <w:szCs w:val="18"/>
              </w:rPr>
              <w:t xml:space="preserve">n some sectors </w:t>
            </w:r>
            <w:r w:rsidR="009763A8" w:rsidRPr="0FD45213">
              <w:rPr>
                <w:sz w:val="18"/>
                <w:szCs w:val="18"/>
              </w:rPr>
              <w:t>as</w:t>
            </w:r>
            <w:r w:rsidR="009763A8">
              <w:rPr>
                <w:sz w:val="18"/>
                <w:szCs w:val="18"/>
              </w:rPr>
              <w:t xml:space="preserve"> </w:t>
            </w:r>
            <w:r w:rsidR="009763A8" w:rsidRPr="0FD45213">
              <w:rPr>
                <w:sz w:val="18"/>
                <w:szCs w:val="18"/>
              </w:rPr>
              <w:t xml:space="preserve">proponents become more aware of their obligations and how </w:t>
            </w:r>
            <w:r w:rsidR="009763A8" w:rsidRPr="65551EBB">
              <w:rPr>
                <w:sz w:val="18"/>
                <w:szCs w:val="18"/>
              </w:rPr>
              <w:t>to achieve compliance</w:t>
            </w:r>
          </w:p>
        </w:tc>
      </w:tr>
    </w:tbl>
    <w:p w14:paraId="6E59FAF8" w14:textId="77777777" w:rsidR="00DF469A" w:rsidRDefault="00DF469A">
      <w:pPr>
        <w:rPr>
          <w:lang w:val="en-US"/>
        </w:rPr>
        <w:sectPr w:rsidR="00DF469A" w:rsidSect="00DF469A">
          <w:headerReference w:type="first" r:id="rId21"/>
          <w:pgSz w:w="16838" w:h="11906" w:orient="landscape"/>
          <w:pgMar w:top="1440" w:right="1440" w:bottom="1440" w:left="1440" w:header="708" w:footer="708" w:gutter="0"/>
          <w:cols w:space="708"/>
          <w:titlePg/>
          <w:docGrid w:linePitch="360"/>
        </w:sectPr>
      </w:pPr>
    </w:p>
    <w:p w14:paraId="438BE79D" w14:textId="171C6353" w:rsidR="00C20212" w:rsidRDefault="00C20212" w:rsidP="00C20212">
      <w:pPr>
        <w:pStyle w:val="Heading1"/>
        <w:rPr>
          <w:lang w:val="en-US"/>
        </w:rPr>
      </w:pPr>
      <w:bookmarkStart w:id="58" w:name="_Attachment_B_–"/>
      <w:bookmarkStart w:id="59" w:name="_Toc72504404"/>
      <w:bookmarkStart w:id="60" w:name="_Toc66804409"/>
      <w:bookmarkEnd w:id="58"/>
      <w:r>
        <w:rPr>
          <w:lang w:val="en-US"/>
        </w:rPr>
        <w:lastRenderedPageBreak/>
        <w:t xml:space="preserve">Attachment B – </w:t>
      </w:r>
      <w:r w:rsidR="004E7D35">
        <w:rPr>
          <w:lang w:val="en-US"/>
        </w:rPr>
        <w:t>C</w:t>
      </w:r>
      <w:r>
        <w:rPr>
          <w:lang w:val="en-US"/>
        </w:rPr>
        <w:t>ompliance responsibilities for Commonwealth environmental legislation</w:t>
      </w:r>
      <w:bookmarkEnd w:id="59"/>
    </w:p>
    <w:p w14:paraId="694146C7" w14:textId="77777777" w:rsidR="00C20212" w:rsidRPr="00BE7523" w:rsidRDefault="00C20212" w:rsidP="00C20212">
      <w:pPr>
        <w:rPr>
          <w:lang w:val="en-US"/>
        </w:rPr>
      </w:pPr>
    </w:p>
    <w:p w14:paraId="08452AD8" w14:textId="05B55F83" w:rsidR="00C20212" w:rsidRDefault="00C20212" w:rsidP="00C20212">
      <w:pPr>
        <w:pStyle w:val="Heading2"/>
        <w:rPr>
          <w:lang w:val="en-US"/>
        </w:rPr>
      </w:pPr>
      <w:bookmarkStart w:id="61" w:name="_Toc72504405"/>
      <w:r>
        <w:rPr>
          <w:lang w:val="en-US"/>
        </w:rPr>
        <w:t>Current compliance responsibilities of the Environment Compliance Branch</w:t>
      </w:r>
      <w:bookmarkEnd w:id="60"/>
      <w:bookmarkEnd w:id="61"/>
    </w:p>
    <w:p w14:paraId="60895F2F" w14:textId="77777777" w:rsidR="00C20212" w:rsidRPr="004E7D35" w:rsidRDefault="00C20212" w:rsidP="00866E73">
      <w:pPr>
        <w:pStyle w:val="ListParagraph"/>
        <w:numPr>
          <w:ilvl w:val="0"/>
          <w:numId w:val="30"/>
        </w:numPr>
        <w:spacing w:before="120" w:after="120" w:line="360" w:lineRule="auto"/>
        <w:rPr>
          <w:rFonts w:cstheme="minorHAnsi"/>
          <w:i/>
          <w:iCs/>
          <w:szCs w:val="24"/>
          <w:lang w:val="en-US"/>
        </w:rPr>
      </w:pPr>
      <w:r w:rsidRPr="001D7511">
        <w:rPr>
          <w:rFonts w:cstheme="minorHAnsi"/>
          <w:i/>
          <w:iCs/>
          <w:szCs w:val="24"/>
          <w:lang w:val="en-US"/>
        </w:rPr>
        <w:t>Environment Protection and Biodiversity Conservation Act 1999</w:t>
      </w:r>
    </w:p>
    <w:p w14:paraId="11156931" w14:textId="77777777" w:rsidR="00C20212" w:rsidRPr="004E7D35" w:rsidRDefault="00C20212" w:rsidP="00866E73">
      <w:pPr>
        <w:pStyle w:val="ListParagraph"/>
        <w:numPr>
          <w:ilvl w:val="0"/>
          <w:numId w:val="30"/>
        </w:numPr>
        <w:spacing w:before="120" w:after="120" w:line="360" w:lineRule="auto"/>
        <w:rPr>
          <w:rFonts w:cstheme="minorHAnsi"/>
          <w:i/>
          <w:iCs/>
          <w:szCs w:val="24"/>
          <w:lang w:val="en-US"/>
        </w:rPr>
      </w:pPr>
      <w:r w:rsidRPr="001D7511">
        <w:rPr>
          <w:rFonts w:cstheme="minorHAnsi"/>
          <w:i/>
          <w:iCs/>
          <w:szCs w:val="24"/>
          <w:lang w:val="en-US"/>
        </w:rPr>
        <w:t>Hazardous Waste (Regulation of Exports and Imports) Act 1989</w:t>
      </w:r>
    </w:p>
    <w:p w14:paraId="7D712B7A" w14:textId="77777777" w:rsidR="00C20212" w:rsidRPr="004E7D35" w:rsidRDefault="00C20212" w:rsidP="00866E73">
      <w:pPr>
        <w:pStyle w:val="ListParagraph"/>
        <w:numPr>
          <w:ilvl w:val="0"/>
          <w:numId w:val="30"/>
        </w:numPr>
        <w:spacing w:before="120" w:after="120" w:line="360" w:lineRule="auto"/>
        <w:rPr>
          <w:rFonts w:cstheme="minorHAnsi"/>
          <w:i/>
          <w:iCs/>
          <w:szCs w:val="24"/>
          <w:lang w:val="en-US"/>
        </w:rPr>
      </w:pPr>
      <w:r w:rsidRPr="001D7511">
        <w:rPr>
          <w:rFonts w:cstheme="minorHAnsi"/>
          <w:i/>
          <w:iCs/>
          <w:szCs w:val="24"/>
          <w:lang w:val="en-US"/>
        </w:rPr>
        <w:t>Ozone Protection and Synthetic Greenhouse Gas Management Act 1989</w:t>
      </w:r>
    </w:p>
    <w:p w14:paraId="799DEDBD" w14:textId="77777777" w:rsidR="00C20212" w:rsidRPr="004E7D35" w:rsidRDefault="00C20212" w:rsidP="00866E73">
      <w:pPr>
        <w:pStyle w:val="ListParagraph"/>
        <w:numPr>
          <w:ilvl w:val="0"/>
          <w:numId w:val="30"/>
        </w:numPr>
        <w:spacing w:before="120" w:after="120" w:line="360" w:lineRule="auto"/>
        <w:rPr>
          <w:rFonts w:cstheme="minorHAnsi"/>
          <w:i/>
          <w:iCs/>
          <w:szCs w:val="24"/>
          <w:lang w:val="en-US"/>
        </w:rPr>
      </w:pPr>
      <w:r w:rsidRPr="001D7511">
        <w:rPr>
          <w:rFonts w:cstheme="minorHAnsi"/>
          <w:i/>
          <w:iCs/>
          <w:szCs w:val="24"/>
          <w:lang w:val="en-US"/>
        </w:rPr>
        <w:t>Environment Protection (Sea Dumping) Act 1981</w:t>
      </w:r>
    </w:p>
    <w:p w14:paraId="3AB666C5" w14:textId="77777777" w:rsidR="00C20212" w:rsidRPr="004E7D35" w:rsidRDefault="00C20212" w:rsidP="00866E73">
      <w:pPr>
        <w:pStyle w:val="ListParagraph"/>
        <w:numPr>
          <w:ilvl w:val="0"/>
          <w:numId w:val="30"/>
        </w:numPr>
        <w:spacing w:before="120" w:after="120" w:line="360" w:lineRule="auto"/>
        <w:rPr>
          <w:rFonts w:cstheme="minorHAnsi"/>
          <w:i/>
          <w:iCs/>
          <w:szCs w:val="24"/>
          <w:lang w:val="en-US"/>
        </w:rPr>
      </w:pPr>
      <w:r w:rsidRPr="001D7511">
        <w:rPr>
          <w:rFonts w:cstheme="minorHAnsi"/>
          <w:i/>
          <w:iCs/>
          <w:szCs w:val="24"/>
          <w:lang w:val="en-US"/>
        </w:rPr>
        <w:t>Recycling and Waste Reduction Act 2020</w:t>
      </w:r>
    </w:p>
    <w:p w14:paraId="029157D5" w14:textId="77777777" w:rsidR="00C20212" w:rsidRPr="004E7D35" w:rsidRDefault="00C20212" w:rsidP="00866E73">
      <w:pPr>
        <w:pStyle w:val="ListParagraph"/>
        <w:numPr>
          <w:ilvl w:val="0"/>
          <w:numId w:val="30"/>
        </w:numPr>
        <w:spacing w:before="120" w:after="120" w:line="360" w:lineRule="auto"/>
        <w:rPr>
          <w:i/>
          <w:iCs/>
          <w:szCs w:val="24"/>
        </w:rPr>
      </w:pPr>
      <w:r w:rsidRPr="004E7D35">
        <w:rPr>
          <w:rFonts w:cstheme="minorHAnsi"/>
          <w:i/>
          <w:iCs/>
          <w:szCs w:val="24"/>
          <w:lang w:val="en-US"/>
        </w:rPr>
        <w:t>Underwater</w:t>
      </w:r>
      <w:r w:rsidRPr="004E7D35">
        <w:rPr>
          <w:i/>
          <w:iCs/>
          <w:szCs w:val="24"/>
        </w:rPr>
        <w:t xml:space="preserve"> Cultural Heritage Act 2018 </w:t>
      </w:r>
    </w:p>
    <w:p w14:paraId="1CE325B4" w14:textId="77777777" w:rsidR="00C20212" w:rsidRPr="004E7D35" w:rsidRDefault="00C20212" w:rsidP="00866E73">
      <w:pPr>
        <w:pStyle w:val="ListParagraph"/>
        <w:numPr>
          <w:ilvl w:val="0"/>
          <w:numId w:val="30"/>
        </w:numPr>
        <w:spacing w:before="120" w:after="120" w:line="360" w:lineRule="auto"/>
        <w:rPr>
          <w:i/>
          <w:iCs/>
          <w:szCs w:val="24"/>
        </w:rPr>
      </w:pPr>
      <w:r w:rsidRPr="004E7D35">
        <w:rPr>
          <w:i/>
          <w:iCs/>
          <w:szCs w:val="24"/>
        </w:rPr>
        <w:t xml:space="preserve">Product Emissions Standards Act 2017 </w:t>
      </w:r>
    </w:p>
    <w:p w14:paraId="512A1B05" w14:textId="77777777" w:rsidR="00C20212" w:rsidRPr="00734E50" w:rsidRDefault="00C20212" w:rsidP="00734E50">
      <w:pPr>
        <w:pStyle w:val="Heading2"/>
      </w:pPr>
      <w:bookmarkStart w:id="62" w:name="_Toc72504406"/>
      <w:bookmarkStart w:id="63" w:name="_Toc66804410"/>
      <w:r w:rsidRPr="00734E50">
        <w:t>Other environmental legislation</w:t>
      </w:r>
      <w:bookmarkEnd w:id="62"/>
      <w:r w:rsidRPr="00734E50">
        <w:t xml:space="preserve"> </w:t>
      </w:r>
      <w:bookmarkEnd w:id="63"/>
    </w:p>
    <w:p w14:paraId="575B7B3D" w14:textId="77777777" w:rsidR="00C20212" w:rsidRPr="001D7511" w:rsidRDefault="00C20212" w:rsidP="00866E73">
      <w:pPr>
        <w:pStyle w:val="paragraph"/>
        <w:numPr>
          <w:ilvl w:val="0"/>
          <w:numId w:val="30"/>
        </w:numPr>
        <w:spacing w:before="120" w:after="120" w:line="360" w:lineRule="auto"/>
        <w:textAlignment w:val="baseline"/>
        <w:rPr>
          <w:rStyle w:val="normaltextrun1"/>
          <w:rFonts w:asciiTheme="minorHAnsi" w:hAnsiTheme="minorHAnsi" w:cstheme="minorHAnsi"/>
          <w:i/>
          <w:iCs/>
        </w:rPr>
      </w:pPr>
      <w:r w:rsidRPr="001D7511">
        <w:rPr>
          <w:rStyle w:val="normaltextrun1"/>
          <w:rFonts w:asciiTheme="minorHAnsi" w:hAnsiTheme="minorHAnsi" w:cstheme="minorHAnsi"/>
          <w:i/>
          <w:iCs/>
          <w:lang w:val="en-US"/>
        </w:rPr>
        <w:t xml:space="preserve">Antarctic Treaty (Environment Protection) Act, 1980 </w:t>
      </w:r>
    </w:p>
    <w:p w14:paraId="6B93A6A1" w14:textId="77777777" w:rsidR="00C20212" w:rsidRPr="00BE7523" w:rsidRDefault="00C20212" w:rsidP="00866E73">
      <w:pPr>
        <w:pStyle w:val="paragraph"/>
        <w:numPr>
          <w:ilvl w:val="1"/>
          <w:numId w:val="30"/>
        </w:numPr>
        <w:spacing w:before="120" w:after="120" w:line="360" w:lineRule="auto"/>
        <w:textAlignment w:val="baseline"/>
        <w:rPr>
          <w:rStyle w:val="normaltextrun1"/>
          <w:rFonts w:asciiTheme="minorHAnsi" w:hAnsiTheme="minorHAnsi" w:cstheme="minorHAnsi"/>
          <w:i/>
          <w:iCs/>
          <w:lang w:val="en-US"/>
        </w:rPr>
      </w:pPr>
      <w:r w:rsidRPr="00BE7523">
        <w:rPr>
          <w:rStyle w:val="normaltextrun1"/>
          <w:rFonts w:asciiTheme="minorHAnsi" w:hAnsiTheme="minorHAnsi" w:cstheme="minorHAnsi"/>
          <w:i/>
          <w:iCs/>
          <w:lang w:val="en-US"/>
        </w:rPr>
        <w:t>Compliance managed by the Australian Antarctic Division. If a prosecution is contemplated, this would be referred to ECB.</w:t>
      </w:r>
    </w:p>
    <w:p w14:paraId="1A6C55AB" w14:textId="77777777" w:rsidR="00C20212" w:rsidRPr="00BE7523" w:rsidRDefault="00C20212" w:rsidP="00866E73">
      <w:pPr>
        <w:pStyle w:val="paragraph"/>
        <w:numPr>
          <w:ilvl w:val="0"/>
          <w:numId w:val="30"/>
        </w:numPr>
        <w:spacing w:before="120" w:after="120" w:line="360" w:lineRule="auto"/>
        <w:textAlignment w:val="baseline"/>
        <w:rPr>
          <w:rStyle w:val="normaltextrun1"/>
          <w:rFonts w:asciiTheme="minorHAnsi" w:hAnsiTheme="minorHAnsi" w:cstheme="minorHAnsi"/>
          <w:i/>
          <w:iCs/>
          <w:lang w:val="en-US"/>
        </w:rPr>
      </w:pPr>
      <w:r w:rsidRPr="00BE7523">
        <w:rPr>
          <w:rStyle w:val="normaltextrun1"/>
          <w:rFonts w:asciiTheme="minorHAnsi" w:hAnsiTheme="minorHAnsi" w:cstheme="minorHAnsi"/>
          <w:i/>
          <w:iCs/>
          <w:lang w:val="en-US"/>
        </w:rPr>
        <w:t xml:space="preserve">Aboriginal and Torres Strait Islander Heritage Protection Act 1984 </w:t>
      </w:r>
    </w:p>
    <w:p w14:paraId="491F393E" w14:textId="77777777" w:rsidR="00C20212" w:rsidRPr="00BE7523" w:rsidRDefault="00C20212" w:rsidP="00866E73">
      <w:pPr>
        <w:pStyle w:val="paragraph"/>
        <w:numPr>
          <w:ilvl w:val="1"/>
          <w:numId w:val="30"/>
        </w:numPr>
        <w:spacing w:before="120" w:after="120" w:line="360" w:lineRule="auto"/>
        <w:textAlignment w:val="baseline"/>
        <w:rPr>
          <w:rStyle w:val="normaltextrun1"/>
          <w:rFonts w:asciiTheme="minorHAnsi" w:hAnsiTheme="minorHAnsi" w:cstheme="minorHAnsi"/>
          <w:i/>
          <w:iCs/>
          <w:lang w:val="en-US"/>
        </w:rPr>
      </w:pPr>
      <w:r w:rsidRPr="00BE7523">
        <w:rPr>
          <w:rStyle w:val="normaltextrun1"/>
          <w:rFonts w:asciiTheme="minorHAnsi" w:hAnsiTheme="minorHAnsi" w:cstheme="minorHAnsi"/>
          <w:i/>
          <w:iCs/>
          <w:lang w:val="en-US"/>
        </w:rPr>
        <w:t>Compliance Heritage Branch – Indigenous Heritage Section manages compliance. If a prosecution is contemplated, this would be referred to ECB.</w:t>
      </w:r>
    </w:p>
    <w:p w14:paraId="4DE3DB3C" w14:textId="77777777" w:rsidR="00C20212" w:rsidRPr="00BE7523" w:rsidRDefault="00C20212" w:rsidP="00866E73">
      <w:pPr>
        <w:pStyle w:val="paragraph"/>
        <w:numPr>
          <w:ilvl w:val="0"/>
          <w:numId w:val="30"/>
        </w:numPr>
        <w:spacing w:before="120" w:after="120" w:line="360" w:lineRule="auto"/>
        <w:textAlignment w:val="baseline"/>
        <w:rPr>
          <w:rStyle w:val="normaltextrun1"/>
          <w:rFonts w:asciiTheme="minorHAnsi" w:hAnsiTheme="minorHAnsi" w:cstheme="minorHAnsi"/>
          <w:i/>
          <w:iCs/>
          <w:lang w:val="en-US"/>
        </w:rPr>
      </w:pPr>
      <w:r w:rsidRPr="00BE7523">
        <w:rPr>
          <w:rStyle w:val="normaltextrun1"/>
          <w:rFonts w:asciiTheme="minorHAnsi" w:hAnsiTheme="minorHAnsi" w:cstheme="minorHAnsi"/>
          <w:i/>
          <w:iCs/>
          <w:lang w:val="en-US"/>
        </w:rPr>
        <w:t xml:space="preserve">Fuel Quality Standard Act 2000 </w:t>
      </w:r>
    </w:p>
    <w:p w14:paraId="395E7339" w14:textId="77777777" w:rsidR="00C20212" w:rsidRPr="00BE7523" w:rsidRDefault="00C20212" w:rsidP="00866E73">
      <w:pPr>
        <w:pStyle w:val="paragraph"/>
        <w:numPr>
          <w:ilvl w:val="1"/>
          <w:numId w:val="30"/>
        </w:numPr>
        <w:spacing w:before="120" w:after="120" w:line="360" w:lineRule="auto"/>
        <w:textAlignment w:val="baseline"/>
        <w:rPr>
          <w:rStyle w:val="normaltextrun1"/>
          <w:rFonts w:asciiTheme="minorHAnsi" w:hAnsiTheme="minorHAnsi" w:cstheme="minorHAnsi"/>
          <w:i/>
          <w:iCs/>
          <w:lang w:val="en-US"/>
        </w:rPr>
      </w:pPr>
      <w:r w:rsidRPr="00BE7523">
        <w:rPr>
          <w:rStyle w:val="normaltextrun1"/>
          <w:rFonts w:asciiTheme="minorHAnsi" w:hAnsiTheme="minorHAnsi" w:cstheme="minorHAnsi"/>
          <w:i/>
          <w:iCs/>
          <w:lang w:val="en-US"/>
        </w:rPr>
        <w:t>Department of Industry, Science, Energy and Resources has the responsibility for all compliance and enforcement.</w:t>
      </w:r>
    </w:p>
    <w:p w14:paraId="77773728" w14:textId="77777777" w:rsidR="00C20212" w:rsidRPr="00BE7523" w:rsidRDefault="00C20212" w:rsidP="00866E73">
      <w:pPr>
        <w:pStyle w:val="paragraph"/>
        <w:numPr>
          <w:ilvl w:val="0"/>
          <w:numId w:val="30"/>
        </w:numPr>
        <w:spacing w:before="120" w:after="120" w:line="360" w:lineRule="auto"/>
        <w:textAlignment w:val="baseline"/>
        <w:rPr>
          <w:rStyle w:val="normaltextrun1"/>
          <w:rFonts w:asciiTheme="minorHAnsi" w:hAnsiTheme="minorHAnsi" w:cstheme="minorHAnsi"/>
          <w:i/>
          <w:iCs/>
          <w:lang w:val="en-US"/>
        </w:rPr>
      </w:pPr>
      <w:r w:rsidRPr="00BE7523">
        <w:rPr>
          <w:rStyle w:val="normaltextrun1"/>
          <w:rFonts w:asciiTheme="minorHAnsi" w:hAnsiTheme="minorHAnsi" w:cstheme="minorHAnsi"/>
          <w:i/>
          <w:iCs/>
          <w:lang w:val="en-US"/>
        </w:rPr>
        <w:t xml:space="preserve">Great Barrier Reef Marine Park Act 1975 </w:t>
      </w:r>
    </w:p>
    <w:p w14:paraId="338BF77D" w14:textId="3AEFFDB0" w:rsidR="00C20212" w:rsidRPr="00BE7523" w:rsidRDefault="00C20212" w:rsidP="00866E73">
      <w:pPr>
        <w:pStyle w:val="paragraph"/>
        <w:numPr>
          <w:ilvl w:val="1"/>
          <w:numId w:val="30"/>
        </w:numPr>
        <w:spacing w:before="120" w:after="120" w:line="360" w:lineRule="auto"/>
        <w:textAlignment w:val="baseline"/>
        <w:rPr>
          <w:rStyle w:val="normaltextrun1"/>
          <w:rFonts w:asciiTheme="minorHAnsi" w:hAnsiTheme="minorHAnsi" w:cstheme="minorHAnsi"/>
          <w:i/>
          <w:iCs/>
          <w:lang w:val="en-US"/>
        </w:rPr>
      </w:pPr>
      <w:r w:rsidRPr="00BE7523">
        <w:rPr>
          <w:rStyle w:val="normaltextrun1"/>
          <w:rFonts w:asciiTheme="minorHAnsi" w:hAnsiTheme="minorHAnsi" w:cstheme="minorHAnsi"/>
          <w:i/>
          <w:iCs/>
          <w:lang w:val="en-US"/>
        </w:rPr>
        <w:t>Compliance is managed by the Great Barrier Reef Marine Park Authority</w:t>
      </w:r>
    </w:p>
    <w:p w14:paraId="1BA236ED" w14:textId="77777777" w:rsidR="00C20212" w:rsidRPr="00BE7523" w:rsidRDefault="00C20212" w:rsidP="00866E73">
      <w:pPr>
        <w:pStyle w:val="paragraph"/>
        <w:numPr>
          <w:ilvl w:val="0"/>
          <w:numId w:val="30"/>
        </w:numPr>
        <w:spacing w:before="120" w:after="120" w:line="360" w:lineRule="auto"/>
        <w:textAlignment w:val="baseline"/>
        <w:rPr>
          <w:rStyle w:val="normaltextrun1"/>
          <w:rFonts w:asciiTheme="minorHAnsi" w:hAnsiTheme="minorHAnsi" w:cstheme="minorHAnsi"/>
          <w:i/>
          <w:iCs/>
          <w:lang w:val="en-US"/>
        </w:rPr>
      </w:pPr>
      <w:r w:rsidRPr="00BE7523">
        <w:rPr>
          <w:rStyle w:val="normaltextrun1"/>
          <w:rFonts w:asciiTheme="minorHAnsi" w:hAnsiTheme="minorHAnsi" w:cstheme="minorHAnsi"/>
          <w:i/>
          <w:iCs/>
          <w:lang w:val="en-US"/>
        </w:rPr>
        <w:t xml:space="preserve">Australian Heritage Council Act 2003 </w:t>
      </w:r>
    </w:p>
    <w:p w14:paraId="3921E4A2" w14:textId="77777777" w:rsidR="00C20212" w:rsidRPr="00BE7523" w:rsidRDefault="00C20212" w:rsidP="00866E73">
      <w:pPr>
        <w:pStyle w:val="paragraph"/>
        <w:numPr>
          <w:ilvl w:val="1"/>
          <w:numId w:val="30"/>
        </w:numPr>
        <w:spacing w:before="120" w:after="120" w:line="360" w:lineRule="auto"/>
        <w:textAlignment w:val="baseline"/>
        <w:rPr>
          <w:rStyle w:val="normaltextrun1"/>
          <w:rFonts w:asciiTheme="minorHAnsi" w:hAnsiTheme="minorHAnsi" w:cstheme="minorHAnsi"/>
          <w:i/>
          <w:iCs/>
          <w:lang w:val="en-US"/>
        </w:rPr>
      </w:pPr>
      <w:r w:rsidRPr="00BE7523">
        <w:rPr>
          <w:rStyle w:val="normaltextrun1"/>
          <w:rFonts w:asciiTheme="minorHAnsi" w:hAnsiTheme="minorHAnsi" w:cstheme="minorHAnsi"/>
          <w:i/>
          <w:iCs/>
          <w:lang w:val="en-US"/>
        </w:rPr>
        <w:t>No offence provisions</w:t>
      </w:r>
    </w:p>
    <w:p w14:paraId="644D0014" w14:textId="77777777" w:rsidR="00C20212" w:rsidRPr="001D7511" w:rsidRDefault="00C20212" w:rsidP="00866E73">
      <w:pPr>
        <w:pStyle w:val="paragraph"/>
        <w:numPr>
          <w:ilvl w:val="0"/>
          <w:numId w:val="30"/>
        </w:numPr>
        <w:spacing w:before="120" w:after="120" w:line="360" w:lineRule="auto"/>
        <w:textAlignment w:val="baseline"/>
        <w:rPr>
          <w:rStyle w:val="normaltextrun1"/>
          <w:rFonts w:asciiTheme="minorHAnsi" w:hAnsiTheme="minorHAnsi" w:cstheme="minorHAnsi"/>
          <w:i/>
          <w:iCs/>
          <w:lang w:val="en-US"/>
        </w:rPr>
      </w:pPr>
      <w:r w:rsidRPr="001D7511">
        <w:rPr>
          <w:rStyle w:val="normaltextrun1"/>
          <w:rFonts w:asciiTheme="minorHAnsi" w:hAnsiTheme="minorHAnsi" w:cstheme="minorHAnsi"/>
          <w:i/>
          <w:iCs/>
          <w:lang w:val="en-US"/>
        </w:rPr>
        <w:t xml:space="preserve">Environment Protection (Alligator River Region) Act 1978 </w:t>
      </w:r>
    </w:p>
    <w:p w14:paraId="7908E850" w14:textId="77777777" w:rsidR="00C20212" w:rsidRPr="00BE7523" w:rsidRDefault="00C20212" w:rsidP="00866E73">
      <w:pPr>
        <w:pStyle w:val="paragraph"/>
        <w:numPr>
          <w:ilvl w:val="1"/>
          <w:numId w:val="30"/>
        </w:numPr>
        <w:spacing w:before="120" w:after="120" w:line="360" w:lineRule="auto"/>
        <w:textAlignment w:val="baseline"/>
        <w:rPr>
          <w:rStyle w:val="normaltextrun1"/>
          <w:rFonts w:asciiTheme="minorHAnsi" w:hAnsiTheme="minorHAnsi" w:cstheme="minorHAnsi"/>
          <w:i/>
          <w:iCs/>
          <w:lang w:val="en-US"/>
        </w:rPr>
      </w:pPr>
      <w:r w:rsidRPr="00BE7523">
        <w:rPr>
          <w:rStyle w:val="normaltextrun1"/>
          <w:rFonts w:asciiTheme="minorHAnsi" w:hAnsiTheme="minorHAnsi" w:cstheme="minorHAnsi"/>
          <w:i/>
          <w:iCs/>
          <w:lang w:val="en-US"/>
        </w:rPr>
        <w:lastRenderedPageBreak/>
        <w:t>No offence provisions</w:t>
      </w:r>
    </w:p>
    <w:p w14:paraId="65C5383A" w14:textId="77777777" w:rsidR="00C20212" w:rsidRPr="00BE7523" w:rsidRDefault="00C20212" w:rsidP="00866E73">
      <w:pPr>
        <w:pStyle w:val="paragraph"/>
        <w:numPr>
          <w:ilvl w:val="0"/>
          <w:numId w:val="30"/>
        </w:numPr>
        <w:spacing w:before="120" w:after="120" w:line="360" w:lineRule="auto"/>
        <w:textAlignment w:val="baseline"/>
        <w:rPr>
          <w:rStyle w:val="normaltextrun1"/>
          <w:rFonts w:asciiTheme="minorHAnsi" w:hAnsiTheme="minorHAnsi" w:cstheme="minorHAnsi"/>
          <w:i/>
          <w:iCs/>
          <w:lang w:val="en-US"/>
        </w:rPr>
      </w:pPr>
      <w:r w:rsidRPr="00BE7523">
        <w:rPr>
          <w:rStyle w:val="normaltextrun1"/>
          <w:rFonts w:asciiTheme="minorHAnsi" w:hAnsiTheme="minorHAnsi" w:cstheme="minorHAnsi"/>
          <w:i/>
          <w:iCs/>
          <w:lang w:val="en-US"/>
        </w:rPr>
        <w:t>National Environment Protection Measures (Implementation) Act 1998</w:t>
      </w:r>
    </w:p>
    <w:p w14:paraId="5A0AE9F4" w14:textId="5410B725" w:rsidR="00C20212" w:rsidRPr="00BE7523" w:rsidRDefault="00C20212" w:rsidP="00866E73">
      <w:pPr>
        <w:pStyle w:val="paragraph"/>
        <w:numPr>
          <w:ilvl w:val="1"/>
          <w:numId w:val="30"/>
        </w:numPr>
        <w:spacing w:before="120" w:after="120" w:line="360" w:lineRule="auto"/>
        <w:textAlignment w:val="baseline"/>
        <w:rPr>
          <w:rStyle w:val="normaltextrun1"/>
          <w:rFonts w:asciiTheme="minorHAnsi" w:hAnsiTheme="minorHAnsi" w:cstheme="minorHAnsi"/>
          <w:i/>
          <w:iCs/>
          <w:lang w:val="en-US"/>
        </w:rPr>
      </w:pPr>
      <w:r w:rsidRPr="00BE7523">
        <w:rPr>
          <w:rStyle w:val="normaltextrun1"/>
          <w:rFonts w:asciiTheme="minorHAnsi" w:hAnsiTheme="minorHAnsi" w:cstheme="minorHAnsi"/>
          <w:i/>
          <w:iCs/>
          <w:lang w:val="en-US"/>
        </w:rPr>
        <w:t xml:space="preserve">Once adopted by the National Environment Protection Council, National Environmental Protection Measures are implemented in each Australian jurisdiction through mirror legislation. </w:t>
      </w:r>
    </w:p>
    <w:p w14:paraId="6FBE0A28" w14:textId="77777777" w:rsidR="00C20212" w:rsidRPr="001D7511" w:rsidRDefault="00C20212" w:rsidP="00866E73">
      <w:pPr>
        <w:pStyle w:val="paragraph"/>
        <w:numPr>
          <w:ilvl w:val="0"/>
          <w:numId w:val="30"/>
        </w:numPr>
        <w:spacing w:before="120" w:after="120" w:line="360" w:lineRule="auto"/>
        <w:textAlignment w:val="baseline"/>
        <w:rPr>
          <w:rStyle w:val="normaltextrun1"/>
          <w:rFonts w:asciiTheme="minorHAnsi" w:hAnsiTheme="minorHAnsi" w:cstheme="minorHAnsi"/>
          <w:i/>
          <w:iCs/>
          <w:lang w:val="en-US"/>
        </w:rPr>
      </w:pPr>
      <w:r w:rsidRPr="001D7511">
        <w:rPr>
          <w:rStyle w:val="normaltextrun1"/>
          <w:rFonts w:asciiTheme="minorHAnsi" w:hAnsiTheme="minorHAnsi" w:cstheme="minorHAnsi"/>
          <w:i/>
          <w:iCs/>
          <w:lang w:val="en-US"/>
        </w:rPr>
        <w:t xml:space="preserve">Sea Installations Act 1987 </w:t>
      </w:r>
    </w:p>
    <w:p w14:paraId="68989C89" w14:textId="77777777" w:rsidR="00C20212" w:rsidRPr="004C0CE1" w:rsidRDefault="00C20212" w:rsidP="00866E73">
      <w:pPr>
        <w:pStyle w:val="paragraph"/>
        <w:numPr>
          <w:ilvl w:val="1"/>
          <w:numId w:val="30"/>
        </w:numPr>
        <w:spacing w:before="120" w:after="120" w:line="360" w:lineRule="auto"/>
        <w:textAlignment w:val="baseline"/>
        <w:rPr>
          <w:rStyle w:val="normaltextrun1"/>
          <w:rFonts w:asciiTheme="minorHAnsi" w:hAnsiTheme="minorHAnsi" w:cstheme="minorHAnsi"/>
          <w:i/>
          <w:iCs/>
          <w:lang w:val="en-US"/>
        </w:rPr>
      </w:pPr>
      <w:r w:rsidRPr="004C0CE1">
        <w:rPr>
          <w:rStyle w:val="normaltextrun1"/>
          <w:rFonts w:asciiTheme="minorHAnsi" w:hAnsiTheme="minorHAnsi" w:cstheme="minorHAnsi"/>
          <w:i/>
          <w:iCs/>
          <w:lang w:val="en-US"/>
        </w:rPr>
        <w:t>Compliance is managed by:</w:t>
      </w:r>
    </w:p>
    <w:p w14:paraId="41BA2549" w14:textId="77777777" w:rsidR="00C20212" w:rsidRPr="004C0CE1" w:rsidRDefault="00C20212" w:rsidP="00866E73">
      <w:pPr>
        <w:pStyle w:val="paragraph"/>
        <w:numPr>
          <w:ilvl w:val="2"/>
          <w:numId w:val="30"/>
        </w:numPr>
        <w:spacing w:before="120" w:after="120" w:line="360" w:lineRule="auto"/>
        <w:textAlignment w:val="baseline"/>
        <w:rPr>
          <w:rStyle w:val="normaltextrun1"/>
          <w:rFonts w:asciiTheme="minorHAnsi" w:hAnsiTheme="minorHAnsi" w:cstheme="minorHAnsi"/>
          <w:i/>
          <w:iCs/>
          <w:lang w:val="en-US"/>
        </w:rPr>
      </w:pPr>
      <w:r w:rsidRPr="004C0CE1">
        <w:rPr>
          <w:rStyle w:val="normaltextrun1"/>
          <w:rFonts w:asciiTheme="minorHAnsi" w:hAnsiTheme="minorHAnsi" w:cstheme="minorHAnsi"/>
          <w:i/>
          <w:iCs/>
          <w:lang w:val="en-US"/>
        </w:rPr>
        <w:t>National Offshore Petroleum Safety and Environmental Management Authority (oil rigs etc.)</w:t>
      </w:r>
    </w:p>
    <w:p w14:paraId="1D35427B" w14:textId="77777777" w:rsidR="00C20212" w:rsidRPr="004C0CE1" w:rsidRDefault="00C20212" w:rsidP="00866E73">
      <w:pPr>
        <w:pStyle w:val="paragraph"/>
        <w:numPr>
          <w:ilvl w:val="2"/>
          <w:numId w:val="30"/>
        </w:numPr>
        <w:spacing w:before="120" w:after="120" w:line="360" w:lineRule="auto"/>
        <w:textAlignment w:val="baseline"/>
        <w:rPr>
          <w:rStyle w:val="normaltextrun1"/>
          <w:rFonts w:asciiTheme="minorHAnsi" w:hAnsiTheme="minorHAnsi" w:cstheme="minorHAnsi"/>
          <w:i/>
          <w:iCs/>
          <w:lang w:val="en-US"/>
        </w:rPr>
      </w:pPr>
      <w:r w:rsidRPr="004C0CE1">
        <w:rPr>
          <w:rStyle w:val="normaltextrun1"/>
          <w:rFonts w:asciiTheme="minorHAnsi" w:hAnsiTheme="minorHAnsi" w:cstheme="minorHAnsi"/>
          <w:i/>
          <w:iCs/>
          <w:lang w:val="en-US"/>
        </w:rPr>
        <w:t>Australian Maritime Safety Authority( for infrastructure such as underwater cables)</w:t>
      </w:r>
    </w:p>
    <w:p w14:paraId="43CC80D7" w14:textId="17778489" w:rsidR="00A44B49" w:rsidRDefault="00A44B49" w:rsidP="00A44B49"/>
    <w:p w14:paraId="5F2439BC" w14:textId="6AC1E5FC" w:rsidR="002C6DBB" w:rsidRDefault="002C6DBB">
      <w:r>
        <w:br w:type="page"/>
      </w:r>
    </w:p>
    <w:p w14:paraId="530626F0" w14:textId="27694DCF" w:rsidR="006049BD" w:rsidRDefault="006049BD" w:rsidP="006049BD">
      <w:pPr>
        <w:pStyle w:val="Heading1"/>
      </w:pPr>
      <w:bookmarkStart w:id="64" w:name="_Attachment_C_–"/>
      <w:bookmarkStart w:id="65" w:name="_Toc72504407"/>
      <w:bookmarkEnd w:id="64"/>
      <w:r>
        <w:lastRenderedPageBreak/>
        <w:t xml:space="preserve">Attachment </w:t>
      </w:r>
      <w:r w:rsidR="00A44B49">
        <w:t>C</w:t>
      </w:r>
      <w:r>
        <w:t xml:space="preserve"> – List of </w:t>
      </w:r>
      <w:r w:rsidR="00CE7F59">
        <w:t>meeting</w:t>
      </w:r>
      <w:r w:rsidR="003F05FF">
        <w:t>s</w:t>
      </w:r>
      <w:r w:rsidR="00CE7F59">
        <w:t xml:space="preserve"> held</w:t>
      </w:r>
      <w:r>
        <w:t xml:space="preserve"> </w:t>
      </w:r>
      <w:r w:rsidR="003F05FF">
        <w:t>for the Review</w:t>
      </w:r>
      <w:bookmarkEnd w:id="65"/>
    </w:p>
    <w:p w14:paraId="528A8417" w14:textId="77777777" w:rsidR="003E5851" w:rsidRDefault="003E5851" w:rsidP="00E653C7">
      <w:pPr>
        <w:pStyle w:val="Heading2"/>
        <w:rPr>
          <w:lang w:val="en-US"/>
        </w:rPr>
      </w:pPr>
      <w:bookmarkStart w:id="66" w:name="_Toc72504408"/>
      <w:r w:rsidRPr="00795E65">
        <w:rPr>
          <w:lang w:val="en-US"/>
        </w:rPr>
        <w:t>The Department of Agriculture Water and the Environment</w:t>
      </w:r>
      <w:bookmarkEnd w:id="66"/>
    </w:p>
    <w:p w14:paraId="26FA5840" w14:textId="77777777" w:rsidR="003E5851" w:rsidRPr="00795E65" w:rsidRDefault="003E5851" w:rsidP="00E653C7">
      <w:pPr>
        <w:pStyle w:val="Heading3"/>
        <w:rPr>
          <w:lang w:val="en-US"/>
        </w:rPr>
      </w:pPr>
      <w:bookmarkStart w:id="67" w:name="_Toc72504409"/>
      <w:r w:rsidRPr="00795E65">
        <w:rPr>
          <w:lang w:val="en-US"/>
        </w:rPr>
        <w:t>Executive</w:t>
      </w:r>
      <w:bookmarkEnd w:id="67"/>
    </w:p>
    <w:p w14:paraId="574EA509" w14:textId="2AC833C3" w:rsidR="003E5851" w:rsidRDefault="003E5851" w:rsidP="003E5851">
      <w:pPr>
        <w:rPr>
          <w:lang w:val="en-US"/>
        </w:rPr>
      </w:pPr>
      <w:r>
        <w:rPr>
          <w:lang w:val="en-US"/>
        </w:rPr>
        <w:t>Deputy Secretary – Andrew Tongue, Biosecurity and Compliance Group</w:t>
      </w:r>
    </w:p>
    <w:p w14:paraId="5D7679E8" w14:textId="25E9EF5D" w:rsidR="007512BE" w:rsidRDefault="007512BE" w:rsidP="003E5851">
      <w:pPr>
        <w:rPr>
          <w:lang w:val="en-US"/>
        </w:rPr>
      </w:pPr>
      <w:r>
        <w:rPr>
          <w:lang w:val="en-US"/>
        </w:rPr>
        <w:t>Deputy Secretary – James Larsen</w:t>
      </w:r>
      <w:r w:rsidR="002F7309">
        <w:rPr>
          <w:lang w:val="en-US"/>
        </w:rPr>
        <w:t>, Environment</w:t>
      </w:r>
      <w:r w:rsidR="000019F8">
        <w:rPr>
          <w:lang w:val="en-US"/>
        </w:rPr>
        <w:t xml:space="preserve"> and Heritage Group</w:t>
      </w:r>
    </w:p>
    <w:p w14:paraId="7F1E1DD0" w14:textId="77777777" w:rsidR="003E5851" w:rsidRDefault="003E5851" w:rsidP="003E5851">
      <w:pPr>
        <w:rPr>
          <w:lang w:val="en-US"/>
        </w:rPr>
      </w:pPr>
      <w:r>
        <w:rPr>
          <w:lang w:val="en-US"/>
        </w:rPr>
        <w:t>Deputy Secretary – Dean Knudson, Major Environment Reforms Group</w:t>
      </w:r>
    </w:p>
    <w:p w14:paraId="416AA2B5" w14:textId="423DE101" w:rsidR="003E5851" w:rsidRDefault="00D72DB1" w:rsidP="003E5851">
      <w:pPr>
        <w:rPr>
          <w:lang w:val="en-US"/>
        </w:rPr>
      </w:pPr>
      <w:r>
        <w:rPr>
          <w:lang w:val="en-US"/>
        </w:rPr>
        <w:t>A</w:t>
      </w:r>
      <w:r w:rsidR="000019F8">
        <w:rPr>
          <w:lang w:val="en-US"/>
        </w:rPr>
        <w:t xml:space="preserve">/g </w:t>
      </w:r>
      <w:r w:rsidR="003E5851">
        <w:rPr>
          <w:lang w:val="en-US"/>
        </w:rPr>
        <w:t>Deputy Secretary – James Tregurtha, Major Environment Reforms Group</w:t>
      </w:r>
    </w:p>
    <w:p w14:paraId="32F0D432" w14:textId="77777777" w:rsidR="003E5851" w:rsidRDefault="003E5851" w:rsidP="003E5851">
      <w:pPr>
        <w:rPr>
          <w:lang w:val="en-US"/>
        </w:rPr>
      </w:pPr>
      <w:r>
        <w:rPr>
          <w:lang w:val="en-US"/>
        </w:rPr>
        <w:t>First Assistant Secretary – Kate Lynch, Environmental Protection Division</w:t>
      </w:r>
    </w:p>
    <w:p w14:paraId="5C093EDB" w14:textId="77777777" w:rsidR="003E5851" w:rsidRDefault="003E5851" w:rsidP="003E5851">
      <w:pPr>
        <w:rPr>
          <w:lang w:val="en-US"/>
        </w:rPr>
      </w:pPr>
      <w:r>
        <w:rPr>
          <w:lang w:val="en-US"/>
        </w:rPr>
        <w:t>First Assistant Secretary – Peta Lane, Biosecurity, Strategy and Reform Division</w:t>
      </w:r>
    </w:p>
    <w:p w14:paraId="69BD3657" w14:textId="77777777" w:rsidR="003E5851" w:rsidRDefault="003E5851" w:rsidP="003E5851">
      <w:pPr>
        <w:rPr>
          <w:lang w:val="en-US"/>
        </w:rPr>
      </w:pPr>
      <w:r>
        <w:rPr>
          <w:lang w:val="en-US"/>
        </w:rPr>
        <w:t>First Assistant Secretary – Peter Timson, Compliance and Enforcement Division</w:t>
      </w:r>
    </w:p>
    <w:p w14:paraId="1ADA9F32" w14:textId="77777777" w:rsidR="003E5851" w:rsidRPr="0039510A" w:rsidRDefault="003E5851" w:rsidP="003E5851">
      <w:pPr>
        <w:rPr>
          <w:lang w:val="en-US"/>
        </w:rPr>
      </w:pPr>
      <w:r>
        <w:rPr>
          <w:lang w:val="en-US"/>
        </w:rPr>
        <w:t>First Assistant Secretary – Lionel Riley, Corporate and Business Services Division</w:t>
      </w:r>
    </w:p>
    <w:p w14:paraId="5019F0BE" w14:textId="77777777" w:rsidR="003E5851" w:rsidRDefault="003E5851" w:rsidP="003E5851">
      <w:pPr>
        <w:rPr>
          <w:lang w:val="en-US"/>
        </w:rPr>
      </w:pPr>
      <w:r>
        <w:rPr>
          <w:lang w:val="en-US"/>
        </w:rPr>
        <w:t>Assistant Secretary – Richard Chadwick, Environment Compliance Branch</w:t>
      </w:r>
    </w:p>
    <w:p w14:paraId="0E358FFA" w14:textId="77777777" w:rsidR="003E5851" w:rsidRDefault="003E5851" w:rsidP="003E5851">
      <w:pPr>
        <w:rPr>
          <w:lang w:val="en-US"/>
        </w:rPr>
      </w:pPr>
      <w:r>
        <w:rPr>
          <w:lang w:val="en-US"/>
        </w:rPr>
        <w:t>Assistant Secretary – Monica Collins, Environment Compliance Branch</w:t>
      </w:r>
    </w:p>
    <w:p w14:paraId="37E13353" w14:textId="77777777" w:rsidR="003E5851" w:rsidRDefault="003E5851" w:rsidP="003E5851">
      <w:pPr>
        <w:rPr>
          <w:lang w:val="en-US"/>
        </w:rPr>
      </w:pPr>
      <w:r>
        <w:rPr>
          <w:lang w:val="en-US"/>
        </w:rPr>
        <w:t>Assistant Secretary – Jagtej Singh, Environment Compliance Branch</w:t>
      </w:r>
    </w:p>
    <w:p w14:paraId="557AD842" w14:textId="77777777" w:rsidR="003E5851" w:rsidRDefault="003E5851" w:rsidP="003E5851">
      <w:pPr>
        <w:rPr>
          <w:lang w:val="en-US"/>
        </w:rPr>
      </w:pPr>
      <w:r>
        <w:rPr>
          <w:lang w:val="en-US"/>
        </w:rPr>
        <w:t>Assistant Secretary – Andrew McNee, Environmental Approvals Division</w:t>
      </w:r>
    </w:p>
    <w:p w14:paraId="64C74566" w14:textId="0B622B3B" w:rsidR="003E5851" w:rsidRDefault="003E5851" w:rsidP="003E5851">
      <w:pPr>
        <w:rPr>
          <w:lang w:val="en-US"/>
        </w:rPr>
      </w:pPr>
      <w:r>
        <w:rPr>
          <w:lang w:val="en-US"/>
        </w:rPr>
        <w:t xml:space="preserve">Assistant Secretary – Mary Colreavy, </w:t>
      </w:r>
      <w:r w:rsidR="002C4877">
        <w:rPr>
          <w:lang w:val="en-US"/>
        </w:rPr>
        <w:t>Governance and Reform</w:t>
      </w:r>
      <w:r>
        <w:rPr>
          <w:lang w:val="en-US"/>
        </w:rPr>
        <w:t xml:space="preserve"> Branch</w:t>
      </w:r>
    </w:p>
    <w:p w14:paraId="300353A0" w14:textId="09D9FBAD" w:rsidR="0064307E" w:rsidRDefault="0064307E" w:rsidP="003E5851">
      <w:pPr>
        <w:rPr>
          <w:lang w:val="en-US"/>
        </w:rPr>
      </w:pPr>
      <w:r>
        <w:rPr>
          <w:lang w:val="en-US"/>
        </w:rPr>
        <w:t xml:space="preserve">Assistant Secretary – Rachel </w:t>
      </w:r>
      <w:r w:rsidR="00450DE7">
        <w:rPr>
          <w:lang w:val="en-US"/>
        </w:rPr>
        <w:t>Burgess,</w:t>
      </w:r>
    </w:p>
    <w:p w14:paraId="4BBE49B3" w14:textId="77777777" w:rsidR="003E5851" w:rsidRDefault="003E5851" w:rsidP="00E653C7">
      <w:pPr>
        <w:pStyle w:val="Heading3"/>
        <w:rPr>
          <w:lang w:val="en-US"/>
        </w:rPr>
      </w:pPr>
      <w:bookmarkStart w:id="68" w:name="_Toc72504410"/>
      <w:r>
        <w:rPr>
          <w:lang w:val="en-US"/>
        </w:rPr>
        <w:t>Program areas</w:t>
      </w:r>
      <w:bookmarkEnd w:id="68"/>
    </w:p>
    <w:p w14:paraId="5E1E243A" w14:textId="77777777" w:rsidR="003E5851" w:rsidRDefault="003E5851" w:rsidP="003E5851">
      <w:pPr>
        <w:rPr>
          <w:lang w:val="en-US"/>
        </w:rPr>
      </w:pPr>
      <w:r>
        <w:rPr>
          <w:lang w:val="en-US"/>
        </w:rPr>
        <w:t xml:space="preserve">Environmental Intelligence </w:t>
      </w:r>
    </w:p>
    <w:p w14:paraId="4560BADC" w14:textId="77777777" w:rsidR="003E5851" w:rsidRDefault="003E5851" w:rsidP="003E5851">
      <w:pPr>
        <w:rPr>
          <w:lang w:val="en-US"/>
        </w:rPr>
      </w:pPr>
      <w:r>
        <w:rPr>
          <w:lang w:val="en-US"/>
        </w:rPr>
        <w:t xml:space="preserve">Environmental Crime </w:t>
      </w:r>
    </w:p>
    <w:p w14:paraId="2AED5214" w14:textId="77777777" w:rsidR="003E5851" w:rsidRDefault="003E5851" w:rsidP="003E5851">
      <w:pPr>
        <w:rPr>
          <w:lang w:val="en-US"/>
        </w:rPr>
      </w:pPr>
      <w:r>
        <w:rPr>
          <w:lang w:val="en-US"/>
        </w:rPr>
        <w:t xml:space="preserve">Triage and Wildlife Trade </w:t>
      </w:r>
    </w:p>
    <w:p w14:paraId="6D72A008" w14:textId="77777777" w:rsidR="003E5851" w:rsidRDefault="003E5851" w:rsidP="003E5851">
      <w:pPr>
        <w:rPr>
          <w:lang w:val="en-US"/>
        </w:rPr>
      </w:pPr>
      <w:r>
        <w:rPr>
          <w:lang w:val="en-US"/>
        </w:rPr>
        <w:t xml:space="preserve">Compliance, Strategy and Risk </w:t>
      </w:r>
    </w:p>
    <w:p w14:paraId="617239C8" w14:textId="77777777" w:rsidR="003E5851" w:rsidRDefault="003E5851" w:rsidP="003E5851">
      <w:pPr>
        <w:rPr>
          <w:lang w:val="en-US"/>
        </w:rPr>
      </w:pPr>
      <w:r>
        <w:rPr>
          <w:lang w:val="en-US"/>
        </w:rPr>
        <w:t xml:space="preserve">State of the Environment Report </w:t>
      </w:r>
    </w:p>
    <w:p w14:paraId="761F96A1" w14:textId="77777777" w:rsidR="003E5851" w:rsidRDefault="003E5851" w:rsidP="003E5851">
      <w:pPr>
        <w:rPr>
          <w:lang w:val="en-US"/>
        </w:rPr>
      </w:pPr>
      <w:r>
        <w:rPr>
          <w:lang w:val="en-US"/>
        </w:rPr>
        <w:t xml:space="preserve">Environmental Approvals </w:t>
      </w:r>
    </w:p>
    <w:p w14:paraId="34E28AB0" w14:textId="77777777" w:rsidR="003E5851" w:rsidRDefault="003E5851" w:rsidP="003E5851">
      <w:pPr>
        <w:rPr>
          <w:lang w:val="en-US"/>
        </w:rPr>
      </w:pPr>
      <w:r>
        <w:rPr>
          <w:lang w:val="en-US"/>
        </w:rPr>
        <w:t xml:space="preserve">Heritage, Reef and Wildlife Trade </w:t>
      </w:r>
    </w:p>
    <w:p w14:paraId="028A620B" w14:textId="77777777" w:rsidR="003E5851" w:rsidRDefault="003E5851" w:rsidP="003E5851">
      <w:pPr>
        <w:rPr>
          <w:lang w:val="en-US"/>
        </w:rPr>
      </w:pPr>
      <w:r>
        <w:rPr>
          <w:lang w:val="en-US"/>
        </w:rPr>
        <w:t>Environmental Audit</w:t>
      </w:r>
    </w:p>
    <w:p w14:paraId="11DFF712" w14:textId="77777777" w:rsidR="003E5851" w:rsidRDefault="003E5851" w:rsidP="003E5851">
      <w:pPr>
        <w:rPr>
          <w:lang w:val="en-US"/>
        </w:rPr>
      </w:pPr>
      <w:r>
        <w:rPr>
          <w:lang w:val="en-US"/>
        </w:rPr>
        <w:t xml:space="preserve">Sea Dumping </w:t>
      </w:r>
    </w:p>
    <w:p w14:paraId="66E5FDA1" w14:textId="39ADD940" w:rsidR="003E5851" w:rsidRDefault="003E5851" w:rsidP="003E5851">
      <w:pPr>
        <w:rPr>
          <w:lang w:val="en-US"/>
        </w:rPr>
      </w:pPr>
      <w:r>
        <w:rPr>
          <w:lang w:val="en-US"/>
        </w:rPr>
        <w:t>Underwater Cultural Heritage</w:t>
      </w:r>
    </w:p>
    <w:p w14:paraId="5D744D35" w14:textId="0162A176" w:rsidR="00155846" w:rsidRDefault="00155846" w:rsidP="003E5851">
      <w:pPr>
        <w:rPr>
          <w:lang w:val="en-US"/>
        </w:rPr>
      </w:pPr>
      <w:r>
        <w:rPr>
          <w:lang w:val="en-US"/>
        </w:rPr>
        <w:t>Governance and Reform</w:t>
      </w:r>
    </w:p>
    <w:p w14:paraId="204006FF" w14:textId="77777777" w:rsidR="003E5851" w:rsidRDefault="003E5851" w:rsidP="003E5851">
      <w:pPr>
        <w:rPr>
          <w:lang w:val="en-US"/>
        </w:rPr>
      </w:pPr>
      <w:r>
        <w:rPr>
          <w:lang w:val="en-US"/>
        </w:rPr>
        <w:lastRenderedPageBreak/>
        <w:t>Parks Australia</w:t>
      </w:r>
    </w:p>
    <w:p w14:paraId="20D9DE73" w14:textId="386FC286" w:rsidR="00E67767" w:rsidRDefault="00E67767" w:rsidP="00E653C7">
      <w:pPr>
        <w:pStyle w:val="Heading2"/>
        <w:rPr>
          <w:lang w:val="en-US"/>
        </w:rPr>
      </w:pPr>
      <w:bookmarkStart w:id="69" w:name="_Toc72504411"/>
      <w:r>
        <w:rPr>
          <w:lang w:val="en-US"/>
        </w:rPr>
        <w:t>External Stakeholder</w:t>
      </w:r>
      <w:r w:rsidR="00E653C7">
        <w:rPr>
          <w:lang w:val="en-US"/>
        </w:rPr>
        <w:t>s</w:t>
      </w:r>
      <w:bookmarkEnd w:id="69"/>
    </w:p>
    <w:p w14:paraId="62EAB054" w14:textId="47DDBE49" w:rsidR="006B49B2" w:rsidRDefault="006B49B2" w:rsidP="003E5851">
      <w:pPr>
        <w:rPr>
          <w:lang w:val="en-US"/>
        </w:rPr>
      </w:pPr>
      <w:r>
        <w:rPr>
          <w:lang w:val="en-US"/>
        </w:rPr>
        <w:t>Australian Competition and Consumer Commission</w:t>
      </w:r>
    </w:p>
    <w:p w14:paraId="708425EA" w14:textId="77777777" w:rsidR="003E5851" w:rsidRDefault="003E5851" w:rsidP="003E5851">
      <w:pPr>
        <w:rPr>
          <w:lang w:val="en-US"/>
        </w:rPr>
      </w:pPr>
      <w:r>
        <w:rPr>
          <w:lang w:val="en-US"/>
        </w:rPr>
        <w:t>Commonwealth Director of Public Prosecutions</w:t>
      </w:r>
    </w:p>
    <w:p w14:paraId="18AF813D" w14:textId="77777777" w:rsidR="003E5851" w:rsidRDefault="003E5851" w:rsidP="003E5851">
      <w:pPr>
        <w:rPr>
          <w:lang w:val="en-US"/>
        </w:rPr>
      </w:pPr>
      <w:r>
        <w:rPr>
          <w:lang w:val="en-US"/>
        </w:rPr>
        <w:t>Australian Transaction Reports and Analysis Centre (AUSTRAC)</w:t>
      </w:r>
    </w:p>
    <w:p w14:paraId="1FFDC51F" w14:textId="3ECC3396" w:rsidR="003E5851" w:rsidRDefault="003E5851" w:rsidP="003E5851">
      <w:pPr>
        <w:rPr>
          <w:lang w:val="en-US"/>
        </w:rPr>
      </w:pPr>
      <w:r>
        <w:rPr>
          <w:lang w:val="en-US"/>
        </w:rPr>
        <w:t>Department of Home Affairs</w:t>
      </w:r>
    </w:p>
    <w:p w14:paraId="3AE3D4D0" w14:textId="27E1BF7D" w:rsidR="00AA3A14" w:rsidRDefault="00AA3A14" w:rsidP="003E5851">
      <w:pPr>
        <w:rPr>
          <w:lang w:val="en-US"/>
        </w:rPr>
      </w:pPr>
      <w:r>
        <w:rPr>
          <w:lang w:val="en-US"/>
        </w:rPr>
        <w:t>Australian Border Force</w:t>
      </w:r>
    </w:p>
    <w:p w14:paraId="072F0765" w14:textId="77777777" w:rsidR="003E5851" w:rsidRDefault="003E5851" w:rsidP="003E5851">
      <w:pPr>
        <w:rPr>
          <w:lang w:val="en-US"/>
        </w:rPr>
      </w:pPr>
      <w:r>
        <w:rPr>
          <w:lang w:val="en-US"/>
        </w:rPr>
        <w:t>New South Wales Department of Planning, Industry and Environment</w:t>
      </w:r>
    </w:p>
    <w:p w14:paraId="323B71F4" w14:textId="77777777" w:rsidR="003E5851" w:rsidRDefault="003E5851" w:rsidP="003E5851">
      <w:pPr>
        <w:rPr>
          <w:lang w:val="en-US"/>
        </w:rPr>
      </w:pPr>
      <w:r>
        <w:rPr>
          <w:lang w:val="en-US"/>
        </w:rPr>
        <w:t>Environment Protection Authority Victoria</w:t>
      </w:r>
    </w:p>
    <w:p w14:paraId="2D8F6353" w14:textId="77777777" w:rsidR="003E5851" w:rsidRDefault="003E5851" w:rsidP="003E5851">
      <w:pPr>
        <w:rPr>
          <w:lang w:val="en-US"/>
        </w:rPr>
      </w:pPr>
      <w:r>
        <w:rPr>
          <w:lang w:val="en-US"/>
        </w:rPr>
        <w:t>Environment Protection Authority South Australia</w:t>
      </w:r>
    </w:p>
    <w:p w14:paraId="70E23E24" w14:textId="77777777" w:rsidR="003E5851" w:rsidRDefault="003E5851" w:rsidP="003E5851">
      <w:pPr>
        <w:rPr>
          <w:lang w:val="en-US"/>
        </w:rPr>
      </w:pPr>
      <w:r>
        <w:rPr>
          <w:lang w:val="en-US"/>
        </w:rPr>
        <w:t>Queensland Department of Environment and Science</w:t>
      </w:r>
    </w:p>
    <w:p w14:paraId="496508DB" w14:textId="77777777" w:rsidR="003E5851" w:rsidRDefault="003E5851" w:rsidP="003E5851">
      <w:pPr>
        <w:rPr>
          <w:lang w:val="en-US"/>
        </w:rPr>
      </w:pPr>
      <w:r>
        <w:rPr>
          <w:lang w:val="en-US"/>
        </w:rPr>
        <w:t>Environment Protection Authority New Zealand</w:t>
      </w:r>
    </w:p>
    <w:p w14:paraId="4411980B" w14:textId="77777777" w:rsidR="003E5851" w:rsidRDefault="003E5851" w:rsidP="003E5851">
      <w:pPr>
        <w:rPr>
          <w:lang w:val="en-US"/>
        </w:rPr>
      </w:pPr>
      <w:r>
        <w:rPr>
          <w:lang w:val="en-US"/>
        </w:rPr>
        <w:t>New Zealand Ministry for the Environment</w:t>
      </w:r>
    </w:p>
    <w:p w14:paraId="7202B9B5" w14:textId="77777777" w:rsidR="003E5851" w:rsidRDefault="003E5851" w:rsidP="003E5851">
      <w:pPr>
        <w:rPr>
          <w:lang w:val="en-US"/>
        </w:rPr>
      </w:pPr>
      <w:r>
        <w:rPr>
          <w:lang w:val="en-US"/>
        </w:rPr>
        <w:t>Department of Environment and Climate Change, Canada</w:t>
      </w:r>
    </w:p>
    <w:p w14:paraId="0FB2B7CC" w14:textId="51B93507" w:rsidR="003E5851" w:rsidRDefault="00280A50" w:rsidP="003E5851">
      <w:pPr>
        <w:rPr>
          <w:lang w:val="en-US"/>
        </w:rPr>
      </w:pPr>
      <w:r>
        <w:rPr>
          <w:lang w:val="en-US"/>
        </w:rPr>
        <w:t>Prof</w:t>
      </w:r>
      <w:r w:rsidR="003E5851">
        <w:rPr>
          <w:lang w:val="en-US"/>
        </w:rPr>
        <w:t xml:space="preserve"> Graham Samuel, author of the Independent Review of the EPBC Act</w:t>
      </w:r>
    </w:p>
    <w:p w14:paraId="5641D078" w14:textId="3FD4964A" w:rsidR="003E5851" w:rsidRDefault="003E5851" w:rsidP="003E5851">
      <w:pPr>
        <w:rPr>
          <w:lang w:val="en-US"/>
        </w:rPr>
      </w:pPr>
      <w:r>
        <w:rPr>
          <w:lang w:val="en-US"/>
        </w:rPr>
        <w:t xml:space="preserve">Dr Wendy Craik, author of Review of Interactions between the EPBC Act and the Agricultural Sector </w:t>
      </w:r>
    </w:p>
    <w:p w14:paraId="0ADD3179" w14:textId="77777777" w:rsidR="003E5851" w:rsidRDefault="003E5851" w:rsidP="003E5851">
      <w:pPr>
        <w:rPr>
          <w:lang w:val="en-US"/>
        </w:rPr>
      </w:pPr>
      <w:r>
        <w:rPr>
          <w:lang w:val="en-US"/>
        </w:rPr>
        <w:t>Minerals Council of Australia</w:t>
      </w:r>
    </w:p>
    <w:p w14:paraId="62BF9984" w14:textId="77777777" w:rsidR="003E5851" w:rsidRDefault="003E5851" w:rsidP="003E5851">
      <w:pPr>
        <w:rPr>
          <w:lang w:val="en-US"/>
        </w:rPr>
      </w:pPr>
      <w:r>
        <w:rPr>
          <w:lang w:val="en-US"/>
        </w:rPr>
        <w:t>National Farmers Federation</w:t>
      </w:r>
    </w:p>
    <w:p w14:paraId="6B713D62" w14:textId="77777777" w:rsidR="003E5851" w:rsidRDefault="003E5851" w:rsidP="003E5851">
      <w:pPr>
        <w:rPr>
          <w:lang w:val="en-US"/>
        </w:rPr>
      </w:pPr>
      <w:r>
        <w:rPr>
          <w:lang w:val="en-US"/>
        </w:rPr>
        <w:t>Environmental Defenders Office</w:t>
      </w:r>
    </w:p>
    <w:p w14:paraId="724CD009" w14:textId="3B63DC55" w:rsidR="00E653C7" w:rsidRDefault="003E5851" w:rsidP="003E5851">
      <w:pPr>
        <w:rPr>
          <w:lang w:val="en-US"/>
        </w:rPr>
      </w:pPr>
      <w:r>
        <w:rPr>
          <w:lang w:val="en-US"/>
        </w:rPr>
        <w:t>World Wildlife Fund</w:t>
      </w:r>
    </w:p>
    <w:p w14:paraId="010880C7" w14:textId="77777777" w:rsidR="00E653C7" w:rsidRDefault="00E653C7">
      <w:pPr>
        <w:rPr>
          <w:lang w:val="en-US"/>
        </w:rPr>
      </w:pPr>
      <w:r>
        <w:rPr>
          <w:lang w:val="en-US"/>
        </w:rPr>
        <w:br w:type="page"/>
      </w:r>
    </w:p>
    <w:p w14:paraId="2B6CFF24" w14:textId="742415E8" w:rsidR="00013C91" w:rsidRDefault="00013C91" w:rsidP="00C64F4E">
      <w:pPr>
        <w:pStyle w:val="Heading1"/>
        <w:rPr>
          <w:sz w:val="24"/>
        </w:rPr>
      </w:pPr>
      <w:bookmarkStart w:id="70" w:name="_Attachment_C_-"/>
      <w:bookmarkStart w:id="71" w:name="_Attachment_D_-"/>
      <w:bookmarkStart w:id="72" w:name="_Toc72504412"/>
      <w:bookmarkEnd w:id="70"/>
      <w:bookmarkEnd w:id="71"/>
      <w:r>
        <w:lastRenderedPageBreak/>
        <w:t xml:space="preserve">Attachment </w:t>
      </w:r>
      <w:r w:rsidR="00A44B49">
        <w:t>D</w:t>
      </w:r>
      <w:r>
        <w:t xml:space="preserve"> - Sectors and risk factors identified in </w:t>
      </w:r>
      <w:r w:rsidR="00D21956">
        <w:t>Environment Compliance Branch</w:t>
      </w:r>
      <w:r>
        <w:t xml:space="preserve"> risk prioritisation workshop</w:t>
      </w:r>
      <w:r w:rsidR="00404194">
        <w:t xml:space="preserve"> (May 2021)</w:t>
      </w:r>
      <w:bookmarkEnd w:id="72"/>
    </w:p>
    <w:p w14:paraId="0F84E298" w14:textId="77777777" w:rsidR="00013C91" w:rsidRDefault="00013C91" w:rsidP="00013C91">
      <w:pPr>
        <w:pStyle w:val="Default"/>
      </w:pPr>
    </w:p>
    <w:p w14:paraId="77F5A4E0" w14:textId="77777777" w:rsidR="00013C91" w:rsidRDefault="00013C91" w:rsidP="00C64F4E">
      <w:pPr>
        <w:pStyle w:val="Heading2"/>
      </w:pPr>
      <w:bookmarkStart w:id="73" w:name="_Toc72504413"/>
      <w:r>
        <w:t>Sectors</w:t>
      </w:r>
      <w:bookmarkEnd w:id="73"/>
    </w:p>
    <w:p w14:paraId="25C32667" w14:textId="77777777" w:rsidR="00013C91" w:rsidRDefault="00013C91" w:rsidP="00013C91">
      <w:pPr>
        <w:pStyle w:val="Default"/>
      </w:pPr>
    </w:p>
    <w:tbl>
      <w:tblPr>
        <w:tblW w:w="0" w:type="auto"/>
        <w:tblInd w:w="-108" w:type="dxa"/>
        <w:tblLayout w:type="fixed"/>
        <w:tblLook w:val="04A0" w:firstRow="1" w:lastRow="0" w:firstColumn="1" w:lastColumn="0" w:noHBand="0" w:noVBand="1"/>
      </w:tblPr>
      <w:tblGrid>
        <w:gridCol w:w="3033"/>
        <w:gridCol w:w="3033"/>
        <w:gridCol w:w="3033"/>
      </w:tblGrid>
      <w:tr w:rsidR="00013C91" w14:paraId="24C669FE" w14:textId="77777777" w:rsidTr="00013C91">
        <w:trPr>
          <w:trHeight w:val="110"/>
        </w:trPr>
        <w:tc>
          <w:tcPr>
            <w:tcW w:w="3033" w:type="dxa"/>
            <w:tcBorders>
              <w:top w:val="nil"/>
              <w:left w:val="nil"/>
              <w:bottom w:val="nil"/>
              <w:right w:val="nil"/>
            </w:tcBorders>
            <w:hideMark/>
          </w:tcPr>
          <w:p w14:paraId="4AA50F2A" w14:textId="77777777" w:rsidR="00013C91" w:rsidRDefault="00013C91">
            <w:pPr>
              <w:pStyle w:val="Default"/>
              <w:spacing w:line="256" w:lineRule="auto"/>
              <w:rPr>
                <w:sz w:val="22"/>
                <w:szCs w:val="22"/>
              </w:rPr>
            </w:pPr>
            <w:r>
              <w:rPr>
                <w:b/>
                <w:bCs/>
                <w:sz w:val="22"/>
                <w:szCs w:val="22"/>
              </w:rPr>
              <w:t>Aspect</w:t>
            </w:r>
          </w:p>
        </w:tc>
        <w:tc>
          <w:tcPr>
            <w:tcW w:w="3033" w:type="dxa"/>
            <w:tcBorders>
              <w:top w:val="nil"/>
              <w:left w:val="nil"/>
              <w:bottom w:val="nil"/>
              <w:right w:val="nil"/>
            </w:tcBorders>
            <w:hideMark/>
          </w:tcPr>
          <w:p w14:paraId="39439E9E" w14:textId="77777777" w:rsidR="00013C91" w:rsidRDefault="00013C91">
            <w:pPr>
              <w:pStyle w:val="Default"/>
              <w:spacing w:line="256" w:lineRule="auto"/>
              <w:rPr>
                <w:sz w:val="22"/>
                <w:szCs w:val="22"/>
              </w:rPr>
            </w:pPr>
            <w:r>
              <w:rPr>
                <w:b/>
                <w:bCs/>
                <w:sz w:val="22"/>
                <w:szCs w:val="22"/>
              </w:rPr>
              <w:t>Category</w:t>
            </w:r>
          </w:p>
        </w:tc>
        <w:tc>
          <w:tcPr>
            <w:tcW w:w="3033" w:type="dxa"/>
            <w:tcBorders>
              <w:top w:val="nil"/>
              <w:left w:val="nil"/>
              <w:bottom w:val="nil"/>
              <w:right w:val="nil"/>
            </w:tcBorders>
            <w:hideMark/>
          </w:tcPr>
          <w:p w14:paraId="7228DD80" w14:textId="77777777" w:rsidR="00013C91" w:rsidRDefault="00013C91">
            <w:pPr>
              <w:pStyle w:val="Default"/>
              <w:spacing w:line="256" w:lineRule="auto"/>
              <w:rPr>
                <w:sz w:val="22"/>
                <w:szCs w:val="22"/>
              </w:rPr>
            </w:pPr>
            <w:r>
              <w:rPr>
                <w:b/>
                <w:bCs/>
                <w:sz w:val="22"/>
                <w:szCs w:val="22"/>
              </w:rPr>
              <w:t>Sector</w:t>
            </w:r>
          </w:p>
        </w:tc>
      </w:tr>
      <w:tr w:rsidR="00013C91" w14:paraId="74113FDD" w14:textId="77777777" w:rsidTr="00013C91">
        <w:trPr>
          <w:trHeight w:val="110"/>
        </w:trPr>
        <w:tc>
          <w:tcPr>
            <w:tcW w:w="3033" w:type="dxa"/>
            <w:tcBorders>
              <w:top w:val="nil"/>
              <w:left w:val="nil"/>
              <w:bottom w:val="nil"/>
              <w:right w:val="nil"/>
            </w:tcBorders>
            <w:hideMark/>
          </w:tcPr>
          <w:p w14:paraId="6ADCFDBA" w14:textId="77777777" w:rsidR="00013C91" w:rsidRDefault="00013C91">
            <w:pPr>
              <w:pStyle w:val="Default"/>
              <w:spacing w:line="256" w:lineRule="auto"/>
              <w:rPr>
                <w:sz w:val="22"/>
                <w:szCs w:val="22"/>
              </w:rPr>
            </w:pPr>
            <w:r>
              <w:rPr>
                <w:sz w:val="22"/>
                <w:szCs w:val="22"/>
              </w:rPr>
              <w:t>Air</w:t>
            </w:r>
          </w:p>
        </w:tc>
        <w:tc>
          <w:tcPr>
            <w:tcW w:w="3033" w:type="dxa"/>
            <w:tcBorders>
              <w:top w:val="nil"/>
              <w:left w:val="nil"/>
              <w:bottom w:val="nil"/>
              <w:right w:val="nil"/>
            </w:tcBorders>
            <w:hideMark/>
          </w:tcPr>
          <w:p w14:paraId="3AFEBB36" w14:textId="77777777" w:rsidR="00013C91" w:rsidRDefault="00013C91">
            <w:pPr>
              <w:pStyle w:val="Default"/>
              <w:spacing w:line="256" w:lineRule="auto"/>
              <w:rPr>
                <w:sz w:val="22"/>
                <w:szCs w:val="22"/>
              </w:rPr>
            </w:pPr>
            <w:r>
              <w:rPr>
                <w:sz w:val="22"/>
                <w:szCs w:val="22"/>
              </w:rPr>
              <w:t>Ozone</w:t>
            </w:r>
          </w:p>
        </w:tc>
        <w:tc>
          <w:tcPr>
            <w:tcW w:w="3033" w:type="dxa"/>
            <w:tcBorders>
              <w:top w:val="nil"/>
              <w:left w:val="nil"/>
              <w:bottom w:val="nil"/>
              <w:right w:val="nil"/>
            </w:tcBorders>
            <w:hideMark/>
          </w:tcPr>
          <w:p w14:paraId="5960DD28" w14:textId="77777777" w:rsidR="00013C91" w:rsidRDefault="00013C91">
            <w:pPr>
              <w:pStyle w:val="Default"/>
              <w:spacing w:line="256" w:lineRule="auto"/>
              <w:rPr>
                <w:sz w:val="22"/>
                <w:szCs w:val="22"/>
              </w:rPr>
            </w:pPr>
            <w:r>
              <w:rPr>
                <w:sz w:val="22"/>
                <w:szCs w:val="22"/>
              </w:rPr>
              <w:t>Brokers and Freight forwarders</w:t>
            </w:r>
          </w:p>
        </w:tc>
      </w:tr>
      <w:tr w:rsidR="00013C91" w14:paraId="021A9755" w14:textId="77777777" w:rsidTr="00013C91">
        <w:trPr>
          <w:trHeight w:val="110"/>
        </w:trPr>
        <w:tc>
          <w:tcPr>
            <w:tcW w:w="3033" w:type="dxa"/>
            <w:tcBorders>
              <w:top w:val="nil"/>
              <w:left w:val="nil"/>
              <w:bottom w:val="nil"/>
              <w:right w:val="nil"/>
            </w:tcBorders>
            <w:hideMark/>
          </w:tcPr>
          <w:p w14:paraId="54CBF68C" w14:textId="77777777" w:rsidR="00013C91" w:rsidRDefault="00013C91">
            <w:pPr>
              <w:pStyle w:val="Default"/>
              <w:spacing w:line="256" w:lineRule="auto"/>
              <w:rPr>
                <w:sz w:val="22"/>
                <w:szCs w:val="22"/>
              </w:rPr>
            </w:pPr>
            <w:r>
              <w:rPr>
                <w:sz w:val="22"/>
                <w:szCs w:val="22"/>
              </w:rPr>
              <w:t>Air</w:t>
            </w:r>
          </w:p>
        </w:tc>
        <w:tc>
          <w:tcPr>
            <w:tcW w:w="3033" w:type="dxa"/>
            <w:tcBorders>
              <w:top w:val="nil"/>
              <w:left w:val="nil"/>
              <w:bottom w:val="nil"/>
              <w:right w:val="nil"/>
            </w:tcBorders>
            <w:hideMark/>
          </w:tcPr>
          <w:p w14:paraId="2FBE3D0A" w14:textId="77777777" w:rsidR="00013C91" w:rsidRDefault="00013C91">
            <w:pPr>
              <w:pStyle w:val="Default"/>
              <w:spacing w:line="256" w:lineRule="auto"/>
              <w:rPr>
                <w:sz w:val="22"/>
                <w:szCs w:val="22"/>
              </w:rPr>
            </w:pPr>
            <w:r>
              <w:rPr>
                <w:sz w:val="22"/>
                <w:szCs w:val="22"/>
              </w:rPr>
              <w:t>Ozone</w:t>
            </w:r>
          </w:p>
        </w:tc>
        <w:tc>
          <w:tcPr>
            <w:tcW w:w="3033" w:type="dxa"/>
            <w:tcBorders>
              <w:top w:val="nil"/>
              <w:left w:val="nil"/>
              <w:bottom w:val="nil"/>
              <w:right w:val="nil"/>
            </w:tcBorders>
            <w:hideMark/>
          </w:tcPr>
          <w:p w14:paraId="30387CDA" w14:textId="77777777" w:rsidR="00013C91" w:rsidRDefault="00013C91">
            <w:pPr>
              <w:pStyle w:val="Default"/>
              <w:spacing w:line="256" w:lineRule="auto"/>
              <w:rPr>
                <w:sz w:val="22"/>
                <w:szCs w:val="22"/>
              </w:rPr>
            </w:pPr>
            <w:r>
              <w:rPr>
                <w:sz w:val="22"/>
                <w:szCs w:val="22"/>
              </w:rPr>
              <w:t>Fire protection</w:t>
            </w:r>
          </w:p>
        </w:tc>
      </w:tr>
      <w:tr w:rsidR="00013C91" w14:paraId="36387957" w14:textId="77777777" w:rsidTr="00013C91">
        <w:trPr>
          <w:trHeight w:val="110"/>
        </w:trPr>
        <w:tc>
          <w:tcPr>
            <w:tcW w:w="3033" w:type="dxa"/>
            <w:tcBorders>
              <w:top w:val="nil"/>
              <w:left w:val="nil"/>
              <w:bottom w:val="nil"/>
              <w:right w:val="nil"/>
            </w:tcBorders>
            <w:hideMark/>
          </w:tcPr>
          <w:p w14:paraId="512C4D14" w14:textId="77777777" w:rsidR="00013C91" w:rsidRDefault="00013C91">
            <w:pPr>
              <w:pStyle w:val="Default"/>
              <w:spacing w:line="256" w:lineRule="auto"/>
              <w:rPr>
                <w:sz w:val="22"/>
                <w:szCs w:val="22"/>
              </w:rPr>
            </w:pPr>
            <w:r>
              <w:rPr>
                <w:sz w:val="22"/>
                <w:szCs w:val="22"/>
              </w:rPr>
              <w:t>Air</w:t>
            </w:r>
          </w:p>
        </w:tc>
        <w:tc>
          <w:tcPr>
            <w:tcW w:w="3033" w:type="dxa"/>
            <w:tcBorders>
              <w:top w:val="nil"/>
              <w:left w:val="nil"/>
              <w:bottom w:val="nil"/>
              <w:right w:val="nil"/>
            </w:tcBorders>
            <w:hideMark/>
          </w:tcPr>
          <w:p w14:paraId="2B95D0C3" w14:textId="77777777" w:rsidR="00013C91" w:rsidRDefault="00013C91">
            <w:pPr>
              <w:pStyle w:val="Default"/>
              <w:spacing w:line="256" w:lineRule="auto"/>
              <w:rPr>
                <w:sz w:val="22"/>
                <w:szCs w:val="22"/>
              </w:rPr>
            </w:pPr>
            <w:r>
              <w:rPr>
                <w:sz w:val="22"/>
                <w:szCs w:val="22"/>
              </w:rPr>
              <w:t>Ozone</w:t>
            </w:r>
          </w:p>
        </w:tc>
        <w:tc>
          <w:tcPr>
            <w:tcW w:w="3033" w:type="dxa"/>
            <w:tcBorders>
              <w:top w:val="nil"/>
              <w:left w:val="nil"/>
              <w:bottom w:val="nil"/>
              <w:right w:val="nil"/>
            </w:tcBorders>
            <w:hideMark/>
          </w:tcPr>
          <w:p w14:paraId="2D7680D0" w14:textId="77777777" w:rsidR="00013C91" w:rsidRDefault="00013C91">
            <w:pPr>
              <w:pStyle w:val="Default"/>
              <w:spacing w:line="256" w:lineRule="auto"/>
              <w:rPr>
                <w:sz w:val="22"/>
                <w:szCs w:val="22"/>
              </w:rPr>
            </w:pPr>
            <w:r>
              <w:rPr>
                <w:sz w:val="22"/>
                <w:szCs w:val="22"/>
              </w:rPr>
              <w:t>Heating (heat pumps)</w:t>
            </w:r>
          </w:p>
        </w:tc>
      </w:tr>
      <w:tr w:rsidR="00013C91" w14:paraId="7F5E3660" w14:textId="77777777" w:rsidTr="00013C91">
        <w:trPr>
          <w:trHeight w:val="110"/>
        </w:trPr>
        <w:tc>
          <w:tcPr>
            <w:tcW w:w="3033" w:type="dxa"/>
            <w:tcBorders>
              <w:top w:val="nil"/>
              <w:left w:val="nil"/>
              <w:bottom w:val="nil"/>
              <w:right w:val="nil"/>
            </w:tcBorders>
            <w:hideMark/>
          </w:tcPr>
          <w:p w14:paraId="2F93C6EA" w14:textId="77777777" w:rsidR="00013C91" w:rsidRDefault="00013C91">
            <w:pPr>
              <w:pStyle w:val="Default"/>
              <w:spacing w:line="256" w:lineRule="auto"/>
              <w:rPr>
                <w:sz w:val="22"/>
                <w:szCs w:val="22"/>
              </w:rPr>
            </w:pPr>
            <w:r>
              <w:rPr>
                <w:sz w:val="22"/>
                <w:szCs w:val="22"/>
              </w:rPr>
              <w:t>Air</w:t>
            </w:r>
          </w:p>
        </w:tc>
        <w:tc>
          <w:tcPr>
            <w:tcW w:w="3033" w:type="dxa"/>
            <w:tcBorders>
              <w:top w:val="nil"/>
              <w:left w:val="nil"/>
              <w:bottom w:val="nil"/>
              <w:right w:val="nil"/>
            </w:tcBorders>
            <w:hideMark/>
          </w:tcPr>
          <w:p w14:paraId="5342BD59" w14:textId="77777777" w:rsidR="00013C91" w:rsidRDefault="00013C91">
            <w:pPr>
              <w:pStyle w:val="Default"/>
              <w:spacing w:line="256" w:lineRule="auto"/>
              <w:rPr>
                <w:sz w:val="22"/>
                <w:szCs w:val="22"/>
              </w:rPr>
            </w:pPr>
            <w:r>
              <w:rPr>
                <w:sz w:val="22"/>
                <w:szCs w:val="22"/>
              </w:rPr>
              <w:t>Ozone</w:t>
            </w:r>
          </w:p>
        </w:tc>
        <w:tc>
          <w:tcPr>
            <w:tcW w:w="3033" w:type="dxa"/>
            <w:tcBorders>
              <w:top w:val="nil"/>
              <w:left w:val="nil"/>
              <w:bottom w:val="nil"/>
              <w:right w:val="nil"/>
            </w:tcBorders>
            <w:hideMark/>
          </w:tcPr>
          <w:p w14:paraId="4266DDF7" w14:textId="77777777" w:rsidR="00013C91" w:rsidRDefault="00013C91">
            <w:pPr>
              <w:pStyle w:val="Default"/>
              <w:spacing w:line="256" w:lineRule="auto"/>
              <w:rPr>
                <w:sz w:val="22"/>
                <w:szCs w:val="22"/>
              </w:rPr>
            </w:pPr>
            <w:r>
              <w:rPr>
                <w:sz w:val="22"/>
                <w:szCs w:val="22"/>
              </w:rPr>
              <w:t>Methyl bromide (agricultural fumigation)</w:t>
            </w:r>
          </w:p>
        </w:tc>
      </w:tr>
      <w:tr w:rsidR="00013C91" w14:paraId="2DCE76A5" w14:textId="77777777" w:rsidTr="00013C91">
        <w:trPr>
          <w:trHeight w:val="110"/>
        </w:trPr>
        <w:tc>
          <w:tcPr>
            <w:tcW w:w="3033" w:type="dxa"/>
            <w:tcBorders>
              <w:top w:val="nil"/>
              <w:left w:val="nil"/>
              <w:bottom w:val="nil"/>
              <w:right w:val="nil"/>
            </w:tcBorders>
            <w:hideMark/>
          </w:tcPr>
          <w:p w14:paraId="5C59056C" w14:textId="77777777" w:rsidR="00013C91" w:rsidRDefault="00013C91">
            <w:pPr>
              <w:pStyle w:val="Default"/>
              <w:spacing w:line="256" w:lineRule="auto"/>
              <w:rPr>
                <w:sz w:val="22"/>
                <w:szCs w:val="22"/>
              </w:rPr>
            </w:pPr>
            <w:r>
              <w:rPr>
                <w:sz w:val="22"/>
                <w:szCs w:val="22"/>
              </w:rPr>
              <w:t>Air</w:t>
            </w:r>
          </w:p>
        </w:tc>
        <w:tc>
          <w:tcPr>
            <w:tcW w:w="3033" w:type="dxa"/>
            <w:tcBorders>
              <w:top w:val="nil"/>
              <w:left w:val="nil"/>
              <w:bottom w:val="nil"/>
              <w:right w:val="nil"/>
            </w:tcBorders>
            <w:hideMark/>
          </w:tcPr>
          <w:p w14:paraId="5E31E683" w14:textId="77777777" w:rsidR="00013C91" w:rsidRDefault="00013C91">
            <w:pPr>
              <w:pStyle w:val="Default"/>
              <w:spacing w:line="256" w:lineRule="auto"/>
              <w:rPr>
                <w:sz w:val="22"/>
                <w:szCs w:val="22"/>
              </w:rPr>
            </w:pPr>
            <w:r>
              <w:rPr>
                <w:sz w:val="22"/>
                <w:szCs w:val="22"/>
              </w:rPr>
              <w:t>Ozone</w:t>
            </w:r>
          </w:p>
        </w:tc>
        <w:tc>
          <w:tcPr>
            <w:tcW w:w="3033" w:type="dxa"/>
            <w:tcBorders>
              <w:top w:val="nil"/>
              <w:left w:val="nil"/>
              <w:bottom w:val="nil"/>
              <w:right w:val="nil"/>
            </w:tcBorders>
            <w:hideMark/>
          </w:tcPr>
          <w:p w14:paraId="3B65071B" w14:textId="77777777" w:rsidR="00013C91" w:rsidRDefault="00013C91">
            <w:pPr>
              <w:pStyle w:val="Default"/>
              <w:spacing w:line="256" w:lineRule="auto"/>
              <w:rPr>
                <w:sz w:val="22"/>
                <w:szCs w:val="22"/>
              </w:rPr>
            </w:pPr>
            <w:r>
              <w:rPr>
                <w:sz w:val="22"/>
                <w:szCs w:val="22"/>
              </w:rPr>
              <w:t>Product emissions</w:t>
            </w:r>
          </w:p>
        </w:tc>
      </w:tr>
      <w:tr w:rsidR="00013C91" w14:paraId="1F345DBE" w14:textId="77777777" w:rsidTr="00013C91">
        <w:trPr>
          <w:trHeight w:val="110"/>
        </w:trPr>
        <w:tc>
          <w:tcPr>
            <w:tcW w:w="3033" w:type="dxa"/>
            <w:tcBorders>
              <w:top w:val="nil"/>
              <w:left w:val="nil"/>
              <w:bottom w:val="nil"/>
              <w:right w:val="nil"/>
            </w:tcBorders>
            <w:hideMark/>
          </w:tcPr>
          <w:p w14:paraId="64AA57A1" w14:textId="77777777" w:rsidR="00013C91" w:rsidRDefault="00013C91">
            <w:pPr>
              <w:pStyle w:val="Default"/>
              <w:spacing w:line="256" w:lineRule="auto"/>
              <w:rPr>
                <w:sz w:val="22"/>
                <w:szCs w:val="22"/>
              </w:rPr>
            </w:pPr>
            <w:r>
              <w:rPr>
                <w:sz w:val="22"/>
                <w:szCs w:val="22"/>
              </w:rPr>
              <w:t>Air</w:t>
            </w:r>
          </w:p>
        </w:tc>
        <w:tc>
          <w:tcPr>
            <w:tcW w:w="3033" w:type="dxa"/>
            <w:tcBorders>
              <w:top w:val="nil"/>
              <w:left w:val="nil"/>
              <w:bottom w:val="nil"/>
              <w:right w:val="nil"/>
            </w:tcBorders>
            <w:hideMark/>
          </w:tcPr>
          <w:p w14:paraId="75F0A476" w14:textId="77777777" w:rsidR="00013C91" w:rsidRDefault="00013C91">
            <w:pPr>
              <w:pStyle w:val="Default"/>
              <w:spacing w:line="256" w:lineRule="auto"/>
              <w:rPr>
                <w:sz w:val="22"/>
                <w:szCs w:val="22"/>
              </w:rPr>
            </w:pPr>
            <w:r>
              <w:rPr>
                <w:sz w:val="22"/>
                <w:szCs w:val="22"/>
              </w:rPr>
              <w:t>Ozone</w:t>
            </w:r>
          </w:p>
        </w:tc>
        <w:tc>
          <w:tcPr>
            <w:tcW w:w="3033" w:type="dxa"/>
            <w:tcBorders>
              <w:top w:val="nil"/>
              <w:left w:val="nil"/>
              <w:bottom w:val="nil"/>
              <w:right w:val="nil"/>
            </w:tcBorders>
            <w:hideMark/>
          </w:tcPr>
          <w:p w14:paraId="2BE22F11" w14:textId="77777777" w:rsidR="00013C91" w:rsidRDefault="00013C91">
            <w:pPr>
              <w:pStyle w:val="Default"/>
              <w:spacing w:line="256" w:lineRule="auto"/>
              <w:rPr>
                <w:sz w:val="22"/>
                <w:szCs w:val="22"/>
              </w:rPr>
            </w:pPr>
            <w:r>
              <w:rPr>
                <w:sz w:val="22"/>
                <w:szCs w:val="22"/>
              </w:rPr>
              <w:t>Refrigeration and air-conditioning</w:t>
            </w:r>
          </w:p>
        </w:tc>
      </w:tr>
      <w:tr w:rsidR="00013C91" w14:paraId="4CA97CA6" w14:textId="77777777" w:rsidTr="00013C91">
        <w:trPr>
          <w:trHeight w:val="110"/>
        </w:trPr>
        <w:tc>
          <w:tcPr>
            <w:tcW w:w="3033" w:type="dxa"/>
            <w:tcBorders>
              <w:top w:val="nil"/>
              <w:left w:val="nil"/>
              <w:bottom w:val="nil"/>
              <w:right w:val="nil"/>
            </w:tcBorders>
            <w:hideMark/>
          </w:tcPr>
          <w:p w14:paraId="36FD0F33" w14:textId="77777777" w:rsidR="00013C91" w:rsidRDefault="00013C91">
            <w:pPr>
              <w:pStyle w:val="Default"/>
              <w:spacing w:line="256" w:lineRule="auto"/>
              <w:rPr>
                <w:sz w:val="22"/>
                <w:szCs w:val="22"/>
              </w:rPr>
            </w:pPr>
            <w:r>
              <w:rPr>
                <w:sz w:val="22"/>
                <w:szCs w:val="22"/>
              </w:rPr>
              <w:t>Air</w:t>
            </w:r>
          </w:p>
        </w:tc>
        <w:tc>
          <w:tcPr>
            <w:tcW w:w="3033" w:type="dxa"/>
            <w:tcBorders>
              <w:top w:val="nil"/>
              <w:left w:val="nil"/>
              <w:bottom w:val="nil"/>
              <w:right w:val="nil"/>
            </w:tcBorders>
            <w:hideMark/>
          </w:tcPr>
          <w:p w14:paraId="253CF4D1" w14:textId="77777777" w:rsidR="00013C91" w:rsidRDefault="00013C91">
            <w:pPr>
              <w:pStyle w:val="Default"/>
              <w:spacing w:line="256" w:lineRule="auto"/>
              <w:rPr>
                <w:sz w:val="22"/>
                <w:szCs w:val="22"/>
              </w:rPr>
            </w:pPr>
            <w:r>
              <w:rPr>
                <w:sz w:val="22"/>
                <w:szCs w:val="22"/>
              </w:rPr>
              <w:t>Ozone</w:t>
            </w:r>
          </w:p>
        </w:tc>
        <w:tc>
          <w:tcPr>
            <w:tcW w:w="3033" w:type="dxa"/>
            <w:tcBorders>
              <w:top w:val="nil"/>
              <w:left w:val="nil"/>
              <w:bottom w:val="nil"/>
              <w:right w:val="nil"/>
            </w:tcBorders>
            <w:hideMark/>
          </w:tcPr>
          <w:p w14:paraId="2E88AEDF" w14:textId="77777777" w:rsidR="00013C91" w:rsidRDefault="00013C91">
            <w:pPr>
              <w:pStyle w:val="Default"/>
              <w:spacing w:line="256" w:lineRule="auto"/>
              <w:rPr>
                <w:sz w:val="22"/>
                <w:szCs w:val="22"/>
              </w:rPr>
            </w:pPr>
            <w:r>
              <w:rPr>
                <w:sz w:val="22"/>
                <w:szCs w:val="22"/>
              </w:rPr>
              <w:t>Technicians and metal scrapping</w:t>
            </w:r>
          </w:p>
        </w:tc>
      </w:tr>
      <w:tr w:rsidR="00013C91" w14:paraId="3E738188" w14:textId="77777777" w:rsidTr="00013C91">
        <w:trPr>
          <w:trHeight w:val="110"/>
        </w:trPr>
        <w:tc>
          <w:tcPr>
            <w:tcW w:w="3033" w:type="dxa"/>
            <w:tcBorders>
              <w:top w:val="nil"/>
              <w:left w:val="nil"/>
              <w:bottom w:val="nil"/>
              <w:right w:val="nil"/>
            </w:tcBorders>
            <w:hideMark/>
          </w:tcPr>
          <w:p w14:paraId="1D1FCBC4" w14:textId="77777777" w:rsidR="00013C91" w:rsidRDefault="00013C91">
            <w:pPr>
              <w:pStyle w:val="Default"/>
              <w:spacing w:line="256" w:lineRule="auto"/>
              <w:rPr>
                <w:sz w:val="22"/>
                <w:szCs w:val="22"/>
              </w:rPr>
            </w:pPr>
            <w:r>
              <w:rPr>
                <w:sz w:val="22"/>
                <w:szCs w:val="22"/>
              </w:rPr>
              <w:t>Air</w:t>
            </w:r>
          </w:p>
        </w:tc>
        <w:tc>
          <w:tcPr>
            <w:tcW w:w="3033" w:type="dxa"/>
            <w:tcBorders>
              <w:top w:val="nil"/>
              <w:left w:val="nil"/>
              <w:bottom w:val="nil"/>
              <w:right w:val="nil"/>
            </w:tcBorders>
            <w:hideMark/>
          </w:tcPr>
          <w:p w14:paraId="67D8E169" w14:textId="77777777" w:rsidR="00013C91" w:rsidRDefault="00013C91">
            <w:pPr>
              <w:pStyle w:val="Default"/>
              <w:spacing w:line="256" w:lineRule="auto"/>
              <w:rPr>
                <w:sz w:val="22"/>
                <w:szCs w:val="22"/>
              </w:rPr>
            </w:pPr>
            <w:r>
              <w:rPr>
                <w:sz w:val="22"/>
                <w:szCs w:val="22"/>
              </w:rPr>
              <w:t>Quality</w:t>
            </w:r>
          </w:p>
        </w:tc>
        <w:tc>
          <w:tcPr>
            <w:tcW w:w="3033" w:type="dxa"/>
            <w:tcBorders>
              <w:top w:val="nil"/>
              <w:left w:val="nil"/>
              <w:bottom w:val="nil"/>
              <w:right w:val="nil"/>
            </w:tcBorders>
            <w:hideMark/>
          </w:tcPr>
          <w:p w14:paraId="064C76BA" w14:textId="77777777" w:rsidR="00013C91" w:rsidRDefault="00013C91">
            <w:pPr>
              <w:pStyle w:val="Default"/>
              <w:spacing w:line="256" w:lineRule="auto"/>
              <w:rPr>
                <w:sz w:val="22"/>
                <w:szCs w:val="22"/>
              </w:rPr>
            </w:pPr>
            <w:r>
              <w:rPr>
                <w:sz w:val="22"/>
                <w:szCs w:val="22"/>
              </w:rPr>
              <w:t>Power equipment makers, importers, retailers</w:t>
            </w:r>
          </w:p>
        </w:tc>
      </w:tr>
      <w:tr w:rsidR="00013C91" w14:paraId="08CB629F" w14:textId="77777777" w:rsidTr="00013C91">
        <w:trPr>
          <w:trHeight w:val="110"/>
        </w:trPr>
        <w:tc>
          <w:tcPr>
            <w:tcW w:w="3033" w:type="dxa"/>
            <w:tcBorders>
              <w:top w:val="nil"/>
              <w:left w:val="nil"/>
              <w:bottom w:val="nil"/>
              <w:right w:val="nil"/>
            </w:tcBorders>
            <w:hideMark/>
          </w:tcPr>
          <w:p w14:paraId="703D0E94" w14:textId="77777777" w:rsidR="00013C91" w:rsidRDefault="00013C91">
            <w:pPr>
              <w:pStyle w:val="Default"/>
              <w:spacing w:line="256" w:lineRule="auto"/>
              <w:rPr>
                <w:sz w:val="22"/>
                <w:szCs w:val="22"/>
              </w:rPr>
            </w:pPr>
            <w:r>
              <w:rPr>
                <w:sz w:val="22"/>
                <w:szCs w:val="22"/>
              </w:rPr>
              <w:t>Air</w:t>
            </w:r>
          </w:p>
        </w:tc>
        <w:tc>
          <w:tcPr>
            <w:tcW w:w="3033" w:type="dxa"/>
            <w:tcBorders>
              <w:top w:val="nil"/>
              <w:left w:val="nil"/>
              <w:bottom w:val="nil"/>
              <w:right w:val="nil"/>
            </w:tcBorders>
            <w:hideMark/>
          </w:tcPr>
          <w:p w14:paraId="71652B3D" w14:textId="77777777" w:rsidR="00013C91" w:rsidRDefault="00013C91">
            <w:pPr>
              <w:pStyle w:val="Default"/>
              <w:spacing w:line="256" w:lineRule="auto"/>
              <w:rPr>
                <w:sz w:val="22"/>
                <w:szCs w:val="22"/>
              </w:rPr>
            </w:pPr>
            <w:r>
              <w:rPr>
                <w:sz w:val="22"/>
                <w:szCs w:val="22"/>
              </w:rPr>
              <w:t>Quality</w:t>
            </w:r>
          </w:p>
        </w:tc>
        <w:tc>
          <w:tcPr>
            <w:tcW w:w="3033" w:type="dxa"/>
            <w:tcBorders>
              <w:top w:val="nil"/>
              <w:left w:val="nil"/>
              <w:bottom w:val="nil"/>
              <w:right w:val="nil"/>
            </w:tcBorders>
            <w:hideMark/>
          </w:tcPr>
          <w:p w14:paraId="5138BD84" w14:textId="77777777" w:rsidR="00013C91" w:rsidRDefault="00013C91">
            <w:pPr>
              <w:pStyle w:val="Default"/>
              <w:spacing w:line="256" w:lineRule="auto"/>
              <w:rPr>
                <w:sz w:val="22"/>
                <w:szCs w:val="22"/>
              </w:rPr>
            </w:pPr>
            <w:r>
              <w:rPr>
                <w:sz w:val="22"/>
                <w:szCs w:val="22"/>
              </w:rPr>
              <w:t>Small engine emissions</w:t>
            </w:r>
          </w:p>
        </w:tc>
      </w:tr>
      <w:tr w:rsidR="00013C91" w14:paraId="1C1272A4" w14:textId="77777777" w:rsidTr="00013C91">
        <w:trPr>
          <w:trHeight w:val="110"/>
        </w:trPr>
        <w:tc>
          <w:tcPr>
            <w:tcW w:w="3033" w:type="dxa"/>
            <w:tcBorders>
              <w:top w:val="nil"/>
              <w:left w:val="nil"/>
              <w:bottom w:val="nil"/>
              <w:right w:val="nil"/>
            </w:tcBorders>
            <w:hideMark/>
          </w:tcPr>
          <w:p w14:paraId="7D93364A" w14:textId="77777777" w:rsidR="00013C91" w:rsidRDefault="00013C91">
            <w:pPr>
              <w:pStyle w:val="Default"/>
              <w:spacing w:line="256" w:lineRule="auto"/>
              <w:rPr>
                <w:sz w:val="22"/>
                <w:szCs w:val="22"/>
              </w:rPr>
            </w:pPr>
            <w:r>
              <w:rPr>
                <w:sz w:val="22"/>
                <w:szCs w:val="22"/>
              </w:rPr>
              <w:t>Land</w:t>
            </w:r>
          </w:p>
        </w:tc>
        <w:tc>
          <w:tcPr>
            <w:tcW w:w="3033" w:type="dxa"/>
            <w:tcBorders>
              <w:top w:val="nil"/>
              <w:left w:val="nil"/>
              <w:bottom w:val="nil"/>
              <w:right w:val="nil"/>
            </w:tcBorders>
            <w:hideMark/>
          </w:tcPr>
          <w:p w14:paraId="1396AE7F" w14:textId="77777777" w:rsidR="00013C91" w:rsidRDefault="00013C91">
            <w:pPr>
              <w:pStyle w:val="Default"/>
              <w:spacing w:line="256" w:lineRule="auto"/>
              <w:rPr>
                <w:sz w:val="22"/>
                <w:szCs w:val="22"/>
              </w:rPr>
            </w:pPr>
            <w:r>
              <w:rPr>
                <w:sz w:val="22"/>
                <w:szCs w:val="22"/>
              </w:rPr>
              <w:t>Agriculture &amp; Forestry (land clearing)</w:t>
            </w:r>
          </w:p>
        </w:tc>
        <w:tc>
          <w:tcPr>
            <w:tcW w:w="3033" w:type="dxa"/>
            <w:tcBorders>
              <w:top w:val="nil"/>
              <w:left w:val="nil"/>
              <w:bottom w:val="nil"/>
              <w:right w:val="nil"/>
            </w:tcBorders>
            <w:hideMark/>
          </w:tcPr>
          <w:p w14:paraId="16B0EA1F" w14:textId="77777777" w:rsidR="00013C91" w:rsidRDefault="00013C91">
            <w:pPr>
              <w:pStyle w:val="Default"/>
              <w:spacing w:line="256" w:lineRule="auto"/>
              <w:rPr>
                <w:sz w:val="22"/>
                <w:szCs w:val="22"/>
              </w:rPr>
            </w:pPr>
            <w:r>
              <w:rPr>
                <w:sz w:val="22"/>
                <w:szCs w:val="22"/>
              </w:rPr>
              <w:t>Agriculture</w:t>
            </w:r>
          </w:p>
        </w:tc>
      </w:tr>
      <w:tr w:rsidR="00013C91" w14:paraId="1E5ECCB6" w14:textId="77777777" w:rsidTr="00013C91">
        <w:trPr>
          <w:trHeight w:val="110"/>
        </w:trPr>
        <w:tc>
          <w:tcPr>
            <w:tcW w:w="3033" w:type="dxa"/>
            <w:tcBorders>
              <w:top w:val="nil"/>
              <w:left w:val="nil"/>
              <w:bottom w:val="nil"/>
              <w:right w:val="nil"/>
            </w:tcBorders>
            <w:hideMark/>
          </w:tcPr>
          <w:p w14:paraId="0AC4CD15" w14:textId="77777777" w:rsidR="00013C91" w:rsidRDefault="00013C91">
            <w:pPr>
              <w:pStyle w:val="Default"/>
              <w:spacing w:line="256" w:lineRule="auto"/>
              <w:rPr>
                <w:sz w:val="22"/>
                <w:szCs w:val="22"/>
              </w:rPr>
            </w:pPr>
            <w:r>
              <w:rPr>
                <w:sz w:val="22"/>
                <w:szCs w:val="22"/>
              </w:rPr>
              <w:t>Land</w:t>
            </w:r>
          </w:p>
        </w:tc>
        <w:tc>
          <w:tcPr>
            <w:tcW w:w="3033" w:type="dxa"/>
            <w:tcBorders>
              <w:top w:val="nil"/>
              <w:left w:val="nil"/>
              <w:bottom w:val="nil"/>
              <w:right w:val="nil"/>
            </w:tcBorders>
            <w:hideMark/>
          </w:tcPr>
          <w:p w14:paraId="3AFC4764" w14:textId="77777777" w:rsidR="00013C91" w:rsidRDefault="00013C91">
            <w:pPr>
              <w:pStyle w:val="Default"/>
              <w:spacing w:line="256" w:lineRule="auto"/>
              <w:rPr>
                <w:sz w:val="22"/>
                <w:szCs w:val="22"/>
              </w:rPr>
            </w:pPr>
            <w:r>
              <w:rPr>
                <w:sz w:val="22"/>
                <w:szCs w:val="22"/>
              </w:rPr>
              <w:t>Agriculture &amp; Forestry (land clearing)</w:t>
            </w:r>
          </w:p>
        </w:tc>
        <w:tc>
          <w:tcPr>
            <w:tcW w:w="3033" w:type="dxa"/>
            <w:tcBorders>
              <w:top w:val="nil"/>
              <w:left w:val="nil"/>
              <w:bottom w:val="nil"/>
              <w:right w:val="nil"/>
            </w:tcBorders>
            <w:hideMark/>
          </w:tcPr>
          <w:p w14:paraId="7B4B99F9" w14:textId="77777777" w:rsidR="00013C91" w:rsidRDefault="00013C91">
            <w:pPr>
              <w:pStyle w:val="Default"/>
              <w:spacing w:line="256" w:lineRule="auto"/>
              <w:rPr>
                <w:sz w:val="22"/>
                <w:szCs w:val="22"/>
              </w:rPr>
            </w:pPr>
            <w:r>
              <w:rPr>
                <w:sz w:val="22"/>
                <w:szCs w:val="22"/>
              </w:rPr>
              <w:t>Forestry</w:t>
            </w:r>
          </w:p>
        </w:tc>
      </w:tr>
      <w:tr w:rsidR="00013C91" w14:paraId="63354746" w14:textId="77777777" w:rsidTr="00013C91">
        <w:trPr>
          <w:trHeight w:val="110"/>
        </w:trPr>
        <w:tc>
          <w:tcPr>
            <w:tcW w:w="3033" w:type="dxa"/>
            <w:tcBorders>
              <w:top w:val="nil"/>
              <w:left w:val="nil"/>
              <w:bottom w:val="nil"/>
              <w:right w:val="nil"/>
            </w:tcBorders>
            <w:hideMark/>
          </w:tcPr>
          <w:p w14:paraId="35E02148" w14:textId="77777777" w:rsidR="00013C91" w:rsidRDefault="00013C91">
            <w:pPr>
              <w:pStyle w:val="Default"/>
              <w:spacing w:line="256" w:lineRule="auto"/>
              <w:rPr>
                <w:sz w:val="22"/>
                <w:szCs w:val="22"/>
              </w:rPr>
            </w:pPr>
            <w:r>
              <w:rPr>
                <w:sz w:val="22"/>
                <w:szCs w:val="22"/>
              </w:rPr>
              <w:t>Land</w:t>
            </w:r>
          </w:p>
        </w:tc>
        <w:tc>
          <w:tcPr>
            <w:tcW w:w="3033" w:type="dxa"/>
            <w:tcBorders>
              <w:top w:val="nil"/>
              <w:left w:val="nil"/>
              <w:bottom w:val="nil"/>
              <w:right w:val="nil"/>
            </w:tcBorders>
            <w:hideMark/>
          </w:tcPr>
          <w:p w14:paraId="7269A5B7" w14:textId="77777777" w:rsidR="00013C91" w:rsidRDefault="00013C91">
            <w:pPr>
              <w:pStyle w:val="Default"/>
              <w:spacing w:line="256" w:lineRule="auto"/>
              <w:rPr>
                <w:sz w:val="22"/>
                <w:szCs w:val="22"/>
              </w:rPr>
            </w:pPr>
            <w:r>
              <w:rPr>
                <w:sz w:val="22"/>
                <w:szCs w:val="22"/>
              </w:rPr>
              <w:t>Conservation</w:t>
            </w:r>
          </w:p>
        </w:tc>
        <w:tc>
          <w:tcPr>
            <w:tcW w:w="3033" w:type="dxa"/>
            <w:tcBorders>
              <w:top w:val="nil"/>
              <w:left w:val="nil"/>
              <w:bottom w:val="nil"/>
              <w:right w:val="nil"/>
            </w:tcBorders>
            <w:hideMark/>
          </w:tcPr>
          <w:p w14:paraId="5A074029" w14:textId="77777777" w:rsidR="00013C91" w:rsidRDefault="00013C91">
            <w:pPr>
              <w:pStyle w:val="Default"/>
              <w:spacing w:line="256" w:lineRule="auto"/>
              <w:rPr>
                <w:sz w:val="22"/>
                <w:szCs w:val="22"/>
              </w:rPr>
            </w:pPr>
            <w:r>
              <w:rPr>
                <w:sz w:val="22"/>
                <w:szCs w:val="22"/>
              </w:rPr>
              <w:t>Natural Resource Management</w:t>
            </w:r>
          </w:p>
        </w:tc>
      </w:tr>
      <w:tr w:rsidR="00013C91" w14:paraId="542A123F" w14:textId="77777777" w:rsidTr="00013C91">
        <w:trPr>
          <w:trHeight w:val="110"/>
        </w:trPr>
        <w:tc>
          <w:tcPr>
            <w:tcW w:w="3033" w:type="dxa"/>
            <w:tcBorders>
              <w:top w:val="nil"/>
              <w:left w:val="nil"/>
              <w:bottom w:val="nil"/>
              <w:right w:val="nil"/>
            </w:tcBorders>
            <w:hideMark/>
          </w:tcPr>
          <w:p w14:paraId="0DFC353B" w14:textId="77777777" w:rsidR="00013C91" w:rsidRDefault="00013C91">
            <w:pPr>
              <w:pStyle w:val="Default"/>
              <w:spacing w:line="256" w:lineRule="auto"/>
              <w:rPr>
                <w:sz w:val="22"/>
                <w:szCs w:val="22"/>
              </w:rPr>
            </w:pPr>
            <w:r>
              <w:rPr>
                <w:sz w:val="22"/>
                <w:szCs w:val="22"/>
              </w:rPr>
              <w:t>Land</w:t>
            </w:r>
          </w:p>
        </w:tc>
        <w:tc>
          <w:tcPr>
            <w:tcW w:w="3033" w:type="dxa"/>
            <w:tcBorders>
              <w:top w:val="nil"/>
              <w:left w:val="nil"/>
              <w:bottom w:val="nil"/>
              <w:right w:val="nil"/>
            </w:tcBorders>
            <w:hideMark/>
          </w:tcPr>
          <w:p w14:paraId="1F92C205" w14:textId="77777777" w:rsidR="00013C91" w:rsidRDefault="00013C91">
            <w:pPr>
              <w:pStyle w:val="Default"/>
              <w:spacing w:line="256" w:lineRule="auto"/>
              <w:rPr>
                <w:sz w:val="22"/>
                <w:szCs w:val="22"/>
              </w:rPr>
            </w:pPr>
            <w:r>
              <w:rPr>
                <w:sz w:val="22"/>
                <w:szCs w:val="22"/>
              </w:rPr>
              <w:t>Conservation</w:t>
            </w:r>
          </w:p>
        </w:tc>
        <w:tc>
          <w:tcPr>
            <w:tcW w:w="3033" w:type="dxa"/>
            <w:tcBorders>
              <w:top w:val="nil"/>
              <w:left w:val="nil"/>
              <w:bottom w:val="nil"/>
              <w:right w:val="nil"/>
            </w:tcBorders>
            <w:hideMark/>
          </w:tcPr>
          <w:p w14:paraId="5C2A0C63" w14:textId="77777777" w:rsidR="00013C91" w:rsidRDefault="00013C91">
            <w:pPr>
              <w:pStyle w:val="Default"/>
              <w:spacing w:line="256" w:lineRule="auto"/>
              <w:rPr>
                <w:sz w:val="22"/>
                <w:szCs w:val="22"/>
              </w:rPr>
            </w:pPr>
            <w:r>
              <w:rPr>
                <w:sz w:val="22"/>
                <w:szCs w:val="22"/>
              </w:rPr>
              <w:t>Non Government Organisations/ Not For Profit</w:t>
            </w:r>
          </w:p>
        </w:tc>
      </w:tr>
      <w:tr w:rsidR="00013C91" w14:paraId="2C330D7C" w14:textId="77777777" w:rsidTr="00013C91">
        <w:trPr>
          <w:trHeight w:val="110"/>
        </w:trPr>
        <w:tc>
          <w:tcPr>
            <w:tcW w:w="3033" w:type="dxa"/>
            <w:tcBorders>
              <w:top w:val="nil"/>
              <w:left w:val="nil"/>
              <w:bottom w:val="nil"/>
              <w:right w:val="nil"/>
            </w:tcBorders>
            <w:hideMark/>
          </w:tcPr>
          <w:p w14:paraId="6D0AE462" w14:textId="77777777" w:rsidR="00013C91" w:rsidRDefault="00013C91">
            <w:pPr>
              <w:pStyle w:val="Default"/>
              <w:spacing w:line="256" w:lineRule="auto"/>
              <w:rPr>
                <w:sz w:val="22"/>
                <w:szCs w:val="22"/>
              </w:rPr>
            </w:pPr>
            <w:r>
              <w:rPr>
                <w:sz w:val="22"/>
                <w:szCs w:val="22"/>
              </w:rPr>
              <w:t>Land</w:t>
            </w:r>
          </w:p>
        </w:tc>
        <w:tc>
          <w:tcPr>
            <w:tcW w:w="3033" w:type="dxa"/>
            <w:tcBorders>
              <w:top w:val="nil"/>
              <w:left w:val="nil"/>
              <w:bottom w:val="nil"/>
              <w:right w:val="nil"/>
            </w:tcBorders>
            <w:hideMark/>
          </w:tcPr>
          <w:p w14:paraId="55E87A36" w14:textId="77777777" w:rsidR="00013C91" w:rsidRDefault="00013C91">
            <w:pPr>
              <w:pStyle w:val="Default"/>
              <w:spacing w:line="256" w:lineRule="auto"/>
              <w:rPr>
                <w:sz w:val="22"/>
                <w:szCs w:val="22"/>
              </w:rPr>
            </w:pPr>
            <w:r>
              <w:rPr>
                <w:sz w:val="22"/>
                <w:szCs w:val="22"/>
              </w:rPr>
              <w:t>Conservation</w:t>
            </w:r>
          </w:p>
        </w:tc>
        <w:tc>
          <w:tcPr>
            <w:tcW w:w="3033" w:type="dxa"/>
            <w:tcBorders>
              <w:top w:val="nil"/>
              <w:left w:val="nil"/>
              <w:bottom w:val="nil"/>
              <w:right w:val="nil"/>
            </w:tcBorders>
            <w:hideMark/>
          </w:tcPr>
          <w:p w14:paraId="52A55823" w14:textId="77777777" w:rsidR="00013C91" w:rsidRDefault="00013C91">
            <w:pPr>
              <w:pStyle w:val="Default"/>
              <w:spacing w:line="256" w:lineRule="auto"/>
              <w:rPr>
                <w:sz w:val="22"/>
                <w:szCs w:val="22"/>
              </w:rPr>
            </w:pPr>
            <w:r>
              <w:rPr>
                <w:sz w:val="22"/>
                <w:szCs w:val="22"/>
              </w:rPr>
              <w:t>Offsets</w:t>
            </w:r>
          </w:p>
        </w:tc>
      </w:tr>
      <w:tr w:rsidR="00013C91" w14:paraId="5AAB767F" w14:textId="77777777" w:rsidTr="00013C91">
        <w:trPr>
          <w:trHeight w:val="110"/>
        </w:trPr>
        <w:tc>
          <w:tcPr>
            <w:tcW w:w="3033" w:type="dxa"/>
            <w:tcBorders>
              <w:top w:val="nil"/>
              <w:left w:val="nil"/>
              <w:bottom w:val="nil"/>
              <w:right w:val="nil"/>
            </w:tcBorders>
            <w:hideMark/>
          </w:tcPr>
          <w:p w14:paraId="3D990E90" w14:textId="77777777" w:rsidR="00013C91" w:rsidRDefault="00013C91">
            <w:pPr>
              <w:pStyle w:val="Default"/>
              <w:spacing w:line="256" w:lineRule="auto"/>
              <w:rPr>
                <w:sz w:val="22"/>
                <w:szCs w:val="22"/>
              </w:rPr>
            </w:pPr>
            <w:r>
              <w:rPr>
                <w:sz w:val="22"/>
                <w:szCs w:val="22"/>
              </w:rPr>
              <w:t>Land</w:t>
            </w:r>
          </w:p>
        </w:tc>
        <w:tc>
          <w:tcPr>
            <w:tcW w:w="3033" w:type="dxa"/>
            <w:tcBorders>
              <w:top w:val="nil"/>
              <w:left w:val="nil"/>
              <w:bottom w:val="nil"/>
              <w:right w:val="nil"/>
            </w:tcBorders>
            <w:hideMark/>
          </w:tcPr>
          <w:p w14:paraId="33D06CDA" w14:textId="77777777" w:rsidR="00013C91" w:rsidRDefault="00013C91">
            <w:pPr>
              <w:pStyle w:val="Default"/>
              <w:spacing w:line="256" w:lineRule="auto"/>
              <w:rPr>
                <w:sz w:val="22"/>
                <w:szCs w:val="22"/>
              </w:rPr>
            </w:pPr>
            <w:r>
              <w:rPr>
                <w:sz w:val="22"/>
                <w:szCs w:val="22"/>
              </w:rPr>
              <w:t>Conservation</w:t>
            </w:r>
          </w:p>
        </w:tc>
        <w:tc>
          <w:tcPr>
            <w:tcW w:w="3033" w:type="dxa"/>
            <w:tcBorders>
              <w:top w:val="nil"/>
              <w:left w:val="nil"/>
              <w:bottom w:val="nil"/>
              <w:right w:val="nil"/>
            </w:tcBorders>
            <w:hideMark/>
          </w:tcPr>
          <w:p w14:paraId="5DECA60F" w14:textId="77777777" w:rsidR="00013C91" w:rsidRDefault="00013C91">
            <w:pPr>
              <w:pStyle w:val="Default"/>
              <w:spacing w:line="256" w:lineRule="auto"/>
              <w:rPr>
                <w:sz w:val="22"/>
                <w:szCs w:val="22"/>
              </w:rPr>
            </w:pPr>
            <w:r>
              <w:rPr>
                <w:sz w:val="22"/>
                <w:szCs w:val="22"/>
              </w:rPr>
              <w:t>Science and Research</w:t>
            </w:r>
          </w:p>
        </w:tc>
      </w:tr>
      <w:tr w:rsidR="00013C91" w14:paraId="5C9D3004" w14:textId="77777777" w:rsidTr="00013C91">
        <w:trPr>
          <w:trHeight w:val="110"/>
        </w:trPr>
        <w:tc>
          <w:tcPr>
            <w:tcW w:w="3033" w:type="dxa"/>
            <w:tcBorders>
              <w:top w:val="nil"/>
              <w:left w:val="nil"/>
              <w:bottom w:val="nil"/>
              <w:right w:val="nil"/>
            </w:tcBorders>
            <w:hideMark/>
          </w:tcPr>
          <w:p w14:paraId="7EEDD94C" w14:textId="77777777" w:rsidR="00013C91" w:rsidRDefault="00013C91">
            <w:pPr>
              <w:pStyle w:val="Default"/>
              <w:spacing w:line="256" w:lineRule="auto"/>
              <w:rPr>
                <w:sz w:val="22"/>
                <w:szCs w:val="22"/>
              </w:rPr>
            </w:pPr>
            <w:r>
              <w:rPr>
                <w:sz w:val="22"/>
                <w:szCs w:val="22"/>
              </w:rPr>
              <w:t>Land</w:t>
            </w:r>
          </w:p>
        </w:tc>
        <w:tc>
          <w:tcPr>
            <w:tcW w:w="3033" w:type="dxa"/>
            <w:tcBorders>
              <w:top w:val="nil"/>
              <w:left w:val="nil"/>
              <w:bottom w:val="nil"/>
              <w:right w:val="nil"/>
            </w:tcBorders>
            <w:hideMark/>
          </w:tcPr>
          <w:p w14:paraId="05B63FC9" w14:textId="77777777" w:rsidR="00013C91" w:rsidRDefault="00013C91">
            <w:pPr>
              <w:pStyle w:val="Default"/>
              <w:spacing w:line="256" w:lineRule="auto"/>
              <w:rPr>
                <w:sz w:val="22"/>
                <w:szCs w:val="22"/>
              </w:rPr>
            </w:pPr>
            <w:r>
              <w:rPr>
                <w:sz w:val="22"/>
                <w:szCs w:val="22"/>
              </w:rPr>
              <w:t>Devlopment</w:t>
            </w:r>
          </w:p>
        </w:tc>
        <w:tc>
          <w:tcPr>
            <w:tcW w:w="3033" w:type="dxa"/>
            <w:tcBorders>
              <w:top w:val="nil"/>
              <w:left w:val="nil"/>
              <w:bottom w:val="nil"/>
              <w:right w:val="nil"/>
            </w:tcBorders>
            <w:hideMark/>
          </w:tcPr>
          <w:p w14:paraId="3BB9A935" w14:textId="77777777" w:rsidR="00013C91" w:rsidRDefault="00013C91">
            <w:pPr>
              <w:pStyle w:val="Default"/>
              <w:spacing w:line="256" w:lineRule="auto"/>
              <w:rPr>
                <w:sz w:val="22"/>
                <w:szCs w:val="22"/>
              </w:rPr>
            </w:pPr>
            <w:r>
              <w:rPr>
                <w:sz w:val="22"/>
                <w:szCs w:val="22"/>
              </w:rPr>
              <w:t>Bulk Earthworks</w:t>
            </w:r>
          </w:p>
        </w:tc>
      </w:tr>
      <w:tr w:rsidR="00013C91" w14:paraId="436162EC" w14:textId="77777777" w:rsidTr="00013C91">
        <w:trPr>
          <w:trHeight w:val="110"/>
        </w:trPr>
        <w:tc>
          <w:tcPr>
            <w:tcW w:w="3033" w:type="dxa"/>
            <w:tcBorders>
              <w:top w:val="nil"/>
              <w:left w:val="nil"/>
              <w:bottom w:val="nil"/>
              <w:right w:val="nil"/>
            </w:tcBorders>
            <w:hideMark/>
          </w:tcPr>
          <w:p w14:paraId="1547FA86" w14:textId="77777777" w:rsidR="00013C91" w:rsidRDefault="00013C91">
            <w:pPr>
              <w:pStyle w:val="Default"/>
              <w:spacing w:line="256" w:lineRule="auto"/>
              <w:rPr>
                <w:sz w:val="22"/>
                <w:szCs w:val="22"/>
              </w:rPr>
            </w:pPr>
            <w:r>
              <w:rPr>
                <w:sz w:val="22"/>
                <w:szCs w:val="22"/>
              </w:rPr>
              <w:t>Land</w:t>
            </w:r>
          </w:p>
        </w:tc>
        <w:tc>
          <w:tcPr>
            <w:tcW w:w="3033" w:type="dxa"/>
            <w:tcBorders>
              <w:top w:val="nil"/>
              <w:left w:val="nil"/>
              <w:bottom w:val="nil"/>
              <w:right w:val="nil"/>
            </w:tcBorders>
            <w:hideMark/>
          </w:tcPr>
          <w:p w14:paraId="05629DD5" w14:textId="77777777" w:rsidR="00013C91" w:rsidRDefault="00013C91">
            <w:pPr>
              <w:pStyle w:val="Default"/>
              <w:spacing w:line="256" w:lineRule="auto"/>
              <w:rPr>
                <w:sz w:val="22"/>
                <w:szCs w:val="22"/>
              </w:rPr>
            </w:pPr>
            <w:r>
              <w:rPr>
                <w:sz w:val="22"/>
                <w:szCs w:val="22"/>
              </w:rPr>
              <w:t>Devlopment</w:t>
            </w:r>
          </w:p>
        </w:tc>
        <w:tc>
          <w:tcPr>
            <w:tcW w:w="3033" w:type="dxa"/>
            <w:tcBorders>
              <w:top w:val="nil"/>
              <w:left w:val="nil"/>
              <w:bottom w:val="nil"/>
              <w:right w:val="nil"/>
            </w:tcBorders>
            <w:hideMark/>
          </w:tcPr>
          <w:p w14:paraId="334D9BDE" w14:textId="77777777" w:rsidR="00013C91" w:rsidRDefault="00013C91">
            <w:pPr>
              <w:pStyle w:val="Default"/>
              <w:spacing w:line="256" w:lineRule="auto"/>
              <w:rPr>
                <w:sz w:val="22"/>
                <w:szCs w:val="22"/>
              </w:rPr>
            </w:pPr>
            <w:r>
              <w:rPr>
                <w:sz w:val="22"/>
                <w:szCs w:val="22"/>
              </w:rPr>
              <w:t>Commercial development</w:t>
            </w:r>
          </w:p>
        </w:tc>
      </w:tr>
      <w:tr w:rsidR="00013C91" w14:paraId="55755DB8" w14:textId="77777777" w:rsidTr="00013C91">
        <w:trPr>
          <w:trHeight w:val="110"/>
        </w:trPr>
        <w:tc>
          <w:tcPr>
            <w:tcW w:w="3033" w:type="dxa"/>
            <w:tcBorders>
              <w:top w:val="nil"/>
              <w:left w:val="nil"/>
              <w:bottom w:val="nil"/>
              <w:right w:val="nil"/>
            </w:tcBorders>
            <w:hideMark/>
          </w:tcPr>
          <w:p w14:paraId="0A1CD852" w14:textId="77777777" w:rsidR="00013C91" w:rsidRDefault="00013C91">
            <w:pPr>
              <w:pStyle w:val="Default"/>
              <w:spacing w:line="256" w:lineRule="auto"/>
              <w:rPr>
                <w:sz w:val="22"/>
                <w:szCs w:val="22"/>
              </w:rPr>
            </w:pPr>
            <w:r>
              <w:rPr>
                <w:sz w:val="22"/>
                <w:szCs w:val="22"/>
              </w:rPr>
              <w:t>Land</w:t>
            </w:r>
          </w:p>
        </w:tc>
        <w:tc>
          <w:tcPr>
            <w:tcW w:w="3033" w:type="dxa"/>
            <w:tcBorders>
              <w:top w:val="nil"/>
              <w:left w:val="nil"/>
              <w:bottom w:val="nil"/>
              <w:right w:val="nil"/>
            </w:tcBorders>
            <w:hideMark/>
          </w:tcPr>
          <w:p w14:paraId="0FA37A70" w14:textId="77777777" w:rsidR="00013C91" w:rsidRDefault="00013C91">
            <w:pPr>
              <w:pStyle w:val="Default"/>
              <w:spacing w:line="256" w:lineRule="auto"/>
              <w:rPr>
                <w:sz w:val="22"/>
                <w:szCs w:val="22"/>
              </w:rPr>
            </w:pPr>
            <w:r>
              <w:rPr>
                <w:sz w:val="22"/>
                <w:szCs w:val="22"/>
              </w:rPr>
              <w:t>Devlopment</w:t>
            </w:r>
          </w:p>
        </w:tc>
        <w:tc>
          <w:tcPr>
            <w:tcW w:w="3033" w:type="dxa"/>
            <w:tcBorders>
              <w:top w:val="nil"/>
              <w:left w:val="nil"/>
              <w:bottom w:val="nil"/>
              <w:right w:val="nil"/>
            </w:tcBorders>
            <w:hideMark/>
          </w:tcPr>
          <w:p w14:paraId="0D9CDA74" w14:textId="77777777" w:rsidR="00013C91" w:rsidRDefault="00013C91">
            <w:pPr>
              <w:pStyle w:val="Default"/>
              <w:spacing w:line="256" w:lineRule="auto"/>
              <w:rPr>
                <w:sz w:val="22"/>
                <w:szCs w:val="22"/>
              </w:rPr>
            </w:pPr>
            <w:r>
              <w:rPr>
                <w:sz w:val="22"/>
                <w:szCs w:val="22"/>
              </w:rPr>
              <w:t>Industrial development</w:t>
            </w:r>
          </w:p>
        </w:tc>
      </w:tr>
      <w:tr w:rsidR="00013C91" w14:paraId="4AFC868B" w14:textId="77777777" w:rsidTr="00013C91">
        <w:trPr>
          <w:trHeight w:val="110"/>
        </w:trPr>
        <w:tc>
          <w:tcPr>
            <w:tcW w:w="3033" w:type="dxa"/>
            <w:tcBorders>
              <w:top w:val="nil"/>
              <w:left w:val="nil"/>
              <w:bottom w:val="nil"/>
              <w:right w:val="nil"/>
            </w:tcBorders>
            <w:hideMark/>
          </w:tcPr>
          <w:p w14:paraId="129943EC" w14:textId="77777777" w:rsidR="00013C91" w:rsidRDefault="00013C91">
            <w:pPr>
              <w:pStyle w:val="Default"/>
              <w:spacing w:line="256" w:lineRule="auto"/>
              <w:rPr>
                <w:sz w:val="22"/>
                <w:szCs w:val="22"/>
              </w:rPr>
            </w:pPr>
            <w:r>
              <w:rPr>
                <w:sz w:val="22"/>
                <w:szCs w:val="22"/>
              </w:rPr>
              <w:t>Land</w:t>
            </w:r>
          </w:p>
        </w:tc>
        <w:tc>
          <w:tcPr>
            <w:tcW w:w="3033" w:type="dxa"/>
            <w:tcBorders>
              <w:top w:val="nil"/>
              <w:left w:val="nil"/>
              <w:bottom w:val="nil"/>
              <w:right w:val="nil"/>
            </w:tcBorders>
            <w:hideMark/>
          </w:tcPr>
          <w:p w14:paraId="1CCF73AD" w14:textId="77777777" w:rsidR="00013C91" w:rsidRDefault="00013C91">
            <w:pPr>
              <w:pStyle w:val="Default"/>
              <w:spacing w:line="256" w:lineRule="auto"/>
              <w:rPr>
                <w:sz w:val="22"/>
                <w:szCs w:val="22"/>
              </w:rPr>
            </w:pPr>
            <w:r>
              <w:rPr>
                <w:sz w:val="22"/>
                <w:szCs w:val="22"/>
              </w:rPr>
              <w:t>Devlopment</w:t>
            </w:r>
          </w:p>
        </w:tc>
        <w:tc>
          <w:tcPr>
            <w:tcW w:w="3033" w:type="dxa"/>
            <w:tcBorders>
              <w:top w:val="nil"/>
              <w:left w:val="nil"/>
              <w:bottom w:val="nil"/>
              <w:right w:val="nil"/>
            </w:tcBorders>
            <w:hideMark/>
          </w:tcPr>
          <w:p w14:paraId="5D957D80" w14:textId="77777777" w:rsidR="00013C91" w:rsidRDefault="00013C91">
            <w:pPr>
              <w:pStyle w:val="Default"/>
              <w:spacing w:line="256" w:lineRule="auto"/>
              <w:rPr>
                <w:sz w:val="22"/>
                <w:szCs w:val="22"/>
              </w:rPr>
            </w:pPr>
            <w:r>
              <w:rPr>
                <w:sz w:val="22"/>
                <w:szCs w:val="22"/>
              </w:rPr>
              <w:t>Local government (incl municipal planning)</w:t>
            </w:r>
          </w:p>
        </w:tc>
      </w:tr>
      <w:tr w:rsidR="00013C91" w14:paraId="3C34ED27" w14:textId="77777777" w:rsidTr="00013C91">
        <w:trPr>
          <w:trHeight w:val="110"/>
        </w:trPr>
        <w:tc>
          <w:tcPr>
            <w:tcW w:w="3033" w:type="dxa"/>
            <w:tcBorders>
              <w:top w:val="nil"/>
              <w:left w:val="nil"/>
              <w:bottom w:val="nil"/>
              <w:right w:val="nil"/>
            </w:tcBorders>
            <w:hideMark/>
          </w:tcPr>
          <w:p w14:paraId="54C263AD" w14:textId="77777777" w:rsidR="00013C91" w:rsidRDefault="00013C91">
            <w:pPr>
              <w:pStyle w:val="Default"/>
              <w:spacing w:line="256" w:lineRule="auto"/>
              <w:rPr>
                <w:sz w:val="22"/>
                <w:szCs w:val="22"/>
              </w:rPr>
            </w:pPr>
            <w:r>
              <w:rPr>
                <w:sz w:val="22"/>
                <w:szCs w:val="22"/>
              </w:rPr>
              <w:t>Land</w:t>
            </w:r>
          </w:p>
        </w:tc>
        <w:tc>
          <w:tcPr>
            <w:tcW w:w="3033" w:type="dxa"/>
            <w:tcBorders>
              <w:top w:val="nil"/>
              <w:left w:val="nil"/>
              <w:bottom w:val="nil"/>
              <w:right w:val="nil"/>
            </w:tcBorders>
            <w:hideMark/>
          </w:tcPr>
          <w:p w14:paraId="4076D43E" w14:textId="77777777" w:rsidR="00013C91" w:rsidRDefault="00013C91">
            <w:pPr>
              <w:pStyle w:val="Default"/>
              <w:spacing w:line="256" w:lineRule="auto"/>
              <w:rPr>
                <w:sz w:val="22"/>
                <w:szCs w:val="22"/>
              </w:rPr>
            </w:pPr>
            <w:r>
              <w:rPr>
                <w:sz w:val="22"/>
                <w:szCs w:val="22"/>
              </w:rPr>
              <w:t>Devlopment</w:t>
            </w:r>
          </w:p>
        </w:tc>
        <w:tc>
          <w:tcPr>
            <w:tcW w:w="3033" w:type="dxa"/>
            <w:tcBorders>
              <w:top w:val="nil"/>
              <w:left w:val="nil"/>
              <w:bottom w:val="nil"/>
              <w:right w:val="nil"/>
            </w:tcBorders>
            <w:hideMark/>
          </w:tcPr>
          <w:p w14:paraId="29B913AF" w14:textId="77777777" w:rsidR="00013C91" w:rsidRDefault="00013C91">
            <w:pPr>
              <w:pStyle w:val="Default"/>
              <w:spacing w:line="256" w:lineRule="auto"/>
              <w:rPr>
                <w:sz w:val="22"/>
                <w:szCs w:val="22"/>
              </w:rPr>
            </w:pPr>
            <w:r>
              <w:rPr>
                <w:sz w:val="22"/>
                <w:szCs w:val="22"/>
              </w:rPr>
              <w:t>Manufacturing</w:t>
            </w:r>
          </w:p>
        </w:tc>
      </w:tr>
      <w:tr w:rsidR="00013C91" w14:paraId="75607CEC" w14:textId="77777777" w:rsidTr="00013C91">
        <w:trPr>
          <w:trHeight w:val="110"/>
        </w:trPr>
        <w:tc>
          <w:tcPr>
            <w:tcW w:w="3033" w:type="dxa"/>
            <w:tcBorders>
              <w:top w:val="nil"/>
              <w:left w:val="nil"/>
              <w:bottom w:val="nil"/>
              <w:right w:val="nil"/>
            </w:tcBorders>
            <w:hideMark/>
          </w:tcPr>
          <w:p w14:paraId="557ABD12" w14:textId="77777777" w:rsidR="00013C91" w:rsidRDefault="00013C91">
            <w:pPr>
              <w:pStyle w:val="Default"/>
              <w:spacing w:line="256" w:lineRule="auto"/>
              <w:rPr>
                <w:sz w:val="22"/>
                <w:szCs w:val="22"/>
              </w:rPr>
            </w:pPr>
            <w:r>
              <w:rPr>
                <w:sz w:val="22"/>
                <w:szCs w:val="22"/>
              </w:rPr>
              <w:t>Land</w:t>
            </w:r>
          </w:p>
        </w:tc>
        <w:tc>
          <w:tcPr>
            <w:tcW w:w="3033" w:type="dxa"/>
            <w:tcBorders>
              <w:top w:val="nil"/>
              <w:left w:val="nil"/>
              <w:bottom w:val="nil"/>
              <w:right w:val="nil"/>
            </w:tcBorders>
            <w:hideMark/>
          </w:tcPr>
          <w:p w14:paraId="60B43574" w14:textId="77777777" w:rsidR="00013C91" w:rsidRDefault="00013C91">
            <w:pPr>
              <w:pStyle w:val="Default"/>
              <w:spacing w:line="256" w:lineRule="auto"/>
              <w:rPr>
                <w:sz w:val="22"/>
                <w:szCs w:val="22"/>
              </w:rPr>
            </w:pPr>
            <w:r>
              <w:rPr>
                <w:sz w:val="22"/>
                <w:szCs w:val="22"/>
              </w:rPr>
              <w:t>Devlopment</w:t>
            </w:r>
          </w:p>
        </w:tc>
        <w:tc>
          <w:tcPr>
            <w:tcW w:w="3033" w:type="dxa"/>
            <w:tcBorders>
              <w:top w:val="nil"/>
              <w:left w:val="nil"/>
              <w:bottom w:val="nil"/>
              <w:right w:val="nil"/>
            </w:tcBorders>
            <w:hideMark/>
          </w:tcPr>
          <w:p w14:paraId="7C737BC7" w14:textId="77777777" w:rsidR="00013C91" w:rsidRDefault="00013C91">
            <w:pPr>
              <w:pStyle w:val="Default"/>
              <w:spacing w:line="256" w:lineRule="auto"/>
              <w:rPr>
                <w:sz w:val="22"/>
                <w:szCs w:val="22"/>
              </w:rPr>
            </w:pPr>
            <w:r>
              <w:rPr>
                <w:sz w:val="22"/>
                <w:szCs w:val="22"/>
              </w:rPr>
              <w:t>Residential Development</w:t>
            </w:r>
          </w:p>
        </w:tc>
      </w:tr>
      <w:tr w:rsidR="00013C91" w14:paraId="0023D92C" w14:textId="77777777" w:rsidTr="00013C91">
        <w:trPr>
          <w:trHeight w:val="110"/>
        </w:trPr>
        <w:tc>
          <w:tcPr>
            <w:tcW w:w="3033" w:type="dxa"/>
            <w:tcBorders>
              <w:top w:val="nil"/>
              <w:left w:val="nil"/>
              <w:bottom w:val="nil"/>
              <w:right w:val="nil"/>
            </w:tcBorders>
            <w:hideMark/>
          </w:tcPr>
          <w:p w14:paraId="11A55EDA" w14:textId="77777777" w:rsidR="00013C91" w:rsidRDefault="00013C91">
            <w:pPr>
              <w:pStyle w:val="Default"/>
              <w:spacing w:line="256" w:lineRule="auto"/>
              <w:rPr>
                <w:sz w:val="22"/>
                <w:szCs w:val="22"/>
              </w:rPr>
            </w:pPr>
            <w:r>
              <w:rPr>
                <w:sz w:val="22"/>
                <w:szCs w:val="22"/>
              </w:rPr>
              <w:t>Land</w:t>
            </w:r>
          </w:p>
        </w:tc>
        <w:tc>
          <w:tcPr>
            <w:tcW w:w="3033" w:type="dxa"/>
            <w:tcBorders>
              <w:top w:val="nil"/>
              <w:left w:val="nil"/>
              <w:bottom w:val="nil"/>
              <w:right w:val="nil"/>
            </w:tcBorders>
            <w:hideMark/>
          </w:tcPr>
          <w:p w14:paraId="10348114" w14:textId="77777777" w:rsidR="00013C91" w:rsidRDefault="00013C91">
            <w:pPr>
              <w:pStyle w:val="Default"/>
              <w:spacing w:line="256" w:lineRule="auto"/>
              <w:rPr>
                <w:sz w:val="22"/>
                <w:szCs w:val="22"/>
              </w:rPr>
            </w:pPr>
            <w:r>
              <w:rPr>
                <w:sz w:val="22"/>
                <w:szCs w:val="22"/>
              </w:rPr>
              <w:t>Devlopment</w:t>
            </w:r>
          </w:p>
        </w:tc>
        <w:tc>
          <w:tcPr>
            <w:tcW w:w="3033" w:type="dxa"/>
            <w:tcBorders>
              <w:top w:val="nil"/>
              <w:left w:val="nil"/>
              <w:bottom w:val="nil"/>
              <w:right w:val="nil"/>
            </w:tcBorders>
            <w:hideMark/>
          </w:tcPr>
          <w:p w14:paraId="4948925D" w14:textId="77777777" w:rsidR="00013C91" w:rsidRDefault="00013C91">
            <w:pPr>
              <w:pStyle w:val="Default"/>
              <w:spacing w:line="256" w:lineRule="auto"/>
              <w:rPr>
                <w:sz w:val="22"/>
                <w:szCs w:val="22"/>
              </w:rPr>
            </w:pPr>
            <w:r>
              <w:rPr>
                <w:sz w:val="22"/>
                <w:szCs w:val="22"/>
              </w:rPr>
              <w:t>State government (incl. regional planning)</w:t>
            </w:r>
          </w:p>
        </w:tc>
      </w:tr>
      <w:tr w:rsidR="00013C91" w14:paraId="58627CAB" w14:textId="77777777" w:rsidTr="00013C91">
        <w:trPr>
          <w:trHeight w:val="110"/>
        </w:trPr>
        <w:tc>
          <w:tcPr>
            <w:tcW w:w="3033" w:type="dxa"/>
            <w:tcBorders>
              <w:top w:val="nil"/>
              <w:left w:val="nil"/>
              <w:bottom w:val="nil"/>
              <w:right w:val="nil"/>
            </w:tcBorders>
            <w:hideMark/>
          </w:tcPr>
          <w:p w14:paraId="7A4F2939" w14:textId="77777777" w:rsidR="00013C91" w:rsidRDefault="00013C91">
            <w:pPr>
              <w:pStyle w:val="Default"/>
              <w:spacing w:line="256" w:lineRule="auto"/>
              <w:rPr>
                <w:sz w:val="22"/>
                <w:szCs w:val="22"/>
              </w:rPr>
            </w:pPr>
            <w:r>
              <w:rPr>
                <w:sz w:val="22"/>
                <w:szCs w:val="22"/>
              </w:rPr>
              <w:t>Land</w:t>
            </w:r>
          </w:p>
        </w:tc>
        <w:tc>
          <w:tcPr>
            <w:tcW w:w="3033" w:type="dxa"/>
            <w:tcBorders>
              <w:top w:val="nil"/>
              <w:left w:val="nil"/>
              <w:bottom w:val="nil"/>
              <w:right w:val="nil"/>
            </w:tcBorders>
            <w:hideMark/>
          </w:tcPr>
          <w:p w14:paraId="49ED7169" w14:textId="77777777" w:rsidR="00013C91" w:rsidRDefault="00013C91">
            <w:pPr>
              <w:pStyle w:val="Default"/>
              <w:spacing w:line="256" w:lineRule="auto"/>
              <w:rPr>
                <w:sz w:val="22"/>
                <w:szCs w:val="22"/>
              </w:rPr>
            </w:pPr>
            <w:r>
              <w:rPr>
                <w:sz w:val="22"/>
                <w:szCs w:val="22"/>
              </w:rPr>
              <w:t>Devlopment</w:t>
            </w:r>
          </w:p>
        </w:tc>
        <w:tc>
          <w:tcPr>
            <w:tcW w:w="3033" w:type="dxa"/>
            <w:tcBorders>
              <w:top w:val="nil"/>
              <w:left w:val="nil"/>
              <w:bottom w:val="nil"/>
              <w:right w:val="nil"/>
            </w:tcBorders>
            <w:hideMark/>
          </w:tcPr>
          <w:p w14:paraId="35249B31" w14:textId="77777777" w:rsidR="00013C91" w:rsidRDefault="00013C91">
            <w:pPr>
              <w:pStyle w:val="Default"/>
              <w:spacing w:line="256" w:lineRule="auto"/>
              <w:rPr>
                <w:sz w:val="22"/>
                <w:szCs w:val="22"/>
              </w:rPr>
            </w:pPr>
            <w:r>
              <w:rPr>
                <w:sz w:val="22"/>
                <w:szCs w:val="22"/>
              </w:rPr>
              <w:t>Tourism and recreation</w:t>
            </w:r>
          </w:p>
        </w:tc>
      </w:tr>
      <w:tr w:rsidR="00013C91" w14:paraId="51B4BA08" w14:textId="77777777" w:rsidTr="00013C91">
        <w:trPr>
          <w:trHeight w:val="110"/>
        </w:trPr>
        <w:tc>
          <w:tcPr>
            <w:tcW w:w="3033" w:type="dxa"/>
            <w:tcBorders>
              <w:top w:val="nil"/>
              <w:left w:val="nil"/>
              <w:bottom w:val="nil"/>
              <w:right w:val="nil"/>
            </w:tcBorders>
            <w:hideMark/>
          </w:tcPr>
          <w:p w14:paraId="55558C1A" w14:textId="77777777" w:rsidR="00013C91" w:rsidRDefault="00013C91">
            <w:pPr>
              <w:pStyle w:val="Default"/>
              <w:spacing w:line="256" w:lineRule="auto"/>
              <w:rPr>
                <w:sz w:val="22"/>
                <w:szCs w:val="22"/>
              </w:rPr>
            </w:pPr>
            <w:r>
              <w:rPr>
                <w:sz w:val="22"/>
                <w:szCs w:val="22"/>
              </w:rPr>
              <w:t>Land</w:t>
            </w:r>
          </w:p>
        </w:tc>
        <w:tc>
          <w:tcPr>
            <w:tcW w:w="3033" w:type="dxa"/>
            <w:tcBorders>
              <w:top w:val="nil"/>
              <w:left w:val="nil"/>
              <w:bottom w:val="nil"/>
              <w:right w:val="nil"/>
            </w:tcBorders>
            <w:hideMark/>
          </w:tcPr>
          <w:p w14:paraId="4DECB56F" w14:textId="77777777" w:rsidR="00013C91" w:rsidRDefault="00013C91">
            <w:pPr>
              <w:pStyle w:val="Default"/>
              <w:spacing w:line="256" w:lineRule="auto"/>
              <w:rPr>
                <w:sz w:val="22"/>
                <w:szCs w:val="22"/>
              </w:rPr>
            </w:pPr>
            <w:r>
              <w:rPr>
                <w:sz w:val="22"/>
                <w:szCs w:val="22"/>
              </w:rPr>
              <w:t>Energy Generation and Supply</w:t>
            </w:r>
          </w:p>
        </w:tc>
        <w:tc>
          <w:tcPr>
            <w:tcW w:w="3033" w:type="dxa"/>
            <w:tcBorders>
              <w:top w:val="nil"/>
              <w:left w:val="nil"/>
              <w:bottom w:val="nil"/>
              <w:right w:val="nil"/>
            </w:tcBorders>
            <w:hideMark/>
          </w:tcPr>
          <w:p w14:paraId="0CF9440F" w14:textId="77777777" w:rsidR="00013C91" w:rsidRDefault="00013C91">
            <w:pPr>
              <w:pStyle w:val="Default"/>
              <w:spacing w:line="256" w:lineRule="auto"/>
              <w:rPr>
                <w:sz w:val="22"/>
                <w:szCs w:val="22"/>
              </w:rPr>
            </w:pPr>
            <w:r>
              <w:rPr>
                <w:sz w:val="22"/>
                <w:szCs w:val="22"/>
              </w:rPr>
              <w:t>Hydro</w:t>
            </w:r>
          </w:p>
        </w:tc>
      </w:tr>
      <w:tr w:rsidR="00013C91" w14:paraId="2A507848" w14:textId="77777777" w:rsidTr="00013C91">
        <w:trPr>
          <w:trHeight w:val="110"/>
        </w:trPr>
        <w:tc>
          <w:tcPr>
            <w:tcW w:w="3033" w:type="dxa"/>
            <w:tcBorders>
              <w:top w:val="nil"/>
              <w:left w:val="nil"/>
              <w:bottom w:val="nil"/>
              <w:right w:val="nil"/>
            </w:tcBorders>
            <w:hideMark/>
          </w:tcPr>
          <w:p w14:paraId="1D51A2CB" w14:textId="77777777" w:rsidR="00013C91" w:rsidRDefault="00013C91">
            <w:pPr>
              <w:pStyle w:val="Default"/>
              <w:spacing w:line="256" w:lineRule="auto"/>
              <w:rPr>
                <w:sz w:val="22"/>
                <w:szCs w:val="22"/>
              </w:rPr>
            </w:pPr>
            <w:r>
              <w:rPr>
                <w:sz w:val="22"/>
                <w:szCs w:val="22"/>
              </w:rPr>
              <w:t>Land</w:t>
            </w:r>
          </w:p>
        </w:tc>
        <w:tc>
          <w:tcPr>
            <w:tcW w:w="3033" w:type="dxa"/>
            <w:tcBorders>
              <w:top w:val="nil"/>
              <w:left w:val="nil"/>
              <w:bottom w:val="nil"/>
              <w:right w:val="nil"/>
            </w:tcBorders>
            <w:hideMark/>
          </w:tcPr>
          <w:p w14:paraId="5FDF1013" w14:textId="77777777" w:rsidR="00013C91" w:rsidRDefault="00013C91">
            <w:pPr>
              <w:pStyle w:val="Default"/>
              <w:spacing w:line="256" w:lineRule="auto"/>
              <w:rPr>
                <w:sz w:val="22"/>
                <w:szCs w:val="22"/>
              </w:rPr>
            </w:pPr>
            <w:r>
              <w:rPr>
                <w:sz w:val="22"/>
                <w:szCs w:val="22"/>
              </w:rPr>
              <w:t>Energy Generation and Supply</w:t>
            </w:r>
          </w:p>
        </w:tc>
        <w:tc>
          <w:tcPr>
            <w:tcW w:w="3033" w:type="dxa"/>
            <w:tcBorders>
              <w:top w:val="nil"/>
              <w:left w:val="nil"/>
              <w:bottom w:val="nil"/>
              <w:right w:val="nil"/>
            </w:tcBorders>
            <w:hideMark/>
          </w:tcPr>
          <w:p w14:paraId="0B7889F0" w14:textId="77777777" w:rsidR="00013C91" w:rsidRDefault="00013C91">
            <w:pPr>
              <w:pStyle w:val="Default"/>
              <w:spacing w:line="256" w:lineRule="auto"/>
              <w:rPr>
                <w:sz w:val="22"/>
                <w:szCs w:val="22"/>
              </w:rPr>
            </w:pPr>
            <w:r>
              <w:rPr>
                <w:sz w:val="22"/>
                <w:szCs w:val="22"/>
              </w:rPr>
              <w:t>Other renewables</w:t>
            </w:r>
          </w:p>
        </w:tc>
      </w:tr>
      <w:tr w:rsidR="00013C91" w14:paraId="3D6D9DEC" w14:textId="77777777" w:rsidTr="00013C91">
        <w:trPr>
          <w:trHeight w:val="110"/>
        </w:trPr>
        <w:tc>
          <w:tcPr>
            <w:tcW w:w="3033" w:type="dxa"/>
            <w:tcBorders>
              <w:top w:val="nil"/>
              <w:left w:val="nil"/>
              <w:bottom w:val="nil"/>
              <w:right w:val="nil"/>
            </w:tcBorders>
            <w:hideMark/>
          </w:tcPr>
          <w:p w14:paraId="6C232F8E" w14:textId="77777777" w:rsidR="00013C91" w:rsidRDefault="00013C91">
            <w:pPr>
              <w:pStyle w:val="Default"/>
              <w:spacing w:line="256" w:lineRule="auto"/>
              <w:rPr>
                <w:sz w:val="22"/>
                <w:szCs w:val="22"/>
              </w:rPr>
            </w:pPr>
            <w:r>
              <w:rPr>
                <w:sz w:val="22"/>
                <w:szCs w:val="22"/>
              </w:rPr>
              <w:t>Land</w:t>
            </w:r>
          </w:p>
        </w:tc>
        <w:tc>
          <w:tcPr>
            <w:tcW w:w="3033" w:type="dxa"/>
            <w:tcBorders>
              <w:top w:val="nil"/>
              <w:left w:val="nil"/>
              <w:bottom w:val="nil"/>
              <w:right w:val="nil"/>
            </w:tcBorders>
            <w:hideMark/>
          </w:tcPr>
          <w:p w14:paraId="1CE44CC7" w14:textId="77777777" w:rsidR="00013C91" w:rsidRDefault="00013C91">
            <w:pPr>
              <w:pStyle w:val="Default"/>
              <w:spacing w:line="256" w:lineRule="auto"/>
              <w:rPr>
                <w:sz w:val="22"/>
                <w:szCs w:val="22"/>
              </w:rPr>
            </w:pPr>
            <w:r>
              <w:rPr>
                <w:sz w:val="22"/>
                <w:szCs w:val="22"/>
              </w:rPr>
              <w:t>Energy Generation and Supply</w:t>
            </w:r>
          </w:p>
        </w:tc>
        <w:tc>
          <w:tcPr>
            <w:tcW w:w="3033" w:type="dxa"/>
            <w:tcBorders>
              <w:top w:val="nil"/>
              <w:left w:val="nil"/>
              <w:bottom w:val="nil"/>
              <w:right w:val="nil"/>
            </w:tcBorders>
            <w:hideMark/>
          </w:tcPr>
          <w:p w14:paraId="7D62413C" w14:textId="77777777" w:rsidR="00013C91" w:rsidRDefault="00013C91">
            <w:pPr>
              <w:pStyle w:val="Default"/>
              <w:spacing w:line="256" w:lineRule="auto"/>
              <w:rPr>
                <w:sz w:val="22"/>
                <w:szCs w:val="22"/>
              </w:rPr>
            </w:pPr>
            <w:r>
              <w:rPr>
                <w:sz w:val="22"/>
                <w:szCs w:val="22"/>
              </w:rPr>
              <w:t>Solar Panels</w:t>
            </w:r>
          </w:p>
        </w:tc>
      </w:tr>
      <w:tr w:rsidR="00013C91" w14:paraId="49464992" w14:textId="77777777" w:rsidTr="00013C91">
        <w:trPr>
          <w:trHeight w:val="110"/>
        </w:trPr>
        <w:tc>
          <w:tcPr>
            <w:tcW w:w="3033" w:type="dxa"/>
            <w:tcBorders>
              <w:top w:val="nil"/>
              <w:left w:val="nil"/>
              <w:bottom w:val="nil"/>
              <w:right w:val="nil"/>
            </w:tcBorders>
            <w:hideMark/>
          </w:tcPr>
          <w:p w14:paraId="31503BC7" w14:textId="77777777" w:rsidR="00013C91" w:rsidRDefault="00013C91">
            <w:pPr>
              <w:pStyle w:val="Default"/>
              <w:spacing w:line="256" w:lineRule="auto"/>
              <w:rPr>
                <w:sz w:val="22"/>
                <w:szCs w:val="22"/>
              </w:rPr>
            </w:pPr>
            <w:r>
              <w:rPr>
                <w:sz w:val="22"/>
                <w:szCs w:val="22"/>
              </w:rPr>
              <w:t>Land</w:t>
            </w:r>
          </w:p>
        </w:tc>
        <w:tc>
          <w:tcPr>
            <w:tcW w:w="3033" w:type="dxa"/>
            <w:tcBorders>
              <w:top w:val="nil"/>
              <w:left w:val="nil"/>
              <w:bottom w:val="nil"/>
              <w:right w:val="nil"/>
            </w:tcBorders>
            <w:hideMark/>
          </w:tcPr>
          <w:p w14:paraId="6E122159" w14:textId="77777777" w:rsidR="00013C91" w:rsidRDefault="00013C91">
            <w:pPr>
              <w:pStyle w:val="Default"/>
              <w:spacing w:line="256" w:lineRule="auto"/>
              <w:rPr>
                <w:sz w:val="22"/>
                <w:szCs w:val="22"/>
              </w:rPr>
            </w:pPr>
            <w:r>
              <w:rPr>
                <w:sz w:val="22"/>
                <w:szCs w:val="22"/>
              </w:rPr>
              <w:t>Energy Generation and Supply</w:t>
            </w:r>
          </w:p>
        </w:tc>
        <w:tc>
          <w:tcPr>
            <w:tcW w:w="3033" w:type="dxa"/>
            <w:tcBorders>
              <w:top w:val="nil"/>
              <w:left w:val="nil"/>
              <w:bottom w:val="nil"/>
              <w:right w:val="nil"/>
            </w:tcBorders>
            <w:hideMark/>
          </w:tcPr>
          <w:p w14:paraId="48964E4A" w14:textId="77777777" w:rsidR="00013C91" w:rsidRDefault="00013C91">
            <w:pPr>
              <w:pStyle w:val="Default"/>
              <w:spacing w:line="256" w:lineRule="auto"/>
              <w:rPr>
                <w:sz w:val="22"/>
                <w:szCs w:val="22"/>
              </w:rPr>
            </w:pPr>
            <w:r>
              <w:rPr>
                <w:sz w:val="22"/>
                <w:szCs w:val="22"/>
              </w:rPr>
              <w:t>Wind farms</w:t>
            </w:r>
          </w:p>
        </w:tc>
      </w:tr>
      <w:tr w:rsidR="00013C91" w14:paraId="40A872E8" w14:textId="77777777" w:rsidTr="00013C91">
        <w:trPr>
          <w:trHeight w:val="110"/>
        </w:trPr>
        <w:tc>
          <w:tcPr>
            <w:tcW w:w="3033" w:type="dxa"/>
            <w:tcBorders>
              <w:top w:val="nil"/>
              <w:left w:val="nil"/>
              <w:bottom w:val="nil"/>
              <w:right w:val="nil"/>
            </w:tcBorders>
            <w:hideMark/>
          </w:tcPr>
          <w:p w14:paraId="288133F7" w14:textId="77777777" w:rsidR="00013C91" w:rsidRDefault="00013C91">
            <w:pPr>
              <w:pStyle w:val="Default"/>
              <w:spacing w:line="256" w:lineRule="auto"/>
              <w:rPr>
                <w:sz w:val="22"/>
                <w:szCs w:val="22"/>
              </w:rPr>
            </w:pPr>
            <w:r>
              <w:rPr>
                <w:sz w:val="22"/>
                <w:szCs w:val="22"/>
              </w:rPr>
              <w:t>Land</w:t>
            </w:r>
          </w:p>
        </w:tc>
        <w:tc>
          <w:tcPr>
            <w:tcW w:w="3033" w:type="dxa"/>
            <w:tcBorders>
              <w:top w:val="nil"/>
              <w:left w:val="nil"/>
              <w:bottom w:val="nil"/>
              <w:right w:val="nil"/>
            </w:tcBorders>
            <w:hideMark/>
          </w:tcPr>
          <w:p w14:paraId="7FB360F8" w14:textId="77777777" w:rsidR="00013C91" w:rsidRDefault="00013C91">
            <w:pPr>
              <w:pStyle w:val="Default"/>
              <w:spacing w:line="256" w:lineRule="auto"/>
              <w:rPr>
                <w:sz w:val="22"/>
                <w:szCs w:val="22"/>
              </w:rPr>
            </w:pPr>
            <w:r>
              <w:rPr>
                <w:sz w:val="22"/>
                <w:szCs w:val="22"/>
              </w:rPr>
              <w:t>Heritage</w:t>
            </w:r>
          </w:p>
        </w:tc>
        <w:tc>
          <w:tcPr>
            <w:tcW w:w="3033" w:type="dxa"/>
            <w:tcBorders>
              <w:top w:val="nil"/>
              <w:left w:val="nil"/>
              <w:bottom w:val="nil"/>
              <w:right w:val="nil"/>
            </w:tcBorders>
            <w:hideMark/>
          </w:tcPr>
          <w:p w14:paraId="1F9C0CEC" w14:textId="77777777" w:rsidR="00013C91" w:rsidRDefault="00013C91">
            <w:pPr>
              <w:pStyle w:val="Default"/>
              <w:spacing w:line="256" w:lineRule="auto"/>
              <w:rPr>
                <w:sz w:val="22"/>
                <w:szCs w:val="22"/>
              </w:rPr>
            </w:pPr>
            <w:r>
              <w:rPr>
                <w:sz w:val="22"/>
                <w:szCs w:val="22"/>
              </w:rPr>
              <w:t>Antiques association</w:t>
            </w:r>
          </w:p>
        </w:tc>
      </w:tr>
      <w:tr w:rsidR="00013C91" w14:paraId="774621D3" w14:textId="77777777" w:rsidTr="00013C91">
        <w:trPr>
          <w:trHeight w:val="110"/>
        </w:trPr>
        <w:tc>
          <w:tcPr>
            <w:tcW w:w="3033" w:type="dxa"/>
            <w:tcBorders>
              <w:top w:val="nil"/>
              <w:left w:val="nil"/>
              <w:bottom w:val="nil"/>
              <w:right w:val="nil"/>
            </w:tcBorders>
            <w:hideMark/>
          </w:tcPr>
          <w:p w14:paraId="194CF877" w14:textId="77777777" w:rsidR="00013C91" w:rsidRDefault="00013C91">
            <w:pPr>
              <w:pStyle w:val="Default"/>
              <w:spacing w:line="256" w:lineRule="auto"/>
              <w:rPr>
                <w:sz w:val="22"/>
                <w:szCs w:val="22"/>
              </w:rPr>
            </w:pPr>
            <w:r>
              <w:rPr>
                <w:sz w:val="22"/>
                <w:szCs w:val="22"/>
              </w:rPr>
              <w:t>Land</w:t>
            </w:r>
          </w:p>
        </w:tc>
        <w:tc>
          <w:tcPr>
            <w:tcW w:w="3033" w:type="dxa"/>
            <w:tcBorders>
              <w:top w:val="nil"/>
              <w:left w:val="nil"/>
              <w:bottom w:val="nil"/>
              <w:right w:val="nil"/>
            </w:tcBorders>
            <w:hideMark/>
          </w:tcPr>
          <w:p w14:paraId="38E499F7" w14:textId="77777777" w:rsidR="00013C91" w:rsidRDefault="00013C91">
            <w:pPr>
              <w:pStyle w:val="Default"/>
              <w:spacing w:line="256" w:lineRule="auto"/>
              <w:rPr>
                <w:sz w:val="22"/>
                <w:szCs w:val="22"/>
              </w:rPr>
            </w:pPr>
            <w:r>
              <w:rPr>
                <w:sz w:val="22"/>
                <w:szCs w:val="22"/>
              </w:rPr>
              <w:t>Heritage</w:t>
            </w:r>
          </w:p>
        </w:tc>
        <w:tc>
          <w:tcPr>
            <w:tcW w:w="3033" w:type="dxa"/>
            <w:tcBorders>
              <w:top w:val="nil"/>
              <w:left w:val="nil"/>
              <w:bottom w:val="nil"/>
              <w:right w:val="nil"/>
            </w:tcBorders>
            <w:hideMark/>
          </w:tcPr>
          <w:p w14:paraId="34F35D11" w14:textId="77777777" w:rsidR="00013C91" w:rsidRDefault="00013C91">
            <w:pPr>
              <w:pStyle w:val="Default"/>
              <w:spacing w:line="256" w:lineRule="auto"/>
              <w:rPr>
                <w:sz w:val="22"/>
                <w:szCs w:val="22"/>
              </w:rPr>
            </w:pPr>
            <w:r>
              <w:rPr>
                <w:sz w:val="22"/>
                <w:szCs w:val="22"/>
              </w:rPr>
              <w:t>Online marketplaces</w:t>
            </w:r>
          </w:p>
        </w:tc>
      </w:tr>
      <w:tr w:rsidR="00013C91" w14:paraId="4E040FCD" w14:textId="77777777" w:rsidTr="00013C91">
        <w:trPr>
          <w:trHeight w:val="110"/>
        </w:trPr>
        <w:tc>
          <w:tcPr>
            <w:tcW w:w="3033" w:type="dxa"/>
            <w:tcBorders>
              <w:top w:val="nil"/>
              <w:left w:val="nil"/>
              <w:bottom w:val="nil"/>
              <w:right w:val="nil"/>
            </w:tcBorders>
            <w:hideMark/>
          </w:tcPr>
          <w:p w14:paraId="588C94E3" w14:textId="77777777" w:rsidR="00013C91" w:rsidRDefault="00013C91">
            <w:pPr>
              <w:pStyle w:val="Default"/>
              <w:spacing w:line="256" w:lineRule="auto"/>
              <w:rPr>
                <w:sz w:val="22"/>
                <w:szCs w:val="22"/>
              </w:rPr>
            </w:pPr>
            <w:r>
              <w:rPr>
                <w:sz w:val="22"/>
                <w:szCs w:val="22"/>
              </w:rPr>
              <w:lastRenderedPageBreak/>
              <w:t>Land</w:t>
            </w:r>
          </w:p>
        </w:tc>
        <w:tc>
          <w:tcPr>
            <w:tcW w:w="3033" w:type="dxa"/>
            <w:tcBorders>
              <w:top w:val="nil"/>
              <w:left w:val="nil"/>
              <w:bottom w:val="nil"/>
              <w:right w:val="nil"/>
            </w:tcBorders>
            <w:hideMark/>
          </w:tcPr>
          <w:p w14:paraId="24389E69" w14:textId="77777777" w:rsidR="00013C91" w:rsidRDefault="00013C91">
            <w:pPr>
              <w:pStyle w:val="Default"/>
              <w:spacing w:line="256" w:lineRule="auto"/>
              <w:rPr>
                <w:sz w:val="22"/>
                <w:szCs w:val="22"/>
              </w:rPr>
            </w:pPr>
            <w:r>
              <w:rPr>
                <w:sz w:val="22"/>
                <w:szCs w:val="22"/>
              </w:rPr>
              <w:t>Linear Infrastructure</w:t>
            </w:r>
          </w:p>
        </w:tc>
        <w:tc>
          <w:tcPr>
            <w:tcW w:w="3033" w:type="dxa"/>
            <w:tcBorders>
              <w:top w:val="nil"/>
              <w:left w:val="nil"/>
              <w:bottom w:val="nil"/>
              <w:right w:val="nil"/>
            </w:tcBorders>
            <w:hideMark/>
          </w:tcPr>
          <w:p w14:paraId="2B21E2BC" w14:textId="77777777" w:rsidR="00013C91" w:rsidRDefault="00013C91">
            <w:pPr>
              <w:pStyle w:val="Default"/>
              <w:spacing w:line="256" w:lineRule="auto"/>
              <w:rPr>
                <w:sz w:val="22"/>
                <w:szCs w:val="22"/>
              </w:rPr>
            </w:pPr>
            <w:r>
              <w:rPr>
                <w:sz w:val="22"/>
                <w:szCs w:val="22"/>
              </w:rPr>
              <w:t>Gas</w:t>
            </w:r>
          </w:p>
        </w:tc>
      </w:tr>
      <w:tr w:rsidR="00013C91" w14:paraId="338939D5" w14:textId="77777777" w:rsidTr="00013C91">
        <w:trPr>
          <w:trHeight w:val="110"/>
        </w:trPr>
        <w:tc>
          <w:tcPr>
            <w:tcW w:w="3033" w:type="dxa"/>
            <w:tcBorders>
              <w:top w:val="nil"/>
              <w:left w:val="nil"/>
              <w:bottom w:val="nil"/>
              <w:right w:val="nil"/>
            </w:tcBorders>
            <w:hideMark/>
          </w:tcPr>
          <w:p w14:paraId="0CDF0C95" w14:textId="77777777" w:rsidR="00013C91" w:rsidRDefault="00013C91">
            <w:pPr>
              <w:pStyle w:val="Default"/>
              <w:spacing w:line="256" w:lineRule="auto"/>
              <w:rPr>
                <w:sz w:val="22"/>
                <w:szCs w:val="22"/>
              </w:rPr>
            </w:pPr>
            <w:r>
              <w:rPr>
                <w:sz w:val="22"/>
                <w:szCs w:val="22"/>
              </w:rPr>
              <w:t>Land</w:t>
            </w:r>
          </w:p>
        </w:tc>
        <w:tc>
          <w:tcPr>
            <w:tcW w:w="3033" w:type="dxa"/>
            <w:tcBorders>
              <w:top w:val="nil"/>
              <w:left w:val="nil"/>
              <w:bottom w:val="nil"/>
              <w:right w:val="nil"/>
            </w:tcBorders>
            <w:hideMark/>
          </w:tcPr>
          <w:p w14:paraId="63F27330" w14:textId="77777777" w:rsidR="00013C91" w:rsidRDefault="00013C91">
            <w:pPr>
              <w:pStyle w:val="Default"/>
              <w:spacing w:line="256" w:lineRule="auto"/>
              <w:rPr>
                <w:sz w:val="22"/>
                <w:szCs w:val="22"/>
              </w:rPr>
            </w:pPr>
            <w:r>
              <w:rPr>
                <w:sz w:val="22"/>
                <w:szCs w:val="22"/>
              </w:rPr>
              <w:t>Linear Infrastructure</w:t>
            </w:r>
          </w:p>
        </w:tc>
        <w:tc>
          <w:tcPr>
            <w:tcW w:w="3033" w:type="dxa"/>
            <w:tcBorders>
              <w:top w:val="nil"/>
              <w:left w:val="nil"/>
              <w:bottom w:val="nil"/>
              <w:right w:val="nil"/>
            </w:tcBorders>
            <w:hideMark/>
          </w:tcPr>
          <w:p w14:paraId="6739E814" w14:textId="77777777" w:rsidR="00013C91" w:rsidRDefault="00013C91">
            <w:pPr>
              <w:pStyle w:val="Default"/>
              <w:spacing w:line="256" w:lineRule="auto"/>
              <w:rPr>
                <w:sz w:val="22"/>
                <w:szCs w:val="22"/>
              </w:rPr>
            </w:pPr>
            <w:r>
              <w:rPr>
                <w:sz w:val="22"/>
                <w:szCs w:val="22"/>
              </w:rPr>
              <w:t>Power</w:t>
            </w:r>
          </w:p>
        </w:tc>
      </w:tr>
      <w:tr w:rsidR="00013C91" w14:paraId="23CFD2A9" w14:textId="77777777" w:rsidTr="00013C91">
        <w:trPr>
          <w:trHeight w:val="110"/>
        </w:trPr>
        <w:tc>
          <w:tcPr>
            <w:tcW w:w="3033" w:type="dxa"/>
            <w:tcBorders>
              <w:top w:val="nil"/>
              <w:left w:val="nil"/>
              <w:bottom w:val="nil"/>
              <w:right w:val="nil"/>
            </w:tcBorders>
            <w:hideMark/>
          </w:tcPr>
          <w:p w14:paraId="327C6FCE" w14:textId="77777777" w:rsidR="00013C91" w:rsidRDefault="00013C91">
            <w:pPr>
              <w:pStyle w:val="Default"/>
              <w:spacing w:line="256" w:lineRule="auto"/>
              <w:rPr>
                <w:sz w:val="22"/>
                <w:szCs w:val="22"/>
              </w:rPr>
            </w:pPr>
            <w:r>
              <w:rPr>
                <w:sz w:val="22"/>
                <w:szCs w:val="22"/>
              </w:rPr>
              <w:t>Land</w:t>
            </w:r>
          </w:p>
        </w:tc>
        <w:tc>
          <w:tcPr>
            <w:tcW w:w="3033" w:type="dxa"/>
            <w:tcBorders>
              <w:top w:val="nil"/>
              <w:left w:val="nil"/>
              <w:bottom w:val="nil"/>
              <w:right w:val="nil"/>
            </w:tcBorders>
            <w:hideMark/>
          </w:tcPr>
          <w:p w14:paraId="6AD9F9FD" w14:textId="77777777" w:rsidR="00013C91" w:rsidRDefault="00013C91">
            <w:pPr>
              <w:pStyle w:val="Default"/>
              <w:spacing w:line="256" w:lineRule="auto"/>
              <w:rPr>
                <w:sz w:val="22"/>
                <w:szCs w:val="22"/>
              </w:rPr>
            </w:pPr>
            <w:r>
              <w:rPr>
                <w:sz w:val="22"/>
                <w:szCs w:val="22"/>
              </w:rPr>
              <w:t>Linear Infrastructure</w:t>
            </w:r>
          </w:p>
        </w:tc>
        <w:tc>
          <w:tcPr>
            <w:tcW w:w="3033" w:type="dxa"/>
            <w:tcBorders>
              <w:top w:val="nil"/>
              <w:left w:val="nil"/>
              <w:bottom w:val="nil"/>
              <w:right w:val="nil"/>
            </w:tcBorders>
            <w:hideMark/>
          </w:tcPr>
          <w:p w14:paraId="47585C0A" w14:textId="77777777" w:rsidR="00013C91" w:rsidRDefault="00013C91">
            <w:pPr>
              <w:pStyle w:val="Default"/>
              <w:spacing w:line="256" w:lineRule="auto"/>
              <w:rPr>
                <w:sz w:val="22"/>
                <w:szCs w:val="22"/>
              </w:rPr>
            </w:pPr>
            <w:r>
              <w:rPr>
                <w:sz w:val="22"/>
                <w:szCs w:val="22"/>
              </w:rPr>
              <w:t>Rail</w:t>
            </w:r>
          </w:p>
        </w:tc>
      </w:tr>
      <w:tr w:rsidR="00013C91" w14:paraId="479F264C" w14:textId="77777777" w:rsidTr="00013C91">
        <w:trPr>
          <w:trHeight w:val="110"/>
        </w:trPr>
        <w:tc>
          <w:tcPr>
            <w:tcW w:w="3033" w:type="dxa"/>
            <w:tcBorders>
              <w:top w:val="nil"/>
              <w:left w:val="nil"/>
              <w:bottom w:val="nil"/>
              <w:right w:val="nil"/>
            </w:tcBorders>
            <w:hideMark/>
          </w:tcPr>
          <w:p w14:paraId="76D16DDD" w14:textId="77777777" w:rsidR="00013C91" w:rsidRDefault="00013C91">
            <w:pPr>
              <w:pStyle w:val="Default"/>
              <w:spacing w:line="256" w:lineRule="auto"/>
              <w:rPr>
                <w:sz w:val="22"/>
                <w:szCs w:val="22"/>
              </w:rPr>
            </w:pPr>
            <w:r>
              <w:rPr>
                <w:sz w:val="22"/>
                <w:szCs w:val="22"/>
              </w:rPr>
              <w:t>Land</w:t>
            </w:r>
          </w:p>
        </w:tc>
        <w:tc>
          <w:tcPr>
            <w:tcW w:w="3033" w:type="dxa"/>
            <w:tcBorders>
              <w:top w:val="nil"/>
              <w:left w:val="nil"/>
              <w:bottom w:val="nil"/>
              <w:right w:val="nil"/>
            </w:tcBorders>
            <w:hideMark/>
          </w:tcPr>
          <w:p w14:paraId="5B70BAA2" w14:textId="77777777" w:rsidR="00013C91" w:rsidRDefault="00013C91">
            <w:pPr>
              <w:pStyle w:val="Default"/>
              <w:spacing w:line="256" w:lineRule="auto"/>
              <w:rPr>
                <w:sz w:val="22"/>
                <w:szCs w:val="22"/>
              </w:rPr>
            </w:pPr>
            <w:r>
              <w:rPr>
                <w:sz w:val="22"/>
                <w:szCs w:val="22"/>
              </w:rPr>
              <w:t>Linear Infrastructure</w:t>
            </w:r>
          </w:p>
        </w:tc>
        <w:tc>
          <w:tcPr>
            <w:tcW w:w="3033" w:type="dxa"/>
            <w:tcBorders>
              <w:top w:val="nil"/>
              <w:left w:val="nil"/>
              <w:bottom w:val="nil"/>
              <w:right w:val="nil"/>
            </w:tcBorders>
            <w:hideMark/>
          </w:tcPr>
          <w:p w14:paraId="0EB4C2BB" w14:textId="77777777" w:rsidR="00013C91" w:rsidRDefault="00013C91">
            <w:pPr>
              <w:pStyle w:val="Default"/>
              <w:spacing w:line="256" w:lineRule="auto"/>
              <w:rPr>
                <w:sz w:val="22"/>
                <w:szCs w:val="22"/>
              </w:rPr>
            </w:pPr>
            <w:r>
              <w:rPr>
                <w:sz w:val="22"/>
                <w:szCs w:val="22"/>
              </w:rPr>
              <w:t>Roads and Infrastructure</w:t>
            </w:r>
          </w:p>
        </w:tc>
      </w:tr>
      <w:tr w:rsidR="00013C91" w14:paraId="18A94CD9" w14:textId="77777777" w:rsidTr="00013C91">
        <w:trPr>
          <w:trHeight w:val="110"/>
        </w:trPr>
        <w:tc>
          <w:tcPr>
            <w:tcW w:w="3033" w:type="dxa"/>
            <w:tcBorders>
              <w:top w:val="nil"/>
              <w:left w:val="nil"/>
              <w:bottom w:val="nil"/>
              <w:right w:val="nil"/>
            </w:tcBorders>
            <w:hideMark/>
          </w:tcPr>
          <w:p w14:paraId="3F8D0B73" w14:textId="77777777" w:rsidR="00013C91" w:rsidRDefault="00013C91">
            <w:pPr>
              <w:pStyle w:val="Default"/>
              <w:spacing w:line="256" w:lineRule="auto"/>
              <w:rPr>
                <w:sz w:val="22"/>
                <w:szCs w:val="22"/>
              </w:rPr>
            </w:pPr>
            <w:r>
              <w:rPr>
                <w:sz w:val="22"/>
                <w:szCs w:val="22"/>
              </w:rPr>
              <w:t>Land</w:t>
            </w:r>
          </w:p>
        </w:tc>
        <w:tc>
          <w:tcPr>
            <w:tcW w:w="3033" w:type="dxa"/>
            <w:tcBorders>
              <w:top w:val="nil"/>
              <w:left w:val="nil"/>
              <w:bottom w:val="nil"/>
              <w:right w:val="nil"/>
            </w:tcBorders>
            <w:hideMark/>
          </w:tcPr>
          <w:p w14:paraId="20FD0C74" w14:textId="77777777" w:rsidR="00013C91" w:rsidRDefault="00013C91">
            <w:pPr>
              <w:pStyle w:val="Default"/>
              <w:spacing w:line="256" w:lineRule="auto"/>
              <w:rPr>
                <w:sz w:val="22"/>
                <w:szCs w:val="22"/>
              </w:rPr>
            </w:pPr>
            <w:r>
              <w:rPr>
                <w:sz w:val="22"/>
                <w:szCs w:val="22"/>
              </w:rPr>
              <w:t>Linear Infrastructure</w:t>
            </w:r>
          </w:p>
        </w:tc>
        <w:tc>
          <w:tcPr>
            <w:tcW w:w="3033" w:type="dxa"/>
            <w:tcBorders>
              <w:top w:val="nil"/>
              <w:left w:val="nil"/>
              <w:bottom w:val="nil"/>
              <w:right w:val="nil"/>
            </w:tcBorders>
            <w:hideMark/>
          </w:tcPr>
          <w:p w14:paraId="26D3712B" w14:textId="77777777" w:rsidR="00013C91" w:rsidRDefault="00013C91">
            <w:pPr>
              <w:pStyle w:val="Default"/>
              <w:spacing w:line="256" w:lineRule="auto"/>
              <w:rPr>
                <w:sz w:val="22"/>
                <w:szCs w:val="22"/>
              </w:rPr>
            </w:pPr>
            <w:r>
              <w:rPr>
                <w:sz w:val="22"/>
                <w:szCs w:val="22"/>
              </w:rPr>
              <w:t>Telecommunications</w:t>
            </w:r>
          </w:p>
        </w:tc>
      </w:tr>
      <w:tr w:rsidR="00013C91" w14:paraId="3B8A9AD7" w14:textId="77777777" w:rsidTr="00013C91">
        <w:trPr>
          <w:trHeight w:val="110"/>
        </w:trPr>
        <w:tc>
          <w:tcPr>
            <w:tcW w:w="3033" w:type="dxa"/>
            <w:tcBorders>
              <w:top w:val="nil"/>
              <w:left w:val="nil"/>
              <w:bottom w:val="nil"/>
              <w:right w:val="nil"/>
            </w:tcBorders>
            <w:hideMark/>
          </w:tcPr>
          <w:p w14:paraId="31F5EC96" w14:textId="77777777" w:rsidR="00013C91" w:rsidRDefault="00013C91">
            <w:pPr>
              <w:pStyle w:val="Default"/>
              <w:spacing w:line="256" w:lineRule="auto"/>
              <w:rPr>
                <w:sz w:val="22"/>
                <w:szCs w:val="22"/>
              </w:rPr>
            </w:pPr>
            <w:r>
              <w:rPr>
                <w:sz w:val="22"/>
                <w:szCs w:val="22"/>
              </w:rPr>
              <w:t>Land</w:t>
            </w:r>
          </w:p>
        </w:tc>
        <w:tc>
          <w:tcPr>
            <w:tcW w:w="3033" w:type="dxa"/>
            <w:tcBorders>
              <w:top w:val="nil"/>
              <w:left w:val="nil"/>
              <w:bottom w:val="nil"/>
              <w:right w:val="nil"/>
            </w:tcBorders>
            <w:hideMark/>
          </w:tcPr>
          <w:p w14:paraId="42820278" w14:textId="77777777" w:rsidR="00013C91" w:rsidRDefault="00013C91">
            <w:pPr>
              <w:pStyle w:val="Default"/>
              <w:spacing w:line="256" w:lineRule="auto"/>
              <w:rPr>
                <w:sz w:val="22"/>
                <w:szCs w:val="22"/>
              </w:rPr>
            </w:pPr>
            <w:r>
              <w:rPr>
                <w:sz w:val="22"/>
                <w:szCs w:val="22"/>
              </w:rPr>
              <w:t>Mining</w:t>
            </w:r>
          </w:p>
        </w:tc>
        <w:tc>
          <w:tcPr>
            <w:tcW w:w="3033" w:type="dxa"/>
            <w:tcBorders>
              <w:top w:val="nil"/>
              <w:left w:val="nil"/>
              <w:bottom w:val="nil"/>
              <w:right w:val="nil"/>
            </w:tcBorders>
            <w:hideMark/>
          </w:tcPr>
          <w:p w14:paraId="10A5967B" w14:textId="77777777" w:rsidR="00013C91" w:rsidRDefault="00013C91">
            <w:pPr>
              <w:pStyle w:val="Default"/>
              <w:spacing w:line="256" w:lineRule="auto"/>
              <w:rPr>
                <w:sz w:val="22"/>
                <w:szCs w:val="22"/>
              </w:rPr>
            </w:pPr>
            <w:r>
              <w:rPr>
                <w:sz w:val="22"/>
                <w:szCs w:val="22"/>
              </w:rPr>
              <w:t>Coal</w:t>
            </w:r>
          </w:p>
        </w:tc>
      </w:tr>
      <w:tr w:rsidR="00013C91" w14:paraId="1DF5D3F9" w14:textId="77777777" w:rsidTr="00013C91">
        <w:trPr>
          <w:trHeight w:val="110"/>
        </w:trPr>
        <w:tc>
          <w:tcPr>
            <w:tcW w:w="3033" w:type="dxa"/>
            <w:tcBorders>
              <w:top w:val="nil"/>
              <w:left w:val="nil"/>
              <w:bottom w:val="nil"/>
              <w:right w:val="nil"/>
            </w:tcBorders>
            <w:hideMark/>
          </w:tcPr>
          <w:p w14:paraId="4F62FFBF" w14:textId="77777777" w:rsidR="00013C91" w:rsidRDefault="00013C91">
            <w:pPr>
              <w:pStyle w:val="Default"/>
              <w:spacing w:line="256" w:lineRule="auto"/>
              <w:rPr>
                <w:sz w:val="22"/>
                <w:szCs w:val="22"/>
              </w:rPr>
            </w:pPr>
            <w:r>
              <w:rPr>
                <w:sz w:val="22"/>
                <w:szCs w:val="22"/>
              </w:rPr>
              <w:t>Land</w:t>
            </w:r>
          </w:p>
        </w:tc>
        <w:tc>
          <w:tcPr>
            <w:tcW w:w="3033" w:type="dxa"/>
            <w:tcBorders>
              <w:top w:val="nil"/>
              <w:left w:val="nil"/>
              <w:bottom w:val="nil"/>
              <w:right w:val="nil"/>
            </w:tcBorders>
            <w:hideMark/>
          </w:tcPr>
          <w:p w14:paraId="23FA33D5" w14:textId="77777777" w:rsidR="00013C91" w:rsidRDefault="00013C91">
            <w:pPr>
              <w:pStyle w:val="Default"/>
              <w:spacing w:line="256" w:lineRule="auto"/>
              <w:rPr>
                <w:sz w:val="22"/>
                <w:szCs w:val="22"/>
              </w:rPr>
            </w:pPr>
            <w:r>
              <w:rPr>
                <w:sz w:val="22"/>
                <w:szCs w:val="22"/>
              </w:rPr>
              <w:t>Mining</w:t>
            </w:r>
          </w:p>
        </w:tc>
        <w:tc>
          <w:tcPr>
            <w:tcW w:w="3033" w:type="dxa"/>
            <w:tcBorders>
              <w:top w:val="nil"/>
              <w:left w:val="nil"/>
              <w:bottom w:val="nil"/>
              <w:right w:val="nil"/>
            </w:tcBorders>
            <w:hideMark/>
          </w:tcPr>
          <w:p w14:paraId="50A32601" w14:textId="77777777" w:rsidR="00013C91" w:rsidRDefault="00013C91">
            <w:pPr>
              <w:pStyle w:val="Default"/>
              <w:spacing w:line="256" w:lineRule="auto"/>
              <w:rPr>
                <w:sz w:val="22"/>
                <w:szCs w:val="22"/>
              </w:rPr>
            </w:pPr>
            <w:r>
              <w:rPr>
                <w:sz w:val="22"/>
                <w:szCs w:val="22"/>
              </w:rPr>
              <w:t>Coal Seam Gas</w:t>
            </w:r>
          </w:p>
        </w:tc>
      </w:tr>
      <w:tr w:rsidR="00013C91" w14:paraId="3ADF1A4E" w14:textId="77777777" w:rsidTr="00013C91">
        <w:trPr>
          <w:trHeight w:val="110"/>
        </w:trPr>
        <w:tc>
          <w:tcPr>
            <w:tcW w:w="3033" w:type="dxa"/>
            <w:tcBorders>
              <w:top w:val="nil"/>
              <w:left w:val="nil"/>
              <w:bottom w:val="nil"/>
              <w:right w:val="nil"/>
            </w:tcBorders>
            <w:hideMark/>
          </w:tcPr>
          <w:p w14:paraId="7AD1C89A" w14:textId="77777777" w:rsidR="00013C91" w:rsidRDefault="00013C91">
            <w:pPr>
              <w:pStyle w:val="Default"/>
              <w:spacing w:line="256" w:lineRule="auto"/>
              <w:rPr>
                <w:sz w:val="22"/>
                <w:szCs w:val="22"/>
              </w:rPr>
            </w:pPr>
            <w:r>
              <w:rPr>
                <w:sz w:val="22"/>
                <w:szCs w:val="22"/>
              </w:rPr>
              <w:t>Land</w:t>
            </w:r>
          </w:p>
        </w:tc>
        <w:tc>
          <w:tcPr>
            <w:tcW w:w="3033" w:type="dxa"/>
            <w:tcBorders>
              <w:top w:val="nil"/>
              <w:left w:val="nil"/>
              <w:bottom w:val="nil"/>
              <w:right w:val="nil"/>
            </w:tcBorders>
            <w:hideMark/>
          </w:tcPr>
          <w:p w14:paraId="5D09B148" w14:textId="77777777" w:rsidR="00013C91" w:rsidRDefault="00013C91">
            <w:pPr>
              <w:pStyle w:val="Default"/>
              <w:spacing w:line="256" w:lineRule="auto"/>
              <w:rPr>
                <w:sz w:val="22"/>
                <w:szCs w:val="22"/>
              </w:rPr>
            </w:pPr>
            <w:r>
              <w:rPr>
                <w:sz w:val="22"/>
                <w:szCs w:val="22"/>
              </w:rPr>
              <w:t>Mining</w:t>
            </w:r>
          </w:p>
        </w:tc>
        <w:tc>
          <w:tcPr>
            <w:tcW w:w="3033" w:type="dxa"/>
            <w:tcBorders>
              <w:top w:val="nil"/>
              <w:left w:val="nil"/>
              <w:bottom w:val="nil"/>
              <w:right w:val="nil"/>
            </w:tcBorders>
            <w:hideMark/>
          </w:tcPr>
          <w:p w14:paraId="57E30261" w14:textId="77777777" w:rsidR="00013C91" w:rsidRDefault="00013C91">
            <w:pPr>
              <w:pStyle w:val="Default"/>
              <w:spacing w:line="256" w:lineRule="auto"/>
              <w:rPr>
                <w:sz w:val="22"/>
                <w:szCs w:val="22"/>
              </w:rPr>
            </w:pPr>
            <w:r>
              <w:rPr>
                <w:sz w:val="22"/>
                <w:szCs w:val="22"/>
              </w:rPr>
              <w:t>Exploration</w:t>
            </w:r>
          </w:p>
        </w:tc>
      </w:tr>
      <w:tr w:rsidR="00013C91" w14:paraId="0C6EF774" w14:textId="77777777" w:rsidTr="00013C91">
        <w:trPr>
          <w:trHeight w:val="110"/>
        </w:trPr>
        <w:tc>
          <w:tcPr>
            <w:tcW w:w="3033" w:type="dxa"/>
            <w:tcBorders>
              <w:top w:val="nil"/>
              <w:left w:val="nil"/>
              <w:bottom w:val="nil"/>
              <w:right w:val="nil"/>
            </w:tcBorders>
            <w:hideMark/>
          </w:tcPr>
          <w:p w14:paraId="1C00FEBA" w14:textId="77777777" w:rsidR="00013C91" w:rsidRDefault="00013C91">
            <w:pPr>
              <w:pStyle w:val="Default"/>
              <w:spacing w:line="256" w:lineRule="auto"/>
              <w:rPr>
                <w:sz w:val="22"/>
                <w:szCs w:val="22"/>
              </w:rPr>
            </w:pPr>
            <w:r>
              <w:rPr>
                <w:sz w:val="22"/>
                <w:szCs w:val="22"/>
              </w:rPr>
              <w:t>Land</w:t>
            </w:r>
          </w:p>
        </w:tc>
        <w:tc>
          <w:tcPr>
            <w:tcW w:w="3033" w:type="dxa"/>
            <w:tcBorders>
              <w:top w:val="nil"/>
              <w:left w:val="nil"/>
              <w:bottom w:val="nil"/>
              <w:right w:val="nil"/>
            </w:tcBorders>
            <w:hideMark/>
          </w:tcPr>
          <w:p w14:paraId="6D38D79F" w14:textId="77777777" w:rsidR="00013C91" w:rsidRDefault="00013C91">
            <w:pPr>
              <w:pStyle w:val="Default"/>
              <w:spacing w:line="256" w:lineRule="auto"/>
              <w:rPr>
                <w:sz w:val="22"/>
                <w:szCs w:val="22"/>
              </w:rPr>
            </w:pPr>
            <w:r>
              <w:rPr>
                <w:sz w:val="22"/>
                <w:szCs w:val="22"/>
              </w:rPr>
              <w:t>Mining</w:t>
            </w:r>
          </w:p>
        </w:tc>
        <w:tc>
          <w:tcPr>
            <w:tcW w:w="3033" w:type="dxa"/>
            <w:tcBorders>
              <w:top w:val="nil"/>
              <w:left w:val="nil"/>
              <w:bottom w:val="nil"/>
              <w:right w:val="nil"/>
            </w:tcBorders>
            <w:hideMark/>
          </w:tcPr>
          <w:p w14:paraId="38B4D57D" w14:textId="77777777" w:rsidR="00013C91" w:rsidRDefault="00013C91">
            <w:pPr>
              <w:pStyle w:val="Default"/>
              <w:spacing w:line="256" w:lineRule="auto"/>
              <w:rPr>
                <w:sz w:val="22"/>
                <w:szCs w:val="22"/>
              </w:rPr>
            </w:pPr>
            <w:r>
              <w:rPr>
                <w:sz w:val="22"/>
                <w:szCs w:val="22"/>
              </w:rPr>
              <w:t>Mining</w:t>
            </w:r>
          </w:p>
        </w:tc>
      </w:tr>
      <w:tr w:rsidR="00013C91" w14:paraId="3E0C8EDA" w14:textId="77777777" w:rsidTr="00013C91">
        <w:trPr>
          <w:trHeight w:val="110"/>
        </w:trPr>
        <w:tc>
          <w:tcPr>
            <w:tcW w:w="3033" w:type="dxa"/>
            <w:tcBorders>
              <w:top w:val="nil"/>
              <w:left w:val="nil"/>
              <w:bottom w:val="nil"/>
              <w:right w:val="nil"/>
            </w:tcBorders>
            <w:hideMark/>
          </w:tcPr>
          <w:p w14:paraId="1817C4DB" w14:textId="77777777" w:rsidR="00013C91" w:rsidRDefault="00013C91">
            <w:pPr>
              <w:pStyle w:val="Default"/>
              <w:spacing w:line="256" w:lineRule="auto"/>
              <w:rPr>
                <w:sz w:val="22"/>
                <w:szCs w:val="22"/>
              </w:rPr>
            </w:pPr>
            <w:r>
              <w:rPr>
                <w:sz w:val="22"/>
                <w:szCs w:val="22"/>
              </w:rPr>
              <w:t>Land</w:t>
            </w:r>
          </w:p>
        </w:tc>
        <w:tc>
          <w:tcPr>
            <w:tcW w:w="3033" w:type="dxa"/>
            <w:tcBorders>
              <w:top w:val="nil"/>
              <w:left w:val="nil"/>
              <w:bottom w:val="nil"/>
              <w:right w:val="nil"/>
            </w:tcBorders>
            <w:hideMark/>
          </w:tcPr>
          <w:p w14:paraId="62E7C35F" w14:textId="77777777" w:rsidR="00013C91" w:rsidRDefault="00013C91">
            <w:pPr>
              <w:pStyle w:val="Default"/>
              <w:spacing w:line="256" w:lineRule="auto"/>
              <w:rPr>
                <w:sz w:val="22"/>
                <w:szCs w:val="22"/>
              </w:rPr>
            </w:pPr>
            <w:r>
              <w:rPr>
                <w:sz w:val="22"/>
                <w:szCs w:val="22"/>
              </w:rPr>
              <w:t>Mining</w:t>
            </w:r>
          </w:p>
        </w:tc>
        <w:tc>
          <w:tcPr>
            <w:tcW w:w="3033" w:type="dxa"/>
            <w:tcBorders>
              <w:top w:val="nil"/>
              <w:left w:val="nil"/>
              <w:bottom w:val="nil"/>
              <w:right w:val="nil"/>
            </w:tcBorders>
            <w:hideMark/>
          </w:tcPr>
          <w:p w14:paraId="703F0E17" w14:textId="77777777" w:rsidR="00013C91" w:rsidRDefault="00013C91">
            <w:pPr>
              <w:pStyle w:val="Default"/>
              <w:spacing w:line="256" w:lineRule="auto"/>
              <w:rPr>
                <w:sz w:val="22"/>
                <w:szCs w:val="22"/>
              </w:rPr>
            </w:pPr>
            <w:r>
              <w:rPr>
                <w:sz w:val="22"/>
                <w:szCs w:val="22"/>
              </w:rPr>
              <w:t>Ore</w:t>
            </w:r>
          </w:p>
        </w:tc>
      </w:tr>
      <w:tr w:rsidR="00013C91" w14:paraId="44F466A5" w14:textId="77777777" w:rsidTr="00013C91">
        <w:trPr>
          <w:trHeight w:val="113"/>
        </w:trPr>
        <w:tc>
          <w:tcPr>
            <w:tcW w:w="3033" w:type="dxa"/>
            <w:tcBorders>
              <w:top w:val="nil"/>
              <w:left w:val="nil"/>
              <w:bottom w:val="nil"/>
              <w:right w:val="nil"/>
            </w:tcBorders>
            <w:hideMark/>
          </w:tcPr>
          <w:p w14:paraId="02D11CD6" w14:textId="77777777" w:rsidR="00013C91" w:rsidRDefault="00013C91">
            <w:pPr>
              <w:pStyle w:val="Default"/>
              <w:spacing w:line="256" w:lineRule="auto"/>
              <w:rPr>
                <w:sz w:val="22"/>
                <w:szCs w:val="22"/>
              </w:rPr>
            </w:pPr>
            <w:r>
              <w:rPr>
                <w:sz w:val="22"/>
                <w:szCs w:val="22"/>
              </w:rPr>
              <w:t>Waste</w:t>
            </w:r>
          </w:p>
        </w:tc>
        <w:tc>
          <w:tcPr>
            <w:tcW w:w="3033" w:type="dxa"/>
            <w:tcBorders>
              <w:top w:val="nil"/>
              <w:left w:val="nil"/>
              <w:bottom w:val="nil"/>
              <w:right w:val="nil"/>
            </w:tcBorders>
            <w:hideMark/>
          </w:tcPr>
          <w:p w14:paraId="2B4BF6D7" w14:textId="77777777" w:rsidR="00013C91" w:rsidRDefault="00013C91">
            <w:pPr>
              <w:pStyle w:val="Default"/>
              <w:spacing w:line="256" w:lineRule="auto"/>
              <w:rPr>
                <w:sz w:val="22"/>
                <w:szCs w:val="22"/>
              </w:rPr>
            </w:pPr>
            <w:r>
              <w:rPr>
                <w:sz w:val="22"/>
                <w:szCs w:val="22"/>
              </w:rPr>
              <w:t>Hazardous waste</w:t>
            </w:r>
          </w:p>
        </w:tc>
        <w:tc>
          <w:tcPr>
            <w:tcW w:w="3033" w:type="dxa"/>
            <w:tcBorders>
              <w:top w:val="nil"/>
              <w:left w:val="nil"/>
              <w:bottom w:val="nil"/>
              <w:right w:val="nil"/>
            </w:tcBorders>
            <w:hideMark/>
          </w:tcPr>
          <w:p w14:paraId="1C495952" w14:textId="77777777" w:rsidR="00013C91" w:rsidRDefault="00013C91">
            <w:pPr>
              <w:pStyle w:val="Default"/>
              <w:spacing w:line="256" w:lineRule="auto"/>
              <w:rPr>
                <w:sz w:val="22"/>
                <w:szCs w:val="22"/>
              </w:rPr>
            </w:pPr>
            <w:r>
              <w:rPr>
                <w:sz w:val="22"/>
                <w:szCs w:val="22"/>
              </w:rPr>
              <w:t>Brokers and Freight forwarders</w:t>
            </w:r>
          </w:p>
        </w:tc>
      </w:tr>
      <w:tr w:rsidR="00013C91" w14:paraId="0E4C8874" w14:textId="77777777" w:rsidTr="00013C91">
        <w:trPr>
          <w:trHeight w:val="113"/>
        </w:trPr>
        <w:tc>
          <w:tcPr>
            <w:tcW w:w="3033" w:type="dxa"/>
            <w:tcBorders>
              <w:top w:val="nil"/>
              <w:left w:val="nil"/>
              <w:bottom w:val="nil"/>
              <w:right w:val="nil"/>
            </w:tcBorders>
            <w:hideMark/>
          </w:tcPr>
          <w:p w14:paraId="6F12A932" w14:textId="77777777" w:rsidR="00013C91" w:rsidRDefault="00013C91">
            <w:pPr>
              <w:pStyle w:val="Default"/>
              <w:spacing w:line="256" w:lineRule="auto"/>
              <w:rPr>
                <w:sz w:val="22"/>
                <w:szCs w:val="22"/>
              </w:rPr>
            </w:pPr>
            <w:r>
              <w:rPr>
                <w:sz w:val="22"/>
                <w:szCs w:val="22"/>
              </w:rPr>
              <w:t>Waste</w:t>
            </w:r>
          </w:p>
        </w:tc>
        <w:tc>
          <w:tcPr>
            <w:tcW w:w="3033" w:type="dxa"/>
            <w:tcBorders>
              <w:top w:val="nil"/>
              <w:left w:val="nil"/>
              <w:bottom w:val="nil"/>
              <w:right w:val="nil"/>
            </w:tcBorders>
            <w:hideMark/>
          </w:tcPr>
          <w:p w14:paraId="39F1DA87" w14:textId="77777777" w:rsidR="00013C91" w:rsidRDefault="00013C91">
            <w:pPr>
              <w:pStyle w:val="Default"/>
              <w:spacing w:line="256" w:lineRule="auto"/>
              <w:rPr>
                <w:sz w:val="22"/>
                <w:szCs w:val="22"/>
              </w:rPr>
            </w:pPr>
            <w:r>
              <w:rPr>
                <w:sz w:val="22"/>
                <w:szCs w:val="22"/>
              </w:rPr>
              <w:t>Hazardous waste</w:t>
            </w:r>
          </w:p>
        </w:tc>
        <w:tc>
          <w:tcPr>
            <w:tcW w:w="3033" w:type="dxa"/>
            <w:tcBorders>
              <w:top w:val="nil"/>
              <w:left w:val="nil"/>
              <w:bottom w:val="nil"/>
              <w:right w:val="nil"/>
            </w:tcBorders>
            <w:hideMark/>
          </w:tcPr>
          <w:p w14:paraId="0E592E29" w14:textId="77777777" w:rsidR="00013C91" w:rsidRDefault="00013C91">
            <w:pPr>
              <w:pStyle w:val="Default"/>
              <w:spacing w:line="256" w:lineRule="auto"/>
              <w:rPr>
                <w:sz w:val="22"/>
                <w:szCs w:val="22"/>
              </w:rPr>
            </w:pPr>
            <w:r>
              <w:rPr>
                <w:sz w:val="22"/>
                <w:szCs w:val="22"/>
              </w:rPr>
              <w:t>e-waste</w:t>
            </w:r>
          </w:p>
        </w:tc>
      </w:tr>
      <w:tr w:rsidR="00013C91" w14:paraId="71DA4D1A" w14:textId="77777777" w:rsidTr="00013C91">
        <w:trPr>
          <w:trHeight w:val="113"/>
        </w:trPr>
        <w:tc>
          <w:tcPr>
            <w:tcW w:w="3033" w:type="dxa"/>
            <w:tcBorders>
              <w:top w:val="nil"/>
              <w:left w:val="nil"/>
              <w:bottom w:val="nil"/>
              <w:right w:val="nil"/>
            </w:tcBorders>
            <w:hideMark/>
          </w:tcPr>
          <w:p w14:paraId="291B8E67" w14:textId="77777777" w:rsidR="00013C91" w:rsidRDefault="00013C91">
            <w:pPr>
              <w:pStyle w:val="Default"/>
              <w:spacing w:line="256" w:lineRule="auto"/>
              <w:rPr>
                <w:sz w:val="22"/>
                <w:szCs w:val="22"/>
              </w:rPr>
            </w:pPr>
            <w:r>
              <w:rPr>
                <w:sz w:val="22"/>
                <w:szCs w:val="22"/>
              </w:rPr>
              <w:t>Waste</w:t>
            </w:r>
          </w:p>
        </w:tc>
        <w:tc>
          <w:tcPr>
            <w:tcW w:w="3033" w:type="dxa"/>
            <w:tcBorders>
              <w:top w:val="nil"/>
              <w:left w:val="nil"/>
              <w:bottom w:val="nil"/>
              <w:right w:val="nil"/>
            </w:tcBorders>
            <w:hideMark/>
          </w:tcPr>
          <w:p w14:paraId="2132CB1A" w14:textId="77777777" w:rsidR="00013C91" w:rsidRDefault="00013C91">
            <w:pPr>
              <w:pStyle w:val="Default"/>
              <w:spacing w:line="256" w:lineRule="auto"/>
              <w:rPr>
                <w:sz w:val="22"/>
                <w:szCs w:val="22"/>
              </w:rPr>
            </w:pPr>
            <w:r>
              <w:rPr>
                <w:sz w:val="22"/>
                <w:szCs w:val="22"/>
              </w:rPr>
              <w:t>Hazardous waste</w:t>
            </w:r>
          </w:p>
        </w:tc>
        <w:tc>
          <w:tcPr>
            <w:tcW w:w="3033" w:type="dxa"/>
            <w:tcBorders>
              <w:top w:val="nil"/>
              <w:left w:val="nil"/>
              <w:bottom w:val="nil"/>
              <w:right w:val="nil"/>
            </w:tcBorders>
            <w:hideMark/>
          </w:tcPr>
          <w:p w14:paraId="34A67B70" w14:textId="77777777" w:rsidR="00013C91" w:rsidRDefault="00013C91">
            <w:pPr>
              <w:pStyle w:val="Default"/>
              <w:spacing w:line="256" w:lineRule="auto"/>
              <w:rPr>
                <w:sz w:val="22"/>
                <w:szCs w:val="22"/>
              </w:rPr>
            </w:pPr>
            <w:r>
              <w:rPr>
                <w:sz w:val="22"/>
                <w:szCs w:val="22"/>
              </w:rPr>
              <w:t>Toxic/contaminated</w:t>
            </w:r>
          </w:p>
        </w:tc>
      </w:tr>
      <w:tr w:rsidR="00013C91" w14:paraId="6DF2F62E" w14:textId="77777777" w:rsidTr="00013C91">
        <w:trPr>
          <w:trHeight w:val="113"/>
        </w:trPr>
        <w:tc>
          <w:tcPr>
            <w:tcW w:w="3033" w:type="dxa"/>
            <w:tcBorders>
              <w:top w:val="nil"/>
              <w:left w:val="nil"/>
              <w:bottom w:val="nil"/>
              <w:right w:val="nil"/>
            </w:tcBorders>
            <w:hideMark/>
          </w:tcPr>
          <w:p w14:paraId="5ECCE158" w14:textId="77777777" w:rsidR="00013C91" w:rsidRDefault="00013C91">
            <w:pPr>
              <w:pStyle w:val="Default"/>
              <w:spacing w:line="256" w:lineRule="auto"/>
              <w:rPr>
                <w:sz w:val="22"/>
                <w:szCs w:val="22"/>
              </w:rPr>
            </w:pPr>
            <w:r>
              <w:rPr>
                <w:sz w:val="22"/>
                <w:szCs w:val="22"/>
              </w:rPr>
              <w:t>Waste</w:t>
            </w:r>
          </w:p>
        </w:tc>
        <w:tc>
          <w:tcPr>
            <w:tcW w:w="3033" w:type="dxa"/>
            <w:tcBorders>
              <w:top w:val="nil"/>
              <w:left w:val="nil"/>
              <w:bottom w:val="nil"/>
              <w:right w:val="nil"/>
            </w:tcBorders>
            <w:hideMark/>
          </w:tcPr>
          <w:p w14:paraId="74EDD365" w14:textId="77777777" w:rsidR="00013C91" w:rsidRDefault="00013C91">
            <w:pPr>
              <w:pStyle w:val="Default"/>
              <w:spacing w:line="256" w:lineRule="auto"/>
              <w:rPr>
                <w:sz w:val="22"/>
                <w:szCs w:val="22"/>
              </w:rPr>
            </w:pPr>
            <w:r>
              <w:rPr>
                <w:sz w:val="22"/>
                <w:szCs w:val="22"/>
              </w:rPr>
              <w:t>Hazardous waste</w:t>
            </w:r>
          </w:p>
        </w:tc>
        <w:tc>
          <w:tcPr>
            <w:tcW w:w="3033" w:type="dxa"/>
            <w:tcBorders>
              <w:top w:val="nil"/>
              <w:left w:val="nil"/>
              <w:bottom w:val="nil"/>
              <w:right w:val="nil"/>
            </w:tcBorders>
            <w:hideMark/>
          </w:tcPr>
          <w:p w14:paraId="62D3AF24" w14:textId="77777777" w:rsidR="00013C91" w:rsidRDefault="00013C91">
            <w:pPr>
              <w:pStyle w:val="Default"/>
              <w:spacing w:line="256" w:lineRule="auto"/>
              <w:rPr>
                <w:sz w:val="22"/>
                <w:szCs w:val="22"/>
              </w:rPr>
            </w:pPr>
            <w:r>
              <w:rPr>
                <w:sz w:val="22"/>
                <w:szCs w:val="22"/>
              </w:rPr>
              <w:t>Transport</w:t>
            </w:r>
          </w:p>
        </w:tc>
      </w:tr>
      <w:tr w:rsidR="00013C91" w14:paraId="358B3EEE" w14:textId="77777777" w:rsidTr="00013C91">
        <w:trPr>
          <w:trHeight w:val="113"/>
        </w:trPr>
        <w:tc>
          <w:tcPr>
            <w:tcW w:w="3033" w:type="dxa"/>
            <w:tcBorders>
              <w:top w:val="nil"/>
              <w:left w:val="nil"/>
              <w:bottom w:val="nil"/>
              <w:right w:val="nil"/>
            </w:tcBorders>
            <w:hideMark/>
          </w:tcPr>
          <w:p w14:paraId="1CDB3774" w14:textId="77777777" w:rsidR="00013C91" w:rsidRDefault="00013C91">
            <w:pPr>
              <w:pStyle w:val="Default"/>
              <w:spacing w:line="256" w:lineRule="auto"/>
              <w:rPr>
                <w:sz w:val="22"/>
                <w:szCs w:val="22"/>
              </w:rPr>
            </w:pPr>
            <w:r>
              <w:rPr>
                <w:sz w:val="22"/>
                <w:szCs w:val="22"/>
              </w:rPr>
              <w:t>Waste</w:t>
            </w:r>
          </w:p>
        </w:tc>
        <w:tc>
          <w:tcPr>
            <w:tcW w:w="3033" w:type="dxa"/>
            <w:tcBorders>
              <w:top w:val="nil"/>
              <w:left w:val="nil"/>
              <w:bottom w:val="nil"/>
              <w:right w:val="nil"/>
            </w:tcBorders>
            <w:hideMark/>
          </w:tcPr>
          <w:p w14:paraId="20EB109E" w14:textId="77777777" w:rsidR="00013C91" w:rsidRDefault="00013C91">
            <w:pPr>
              <w:pStyle w:val="Default"/>
              <w:spacing w:line="256" w:lineRule="auto"/>
              <w:rPr>
                <w:sz w:val="22"/>
                <w:szCs w:val="22"/>
              </w:rPr>
            </w:pPr>
            <w:r>
              <w:rPr>
                <w:sz w:val="22"/>
                <w:szCs w:val="22"/>
              </w:rPr>
              <w:t>Hazardous waste</w:t>
            </w:r>
          </w:p>
        </w:tc>
        <w:tc>
          <w:tcPr>
            <w:tcW w:w="3033" w:type="dxa"/>
            <w:tcBorders>
              <w:top w:val="nil"/>
              <w:left w:val="nil"/>
              <w:bottom w:val="nil"/>
              <w:right w:val="nil"/>
            </w:tcBorders>
            <w:hideMark/>
          </w:tcPr>
          <w:p w14:paraId="74E94F11" w14:textId="77777777" w:rsidR="00013C91" w:rsidRDefault="00013C91">
            <w:pPr>
              <w:pStyle w:val="Default"/>
              <w:spacing w:line="256" w:lineRule="auto"/>
              <w:rPr>
                <w:sz w:val="22"/>
                <w:szCs w:val="22"/>
              </w:rPr>
            </w:pPr>
            <w:r>
              <w:rPr>
                <w:sz w:val="22"/>
                <w:szCs w:val="22"/>
              </w:rPr>
              <w:t>Used Lead Acid Batteries (ULAB)</w:t>
            </w:r>
          </w:p>
        </w:tc>
      </w:tr>
      <w:tr w:rsidR="00013C91" w14:paraId="6DAA57E0" w14:textId="77777777" w:rsidTr="00013C91">
        <w:trPr>
          <w:trHeight w:val="110"/>
        </w:trPr>
        <w:tc>
          <w:tcPr>
            <w:tcW w:w="3033" w:type="dxa"/>
            <w:tcBorders>
              <w:top w:val="nil"/>
              <w:left w:val="nil"/>
              <w:bottom w:val="nil"/>
              <w:right w:val="nil"/>
            </w:tcBorders>
            <w:hideMark/>
          </w:tcPr>
          <w:p w14:paraId="39F9FEC3" w14:textId="77777777" w:rsidR="00013C91" w:rsidRDefault="00013C91">
            <w:pPr>
              <w:pStyle w:val="Default"/>
              <w:spacing w:line="256" w:lineRule="auto"/>
              <w:rPr>
                <w:sz w:val="22"/>
                <w:szCs w:val="22"/>
              </w:rPr>
            </w:pPr>
            <w:r>
              <w:rPr>
                <w:sz w:val="22"/>
                <w:szCs w:val="22"/>
              </w:rPr>
              <w:t>Waste</w:t>
            </w:r>
          </w:p>
        </w:tc>
        <w:tc>
          <w:tcPr>
            <w:tcW w:w="3033" w:type="dxa"/>
            <w:tcBorders>
              <w:top w:val="nil"/>
              <w:left w:val="nil"/>
              <w:bottom w:val="nil"/>
              <w:right w:val="nil"/>
            </w:tcBorders>
            <w:hideMark/>
          </w:tcPr>
          <w:p w14:paraId="46AF5190" w14:textId="77777777" w:rsidR="00013C91" w:rsidRDefault="00013C91">
            <w:pPr>
              <w:pStyle w:val="Default"/>
              <w:spacing w:line="256" w:lineRule="auto"/>
              <w:rPr>
                <w:sz w:val="22"/>
                <w:szCs w:val="22"/>
              </w:rPr>
            </w:pPr>
            <w:r>
              <w:rPr>
                <w:sz w:val="22"/>
                <w:szCs w:val="22"/>
              </w:rPr>
              <w:t>Non-putrescible</w:t>
            </w:r>
          </w:p>
        </w:tc>
        <w:tc>
          <w:tcPr>
            <w:tcW w:w="3033" w:type="dxa"/>
            <w:tcBorders>
              <w:top w:val="nil"/>
              <w:left w:val="nil"/>
              <w:bottom w:val="nil"/>
              <w:right w:val="nil"/>
            </w:tcBorders>
            <w:hideMark/>
          </w:tcPr>
          <w:p w14:paraId="4ED8C92B" w14:textId="77777777" w:rsidR="00013C91" w:rsidRDefault="00013C91">
            <w:pPr>
              <w:pStyle w:val="Default"/>
              <w:spacing w:line="256" w:lineRule="auto"/>
              <w:rPr>
                <w:sz w:val="22"/>
                <w:szCs w:val="22"/>
              </w:rPr>
            </w:pPr>
            <w:r>
              <w:rPr>
                <w:sz w:val="22"/>
                <w:szCs w:val="22"/>
              </w:rPr>
              <w:t>Batteries</w:t>
            </w:r>
          </w:p>
        </w:tc>
      </w:tr>
      <w:tr w:rsidR="00013C91" w14:paraId="06F92C75" w14:textId="77777777" w:rsidTr="00013C91">
        <w:trPr>
          <w:trHeight w:val="110"/>
        </w:trPr>
        <w:tc>
          <w:tcPr>
            <w:tcW w:w="3033" w:type="dxa"/>
            <w:tcBorders>
              <w:top w:val="nil"/>
              <w:left w:val="nil"/>
              <w:bottom w:val="nil"/>
              <w:right w:val="nil"/>
            </w:tcBorders>
            <w:hideMark/>
          </w:tcPr>
          <w:p w14:paraId="3AFA23BD" w14:textId="77777777" w:rsidR="00013C91" w:rsidRDefault="00013C91">
            <w:pPr>
              <w:pStyle w:val="Default"/>
              <w:spacing w:line="256" w:lineRule="auto"/>
              <w:rPr>
                <w:sz w:val="22"/>
                <w:szCs w:val="22"/>
              </w:rPr>
            </w:pPr>
            <w:r>
              <w:rPr>
                <w:sz w:val="22"/>
                <w:szCs w:val="22"/>
              </w:rPr>
              <w:t>Waste</w:t>
            </w:r>
          </w:p>
        </w:tc>
        <w:tc>
          <w:tcPr>
            <w:tcW w:w="3033" w:type="dxa"/>
            <w:tcBorders>
              <w:top w:val="nil"/>
              <w:left w:val="nil"/>
              <w:bottom w:val="nil"/>
              <w:right w:val="nil"/>
            </w:tcBorders>
            <w:hideMark/>
          </w:tcPr>
          <w:p w14:paraId="2939CAC6" w14:textId="77777777" w:rsidR="00013C91" w:rsidRDefault="00013C91">
            <w:pPr>
              <w:pStyle w:val="Default"/>
              <w:spacing w:line="256" w:lineRule="auto"/>
              <w:rPr>
                <w:sz w:val="22"/>
                <w:szCs w:val="22"/>
              </w:rPr>
            </w:pPr>
            <w:r>
              <w:rPr>
                <w:sz w:val="22"/>
                <w:szCs w:val="22"/>
              </w:rPr>
              <w:t>Non-putrescible</w:t>
            </w:r>
          </w:p>
        </w:tc>
        <w:tc>
          <w:tcPr>
            <w:tcW w:w="3033" w:type="dxa"/>
            <w:tcBorders>
              <w:top w:val="nil"/>
              <w:left w:val="nil"/>
              <w:bottom w:val="nil"/>
              <w:right w:val="nil"/>
            </w:tcBorders>
            <w:hideMark/>
          </w:tcPr>
          <w:p w14:paraId="2924E1DA" w14:textId="77777777" w:rsidR="00013C91" w:rsidRDefault="00013C91">
            <w:pPr>
              <w:pStyle w:val="Default"/>
              <w:spacing w:line="256" w:lineRule="auto"/>
              <w:rPr>
                <w:sz w:val="22"/>
                <w:szCs w:val="22"/>
              </w:rPr>
            </w:pPr>
            <w:r>
              <w:rPr>
                <w:sz w:val="22"/>
                <w:szCs w:val="22"/>
              </w:rPr>
              <w:t>Cardboard</w:t>
            </w:r>
          </w:p>
        </w:tc>
      </w:tr>
      <w:tr w:rsidR="00013C91" w14:paraId="44128CC6" w14:textId="77777777" w:rsidTr="00013C91">
        <w:trPr>
          <w:trHeight w:val="110"/>
        </w:trPr>
        <w:tc>
          <w:tcPr>
            <w:tcW w:w="3033" w:type="dxa"/>
            <w:tcBorders>
              <w:top w:val="nil"/>
              <w:left w:val="nil"/>
              <w:bottom w:val="nil"/>
              <w:right w:val="nil"/>
            </w:tcBorders>
            <w:hideMark/>
          </w:tcPr>
          <w:p w14:paraId="202B4A31" w14:textId="77777777" w:rsidR="00013C91" w:rsidRDefault="00013C91">
            <w:pPr>
              <w:pStyle w:val="Default"/>
              <w:spacing w:line="256" w:lineRule="auto"/>
              <w:rPr>
                <w:sz w:val="22"/>
                <w:szCs w:val="22"/>
              </w:rPr>
            </w:pPr>
            <w:r>
              <w:rPr>
                <w:sz w:val="22"/>
                <w:szCs w:val="22"/>
              </w:rPr>
              <w:t>Waste</w:t>
            </w:r>
          </w:p>
        </w:tc>
        <w:tc>
          <w:tcPr>
            <w:tcW w:w="3033" w:type="dxa"/>
            <w:tcBorders>
              <w:top w:val="nil"/>
              <w:left w:val="nil"/>
              <w:bottom w:val="nil"/>
              <w:right w:val="nil"/>
            </w:tcBorders>
            <w:hideMark/>
          </w:tcPr>
          <w:p w14:paraId="37C9EA6E" w14:textId="77777777" w:rsidR="00013C91" w:rsidRDefault="00013C91">
            <w:pPr>
              <w:pStyle w:val="Default"/>
              <w:spacing w:line="256" w:lineRule="auto"/>
              <w:rPr>
                <w:sz w:val="22"/>
                <w:szCs w:val="22"/>
              </w:rPr>
            </w:pPr>
            <w:r>
              <w:rPr>
                <w:sz w:val="22"/>
                <w:szCs w:val="22"/>
              </w:rPr>
              <w:t>Non-putrescible</w:t>
            </w:r>
          </w:p>
        </w:tc>
        <w:tc>
          <w:tcPr>
            <w:tcW w:w="3033" w:type="dxa"/>
            <w:tcBorders>
              <w:top w:val="nil"/>
              <w:left w:val="nil"/>
              <w:bottom w:val="nil"/>
              <w:right w:val="nil"/>
            </w:tcBorders>
            <w:hideMark/>
          </w:tcPr>
          <w:p w14:paraId="58335361" w14:textId="77777777" w:rsidR="00013C91" w:rsidRDefault="00013C91">
            <w:pPr>
              <w:pStyle w:val="Default"/>
              <w:spacing w:line="256" w:lineRule="auto"/>
              <w:rPr>
                <w:sz w:val="22"/>
                <w:szCs w:val="22"/>
              </w:rPr>
            </w:pPr>
            <w:r>
              <w:rPr>
                <w:sz w:val="22"/>
                <w:szCs w:val="22"/>
              </w:rPr>
              <w:t>Comingled (household)</w:t>
            </w:r>
          </w:p>
        </w:tc>
      </w:tr>
      <w:tr w:rsidR="00013C91" w14:paraId="44235E4F" w14:textId="77777777" w:rsidTr="00013C91">
        <w:trPr>
          <w:trHeight w:val="110"/>
        </w:trPr>
        <w:tc>
          <w:tcPr>
            <w:tcW w:w="3033" w:type="dxa"/>
            <w:tcBorders>
              <w:top w:val="nil"/>
              <w:left w:val="nil"/>
              <w:bottom w:val="nil"/>
              <w:right w:val="nil"/>
            </w:tcBorders>
            <w:hideMark/>
          </w:tcPr>
          <w:p w14:paraId="16AF6E49" w14:textId="77777777" w:rsidR="00013C91" w:rsidRDefault="00013C91">
            <w:pPr>
              <w:pStyle w:val="Default"/>
              <w:spacing w:line="256" w:lineRule="auto"/>
              <w:rPr>
                <w:sz w:val="22"/>
                <w:szCs w:val="22"/>
              </w:rPr>
            </w:pPr>
            <w:r>
              <w:rPr>
                <w:sz w:val="22"/>
                <w:szCs w:val="22"/>
              </w:rPr>
              <w:t>Waste</w:t>
            </w:r>
          </w:p>
        </w:tc>
        <w:tc>
          <w:tcPr>
            <w:tcW w:w="3033" w:type="dxa"/>
            <w:tcBorders>
              <w:top w:val="nil"/>
              <w:left w:val="nil"/>
              <w:bottom w:val="nil"/>
              <w:right w:val="nil"/>
            </w:tcBorders>
            <w:hideMark/>
          </w:tcPr>
          <w:p w14:paraId="63269EA4" w14:textId="77777777" w:rsidR="00013C91" w:rsidRDefault="00013C91">
            <w:pPr>
              <w:pStyle w:val="Default"/>
              <w:spacing w:line="256" w:lineRule="auto"/>
              <w:rPr>
                <w:sz w:val="22"/>
                <w:szCs w:val="22"/>
              </w:rPr>
            </w:pPr>
            <w:r>
              <w:rPr>
                <w:sz w:val="22"/>
                <w:szCs w:val="22"/>
              </w:rPr>
              <w:t>Non-putrescible</w:t>
            </w:r>
          </w:p>
        </w:tc>
        <w:tc>
          <w:tcPr>
            <w:tcW w:w="3033" w:type="dxa"/>
            <w:tcBorders>
              <w:top w:val="nil"/>
              <w:left w:val="nil"/>
              <w:bottom w:val="nil"/>
              <w:right w:val="nil"/>
            </w:tcBorders>
            <w:hideMark/>
          </w:tcPr>
          <w:p w14:paraId="5BA0D54A" w14:textId="77777777" w:rsidR="00013C91" w:rsidRDefault="00013C91">
            <w:pPr>
              <w:pStyle w:val="Default"/>
              <w:spacing w:line="256" w:lineRule="auto"/>
              <w:rPr>
                <w:sz w:val="22"/>
                <w:szCs w:val="22"/>
              </w:rPr>
            </w:pPr>
            <w:r>
              <w:rPr>
                <w:sz w:val="22"/>
                <w:szCs w:val="22"/>
              </w:rPr>
              <w:t>Glass</w:t>
            </w:r>
          </w:p>
        </w:tc>
      </w:tr>
      <w:tr w:rsidR="00013C91" w14:paraId="3C38CBBA" w14:textId="77777777" w:rsidTr="00013C91">
        <w:trPr>
          <w:trHeight w:val="110"/>
        </w:trPr>
        <w:tc>
          <w:tcPr>
            <w:tcW w:w="3033" w:type="dxa"/>
            <w:tcBorders>
              <w:top w:val="nil"/>
              <w:left w:val="nil"/>
              <w:bottom w:val="nil"/>
              <w:right w:val="nil"/>
            </w:tcBorders>
            <w:hideMark/>
          </w:tcPr>
          <w:p w14:paraId="1BE5E228" w14:textId="77777777" w:rsidR="00013C91" w:rsidRDefault="00013C91">
            <w:pPr>
              <w:pStyle w:val="Default"/>
              <w:spacing w:line="256" w:lineRule="auto"/>
              <w:rPr>
                <w:sz w:val="22"/>
                <w:szCs w:val="22"/>
              </w:rPr>
            </w:pPr>
            <w:r>
              <w:rPr>
                <w:sz w:val="22"/>
                <w:szCs w:val="22"/>
              </w:rPr>
              <w:t>Waste</w:t>
            </w:r>
          </w:p>
        </w:tc>
        <w:tc>
          <w:tcPr>
            <w:tcW w:w="3033" w:type="dxa"/>
            <w:tcBorders>
              <w:top w:val="nil"/>
              <w:left w:val="nil"/>
              <w:bottom w:val="nil"/>
              <w:right w:val="nil"/>
            </w:tcBorders>
            <w:hideMark/>
          </w:tcPr>
          <w:p w14:paraId="5D21C9C2" w14:textId="77777777" w:rsidR="00013C91" w:rsidRDefault="00013C91">
            <w:pPr>
              <w:pStyle w:val="Default"/>
              <w:spacing w:line="256" w:lineRule="auto"/>
              <w:rPr>
                <w:sz w:val="22"/>
                <w:szCs w:val="22"/>
              </w:rPr>
            </w:pPr>
            <w:r>
              <w:rPr>
                <w:sz w:val="22"/>
                <w:szCs w:val="22"/>
              </w:rPr>
              <w:t>Non-putrescible</w:t>
            </w:r>
          </w:p>
        </w:tc>
        <w:tc>
          <w:tcPr>
            <w:tcW w:w="3033" w:type="dxa"/>
            <w:tcBorders>
              <w:top w:val="nil"/>
              <w:left w:val="nil"/>
              <w:bottom w:val="nil"/>
              <w:right w:val="nil"/>
            </w:tcBorders>
            <w:hideMark/>
          </w:tcPr>
          <w:p w14:paraId="7445FE46" w14:textId="77777777" w:rsidR="00013C91" w:rsidRDefault="00013C91">
            <w:pPr>
              <w:pStyle w:val="Default"/>
              <w:spacing w:line="256" w:lineRule="auto"/>
              <w:rPr>
                <w:sz w:val="22"/>
                <w:szCs w:val="22"/>
              </w:rPr>
            </w:pPr>
            <w:r>
              <w:rPr>
                <w:sz w:val="22"/>
                <w:szCs w:val="22"/>
              </w:rPr>
              <w:t>Medical Waste (including nuclear)</w:t>
            </w:r>
          </w:p>
        </w:tc>
      </w:tr>
    </w:tbl>
    <w:p w14:paraId="69EC61A1" w14:textId="77777777" w:rsidR="00013C91" w:rsidRDefault="00013C91" w:rsidP="00013C91">
      <w:pPr>
        <w:rPr>
          <w:sz w:val="22"/>
        </w:rPr>
      </w:pPr>
    </w:p>
    <w:p w14:paraId="2C6A4D22" w14:textId="77777777" w:rsidR="00013C91" w:rsidRDefault="00013C91" w:rsidP="00C64F4E">
      <w:pPr>
        <w:pStyle w:val="Heading2"/>
      </w:pPr>
      <w:bookmarkStart w:id="74" w:name="_Toc72504414"/>
      <w:r>
        <w:t>Risk factors</w:t>
      </w:r>
      <w:bookmarkEnd w:id="74"/>
    </w:p>
    <w:p w14:paraId="65C96002" w14:textId="77777777" w:rsidR="00013C91" w:rsidRDefault="00013C91" w:rsidP="00013C91">
      <w:pPr>
        <w:pStyle w:val="Default"/>
      </w:pPr>
    </w:p>
    <w:tbl>
      <w:tblPr>
        <w:tblW w:w="0" w:type="auto"/>
        <w:tblInd w:w="-108" w:type="dxa"/>
        <w:tblLayout w:type="fixed"/>
        <w:tblLook w:val="04A0" w:firstRow="1" w:lastRow="0" w:firstColumn="1" w:lastColumn="0" w:noHBand="0" w:noVBand="1"/>
      </w:tblPr>
      <w:tblGrid>
        <w:gridCol w:w="2706"/>
        <w:gridCol w:w="2706"/>
      </w:tblGrid>
      <w:tr w:rsidR="00013C91" w14:paraId="37A8EBB2" w14:textId="77777777" w:rsidTr="00013C91">
        <w:trPr>
          <w:trHeight w:val="110"/>
        </w:trPr>
        <w:tc>
          <w:tcPr>
            <w:tcW w:w="2706" w:type="dxa"/>
            <w:tcBorders>
              <w:top w:val="nil"/>
              <w:left w:val="nil"/>
              <w:bottom w:val="nil"/>
              <w:right w:val="nil"/>
            </w:tcBorders>
            <w:hideMark/>
          </w:tcPr>
          <w:p w14:paraId="79751B3E" w14:textId="78B84C0C" w:rsidR="00013C91" w:rsidRDefault="00013C91">
            <w:pPr>
              <w:pStyle w:val="Default"/>
              <w:spacing w:line="256" w:lineRule="auto"/>
              <w:rPr>
                <w:sz w:val="22"/>
                <w:szCs w:val="22"/>
              </w:rPr>
            </w:pPr>
            <w:r>
              <w:rPr>
                <w:b/>
                <w:bCs/>
                <w:sz w:val="22"/>
                <w:szCs w:val="22"/>
              </w:rPr>
              <w:t>Theme</w:t>
            </w:r>
          </w:p>
        </w:tc>
        <w:tc>
          <w:tcPr>
            <w:tcW w:w="2706" w:type="dxa"/>
            <w:tcBorders>
              <w:top w:val="nil"/>
              <w:left w:val="nil"/>
              <w:bottom w:val="nil"/>
              <w:right w:val="nil"/>
            </w:tcBorders>
            <w:hideMark/>
          </w:tcPr>
          <w:p w14:paraId="1CA316A8" w14:textId="77777777" w:rsidR="00013C91" w:rsidRDefault="00013C91">
            <w:pPr>
              <w:pStyle w:val="Default"/>
              <w:spacing w:line="256" w:lineRule="auto"/>
              <w:rPr>
                <w:sz w:val="22"/>
                <w:szCs w:val="22"/>
              </w:rPr>
            </w:pPr>
            <w:r>
              <w:rPr>
                <w:b/>
                <w:bCs/>
                <w:sz w:val="22"/>
                <w:szCs w:val="22"/>
              </w:rPr>
              <w:t>Risk factor</w:t>
            </w:r>
          </w:p>
        </w:tc>
      </w:tr>
      <w:tr w:rsidR="00013C91" w14:paraId="1BEC47D4" w14:textId="77777777" w:rsidTr="00013C91">
        <w:trPr>
          <w:trHeight w:val="110"/>
        </w:trPr>
        <w:tc>
          <w:tcPr>
            <w:tcW w:w="2706" w:type="dxa"/>
            <w:tcBorders>
              <w:top w:val="nil"/>
              <w:left w:val="nil"/>
              <w:bottom w:val="nil"/>
              <w:right w:val="nil"/>
            </w:tcBorders>
            <w:hideMark/>
          </w:tcPr>
          <w:p w14:paraId="6666DC23" w14:textId="77777777" w:rsidR="00013C91" w:rsidRDefault="00013C91">
            <w:pPr>
              <w:pStyle w:val="Default"/>
              <w:spacing w:line="256" w:lineRule="auto"/>
              <w:rPr>
                <w:sz w:val="22"/>
                <w:szCs w:val="22"/>
              </w:rPr>
            </w:pPr>
            <w:r>
              <w:rPr>
                <w:sz w:val="22"/>
                <w:szCs w:val="22"/>
              </w:rPr>
              <w:t>Environmental</w:t>
            </w:r>
          </w:p>
        </w:tc>
        <w:tc>
          <w:tcPr>
            <w:tcW w:w="2706" w:type="dxa"/>
            <w:tcBorders>
              <w:top w:val="nil"/>
              <w:left w:val="nil"/>
              <w:bottom w:val="nil"/>
              <w:right w:val="nil"/>
            </w:tcBorders>
            <w:hideMark/>
          </w:tcPr>
          <w:p w14:paraId="131807B4" w14:textId="77777777" w:rsidR="00013C91" w:rsidRDefault="00013C91">
            <w:pPr>
              <w:pStyle w:val="Default"/>
              <w:spacing w:line="256" w:lineRule="auto"/>
              <w:rPr>
                <w:sz w:val="22"/>
                <w:szCs w:val="22"/>
              </w:rPr>
            </w:pPr>
            <w:r>
              <w:rPr>
                <w:sz w:val="22"/>
                <w:szCs w:val="22"/>
              </w:rPr>
              <w:t>Air pollution</w:t>
            </w:r>
          </w:p>
        </w:tc>
      </w:tr>
      <w:tr w:rsidR="00013C91" w14:paraId="1FE87E21" w14:textId="77777777" w:rsidTr="00013C91">
        <w:trPr>
          <w:trHeight w:val="110"/>
        </w:trPr>
        <w:tc>
          <w:tcPr>
            <w:tcW w:w="2706" w:type="dxa"/>
            <w:tcBorders>
              <w:top w:val="nil"/>
              <w:left w:val="nil"/>
              <w:bottom w:val="nil"/>
              <w:right w:val="nil"/>
            </w:tcBorders>
            <w:hideMark/>
          </w:tcPr>
          <w:p w14:paraId="528C55C6" w14:textId="77777777" w:rsidR="00013C91" w:rsidRDefault="00013C91">
            <w:pPr>
              <w:pStyle w:val="Default"/>
              <w:spacing w:line="256" w:lineRule="auto"/>
              <w:rPr>
                <w:sz w:val="22"/>
                <w:szCs w:val="22"/>
              </w:rPr>
            </w:pPr>
            <w:r>
              <w:rPr>
                <w:sz w:val="22"/>
                <w:szCs w:val="22"/>
              </w:rPr>
              <w:t>Environmental</w:t>
            </w:r>
          </w:p>
        </w:tc>
        <w:tc>
          <w:tcPr>
            <w:tcW w:w="2706" w:type="dxa"/>
            <w:tcBorders>
              <w:top w:val="nil"/>
              <w:left w:val="nil"/>
              <w:bottom w:val="nil"/>
              <w:right w:val="nil"/>
            </w:tcBorders>
            <w:hideMark/>
          </w:tcPr>
          <w:p w14:paraId="6CC36AE3" w14:textId="77777777" w:rsidR="00013C91" w:rsidRDefault="00013C91">
            <w:pPr>
              <w:pStyle w:val="Default"/>
              <w:spacing w:line="256" w:lineRule="auto"/>
              <w:rPr>
                <w:sz w:val="22"/>
                <w:szCs w:val="22"/>
              </w:rPr>
            </w:pPr>
            <w:r>
              <w:rPr>
                <w:sz w:val="22"/>
                <w:szCs w:val="22"/>
              </w:rPr>
              <w:t>Available offsets</w:t>
            </w:r>
          </w:p>
        </w:tc>
      </w:tr>
      <w:tr w:rsidR="00013C91" w14:paraId="182927B8" w14:textId="77777777" w:rsidTr="00013C91">
        <w:trPr>
          <w:trHeight w:val="110"/>
        </w:trPr>
        <w:tc>
          <w:tcPr>
            <w:tcW w:w="2706" w:type="dxa"/>
            <w:tcBorders>
              <w:top w:val="nil"/>
              <w:left w:val="nil"/>
              <w:bottom w:val="nil"/>
              <w:right w:val="nil"/>
            </w:tcBorders>
            <w:hideMark/>
          </w:tcPr>
          <w:p w14:paraId="353B6E9D" w14:textId="77777777" w:rsidR="00013C91" w:rsidRDefault="00013C91">
            <w:pPr>
              <w:pStyle w:val="Default"/>
              <w:spacing w:line="256" w:lineRule="auto"/>
              <w:rPr>
                <w:sz w:val="22"/>
                <w:szCs w:val="22"/>
              </w:rPr>
            </w:pPr>
            <w:r>
              <w:rPr>
                <w:sz w:val="22"/>
                <w:szCs w:val="22"/>
              </w:rPr>
              <w:t>Environmental</w:t>
            </w:r>
          </w:p>
        </w:tc>
        <w:tc>
          <w:tcPr>
            <w:tcW w:w="2706" w:type="dxa"/>
            <w:tcBorders>
              <w:top w:val="nil"/>
              <w:left w:val="nil"/>
              <w:bottom w:val="nil"/>
              <w:right w:val="nil"/>
            </w:tcBorders>
            <w:hideMark/>
          </w:tcPr>
          <w:p w14:paraId="440F4078" w14:textId="77777777" w:rsidR="00013C91" w:rsidRDefault="00013C91">
            <w:pPr>
              <w:pStyle w:val="Default"/>
              <w:spacing w:line="256" w:lineRule="auto"/>
              <w:rPr>
                <w:sz w:val="22"/>
                <w:szCs w:val="22"/>
              </w:rPr>
            </w:pPr>
            <w:r>
              <w:rPr>
                <w:sz w:val="22"/>
                <w:szCs w:val="22"/>
              </w:rPr>
              <w:t>Biodiversity loss</w:t>
            </w:r>
          </w:p>
        </w:tc>
      </w:tr>
      <w:tr w:rsidR="00013C91" w14:paraId="6AF2D051" w14:textId="77777777" w:rsidTr="00013C91">
        <w:trPr>
          <w:trHeight w:val="110"/>
        </w:trPr>
        <w:tc>
          <w:tcPr>
            <w:tcW w:w="2706" w:type="dxa"/>
            <w:tcBorders>
              <w:top w:val="nil"/>
              <w:left w:val="nil"/>
              <w:bottom w:val="nil"/>
              <w:right w:val="nil"/>
            </w:tcBorders>
            <w:hideMark/>
          </w:tcPr>
          <w:p w14:paraId="7DE57570" w14:textId="77777777" w:rsidR="00013C91" w:rsidRDefault="00013C91">
            <w:pPr>
              <w:pStyle w:val="Default"/>
              <w:spacing w:line="256" w:lineRule="auto"/>
              <w:rPr>
                <w:sz w:val="22"/>
                <w:szCs w:val="22"/>
              </w:rPr>
            </w:pPr>
            <w:r>
              <w:rPr>
                <w:sz w:val="22"/>
                <w:szCs w:val="22"/>
              </w:rPr>
              <w:t>Environmental</w:t>
            </w:r>
          </w:p>
        </w:tc>
        <w:tc>
          <w:tcPr>
            <w:tcW w:w="2706" w:type="dxa"/>
            <w:tcBorders>
              <w:top w:val="nil"/>
              <w:left w:val="nil"/>
              <w:bottom w:val="nil"/>
              <w:right w:val="nil"/>
            </w:tcBorders>
            <w:hideMark/>
          </w:tcPr>
          <w:p w14:paraId="66D74159" w14:textId="77777777" w:rsidR="00013C91" w:rsidRDefault="00013C91">
            <w:pPr>
              <w:pStyle w:val="Default"/>
              <w:spacing w:line="256" w:lineRule="auto"/>
              <w:rPr>
                <w:sz w:val="22"/>
                <w:szCs w:val="22"/>
              </w:rPr>
            </w:pPr>
            <w:r>
              <w:rPr>
                <w:sz w:val="22"/>
                <w:szCs w:val="22"/>
              </w:rPr>
              <w:t>CITES listed</w:t>
            </w:r>
          </w:p>
        </w:tc>
      </w:tr>
      <w:tr w:rsidR="00013C91" w14:paraId="52FEC5FA" w14:textId="77777777" w:rsidTr="00013C91">
        <w:trPr>
          <w:trHeight w:val="110"/>
        </w:trPr>
        <w:tc>
          <w:tcPr>
            <w:tcW w:w="2706" w:type="dxa"/>
            <w:tcBorders>
              <w:top w:val="nil"/>
              <w:left w:val="nil"/>
              <w:bottom w:val="nil"/>
              <w:right w:val="nil"/>
            </w:tcBorders>
            <w:hideMark/>
          </w:tcPr>
          <w:p w14:paraId="002E9D3B" w14:textId="77777777" w:rsidR="00013C91" w:rsidRDefault="00013C91">
            <w:pPr>
              <w:pStyle w:val="Default"/>
              <w:spacing w:line="256" w:lineRule="auto"/>
              <w:rPr>
                <w:sz w:val="22"/>
                <w:szCs w:val="22"/>
              </w:rPr>
            </w:pPr>
            <w:r>
              <w:rPr>
                <w:sz w:val="22"/>
                <w:szCs w:val="22"/>
              </w:rPr>
              <w:t>Environmental</w:t>
            </w:r>
          </w:p>
        </w:tc>
        <w:tc>
          <w:tcPr>
            <w:tcW w:w="2706" w:type="dxa"/>
            <w:tcBorders>
              <w:top w:val="nil"/>
              <w:left w:val="nil"/>
              <w:bottom w:val="nil"/>
              <w:right w:val="nil"/>
            </w:tcBorders>
            <w:hideMark/>
          </w:tcPr>
          <w:p w14:paraId="17527FD5" w14:textId="77777777" w:rsidR="00013C91" w:rsidRDefault="00013C91">
            <w:pPr>
              <w:pStyle w:val="Default"/>
              <w:spacing w:line="256" w:lineRule="auto"/>
              <w:rPr>
                <w:sz w:val="22"/>
                <w:szCs w:val="22"/>
              </w:rPr>
            </w:pPr>
            <w:r>
              <w:rPr>
                <w:sz w:val="22"/>
                <w:szCs w:val="22"/>
              </w:rPr>
              <w:t>Climate change</w:t>
            </w:r>
          </w:p>
        </w:tc>
      </w:tr>
      <w:tr w:rsidR="00013C91" w14:paraId="56BEE088" w14:textId="77777777" w:rsidTr="00013C91">
        <w:trPr>
          <w:trHeight w:val="110"/>
        </w:trPr>
        <w:tc>
          <w:tcPr>
            <w:tcW w:w="2706" w:type="dxa"/>
            <w:tcBorders>
              <w:top w:val="nil"/>
              <w:left w:val="nil"/>
              <w:bottom w:val="nil"/>
              <w:right w:val="nil"/>
            </w:tcBorders>
            <w:hideMark/>
          </w:tcPr>
          <w:p w14:paraId="12FDE77D" w14:textId="77777777" w:rsidR="00013C91" w:rsidRDefault="00013C91">
            <w:pPr>
              <w:pStyle w:val="Default"/>
              <w:spacing w:line="256" w:lineRule="auto"/>
              <w:rPr>
                <w:sz w:val="22"/>
                <w:szCs w:val="22"/>
              </w:rPr>
            </w:pPr>
            <w:r>
              <w:rPr>
                <w:sz w:val="22"/>
                <w:szCs w:val="22"/>
              </w:rPr>
              <w:t>Environmental</w:t>
            </w:r>
          </w:p>
        </w:tc>
        <w:tc>
          <w:tcPr>
            <w:tcW w:w="2706" w:type="dxa"/>
            <w:tcBorders>
              <w:top w:val="nil"/>
              <w:left w:val="nil"/>
              <w:bottom w:val="nil"/>
              <w:right w:val="nil"/>
            </w:tcBorders>
            <w:hideMark/>
          </w:tcPr>
          <w:p w14:paraId="31A66008" w14:textId="77777777" w:rsidR="00013C91" w:rsidRDefault="00013C91">
            <w:pPr>
              <w:pStyle w:val="Default"/>
              <w:spacing w:line="256" w:lineRule="auto"/>
              <w:rPr>
                <w:sz w:val="22"/>
                <w:szCs w:val="22"/>
              </w:rPr>
            </w:pPr>
            <w:r>
              <w:rPr>
                <w:sz w:val="22"/>
                <w:szCs w:val="22"/>
              </w:rPr>
              <w:t>Economic value</w:t>
            </w:r>
          </w:p>
        </w:tc>
      </w:tr>
      <w:tr w:rsidR="00013C91" w14:paraId="2CB3026E" w14:textId="77777777" w:rsidTr="00013C91">
        <w:trPr>
          <w:trHeight w:val="110"/>
        </w:trPr>
        <w:tc>
          <w:tcPr>
            <w:tcW w:w="2706" w:type="dxa"/>
            <w:tcBorders>
              <w:top w:val="nil"/>
              <w:left w:val="nil"/>
              <w:bottom w:val="nil"/>
              <w:right w:val="nil"/>
            </w:tcBorders>
            <w:hideMark/>
          </w:tcPr>
          <w:p w14:paraId="73B8A223" w14:textId="77777777" w:rsidR="00013C91" w:rsidRDefault="00013C91">
            <w:pPr>
              <w:pStyle w:val="Default"/>
              <w:spacing w:line="256" w:lineRule="auto"/>
              <w:rPr>
                <w:sz w:val="22"/>
                <w:szCs w:val="22"/>
              </w:rPr>
            </w:pPr>
            <w:r>
              <w:rPr>
                <w:sz w:val="22"/>
                <w:szCs w:val="22"/>
              </w:rPr>
              <w:t>Environmental</w:t>
            </w:r>
          </w:p>
        </w:tc>
        <w:tc>
          <w:tcPr>
            <w:tcW w:w="2706" w:type="dxa"/>
            <w:tcBorders>
              <w:top w:val="nil"/>
              <w:left w:val="nil"/>
              <w:bottom w:val="nil"/>
              <w:right w:val="nil"/>
            </w:tcBorders>
            <w:hideMark/>
          </w:tcPr>
          <w:p w14:paraId="0D3105AA" w14:textId="77777777" w:rsidR="00013C91" w:rsidRDefault="00013C91">
            <w:pPr>
              <w:pStyle w:val="Default"/>
              <w:spacing w:line="256" w:lineRule="auto"/>
              <w:rPr>
                <w:sz w:val="22"/>
                <w:szCs w:val="22"/>
              </w:rPr>
            </w:pPr>
            <w:r>
              <w:rPr>
                <w:sz w:val="22"/>
                <w:szCs w:val="22"/>
              </w:rPr>
              <w:t>Environmental risk/harm (irreperability)</w:t>
            </w:r>
          </w:p>
        </w:tc>
      </w:tr>
      <w:tr w:rsidR="00013C91" w14:paraId="20709E21" w14:textId="77777777" w:rsidTr="00013C91">
        <w:trPr>
          <w:trHeight w:val="110"/>
        </w:trPr>
        <w:tc>
          <w:tcPr>
            <w:tcW w:w="2706" w:type="dxa"/>
            <w:tcBorders>
              <w:top w:val="nil"/>
              <w:left w:val="nil"/>
              <w:bottom w:val="nil"/>
              <w:right w:val="nil"/>
            </w:tcBorders>
            <w:hideMark/>
          </w:tcPr>
          <w:p w14:paraId="6A710E39" w14:textId="77777777" w:rsidR="00013C91" w:rsidRDefault="00013C91">
            <w:pPr>
              <w:pStyle w:val="Default"/>
              <w:spacing w:line="256" w:lineRule="auto"/>
              <w:rPr>
                <w:sz w:val="22"/>
                <w:szCs w:val="22"/>
              </w:rPr>
            </w:pPr>
            <w:r>
              <w:rPr>
                <w:sz w:val="22"/>
                <w:szCs w:val="22"/>
              </w:rPr>
              <w:t>Environmental</w:t>
            </w:r>
          </w:p>
        </w:tc>
        <w:tc>
          <w:tcPr>
            <w:tcW w:w="2706" w:type="dxa"/>
            <w:tcBorders>
              <w:top w:val="nil"/>
              <w:left w:val="nil"/>
              <w:bottom w:val="nil"/>
              <w:right w:val="nil"/>
            </w:tcBorders>
            <w:hideMark/>
          </w:tcPr>
          <w:p w14:paraId="0E3B9FDD" w14:textId="77777777" w:rsidR="00013C91" w:rsidRDefault="00013C91">
            <w:pPr>
              <w:pStyle w:val="Default"/>
              <w:spacing w:line="256" w:lineRule="auto"/>
              <w:rPr>
                <w:sz w:val="22"/>
                <w:szCs w:val="22"/>
              </w:rPr>
            </w:pPr>
            <w:r>
              <w:rPr>
                <w:sz w:val="22"/>
                <w:szCs w:val="22"/>
              </w:rPr>
              <w:t>Food security</w:t>
            </w:r>
          </w:p>
        </w:tc>
      </w:tr>
      <w:tr w:rsidR="00013C91" w14:paraId="4994A4C1" w14:textId="77777777" w:rsidTr="00013C91">
        <w:trPr>
          <w:trHeight w:val="110"/>
        </w:trPr>
        <w:tc>
          <w:tcPr>
            <w:tcW w:w="2706" w:type="dxa"/>
            <w:tcBorders>
              <w:top w:val="nil"/>
              <w:left w:val="nil"/>
              <w:bottom w:val="nil"/>
              <w:right w:val="nil"/>
            </w:tcBorders>
            <w:hideMark/>
          </w:tcPr>
          <w:p w14:paraId="1B6F1E59" w14:textId="77777777" w:rsidR="00013C91" w:rsidRDefault="00013C91">
            <w:pPr>
              <w:pStyle w:val="Default"/>
              <w:spacing w:line="256" w:lineRule="auto"/>
              <w:rPr>
                <w:sz w:val="22"/>
                <w:szCs w:val="22"/>
              </w:rPr>
            </w:pPr>
            <w:r>
              <w:rPr>
                <w:sz w:val="22"/>
                <w:szCs w:val="22"/>
              </w:rPr>
              <w:t>Environmental</w:t>
            </w:r>
          </w:p>
        </w:tc>
        <w:tc>
          <w:tcPr>
            <w:tcW w:w="2706" w:type="dxa"/>
            <w:tcBorders>
              <w:top w:val="nil"/>
              <w:left w:val="nil"/>
              <w:bottom w:val="nil"/>
              <w:right w:val="nil"/>
            </w:tcBorders>
            <w:hideMark/>
          </w:tcPr>
          <w:p w14:paraId="10EC0551" w14:textId="77777777" w:rsidR="00013C91" w:rsidRDefault="00013C91">
            <w:pPr>
              <w:pStyle w:val="Default"/>
              <w:spacing w:line="256" w:lineRule="auto"/>
              <w:rPr>
                <w:sz w:val="22"/>
                <w:szCs w:val="22"/>
              </w:rPr>
            </w:pPr>
            <w:r>
              <w:rPr>
                <w:sz w:val="22"/>
                <w:szCs w:val="22"/>
              </w:rPr>
              <w:t>Geographic size / Disturbance area</w:t>
            </w:r>
          </w:p>
        </w:tc>
      </w:tr>
      <w:tr w:rsidR="00013C91" w14:paraId="1620D299" w14:textId="77777777" w:rsidTr="00013C91">
        <w:trPr>
          <w:trHeight w:val="110"/>
        </w:trPr>
        <w:tc>
          <w:tcPr>
            <w:tcW w:w="2706" w:type="dxa"/>
            <w:tcBorders>
              <w:top w:val="nil"/>
              <w:left w:val="nil"/>
              <w:bottom w:val="nil"/>
              <w:right w:val="nil"/>
            </w:tcBorders>
            <w:hideMark/>
          </w:tcPr>
          <w:p w14:paraId="66816005" w14:textId="77777777" w:rsidR="00013C91" w:rsidRDefault="00013C91">
            <w:pPr>
              <w:pStyle w:val="Default"/>
              <w:spacing w:line="256" w:lineRule="auto"/>
              <w:rPr>
                <w:sz w:val="22"/>
                <w:szCs w:val="22"/>
              </w:rPr>
            </w:pPr>
            <w:r>
              <w:rPr>
                <w:sz w:val="22"/>
                <w:szCs w:val="22"/>
              </w:rPr>
              <w:t>Environmental</w:t>
            </w:r>
          </w:p>
        </w:tc>
        <w:tc>
          <w:tcPr>
            <w:tcW w:w="2706" w:type="dxa"/>
            <w:tcBorders>
              <w:top w:val="nil"/>
              <w:left w:val="nil"/>
              <w:bottom w:val="nil"/>
              <w:right w:val="nil"/>
            </w:tcBorders>
            <w:hideMark/>
          </w:tcPr>
          <w:p w14:paraId="0C4D8CD7" w14:textId="77777777" w:rsidR="00013C91" w:rsidRDefault="00013C91">
            <w:pPr>
              <w:pStyle w:val="Default"/>
              <w:spacing w:line="256" w:lineRule="auto"/>
              <w:rPr>
                <w:sz w:val="22"/>
                <w:szCs w:val="22"/>
              </w:rPr>
            </w:pPr>
            <w:r>
              <w:rPr>
                <w:sz w:val="22"/>
                <w:szCs w:val="22"/>
              </w:rPr>
              <w:t>Groundwater</w:t>
            </w:r>
          </w:p>
        </w:tc>
      </w:tr>
      <w:tr w:rsidR="00013C91" w14:paraId="415E9751" w14:textId="77777777" w:rsidTr="00013C91">
        <w:trPr>
          <w:trHeight w:val="110"/>
        </w:trPr>
        <w:tc>
          <w:tcPr>
            <w:tcW w:w="2706" w:type="dxa"/>
            <w:tcBorders>
              <w:top w:val="nil"/>
              <w:left w:val="nil"/>
              <w:bottom w:val="nil"/>
              <w:right w:val="nil"/>
            </w:tcBorders>
            <w:hideMark/>
          </w:tcPr>
          <w:p w14:paraId="043BFDCB" w14:textId="77777777" w:rsidR="00013C91" w:rsidRDefault="00013C91">
            <w:pPr>
              <w:pStyle w:val="Default"/>
              <w:spacing w:line="256" w:lineRule="auto"/>
              <w:rPr>
                <w:sz w:val="22"/>
                <w:szCs w:val="22"/>
              </w:rPr>
            </w:pPr>
            <w:r>
              <w:rPr>
                <w:sz w:val="22"/>
                <w:szCs w:val="22"/>
              </w:rPr>
              <w:t>Environmental</w:t>
            </w:r>
          </w:p>
        </w:tc>
        <w:tc>
          <w:tcPr>
            <w:tcW w:w="2706" w:type="dxa"/>
            <w:tcBorders>
              <w:top w:val="nil"/>
              <w:left w:val="nil"/>
              <w:bottom w:val="nil"/>
              <w:right w:val="nil"/>
            </w:tcBorders>
            <w:hideMark/>
          </w:tcPr>
          <w:p w14:paraId="0C840FCB" w14:textId="77777777" w:rsidR="00013C91" w:rsidRDefault="00013C91">
            <w:pPr>
              <w:pStyle w:val="Default"/>
              <w:spacing w:line="256" w:lineRule="auto"/>
              <w:rPr>
                <w:sz w:val="22"/>
                <w:szCs w:val="22"/>
              </w:rPr>
            </w:pPr>
            <w:r>
              <w:rPr>
                <w:sz w:val="22"/>
                <w:szCs w:val="22"/>
              </w:rPr>
              <w:t>Human health risk/harm (loss of life)</w:t>
            </w:r>
          </w:p>
        </w:tc>
      </w:tr>
      <w:tr w:rsidR="00013C91" w14:paraId="1082EC81" w14:textId="77777777" w:rsidTr="00013C91">
        <w:trPr>
          <w:trHeight w:val="110"/>
        </w:trPr>
        <w:tc>
          <w:tcPr>
            <w:tcW w:w="2706" w:type="dxa"/>
            <w:tcBorders>
              <w:top w:val="nil"/>
              <w:left w:val="nil"/>
              <w:bottom w:val="nil"/>
              <w:right w:val="nil"/>
            </w:tcBorders>
            <w:hideMark/>
          </w:tcPr>
          <w:p w14:paraId="64DFDD95" w14:textId="77777777" w:rsidR="00013C91" w:rsidRDefault="00013C91">
            <w:pPr>
              <w:pStyle w:val="Default"/>
              <w:spacing w:line="256" w:lineRule="auto"/>
              <w:rPr>
                <w:sz w:val="22"/>
                <w:szCs w:val="22"/>
              </w:rPr>
            </w:pPr>
            <w:r>
              <w:rPr>
                <w:sz w:val="22"/>
                <w:szCs w:val="22"/>
              </w:rPr>
              <w:t>Environmental</w:t>
            </w:r>
          </w:p>
        </w:tc>
        <w:tc>
          <w:tcPr>
            <w:tcW w:w="2706" w:type="dxa"/>
            <w:tcBorders>
              <w:top w:val="nil"/>
              <w:left w:val="nil"/>
              <w:bottom w:val="nil"/>
              <w:right w:val="nil"/>
            </w:tcBorders>
            <w:hideMark/>
          </w:tcPr>
          <w:p w14:paraId="7B449131" w14:textId="77777777" w:rsidR="00013C91" w:rsidRDefault="00013C91">
            <w:pPr>
              <w:pStyle w:val="Default"/>
              <w:spacing w:line="256" w:lineRule="auto"/>
              <w:rPr>
                <w:sz w:val="22"/>
                <w:szCs w:val="22"/>
              </w:rPr>
            </w:pPr>
            <w:r>
              <w:rPr>
                <w:sz w:val="22"/>
                <w:szCs w:val="22"/>
              </w:rPr>
              <w:t>Loss of heritage values</w:t>
            </w:r>
          </w:p>
        </w:tc>
      </w:tr>
      <w:tr w:rsidR="00013C91" w14:paraId="79FDAA50" w14:textId="77777777" w:rsidTr="00013C91">
        <w:trPr>
          <w:trHeight w:val="110"/>
        </w:trPr>
        <w:tc>
          <w:tcPr>
            <w:tcW w:w="2706" w:type="dxa"/>
            <w:tcBorders>
              <w:top w:val="nil"/>
              <w:left w:val="nil"/>
              <w:bottom w:val="nil"/>
              <w:right w:val="nil"/>
            </w:tcBorders>
            <w:hideMark/>
          </w:tcPr>
          <w:p w14:paraId="09B7D354" w14:textId="77777777" w:rsidR="00013C91" w:rsidRDefault="00013C91">
            <w:pPr>
              <w:pStyle w:val="Default"/>
              <w:spacing w:line="256" w:lineRule="auto"/>
              <w:rPr>
                <w:sz w:val="22"/>
                <w:szCs w:val="22"/>
              </w:rPr>
            </w:pPr>
            <w:r>
              <w:rPr>
                <w:sz w:val="22"/>
                <w:szCs w:val="22"/>
              </w:rPr>
              <w:t>Environmental</w:t>
            </w:r>
          </w:p>
        </w:tc>
        <w:tc>
          <w:tcPr>
            <w:tcW w:w="2706" w:type="dxa"/>
            <w:tcBorders>
              <w:top w:val="nil"/>
              <w:left w:val="nil"/>
              <w:bottom w:val="nil"/>
              <w:right w:val="nil"/>
            </w:tcBorders>
            <w:hideMark/>
          </w:tcPr>
          <w:p w14:paraId="6C32F569" w14:textId="77777777" w:rsidR="00013C91" w:rsidRDefault="00013C91">
            <w:pPr>
              <w:pStyle w:val="Default"/>
              <w:spacing w:line="256" w:lineRule="auto"/>
              <w:rPr>
                <w:sz w:val="22"/>
                <w:szCs w:val="22"/>
              </w:rPr>
            </w:pPr>
            <w:r>
              <w:rPr>
                <w:sz w:val="22"/>
                <w:szCs w:val="22"/>
              </w:rPr>
              <w:t>Migratory species</w:t>
            </w:r>
          </w:p>
        </w:tc>
      </w:tr>
      <w:tr w:rsidR="00013C91" w14:paraId="58FC2C99" w14:textId="77777777" w:rsidTr="00013C91">
        <w:trPr>
          <w:trHeight w:val="110"/>
        </w:trPr>
        <w:tc>
          <w:tcPr>
            <w:tcW w:w="2706" w:type="dxa"/>
            <w:tcBorders>
              <w:top w:val="nil"/>
              <w:left w:val="nil"/>
              <w:bottom w:val="nil"/>
              <w:right w:val="nil"/>
            </w:tcBorders>
            <w:hideMark/>
          </w:tcPr>
          <w:p w14:paraId="137BB1EE" w14:textId="77777777" w:rsidR="00013C91" w:rsidRDefault="00013C91">
            <w:pPr>
              <w:pStyle w:val="Default"/>
              <w:spacing w:line="256" w:lineRule="auto"/>
              <w:rPr>
                <w:sz w:val="22"/>
                <w:szCs w:val="22"/>
              </w:rPr>
            </w:pPr>
            <w:r>
              <w:rPr>
                <w:sz w:val="22"/>
                <w:szCs w:val="22"/>
              </w:rPr>
              <w:t>Environmental</w:t>
            </w:r>
          </w:p>
        </w:tc>
        <w:tc>
          <w:tcPr>
            <w:tcW w:w="2706" w:type="dxa"/>
            <w:tcBorders>
              <w:top w:val="nil"/>
              <w:left w:val="nil"/>
              <w:bottom w:val="nil"/>
              <w:right w:val="nil"/>
            </w:tcBorders>
            <w:hideMark/>
          </w:tcPr>
          <w:p w14:paraId="0B65BC79" w14:textId="77777777" w:rsidR="00013C91" w:rsidRDefault="00013C91">
            <w:pPr>
              <w:pStyle w:val="Default"/>
              <w:spacing w:line="256" w:lineRule="auto"/>
              <w:rPr>
                <w:sz w:val="22"/>
                <w:szCs w:val="22"/>
              </w:rPr>
            </w:pPr>
            <w:r>
              <w:rPr>
                <w:sz w:val="22"/>
                <w:szCs w:val="22"/>
              </w:rPr>
              <w:t>Ozone depletion</w:t>
            </w:r>
          </w:p>
        </w:tc>
      </w:tr>
      <w:tr w:rsidR="00013C91" w14:paraId="3B2048FB" w14:textId="77777777" w:rsidTr="00013C91">
        <w:trPr>
          <w:trHeight w:val="110"/>
        </w:trPr>
        <w:tc>
          <w:tcPr>
            <w:tcW w:w="2706" w:type="dxa"/>
            <w:tcBorders>
              <w:top w:val="nil"/>
              <w:left w:val="nil"/>
              <w:bottom w:val="nil"/>
              <w:right w:val="nil"/>
            </w:tcBorders>
            <w:hideMark/>
          </w:tcPr>
          <w:p w14:paraId="5D47BDBA" w14:textId="77777777" w:rsidR="00013C91" w:rsidRDefault="00013C91">
            <w:pPr>
              <w:pStyle w:val="Default"/>
              <w:spacing w:line="256" w:lineRule="auto"/>
              <w:rPr>
                <w:sz w:val="22"/>
                <w:szCs w:val="22"/>
              </w:rPr>
            </w:pPr>
            <w:r>
              <w:rPr>
                <w:sz w:val="22"/>
                <w:szCs w:val="22"/>
              </w:rPr>
              <w:t>Environmental</w:t>
            </w:r>
          </w:p>
        </w:tc>
        <w:tc>
          <w:tcPr>
            <w:tcW w:w="2706" w:type="dxa"/>
            <w:tcBorders>
              <w:top w:val="nil"/>
              <w:left w:val="nil"/>
              <w:bottom w:val="nil"/>
              <w:right w:val="nil"/>
            </w:tcBorders>
            <w:hideMark/>
          </w:tcPr>
          <w:p w14:paraId="244661BD" w14:textId="77777777" w:rsidR="00013C91" w:rsidRDefault="00013C91">
            <w:pPr>
              <w:pStyle w:val="Default"/>
              <w:spacing w:line="256" w:lineRule="auto"/>
              <w:rPr>
                <w:sz w:val="22"/>
                <w:szCs w:val="22"/>
              </w:rPr>
            </w:pPr>
            <w:r>
              <w:rPr>
                <w:sz w:val="22"/>
                <w:szCs w:val="22"/>
              </w:rPr>
              <w:t>Proximity to Indigenous Cultural Heritage</w:t>
            </w:r>
          </w:p>
        </w:tc>
      </w:tr>
      <w:tr w:rsidR="00013C91" w14:paraId="2D5B531A" w14:textId="77777777" w:rsidTr="00013C91">
        <w:trPr>
          <w:trHeight w:val="110"/>
        </w:trPr>
        <w:tc>
          <w:tcPr>
            <w:tcW w:w="2706" w:type="dxa"/>
            <w:tcBorders>
              <w:top w:val="nil"/>
              <w:left w:val="nil"/>
              <w:bottom w:val="nil"/>
              <w:right w:val="nil"/>
            </w:tcBorders>
            <w:hideMark/>
          </w:tcPr>
          <w:p w14:paraId="609C9D4C" w14:textId="77777777" w:rsidR="00013C91" w:rsidRDefault="00013C91">
            <w:pPr>
              <w:pStyle w:val="Default"/>
              <w:spacing w:line="256" w:lineRule="auto"/>
              <w:rPr>
                <w:sz w:val="22"/>
                <w:szCs w:val="22"/>
              </w:rPr>
            </w:pPr>
            <w:r>
              <w:rPr>
                <w:sz w:val="22"/>
                <w:szCs w:val="22"/>
              </w:rPr>
              <w:t>Environmental</w:t>
            </w:r>
          </w:p>
        </w:tc>
        <w:tc>
          <w:tcPr>
            <w:tcW w:w="2706" w:type="dxa"/>
            <w:tcBorders>
              <w:top w:val="nil"/>
              <w:left w:val="nil"/>
              <w:bottom w:val="nil"/>
              <w:right w:val="nil"/>
            </w:tcBorders>
            <w:hideMark/>
          </w:tcPr>
          <w:p w14:paraId="734B5DD3" w14:textId="77777777" w:rsidR="00013C91" w:rsidRDefault="00013C91">
            <w:pPr>
              <w:pStyle w:val="Default"/>
              <w:spacing w:line="256" w:lineRule="auto"/>
              <w:rPr>
                <w:sz w:val="22"/>
                <w:szCs w:val="22"/>
              </w:rPr>
            </w:pPr>
            <w:r>
              <w:rPr>
                <w:sz w:val="22"/>
                <w:szCs w:val="22"/>
              </w:rPr>
              <w:t>Proximity to People /populations</w:t>
            </w:r>
          </w:p>
        </w:tc>
      </w:tr>
      <w:tr w:rsidR="00013C91" w14:paraId="4A94667E" w14:textId="77777777" w:rsidTr="00013C91">
        <w:trPr>
          <w:trHeight w:val="110"/>
        </w:trPr>
        <w:tc>
          <w:tcPr>
            <w:tcW w:w="2706" w:type="dxa"/>
            <w:tcBorders>
              <w:top w:val="nil"/>
              <w:left w:val="nil"/>
              <w:bottom w:val="nil"/>
              <w:right w:val="nil"/>
            </w:tcBorders>
            <w:hideMark/>
          </w:tcPr>
          <w:p w14:paraId="238FD235" w14:textId="77777777" w:rsidR="00013C91" w:rsidRDefault="00013C91">
            <w:pPr>
              <w:pStyle w:val="Default"/>
              <w:spacing w:line="256" w:lineRule="auto"/>
              <w:rPr>
                <w:sz w:val="22"/>
                <w:szCs w:val="22"/>
              </w:rPr>
            </w:pPr>
            <w:r>
              <w:rPr>
                <w:sz w:val="22"/>
                <w:szCs w:val="22"/>
              </w:rPr>
              <w:lastRenderedPageBreak/>
              <w:t>Environmental</w:t>
            </w:r>
          </w:p>
        </w:tc>
        <w:tc>
          <w:tcPr>
            <w:tcW w:w="2706" w:type="dxa"/>
            <w:tcBorders>
              <w:top w:val="nil"/>
              <w:left w:val="nil"/>
              <w:bottom w:val="nil"/>
              <w:right w:val="nil"/>
            </w:tcBorders>
            <w:hideMark/>
          </w:tcPr>
          <w:p w14:paraId="5F7FF2D9" w14:textId="77777777" w:rsidR="00013C91" w:rsidRDefault="00013C91">
            <w:pPr>
              <w:pStyle w:val="Default"/>
              <w:spacing w:line="256" w:lineRule="auto"/>
              <w:rPr>
                <w:sz w:val="22"/>
                <w:szCs w:val="22"/>
              </w:rPr>
            </w:pPr>
            <w:r>
              <w:rPr>
                <w:sz w:val="22"/>
                <w:szCs w:val="22"/>
              </w:rPr>
              <w:t>Proximity to Ramsar wetlands</w:t>
            </w:r>
          </w:p>
        </w:tc>
      </w:tr>
      <w:tr w:rsidR="00013C91" w14:paraId="3A41B7A9" w14:textId="77777777" w:rsidTr="00013C91">
        <w:trPr>
          <w:trHeight w:val="110"/>
        </w:trPr>
        <w:tc>
          <w:tcPr>
            <w:tcW w:w="2706" w:type="dxa"/>
            <w:tcBorders>
              <w:top w:val="nil"/>
              <w:left w:val="nil"/>
              <w:bottom w:val="nil"/>
              <w:right w:val="nil"/>
            </w:tcBorders>
            <w:hideMark/>
          </w:tcPr>
          <w:p w14:paraId="3A2CCCAF" w14:textId="77777777" w:rsidR="00013C91" w:rsidRDefault="00013C91">
            <w:pPr>
              <w:pStyle w:val="Default"/>
              <w:spacing w:line="256" w:lineRule="auto"/>
              <w:rPr>
                <w:sz w:val="22"/>
                <w:szCs w:val="22"/>
              </w:rPr>
            </w:pPr>
            <w:r>
              <w:rPr>
                <w:sz w:val="22"/>
                <w:szCs w:val="22"/>
              </w:rPr>
              <w:t>Environmental</w:t>
            </w:r>
          </w:p>
        </w:tc>
        <w:tc>
          <w:tcPr>
            <w:tcW w:w="2706" w:type="dxa"/>
            <w:tcBorders>
              <w:top w:val="nil"/>
              <w:left w:val="nil"/>
              <w:bottom w:val="nil"/>
              <w:right w:val="nil"/>
            </w:tcBorders>
            <w:hideMark/>
          </w:tcPr>
          <w:p w14:paraId="63B53867" w14:textId="77777777" w:rsidR="00013C91" w:rsidRDefault="00013C91">
            <w:pPr>
              <w:pStyle w:val="Default"/>
              <w:spacing w:line="256" w:lineRule="auto"/>
              <w:rPr>
                <w:sz w:val="22"/>
                <w:szCs w:val="22"/>
              </w:rPr>
            </w:pPr>
            <w:r>
              <w:rPr>
                <w:sz w:val="22"/>
                <w:szCs w:val="22"/>
              </w:rPr>
              <w:t>Proximity to Threatened ecosystems</w:t>
            </w:r>
          </w:p>
        </w:tc>
      </w:tr>
      <w:tr w:rsidR="00013C91" w14:paraId="1AF89E85" w14:textId="77777777" w:rsidTr="00013C91">
        <w:trPr>
          <w:trHeight w:val="110"/>
        </w:trPr>
        <w:tc>
          <w:tcPr>
            <w:tcW w:w="2706" w:type="dxa"/>
            <w:tcBorders>
              <w:top w:val="nil"/>
              <w:left w:val="nil"/>
              <w:bottom w:val="nil"/>
              <w:right w:val="nil"/>
            </w:tcBorders>
            <w:hideMark/>
          </w:tcPr>
          <w:p w14:paraId="062FABFC" w14:textId="77777777" w:rsidR="00013C91" w:rsidRDefault="00013C91">
            <w:pPr>
              <w:pStyle w:val="Default"/>
              <w:spacing w:line="256" w:lineRule="auto"/>
              <w:rPr>
                <w:sz w:val="22"/>
                <w:szCs w:val="22"/>
              </w:rPr>
            </w:pPr>
            <w:r>
              <w:rPr>
                <w:sz w:val="22"/>
                <w:szCs w:val="22"/>
              </w:rPr>
              <w:t>Environmental</w:t>
            </w:r>
          </w:p>
        </w:tc>
        <w:tc>
          <w:tcPr>
            <w:tcW w:w="2706" w:type="dxa"/>
            <w:tcBorders>
              <w:top w:val="nil"/>
              <w:left w:val="nil"/>
              <w:bottom w:val="nil"/>
              <w:right w:val="nil"/>
            </w:tcBorders>
            <w:hideMark/>
          </w:tcPr>
          <w:p w14:paraId="6DE59100" w14:textId="77777777" w:rsidR="00013C91" w:rsidRDefault="00013C91">
            <w:pPr>
              <w:pStyle w:val="Default"/>
              <w:spacing w:line="256" w:lineRule="auto"/>
              <w:rPr>
                <w:sz w:val="22"/>
                <w:szCs w:val="22"/>
              </w:rPr>
            </w:pPr>
            <w:r>
              <w:rPr>
                <w:sz w:val="22"/>
                <w:szCs w:val="22"/>
              </w:rPr>
              <w:t>Proximity to Water sources</w:t>
            </w:r>
          </w:p>
        </w:tc>
      </w:tr>
      <w:tr w:rsidR="00013C91" w14:paraId="3E0E3FC4" w14:textId="77777777" w:rsidTr="00013C91">
        <w:trPr>
          <w:trHeight w:val="110"/>
        </w:trPr>
        <w:tc>
          <w:tcPr>
            <w:tcW w:w="2706" w:type="dxa"/>
            <w:tcBorders>
              <w:top w:val="nil"/>
              <w:left w:val="nil"/>
              <w:bottom w:val="nil"/>
              <w:right w:val="nil"/>
            </w:tcBorders>
            <w:hideMark/>
          </w:tcPr>
          <w:p w14:paraId="4EE60EFC" w14:textId="77777777" w:rsidR="00013C91" w:rsidRDefault="00013C91">
            <w:pPr>
              <w:pStyle w:val="Default"/>
              <w:spacing w:line="256" w:lineRule="auto"/>
              <w:rPr>
                <w:sz w:val="22"/>
                <w:szCs w:val="22"/>
              </w:rPr>
            </w:pPr>
            <w:r>
              <w:rPr>
                <w:sz w:val="22"/>
                <w:szCs w:val="22"/>
              </w:rPr>
              <w:t>Environmental</w:t>
            </w:r>
          </w:p>
        </w:tc>
        <w:tc>
          <w:tcPr>
            <w:tcW w:w="2706" w:type="dxa"/>
            <w:tcBorders>
              <w:top w:val="nil"/>
              <w:left w:val="nil"/>
              <w:bottom w:val="nil"/>
              <w:right w:val="nil"/>
            </w:tcBorders>
            <w:hideMark/>
          </w:tcPr>
          <w:p w14:paraId="6AD9BC00" w14:textId="77777777" w:rsidR="00013C91" w:rsidRDefault="00013C91">
            <w:pPr>
              <w:pStyle w:val="Default"/>
              <w:spacing w:line="256" w:lineRule="auto"/>
              <w:rPr>
                <w:sz w:val="22"/>
                <w:szCs w:val="22"/>
              </w:rPr>
            </w:pPr>
            <w:r>
              <w:rPr>
                <w:sz w:val="22"/>
                <w:szCs w:val="22"/>
              </w:rPr>
              <w:t>Size / Volume</w:t>
            </w:r>
          </w:p>
        </w:tc>
      </w:tr>
      <w:tr w:rsidR="00013C91" w14:paraId="41A3C0D9" w14:textId="77777777" w:rsidTr="00013C91">
        <w:trPr>
          <w:trHeight w:val="110"/>
        </w:trPr>
        <w:tc>
          <w:tcPr>
            <w:tcW w:w="2706" w:type="dxa"/>
            <w:tcBorders>
              <w:top w:val="nil"/>
              <w:left w:val="nil"/>
              <w:bottom w:val="nil"/>
              <w:right w:val="nil"/>
            </w:tcBorders>
            <w:hideMark/>
          </w:tcPr>
          <w:p w14:paraId="43B10E1B" w14:textId="77777777" w:rsidR="00013C91" w:rsidRDefault="00013C91">
            <w:pPr>
              <w:pStyle w:val="Default"/>
              <w:spacing w:line="256" w:lineRule="auto"/>
              <w:rPr>
                <w:sz w:val="22"/>
                <w:szCs w:val="22"/>
              </w:rPr>
            </w:pPr>
            <w:r>
              <w:rPr>
                <w:sz w:val="22"/>
                <w:szCs w:val="22"/>
              </w:rPr>
              <w:t>Environmental</w:t>
            </w:r>
          </w:p>
        </w:tc>
        <w:tc>
          <w:tcPr>
            <w:tcW w:w="2706" w:type="dxa"/>
            <w:tcBorders>
              <w:top w:val="nil"/>
              <w:left w:val="nil"/>
              <w:bottom w:val="nil"/>
              <w:right w:val="nil"/>
            </w:tcBorders>
            <w:hideMark/>
          </w:tcPr>
          <w:p w14:paraId="7A76FBB8" w14:textId="77777777" w:rsidR="00013C91" w:rsidRDefault="00013C91">
            <w:pPr>
              <w:pStyle w:val="Default"/>
              <w:spacing w:line="256" w:lineRule="auto"/>
              <w:rPr>
                <w:sz w:val="22"/>
                <w:szCs w:val="22"/>
              </w:rPr>
            </w:pPr>
            <w:r>
              <w:rPr>
                <w:sz w:val="22"/>
                <w:szCs w:val="22"/>
              </w:rPr>
              <w:t>Surface water</w:t>
            </w:r>
          </w:p>
        </w:tc>
      </w:tr>
    </w:tbl>
    <w:p w14:paraId="0CD7B6D3" w14:textId="77777777" w:rsidR="00013C91" w:rsidRPr="00F23319" w:rsidRDefault="00013C91" w:rsidP="003E5851">
      <w:pPr>
        <w:rPr>
          <w:lang w:val="en-US"/>
        </w:rPr>
      </w:pPr>
    </w:p>
    <w:sectPr w:rsidR="00013C91" w:rsidRPr="00F23319" w:rsidSect="00DF469A">
      <w:head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B6022" w14:textId="77777777" w:rsidR="004F7E71" w:rsidRDefault="004F7E71" w:rsidP="00D431ED">
      <w:pPr>
        <w:spacing w:after="0" w:line="240" w:lineRule="auto"/>
      </w:pPr>
      <w:r>
        <w:separator/>
      </w:r>
    </w:p>
  </w:endnote>
  <w:endnote w:type="continuationSeparator" w:id="0">
    <w:p w14:paraId="4146DA20" w14:textId="77777777" w:rsidR="004F7E71" w:rsidRDefault="004F7E71" w:rsidP="00D431ED">
      <w:pPr>
        <w:spacing w:after="0" w:line="240" w:lineRule="auto"/>
      </w:pPr>
      <w:r>
        <w:continuationSeparator/>
      </w:r>
    </w:p>
  </w:endnote>
  <w:endnote w:type="continuationNotice" w:id="1">
    <w:p w14:paraId="4437064D" w14:textId="77777777" w:rsidR="004F7E71" w:rsidRDefault="004F7E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461644"/>
      <w:docPartObj>
        <w:docPartGallery w:val="Page Numbers (Bottom of Page)"/>
        <w:docPartUnique/>
      </w:docPartObj>
    </w:sdtPr>
    <w:sdtEndPr>
      <w:rPr>
        <w:noProof/>
      </w:rPr>
    </w:sdtEndPr>
    <w:sdtContent>
      <w:p w14:paraId="4089DCF3" w14:textId="77777777" w:rsidR="009A43AC" w:rsidRDefault="009A43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2290E2" w14:textId="77777777" w:rsidR="009A43AC" w:rsidRDefault="009A4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12673" w14:textId="77777777" w:rsidR="004F7E71" w:rsidRDefault="004F7E71" w:rsidP="00D431ED">
      <w:pPr>
        <w:spacing w:after="0" w:line="240" w:lineRule="auto"/>
      </w:pPr>
      <w:r>
        <w:separator/>
      </w:r>
    </w:p>
  </w:footnote>
  <w:footnote w:type="continuationSeparator" w:id="0">
    <w:p w14:paraId="58DC6D29" w14:textId="77777777" w:rsidR="004F7E71" w:rsidRDefault="004F7E71" w:rsidP="00D431ED">
      <w:pPr>
        <w:spacing w:after="0" w:line="240" w:lineRule="auto"/>
      </w:pPr>
      <w:r>
        <w:continuationSeparator/>
      </w:r>
    </w:p>
  </w:footnote>
  <w:footnote w:type="continuationNotice" w:id="1">
    <w:p w14:paraId="1B9DA74F" w14:textId="77777777" w:rsidR="004F7E71" w:rsidRDefault="004F7E71">
      <w:pPr>
        <w:spacing w:after="0" w:line="240" w:lineRule="auto"/>
      </w:pPr>
    </w:p>
  </w:footnote>
  <w:footnote w:id="2">
    <w:p w14:paraId="0015B309" w14:textId="5425EBD0" w:rsidR="009A43AC" w:rsidRPr="00D431ED" w:rsidRDefault="009A43AC">
      <w:pPr>
        <w:pStyle w:val="FootnoteText"/>
        <w:rPr>
          <w:lang w:val="en-US"/>
        </w:rPr>
      </w:pPr>
      <w:r>
        <w:rPr>
          <w:rStyle w:val="FootnoteReference"/>
        </w:rPr>
        <w:footnoteRef/>
      </w:r>
      <w:r>
        <w:t xml:space="preserve"> </w:t>
      </w:r>
      <w:hyperlink r:id="rId1" w:history="1">
        <w:r w:rsidRPr="00DE2F4E">
          <w:rPr>
            <w:rStyle w:val="Hyperlink"/>
          </w:rPr>
          <w:t>https://www.legislation.gov.au/Details/C2021C00081</w:t>
        </w:r>
      </w:hyperlink>
      <w:r>
        <w:t xml:space="preserve"> </w:t>
      </w:r>
    </w:p>
  </w:footnote>
  <w:footnote w:id="3">
    <w:p w14:paraId="1A60D4E8" w14:textId="5DEC1B2C" w:rsidR="009A43AC" w:rsidRPr="006E03A2" w:rsidRDefault="009A43AC" w:rsidP="00002D28">
      <w:pPr>
        <w:pStyle w:val="FootnoteText"/>
        <w:rPr>
          <w:lang w:val="en-US"/>
        </w:rPr>
      </w:pPr>
      <w:r>
        <w:rPr>
          <w:rStyle w:val="FootnoteReference"/>
        </w:rPr>
        <w:footnoteRef/>
      </w:r>
      <w:r>
        <w:t xml:space="preserve"> </w:t>
      </w:r>
      <w:hyperlink r:id="rId2" w:history="1">
        <w:r w:rsidRPr="00DE2F4E">
          <w:rPr>
            <w:rStyle w:val="Hyperlink"/>
          </w:rPr>
          <w:t>https://www.anao.gov.au/work/performance-audit/referrals-assessments-and-approvals-controlled-actions-under-the-epbc-act</w:t>
        </w:r>
      </w:hyperlink>
      <w:r>
        <w:t xml:space="preserve"> </w:t>
      </w:r>
    </w:p>
  </w:footnote>
  <w:footnote w:id="4">
    <w:p w14:paraId="10053418" w14:textId="77777777" w:rsidR="009A43AC" w:rsidRPr="0049262F" w:rsidRDefault="009A43AC" w:rsidP="00CA5729">
      <w:pPr>
        <w:pStyle w:val="FootnoteText"/>
        <w:rPr>
          <w:lang w:val="en-US"/>
        </w:rPr>
      </w:pPr>
      <w:r>
        <w:rPr>
          <w:rStyle w:val="FootnoteReference"/>
        </w:rPr>
        <w:footnoteRef/>
      </w:r>
      <w:r>
        <w:t xml:space="preserve"> </w:t>
      </w:r>
      <w:hyperlink r:id="rId3" w:history="1">
        <w:r>
          <w:rPr>
            <w:rStyle w:val="Hyperlink"/>
          </w:rPr>
          <w:t>Independent Review of the EPBC Act (Samuel Review)</w:t>
        </w:r>
      </w:hyperlink>
      <w:r>
        <w:t xml:space="preserve"> </w:t>
      </w:r>
    </w:p>
  </w:footnote>
  <w:footnote w:id="5">
    <w:p w14:paraId="32AC3D88" w14:textId="77777777" w:rsidR="009A43AC" w:rsidRPr="00F320E3" w:rsidRDefault="009A43AC" w:rsidP="00CA5729">
      <w:pPr>
        <w:pStyle w:val="FootnoteText"/>
      </w:pPr>
      <w:r>
        <w:rPr>
          <w:rStyle w:val="FootnoteReference"/>
        </w:rPr>
        <w:footnoteRef/>
      </w:r>
      <w:r>
        <w:t xml:space="preserve"> </w:t>
      </w:r>
      <w:r w:rsidRPr="00D91032">
        <w:t>Auditor-General Report No.38 2002–03 </w:t>
      </w:r>
      <w:r w:rsidRPr="00D8212D">
        <w:rPr>
          <w:i/>
          <w:iCs/>
        </w:rPr>
        <w:t>Referrals, Assessments and Approvals under the Environment Protection and Biodiversity Conservation Act 1999</w:t>
      </w:r>
      <w:r w:rsidRPr="00D91032">
        <w:t>; Auditor-General Report No.31 2006–07 </w:t>
      </w:r>
      <w:r w:rsidRPr="00D8212D">
        <w:rPr>
          <w:i/>
          <w:iCs/>
        </w:rPr>
        <w:t>The Conservation and Protection of National Threatened Species and Ecological Communities</w:t>
      </w:r>
      <w:r w:rsidRPr="00D91032">
        <w:t>; Auditor-General Report No.43 2013–14 </w:t>
      </w:r>
      <w:r w:rsidRPr="00D8212D">
        <w:rPr>
          <w:i/>
          <w:iCs/>
        </w:rPr>
        <w:t>Managing Compliance with Environment Protection and Biodiversity Conservation Act</w:t>
      </w:r>
      <w:r w:rsidRPr="008111F3">
        <w:rPr>
          <w:rStyle w:val="Emphasis"/>
          <w:rFonts w:cstheme="minorHAnsi"/>
          <w:color w:val="333333"/>
          <w:shd w:val="clear" w:color="auto" w:fill="EEEFEF"/>
        </w:rPr>
        <w:t xml:space="preserve"> </w:t>
      </w:r>
      <w:r w:rsidRPr="00D8212D">
        <w:rPr>
          <w:i/>
          <w:iCs/>
        </w:rPr>
        <w:t>1999 Conditions of Approval</w:t>
      </w:r>
      <w:r w:rsidRPr="00F320E3">
        <w:t>; Auditor-General Report No.7 2015–16 </w:t>
      </w:r>
      <w:r w:rsidRPr="00D8212D">
        <w:rPr>
          <w:i/>
          <w:iCs/>
        </w:rPr>
        <w:t>Managing Compliance with the Wildlife Trade Provisions of the Environment Protection and Biodiversity Conservation Act 1999</w:t>
      </w:r>
      <w:r w:rsidRPr="00F320E3">
        <w:t>; Auditor-General Report No.31 2016–17 </w:t>
      </w:r>
      <w:r w:rsidRPr="00D8212D">
        <w:rPr>
          <w:i/>
          <w:iCs/>
        </w:rPr>
        <w:t>Monitoring compliance with Environment Protection and Biodiversity Conservation Act 1999 Conditions of Approval: Follow-on audit</w:t>
      </w:r>
      <w:r w:rsidRPr="00F320E3">
        <w:t>.</w:t>
      </w:r>
    </w:p>
  </w:footnote>
  <w:footnote w:id="6">
    <w:p w14:paraId="14C168D2" w14:textId="77777777" w:rsidR="009A43AC" w:rsidRPr="00B67A02" w:rsidRDefault="009A43AC" w:rsidP="00CA5729">
      <w:pPr>
        <w:pStyle w:val="FootnoteText"/>
        <w:rPr>
          <w:lang w:val="en-US"/>
        </w:rPr>
      </w:pPr>
      <w:r>
        <w:rPr>
          <w:rStyle w:val="FootnoteReference"/>
        </w:rPr>
        <w:footnoteRef/>
      </w:r>
      <w:r>
        <w:t xml:space="preserve"> </w:t>
      </w:r>
      <w:hyperlink r:id="rId4" w:history="1">
        <w:r>
          <w:rPr>
            <w:rStyle w:val="Hyperlink"/>
          </w:rPr>
          <w:t>Review of interactions between the EPBC Act and the agriculture sector (September 2018) (Craik Review)</w:t>
        </w:r>
      </w:hyperlink>
      <w:r>
        <w:t xml:space="preserve"> </w:t>
      </w:r>
    </w:p>
  </w:footnote>
  <w:footnote w:id="7">
    <w:p w14:paraId="5ADEEEAB" w14:textId="77777777" w:rsidR="009A43AC" w:rsidRPr="001A2F60" w:rsidRDefault="009A43AC" w:rsidP="00CA5729">
      <w:pPr>
        <w:pStyle w:val="FootnoteText"/>
        <w:rPr>
          <w:lang w:val="en-US"/>
        </w:rPr>
      </w:pPr>
      <w:r>
        <w:rPr>
          <w:rStyle w:val="FootnoteReference"/>
        </w:rPr>
        <w:footnoteRef/>
      </w:r>
      <w:r>
        <w:t xml:space="preserve"> </w:t>
      </w:r>
      <w:hyperlink r:id="rId5" w:history="1">
        <w:r>
          <w:rPr>
            <w:rStyle w:val="Hyperlink"/>
          </w:rPr>
          <w:t>Independent Review - Regulation of the export of native and exotic birds (December 2020) (KPMG Review)</w:t>
        </w:r>
      </w:hyperlink>
      <w:r>
        <w:t xml:space="preserve"> </w:t>
      </w:r>
    </w:p>
  </w:footnote>
  <w:footnote w:id="8">
    <w:p w14:paraId="357700AC" w14:textId="77777777" w:rsidR="009A43AC" w:rsidRDefault="009A43AC" w:rsidP="00CA5729">
      <w:pPr>
        <w:pStyle w:val="FootnoteText"/>
      </w:pPr>
      <w:r>
        <w:rPr>
          <w:rStyle w:val="FootnoteReference"/>
        </w:rPr>
        <w:footnoteRef/>
      </w:r>
      <w:r>
        <w:t xml:space="preserve"> </w:t>
      </w:r>
      <w:hyperlink r:id="rId6" w:history="1">
        <w:r w:rsidRPr="00F34562">
          <w:rPr>
            <w:rStyle w:val="Hyperlink"/>
          </w:rPr>
          <w:t>https://soe.environment.gov.au/</w:t>
        </w:r>
      </w:hyperlink>
      <w:r>
        <w:t xml:space="preserve"> </w:t>
      </w:r>
    </w:p>
  </w:footnote>
  <w:footnote w:id="9">
    <w:p w14:paraId="5552EB55" w14:textId="77777777" w:rsidR="00D76AD3" w:rsidRDefault="00D76AD3" w:rsidP="00D76AD3">
      <w:pPr>
        <w:pStyle w:val="FootnoteText"/>
      </w:pPr>
      <w:r w:rsidRPr="3BEDEA6D">
        <w:rPr>
          <w:rStyle w:val="FootnoteReference"/>
        </w:rPr>
        <w:footnoteRef/>
      </w:r>
      <w:r w:rsidRPr="3BEDEA6D">
        <w:rPr>
          <w:rStyle w:val="FootnoteReference"/>
        </w:rPr>
        <w:footnoteRef/>
      </w:r>
      <w:r>
        <w:t xml:space="preserve"> </w:t>
      </w:r>
      <w:hyperlink r:id="rId7">
        <w:r w:rsidRPr="3BEDEA6D">
          <w:rPr>
            <w:rStyle w:val="Hyperlink"/>
          </w:rPr>
          <w:t>https://ausgovenvironment.sharepoint.com/sites/AWE-intranet/Shared Documents/Forms/AllItems.aspx?sortField=Modified&amp;isAscending=false&amp;id=/sites/AWE-intranet/Shared Documents/Regulatory statement_Internal_Final.pdf&amp;parent=/sites/AWE-intranet/Shared Documents</w:t>
        </w:r>
      </w:hyperlink>
    </w:p>
  </w:footnote>
  <w:footnote w:id="10">
    <w:p w14:paraId="5F8EA25B" w14:textId="525490E4" w:rsidR="00A85FBE" w:rsidRDefault="00A85FBE">
      <w:pPr>
        <w:pStyle w:val="FootnoteText"/>
      </w:pPr>
      <w:r>
        <w:rPr>
          <w:rStyle w:val="FootnoteReference"/>
        </w:rPr>
        <w:footnoteRef/>
      </w:r>
      <w:r>
        <w:t xml:space="preserve"> </w:t>
      </w:r>
      <w:hyperlink r:id="rId8" w:history="1">
        <w:r>
          <w:rPr>
            <w:rStyle w:val="Hyperlink"/>
          </w:rPr>
          <w:t>Compliance Policy (nsw.gov.au)</w:t>
        </w:r>
      </w:hyperlink>
    </w:p>
  </w:footnote>
  <w:footnote w:id="11">
    <w:p w14:paraId="329E6993" w14:textId="77777777" w:rsidR="009A43AC" w:rsidRDefault="009A43AC" w:rsidP="50DF0DE9">
      <w:pPr>
        <w:pStyle w:val="FootnoteText"/>
      </w:pPr>
      <w:r w:rsidRPr="50DF0DE9">
        <w:rPr>
          <w:rStyle w:val="FootnoteReference"/>
        </w:rPr>
        <w:footnoteRef/>
      </w:r>
      <w:r>
        <w:t xml:space="preserve"> </w:t>
      </w:r>
      <w:hyperlink r:id="rId9">
        <w:r w:rsidRPr="50DF0DE9">
          <w:rPr>
            <w:rStyle w:val="Hyperlink"/>
          </w:rPr>
          <w:t>https://www.ag.gov.au/legal-system/administrative-law/regulatory-powers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BD45" w14:textId="4FE42B2D" w:rsidR="009A43AC" w:rsidRPr="009763A8" w:rsidRDefault="009A43AC" w:rsidP="009763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3E83" w14:textId="1BD199CE" w:rsidR="009A43AC" w:rsidRPr="006049BD" w:rsidRDefault="009A43AC" w:rsidP="006049BD">
    <w:pPr>
      <w:pStyle w:val="Header"/>
    </w:pPr>
  </w:p>
</w:hdr>
</file>

<file path=word/intelligence.xml><?xml version="1.0" encoding="utf-8"?>
<int:Intelligence xmlns:int="http://schemas.microsoft.com/office/intelligence/2019/intelligence">
  <int:IntelligenceSettings/>
  <int:Manifest>
    <int:WordHash hashCode="AXmYCf7mcC5a6G" id="oLSe6Knb"/>
    <int:WordHash hashCode="5XDRCdvPuC+WfK" id="fKSP2xJo"/>
    <int:WordHash hashCode="eq6ParIDJ904oT" id="ktjpgrrB"/>
    <int:WordHash hashCode="aG+z44WpgrTp0l" id="7MFWHby/"/>
    <int:WordHash hashCode="HEXtz+T4PyFSoL" id="gpDPVp7X"/>
    <int:WordHash hashCode="fLxZy7PCTpC5Ko" id="AoeSgGzE"/>
    <int:WordHash hashCode="doycEd9dSooA39" id="5icz9aHB"/>
    <int:WordHash hashCode="m/C6mGJeQTWOW1" id="7p7T5GyW"/>
    <int:WordHash hashCode="SfcVEbpC8n+N5p" id="3qzIGXEd"/>
    <int:WordHash hashCode="SKkB12slgSTZF+" id="BGaGdedZ"/>
    <int:WordHash hashCode="jQdQ6fOulHZiua" id="RDdwqc7X"/>
    <int:WordHash hashCode="+pOqN1ZKhZqaJe" id="gkPbiSXQ"/>
    <int:WordHash hashCode="d6vvkjI26POa0b" id="NCG8pebN"/>
    <int:WordHash hashCode="dQXqG2YD0zDsVn" id="OoZIgLYB"/>
    <int:WordHash hashCode="DfFG05gpKgeKun" id="jFJ7hQU2"/>
    <int:WordHash hashCode="sKtKPNNdnYCHtJ" id="FWeJpZyA"/>
    <int:WordHash hashCode="kByidkXaRxGvMx" id="75O7REm5"/>
    <int:WordHash hashCode="kv4UVae7TQCfC0" id="JKlnvzW9"/>
  </int:Manifest>
  <int:Observations>
    <int:Content id="oLSe6Knb">
      <int:Rejection type="LegacyProofing"/>
    </int:Content>
    <int:Content id="fKSP2xJo">
      <int:Rejection type="LegacyProofing"/>
    </int:Content>
    <int:Content id="ktjpgrrB">
      <int:Rejection type="AugLoop_Text_Critique"/>
    </int:Content>
    <int:Content id="7MFWHby/">
      <int:Rejection type="LegacyProofing"/>
    </int:Content>
    <int:Content id="gpDPVp7X">
      <int:Rejection type="LegacyProofing"/>
    </int:Content>
    <int:Content id="AoeSgGzE">
      <int:Rejection type="LegacyProofing"/>
    </int:Content>
    <int:Content id="5icz9aHB">
      <int:Rejection type="LegacyProofing"/>
    </int:Content>
    <int:Content id="7p7T5GyW">
      <int:Rejection type="LegacyProofing"/>
    </int:Content>
    <int:Content id="3qzIGXEd">
      <int:Rejection type="LegacyProofing"/>
    </int:Content>
    <int:Content id="BGaGdedZ">
      <int:Rejection type="LegacyProofing"/>
    </int:Content>
    <int:Content id="RDdwqc7X">
      <int:Rejection type="LegacyProofing"/>
    </int:Content>
    <int:Content id="gkPbiSXQ">
      <int:Rejection type="LegacyProofing"/>
    </int:Content>
    <int:Content id="NCG8pebN">
      <int:Rejection type="LegacyProofing"/>
    </int:Content>
    <int:Content id="OoZIgLYB">
      <int:Rejection type="LegacyProofing"/>
    </int:Content>
    <int:Content id="jFJ7hQU2">
      <int:Rejection type="LegacyProofing"/>
    </int:Content>
    <int:Content id="FWeJpZyA">
      <int:Rejection type="LegacyProofing"/>
    </int:Content>
    <int:Content id="75O7REm5">
      <int:Rejection type="LegacyProofing"/>
    </int:Content>
    <int:Content id="JKlnvzW9">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5DC8"/>
    <w:multiLevelType w:val="hybridMultilevel"/>
    <w:tmpl w:val="BFE66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CB616C"/>
    <w:multiLevelType w:val="hybridMultilevel"/>
    <w:tmpl w:val="78F25C50"/>
    <w:lvl w:ilvl="0" w:tplc="0C09000F">
      <w:start w:val="1"/>
      <w:numFmt w:val="decimal"/>
      <w:lvlText w:val="%1."/>
      <w:lvlJc w:val="left"/>
      <w:pPr>
        <w:ind w:left="644" w:hanging="360"/>
      </w:pPr>
    </w:lvl>
    <w:lvl w:ilvl="1" w:tplc="D28863A8">
      <w:start w:val="1"/>
      <w:numFmt w:val="lowerLetter"/>
      <w:lvlText w:val="%2."/>
      <w:lvlJc w:val="left"/>
      <w:pPr>
        <w:ind w:left="1222" w:hanging="360"/>
      </w:pPr>
      <w:rPr>
        <w:rFonts w:hint="default"/>
      </w:rPr>
    </w:lvl>
    <w:lvl w:ilvl="2" w:tplc="0C09001B">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 w15:restartNumberingAfterBreak="0">
    <w:nsid w:val="05F236D4"/>
    <w:multiLevelType w:val="hybridMultilevel"/>
    <w:tmpl w:val="EF3C50BC"/>
    <w:lvl w:ilvl="0" w:tplc="DB109E7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877A65"/>
    <w:multiLevelType w:val="hybridMultilevel"/>
    <w:tmpl w:val="6C16EE76"/>
    <w:lvl w:ilvl="0" w:tplc="0C09000F">
      <w:start w:val="1"/>
      <w:numFmt w:val="decimal"/>
      <w:lvlText w:val="%1."/>
      <w:lvlJc w:val="left"/>
      <w:pPr>
        <w:ind w:left="644" w:hanging="360"/>
      </w:pPr>
    </w:lvl>
    <w:lvl w:ilvl="1" w:tplc="0C090001">
      <w:start w:val="1"/>
      <w:numFmt w:val="bullet"/>
      <w:lvlText w:val=""/>
      <w:lvlJc w:val="left"/>
      <w:pPr>
        <w:ind w:left="1222" w:hanging="360"/>
      </w:pPr>
      <w:rPr>
        <w:rFonts w:ascii="Symbol" w:hAnsi="Symbol" w:hint="default"/>
      </w:rPr>
    </w:lvl>
    <w:lvl w:ilvl="2" w:tplc="0C09001B">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 w15:restartNumberingAfterBreak="0">
    <w:nsid w:val="1BDB557A"/>
    <w:multiLevelType w:val="hybridMultilevel"/>
    <w:tmpl w:val="590A2F4C"/>
    <w:lvl w:ilvl="0" w:tplc="DB109E7A">
      <w:start w:val="1"/>
      <w:numFmt w:val="bullet"/>
      <w:lvlText w:val=""/>
      <w:lvlJc w:val="left"/>
      <w:pPr>
        <w:ind w:left="720" w:hanging="360"/>
      </w:pPr>
      <w:rPr>
        <w:rFonts w:ascii="Symbol" w:hAnsi="Symbol" w:hint="default"/>
      </w:rPr>
    </w:lvl>
    <w:lvl w:ilvl="1" w:tplc="5ED0CF8E">
      <w:start w:val="1"/>
      <w:numFmt w:val="bullet"/>
      <w:lvlText w:val="o"/>
      <w:lvlJc w:val="left"/>
      <w:pPr>
        <w:ind w:left="1440" w:hanging="360"/>
      </w:pPr>
      <w:rPr>
        <w:rFonts w:ascii="Courier New" w:hAnsi="Courier New" w:hint="default"/>
      </w:rPr>
    </w:lvl>
    <w:lvl w:ilvl="2" w:tplc="0178A69A">
      <w:start w:val="1"/>
      <w:numFmt w:val="bullet"/>
      <w:lvlText w:val=""/>
      <w:lvlJc w:val="left"/>
      <w:pPr>
        <w:ind w:left="2160" w:hanging="360"/>
      </w:pPr>
      <w:rPr>
        <w:rFonts w:ascii="Wingdings" w:hAnsi="Wingdings" w:hint="default"/>
      </w:rPr>
    </w:lvl>
    <w:lvl w:ilvl="3" w:tplc="0DB065BA">
      <w:start w:val="1"/>
      <w:numFmt w:val="bullet"/>
      <w:lvlText w:val=""/>
      <w:lvlJc w:val="left"/>
      <w:pPr>
        <w:ind w:left="2880" w:hanging="360"/>
      </w:pPr>
      <w:rPr>
        <w:rFonts w:ascii="Symbol" w:hAnsi="Symbol" w:hint="default"/>
      </w:rPr>
    </w:lvl>
    <w:lvl w:ilvl="4" w:tplc="1BCE298A">
      <w:start w:val="1"/>
      <w:numFmt w:val="bullet"/>
      <w:lvlText w:val="o"/>
      <w:lvlJc w:val="left"/>
      <w:pPr>
        <w:ind w:left="3600" w:hanging="360"/>
      </w:pPr>
      <w:rPr>
        <w:rFonts w:ascii="Courier New" w:hAnsi="Courier New" w:hint="default"/>
      </w:rPr>
    </w:lvl>
    <w:lvl w:ilvl="5" w:tplc="160AC65C">
      <w:start w:val="1"/>
      <w:numFmt w:val="bullet"/>
      <w:lvlText w:val=""/>
      <w:lvlJc w:val="left"/>
      <w:pPr>
        <w:ind w:left="4320" w:hanging="360"/>
      </w:pPr>
      <w:rPr>
        <w:rFonts w:ascii="Wingdings" w:hAnsi="Wingdings" w:hint="default"/>
      </w:rPr>
    </w:lvl>
    <w:lvl w:ilvl="6" w:tplc="2B9424EE">
      <w:start w:val="1"/>
      <w:numFmt w:val="bullet"/>
      <w:lvlText w:val=""/>
      <w:lvlJc w:val="left"/>
      <w:pPr>
        <w:ind w:left="5040" w:hanging="360"/>
      </w:pPr>
      <w:rPr>
        <w:rFonts w:ascii="Symbol" w:hAnsi="Symbol" w:hint="default"/>
      </w:rPr>
    </w:lvl>
    <w:lvl w:ilvl="7" w:tplc="38E62AF0">
      <w:start w:val="1"/>
      <w:numFmt w:val="bullet"/>
      <w:lvlText w:val="o"/>
      <w:lvlJc w:val="left"/>
      <w:pPr>
        <w:ind w:left="5760" w:hanging="360"/>
      </w:pPr>
      <w:rPr>
        <w:rFonts w:ascii="Courier New" w:hAnsi="Courier New" w:hint="default"/>
      </w:rPr>
    </w:lvl>
    <w:lvl w:ilvl="8" w:tplc="B1E2BA94">
      <w:start w:val="1"/>
      <w:numFmt w:val="bullet"/>
      <w:lvlText w:val=""/>
      <w:lvlJc w:val="left"/>
      <w:pPr>
        <w:ind w:left="6480" w:hanging="360"/>
      </w:pPr>
      <w:rPr>
        <w:rFonts w:ascii="Wingdings" w:hAnsi="Wingdings" w:hint="default"/>
      </w:rPr>
    </w:lvl>
  </w:abstractNum>
  <w:abstractNum w:abstractNumId="5" w15:restartNumberingAfterBreak="0">
    <w:nsid w:val="22AF5BD8"/>
    <w:multiLevelType w:val="hybridMultilevel"/>
    <w:tmpl w:val="161A225C"/>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2CB83DA6"/>
    <w:multiLevelType w:val="hybridMultilevel"/>
    <w:tmpl w:val="97FE6BDE"/>
    <w:lvl w:ilvl="0" w:tplc="0C09000F">
      <w:start w:val="1"/>
      <w:numFmt w:val="decimal"/>
      <w:lvlText w:val="%1."/>
      <w:lvlJc w:val="left"/>
      <w:pPr>
        <w:ind w:left="644" w:hanging="360"/>
      </w:pPr>
    </w:lvl>
    <w:lvl w:ilvl="1" w:tplc="D28863A8">
      <w:start w:val="1"/>
      <w:numFmt w:val="lowerLetter"/>
      <w:lvlText w:val="%2."/>
      <w:lvlJc w:val="left"/>
      <w:pPr>
        <w:ind w:left="1222" w:hanging="360"/>
      </w:pPr>
      <w:rPr>
        <w:rFonts w:hint="default"/>
      </w:rPr>
    </w:lvl>
    <w:lvl w:ilvl="2" w:tplc="9EFCDA06">
      <w:start w:val="1"/>
      <w:numFmt w:val="bullet"/>
      <w:lvlText w:val="o"/>
      <w:lvlJc w:val="left"/>
      <w:pPr>
        <w:ind w:left="1942" w:hanging="180"/>
      </w:pPr>
      <w:rPr>
        <w:rFonts w:ascii="Courier New" w:hAnsi="Courier New" w:hint="default"/>
      </w:r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7" w15:restartNumberingAfterBreak="0">
    <w:nsid w:val="2E745FA0"/>
    <w:multiLevelType w:val="hybridMultilevel"/>
    <w:tmpl w:val="96E09A9C"/>
    <w:lvl w:ilvl="0" w:tplc="DC181FE4">
      <w:start w:val="1"/>
      <w:numFmt w:val="bullet"/>
      <w:lvlText w:val=""/>
      <w:lvlJc w:val="left"/>
      <w:pPr>
        <w:ind w:left="720" w:hanging="360"/>
      </w:pPr>
      <w:rPr>
        <w:rFonts w:ascii="Symbol" w:hAnsi="Symbol" w:hint="default"/>
      </w:rPr>
    </w:lvl>
    <w:lvl w:ilvl="1" w:tplc="EEA8378C">
      <w:start w:val="1"/>
      <w:numFmt w:val="bullet"/>
      <w:lvlText w:val="o"/>
      <w:lvlJc w:val="left"/>
      <w:pPr>
        <w:ind w:left="1440" w:hanging="360"/>
      </w:pPr>
      <w:rPr>
        <w:rFonts w:ascii="Courier New" w:hAnsi="Courier New" w:hint="default"/>
      </w:rPr>
    </w:lvl>
    <w:lvl w:ilvl="2" w:tplc="465486B4">
      <w:start w:val="1"/>
      <w:numFmt w:val="bullet"/>
      <w:lvlText w:val=""/>
      <w:lvlJc w:val="left"/>
      <w:pPr>
        <w:ind w:left="2160" w:hanging="360"/>
      </w:pPr>
      <w:rPr>
        <w:rFonts w:ascii="Wingdings" w:hAnsi="Wingdings" w:hint="default"/>
      </w:rPr>
    </w:lvl>
    <w:lvl w:ilvl="3" w:tplc="37062AE0">
      <w:start w:val="1"/>
      <w:numFmt w:val="bullet"/>
      <w:lvlText w:val=""/>
      <w:lvlJc w:val="left"/>
      <w:pPr>
        <w:ind w:left="2880" w:hanging="360"/>
      </w:pPr>
      <w:rPr>
        <w:rFonts w:ascii="Symbol" w:hAnsi="Symbol" w:hint="default"/>
      </w:rPr>
    </w:lvl>
    <w:lvl w:ilvl="4" w:tplc="310AC03A">
      <w:start w:val="1"/>
      <w:numFmt w:val="bullet"/>
      <w:lvlText w:val="o"/>
      <w:lvlJc w:val="left"/>
      <w:pPr>
        <w:ind w:left="3600" w:hanging="360"/>
      </w:pPr>
      <w:rPr>
        <w:rFonts w:ascii="Courier New" w:hAnsi="Courier New" w:hint="default"/>
      </w:rPr>
    </w:lvl>
    <w:lvl w:ilvl="5" w:tplc="E3B66B6A">
      <w:start w:val="1"/>
      <w:numFmt w:val="bullet"/>
      <w:lvlText w:val=""/>
      <w:lvlJc w:val="left"/>
      <w:pPr>
        <w:ind w:left="4320" w:hanging="360"/>
      </w:pPr>
      <w:rPr>
        <w:rFonts w:ascii="Wingdings" w:hAnsi="Wingdings" w:hint="default"/>
      </w:rPr>
    </w:lvl>
    <w:lvl w:ilvl="6" w:tplc="3E48CFE8">
      <w:start w:val="1"/>
      <w:numFmt w:val="bullet"/>
      <w:lvlText w:val=""/>
      <w:lvlJc w:val="left"/>
      <w:pPr>
        <w:ind w:left="5040" w:hanging="360"/>
      </w:pPr>
      <w:rPr>
        <w:rFonts w:ascii="Symbol" w:hAnsi="Symbol" w:hint="default"/>
      </w:rPr>
    </w:lvl>
    <w:lvl w:ilvl="7" w:tplc="81F4E70E">
      <w:start w:val="1"/>
      <w:numFmt w:val="bullet"/>
      <w:lvlText w:val="o"/>
      <w:lvlJc w:val="left"/>
      <w:pPr>
        <w:ind w:left="5760" w:hanging="360"/>
      </w:pPr>
      <w:rPr>
        <w:rFonts w:ascii="Courier New" w:hAnsi="Courier New" w:hint="default"/>
      </w:rPr>
    </w:lvl>
    <w:lvl w:ilvl="8" w:tplc="A95EEF78">
      <w:start w:val="1"/>
      <w:numFmt w:val="bullet"/>
      <w:lvlText w:val=""/>
      <w:lvlJc w:val="left"/>
      <w:pPr>
        <w:ind w:left="6480" w:hanging="360"/>
      </w:pPr>
      <w:rPr>
        <w:rFonts w:ascii="Wingdings" w:hAnsi="Wingdings" w:hint="default"/>
      </w:rPr>
    </w:lvl>
  </w:abstractNum>
  <w:abstractNum w:abstractNumId="8" w15:restartNumberingAfterBreak="0">
    <w:nsid w:val="2F906FE0"/>
    <w:multiLevelType w:val="hybridMultilevel"/>
    <w:tmpl w:val="68B08720"/>
    <w:lvl w:ilvl="0" w:tplc="3D14AC4A">
      <w:start w:val="1"/>
      <w:numFmt w:val="bullet"/>
      <w:lvlText w:val=""/>
      <w:lvlJc w:val="left"/>
      <w:pPr>
        <w:ind w:left="720" w:hanging="360"/>
      </w:pPr>
      <w:rPr>
        <w:rFonts w:ascii="Symbol" w:hAnsi="Symbol" w:hint="default"/>
      </w:rPr>
    </w:lvl>
    <w:lvl w:ilvl="1" w:tplc="065AFFDE">
      <w:start w:val="1"/>
      <w:numFmt w:val="bullet"/>
      <w:lvlText w:val="o"/>
      <w:lvlJc w:val="left"/>
      <w:pPr>
        <w:ind w:left="1440" w:hanging="360"/>
      </w:pPr>
      <w:rPr>
        <w:rFonts w:ascii="Courier New" w:hAnsi="Courier New" w:hint="default"/>
      </w:rPr>
    </w:lvl>
    <w:lvl w:ilvl="2" w:tplc="71CC4396">
      <w:start w:val="1"/>
      <w:numFmt w:val="bullet"/>
      <w:lvlText w:val=""/>
      <w:lvlJc w:val="left"/>
      <w:pPr>
        <w:ind w:left="2160" w:hanging="360"/>
      </w:pPr>
      <w:rPr>
        <w:rFonts w:ascii="Wingdings" w:hAnsi="Wingdings" w:hint="default"/>
      </w:rPr>
    </w:lvl>
    <w:lvl w:ilvl="3" w:tplc="34A892DE">
      <w:start w:val="1"/>
      <w:numFmt w:val="bullet"/>
      <w:lvlText w:val=""/>
      <w:lvlJc w:val="left"/>
      <w:pPr>
        <w:ind w:left="2880" w:hanging="360"/>
      </w:pPr>
      <w:rPr>
        <w:rFonts w:ascii="Symbol" w:hAnsi="Symbol" w:hint="default"/>
      </w:rPr>
    </w:lvl>
    <w:lvl w:ilvl="4" w:tplc="E41CBC50">
      <w:start w:val="1"/>
      <w:numFmt w:val="bullet"/>
      <w:lvlText w:val="o"/>
      <w:lvlJc w:val="left"/>
      <w:pPr>
        <w:ind w:left="3600" w:hanging="360"/>
      </w:pPr>
      <w:rPr>
        <w:rFonts w:ascii="Courier New" w:hAnsi="Courier New" w:hint="default"/>
      </w:rPr>
    </w:lvl>
    <w:lvl w:ilvl="5" w:tplc="C108FC76">
      <w:start w:val="1"/>
      <w:numFmt w:val="bullet"/>
      <w:lvlText w:val=""/>
      <w:lvlJc w:val="left"/>
      <w:pPr>
        <w:ind w:left="4320" w:hanging="360"/>
      </w:pPr>
      <w:rPr>
        <w:rFonts w:ascii="Wingdings" w:hAnsi="Wingdings" w:hint="default"/>
      </w:rPr>
    </w:lvl>
    <w:lvl w:ilvl="6" w:tplc="D71E4E80">
      <w:start w:val="1"/>
      <w:numFmt w:val="bullet"/>
      <w:lvlText w:val=""/>
      <w:lvlJc w:val="left"/>
      <w:pPr>
        <w:ind w:left="5040" w:hanging="360"/>
      </w:pPr>
      <w:rPr>
        <w:rFonts w:ascii="Symbol" w:hAnsi="Symbol" w:hint="default"/>
      </w:rPr>
    </w:lvl>
    <w:lvl w:ilvl="7" w:tplc="D7A68920">
      <w:start w:val="1"/>
      <w:numFmt w:val="bullet"/>
      <w:lvlText w:val="o"/>
      <w:lvlJc w:val="left"/>
      <w:pPr>
        <w:ind w:left="5760" w:hanging="360"/>
      </w:pPr>
      <w:rPr>
        <w:rFonts w:ascii="Courier New" w:hAnsi="Courier New" w:hint="default"/>
      </w:rPr>
    </w:lvl>
    <w:lvl w:ilvl="8" w:tplc="3148E954">
      <w:start w:val="1"/>
      <w:numFmt w:val="bullet"/>
      <w:lvlText w:val=""/>
      <w:lvlJc w:val="left"/>
      <w:pPr>
        <w:ind w:left="6480" w:hanging="360"/>
      </w:pPr>
      <w:rPr>
        <w:rFonts w:ascii="Wingdings" w:hAnsi="Wingdings" w:hint="default"/>
      </w:rPr>
    </w:lvl>
  </w:abstractNum>
  <w:abstractNum w:abstractNumId="9" w15:restartNumberingAfterBreak="0">
    <w:nsid w:val="3B020C37"/>
    <w:multiLevelType w:val="hybridMultilevel"/>
    <w:tmpl w:val="87E0250A"/>
    <w:lvl w:ilvl="0" w:tplc="0C09000F">
      <w:start w:val="1"/>
      <w:numFmt w:val="decimal"/>
      <w:lvlText w:val="%1."/>
      <w:lvlJc w:val="left"/>
      <w:pPr>
        <w:ind w:left="644" w:hanging="360"/>
      </w:pPr>
    </w:lvl>
    <w:lvl w:ilvl="1" w:tplc="D28863A8">
      <w:start w:val="1"/>
      <w:numFmt w:val="lowerLetter"/>
      <w:lvlText w:val="%2."/>
      <w:lvlJc w:val="left"/>
      <w:pPr>
        <w:ind w:left="1222" w:hanging="360"/>
      </w:pPr>
      <w:rPr>
        <w:rFonts w:hint="default"/>
      </w:rPr>
    </w:lvl>
    <w:lvl w:ilvl="2" w:tplc="9EFCDA06">
      <w:start w:val="1"/>
      <w:numFmt w:val="bullet"/>
      <w:lvlText w:val="o"/>
      <w:lvlJc w:val="left"/>
      <w:pPr>
        <w:ind w:left="1942" w:hanging="180"/>
      </w:pPr>
      <w:rPr>
        <w:rFonts w:ascii="Courier New" w:hAnsi="Courier New" w:hint="default"/>
      </w:r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0" w15:restartNumberingAfterBreak="0">
    <w:nsid w:val="3C1D6ED3"/>
    <w:multiLevelType w:val="hybridMultilevel"/>
    <w:tmpl w:val="B7D4B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385127"/>
    <w:multiLevelType w:val="hybridMultilevel"/>
    <w:tmpl w:val="FE1C0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B67D55"/>
    <w:multiLevelType w:val="hybridMultilevel"/>
    <w:tmpl w:val="132E3550"/>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FB77DC5"/>
    <w:multiLevelType w:val="hybridMultilevel"/>
    <w:tmpl w:val="71F4F6A8"/>
    <w:lvl w:ilvl="0" w:tplc="0C090001">
      <w:start w:val="1"/>
      <w:numFmt w:val="bullet"/>
      <w:lvlText w:val=""/>
      <w:lvlJc w:val="left"/>
      <w:pPr>
        <w:ind w:left="897" w:hanging="360"/>
      </w:pPr>
      <w:rPr>
        <w:rFonts w:ascii="Symbol" w:hAnsi="Symbol" w:hint="default"/>
      </w:rPr>
    </w:lvl>
    <w:lvl w:ilvl="1" w:tplc="9E8AAE5E" w:tentative="1">
      <w:start w:val="1"/>
      <w:numFmt w:val="lowerLetter"/>
      <w:lvlText w:val="%2."/>
      <w:lvlJc w:val="left"/>
      <w:pPr>
        <w:ind w:left="1617" w:hanging="360"/>
      </w:pPr>
    </w:lvl>
    <w:lvl w:ilvl="2" w:tplc="C8E4645A" w:tentative="1">
      <w:start w:val="1"/>
      <w:numFmt w:val="lowerRoman"/>
      <w:lvlText w:val="%3."/>
      <w:lvlJc w:val="right"/>
      <w:pPr>
        <w:ind w:left="2337" w:hanging="180"/>
      </w:pPr>
    </w:lvl>
    <w:lvl w:ilvl="3" w:tplc="521AFE36" w:tentative="1">
      <w:start w:val="1"/>
      <w:numFmt w:val="decimal"/>
      <w:lvlText w:val="%4."/>
      <w:lvlJc w:val="left"/>
      <w:pPr>
        <w:ind w:left="3057" w:hanging="360"/>
      </w:pPr>
    </w:lvl>
    <w:lvl w:ilvl="4" w:tplc="1EE45B40" w:tentative="1">
      <w:start w:val="1"/>
      <w:numFmt w:val="lowerLetter"/>
      <w:lvlText w:val="%5."/>
      <w:lvlJc w:val="left"/>
      <w:pPr>
        <w:ind w:left="3777" w:hanging="360"/>
      </w:pPr>
    </w:lvl>
    <w:lvl w:ilvl="5" w:tplc="0E3A311C" w:tentative="1">
      <w:start w:val="1"/>
      <w:numFmt w:val="lowerRoman"/>
      <w:lvlText w:val="%6."/>
      <w:lvlJc w:val="right"/>
      <w:pPr>
        <w:ind w:left="4497" w:hanging="180"/>
      </w:pPr>
    </w:lvl>
    <w:lvl w:ilvl="6" w:tplc="73D2C516" w:tentative="1">
      <w:start w:val="1"/>
      <w:numFmt w:val="decimal"/>
      <w:lvlText w:val="%7."/>
      <w:lvlJc w:val="left"/>
      <w:pPr>
        <w:ind w:left="5217" w:hanging="360"/>
      </w:pPr>
    </w:lvl>
    <w:lvl w:ilvl="7" w:tplc="7CB00A50" w:tentative="1">
      <w:start w:val="1"/>
      <w:numFmt w:val="lowerLetter"/>
      <w:lvlText w:val="%8."/>
      <w:lvlJc w:val="left"/>
      <w:pPr>
        <w:ind w:left="5937" w:hanging="360"/>
      </w:pPr>
    </w:lvl>
    <w:lvl w:ilvl="8" w:tplc="EF321A62" w:tentative="1">
      <w:start w:val="1"/>
      <w:numFmt w:val="lowerRoman"/>
      <w:lvlText w:val="%9."/>
      <w:lvlJc w:val="right"/>
      <w:pPr>
        <w:ind w:left="6657" w:hanging="180"/>
      </w:pPr>
    </w:lvl>
  </w:abstractNum>
  <w:abstractNum w:abstractNumId="14" w15:restartNumberingAfterBreak="0">
    <w:nsid w:val="44385DDF"/>
    <w:multiLevelType w:val="hybridMultilevel"/>
    <w:tmpl w:val="FCC24DEE"/>
    <w:lvl w:ilvl="0" w:tplc="DB109E7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464BC0"/>
    <w:multiLevelType w:val="hybridMultilevel"/>
    <w:tmpl w:val="85767B5C"/>
    <w:lvl w:ilvl="0" w:tplc="0AB6613C">
      <w:start w:val="1"/>
      <w:numFmt w:val="bullet"/>
      <w:lvlText w:val=""/>
      <w:lvlJc w:val="left"/>
      <w:pPr>
        <w:ind w:left="720" w:hanging="360"/>
      </w:pPr>
      <w:rPr>
        <w:rFonts w:ascii="Symbol" w:hAnsi="Symbol" w:hint="default"/>
      </w:rPr>
    </w:lvl>
    <w:lvl w:ilvl="1" w:tplc="C616E1E8">
      <w:start w:val="1"/>
      <w:numFmt w:val="bullet"/>
      <w:lvlText w:val="o"/>
      <w:lvlJc w:val="left"/>
      <w:pPr>
        <w:ind w:left="1440" w:hanging="360"/>
      </w:pPr>
      <w:rPr>
        <w:rFonts w:ascii="Courier New" w:hAnsi="Courier New" w:hint="default"/>
      </w:rPr>
    </w:lvl>
    <w:lvl w:ilvl="2" w:tplc="1B166010">
      <w:start w:val="1"/>
      <w:numFmt w:val="bullet"/>
      <w:lvlText w:val=""/>
      <w:lvlJc w:val="left"/>
      <w:pPr>
        <w:ind w:left="2160" w:hanging="360"/>
      </w:pPr>
      <w:rPr>
        <w:rFonts w:ascii="Wingdings" w:hAnsi="Wingdings" w:hint="default"/>
      </w:rPr>
    </w:lvl>
    <w:lvl w:ilvl="3" w:tplc="E5544924">
      <w:start w:val="1"/>
      <w:numFmt w:val="bullet"/>
      <w:lvlText w:val=""/>
      <w:lvlJc w:val="left"/>
      <w:pPr>
        <w:ind w:left="2880" w:hanging="360"/>
      </w:pPr>
      <w:rPr>
        <w:rFonts w:ascii="Symbol" w:hAnsi="Symbol" w:hint="default"/>
      </w:rPr>
    </w:lvl>
    <w:lvl w:ilvl="4" w:tplc="417A74F8">
      <w:start w:val="1"/>
      <w:numFmt w:val="bullet"/>
      <w:lvlText w:val="o"/>
      <w:lvlJc w:val="left"/>
      <w:pPr>
        <w:ind w:left="3600" w:hanging="360"/>
      </w:pPr>
      <w:rPr>
        <w:rFonts w:ascii="Courier New" w:hAnsi="Courier New" w:hint="default"/>
      </w:rPr>
    </w:lvl>
    <w:lvl w:ilvl="5" w:tplc="F014D4CC">
      <w:start w:val="1"/>
      <w:numFmt w:val="bullet"/>
      <w:lvlText w:val=""/>
      <w:lvlJc w:val="left"/>
      <w:pPr>
        <w:ind w:left="4320" w:hanging="360"/>
      </w:pPr>
      <w:rPr>
        <w:rFonts w:ascii="Wingdings" w:hAnsi="Wingdings" w:hint="default"/>
      </w:rPr>
    </w:lvl>
    <w:lvl w:ilvl="6" w:tplc="45F2A806">
      <w:start w:val="1"/>
      <w:numFmt w:val="bullet"/>
      <w:lvlText w:val=""/>
      <w:lvlJc w:val="left"/>
      <w:pPr>
        <w:ind w:left="5040" w:hanging="360"/>
      </w:pPr>
      <w:rPr>
        <w:rFonts w:ascii="Symbol" w:hAnsi="Symbol" w:hint="default"/>
      </w:rPr>
    </w:lvl>
    <w:lvl w:ilvl="7" w:tplc="7116F9AE">
      <w:start w:val="1"/>
      <w:numFmt w:val="bullet"/>
      <w:lvlText w:val="o"/>
      <w:lvlJc w:val="left"/>
      <w:pPr>
        <w:ind w:left="5760" w:hanging="360"/>
      </w:pPr>
      <w:rPr>
        <w:rFonts w:ascii="Courier New" w:hAnsi="Courier New" w:hint="default"/>
      </w:rPr>
    </w:lvl>
    <w:lvl w:ilvl="8" w:tplc="1AC43978">
      <w:start w:val="1"/>
      <w:numFmt w:val="bullet"/>
      <w:lvlText w:val=""/>
      <w:lvlJc w:val="left"/>
      <w:pPr>
        <w:ind w:left="6480" w:hanging="360"/>
      </w:pPr>
      <w:rPr>
        <w:rFonts w:ascii="Wingdings" w:hAnsi="Wingdings" w:hint="default"/>
      </w:rPr>
    </w:lvl>
  </w:abstractNum>
  <w:abstractNum w:abstractNumId="16" w15:restartNumberingAfterBreak="0">
    <w:nsid w:val="53430384"/>
    <w:multiLevelType w:val="hybridMultilevel"/>
    <w:tmpl w:val="7CE61690"/>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9C5483"/>
    <w:multiLevelType w:val="hybridMultilevel"/>
    <w:tmpl w:val="B72ED782"/>
    <w:lvl w:ilvl="0" w:tplc="0C090001">
      <w:start w:val="1"/>
      <w:numFmt w:val="bullet"/>
      <w:lvlText w:val=""/>
      <w:lvlJc w:val="left"/>
      <w:pPr>
        <w:ind w:left="1800" w:hanging="360"/>
      </w:pPr>
      <w:rPr>
        <w:rFonts w:ascii="Symbol" w:hAnsi="Symbol"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58810819"/>
    <w:multiLevelType w:val="hybridMultilevel"/>
    <w:tmpl w:val="C7A24460"/>
    <w:lvl w:ilvl="0" w:tplc="0C090001">
      <w:start w:val="1"/>
      <w:numFmt w:val="bullet"/>
      <w:lvlText w:val=""/>
      <w:lvlJc w:val="left"/>
      <w:pPr>
        <w:ind w:left="897" w:hanging="360"/>
      </w:pPr>
      <w:rPr>
        <w:rFonts w:ascii="Symbol" w:hAnsi="Symbol" w:hint="default"/>
      </w:rPr>
    </w:lvl>
    <w:lvl w:ilvl="1" w:tplc="9E8AAE5E" w:tentative="1">
      <w:start w:val="1"/>
      <w:numFmt w:val="lowerLetter"/>
      <w:lvlText w:val="%2."/>
      <w:lvlJc w:val="left"/>
      <w:pPr>
        <w:ind w:left="1617" w:hanging="360"/>
      </w:pPr>
    </w:lvl>
    <w:lvl w:ilvl="2" w:tplc="C8E4645A" w:tentative="1">
      <w:start w:val="1"/>
      <w:numFmt w:val="lowerRoman"/>
      <w:lvlText w:val="%3."/>
      <w:lvlJc w:val="right"/>
      <w:pPr>
        <w:ind w:left="2337" w:hanging="180"/>
      </w:pPr>
    </w:lvl>
    <w:lvl w:ilvl="3" w:tplc="521AFE36" w:tentative="1">
      <w:start w:val="1"/>
      <w:numFmt w:val="decimal"/>
      <w:lvlText w:val="%4."/>
      <w:lvlJc w:val="left"/>
      <w:pPr>
        <w:ind w:left="3057" w:hanging="360"/>
      </w:pPr>
    </w:lvl>
    <w:lvl w:ilvl="4" w:tplc="1EE45B40" w:tentative="1">
      <w:start w:val="1"/>
      <w:numFmt w:val="lowerLetter"/>
      <w:lvlText w:val="%5."/>
      <w:lvlJc w:val="left"/>
      <w:pPr>
        <w:ind w:left="3777" w:hanging="360"/>
      </w:pPr>
    </w:lvl>
    <w:lvl w:ilvl="5" w:tplc="0E3A311C" w:tentative="1">
      <w:start w:val="1"/>
      <w:numFmt w:val="lowerRoman"/>
      <w:lvlText w:val="%6."/>
      <w:lvlJc w:val="right"/>
      <w:pPr>
        <w:ind w:left="4497" w:hanging="180"/>
      </w:pPr>
    </w:lvl>
    <w:lvl w:ilvl="6" w:tplc="73D2C516" w:tentative="1">
      <w:start w:val="1"/>
      <w:numFmt w:val="decimal"/>
      <w:lvlText w:val="%7."/>
      <w:lvlJc w:val="left"/>
      <w:pPr>
        <w:ind w:left="5217" w:hanging="360"/>
      </w:pPr>
    </w:lvl>
    <w:lvl w:ilvl="7" w:tplc="7CB00A50" w:tentative="1">
      <w:start w:val="1"/>
      <w:numFmt w:val="lowerLetter"/>
      <w:lvlText w:val="%8."/>
      <w:lvlJc w:val="left"/>
      <w:pPr>
        <w:ind w:left="5937" w:hanging="360"/>
      </w:pPr>
    </w:lvl>
    <w:lvl w:ilvl="8" w:tplc="EF321A62" w:tentative="1">
      <w:start w:val="1"/>
      <w:numFmt w:val="lowerRoman"/>
      <w:lvlText w:val="%9."/>
      <w:lvlJc w:val="right"/>
      <w:pPr>
        <w:ind w:left="6657" w:hanging="180"/>
      </w:pPr>
    </w:lvl>
  </w:abstractNum>
  <w:abstractNum w:abstractNumId="19" w15:restartNumberingAfterBreak="0">
    <w:nsid w:val="5A6112D1"/>
    <w:multiLevelType w:val="hybridMultilevel"/>
    <w:tmpl w:val="6248C3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242476C"/>
    <w:multiLevelType w:val="hybridMultilevel"/>
    <w:tmpl w:val="FFFFFFFF"/>
    <w:lvl w:ilvl="0" w:tplc="71EAB2F6">
      <w:start w:val="1"/>
      <w:numFmt w:val="bullet"/>
      <w:lvlText w:val=""/>
      <w:lvlJc w:val="left"/>
      <w:pPr>
        <w:ind w:left="720" w:hanging="360"/>
      </w:pPr>
      <w:rPr>
        <w:rFonts w:ascii="Symbol" w:hAnsi="Symbol" w:hint="default"/>
      </w:rPr>
    </w:lvl>
    <w:lvl w:ilvl="1" w:tplc="3F1A4C38">
      <w:start w:val="1"/>
      <w:numFmt w:val="bullet"/>
      <w:lvlText w:val="o"/>
      <w:lvlJc w:val="left"/>
      <w:pPr>
        <w:ind w:left="1440" w:hanging="360"/>
      </w:pPr>
      <w:rPr>
        <w:rFonts w:ascii="Courier New" w:hAnsi="Courier New" w:hint="default"/>
      </w:rPr>
    </w:lvl>
    <w:lvl w:ilvl="2" w:tplc="909AEF86">
      <w:start w:val="1"/>
      <w:numFmt w:val="bullet"/>
      <w:lvlText w:val=""/>
      <w:lvlJc w:val="left"/>
      <w:pPr>
        <w:ind w:left="2160" w:hanging="360"/>
      </w:pPr>
      <w:rPr>
        <w:rFonts w:ascii="Wingdings" w:hAnsi="Wingdings" w:hint="default"/>
      </w:rPr>
    </w:lvl>
    <w:lvl w:ilvl="3" w:tplc="7A2663BC">
      <w:start w:val="1"/>
      <w:numFmt w:val="bullet"/>
      <w:lvlText w:val=""/>
      <w:lvlJc w:val="left"/>
      <w:pPr>
        <w:ind w:left="2880" w:hanging="360"/>
      </w:pPr>
      <w:rPr>
        <w:rFonts w:ascii="Symbol" w:hAnsi="Symbol" w:hint="default"/>
      </w:rPr>
    </w:lvl>
    <w:lvl w:ilvl="4" w:tplc="7E305836">
      <w:start w:val="1"/>
      <w:numFmt w:val="bullet"/>
      <w:lvlText w:val="o"/>
      <w:lvlJc w:val="left"/>
      <w:pPr>
        <w:ind w:left="3600" w:hanging="360"/>
      </w:pPr>
      <w:rPr>
        <w:rFonts w:ascii="Courier New" w:hAnsi="Courier New" w:hint="default"/>
      </w:rPr>
    </w:lvl>
    <w:lvl w:ilvl="5" w:tplc="AAAAE184">
      <w:start w:val="1"/>
      <w:numFmt w:val="bullet"/>
      <w:lvlText w:val=""/>
      <w:lvlJc w:val="left"/>
      <w:pPr>
        <w:ind w:left="4320" w:hanging="360"/>
      </w:pPr>
      <w:rPr>
        <w:rFonts w:ascii="Wingdings" w:hAnsi="Wingdings" w:hint="default"/>
      </w:rPr>
    </w:lvl>
    <w:lvl w:ilvl="6" w:tplc="38E8A746">
      <w:start w:val="1"/>
      <w:numFmt w:val="bullet"/>
      <w:lvlText w:val=""/>
      <w:lvlJc w:val="left"/>
      <w:pPr>
        <w:ind w:left="5040" w:hanging="360"/>
      </w:pPr>
      <w:rPr>
        <w:rFonts w:ascii="Symbol" w:hAnsi="Symbol" w:hint="default"/>
      </w:rPr>
    </w:lvl>
    <w:lvl w:ilvl="7" w:tplc="D31A283A">
      <w:start w:val="1"/>
      <w:numFmt w:val="bullet"/>
      <w:lvlText w:val="o"/>
      <w:lvlJc w:val="left"/>
      <w:pPr>
        <w:ind w:left="5760" w:hanging="360"/>
      </w:pPr>
      <w:rPr>
        <w:rFonts w:ascii="Courier New" w:hAnsi="Courier New" w:hint="default"/>
      </w:rPr>
    </w:lvl>
    <w:lvl w:ilvl="8" w:tplc="8BE42408">
      <w:start w:val="1"/>
      <w:numFmt w:val="bullet"/>
      <w:lvlText w:val=""/>
      <w:lvlJc w:val="left"/>
      <w:pPr>
        <w:ind w:left="6480" w:hanging="360"/>
      </w:pPr>
      <w:rPr>
        <w:rFonts w:ascii="Wingdings" w:hAnsi="Wingdings" w:hint="default"/>
      </w:rPr>
    </w:lvl>
  </w:abstractNum>
  <w:abstractNum w:abstractNumId="21" w15:restartNumberingAfterBreak="0">
    <w:nsid w:val="6C721DD9"/>
    <w:multiLevelType w:val="hybridMultilevel"/>
    <w:tmpl w:val="B2644CCC"/>
    <w:lvl w:ilvl="0" w:tplc="0C09000F">
      <w:start w:val="1"/>
      <w:numFmt w:val="decimal"/>
      <w:lvlText w:val="%1."/>
      <w:lvlJc w:val="left"/>
      <w:pPr>
        <w:ind w:left="644" w:hanging="360"/>
      </w:pPr>
    </w:lvl>
    <w:lvl w:ilvl="1" w:tplc="D28863A8">
      <w:start w:val="1"/>
      <w:numFmt w:val="lowerLetter"/>
      <w:lvlText w:val="%2."/>
      <w:lvlJc w:val="left"/>
      <w:pPr>
        <w:ind w:left="1222" w:hanging="360"/>
      </w:pPr>
      <w:rPr>
        <w:rFonts w:hint="default"/>
      </w:rPr>
    </w:lvl>
    <w:lvl w:ilvl="2" w:tplc="0C09001B">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2" w15:restartNumberingAfterBreak="0">
    <w:nsid w:val="6C914292"/>
    <w:multiLevelType w:val="hybridMultilevel"/>
    <w:tmpl w:val="5ACCA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8272CE"/>
    <w:multiLevelType w:val="hybridMultilevel"/>
    <w:tmpl w:val="34540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33178C"/>
    <w:multiLevelType w:val="hybridMultilevel"/>
    <w:tmpl w:val="44BE9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3C7B3E"/>
    <w:multiLevelType w:val="hybridMultilevel"/>
    <w:tmpl w:val="98509E18"/>
    <w:lvl w:ilvl="0" w:tplc="0C090001">
      <w:start w:val="1"/>
      <w:numFmt w:val="bullet"/>
      <w:lvlText w:val=""/>
      <w:lvlJc w:val="left"/>
      <w:pPr>
        <w:ind w:left="1222"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6B25205"/>
    <w:multiLevelType w:val="hybridMultilevel"/>
    <w:tmpl w:val="9ECEDD70"/>
    <w:lvl w:ilvl="0" w:tplc="39E43C46">
      <w:start w:val="1"/>
      <w:numFmt w:val="bullet"/>
      <w:lvlText w:val=""/>
      <w:lvlJc w:val="left"/>
      <w:pPr>
        <w:ind w:left="720" w:hanging="360"/>
      </w:pPr>
      <w:rPr>
        <w:rFonts w:ascii="Symbol" w:hAnsi="Symbol" w:hint="default"/>
      </w:rPr>
    </w:lvl>
    <w:lvl w:ilvl="1" w:tplc="9EFCDA06">
      <w:start w:val="1"/>
      <w:numFmt w:val="bullet"/>
      <w:lvlText w:val="o"/>
      <w:lvlJc w:val="left"/>
      <w:pPr>
        <w:ind w:left="1440" w:hanging="360"/>
      </w:pPr>
      <w:rPr>
        <w:rFonts w:ascii="Courier New" w:hAnsi="Courier New" w:hint="default"/>
      </w:rPr>
    </w:lvl>
    <w:lvl w:ilvl="2" w:tplc="9B34C458">
      <w:start w:val="1"/>
      <w:numFmt w:val="bullet"/>
      <w:lvlText w:val=""/>
      <w:lvlJc w:val="left"/>
      <w:pPr>
        <w:ind w:left="2160" w:hanging="360"/>
      </w:pPr>
      <w:rPr>
        <w:rFonts w:ascii="Wingdings" w:hAnsi="Wingdings" w:hint="default"/>
      </w:rPr>
    </w:lvl>
    <w:lvl w:ilvl="3" w:tplc="147E9DE6">
      <w:start w:val="1"/>
      <w:numFmt w:val="bullet"/>
      <w:lvlText w:val=""/>
      <w:lvlJc w:val="left"/>
      <w:pPr>
        <w:ind w:left="2880" w:hanging="360"/>
      </w:pPr>
      <w:rPr>
        <w:rFonts w:ascii="Symbol" w:hAnsi="Symbol" w:hint="default"/>
      </w:rPr>
    </w:lvl>
    <w:lvl w:ilvl="4" w:tplc="E8FA48E0">
      <w:start w:val="1"/>
      <w:numFmt w:val="bullet"/>
      <w:lvlText w:val="o"/>
      <w:lvlJc w:val="left"/>
      <w:pPr>
        <w:ind w:left="3600" w:hanging="360"/>
      </w:pPr>
      <w:rPr>
        <w:rFonts w:ascii="Courier New" w:hAnsi="Courier New" w:hint="default"/>
      </w:rPr>
    </w:lvl>
    <w:lvl w:ilvl="5" w:tplc="4C909DE8">
      <w:start w:val="1"/>
      <w:numFmt w:val="bullet"/>
      <w:lvlText w:val=""/>
      <w:lvlJc w:val="left"/>
      <w:pPr>
        <w:ind w:left="4320" w:hanging="360"/>
      </w:pPr>
      <w:rPr>
        <w:rFonts w:ascii="Wingdings" w:hAnsi="Wingdings" w:hint="default"/>
      </w:rPr>
    </w:lvl>
    <w:lvl w:ilvl="6" w:tplc="6D44683A">
      <w:start w:val="1"/>
      <w:numFmt w:val="bullet"/>
      <w:lvlText w:val=""/>
      <w:lvlJc w:val="left"/>
      <w:pPr>
        <w:ind w:left="5040" w:hanging="360"/>
      </w:pPr>
      <w:rPr>
        <w:rFonts w:ascii="Symbol" w:hAnsi="Symbol" w:hint="default"/>
      </w:rPr>
    </w:lvl>
    <w:lvl w:ilvl="7" w:tplc="F05205BA">
      <w:start w:val="1"/>
      <w:numFmt w:val="bullet"/>
      <w:lvlText w:val="o"/>
      <w:lvlJc w:val="left"/>
      <w:pPr>
        <w:ind w:left="5760" w:hanging="360"/>
      </w:pPr>
      <w:rPr>
        <w:rFonts w:ascii="Courier New" w:hAnsi="Courier New" w:hint="default"/>
      </w:rPr>
    </w:lvl>
    <w:lvl w:ilvl="8" w:tplc="020E4B42">
      <w:start w:val="1"/>
      <w:numFmt w:val="bullet"/>
      <w:lvlText w:val=""/>
      <w:lvlJc w:val="left"/>
      <w:pPr>
        <w:ind w:left="6480" w:hanging="360"/>
      </w:pPr>
      <w:rPr>
        <w:rFonts w:ascii="Wingdings" w:hAnsi="Wingdings" w:hint="default"/>
      </w:rPr>
    </w:lvl>
  </w:abstractNum>
  <w:abstractNum w:abstractNumId="27" w15:restartNumberingAfterBreak="0">
    <w:nsid w:val="78A63FC8"/>
    <w:multiLevelType w:val="hybridMultilevel"/>
    <w:tmpl w:val="04EAD9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9160EBD"/>
    <w:multiLevelType w:val="hybridMultilevel"/>
    <w:tmpl w:val="207CB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6A1F64"/>
    <w:multiLevelType w:val="hybridMultilevel"/>
    <w:tmpl w:val="B6FA4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26"/>
  </w:num>
  <w:num w:numId="4">
    <w:abstractNumId w:val="0"/>
  </w:num>
  <w:num w:numId="5">
    <w:abstractNumId w:val="15"/>
  </w:num>
  <w:num w:numId="6">
    <w:abstractNumId w:val="4"/>
  </w:num>
  <w:num w:numId="7">
    <w:abstractNumId w:val="7"/>
  </w:num>
  <w:num w:numId="8">
    <w:abstractNumId w:val="14"/>
  </w:num>
  <w:num w:numId="9">
    <w:abstractNumId w:val="2"/>
  </w:num>
  <w:num w:numId="10">
    <w:abstractNumId w:val="22"/>
  </w:num>
  <w:num w:numId="11">
    <w:abstractNumId w:val="29"/>
  </w:num>
  <w:num w:numId="12">
    <w:abstractNumId w:val="1"/>
  </w:num>
  <w:num w:numId="13">
    <w:abstractNumId w:val="8"/>
  </w:num>
  <w:num w:numId="14">
    <w:abstractNumId w:val="20"/>
  </w:num>
  <w:num w:numId="15">
    <w:abstractNumId w:val="27"/>
  </w:num>
  <w:num w:numId="16">
    <w:abstractNumId w:val="24"/>
  </w:num>
  <w:num w:numId="17">
    <w:abstractNumId w:val="23"/>
  </w:num>
  <w:num w:numId="18">
    <w:abstractNumId w:val="10"/>
  </w:num>
  <w:num w:numId="19">
    <w:abstractNumId w:val="28"/>
  </w:num>
  <w:num w:numId="20">
    <w:abstractNumId w:val="5"/>
  </w:num>
  <w:num w:numId="21">
    <w:abstractNumId w:val="3"/>
  </w:num>
  <w:num w:numId="22">
    <w:abstractNumId w:val="13"/>
  </w:num>
  <w:num w:numId="23">
    <w:abstractNumId w:val="17"/>
  </w:num>
  <w:num w:numId="24">
    <w:abstractNumId w:val="21"/>
  </w:num>
  <w:num w:numId="25">
    <w:abstractNumId w:val="12"/>
  </w:num>
  <w:num w:numId="26">
    <w:abstractNumId w:val="18"/>
  </w:num>
  <w:num w:numId="27">
    <w:abstractNumId w:val="25"/>
  </w:num>
  <w:num w:numId="28">
    <w:abstractNumId w:val="9"/>
  </w:num>
  <w:num w:numId="29">
    <w:abstractNumId w:val="6"/>
  </w:num>
  <w:num w:numId="30">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A88"/>
    <w:rsid w:val="0000026C"/>
    <w:rsid w:val="000007DF"/>
    <w:rsid w:val="00000CE2"/>
    <w:rsid w:val="00001392"/>
    <w:rsid w:val="0000151F"/>
    <w:rsid w:val="000019F8"/>
    <w:rsid w:val="00001DD1"/>
    <w:rsid w:val="00002810"/>
    <w:rsid w:val="00002D28"/>
    <w:rsid w:val="00002D3C"/>
    <w:rsid w:val="00002EC5"/>
    <w:rsid w:val="00003075"/>
    <w:rsid w:val="000035CC"/>
    <w:rsid w:val="00003AA8"/>
    <w:rsid w:val="0000450B"/>
    <w:rsid w:val="00004A0C"/>
    <w:rsid w:val="00005D3B"/>
    <w:rsid w:val="00005DD7"/>
    <w:rsid w:val="00006565"/>
    <w:rsid w:val="00006E02"/>
    <w:rsid w:val="00006E44"/>
    <w:rsid w:val="0000740A"/>
    <w:rsid w:val="00007434"/>
    <w:rsid w:val="00010003"/>
    <w:rsid w:val="00010437"/>
    <w:rsid w:val="00010955"/>
    <w:rsid w:val="00010F04"/>
    <w:rsid w:val="00011B96"/>
    <w:rsid w:val="000121EF"/>
    <w:rsid w:val="00012338"/>
    <w:rsid w:val="0001281F"/>
    <w:rsid w:val="00012ADE"/>
    <w:rsid w:val="00012DFE"/>
    <w:rsid w:val="00012F73"/>
    <w:rsid w:val="00013541"/>
    <w:rsid w:val="0001359B"/>
    <w:rsid w:val="00013C91"/>
    <w:rsid w:val="00013E4C"/>
    <w:rsid w:val="00014002"/>
    <w:rsid w:val="00014E01"/>
    <w:rsid w:val="00014FDD"/>
    <w:rsid w:val="000153CA"/>
    <w:rsid w:val="00015E77"/>
    <w:rsid w:val="0001615C"/>
    <w:rsid w:val="00016577"/>
    <w:rsid w:val="0001699B"/>
    <w:rsid w:val="00016CF5"/>
    <w:rsid w:val="00016FFC"/>
    <w:rsid w:val="00017368"/>
    <w:rsid w:val="000178D8"/>
    <w:rsid w:val="00020558"/>
    <w:rsid w:val="0002061A"/>
    <w:rsid w:val="00020647"/>
    <w:rsid w:val="00020F96"/>
    <w:rsid w:val="00021301"/>
    <w:rsid w:val="00021373"/>
    <w:rsid w:val="00021734"/>
    <w:rsid w:val="000218D1"/>
    <w:rsid w:val="000218E1"/>
    <w:rsid w:val="00021CB3"/>
    <w:rsid w:val="00021CF0"/>
    <w:rsid w:val="0002210C"/>
    <w:rsid w:val="00022747"/>
    <w:rsid w:val="00022847"/>
    <w:rsid w:val="000231AB"/>
    <w:rsid w:val="0002332E"/>
    <w:rsid w:val="00023455"/>
    <w:rsid w:val="0002400B"/>
    <w:rsid w:val="00024157"/>
    <w:rsid w:val="000241FD"/>
    <w:rsid w:val="000242DB"/>
    <w:rsid w:val="00025343"/>
    <w:rsid w:val="000253D9"/>
    <w:rsid w:val="000257DF"/>
    <w:rsid w:val="00025BF2"/>
    <w:rsid w:val="00025C5E"/>
    <w:rsid w:val="00025EF1"/>
    <w:rsid w:val="00026422"/>
    <w:rsid w:val="0002665C"/>
    <w:rsid w:val="0002696E"/>
    <w:rsid w:val="00026C36"/>
    <w:rsid w:val="00030093"/>
    <w:rsid w:val="00030451"/>
    <w:rsid w:val="00030469"/>
    <w:rsid w:val="00030E11"/>
    <w:rsid w:val="00031045"/>
    <w:rsid w:val="000311B6"/>
    <w:rsid w:val="00031A05"/>
    <w:rsid w:val="00031CB1"/>
    <w:rsid w:val="00032055"/>
    <w:rsid w:val="00032333"/>
    <w:rsid w:val="00032670"/>
    <w:rsid w:val="00032C9C"/>
    <w:rsid w:val="00032E52"/>
    <w:rsid w:val="00032ED4"/>
    <w:rsid w:val="00033392"/>
    <w:rsid w:val="0003475E"/>
    <w:rsid w:val="00035ABD"/>
    <w:rsid w:val="00035E0B"/>
    <w:rsid w:val="00035F1E"/>
    <w:rsid w:val="0003662B"/>
    <w:rsid w:val="000368DA"/>
    <w:rsid w:val="00036B56"/>
    <w:rsid w:val="00037002"/>
    <w:rsid w:val="00037191"/>
    <w:rsid w:val="000379A3"/>
    <w:rsid w:val="00037C39"/>
    <w:rsid w:val="00040373"/>
    <w:rsid w:val="00040499"/>
    <w:rsid w:val="000406C9"/>
    <w:rsid w:val="00040A34"/>
    <w:rsid w:val="0004181B"/>
    <w:rsid w:val="00041DA3"/>
    <w:rsid w:val="00041E92"/>
    <w:rsid w:val="0004206F"/>
    <w:rsid w:val="000422E0"/>
    <w:rsid w:val="00043C67"/>
    <w:rsid w:val="00044095"/>
    <w:rsid w:val="000440E7"/>
    <w:rsid w:val="000441CE"/>
    <w:rsid w:val="00044FAA"/>
    <w:rsid w:val="000453EA"/>
    <w:rsid w:val="000458A2"/>
    <w:rsid w:val="0004631A"/>
    <w:rsid w:val="00046321"/>
    <w:rsid w:val="00046912"/>
    <w:rsid w:val="00047C7B"/>
    <w:rsid w:val="00047EC2"/>
    <w:rsid w:val="000504D0"/>
    <w:rsid w:val="000519C2"/>
    <w:rsid w:val="000520A0"/>
    <w:rsid w:val="000522B9"/>
    <w:rsid w:val="00053144"/>
    <w:rsid w:val="00053248"/>
    <w:rsid w:val="00053312"/>
    <w:rsid w:val="00053586"/>
    <w:rsid w:val="000536DF"/>
    <w:rsid w:val="000537C6"/>
    <w:rsid w:val="000538AF"/>
    <w:rsid w:val="0005398A"/>
    <w:rsid w:val="00053F7C"/>
    <w:rsid w:val="00054A08"/>
    <w:rsid w:val="0005516F"/>
    <w:rsid w:val="000553EC"/>
    <w:rsid w:val="000556C1"/>
    <w:rsid w:val="00055F72"/>
    <w:rsid w:val="00056392"/>
    <w:rsid w:val="00056508"/>
    <w:rsid w:val="00056ED9"/>
    <w:rsid w:val="00057800"/>
    <w:rsid w:val="000617EB"/>
    <w:rsid w:val="00061EA7"/>
    <w:rsid w:val="0006297E"/>
    <w:rsid w:val="00062F3A"/>
    <w:rsid w:val="000632A7"/>
    <w:rsid w:val="00064FED"/>
    <w:rsid w:val="000654BA"/>
    <w:rsid w:val="000659B1"/>
    <w:rsid w:val="000664F9"/>
    <w:rsid w:val="00066E52"/>
    <w:rsid w:val="00066FEF"/>
    <w:rsid w:val="00067103"/>
    <w:rsid w:val="00067CB2"/>
    <w:rsid w:val="000707A3"/>
    <w:rsid w:val="000708E3"/>
    <w:rsid w:val="00070D67"/>
    <w:rsid w:val="00071163"/>
    <w:rsid w:val="0007184A"/>
    <w:rsid w:val="00072CA0"/>
    <w:rsid w:val="0007314A"/>
    <w:rsid w:val="000736EC"/>
    <w:rsid w:val="00073EEE"/>
    <w:rsid w:val="0007422F"/>
    <w:rsid w:val="00076800"/>
    <w:rsid w:val="0007694F"/>
    <w:rsid w:val="000774BD"/>
    <w:rsid w:val="00077747"/>
    <w:rsid w:val="00080851"/>
    <w:rsid w:val="000817F4"/>
    <w:rsid w:val="00081AA0"/>
    <w:rsid w:val="00081DD5"/>
    <w:rsid w:val="00081F3A"/>
    <w:rsid w:val="000820F6"/>
    <w:rsid w:val="000821C7"/>
    <w:rsid w:val="000822BA"/>
    <w:rsid w:val="00082365"/>
    <w:rsid w:val="000830A1"/>
    <w:rsid w:val="00083E26"/>
    <w:rsid w:val="00084237"/>
    <w:rsid w:val="000843C1"/>
    <w:rsid w:val="000843C7"/>
    <w:rsid w:val="000855EE"/>
    <w:rsid w:val="00085A36"/>
    <w:rsid w:val="00085FD7"/>
    <w:rsid w:val="00086083"/>
    <w:rsid w:val="00086252"/>
    <w:rsid w:val="00086311"/>
    <w:rsid w:val="00086504"/>
    <w:rsid w:val="000866E0"/>
    <w:rsid w:val="00086DC6"/>
    <w:rsid w:val="00086E96"/>
    <w:rsid w:val="000873A6"/>
    <w:rsid w:val="00087A12"/>
    <w:rsid w:val="0009085C"/>
    <w:rsid w:val="00090955"/>
    <w:rsid w:val="00090A2C"/>
    <w:rsid w:val="00090ACE"/>
    <w:rsid w:val="00090F8E"/>
    <w:rsid w:val="00091836"/>
    <w:rsid w:val="00091881"/>
    <w:rsid w:val="00091BEE"/>
    <w:rsid w:val="000923C1"/>
    <w:rsid w:val="00092477"/>
    <w:rsid w:val="0009268B"/>
    <w:rsid w:val="00092BF6"/>
    <w:rsid w:val="00093880"/>
    <w:rsid w:val="00093D4D"/>
    <w:rsid w:val="00093F59"/>
    <w:rsid w:val="00094A86"/>
    <w:rsid w:val="00094BB3"/>
    <w:rsid w:val="00096A6D"/>
    <w:rsid w:val="00096CB2"/>
    <w:rsid w:val="00096F6E"/>
    <w:rsid w:val="000974AF"/>
    <w:rsid w:val="000A015B"/>
    <w:rsid w:val="000A0E5D"/>
    <w:rsid w:val="000A1012"/>
    <w:rsid w:val="000A168F"/>
    <w:rsid w:val="000A1B38"/>
    <w:rsid w:val="000A2048"/>
    <w:rsid w:val="000A2EB6"/>
    <w:rsid w:val="000A3148"/>
    <w:rsid w:val="000A33FA"/>
    <w:rsid w:val="000A43E1"/>
    <w:rsid w:val="000A4427"/>
    <w:rsid w:val="000A4977"/>
    <w:rsid w:val="000A49E5"/>
    <w:rsid w:val="000A4E6A"/>
    <w:rsid w:val="000A4F79"/>
    <w:rsid w:val="000A50D7"/>
    <w:rsid w:val="000A5472"/>
    <w:rsid w:val="000A5507"/>
    <w:rsid w:val="000A57F4"/>
    <w:rsid w:val="000A5EA4"/>
    <w:rsid w:val="000A6268"/>
    <w:rsid w:val="000A655A"/>
    <w:rsid w:val="000A6BC3"/>
    <w:rsid w:val="000A769E"/>
    <w:rsid w:val="000A77BF"/>
    <w:rsid w:val="000A7886"/>
    <w:rsid w:val="000A7960"/>
    <w:rsid w:val="000A7AB3"/>
    <w:rsid w:val="000A7CEB"/>
    <w:rsid w:val="000B09C5"/>
    <w:rsid w:val="000B1054"/>
    <w:rsid w:val="000B16DA"/>
    <w:rsid w:val="000B1CE7"/>
    <w:rsid w:val="000B264D"/>
    <w:rsid w:val="000B2A76"/>
    <w:rsid w:val="000B2B61"/>
    <w:rsid w:val="000B3B30"/>
    <w:rsid w:val="000B3D19"/>
    <w:rsid w:val="000B3FDE"/>
    <w:rsid w:val="000B4100"/>
    <w:rsid w:val="000B4427"/>
    <w:rsid w:val="000B49BA"/>
    <w:rsid w:val="000B4B16"/>
    <w:rsid w:val="000B4B21"/>
    <w:rsid w:val="000B5043"/>
    <w:rsid w:val="000B53B2"/>
    <w:rsid w:val="000B5413"/>
    <w:rsid w:val="000B583F"/>
    <w:rsid w:val="000B5BD9"/>
    <w:rsid w:val="000B623A"/>
    <w:rsid w:val="000B6569"/>
    <w:rsid w:val="000B66C0"/>
    <w:rsid w:val="000B6B8B"/>
    <w:rsid w:val="000B7139"/>
    <w:rsid w:val="000B74E1"/>
    <w:rsid w:val="000B78A0"/>
    <w:rsid w:val="000B78A4"/>
    <w:rsid w:val="000B7A57"/>
    <w:rsid w:val="000B7DFC"/>
    <w:rsid w:val="000BBD8E"/>
    <w:rsid w:val="000BE561"/>
    <w:rsid w:val="000C1D58"/>
    <w:rsid w:val="000C25AB"/>
    <w:rsid w:val="000C2729"/>
    <w:rsid w:val="000C2976"/>
    <w:rsid w:val="000C2A06"/>
    <w:rsid w:val="000C3638"/>
    <w:rsid w:val="000C36B3"/>
    <w:rsid w:val="000C3846"/>
    <w:rsid w:val="000C384C"/>
    <w:rsid w:val="000C3A63"/>
    <w:rsid w:val="000C3B53"/>
    <w:rsid w:val="000C3BF2"/>
    <w:rsid w:val="000C3D2A"/>
    <w:rsid w:val="000C3DF7"/>
    <w:rsid w:val="000C4367"/>
    <w:rsid w:val="000C4937"/>
    <w:rsid w:val="000C5973"/>
    <w:rsid w:val="000C6628"/>
    <w:rsid w:val="000C6831"/>
    <w:rsid w:val="000C6B5C"/>
    <w:rsid w:val="000C6E4B"/>
    <w:rsid w:val="000C73B7"/>
    <w:rsid w:val="000C7947"/>
    <w:rsid w:val="000C7C23"/>
    <w:rsid w:val="000C7E18"/>
    <w:rsid w:val="000D04EA"/>
    <w:rsid w:val="000D05AB"/>
    <w:rsid w:val="000D1690"/>
    <w:rsid w:val="000D19AA"/>
    <w:rsid w:val="000D1C1A"/>
    <w:rsid w:val="000D215F"/>
    <w:rsid w:val="000D2B54"/>
    <w:rsid w:val="000D2C50"/>
    <w:rsid w:val="000D320D"/>
    <w:rsid w:val="000D3593"/>
    <w:rsid w:val="000D35CD"/>
    <w:rsid w:val="000D3BBF"/>
    <w:rsid w:val="000D3CE0"/>
    <w:rsid w:val="000D3E9C"/>
    <w:rsid w:val="000D4BD4"/>
    <w:rsid w:val="000D5401"/>
    <w:rsid w:val="000D5D6D"/>
    <w:rsid w:val="000D6064"/>
    <w:rsid w:val="000D60BB"/>
    <w:rsid w:val="000D635D"/>
    <w:rsid w:val="000D6421"/>
    <w:rsid w:val="000D6699"/>
    <w:rsid w:val="000D6835"/>
    <w:rsid w:val="000D6932"/>
    <w:rsid w:val="000D724B"/>
    <w:rsid w:val="000D77D3"/>
    <w:rsid w:val="000E02B7"/>
    <w:rsid w:val="000E0BC6"/>
    <w:rsid w:val="000E10FD"/>
    <w:rsid w:val="000E1193"/>
    <w:rsid w:val="000E17D3"/>
    <w:rsid w:val="000E1C25"/>
    <w:rsid w:val="000E2144"/>
    <w:rsid w:val="000E2750"/>
    <w:rsid w:val="000E3D09"/>
    <w:rsid w:val="000E3FA8"/>
    <w:rsid w:val="000E4176"/>
    <w:rsid w:val="000E48E9"/>
    <w:rsid w:val="000E4F82"/>
    <w:rsid w:val="000E50B4"/>
    <w:rsid w:val="000E557C"/>
    <w:rsid w:val="000E638A"/>
    <w:rsid w:val="000E651C"/>
    <w:rsid w:val="000F0045"/>
    <w:rsid w:val="000F0226"/>
    <w:rsid w:val="000F1350"/>
    <w:rsid w:val="000F1A2D"/>
    <w:rsid w:val="000F215B"/>
    <w:rsid w:val="000F2600"/>
    <w:rsid w:val="000F27F2"/>
    <w:rsid w:val="000F3366"/>
    <w:rsid w:val="000F38D1"/>
    <w:rsid w:val="000F3F4B"/>
    <w:rsid w:val="000F4CC3"/>
    <w:rsid w:val="000F4CC6"/>
    <w:rsid w:val="000F4D1F"/>
    <w:rsid w:val="000F5125"/>
    <w:rsid w:val="000F51F1"/>
    <w:rsid w:val="000F59CA"/>
    <w:rsid w:val="000F5E78"/>
    <w:rsid w:val="000F607A"/>
    <w:rsid w:val="000F63BA"/>
    <w:rsid w:val="000F67A7"/>
    <w:rsid w:val="000F6A20"/>
    <w:rsid w:val="000F6A3C"/>
    <w:rsid w:val="000F6BB1"/>
    <w:rsid w:val="000F6EDC"/>
    <w:rsid w:val="000F7089"/>
    <w:rsid w:val="000F70E9"/>
    <w:rsid w:val="000F7309"/>
    <w:rsid w:val="000F770B"/>
    <w:rsid w:val="000F78B7"/>
    <w:rsid w:val="000F7B22"/>
    <w:rsid w:val="000F7B34"/>
    <w:rsid w:val="001004D7"/>
    <w:rsid w:val="00100E7D"/>
    <w:rsid w:val="00100EDE"/>
    <w:rsid w:val="00101CE0"/>
    <w:rsid w:val="001020EE"/>
    <w:rsid w:val="00102996"/>
    <w:rsid w:val="001035EE"/>
    <w:rsid w:val="00103710"/>
    <w:rsid w:val="00103A22"/>
    <w:rsid w:val="00103D62"/>
    <w:rsid w:val="00104415"/>
    <w:rsid w:val="001047C7"/>
    <w:rsid w:val="00104836"/>
    <w:rsid w:val="00104B36"/>
    <w:rsid w:val="00104DDF"/>
    <w:rsid w:val="001058DA"/>
    <w:rsid w:val="00105CF3"/>
    <w:rsid w:val="00106009"/>
    <w:rsid w:val="001063DD"/>
    <w:rsid w:val="0010686F"/>
    <w:rsid w:val="00106901"/>
    <w:rsid w:val="001069D9"/>
    <w:rsid w:val="00106B2C"/>
    <w:rsid w:val="00106D58"/>
    <w:rsid w:val="001070EC"/>
    <w:rsid w:val="00107461"/>
    <w:rsid w:val="0010769B"/>
    <w:rsid w:val="001077F8"/>
    <w:rsid w:val="00107B74"/>
    <w:rsid w:val="001109D5"/>
    <w:rsid w:val="00110F59"/>
    <w:rsid w:val="0011114A"/>
    <w:rsid w:val="00111913"/>
    <w:rsid w:val="00111C4E"/>
    <w:rsid w:val="00111F60"/>
    <w:rsid w:val="00112531"/>
    <w:rsid w:val="00112E32"/>
    <w:rsid w:val="001133CF"/>
    <w:rsid w:val="00113BB4"/>
    <w:rsid w:val="00113EC0"/>
    <w:rsid w:val="001142C6"/>
    <w:rsid w:val="00114B60"/>
    <w:rsid w:val="00114BAC"/>
    <w:rsid w:val="00115881"/>
    <w:rsid w:val="00115CB8"/>
    <w:rsid w:val="00115E19"/>
    <w:rsid w:val="001163AF"/>
    <w:rsid w:val="00116612"/>
    <w:rsid w:val="00116BAD"/>
    <w:rsid w:val="00116F61"/>
    <w:rsid w:val="00117367"/>
    <w:rsid w:val="001176C5"/>
    <w:rsid w:val="00117ABE"/>
    <w:rsid w:val="001203B7"/>
    <w:rsid w:val="00120549"/>
    <w:rsid w:val="001207C3"/>
    <w:rsid w:val="00120824"/>
    <w:rsid w:val="00120CB7"/>
    <w:rsid w:val="00120F75"/>
    <w:rsid w:val="001215A0"/>
    <w:rsid w:val="001215CE"/>
    <w:rsid w:val="00121649"/>
    <w:rsid w:val="00121A37"/>
    <w:rsid w:val="00121D43"/>
    <w:rsid w:val="00121E70"/>
    <w:rsid w:val="0012200E"/>
    <w:rsid w:val="00123F81"/>
    <w:rsid w:val="00125163"/>
    <w:rsid w:val="001254D8"/>
    <w:rsid w:val="00125A61"/>
    <w:rsid w:val="00125E6C"/>
    <w:rsid w:val="00125FD2"/>
    <w:rsid w:val="0012617E"/>
    <w:rsid w:val="0012647D"/>
    <w:rsid w:val="001265E6"/>
    <w:rsid w:val="00126F2C"/>
    <w:rsid w:val="00127CD9"/>
    <w:rsid w:val="00127E21"/>
    <w:rsid w:val="001302F3"/>
    <w:rsid w:val="00130C6B"/>
    <w:rsid w:val="00134938"/>
    <w:rsid w:val="00135E8C"/>
    <w:rsid w:val="0013699D"/>
    <w:rsid w:val="00136B53"/>
    <w:rsid w:val="0013715D"/>
    <w:rsid w:val="001373C2"/>
    <w:rsid w:val="00137470"/>
    <w:rsid w:val="00137916"/>
    <w:rsid w:val="001408FC"/>
    <w:rsid w:val="00140BDE"/>
    <w:rsid w:val="00140D14"/>
    <w:rsid w:val="00140E15"/>
    <w:rsid w:val="00140ED9"/>
    <w:rsid w:val="00141325"/>
    <w:rsid w:val="00141D39"/>
    <w:rsid w:val="00141E34"/>
    <w:rsid w:val="0014248C"/>
    <w:rsid w:val="00142CCF"/>
    <w:rsid w:val="001430B1"/>
    <w:rsid w:val="00143A41"/>
    <w:rsid w:val="00143E31"/>
    <w:rsid w:val="00143F25"/>
    <w:rsid w:val="0014436C"/>
    <w:rsid w:val="001449C5"/>
    <w:rsid w:val="00144C39"/>
    <w:rsid w:val="001450DE"/>
    <w:rsid w:val="001452CF"/>
    <w:rsid w:val="001456C3"/>
    <w:rsid w:val="00145A43"/>
    <w:rsid w:val="00145DA9"/>
    <w:rsid w:val="00145F0A"/>
    <w:rsid w:val="00146E17"/>
    <w:rsid w:val="00147264"/>
    <w:rsid w:val="00147AFF"/>
    <w:rsid w:val="00147E2D"/>
    <w:rsid w:val="00147F62"/>
    <w:rsid w:val="00150055"/>
    <w:rsid w:val="001503CF"/>
    <w:rsid w:val="001503D1"/>
    <w:rsid w:val="00150BA5"/>
    <w:rsid w:val="00150CEB"/>
    <w:rsid w:val="00150EBD"/>
    <w:rsid w:val="001511A0"/>
    <w:rsid w:val="00151350"/>
    <w:rsid w:val="0015183C"/>
    <w:rsid w:val="001518E0"/>
    <w:rsid w:val="00151900"/>
    <w:rsid w:val="0015194F"/>
    <w:rsid w:val="00151C62"/>
    <w:rsid w:val="001521A5"/>
    <w:rsid w:val="001522F3"/>
    <w:rsid w:val="001525CD"/>
    <w:rsid w:val="001527EF"/>
    <w:rsid w:val="001528B4"/>
    <w:rsid w:val="00152925"/>
    <w:rsid w:val="00152936"/>
    <w:rsid w:val="00152A02"/>
    <w:rsid w:val="00152E8E"/>
    <w:rsid w:val="00152FB3"/>
    <w:rsid w:val="00153029"/>
    <w:rsid w:val="00153032"/>
    <w:rsid w:val="001536FE"/>
    <w:rsid w:val="00153838"/>
    <w:rsid w:val="00155504"/>
    <w:rsid w:val="00155846"/>
    <w:rsid w:val="00156056"/>
    <w:rsid w:val="001560FC"/>
    <w:rsid w:val="001562A5"/>
    <w:rsid w:val="001566EC"/>
    <w:rsid w:val="00156E68"/>
    <w:rsid w:val="00156FF0"/>
    <w:rsid w:val="001570BA"/>
    <w:rsid w:val="00157D82"/>
    <w:rsid w:val="0016017F"/>
    <w:rsid w:val="00160483"/>
    <w:rsid w:val="00160C8E"/>
    <w:rsid w:val="00161340"/>
    <w:rsid w:val="001613FF"/>
    <w:rsid w:val="00161E21"/>
    <w:rsid w:val="00161E6C"/>
    <w:rsid w:val="00162551"/>
    <w:rsid w:val="00162855"/>
    <w:rsid w:val="0016348F"/>
    <w:rsid w:val="001634C9"/>
    <w:rsid w:val="00164279"/>
    <w:rsid w:val="001649E4"/>
    <w:rsid w:val="00164E44"/>
    <w:rsid w:val="00164F26"/>
    <w:rsid w:val="00165250"/>
    <w:rsid w:val="00165820"/>
    <w:rsid w:val="00165D9C"/>
    <w:rsid w:val="0016624E"/>
    <w:rsid w:val="00167011"/>
    <w:rsid w:val="001672C5"/>
    <w:rsid w:val="00167720"/>
    <w:rsid w:val="00167761"/>
    <w:rsid w:val="00167CB0"/>
    <w:rsid w:val="00167D35"/>
    <w:rsid w:val="00167F5B"/>
    <w:rsid w:val="001700D3"/>
    <w:rsid w:val="00170F90"/>
    <w:rsid w:val="0017151B"/>
    <w:rsid w:val="00171C67"/>
    <w:rsid w:val="0017200E"/>
    <w:rsid w:val="001720E0"/>
    <w:rsid w:val="00172874"/>
    <w:rsid w:val="00172944"/>
    <w:rsid w:val="001729A3"/>
    <w:rsid w:val="00172F4C"/>
    <w:rsid w:val="0017433E"/>
    <w:rsid w:val="0017455D"/>
    <w:rsid w:val="001746F3"/>
    <w:rsid w:val="00174758"/>
    <w:rsid w:val="001747E6"/>
    <w:rsid w:val="00174D83"/>
    <w:rsid w:val="00174F9C"/>
    <w:rsid w:val="0017517D"/>
    <w:rsid w:val="00175220"/>
    <w:rsid w:val="00175662"/>
    <w:rsid w:val="001759F1"/>
    <w:rsid w:val="00175E11"/>
    <w:rsid w:val="00176F2A"/>
    <w:rsid w:val="001802FA"/>
    <w:rsid w:val="0018076A"/>
    <w:rsid w:val="0018082D"/>
    <w:rsid w:val="00180FE6"/>
    <w:rsid w:val="001812B2"/>
    <w:rsid w:val="001813E3"/>
    <w:rsid w:val="00181713"/>
    <w:rsid w:val="0018209A"/>
    <w:rsid w:val="001825BA"/>
    <w:rsid w:val="00182A90"/>
    <w:rsid w:val="00183194"/>
    <w:rsid w:val="0018346E"/>
    <w:rsid w:val="001837FE"/>
    <w:rsid w:val="00183B65"/>
    <w:rsid w:val="00183C58"/>
    <w:rsid w:val="00183CE5"/>
    <w:rsid w:val="00183E31"/>
    <w:rsid w:val="00183F35"/>
    <w:rsid w:val="001840B3"/>
    <w:rsid w:val="00184209"/>
    <w:rsid w:val="001842AB"/>
    <w:rsid w:val="00184508"/>
    <w:rsid w:val="00184639"/>
    <w:rsid w:val="00184BEE"/>
    <w:rsid w:val="00185773"/>
    <w:rsid w:val="001858C8"/>
    <w:rsid w:val="001864B1"/>
    <w:rsid w:val="0018663E"/>
    <w:rsid w:val="0018698B"/>
    <w:rsid w:val="00186BAC"/>
    <w:rsid w:val="00186C79"/>
    <w:rsid w:val="00186E31"/>
    <w:rsid w:val="001873C9"/>
    <w:rsid w:val="00187A9A"/>
    <w:rsid w:val="00187C43"/>
    <w:rsid w:val="001901C8"/>
    <w:rsid w:val="00190655"/>
    <w:rsid w:val="001909CA"/>
    <w:rsid w:val="001910F0"/>
    <w:rsid w:val="001915C3"/>
    <w:rsid w:val="001917B0"/>
    <w:rsid w:val="001918DC"/>
    <w:rsid w:val="00192055"/>
    <w:rsid w:val="001928AC"/>
    <w:rsid w:val="00193355"/>
    <w:rsid w:val="00193D89"/>
    <w:rsid w:val="00194602"/>
    <w:rsid w:val="00195B4D"/>
    <w:rsid w:val="0019619E"/>
    <w:rsid w:val="001962AD"/>
    <w:rsid w:val="001965CF"/>
    <w:rsid w:val="001966F6"/>
    <w:rsid w:val="00196B14"/>
    <w:rsid w:val="00197340"/>
    <w:rsid w:val="00197986"/>
    <w:rsid w:val="00197A46"/>
    <w:rsid w:val="0019B143"/>
    <w:rsid w:val="001A022D"/>
    <w:rsid w:val="001A04CC"/>
    <w:rsid w:val="001A0D63"/>
    <w:rsid w:val="001A1028"/>
    <w:rsid w:val="001A17E1"/>
    <w:rsid w:val="001A1DE8"/>
    <w:rsid w:val="001A20E3"/>
    <w:rsid w:val="001A2152"/>
    <w:rsid w:val="001A25DE"/>
    <w:rsid w:val="001A2791"/>
    <w:rsid w:val="001A28A6"/>
    <w:rsid w:val="001A2A1B"/>
    <w:rsid w:val="001A2A66"/>
    <w:rsid w:val="001A2F60"/>
    <w:rsid w:val="001A361C"/>
    <w:rsid w:val="001A3AE0"/>
    <w:rsid w:val="001A3B0E"/>
    <w:rsid w:val="001A44C9"/>
    <w:rsid w:val="001A4505"/>
    <w:rsid w:val="001A4BD7"/>
    <w:rsid w:val="001A4D85"/>
    <w:rsid w:val="001A4DBB"/>
    <w:rsid w:val="001A5480"/>
    <w:rsid w:val="001A5746"/>
    <w:rsid w:val="001A5B53"/>
    <w:rsid w:val="001A67B2"/>
    <w:rsid w:val="001A6E81"/>
    <w:rsid w:val="001A7057"/>
    <w:rsid w:val="001A76D2"/>
    <w:rsid w:val="001A7D2E"/>
    <w:rsid w:val="001A7D5C"/>
    <w:rsid w:val="001B03DE"/>
    <w:rsid w:val="001B0633"/>
    <w:rsid w:val="001B06EA"/>
    <w:rsid w:val="001B08F5"/>
    <w:rsid w:val="001B1170"/>
    <w:rsid w:val="001B146B"/>
    <w:rsid w:val="001B146E"/>
    <w:rsid w:val="001B1BCA"/>
    <w:rsid w:val="001B1F23"/>
    <w:rsid w:val="001B210E"/>
    <w:rsid w:val="001B2264"/>
    <w:rsid w:val="001B23A1"/>
    <w:rsid w:val="001B2532"/>
    <w:rsid w:val="001B283B"/>
    <w:rsid w:val="001B327C"/>
    <w:rsid w:val="001B3678"/>
    <w:rsid w:val="001B38B8"/>
    <w:rsid w:val="001B3BE1"/>
    <w:rsid w:val="001B3C1D"/>
    <w:rsid w:val="001B40F1"/>
    <w:rsid w:val="001B437D"/>
    <w:rsid w:val="001B4564"/>
    <w:rsid w:val="001B4598"/>
    <w:rsid w:val="001B4D36"/>
    <w:rsid w:val="001B53A7"/>
    <w:rsid w:val="001B5530"/>
    <w:rsid w:val="001B5675"/>
    <w:rsid w:val="001B5C69"/>
    <w:rsid w:val="001B672E"/>
    <w:rsid w:val="001B6FA1"/>
    <w:rsid w:val="001B76E3"/>
    <w:rsid w:val="001B778B"/>
    <w:rsid w:val="001B7F9C"/>
    <w:rsid w:val="001C14AF"/>
    <w:rsid w:val="001C168E"/>
    <w:rsid w:val="001C1935"/>
    <w:rsid w:val="001C2432"/>
    <w:rsid w:val="001C2B5D"/>
    <w:rsid w:val="001C2F58"/>
    <w:rsid w:val="001C31C3"/>
    <w:rsid w:val="001C3572"/>
    <w:rsid w:val="001C3761"/>
    <w:rsid w:val="001C3D7B"/>
    <w:rsid w:val="001C3E88"/>
    <w:rsid w:val="001C3EA5"/>
    <w:rsid w:val="001C3F32"/>
    <w:rsid w:val="001C44D7"/>
    <w:rsid w:val="001C4859"/>
    <w:rsid w:val="001C4BF9"/>
    <w:rsid w:val="001C51B8"/>
    <w:rsid w:val="001C53F2"/>
    <w:rsid w:val="001C5E49"/>
    <w:rsid w:val="001C62D1"/>
    <w:rsid w:val="001C66FF"/>
    <w:rsid w:val="001C6DB5"/>
    <w:rsid w:val="001C7843"/>
    <w:rsid w:val="001C788C"/>
    <w:rsid w:val="001C7D91"/>
    <w:rsid w:val="001D0401"/>
    <w:rsid w:val="001D26B7"/>
    <w:rsid w:val="001D2DDF"/>
    <w:rsid w:val="001D4200"/>
    <w:rsid w:val="001D4221"/>
    <w:rsid w:val="001D45BD"/>
    <w:rsid w:val="001D4C6A"/>
    <w:rsid w:val="001D4D56"/>
    <w:rsid w:val="001D4EC6"/>
    <w:rsid w:val="001D564E"/>
    <w:rsid w:val="001D7872"/>
    <w:rsid w:val="001D78B6"/>
    <w:rsid w:val="001D7B9F"/>
    <w:rsid w:val="001DCBC2"/>
    <w:rsid w:val="001E01F5"/>
    <w:rsid w:val="001E03A2"/>
    <w:rsid w:val="001E061A"/>
    <w:rsid w:val="001E08FD"/>
    <w:rsid w:val="001E14D1"/>
    <w:rsid w:val="001E15D2"/>
    <w:rsid w:val="001E16E6"/>
    <w:rsid w:val="001E262F"/>
    <w:rsid w:val="001E27C5"/>
    <w:rsid w:val="001E2A8D"/>
    <w:rsid w:val="001E38C8"/>
    <w:rsid w:val="001E3F10"/>
    <w:rsid w:val="001E3F99"/>
    <w:rsid w:val="001E4A94"/>
    <w:rsid w:val="001E625F"/>
    <w:rsid w:val="001E63D7"/>
    <w:rsid w:val="001E6909"/>
    <w:rsid w:val="001E696D"/>
    <w:rsid w:val="001E6C05"/>
    <w:rsid w:val="001E6DD6"/>
    <w:rsid w:val="001E6FAC"/>
    <w:rsid w:val="001E7339"/>
    <w:rsid w:val="001E75E8"/>
    <w:rsid w:val="001E7880"/>
    <w:rsid w:val="001F02DB"/>
    <w:rsid w:val="001F04B9"/>
    <w:rsid w:val="001F056C"/>
    <w:rsid w:val="001F0949"/>
    <w:rsid w:val="001F099F"/>
    <w:rsid w:val="001F1E6A"/>
    <w:rsid w:val="001F22F6"/>
    <w:rsid w:val="001F2627"/>
    <w:rsid w:val="001F296B"/>
    <w:rsid w:val="001F2A77"/>
    <w:rsid w:val="001F2BFD"/>
    <w:rsid w:val="001F39FA"/>
    <w:rsid w:val="001F3CA0"/>
    <w:rsid w:val="001F4004"/>
    <w:rsid w:val="001F4AD8"/>
    <w:rsid w:val="001F4B35"/>
    <w:rsid w:val="001F4CC5"/>
    <w:rsid w:val="001F4E26"/>
    <w:rsid w:val="001F50F3"/>
    <w:rsid w:val="001F51DD"/>
    <w:rsid w:val="001F56A0"/>
    <w:rsid w:val="001F5761"/>
    <w:rsid w:val="001F57D9"/>
    <w:rsid w:val="001F5A2E"/>
    <w:rsid w:val="001F676B"/>
    <w:rsid w:val="001F6A0F"/>
    <w:rsid w:val="001F6F8A"/>
    <w:rsid w:val="001F7523"/>
    <w:rsid w:val="00200508"/>
    <w:rsid w:val="002007FD"/>
    <w:rsid w:val="002012E6"/>
    <w:rsid w:val="002017F3"/>
    <w:rsid w:val="00201B02"/>
    <w:rsid w:val="00201E44"/>
    <w:rsid w:val="0020205F"/>
    <w:rsid w:val="00202CD9"/>
    <w:rsid w:val="0020326D"/>
    <w:rsid w:val="0020371D"/>
    <w:rsid w:val="00203910"/>
    <w:rsid w:val="002045C0"/>
    <w:rsid w:val="002048B3"/>
    <w:rsid w:val="00204A0D"/>
    <w:rsid w:val="00204DCF"/>
    <w:rsid w:val="00205795"/>
    <w:rsid w:val="00205964"/>
    <w:rsid w:val="00205E88"/>
    <w:rsid w:val="00206012"/>
    <w:rsid w:val="00206271"/>
    <w:rsid w:val="0020682D"/>
    <w:rsid w:val="00206B5F"/>
    <w:rsid w:val="00206D78"/>
    <w:rsid w:val="00207823"/>
    <w:rsid w:val="0021070F"/>
    <w:rsid w:val="0021090B"/>
    <w:rsid w:val="00210D39"/>
    <w:rsid w:val="00210F4F"/>
    <w:rsid w:val="00210FA6"/>
    <w:rsid w:val="0021113F"/>
    <w:rsid w:val="002114C5"/>
    <w:rsid w:val="0021165D"/>
    <w:rsid w:val="00211CCC"/>
    <w:rsid w:val="002120ED"/>
    <w:rsid w:val="002123C7"/>
    <w:rsid w:val="0021252D"/>
    <w:rsid w:val="00212F6F"/>
    <w:rsid w:val="0021418B"/>
    <w:rsid w:val="00214501"/>
    <w:rsid w:val="00214812"/>
    <w:rsid w:val="00215064"/>
    <w:rsid w:val="0021574E"/>
    <w:rsid w:val="002158A1"/>
    <w:rsid w:val="00215BDF"/>
    <w:rsid w:val="00215C03"/>
    <w:rsid w:val="00215DA3"/>
    <w:rsid w:val="00215E18"/>
    <w:rsid w:val="00216594"/>
    <w:rsid w:val="00216B07"/>
    <w:rsid w:val="00216D94"/>
    <w:rsid w:val="0021706E"/>
    <w:rsid w:val="00217424"/>
    <w:rsid w:val="002177CD"/>
    <w:rsid w:val="0022094A"/>
    <w:rsid w:val="00220CFA"/>
    <w:rsid w:val="00220F08"/>
    <w:rsid w:val="00220F75"/>
    <w:rsid w:val="002218A9"/>
    <w:rsid w:val="00221919"/>
    <w:rsid w:val="002220A9"/>
    <w:rsid w:val="00222307"/>
    <w:rsid w:val="00222768"/>
    <w:rsid w:val="00222D7E"/>
    <w:rsid w:val="00222F32"/>
    <w:rsid w:val="002231C9"/>
    <w:rsid w:val="0022343F"/>
    <w:rsid w:val="00223ED2"/>
    <w:rsid w:val="002241F3"/>
    <w:rsid w:val="00224613"/>
    <w:rsid w:val="0022483B"/>
    <w:rsid w:val="00224AC1"/>
    <w:rsid w:val="00224E1D"/>
    <w:rsid w:val="00225124"/>
    <w:rsid w:val="002255C5"/>
    <w:rsid w:val="002255E1"/>
    <w:rsid w:val="002257F7"/>
    <w:rsid w:val="00225AC4"/>
    <w:rsid w:val="002260CC"/>
    <w:rsid w:val="00226311"/>
    <w:rsid w:val="00227443"/>
    <w:rsid w:val="00227E76"/>
    <w:rsid w:val="00230244"/>
    <w:rsid w:val="0023028B"/>
    <w:rsid w:val="002307FD"/>
    <w:rsid w:val="00230832"/>
    <w:rsid w:val="002308C2"/>
    <w:rsid w:val="00230926"/>
    <w:rsid w:val="00230A87"/>
    <w:rsid w:val="002310E2"/>
    <w:rsid w:val="00231528"/>
    <w:rsid w:val="00231A99"/>
    <w:rsid w:val="00231E29"/>
    <w:rsid w:val="00232076"/>
    <w:rsid w:val="002328E7"/>
    <w:rsid w:val="00232970"/>
    <w:rsid w:val="00232DC0"/>
    <w:rsid w:val="0023316E"/>
    <w:rsid w:val="00233370"/>
    <w:rsid w:val="00233444"/>
    <w:rsid w:val="00233A56"/>
    <w:rsid w:val="00233B61"/>
    <w:rsid w:val="00233CBC"/>
    <w:rsid w:val="00234196"/>
    <w:rsid w:val="002353BE"/>
    <w:rsid w:val="00235B42"/>
    <w:rsid w:val="002360C4"/>
    <w:rsid w:val="0023646B"/>
    <w:rsid w:val="00236A6A"/>
    <w:rsid w:val="00236B7D"/>
    <w:rsid w:val="00236E35"/>
    <w:rsid w:val="002375A4"/>
    <w:rsid w:val="00237DFE"/>
    <w:rsid w:val="0024004A"/>
    <w:rsid w:val="0024061D"/>
    <w:rsid w:val="002410EB"/>
    <w:rsid w:val="0024124F"/>
    <w:rsid w:val="002414A5"/>
    <w:rsid w:val="0024150E"/>
    <w:rsid w:val="00241CD9"/>
    <w:rsid w:val="00241E0B"/>
    <w:rsid w:val="00242732"/>
    <w:rsid w:val="00243675"/>
    <w:rsid w:val="00243ECD"/>
    <w:rsid w:val="0024409B"/>
    <w:rsid w:val="00244409"/>
    <w:rsid w:val="002447D2"/>
    <w:rsid w:val="00244BF2"/>
    <w:rsid w:val="002450FB"/>
    <w:rsid w:val="002452DA"/>
    <w:rsid w:val="00245E0B"/>
    <w:rsid w:val="002468A2"/>
    <w:rsid w:val="00246BF5"/>
    <w:rsid w:val="00246C02"/>
    <w:rsid w:val="00247CC5"/>
    <w:rsid w:val="0024E5EB"/>
    <w:rsid w:val="00250347"/>
    <w:rsid w:val="002507B2"/>
    <w:rsid w:val="0025095F"/>
    <w:rsid w:val="00250B8C"/>
    <w:rsid w:val="00250D13"/>
    <w:rsid w:val="00251423"/>
    <w:rsid w:val="00251442"/>
    <w:rsid w:val="00251740"/>
    <w:rsid w:val="00251D00"/>
    <w:rsid w:val="00251DB3"/>
    <w:rsid w:val="0025219F"/>
    <w:rsid w:val="0025266D"/>
    <w:rsid w:val="0025283B"/>
    <w:rsid w:val="00252EB2"/>
    <w:rsid w:val="00253549"/>
    <w:rsid w:val="0025376D"/>
    <w:rsid w:val="00253962"/>
    <w:rsid w:val="00253FE9"/>
    <w:rsid w:val="00254403"/>
    <w:rsid w:val="002559C9"/>
    <w:rsid w:val="00255F6A"/>
    <w:rsid w:val="00256006"/>
    <w:rsid w:val="002560DB"/>
    <w:rsid w:val="00256240"/>
    <w:rsid w:val="00256258"/>
    <w:rsid w:val="002562E2"/>
    <w:rsid w:val="00256985"/>
    <w:rsid w:val="002574DC"/>
    <w:rsid w:val="002600AB"/>
    <w:rsid w:val="00260C58"/>
    <w:rsid w:val="00260CBE"/>
    <w:rsid w:val="00260DCD"/>
    <w:rsid w:val="002610AF"/>
    <w:rsid w:val="0026142B"/>
    <w:rsid w:val="002618D5"/>
    <w:rsid w:val="002618FB"/>
    <w:rsid w:val="002619B1"/>
    <w:rsid w:val="00262570"/>
    <w:rsid w:val="002629F5"/>
    <w:rsid w:val="00262C5E"/>
    <w:rsid w:val="002632F5"/>
    <w:rsid w:val="002639CE"/>
    <w:rsid w:val="002643B8"/>
    <w:rsid w:val="00264A3B"/>
    <w:rsid w:val="00264A5F"/>
    <w:rsid w:val="00264D20"/>
    <w:rsid w:val="00264E93"/>
    <w:rsid w:val="0026557A"/>
    <w:rsid w:val="00265A32"/>
    <w:rsid w:val="00266307"/>
    <w:rsid w:val="0026662A"/>
    <w:rsid w:val="00266A7B"/>
    <w:rsid w:val="00266D1F"/>
    <w:rsid w:val="00267167"/>
    <w:rsid w:val="00267473"/>
    <w:rsid w:val="00267707"/>
    <w:rsid w:val="00267801"/>
    <w:rsid w:val="00267C5F"/>
    <w:rsid w:val="002702A6"/>
    <w:rsid w:val="00270619"/>
    <w:rsid w:val="00270C0E"/>
    <w:rsid w:val="00270E64"/>
    <w:rsid w:val="0027136B"/>
    <w:rsid w:val="0027174A"/>
    <w:rsid w:val="00271899"/>
    <w:rsid w:val="00271B98"/>
    <w:rsid w:val="00271CC8"/>
    <w:rsid w:val="00272040"/>
    <w:rsid w:val="0027205A"/>
    <w:rsid w:val="002725E0"/>
    <w:rsid w:val="0027275B"/>
    <w:rsid w:val="00272869"/>
    <w:rsid w:val="002731C2"/>
    <w:rsid w:val="00273837"/>
    <w:rsid w:val="00274294"/>
    <w:rsid w:val="00274431"/>
    <w:rsid w:val="00274AC9"/>
    <w:rsid w:val="0027581A"/>
    <w:rsid w:val="00275BD3"/>
    <w:rsid w:val="00275CA5"/>
    <w:rsid w:val="002767E9"/>
    <w:rsid w:val="00276E69"/>
    <w:rsid w:val="00277F35"/>
    <w:rsid w:val="00280190"/>
    <w:rsid w:val="0028093D"/>
    <w:rsid w:val="00280A50"/>
    <w:rsid w:val="00280BCE"/>
    <w:rsid w:val="002813FC"/>
    <w:rsid w:val="0028188B"/>
    <w:rsid w:val="00281F42"/>
    <w:rsid w:val="002822EC"/>
    <w:rsid w:val="002832B1"/>
    <w:rsid w:val="002836AC"/>
    <w:rsid w:val="00283FF2"/>
    <w:rsid w:val="0028401C"/>
    <w:rsid w:val="002844D5"/>
    <w:rsid w:val="002849A4"/>
    <w:rsid w:val="00284D67"/>
    <w:rsid w:val="00284E9E"/>
    <w:rsid w:val="002851E7"/>
    <w:rsid w:val="00285266"/>
    <w:rsid w:val="0028572C"/>
    <w:rsid w:val="00285C5D"/>
    <w:rsid w:val="002863CE"/>
    <w:rsid w:val="002868D9"/>
    <w:rsid w:val="002874A5"/>
    <w:rsid w:val="0029043F"/>
    <w:rsid w:val="0029061F"/>
    <w:rsid w:val="00290DF2"/>
    <w:rsid w:val="00291299"/>
    <w:rsid w:val="0029152A"/>
    <w:rsid w:val="00292056"/>
    <w:rsid w:val="00292240"/>
    <w:rsid w:val="002922EC"/>
    <w:rsid w:val="00292426"/>
    <w:rsid w:val="00292520"/>
    <w:rsid w:val="002925D1"/>
    <w:rsid w:val="00292AB5"/>
    <w:rsid w:val="00292BA7"/>
    <w:rsid w:val="00292BB1"/>
    <w:rsid w:val="00292D9B"/>
    <w:rsid w:val="0029352A"/>
    <w:rsid w:val="00293C48"/>
    <w:rsid w:val="00293DEB"/>
    <w:rsid w:val="0029406F"/>
    <w:rsid w:val="0029433E"/>
    <w:rsid w:val="00294443"/>
    <w:rsid w:val="00294787"/>
    <w:rsid w:val="002954B0"/>
    <w:rsid w:val="00296015"/>
    <w:rsid w:val="002961D2"/>
    <w:rsid w:val="002964CD"/>
    <w:rsid w:val="00296657"/>
    <w:rsid w:val="00296C58"/>
    <w:rsid w:val="00296DEA"/>
    <w:rsid w:val="002978B2"/>
    <w:rsid w:val="002A024E"/>
    <w:rsid w:val="002A1542"/>
    <w:rsid w:val="002A15D2"/>
    <w:rsid w:val="002A20DF"/>
    <w:rsid w:val="002A21B0"/>
    <w:rsid w:val="002A2A61"/>
    <w:rsid w:val="002A2CA8"/>
    <w:rsid w:val="002A2D95"/>
    <w:rsid w:val="002A3241"/>
    <w:rsid w:val="002A342B"/>
    <w:rsid w:val="002A3C65"/>
    <w:rsid w:val="002A3F41"/>
    <w:rsid w:val="002A4458"/>
    <w:rsid w:val="002A4520"/>
    <w:rsid w:val="002A45D4"/>
    <w:rsid w:val="002A4A76"/>
    <w:rsid w:val="002A4C4D"/>
    <w:rsid w:val="002A50DB"/>
    <w:rsid w:val="002A5610"/>
    <w:rsid w:val="002A6596"/>
    <w:rsid w:val="002A691B"/>
    <w:rsid w:val="002A732F"/>
    <w:rsid w:val="002A7D61"/>
    <w:rsid w:val="002B01C2"/>
    <w:rsid w:val="002B055A"/>
    <w:rsid w:val="002B0957"/>
    <w:rsid w:val="002B0988"/>
    <w:rsid w:val="002B0CA2"/>
    <w:rsid w:val="002B1000"/>
    <w:rsid w:val="002B10BE"/>
    <w:rsid w:val="002B1124"/>
    <w:rsid w:val="002B121D"/>
    <w:rsid w:val="002B2400"/>
    <w:rsid w:val="002B2A50"/>
    <w:rsid w:val="002B3B78"/>
    <w:rsid w:val="002B3F17"/>
    <w:rsid w:val="002B4681"/>
    <w:rsid w:val="002B4F8D"/>
    <w:rsid w:val="002B5067"/>
    <w:rsid w:val="002B54C1"/>
    <w:rsid w:val="002B56FD"/>
    <w:rsid w:val="002B574C"/>
    <w:rsid w:val="002B5B94"/>
    <w:rsid w:val="002B5C91"/>
    <w:rsid w:val="002B6514"/>
    <w:rsid w:val="002B69A6"/>
    <w:rsid w:val="002B70E9"/>
    <w:rsid w:val="002B73AC"/>
    <w:rsid w:val="002B7BD8"/>
    <w:rsid w:val="002B7CD1"/>
    <w:rsid w:val="002C00A6"/>
    <w:rsid w:val="002C0368"/>
    <w:rsid w:val="002C041E"/>
    <w:rsid w:val="002C0705"/>
    <w:rsid w:val="002C0722"/>
    <w:rsid w:val="002C0AAA"/>
    <w:rsid w:val="002C0AFC"/>
    <w:rsid w:val="002C0BE6"/>
    <w:rsid w:val="002C0D1C"/>
    <w:rsid w:val="002C0D5D"/>
    <w:rsid w:val="002C1346"/>
    <w:rsid w:val="002C13EE"/>
    <w:rsid w:val="002C1576"/>
    <w:rsid w:val="002C17E1"/>
    <w:rsid w:val="002C1975"/>
    <w:rsid w:val="002C1E8A"/>
    <w:rsid w:val="002C269D"/>
    <w:rsid w:val="002C28F6"/>
    <w:rsid w:val="002C294A"/>
    <w:rsid w:val="002C2A35"/>
    <w:rsid w:val="002C3A79"/>
    <w:rsid w:val="002C3ACD"/>
    <w:rsid w:val="002C3D78"/>
    <w:rsid w:val="002C3EB3"/>
    <w:rsid w:val="002C3F86"/>
    <w:rsid w:val="002C41AE"/>
    <w:rsid w:val="002C4658"/>
    <w:rsid w:val="002C475D"/>
    <w:rsid w:val="002C4877"/>
    <w:rsid w:val="002C4992"/>
    <w:rsid w:val="002C6026"/>
    <w:rsid w:val="002C627E"/>
    <w:rsid w:val="002C628D"/>
    <w:rsid w:val="002C6538"/>
    <w:rsid w:val="002C685D"/>
    <w:rsid w:val="002C6DBB"/>
    <w:rsid w:val="002C74A2"/>
    <w:rsid w:val="002C74B5"/>
    <w:rsid w:val="002C7822"/>
    <w:rsid w:val="002C785E"/>
    <w:rsid w:val="002C7A77"/>
    <w:rsid w:val="002D0003"/>
    <w:rsid w:val="002D0086"/>
    <w:rsid w:val="002D010F"/>
    <w:rsid w:val="002D04F5"/>
    <w:rsid w:val="002D0669"/>
    <w:rsid w:val="002D1269"/>
    <w:rsid w:val="002D1288"/>
    <w:rsid w:val="002D12E7"/>
    <w:rsid w:val="002D1548"/>
    <w:rsid w:val="002D1567"/>
    <w:rsid w:val="002D1596"/>
    <w:rsid w:val="002D1A22"/>
    <w:rsid w:val="002D1CB5"/>
    <w:rsid w:val="002D1E86"/>
    <w:rsid w:val="002D2488"/>
    <w:rsid w:val="002D2C37"/>
    <w:rsid w:val="002D2D91"/>
    <w:rsid w:val="002D42DD"/>
    <w:rsid w:val="002D42F1"/>
    <w:rsid w:val="002D4B2D"/>
    <w:rsid w:val="002D51FC"/>
    <w:rsid w:val="002D5576"/>
    <w:rsid w:val="002D55CE"/>
    <w:rsid w:val="002D5B44"/>
    <w:rsid w:val="002D6254"/>
    <w:rsid w:val="002D64A6"/>
    <w:rsid w:val="002D65C4"/>
    <w:rsid w:val="002D67A8"/>
    <w:rsid w:val="002D70E3"/>
    <w:rsid w:val="002D7684"/>
    <w:rsid w:val="002D7782"/>
    <w:rsid w:val="002E0704"/>
    <w:rsid w:val="002E0A1A"/>
    <w:rsid w:val="002E0DB3"/>
    <w:rsid w:val="002E1561"/>
    <w:rsid w:val="002E1755"/>
    <w:rsid w:val="002E1BFC"/>
    <w:rsid w:val="002E1D6F"/>
    <w:rsid w:val="002E2176"/>
    <w:rsid w:val="002E219E"/>
    <w:rsid w:val="002E2CDD"/>
    <w:rsid w:val="002E3B33"/>
    <w:rsid w:val="002E454C"/>
    <w:rsid w:val="002E4FC8"/>
    <w:rsid w:val="002E532B"/>
    <w:rsid w:val="002E5AB1"/>
    <w:rsid w:val="002E5BBE"/>
    <w:rsid w:val="002E5DE2"/>
    <w:rsid w:val="002E6F10"/>
    <w:rsid w:val="002E73C2"/>
    <w:rsid w:val="002E7439"/>
    <w:rsid w:val="002E8CCE"/>
    <w:rsid w:val="002F02F3"/>
    <w:rsid w:val="002F0BF3"/>
    <w:rsid w:val="002F14BB"/>
    <w:rsid w:val="002F16C0"/>
    <w:rsid w:val="002F1713"/>
    <w:rsid w:val="002F1C0E"/>
    <w:rsid w:val="002F1FB3"/>
    <w:rsid w:val="002F1FB7"/>
    <w:rsid w:val="002F2144"/>
    <w:rsid w:val="002F235A"/>
    <w:rsid w:val="002F2A1A"/>
    <w:rsid w:val="002F2D51"/>
    <w:rsid w:val="002F31DC"/>
    <w:rsid w:val="002F3690"/>
    <w:rsid w:val="002F3B84"/>
    <w:rsid w:val="002F42B6"/>
    <w:rsid w:val="002F45FD"/>
    <w:rsid w:val="002F48C3"/>
    <w:rsid w:val="002F490D"/>
    <w:rsid w:val="002F5094"/>
    <w:rsid w:val="002F55AB"/>
    <w:rsid w:val="002F59B5"/>
    <w:rsid w:val="002F5D0B"/>
    <w:rsid w:val="002F600E"/>
    <w:rsid w:val="002F64FC"/>
    <w:rsid w:val="002F6607"/>
    <w:rsid w:val="002F6742"/>
    <w:rsid w:val="002F6749"/>
    <w:rsid w:val="002F6ECC"/>
    <w:rsid w:val="002F72A3"/>
    <w:rsid w:val="002F7309"/>
    <w:rsid w:val="002F7478"/>
    <w:rsid w:val="002F7954"/>
    <w:rsid w:val="002F7B8A"/>
    <w:rsid w:val="002F7C75"/>
    <w:rsid w:val="00300361"/>
    <w:rsid w:val="003008B1"/>
    <w:rsid w:val="00300F46"/>
    <w:rsid w:val="00300F54"/>
    <w:rsid w:val="00301107"/>
    <w:rsid w:val="003015B2"/>
    <w:rsid w:val="003017B3"/>
    <w:rsid w:val="00301E26"/>
    <w:rsid w:val="00302160"/>
    <w:rsid w:val="003021E7"/>
    <w:rsid w:val="00302259"/>
    <w:rsid w:val="003022AA"/>
    <w:rsid w:val="003023F5"/>
    <w:rsid w:val="003026EF"/>
    <w:rsid w:val="00303202"/>
    <w:rsid w:val="003047B0"/>
    <w:rsid w:val="00304849"/>
    <w:rsid w:val="0030498A"/>
    <w:rsid w:val="00304E7E"/>
    <w:rsid w:val="00305845"/>
    <w:rsid w:val="003068DE"/>
    <w:rsid w:val="003076C1"/>
    <w:rsid w:val="00307C5F"/>
    <w:rsid w:val="00307D00"/>
    <w:rsid w:val="00307F06"/>
    <w:rsid w:val="003104E6"/>
    <w:rsid w:val="003106B4"/>
    <w:rsid w:val="00310BD9"/>
    <w:rsid w:val="00310C3F"/>
    <w:rsid w:val="00310C91"/>
    <w:rsid w:val="00310D59"/>
    <w:rsid w:val="00310F3A"/>
    <w:rsid w:val="00311C42"/>
    <w:rsid w:val="00312283"/>
    <w:rsid w:val="003126F8"/>
    <w:rsid w:val="00312739"/>
    <w:rsid w:val="00312839"/>
    <w:rsid w:val="00312E38"/>
    <w:rsid w:val="00312E8B"/>
    <w:rsid w:val="00312F0D"/>
    <w:rsid w:val="003135DC"/>
    <w:rsid w:val="00313681"/>
    <w:rsid w:val="00313A23"/>
    <w:rsid w:val="00313BA1"/>
    <w:rsid w:val="00313D19"/>
    <w:rsid w:val="00314622"/>
    <w:rsid w:val="003149AC"/>
    <w:rsid w:val="00314A33"/>
    <w:rsid w:val="00314FE1"/>
    <w:rsid w:val="00315580"/>
    <w:rsid w:val="0031591F"/>
    <w:rsid w:val="00315DBE"/>
    <w:rsid w:val="003160ED"/>
    <w:rsid w:val="00316654"/>
    <w:rsid w:val="00317074"/>
    <w:rsid w:val="00317304"/>
    <w:rsid w:val="0031748F"/>
    <w:rsid w:val="00317517"/>
    <w:rsid w:val="00317967"/>
    <w:rsid w:val="00320170"/>
    <w:rsid w:val="00321122"/>
    <w:rsid w:val="003219EA"/>
    <w:rsid w:val="00321D06"/>
    <w:rsid w:val="00322936"/>
    <w:rsid w:val="0032293C"/>
    <w:rsid w:val="0032318C"/>
    <w:rsid w:val="003234F3"/>
    <w:rsid w:val="00323518"/>
    <w:rsid w:val="00323572"/>
    <w:rsid w:val="00323A2D"/>
    <w:rsid w:val="00323A42"/>
    <w:rsid w:val="00323A57"/>
    <w:rsid w:val="00323ACE"/>
    <w:rsid w:val="00323B75"/>
    <w:rsid w:val="00323C45"/>
    <w:rsid w:val="00324776"/>
    <w:rsid w:val="0032527B"/>
    <w:rsid w:val="0032550D"/>
    <w:rsid w:val="00325A41"/>
    <w:rsid w:val="0032654C"/>
    <w:rsid w:val="003268A6"/>
    <w:rsid w:val="003268ED"/>
    <w:rsid w:val="00326AC8"/>
    <w:rsid w:val="00326DA8"/>
    <w:rsid w:val="00326EE9"/>
    <w:rsid w:val="00327218"/>
    <w:rsid w:val="00327983"/>
    <w:rsid w:val="00327C08"/>
    <w:rsid w:val="00327DBB"/>
    <w:rsid w:val="003306E3"/>
    <w:rsid w:val="00330741"/>
    <w:rsid w:val="00330A90"/>
    <w:rsid w:val="00330B5A"/>
    <w:rsid w:val="003317FE"/>
    <w:rsid w:val="00331828"/>
    <w:rsid w:val="00331A25"/>
    <w:rsid w:val="00331D4E"/>
    <w:rsid w:val="00331D83"/>
    <w:rsid w:val="0033221D"/>
    <w:rsid w:val="00332466"/>
    <w:rsid w:val="003329C2"/>
    <w:rsid w:val="00332E89"/>
    <w:rsid w:val="00333961"/>
    <w:rsid w:val="00333C75"/>
    <w:rsid w:val="003341DF"/>
    <w:rsid w:val="003346F7"/>
    <w:rsid w:val="003350C1"/>
    <w:rsid w:val="00335152"/>
    <w:rsid w:val="003353EE"/>
    <w:rsid w:val="00335BE2"/>
    <w:rsid w:val="0033625F"/>
    <w:rsid w:val="003362AA"/>
    <w:rsid w:val="003365F9"/>
    <w:rsid w:val="0033688B"/>
    <w:rsid w:val="00336989"/>
    <w:rsid w:val="00336B43"/>
    <w:rsid w:val="00336F2A"/>
    <w:rsid w:val="003371B1"/>
    <w:rsid w:val="00337B08"/>
    <w:rsid w:val="00340011"/>
    <w:rsid w:val="003408FE"/>
    <w:rsid w:val="00340999"/>
    <w:rsid w:val="00340A7A"/>
    <w:rsid w:val="00340C34"/>
    <w:rsid w:val="003412AA"/>
    <w:rsid w:val="0034206F"/>
    <w:rsid w:val="003421E8"/>
    <w:rsid w:val="00342540"/>
    <w:rsid w:val="00342763"/>
    <w:rsid w:val="00343314"/>
    <w:rsid w:val="003435B2"/>
    <w:rsid w:val="003437F3"/>
    <w:rsid w:val="00343A24"/>
    <w:rsid w:val="00343A75"/>
    <w:rsid w:val="00343E18"/>
    <w:rsid w:val="00344509"/>
    <w:rsid w:val="003446EC"/>
    <w:rsid w:val="00344BDD"/>
    <w:rsid w:val="00344DBD"/>
    <w:rsid w:val="00345056"/>
    <w:rsid w:val="0034521F"/>
    <w:rsid w:val="0034533D"/>
    <w:rsid w:val="003456A2"/>
    <w:rsid w:val="0034581C"/>
    <w:rsid w:val="003459F5"/>
    <w:rsid w:val="003471B2"/>
    <w:rsid w:val="0034723A"/>
    <w:rsid w:val="00347395"/>
    <w:rsid w:val="00347E5E"/>
    <w:rsid w:val="00350132"/>
    <w:rsid w:val="0035027E"/>
    <w:rsid w:val="0035058B"/>
    <w:rsid w:val="003506AA"/>
    <w:rsid w:val="00350916"/>
    <w:rsid w:val="00350AE8"/>
    <w:rsid w:val="00351568"/>
    <w:rsid w:val="003517F6"/>
    <w:rsid w:val="00351CD7"/>
    <w:rsid w:val="00352519"/>
    <w:rsid w:val="003528F4"/>
    <w:rsid w:val="00352A37"/>
    <w:rsid w:val="00352ECD"/>
    <w:rsid w:val="00353BC5"/>
    <w:rsid w:val="00353D1A"/>
    <w:rsid w:val="00353FF8"/>
    <w:rsid w:val="00354032"/>
    <w:rsid w:val="003542D4"/>
    <w:rsid w:val="00354998"/>
    <w:rsid w:val="003549CE"/>
    <w:rsid w:val="00355245"/>
    <w:rsid w:val="003553F1"/>
    <w:rsid w:val="003558AB"/>
    <w:rsid w:val="0035594C"/>
    <w:rsid w:val="00355DCA"/>
    <w:rsid w:val="00356328"/>
    <w:rsid w:val="00356535"/>
    <w:rsid w:val="0035671E"/>
    <w:rsid w:val="00356735"/>
    <w:rsid w:val="00357008"/>
    <w:rsid w:val="00357346"/>
    <w:rsid w:val="00357412"/>
    <w:rsid w:val="003577B7"/>
    <w:rsid w:val="00357FAE"/>
    <w:rsid w:val="00360469"/>
    <w:rsid w:val="00360912"/>
    <w:rsid w:val="00360F50"/>
    <w:rsid w:val="003614AC"/>
    <w:rsid w:val="00361797"/>
    <w:rsid w:val="0036242E"/>
    <w:rsid w:val="00362A19"/>
    <w:rsid w:val="00362C2B"/>
    <w:rsid w:val="00363662"/>
    <w:rsid w:val="003637C7"/>
    <w:rsid w:val="00364060"/>
    <w:rsid w:val="00364217"/>
    <w:rsid w:val="00364D7F"/>
    <w:rsid w:val="0036521C"/>
    <w:rsid w:val="00365E8B"/>
    <w:rsid w:val="00365FCA"/>
    <w:rsid w:val="0036614C"/>
    <w:rsid w:val="003664DA"/>
    <w:rsid w:val="00366545"/>
    <w:rsid w:val="003669FA"/>
    <w:rsid w:val="00366B11"/>
    <w:rsid w:val="00366EEA"/>
    <w:rsid w:val="003678DF"/>
    <w:rsid w:val="003679FA"/>
    <w:rsid w:val="00367CC3"/>
    <w:rsid w:val="00367DEE"/>
    <w:rsid w:val="00371898"/>
    <w:rsid w:val="00371B7B"/>
    <w:rsid w:val="00371D28"/>
    <w:rsid w:val="00371D5F"/>
    <w:rsid w:val="00372150"/>
    <w:rsid w:val="0037256D"/>
    <w:rsid w:val="003726AE"/>
    <w:rsid w:val="00372D09"/>
    <w:rsid w:val="0037379C"/>
    <w:rsid w:val="003739EB"/>
    <w:rsid w:val="00373A0C"/>
    <w:rsid w:val="00373B96"/>
    <w:rsid w:val="00373DA1"/>
    <w:rsid w:val="003743A6"/>
    <w:rsid w:val="003743E3"/>
    <w:rsid w:val="00374420"/>
    <w:rsid w:val="00374694"/>
    <w:rsid w:val="003747F7"/>
    <w:rsid w:val="003749C9"/>
    <w:rsid w:val="00374D76"/>
    <w:rsid w:val="00375222"/>
    <w:rsid w:val="00375AED"/>
    <w:rsid w:val="003761A5"/>
    <w:rsid w:val="00376817"/>
    <w:rsid w:val="00376964"/>
    <w:rsid w:val="00376DEA"/>
    <w:rsid w:val="003772D3"/>
    <w:rsid w:val="00377360"/>
    <w:rsid w:val="00377474"/>
    <w:rsid w:val="0037793D"/>
    <w:rsid w:val="00377FCA"/>
    <w:rsid w:val="00380736"/>
    <w:rsid w:val="00380772"/>
    <w:rsid w:val="00380AC0"/>
    <w:rsid w:val="003814A3"/>
    <w:rsid w:val="00381699"/>
    <w:rsid w:val="00381A50"/>
    <w:rsid w:val="003824DE"/>
    <w:rsid w:val="003825C0"/>
    <w:rsid w:val="00382FD1"/>
    <w:rsid w:val="003856D5"/>
    <w:rsid w:val="0038575C"/>
    <w:rsid w:val="00385CC6"/>
    <w:rsid w:val="00386078"/>
    <w:rsid w:val="0038662D"/>
    <w:rsid w:val="00386F38"/>
    <w:rsid w:val="003872FA"/>
    <w:rsid w:val="00387415"/>
    <w:rsid w:val="003876A8"/>
    <w:rsid w:val="0038780B"/>
    <w:rsid w:val="00387EB7"/>
    <w:rsid w:val="0039061F"/>
    <w:rsid w:val="00390FC2"/>
    <w:rsid w:val="00391E5D"/>
    <w:rsid w:val="0039214C"/>
    <w:rsid w:val="003923E5"/>
    <w:rsid w:val="00392570"/>
    <w:rsid w:val="003925CD"/>
    <w:rsid w:val="00392C86"/>
    <w:rsid w:val="003932DC"/>
    <w:rsid w:val="00393408"/>
    <w:rsid w:val="00393BD9"/>
    <w:rsid w:val="00393CC1"/>
    <w:rsid w:val="003948E5"/>
    <w:rsid w:val="00394BFB"/>
    <w:rsid w:val="00394F73"/>
    <w:rsid w:val="00395629"/>
    <w:rsid w:val="00396064"/>
    <w:rsid w:val="003960B7"/>
    <w:rsid w:val="00396166"/>
    <w:rsid w:val="003962D3"/>
    <w:rsid w:val="00396C56"/>
    <w:rsid w:val="00396F9B"/>
    <w:rsid w:val="0039727D"/>
    <w:rsid w:val="003973F6"/>
    <w:rsid w:val="003979CC"/>
    <w:rsid w:val="00397B62"/>
    <w:rsid w:val="00397F3E"/>
    <w:rsid w:val="003A03AD"/>
    <w:rsid w:val="003A0869"/>
    <w:rsid w:val="003A196B"/>
    <w:rsid w:val="003A1BDF"/>
    <w:rsid w:val="003A21B1"/>
    <w:rsid w:val="003A2563"/>
    <w:rsid w:val="003A28A3"/>
    <w:rsid w:val="003A301A"/>
    <w:rsid w:val="003A37FD"/>
    <w:rsid w:val="003A3BD1"/>
    <w:rsid w:val="003A4583"/>
    <w:rsid w:val="003A4D21"/>
    <w:rsid w:val="003A5002"/>
    <w:rsid w:val="003A553C"/>
    <w:rsid w:val="003A569B"/>
    <w:rsid w:val="003A5A93"/>
    <w:rsid w:val="003A6307"/>
    <w:rsid w:val="003A630D"/>
    <w:rsid w:val="003A63F9"/>
    <w:rsid w:val="003A654C"/>
    <w:rsid w:val="003A65CC"/>
    <w:rsid w:val="003A663B"/>
    <w:rsid w:val="003A67C2"/>
    <w:rsid w:val="003A7158"/>
    <w:rsid w:val="003A79CE"/>
    <w:rsid w:val="003A7FB8"/>
    <w:rsid w:val="003B008B"/>
    <w:rsid w:val="003B0201"/>
    <w:rsid w:val="003B0716"/>
    <w:rsid w:val="003B0CD8"/>
    <w:rsid w:val="003B0F0B"/>
    <w:rsid w:val="003B10B7"/>
    <w:rsid w:val="003B1D8F"/>
    <w:rsid w:val="003B20D4"/>
    <w:rsid w:val="003B256B"/>
    <w:rsid w:val="003B27DE"/>
    <w:rsid w:val="003B285B"/>
    <w:rsid w:val="003B2AAE"/>
    <w:rsid w:val="003B2B21"/>
    <w:rsid w:val="003B2DFE"/>
    <w:rsid w:val="003B3239"/>
    <w:rsid w:val="003B3B4F"/>
    <w:rsid w:val="003B3F56"/>
    <w:rsid w:val="003B44F0"/>
    <w:rsid w:val="003B4B20"/>
    <w:rsid w:val="003B4B2A"/>
    <w:rsid w:val="003B4C28"/>
    <w:rsid w:val="003B4F4A"/>
    <w:rsid w:val="003B5199"/>
    <w:rsid w:val="003B5223"/>
    <w:rsid w:val="003B59F3"/>
    <w:rsid w:val="003B5C6C"/>
    <w:rsid w:val="003B5F74"/>
    <w:rsid w:val="003B6374"/>
    <w:rsid w:val="003B6578"/>
    <w:rsid w:val="003B6B0A"/>
    <w:rsid w:val="003B7241"/>
    <w:rsid w:val="003B766F"/>
    <w:rsid w:val="003B7B06"/>
    <w:rsid w:val="003B7E98"/>
    <w:rsid w:val="003C09BF"/>
    <w:rsid w:val="003C0AC6"/>
    <w:rsid w:val="003C0EEA"/>
    <w:rsid w:val="003C0F2D"/>
    <w:rsid w:val="003C14D9"/>
    <w:rsid w:val="003C2827"/>
    <w:rsid w:val="003C2C18"/>
    <w:rsid w:val="003C2C2C"/>
    <w:rsid w:val="003C31C8"/>
    <w:rsid w:val="003C36AC"/>
    <w:rsid w:val="003C3C5B"/>
    <w:rsid w:val="003C4379"/>
    <w:rsid w:val="003C4533"/>
    <w:rsid w:val="003C45D0"/>
    <w:rsid w:val="003C47E3"/>
    <w:rsid w:val="003C47E4"/>
    <w:rsid w:val="003C47EF"/>
    <w:rsid w:val="003C4B4E"/>
    <w:rsid w:val="003C4B77"/>
    <w:rsid w:val="003C4E20"/>
    <w:rsid w:val="003C4E5B"/>
    <w:rsid w:val="003C5EA0"/>
    <w:rsid w:val="003C5EFE"/>
    <w:rsid w:val="003C608E"/>
    <w:rsid w:val="003C60A5"/>
    <w:rsid w:val="003C639C"/>
    <w:rsid w:val="003C7327"/>
    <w:rsid w:val="003D048A"/>
    <w:rsid w:val="003D0C1E"/>
    <w:rsid w:val="003D1225"/>
    <w:rsid w:val="003D1273"/>
    <w:rsid w:val="003D14CB"/>
    <w:rsid w:val="003D16FF"/>
    <w:rsid w:val="003D1E18"/>
    <w:rsid w:val="003D21E9"/>
    <w:rsid w:val="003D2326"/>
    <w:rsid w:val="003D29C6"/>
    <w:rsid w:val="003D3B5F"/>
    <w:rsid w:val="003D3CB9"/>
    <w:rsid w:val="003D3E53"/>
    <w:rsid w:val="003D4768"/>
    <w:rsid w:val="003D4D5C"/>
    <w:rsid w:val="003D5B6F"/>
    <w:rsid w:val="003D5CE2"/>
    <w:rsid w:val="003D61A5"/>
    <w:rsid w:val="003D6432"/>
    <w:rsid w:val="003D7048"/>
    <w:rsid w:val="003D7201"/>
    <w:rsid w:val="003D7F13"/>
    <w:rsid w:val="003E068F"/>
    <w:rsid w:val="003E07BC"/>
    <w:rsid w:val="003E1518"/>
    <w:rsid w:val="003E1A4A"/>
    <w:rsid w:val="003E1B22"/>
    <w:rsid w:val="003E1BD5"/>
    <w:rsid w:val="003E2726"/>
    <w:rsid w:val="003E2B6C"/>
    <w:rsid w:val="003E3086"/>
    <w:rsid w:val="003E3175"/>
    <w:rsid w:val="003E3C1E"/>
    <w:rsid w:val="003E3E6B"/>
    <w:rsid w:val="003E4063"/>
    <w:rsid w:val="003E417C"/>
    <w:rsid w:val="003E41CC"/>
    <w:rsid w:val="003E4DDB"/>
    <w:rsid w:val="003E5022"/>
    <w:rsid w:val="003E5416"/>
    <w:rsid w:val="003E5851"/>
    <w:rsid w:val="003E670D"/>
    <w:rsid w:val="003E698A"/>
    <w:rsid w:val="003E6DDE"/>
    <w:rsid w:val="003E7003"/>
    <w:rsid w:val="003E756D"/>
    <w:rsid w:val="003F05FF"/>
    <w:rsid w:val="003F0695"/>
    <w:rsid w:val="003F1A46"/>
    <w:rsid w:val="003F1CAF"/>
    <w:rsid w:val="003F25FC"/>
    <w:rsid w:val="003F2870"/>
    <w:rsid w:val="003F2D00"/>
    <w:rsid w:val="003F41C9"/>
    <w:rsid w:val="003F4297"/>
    <w:rsid w:val="003F4716"/>
    <w:rsid w:val="003F480B"/>
    <w:rsid w:val="003F4A87"/>
    <w:rsid w:val="003F4B7E"/>
    <w:rsid w:val="003F52FC"/>
    <w:rsid w:val="003F53C1"/>
    <w:rsid w:val="003F59D8"/>
    <w:rsid w:val="003F5A3C"/>
    <w:rsid w:val="003F68EB"/>
    <w:rsid w:val="003F6BDA"/>
    <w:rsid w:val="003F7252"/>
    <w:rsid w:val="003F74BC"/>
    <w:rsid w:val="003F7A6E"/>
    <w:rsid w:val="003F7D2D"/>
    <w:rsid w:val="003F7FCE"/>
    <w:rsid w:val="00400590"/>
    <w:rsid w:val="004009E3"/>
    <w:rsid w:val="00400EC5"/>
    <w:rsid w:val="00401539"/>
    <w:rsid w:val="0040212B"/>
    <w:rsid w:val="00402DD5"/>
    <w:rsid w:val="00402EB2"/>
    <w:rsid w:val="004032C9"/>
    <w:rsid w:val="00403A4C"/>
    <w:rsid w:val="00403B7D"/>
    <w:rsid w:val="00403DA1"/>
    <w:rsid w:val="00404044"/>
    <w:rsid w:val="00404194"/>
    <w:rsid w:val="004042D3"/>
    <w:rsid w:val="00404686"/>
    <w:rsid w:val="00404C21"/>
    <w:rsid w:val="00404FC8"/>
    <w:rsid w:val="004053EE"/>
    <w:rsid w:val="00405646"/>
    <w:rsid w:val="004058C8"/>
    <w:rsid w:val="00405A84"/>
    <w:rsid w:val="00406092"/>
    <w:rsid w:val="0040709B"/>
    <w:rsid w:val="00407252"/>
    <w:rsid w:val="00407527"/>
    <w:rsid w:val="00407BAA"/>
    <w:rsid w:val="004100AA"/>
    <w:rsid w:val="004100F3"/>
    <w:rsid w:val="00410F3A"/>
    <w:rsid w:val="00411037"/>
    <w:rsid w:val="00411BBB"/>
    <w:rsid w:val="00411ED9"/>
    <w:rsid w:val="00412592"/>
    <w:rsid w:val="004125F0"/>
    <w:rsid w:val="00412A91"/>
    <w:rsid w:val="00412B0B"/>
    <w:rsid w:val="00413D30"/>
    <w:rsid w:val="00413F7F"/>
    <w:rsid w:val="00414677"/>
    <w:rsid w:val="004146BA"/>
    <w:rsid w:val="0041473C"/>
    <w:rsid w:val="00414821"/>
    <w:rsid w:val="004148A4"/>
    <w:rsid w:val="00414DD9"/>
    <w:rsid w:val="00415065"/>
    <w:rsid w:val="004150E2"/>
    <w:rsid w:val="004156B6"/>
    <w:rsid w:val="004156C0"/>
    <w:rsid w:val="004157AC"/>
    <w:rsid w:val="00415C40"/>
    <w:rsid w:val="00415D68"/>
    <w:rsid w:val="004167C5"/>
    <w:rsid w:val="00416A43"/>
    <w:rsid w:val="00416FD5"/>
    <w:rsid w:val="00417461"/>
    <w:rsid w:val="00420001"/>
    <w:rsid w:val="00420066"/>
    <w:rsid w:val="00420291"/>
    <w:rsid w:val="00420CFD"/>
    <w:rsid w:val="004212C9"/>
    <w:rsid w:val="0042209F"/>
    <w:rsid w:val="00422BF3"/>
    <w:rsid w:val="00422DC4"/>
    <w:rsid w:val="004237AA"/>
    <w:rsid w:val="004242F9"/>
    <w:rsid w:val="00424630"/>
    <w:rsid w:val="00425155"/>
    <w:rsid w:val="004251FD"/>
    <w:rsid w:val="00425379"/>
    <w:rsid w:val="004256E2"/>
    <w:rsid w:val="00425741"/>
    <w:rsid w:val="004257BC"/>
    <w:rsid w:val="0042590C"/>
    <w:rsid w:val="004260D6"/>
    <w:rsid w:val="0042614E"/>
    <w:rsid w:val="004271A6"/>
    <w:rsid w:val="004279D2"/>
    <w:rsid w:val="00427FB9"/>
    <w:rsid w:val="00430541"/>
    <w:rsid w:val="00430FDC"/>
    <w:rsid w:val="0043189C"/>
    <w:rsid w:val="00431FBB"/>
    <w:rsid w:val="0043249A"/>
    <w:rsid w:val="004328CC"/>
    <w:rsid w:val="00433631"/>
    <w:rsid w:val="0043453C"/>
    <w:rsid w:val="00435A97"/>
    <w:rsid w:val="00436137"/>
    <w:rsid w:val="00436948"/>
    <w:rsid w:val="004372B5"/>
    <w:rsid w:val="00437B81"/>
    <w:rsid w:val="00437F48"/>
    <w:rsid w:val="00440F8D"/>
    <w:rsid w:val="00441C64"/>
    <w:rsid w:val="0044347B"/>
    <w:rsid w:val="00443C4A"/>
    <w:rsid w:val="00443DE5"/>
    <w:rsid w:val="00443FF2"/>
    <w:rsid w:val="0044400B"/>
    <w:rsid w:val="00444040"/>
    <w:rsid w:val="00444564"/>
    <w:rsid w:val="00444C37"/>
    <w:rsid w:val="00445A24"/>
    <w:rsid w:val="00445B30"/>
    <w:rsid w:val="00445D6A"/>
    <w:rsid w:val="00446056"/>
    <w:rsid w:val="0044694C"/>
    <w:rsid w:val="00447099"/>
    <w:rsid w:val="0044726B"/>
    <w:rsid w:val="00447365"/>
    <w:rsid w:val="0044A4F9"/>
    <w:rsid w:val="004500B7"/>
    <w:rsid w:val="004501E0"/>
    <w:rsid w:val="00450820"/>
    <w:rsid w:val="00450DE7"/>
    <w:rsid w:val="00451022"/>
    <w:rsid w:val="0045119E"/>
    <w:rsid w:val="00451AF7"/>
    <w:rsid w:val="0045217A"/>
    <w:rsid w:val="004524A4"/>
    <w:rsid w:val="004526C4"/>
    <w:rsid w:val="00452D37"/>
    <w:rsid w:val="00452E33"/>
    <w:rsid w:val="00453425"/>
    <w:rsid w:val="00454092"/>
    <w:rsid w:val="004543D5"/>
    <w:rsid w:val="004544C6"/>
    <w:rsid w:val="0045575C"/>
    <w:rsid w:val="00456328"/>
    <w:rsid w:val="00456CF1"/>
    <w:rsid w:val="00456D9A"/>
    <w:rsid w:val="00456F3B"/>
    <w:rsid w:val="004572BF"/>
    <w:rsid w:val="004602E5"/>
    <w:rsid w:val="00460389"/>
    <w:rsid w:val="004611DD"/>
    <w:rsid w:val="0046162D"/>
    <w:rsid w:val="00461D4B"/>
    <w:rsid w:val="0046240E"/>
    <w:rsid w:val="00462A28"/>
    <w:rsid w:val="00462B8A"/>
    <w:rsid w:val="004631C3"/>
    <w:rsid w:val="00463820"/>
    <w:rsid w:val="0046428D"/>
    <w:rsid w:val="004642C9"/>
    <w:rsid w:val="00464611"/>
    <w:rsid w:val="00464E28"/>
    <w:rsid w:val="00465D15"/>
    <w:rsid w:val="004661BE"/>
    <w:rsid w:val="004669F4"/>
    <w:rsid w:val="004669F7"/>
    <w:rsid w:val="004671CA"/>
    <w:rsid w:val="004674AA"/>
    <w:rsid w:val="0046782B"/>
    <w:rsid w:val="00467982"/>
    <w:rsid w:val="004702DF"/>
    <w:rsid w:val="00470D6F"/>
    <w:rsid w:val="004710D0"/>
    <w:rsid w:val="00471D2E"/>
    <w:rsid w:val="00471F80"/>
    <w:rsid w:val="00471F83"/>
    <w:rsid w:val="00471FAF"/>
    <w:rsid w:val="0047206D"/>
    <w:rsid w:val="004724C5"/>
    <w:rsid w:val="00472C05"/>
    <w:rsid w:val="00472D0D"/>
    <w:rsid w:val="00473073"/>
    <w:rsid w:val="0047391F"/>
    <w:rsid w:val="00474092"/>
    <w:rsid w:val="00474161"/>
    <w:rsid w:val="004742B9"/>
    <w:rsid w:val="00474676"/>
    <w:rsid w:val="0047500A"/>
    <w:rsid w:val="00475981"/>
    <w:rsid w:val="00475C1A"/>
    <w:rsid w:val="00475F76"/>
    <w:rsid w:val="00477428"/>
    <w:rsid w:val="0047764F"/>
    <w:rsid w:val="0048022F"/>
    <w:rsid w:val="0048059E"/>
    <w:rsid w:val="00480C86"/>
    <w:rsid w:val="00480F95"/>
    <w:rsid w:val="004813AB"/>
    <w:rsid w:val="004813F4"/>
    <w:rsid w:val="00481600"/>
    <w:rsid w:val="0048165D"/>
    <w:rsid w:val="00481A05"/>
    <w:rsid w:val="00481B04"/>
    <w:rsid w:val="004821B2"/>
    <w:rsid w:val="00482B34"/>
    <w:rsid w:val="00482C52"/>
    <w:rsid w:val="00482FD3"/>
    <w:rsid w:val="00483089"/>
    <w:rsid w:val="004830B4"/>
    <w:rsid w:val="0048386B"/>
    <w:rsid w:val="00483C2F"/>
    <w:rsid w:val="0048455B"/>
    <w:rsid w:val="00484646"/>
    <w:rsid w:val="00484769"/>
    <w:rsid w:val="00484FEE"/>
    <w:rsid w:val="00485210"/>
    <w:rsid w:val="00485FA5"/>
    <w:rsid w:val="00485FC9"/>
    <w:rsid w:val="004860E0"/>
    <w:rsid w:val="00486414"/>
    <w:rsid w:val="004865E3"/>
    <w:rsid w:val="004866BC"/>
    <w:rsid w:val="00486A13"/>
    <w:rsid w:val="00486B66"/>
    <w:rsid w:val="00486F4D"/>
    <w:rsid w:val="00487767"/>
    <w:rsid w:val="004877D8"/>
    <w:rsid w:val="00487848"/>
    <w:rsid w:val="004878A1"/>
    <w:rsid w:val="00487F1F"/>
    <w:rsid w:val="0049003D"/>
    <w:rsid w:val="00491FDD"/>
    <w:rsid w:val="0049262F"/>
    <w:rsid w:val="00492685"/>
    <w:rsid w:val="00492844"/>
    <w:rsid w:val="004928DB"/>
    <w:rsid w:val="00492A62"/>
    <w:rsid w:val="00492B87"/>
    <w:rsid w:val="00492D39"/>
    <w:rsid w:val="004930CD"/>
    <w:rsid w:val="0049328D"/>
    <w:rsid w:val="00493395"/>
    <w:rsid w:val="00493978"/>
    <w:rsid w:val="00493FCC"/>
    <w:rsid w:val="00494CBA"/>
    <w:rsid w:val="00495019"/>
    <w:rsid w:val="00495130"/>
    <w:rsid w:val="004955C9"/>
    <w:rsid w:val="0049581E"/>
    <w:rsid w:val="00495A1D"/>
    <w:rsid w:val="00495EF7"/>
    <w:rsid w:val="004962C3"/>
    <w:rsid w:val="0049722E"/>
    <w:rsid w:val="00497407"/>
    <w:rsid w:val="004975E3"/>
    <w:rsid w:val="00497778"/>
    <w:rsid w:val="004A0A9F"/>
    <w:rsid w:val="004A13AF"/>
    <w:rsid w:val="004A1AC1"/>
    <w:rsid w:val="004A1CE5"/>
    <w:rsid w:val="004A1E2C"/>
    <w:rsid w:val="004A2514"/>
    <w:rsid w:val="004A260E"/>
    <w:rsid w:val="004A26B3"/>
    <w:rsid w:val="004A2776"/>
    <w:rsid w:val="004A2B66"/>
    <w:rsid w:val="004A32E9"/>
    <w:rsid w:val="004A3687"/>
    <w:rsid w:val="004A3D43"/>
    <w:rsid w:val="004A4639"/>
    <w:rsid w:val="004A58FC"/>
    <w:rsid w:val="004A5A34"/>
    <w:rsid w:val="004A6486"/>
    <w:rsid w:val="004A65EF"/>
    <w:rsid w:val="004A7256"/>
    <w:rsid w:val="004A7324"/>
    <w:rsid w:val="004A7333"/>
    <w:rsid w:val="004A75F1"/>
    <w:rsid w:val="004A7A41"/>
    <w:rsid w:val="004B083D"/>
    <w:rsid w:val="004B0F6C"/>
    <w:rsid w:val="004B1413"/>
    <w:rsid w:val="004B1803"/>
    <w:rsid w:val="004B2492"/>
    <w:rsid w:val="004B2495"/>
    <w:rsid w:val="004B2714"/>
    <w:rsid w:val="004B2F71"/>
    <w:rsid w:val="004B2F8E"/>
    <w:rsid w:val="004B35B6"/>
    <w:rsid w:val="004B3689"/>
    <w:rsid w:val="004B4BBC"/>
    <w:rsid w:val="004B5168"/>
    <w:rsid w:val="004B53BF"/>
    <w:rsid w:val="004B5A01"/>
    <w:rsid w:val="004B5A3F"/>
    <w:rsid w:val="004B5A83"/>
    <w:rsid w:val="004B5C29"/>
    <w:rsid w:val="004B62D8"/>
    <w:rsid w:val="004B7128"/>
    <w:rsid w:val="004B7D43"/>
    <w:rsid w:val="004B7E0F"/>
    <w:rsid w:val="004C0294"/>
    <w:rsid w:val="004C0522"/>
    <w:rsid w:val="004C0526"/>
    <w:rsid w:val="004C18CC"/>
    <w:rsid w:val="004C1D8B"/>
    <w:rsid w:val="004C282D"/>
    <w:rsid w:val="004C2D22"/>
    <w:rsid w:val="004C2E79"/>
    <w:rsid w:val="004C301C"/>
    <w:rsid w:val="004C3150"/>
    <w:rsid w:val="004C3503"/>
    <w:rsid w:val="004C3F7A"/>
    <w:rsid w:val="004C4170"/>
    <w:rsid w:val="004C4380"/>
    <w:rsid w:val="004C4773"/>
    <w:rsid w:val="004C4AAE"/>
    <w:rsid w:val="004C4FA5"/>
    <w:rsid w:val="004C52B5"/>
    <w:rsid w:val="004C59F0"/>
    <w:rsid w:val="004C5B72"/>
    <w:rsid w:val="004C6226"/>
    <w:rsid w:val="004C626C"/>
    <w:rsid w:val="004C6624"/>
    <w:rsid w:val="004C6CC0"/>
    <w:rsid w:val="004C7029"/>
    <w:rsid w:val="004C70E8"/>
    <w:rsid w:val="004C71CE"/>
    <w:rsid w:val="004C7679"/>
    <w:rsid w:val="004C7BD6"/>
    <w:rsid w:val="004C7CC9"/>
    <w:rsid w:val="004C7E65"/>
    <w:rsid w:val="004C7F12"/>
    <w:rsid w:val="004C7FA4"/>
    <w:rsid w:val="004D0126"/>
    <w:rsid w:val="004D022C"/>
    <w:rsid w:val="004D02CC"/>
    <w:rsid w:val="004D0EB6"/>
    <w:rsid w:val="004D1073"/>
    <w:rsid w:val="004D1CE9"/>
    <w:rsid w:val="004D1DD9"/>
    <w:rsid w:val="004D2053"/>
    <w:rsid w:val="004D22EE"/>
    <w:rsid w:val="004D2407"/>
    <w:rsid w:val="004D2704"/>
    <w:rsid w:val="004D2758"/>
    <w:rsid w:val="004D2FAC"/>
    <w:rsid w:val="004D2FD8"/>
    <w:rsid w:val="004D325F"/>
    <w:rsid w:val="004D3433"/>
    <w:rsid w:val="004D3FA2"/>
    <w:rsid w:val="004D4120"/>
    <w:rsid w:val="004D4564"/>
    <w:rsid w:val="004D46DD"/>
    <w:rsid w:val="004D5473"/>
    <w:rsid w:val="004D55A3"/>
    <w:rsid w:val="004D56AB"/>
    <w:rsid w:val="004D5E48"/>
    <w:rsid w:val="004D60E6"/>
    <w:rsid w:val="004D68EF"/>
    <w:rsid w:val="004D691A"/>
    <w:rsid w:val="004D70AD"/>
    <w:rsid w:val="004D7775"/>
    <w:rsid w:val="004D7F16"/>
    <w:rsid w:val="004D7F7F"/>
    <w:rsid w:val="004E04A8"/>
    <w:rsid w:val="004E085F"/>
    <w:rsid w:val="004E0F8A"/>
    <w:rsid w:val="004E0FE2"/>
    <w:rsid w:val="004E1208"/>
    <w:rsid w:val="004E1528"/>
    <w:rsid w:val="004E1D42"/>
    <w:rsid w:val="004E20E5"/>
    <w:rsid w:val="004E241E"/>
    <w:rsid w:val="004E2476"/>
    <w:rsid w:val="004E2661"/>
    <w:rsid w:val="004E28A8"/>
    <w:rsid w:val="004E2B36"/>
    <w:rsid w:val="004E2EA8"/>
    <w:rsid w:val="004E2F15"/>
    <w:rsid w:val="004E33B2"/>
    <w:rsid w:val="004E3B2A"/>
    <w:rsid w:val="004E3C30"/>
    <w:rsid w:val="004E454D"/>
    <w:rsid w:val="004E4911"/>
    <w:rsid w:val="004E57B4"/>
    <w:rsid w:val="004E646D"/>
    <w:rsid w:val="004E6743"/>
    <w:rsid w:val="004E7025"/>
    <w:rsid w:val="004E749D"/>
    <w:rsid w:val="004E7993"/>
    <w:rsid w:val="004E7C52"/>
    <w:rsid w:val="004E7D35"/>
    <w:rsid w:val="004F06A9"/>
    <w:rsid w:val="004F15D2"/>
    <w:rsid w:val="004F16BA"/>
    <w:rsid w:val="004F1AC1"/>
    <w:rsid w:val="004F1B8B"/>
    <w:rsid w:val="004F29EF"/>
    <w:rsid w:val="004F2BDA"/>
    <w:rsid w:val="004F2C27"/>
    <w:rsid w:val="004F2C9D"/>
    <w:rsid w:val="004F34E1"/>
    <w:rsid w:val="004F444E"/>
    <w:rsid w:val="004F445A"/>
    <w:rsid w:val="004F4741"/>
    <w:rsid w:val="004F5385"/>
    <w:rsid w:val="004F576E"/>
    <w:rsid w:val="004F5C54"/>
    <w:rsid w:val="004F61E6"/>
    <w:rsid w:val="004F68CA"/>
    <w:rsid w:val="004F6F61"/>
    <w:rsid w:val="004F70F2"/>
    <w:rsid w:val="004F7454"/>
    <w:rsid w:val="004F77DD"/>
    <w:rsid w:val="004F794E"/>
    <w:rsid w:val="004F799E"/>
    <w:rsid w:val="004F7C3C"/>
    <w:rsid w:val="004F7E71"/>
    <w:rsid w:val="005005E2"/>
    <w:rsid w:val="00500D4C"/>
    <w:rsid w:val="00500ED2"/>
    <w:rsid w:val="0050108F"/>
    <w:rsid w:val="00501219"/>
    <w:rsid w:val="00501436"/>
    <w:rsid w:val="00501727"/>
    <w:rsid w:val="00501B3F"/>
    <w:rsid w:val="00501EC9"/>
    <w:rsid w:val="005022C7"/>
    <w:rsid w:val="00502729"/>
    <w:rsid w:val="00502DCD"/>
    <w:rsid w:val="00502E68"/>
    <w:rsid w:val="005031FC"/>
    <w:rsid w:val="0050344C"/>
    <w:rsid w:val="005042F8"/>
    <w:rsid w:val="005045A7"/>
    <w:rsid w:val="0050481B"/>
    <w:rsid w:val="00505115"/>
    <w:rsid w:val="005056F3"/>
    <w:rsid w:val="00505AB7"/>
    <w:rsid w:val="00505FDB"/>
    <w:rsid w:val="00506375"/>
    <w:rsid w:val="00506450"/>
    <w:rsid w:val="005067D7"/>
    <w:rsid w:val="005069D2"/>
    <w:rsid w:val="005077C1"/>
    <w:rsid w:val="00507A6B"/>
    <w:rsid w:val="0051015E"/>
    <w:rsid w:val="0051016E"/>
    <w:rsid w:val="0051028F"/>
    <w:rsid w:val="005104C9"/>
    <w:rsid w:val="005105B7"/>
    <w:rsid w:val="00510677"/>
    <w:rsid w:val="00510987"/>
    <w:rsid w:val="00511108"/>
    <w:rsid w:val="005112D8"/>
    <w:rsid w:val="00511775"/>
    <w:rsid w:val="00511C32"/>
    <w:rsid w:val="005120C6"/>
    <w:rsid w:val="00512AD4"/>
    <w:rsid w:val="0051311B"/>
    <w:rsid w:val="00513289"/>
    <w:rsid w:val="005133F0"/>
    <w:rsid w:val="0051359D"/>
    <w:rsid w:val="00513686"/>
    <w:rsid w:val="00513F45"/>
    <w:rsid w:val="005145F9"/>
    <w:rsid w:val="00514DCB"/>
    <w:rsid w:val="005150B0"/>
    <w:rsid w:val="00515693"/>
    <w:rsid w:val="0051616D"/>
    <w:rsid w:val="00516662"/>
    <w:rsid w:val="00516ACC"/>
    <w:rsid w:val="00516AF3"/>
    <w:rsid w:val="00516F2F"/>
    <w:rsid w:val="0051726F"/>
    <w:rsid w:val="00517717"/>
    <w:rsid w:val="0051777A"/>
    <w:rsid w:val="00517A52"/>
    <w:rsid w:val="00517D0B"/>
    <w:rsid w:val="0052003D"/>
    <w:rsid w:val="005200A4"/>
    <w:rsid w:val="00520186"/>
    <w:rsid w:val="005202D8"/>
    <w:rsid w:val="00520423"/>
    <w:rsid w:val="00520557"/>
    <w:rsid w:val="00520D2C"/>
    <w:rsid w:val="005212E7"/>
    <w:rsid w:val="0052196C"/>
    <w:rsid w:val="00522129"/>
    <w:rsid w:val="0052293A"/>
    <w:rsid w:val="00522ACB"/>
    <w:rsid w:val="005232D0"/>
    <w:rsid w:val="00523CDA"/>
    <w:rsid w:val="005244A4"/>
    <w:rsid w:val="0052470F"/>
    <w:rsid w:val="00524838"/>
    <w:rsid w:val="00524C02"/>
    <w:rsid w:val="00524D66"/>
    <w:rsid w:val="00524E58"/>
    <w:rsid w:val="00524F73"/>
    <w:rsid w:val="00524F96"/>
    <w:rsid w:val="005250E6"/>
    <w:rsid w:val="005251EE"/>
    <w:rsid w:val="00525692"/>
    <w:rsid w:val="005256E2"/>
    <w:rsid w:val="00525776"/>
    <w:rsid w:val="005261E2"/>
    <w:rsid w:val="00526390"/>
    <w:rsid w:val="00526714"/>
    <w:rsid w:val="00527921"/>
    <w:rsid w:val="005302EF"/>
    <w:rsid w:val="0053084F"/>
    <w:rsid w:val="00531498"/>
    <w:rsid w:val="005317CE"/>
    <w:rsid w:val="00531C17"/>
    <w:rsid w:val="0053290A"/>
    <w:rsid w:val="00533D80"/>
    <w:rsid w:val="00534089"/>
    <w:rsid w:val="005340D4"/>
    <w:rsid w:val="00534DD4"/>
    <w:rsid w:val="005359C4"/>
    <w:rsid w:val="00535BA5"/>
    <w:rsid w:val="00536208"/>
    <w:rsid w:val="0053634E"/>
    <w:rsid w:val="00536DFD"/>
    <w:rsid w:val="0053735E"/>
    <w:rsid w:val="005373D5"/>
    <w:rsid w:val="0053755B"/>
    <w:rsid w:val="00537827"/>
    <w:rsid w:val="00537BBC"/>
    <w:rsid w:val="00537E69"/>
    <w:rsid w:val="0053ED9A"/>
    <w:rsid w:val="00540205"/>
    <w:rsid w:val="005402CB"/>
    <w:rsid w:val="00540405"/>
    <w:rsid w:val="00540694"/>
    <w:rsid w:val="00540B5E"/>
    <w:rsid w:val="0054118E"/>
    <w:rsid w:val="005413B9"/>
    <w:rsid w:val="00541515"/>
    <w:rsid w:val="00542079"/>
    <w:rsid w:val="0054227F"/>
    <w:rsid w:val="005427E9"/>
    <w:rsid w:val="005428E2"/>
    <w:rsid w:val="00543116"/>
    <w:rsid w:val="0054323C"/>
    <w:rsid w:val="005437CC"/>
    <w:rsid w:val="005440F5"/>
    <w:rsid w:val="00544735"/>
    <w:rsid w:val="0054494B"/>
    <w:rsid w:val="00545650"/>
    <w:rsid w:val="00545DE8"/>
    <w:rsid w:val="005460B8"/>
    <w:rsid w:val="005468E0"/>
    <w:rsid w:val="00546B43"/>
    <w:rsid w:val="00547027"/>
    <w:rsid w:val="0054741C"/>
    <w:rsid w:val="005478FB"/>
    <w:rsid w:val="005503E8"/>
    <w:rsid w:val="00551815"/>
    <w:rsid w:val="00551D1C"/>
    <w:rsid w:val="00552DAF"/>
    <w:rsid w:val="005539B4"/>
    <w:rsid w:val="0055468E"/>
    <w:rsid w:val="00554A77"/>
    <w:rsid w:val="00554F35"/>
    <w:rsid w:val="00555601"/>
    <w:rsid w:val="005564F3"/>
    <w:rsid w:val="0055655D"/>
    <w:rsid w:val="005566DE"/>
    <w:rsid w:val="0055679D"/>
    <w:rsid w:val="00556C1F"/>
    <w:rsid w:val="00556D72"/>
    <w:rsid w:val="00557A41"/>
    <w:rsid w:val="00557CC5"/>
    <w:rsid w:val="00557F61"/>
    <w:rsid w:val="00560F0A"/>
    <w:rsid w:val="00561077"/>
    <w:rsid w:val="00561407"/>
    <w:rsid w:val="005614C0"/>
    <w:rsid w:val="00561C34"/>
    <w:rsid w:val="00561ECA"/>
    <w:rsid w:val="00562369"/>
    <w:rsid w:val="00563819"/>
    <w:rsid w:val="00563B20"/>
    <w:rsid w:val="005641A8"/>
    <w:rsid w:val="0056485C"/>
    <w:rsid w:val="0056542A"/>
    <w:rsid w:val="0056558A"/>
    <w:rsid w:val="00565845"/>
    <w:rsid w:val="00565C1C"/>
    <w:rsid w:val="00565F12"/>
    <w:rsid w:val="0056645D"/>
    <w:rsid w:val="0056689F"/>
    <w:rsid w:val="00566C74"/>
    <w:rsid w:val="0056D37E"/>
    <w:rsid w:val="00570695"/>
    <w:rsid w:val="005706C0"/>
    <w:rsid w:val="00570AE1"/>
    <w:rsid w:val="00570B6A"/>
    <w:rsid w:val="00570CAB"/>
    <w:rsid w:val="00571C87"/>
    <w:rsid w:val="00572210"/>
    <w:rsid w:val="00572249"/>
    <w:rsid w:val="005724C4"/>
    <w:rsid w:val="00572721"/>
    <w:rsid w:val="00572774"/>
    <w:rsid w:val="0057279D"/>
    <w:rsid w:val="00572A89"/>
    <w:rsid w:val="00572E23"/>
    <w:rsid w:val="005730C7"/>
    <w:rsid w:val="005730DD"/>
    <w:rsid w:val="00573109"/>
    <w:rsid w:val="005735F7"/>
    <w:rsid w:val="00573DDC"/>
    <w:rsid w:val="005743A4"/>
    <w:rsid w:val="005745CB"/>
    <w:rsid w:val="005745D4"/>
    <w:rsid w:val="0057488C"/>
    <w:rsid w:val="00574FF1"/>
    <w:rsid w:val="0057503C"/>
    <w:rsid w:val="0057547C"/>
    <w:rsid w:val="00575C83"/>
    <w:rsid w:val="00576A12"/>
    <w:rsid w:val="0057725E"/>
    <w:rsid w:val="00577C10"/>
    <w:rsid w:val="00577DC2"/>
    <w:rsid w:val="00580291"/>
    <w:rsid w:val="00580924"/>
    <w:rsid w:val="005810BB"/>
    <w:rsid w:val="00581A23"/>
    <w:rsid w:val="00581BF0"/>
    <w:rsid w:val="00581C1C"/>
    <w:rsid w:val="00582246"/>
    <w:rsid w:val="0058248E"/>
    <w:rsid w:val="0058252C"/>
    <w:rsid w:val="005828F7"/>
    <w:rsid w:val="00582994"/>
    <w:rsid w:val="00582D67"/>
    <w:rsid w:val="00583114"/>
    <w:rsid w:val="005843AA"/>
    <w:rsid w:val="0058462D"/>
    <w:rsid w:val="00585838"/>
    <w:rsid w:val="00585940"/>
    <w:rsid w:val="00585D8F"/>
    <w:rsid w:val="0058611B"/>
    <w:rsid w:val="005874FC"/>
    <w:rsid w:val="00590146"/>
    <w:rsid w:val="005908DA"/>
    <w:rsid w:val="00590C97"/>
    <w:rsid w:val="00591202"/>
    <w:rsid w:val="0059127D"/>
    <w:rsid w:val="00592072"/>
    <w:rsid w:val="00592688"/>
    <w:rsid w:val="005932BF"/>
    <w:rsid w:val="00593DC8"/>
    <w:rsid w:val="00594271"/>
    <w:rsid w:val="005949FB"/>
    <w:rsid w:val="00594AE7"/>
    <w:rsid w:val="00594EE8"/>
    <w:rsid w:val="00595EA1"/>
    <w:rsid w:val="005964D2"/>
    <w:rsid w:val="005967C5"/>
    <w:rsid w:val="00597370"/>
    <w:rsid w:val="00597454"/>
    <w:rsid w:val="00597C2E"/>
    <w:rsid w:val="00597F67"/>
    <w:rsid w:val="005A064A"/>
    <w:rsid w:val="005A081D"/>
    <w:rsid w:val="005A0B50"/>
    <w:rsid w:val="005A1583"/>
    <w:rsid w:val="005A171B"/>
    <w:rsid w:val="005A1DCA"/>
    <w:rsid w:val="005A2AE2"/>
    <w:rsid w:val="005A3098"/>
    <w:rsid w:val="005A3282"/>
    <w:rsid w:val="005A3A4C"/>
    <w:rsid w:val="005A3ABF"/>
    <w:rsid w:val="005A3E75"/>
    <w:rsid w:val="005A41EE"/>
    <w:rsid w:val="005A471C"/>
    <w:rsid w:val="005A4784"/>
    <w:rsid w:val="005A4C15"/>
    <w:rsid w:val="005A5361"/>
    <w:rsid w:val="005A5A3C"/>
    <w:rsid w:val="005A5D80"/>
    <w:rsid w:val="005A61AC"/>
    <w:rsid w:val="005A631F"/>
    <w:rsid w:val="005A7076"/>
    <w:rsid w:val="005A7738"/>
    <w:rsid w:val="005A7998"/>
    <w:rsid w:val="005A7D74"/>
    <w:rsid w:val="005A7DCA"/>
    <w:rsid w:val="005A7E0F"/>
    <w:rsid w:val="005B07CD"/>
    <w:rsid w:val="005B0B00"/>
    <w:rsid w:val="005B0FE5"/>
    <w:rsid w:val="005B16C8"/>
    <w:rsid w:val="005B1D0A"/>
    <w:rsid w:val="005B28E9"/>
    <w:rsid w:val="005B2B96"/>
    <w:rsid w:val="005B2D8D"/>
    <w:rsid w:val="005B2F2C"/>
    <w:rsid w:val="005B32E2"/>
    <w:rsid w:val="005B33B5"/>
    <w:rsid w:val="005B3C2E"/>
    <w:rsid w:val="005B4148"/>
    <w:rsid w:val="005B453C"/>
    <w:rsid w:val="005B4555"/>
    <w:rsid w:val="005B4D32"/>
    <w:rsid w:val="005B503F"/>
    <w:rsid w:val="005B5106"/>
    <w:rsid w:val="005B58CE"/>
    <w:rsid w:val="005B6282"/>
    <w:rsid w:val="005B63D3"/>
    <w:rsid w:val="005B6E7C"/>
    <w:rsid w:val="005B6FA5"/>
    <w:rsid w:val="005B7C76"/>
    <w:rsid w:val="005C03EE"/>
    <w:rsid w:val="005C0D33"/>
    <w:rsid w:val="005C13DF"/>
    <w:rsid w:val="005C2A70"/>
    <w:rsid w:val="005C2E1D"/>
    <w:rsid w:val="005C3318"/>
    <w:rsid w:val="005C33DE"/>
    <w:rsid w:val="005C3459"/>
    <w:rsid w:val="005C3717"/>
    <w:rsid w:val="005C3E7A"/>
    <w:rsid w:val="005C3ED8"/>
    <w:rsid w:val="005C44A9"/>
    <w:rsid w:val="005C5225"/>
    <w:rsid w:val="005C58ED"/>
    <w:rsid w:val="005C5DC6"/>
    <w:rsid w:val="005C5FB3"/>
    <w:rsid w:val="005C6AFD"/>
    <w:rsid w:val="005C6DA0"/>
    <w:rsid w:val="005D01A0"/>
    <w:rsid w:val="005D035D"/>
    <w:rsid w:val="005D0759"/>
    <w:rsid w:val="005D0C3D"/>
    <w:rsid w:val="005D36A0"/>
    <w:rsid w:val="005D4D6C"/>
    <w:rsid w:val="005D4E53"/>
    <w:rsid w:val="005D52D8"/>
    <w:rsid w:val="005D590D"/>
    <w:rsid w:val="005D61A8"/>
    <w:rsid w:val="005D64BE"/>
    <w:rsid w:val="005D6599"/>
    <w:rsid w:val="005D6A92"/>
    <w:rsid w:val="005D6CB0"/>
    <w:rsid w:val="005D6EBB"/>
    <w:rsid w:val="005D7093"/>
    <w:rsid w:val="005D7430"/>
    <w:rsid w:val="005D7509"/>
    <w:rsid w:val="005D76ED"/>
    <w:rsid w:val="005D7A70"/>
    <w:rsid w:val="005D7F29"/>
    <w:rsid w:val="005D7F72"/>
    <w:rsid w:val="005E0835"/>
    <w:rsid w:val="005E09B9"/>
    <w:rsid w:val="005E0C99"/>
    <w:rsid w:val="005E1163"/>
    <w:rsid w:val="005E13B2"/>
    <w:rsid w:val="005E14E5"/>
    <w:rsid w:val="005E1893"/>
    <w:rsid w:val="005E193C"/>
    <w:rsid w:val="005E19D9"/>
    <w:rsid w:val="005E29B8"/>
    <w:rsid w:val="005E2AFD"/>
    <w:rsid w:val="005E2B53"/>
    <w:rsid w:val="005E3165"/>
    <w:rsid w:val="005E3BDC"/>
    <w:rsid w:val="005E3D95"/>
    <w:rsid w:val="005E3DA8"/>
    <w:rsid w:val="005E3F54"/>
    <w:rsid w:val="005E46E1"/>
    <w:rsid w:val="005E49AD"/>
    <w:rsid w:val="005E4A01"/>
    <w:rsid w:val="005E4A2C"/>
    <w:rsid w:val="005E4A86"/>
    <w:rsid w:val="005E4C23"/>
    <w:rsid w:val="005E53BC"/>
    <w:rsid w:val="005E55EA"/>
    <w:rsid w:val="005E56BA"/>
    <w:rsid w:val="005E58C0"/>
    <w:rsid w:val="005E595F"/>
    <w:rsid w:val="005E5B8C"/>
    <w:rsid w:val="005E69C5"/>
    <w:rsid w:val="005E71C2"/>
    <w:rsid w:val="005E7627"/>
    <w:rsid w:val="005E7872"/>
    <w:rsid w:val="005E7F97"/>
    <w:rsid w:val="005E7FE2"/>
    <w:rsid w:val="005F0662"/>
    <w:rsid w:val="005F06FF"/>
    <w:rsid w:val="005F0AD5"/>
    <w:rsid w:val="005F1296"/>
    <w:rsid w:val="005F1385"/>
    <w:rsid w:val="005F18FA"/>
    <w:rsid w:val="005F1F06"/>
    <w:rsid w:val="005F2224"/>
    <w:rsid w:val="005F2591"/>
    <w:rsid w:val="005F2600"/>
    <w:rsid w:val="005F2857"/>
    <w:rsid w:val="005F330A"/>
    <w:rsid w:val="005F4512"/>
    <w:rsid w:val="005F4D1A"/>
    <w:rsid w:val="005F4D4A"/>
    <w:rsid w:val="005F4DC2"/>
    <w:rsid w:val="005F4EED"/>
    <w:rsid w:val="005F4F24"/>
    <w:rsid w:val="005F5171"/>
    <w:rsid w:val="005F5561"/>
    <w:rsid w:val="005F5C62"/>
    <w:rsid w:val="005F6285"/>
    <w:rsid w:val="00600496"/>
    <w:rsid w:val="00600D18"/>
    <w:rsid w:val="00600FF9"/>
    <w:rsid w:val="006010D3"/>
    <w:rsid w:val="00601A57"/>
    <w:rsid w:val="00601C2D"/>
    <w:rsid w:val="00601FF3"/>
    <w:rsid w:val="0060284B"/>
    <w:rsid w:val="00602B3E"/>
    <w:rsid w:val="00602C4E"/>
    <w:rsid w:val="00602E53"/>
    <w:rsid w:val="00602F52"/>
    <w:rsid w:val="0060356D"/>
    <w:rsid w:val="006035E6"/>
    <w:rsid w:val="00603CE4"/>
    <w:rsid w:val="00603D19"/>
    <w:rsid w:val="00603FCE"/>
    <w:rsid w:val="00603FDC"/>
    <w:rsid w:val="00604269"/>
    <w:rsid w:val="006049BD"/>
    <w:rsid w:val="00605262"/>
    <w:rsid w:val="0060601D"/>
    <w:rsid w:val="006064A3"/>
    <w:rsid w:val="006069ED"/>
    <w:rsid w:val="00606B3D"/>
    <w:rsid w:val="006072B7"/>
    <w:rsid w:val="00607487"/>
    <w:rsid w:val="006078E6"/>
    <w:rsid w:val="00607B9D"/>
    <w:rsid w:val="00610256"/>
    <w:rsid w:val="00610281"/>
    <w:rsid w:val="00610369"/>
    <w:rsid w:val="006113F0"/>
    <w:rsid w:val="00611682"/>
    <w:rsid w:val="0061188E"/>
    <w:rsid w:val="00611CF7"/>
    <w:rsid w:val="00611E59"/>
    <w:rsid w:val="00612053"/>
    <w:rsid w:val="0061258C"/>
    <w:rsid w:val="00612938"/>
    <w:rsid w:val="00613AFA"/>
    <w:rsid w:val="0061424F"/>
    <w:rsid w:val="00614FD1"/>
    <w:rsid w:val="006153C8"/>
    <w:rsid w:val="00615899"/>
    <w:rsid w:val="00615F52"/>
    <w:rsid w:val="006162D2"/>
    <w:rsid w:val="00616843"/>
    <w:rsid w:val="0061716E"/>
    <w:rsid w:val="0061732C"/>
    <w:rsid w:val="00617FE4"/>
    <w:rsid w:val="00620476"/>
    <w:rsid w:val="006209A4"/>
    <w:rsid w:val="006219AB"/>
    <w:rsid w:val="00621F58"/>
    <w:rsid w:val="00621FC9"/>
    <w:rsid w:val="006220EA"/>
    <w:rsid w:val="00622148"/>
    <w:rsid w:val="00622D2A"/>
    <w:rsid w:val="00622DE1"/>
    <w:rsid w:val="00622F7D"/>
    <w:rsid w:val="006230B9"/>
    <w:rsid w:val="0062346E"/>
    <w:rsid w:val="006238FF"/>
    <w:rsid w:val="00624759"/>
    <w:rsid w:val="0062481C"/>
    <w:rsid w:val="00624982"/>
    <w:rsid w:val="00624D4D"/>
    <w:rsid w:val="00624F07"/>
    <w:rsid w:val="00624F2D"/>
    <w:rsid w:val="00626139"/>
    <w:rsid w:val="006266EE"/>
    <w:rsid w:val="00626D6B"/>
    <w:rsid w:val="00627617"/>
    <w:rsid w:val="00627D00"/>
    <w:rsid w:val="00627E27"/>
    <w:rsid w:val="006302CF"/>
    <w:rsid w:val="006309C5"/>
    <w:rsid w:val="00630E63"/>
    <w:rsid w:val="00631170"/>
    <w:rsid w:val="00631186"/>
    <w:rsid w:val="006312E7"/>
    <w:rsid w:val="006315A4"/>
    <w:rsid w:val="006318A0"/>
    <w:rsid w:val="00632552"/>
    <w:rsid w:val="00632964"/>
    <w:rsid w:val="00632ED6"/>
    <w:rsid w:val="00633667"/>
    <w:rsid w:val="00633AAE"/>
    <w:rsid w:val="00633C75"/>
    <w:rsid w:val="00633E04"/>
    <w:rsid w:val="00633EE3"/>
    <w:rsid w:val="00633F0D"/>
    <w:rsid w:val="00633F40"/>
    <w:rsid w:val="00634B80"/>
    <w:rsid w:val="0063540D"/>
    <w:rsid w:val="00635515"/>
    <w:rsid w:val="00635824"/>
    <w:rsid w:val="00636818"/>
    <w:rsid w:val="00636C88"/>
    <w:rsid w:val="00636EB7"/>
    <w:rsid w:val="00636FCC"/>
    <w:rsid w:val="00637136"/>
    <w:rsid w:val="006373DE"/>
    <w:rsid w:val="006374D8"/>
    <w:rsid w:val="00637DA1"/>
    <w:rsid w:val="00640372"/>
    <w:rsid w:val="006403FA"/>
    <w:rsid w:val="006408A4"/>
    <w:rsid w:val="00640975"/>
    <w:rsid w:val="00640BA9"/>
    <w:rsid w:val="00641F30"/>
    <w:rsid w:val="006421BE"/>
    <w:rsid w:val="006425EE"/>
    <w:rsid w:val="00642FB1"/>
    <w:rsid w:val="0064307E"/>
    <w:rsid w:val="006436CA"/>
    <w:rsid w:val="00643955"/>
    <w:rsid w:val="0064422B"/>
    <w:rsid w:val="00644246"/>
    <w:rsid w:val="00644268"/>
    <w:rsid w:val="00644A4E"/>
    <w:rsid w:val="00644DFE"/>
    <w:rsid w:val="00645088"/>
    <w:rsid w:val="00645187"/>
    <w:rsid w:val="0064555F"/>
    <w:rsid w:val="006458DD"/>
    <w:rsid w:val="0064603B"/>
    <w:rsid w:val="0064647C"/>
    <w:rsid w:val="00646561"/>
    <w:rsid w:val="00646762"/>
    <w:rsid w:val="00646E63"/>
    <w:rsid w:val="00646FAD"/>
    <w:rsid w:val="0064716B"/>
    <w:rsid w:val="00647BD2"/>
    <w:rsid w:val="006503F8"/>
    <w:rsid w:val="006507A2"/>
    <w:rsid w:val="00650DCB"/>
    <w:rsid w:val="0065117F"/>
    <w:rsid w:val="006512E4"/>
    <w:rsid w:val="0065182E"/>
    <w:rsid w:val="006524E0"/>
    <w:rsid w:val="00652575"/>
    <w:rsid w:val="00652A18"/>
    <w:rsid w:val="00652A71"/>
    <w:rsid w:val="00653595"/>
    <w:rsid w:val="00653E80"/>
    <w:rsid w:val="006540B1"/>
    <w:rsid w:val="006542C1"/>
    <w:rsid w:val="006544EA"/>
    <w:rsid w:val="0065476F"/>
    <w:rsid w:val="00654873"/>
    <w:rsid w:val="006548ED"/>
    <w:rsid w:val="006548FE"/>
    <w:rsid w:val="00654957"/>
    <w:rsid w:val="006549A6"/>
    <w:rsid w:val="00654F1F"/>
    <w:rsid w:val="00655168"/>
    <w:rsid w:val="006551D6"/>
    <w:rsid w:val="0065580B"/>
    <w:rsid w:val="006558AE"/>
    <w:rsid w:val="00655FDF"/>
    <w:rsid w:val="00656F0F"/>
    <w:rsid w:val="00657449"/>
    <w:rsid w:val="006578D4"/>
    <w:rsid w:val="00657B7F"/>
    <w:rsid w:val="00657C80"/>
    <w:rsid w:val="00657DC9"/>
    <w:rsid w:val="006602CD"/>
    <w:rsid w:val="00660E76"/>
    <w:rsid w:val="00660FAD"/>
    <w:rsid w:val="00660FDC"/>
    <w:rsid w:val="006611EF"/>
    <w:rsid w:val="0066182D"/>
    <w:rsid w:val="00661E33"/>
    <w:rsid w:val="00661E72"/>
    <w:rsid w:val="006628D4"/>
    <w:rsid w:val="00662917"/>
    <w:rsid w:val="00662D36"/>
    <w:rsid w:val="00663099"/>
    <w:rsid w:val="00663799"/>
    <w:rsid w:val="00663C01"/>
    <w:rsid w:val="00663C05"/>
    <w:rsid w:val="006642D1"/>
    <w:rsid w:val="0066445D"/>
    <w:rsid w:val="00664899"/>
    <w:rsid w:val="00664A7B"/>
    <w:rsid w:val="00664B3E"/>
    <w:rsid w:val="00665040"/>
    <w:rsid w:val="0066549D"/>
    <w:rsid w:val="00665652"/>
    <w:rsid w:val="00665A22"/>
    <w:rsid w:val="00665E69"/>
    <w:rsid w:val="0066636A"/>
    <w:rsid w:val="00666D06"/>
    <w:rsid w:val="00666F19"/>
    <w:rsid w:val="006671EE"/>
    <w:rsid w:val="00667237"/>
    <w:rsid w:val="006672D7"/>
    <w:rsid w:val="006675FA"/>
    <w:rsid w:val="00667A1C"/>
    <w:rsid w:val="00670583"/>
    <w:rsid w:val="006706F2"/>
    <w:rsid w:val="00670A33"/>
    <w:rsid w:val="00670B47"/>
    <w:rsid w:val="00670BBF"/>
    <w:rsid w:val="00670ED5"/>
    <w:rsid w:val="00670F9A"/>
    <w:rsid w:val="0067200D"/>
    <w:rsid w:val="0067222C"/>
    <w:rsid w:val="0067226B"/>
    <w:rsid w:val="00672411"/>
    <w:rsid w:val="006725BE"/>
    <w:rsid w:val="00672803"/>
    <w:rsid w:val="00672CA8"/>
    <w:rsid w:val="00672DF5"/>
    <w:rsid w:val="0067310A"/>
    <w:rsid w:val="006732B9"/>
    <w:rsid w:val="006743BE"/>
    <w:rsid w:val="006743C7"/>
    <w:rsid w:val="0067452F"/>
    <w:rsid w:val="006747DF"/>
    <w:rsid w:val="00674E64"/>
    <w:rsid w:val="00675BB1"/>
    <w:rsid w:val="00675F06"/>
    <w:rsid w:val="006760C7"/>
    <w:rsid w:val="00676475"/>
    <w:rsid w:val="00676979"/>
    <w:rsid w:val="0067721D"/>
    <w:rsid w:val="00677498"/>
    <w:rsid w:val="006774FE"/>
    <w:rsid w:val="00677DA8"/>
    <w:rsid w:val="00677E74"/>
    <w:rsid w:val="0068033F"/>
    <w:rsid w:val="006819B8"/>
    <w:rsid w:val="00681C12"/>
    <w:rsid w:val="00681C27"/>
    <w:rsid w:val="00681E5B"/>
    <w:rsid w:val="00682195"/>
    <w:rsid w:val="0068295C"/>
    <w:rsid w:val="00682A9E"/>
    <w:rsid w:val="00682AC5"/>
    <w:rsid w:val="00682DE2"/>
    <w:rsid w:val="00682FBB"/>
    <w:rsid w:val="00683668"/>
    <w:rsid w:val="00683A0E"/>
    <w:rsid w:val="00683B08"/>
    <w:rsid w:val="00683E23"/>
    <w:rsid w:val="00683F2A"/>
    <w:rsid w:val="00684008"/>
    <w:rsid w:val="00684272"/>
    <w:rsid w:val="006846F5"/>
    <w:rsid w:val="006848E1"/>
    <w:rsid w:val="00685233"/>
    <w:rsid w:val="006852F4"/>
    <w:rsid w:val="00685429"/>
    <w:rsid w:val="00685BF5"/>
    <w:rsid w:val="00685CF6"/>
    <w:rsid w:val="00686016"/>
    <w:rsid w:val="00686505"/>
    <w:rsid w:val="006868AE"/>
    <w:rsid w:val="00686A5E"/>
    <w:rsid w:val="00686B4E"/>
    <w:rsid w:val="00686C0D"/>
    <w:rsid w:val="0068734E"/>
    <w:rsid w:val="0068754F"/>
    <w:rsid w:val="00687C54"/>
    <w:rsid w:val="00687E5C"/>
    <w:rsid w:val="006901AF"/>
    <w:rsid w:val="006902F3"/>
    <w:rsid w:val="0069069B"/>
    <w:rsid w:val="00690D6D"/>
    <w:rsid w:val="006913E2"/>
    <w:rsid w:val="006914B9"/>
    <w:rsid w:val="00691FF9"/>
    <w:rsid w:val="00692198"/>
    <w:rsid w:val="00692284"/>
    <w:rsid w:val="00692336"/>
    <w:rsid w:val="0069235A"/>
    <w:rsid w:val="0069247E"/>
    <w:rsid w:val="00692633"/>
    <w:rsid w:val="00692BED"/>
    <w:rsid w:val="00692E8E"/>
    <w:rsid w:val="00692FBD"/>
    <w:rsid w:val="0069300D"/>
    <w:rsid w:val="00693918"/>
    <w:rsid w:val="00693D70"/>
    <w:rsid w:val="00693DB6"/>
    <w:rsid w:val="00694452"/>
    <w:rsid w:val="006944F9"/>
    <w:rsid w:val="00694801"/>
    <w:rsid w:val="006949CE"/>
    <w:rsid w:val="00694B43"/>
    <w:rsid w:val="00694F83"/>
    <w:rsid w:val="00695052"/>
    <w:rsid w:val="00695A00"/>
    <w:rsid w:val="00695A39"/>
    <w:rsid w:val="00695D0C"/>
    <w:rsid w:val="00696176"/>
    <w:rsid w:val="00696247"/>
    <w:rsid w:val="00696356"/>
    <w:rsid w:val="006967BF"/>
    <w:rsid w:val="00696BCC"/>
    <w:rsid w:val="00696D9A"/>
    <w:rsid w:val="006970FA"/>
    <w:rsid w:val="006975A6"/>
    <w:rsid w:val="00697C21"/>
    <w:rsid w:val="006A0302"/>
    <w:rsid w:val="006A09D8"/>
    <w:rsid w:val="006A0B83"/>
    <w:rsid w:val="006A0EE1"/>
    <w:rsid w:val="006A12C5"/>
    <w:rsid w:val="006A13C7"/>
    <w:rsid w:val="006A141F"/>
    <w:rsid w:val="006A1681"/>
    <w:rsid w:val="006A1F40"/>
    <w:rsid w:val="006A2453"/>
    <w:rsid w:val="006A277E"/>
    <w:rsid w:val="006A2D3F"/>
    <w:rsid w:val="006A2F24"/>
    <w:rsid w:val="006A330F"/>
    <w:rsid w:val="006A34C2"/>
    <w:rsid w:val="006A3785"/>
    <w:rsid w:val="006A43BC"/>
    <w:rsid w:val="006A51CA"/>
    <w:rsid w:val="006A551C"/>
    <w:rsid w:val="006A59EA"/>
    <w:rsid w:val="006A5A53"/>
    <w:rsid w:val="006A61DA"/>
    <w:rsid w:val="006A6A4D"/>
    <w:rsid w:val="006A7006"/>
    <w:rsid w:val="006A7495"/>
    <w:rsid w:val="006A75D3"/>
    <w:rsid w:val="006A75F0"/>
    <w:rsid w:val="006A760F"/>
    <w:rsid w:val="006A7798"/>
    <w:rsid w:val="006A7A8B"/>
    <w:rsid w:val="006B0018"/>
    <w:rsid w:val="006B0061"/>
    <w:rsid w:val="006B0D64"/>
    <w:rsid w:val="006B0E20"/>
    <w:rsid w:val="006B0F5C"/>
    <w:rsid w:val="006B192D"/>
    <w:rsid w:val="006B1C50"/>
    <w:rsid w:val="006B1E71"/>
    <w:rsid w:val="006B2365"/>
    <w:rsid w:val="006B2980"/>
    <w:rsid w:val="006B2E4A"/>
    <w:rsid w:val="006B2ED3"/>
    <w:rsid w:val="006B2F2F"/>
    <w:rsid w:val="006B300C"/>
    <w:rsid w:val="006B3822"/>
    <w:rsid w:val="006B4086"/>
    <w:rsid w:val="006B41A0"/>
    <w:rsid w:val="006B4994"/>
    <w:rsid w:val="006B49B2"/>
    <w:rsid w:val="006B4AC5"/>
    <w:rsid w:val="006B4E79"/>
    <w:rsid w:val="006B4FF0"/>
    <w:rsid w:val="006B577D"/>
    <w:rsid w:val="006B59A9"/>
    <w:rsid w:val="006B5B50"/>
    <w:rsid w:val="006B644B"/>
    <w:rsid w:val="006B6582"/>
    <w:rsid w:val="006B66EA"/>
    <w:rsid w:val="006B6885"/>
    <w:rsid w:val="006B6B0A"/>
    <w:rsid w:val="006B6DE5"/>
    <w:rsid w:val="006B704E"/>
    <w:rsid w:val="006B712E"/>
    <w:rsid w:val="006B7543"/>
    <w:rsid w:val="006B755A"/>
    <w:rsid w:val="006C012E"/>
    <w:rsid w:val="006C052E"/>
    <w:rsid w:val="006C055C"/>
    <w:rsid w:val="006C112A"/>
    <w:rsid w:val="006C204F"/>
    <w:rsid w:val="006C21C9"/>
    <w:rsid w:val="006C2368"/>
    <w:rsid w:val="006C24E4"/>
    <w:rsid w:val="006C2792"/>
    <w:rsid w:val="006C2841"/>
    <w:rsid w:val="006C2938"/>
    <w:rsid w:val="006C2A08"/>
    <w:rsid w:val="006C2A6A"/>
    <w:rsid w:val="006C36AB"/>
    <w:rsid w:val="006C38F0"/>
    <w:rsid w:val="006C402E"/>
    <w:rsid w:val="006C444B"/>
    <w:rsid w:val="006C44F0"/>
    <w:rsid w:val="006C4864"/>
    <w:rsid w:val="006C4AA5"/>
    <w:rsid w:val="006C4ADF"/>
    <w:rsid w:val="006C54C6"/>
    <w:rsid w:val="006C59AC"/>
    <w:rsid w:val="006C5D38"/>
    <w:rsid w:val="006C6BAE"/>
    <w:rsid w:val="006C75C8"/>
    <w:rsid w:val="006C780B"/>
    <w:rsid w:val="006C7FA3"/>
    <w:rsid w:val="006D162E"/>
    <w:rsid w:val="006D223E"/>
    <w:rsid w:val="006D2333"/>
    <w:rsid w:val="006D237F"/>
    <w:rsid w:val="006D257D"/>
    <w:rsid w:val="006D3140"/>
    <w:rsid w:val="006D3244"/>
    <w:rsid w:val="006D36C3"/>
    <w:rsid w:val="006D3917"/>
    <w:rsid w:val="006D3968"/>
    <w:rsid w:val="006D3C1F"/>
    <w:rsid w:val="006D3DA4"/>
    <w:rsid w:val="006D424F"/>
    <w:rsid w:val="006D4F7D"/>
    <w:rsid w:val="006D5666"/>
    <w:rsid w:val="006D6876"/>
    <w:rsid w:val="006D72CC"/>
    <w:rsid w:val="006D743E"/>
    <w:rsid w:val="006E03A2"/>
    <w:rsid w:val="006E1445"/>
    <w:rsid w:val="006E1816"/>
    <w:rsid w:val="006E2268"/>
    <w:rsid w:val="006E2473"/>
    <w:rsid w:val="006E3067"/>
    <w:rsid w:val="006E30BA"/>
    <w:rsid w:val="006E3AAB"/>
    <w:rsid w:val="006E3AC7"/>
    <w:rsid w:val="006E3FE1"/>
    <w:rsid w:val="006E427A"/>
    <w:rsid w:val="006E4455"/>
    <w:rsid w:val="006E46BF"/>
    <w:rsid w:val="006E4717"/>
    <w:rsid w:val="006E49FA"/>
    <w:rsid w:val="006E4AFA"/>
    <w:rsid w:val="006E4D19"/>
    <w:rsid w:val="006E4E9E"/>
    <w:rsid w:val="006E53DB"/>
    <w:rsid w:val="006E610B"/>
    <w:rsid w:val="006E62B1"/>
    <w:rsid w:val="006E7158"/>
    <w:rsid w:val="006E7460"/>
    <w:rsid w:val="006E753B"/>
    <w:rsid w:val="006E75D6"/>
    <w:rsid w:val="006E7715"/>
    <w:rsid w:val="006E7A25"/>
    <w:rsid w:val="006E7F0F"/>
    <w:rsid w:val="006E7F8B"/>
    <w:rsid w:val="006F024E"/>
    <w:rsid w:val="006F02BB"/>
    <w:rsid w:val="006F11E8"/>
    <w:rsid w:val="006F1349"/>
    <w:rsid w:val="006F16D7"/>
    <w:rsid w:val="006F194F"/>
    <w:rsid w:val="006F19FD"/>
    <w:rsid w:val="006F1CDA"/>
    <w:rsid w:val="006F2072"/>
    <w:rsid w:val="006F26E1"/>
    <w:rsid w:val="006F32F0"/>
    <w:rsid w:val="006F45C4"/>
    <w:rsid w:val="006F4E53"/>
    <w:rsid w:val="006F53BF"/>
    <w:rsid w:val="006F563E"/>
    <w:rsid w:val="006F56AD"/>
    <w:rsid w:val="006F56B4"/>
    <w:rsid w:val="006F5EE2"/>
    <w:rsid w:val="006F6052"/>
    <w:rsid w:val="006F652D"/>
    <w:rsid w:val="006F6F4B"/>
    <w:rsid w:val="006F7295"/>
    <w:rsid w:val="006F7E60"/>
    <w:rsid w:val="00700008"/>
    <w:rsid w:val="00700732"/>
    <w:rsid w:val="0070082D"/>
    <w:rsid w:val="00700CDA"/>
    <w:rsid w:val="00700DF8"/>
    <w:rsid w:val="00700EC6"/>
    <w:rsid w:val="00700F74"/>
    <w:rsid w:val="00701C9C"/>
    <w:rsid w:val="00701E81"/>
    <w:rsid w:val="0070201B"/>
    <w:rsid w:val="007023E1"/>
    <w:rsid w:val="007026FF"/>
    <w:rsid w:val="00702C2D"/>
    <w:rsid w:val="00703BFE"/>
    <w:rsid w:val="00703DFF"/>
    <w:rsid w:val="007041D1"/>
    <w:rsid w:val="007042EE"/>
    <w:rsid w:val="0070455C"/>
    <w:rsid w:val="007045A4"/>
    <w:rsid w:val="007048A7"/>
    <w:rsid w:val="007048B8"/>
    <w:rsid w:val="0070562C"/>
    <w:rsid w:val="007058BD"/>
    <w:rsid w:val="00705AC3"/>
    <w:rsid w:val="00705D63"/>
    <w:rsid w:val="00706746"/>
    <w:rsid w:val="00706EAE"/>
    <w:rsid w:val="00707C99"/>
    <w:rsid w:val="00707D1C"/>
    <w:rsid w:val="007100B5"/>
    <w:rsid w:val="00710AFF"/>
    <w:rsid w:val="0071138D"/>
    <w:rsid w:val="00711868"/>
    <w:rsid w:val="00711A23"/>
    <w:rsid w:val="00711A43"/>
    <w:rsid w:val="00712E26"/>
    <w:rsid w:val="00713879"/>
    <w:rsid w:val="00713E3E"/>
    <w:rsid w:val="00713F76"/>
    <w:rsid w:val="0071453A"/>
    <w:rsid w:val="0071475E"/>
    <w:rsid w:val="007148FF"/>
    <w:rsid w:val="00714DE1"/>
    <w:rsid w:val="00715252"/>
    <w:rsid w:val="0071581C"/>
    <w:rsid w:val="00715DBF"/>
    <w:rsid w:val="00715FA6"/>
    <w:rsid w:val="00716C0F"/>
    <w:rsid w:val="007174DC"/>
    <w:rsid w:val="00717FF9"/>
    <w:rsid w:val="007204EE"/>
    <w:rsid w:val="0072075C"/>
    <w:rsid w:val="0072123E"/>
    <w:rsid w:val="00721622"/>
    <w:rsid w:val="00721725"/>
    <w:rsid w:val="0072225A"/>
    <w:rsid w:val="0072237D"/>
    <w:rsid w:val="007228C7"/>
    <w:rsid w:val="00722B9E"/>
    <w:rsid w:val="00722FEA"/>
    <w:rsid w:val="00723560"/>
    <w:rsid w:val="00723858"/>
    <w:rsid w:val="007238BF"/>
    <w:rsid w:val="00723FF3"/>
    <w:rsid w:val="007243CC"/>
    <w:rsid w:val="00724D1D"/>
    <w:rsid w:val="00724EEF"/>
    <w:rsid w:val="007252A0"/>
    <w:rsid w:val="007252E3"/>
    <w:rsid w:val="007258DB"/>
    <w:rsid w:val="00725981"/>
    <w:rsid w:val="00725E27"/>
    <w:rsid w:val="00726249"/>
    <w:rsid w:val="00726699"/>
    <w:rsid w:val="00727BEB"/>
    <w:rsid w:val="00727EA1"/>
    <w:rsid w:val="007315E3"/>
    <w:rsid w:val="0073170E"/>
    <w:rsid w:val="007319EE"/>
    <w:rsid w:val="00731A72"/>
    <w:rsid w:val="00731D22"/>
    <w:rsid w:val="00731D69"/>
    <w:rsid w:val="00731DB3"/>
    <w:rsid w:val="00731F13"/>
    <w:rsid w:val="00732301"/>
    <w:rsid w:val="00732499"/>
    <w:rsid w:val="007333A9"/>
    <w:rsid w:val="00733665"/>
    <w:rsid w:val="00733C4F"/>
    <w:rsid w:val="007340C2"/>
    <w:rsid w:val="00734A11"/>
    <w:rsid w:val="00734E50"/>
    <w:rsid w:val="00734F0F"/>
    <w:rsid w:val="007351AB"/>
    <w:rsid w:val="0073543A"/>
    <w:rsid w:val="007354EC"/>
    <w:rsid w:val="00735EA9"/>
    <w:rsid w:val="00736515"/>
    <w:rsid w:val="007365A8"/>
    <w:rsid w:val="007373BC"/>
    <w:rsid w:val="0073751F"/>
    <w:rsid w:val="00737582"/>
    <w:rsid w:val="00737893"/>
    <w:rsid w:val="00737BCF"/>
    <w:rsid w:val="00740210"/>
    <w:rsid w:val="00740369"/>
    <w:rsid w:val="00740743"/>
    <w:rsid w:val="00740A0E"/>
    <w:rsid w:val="00740BF1"/>
    <w:rsid w:val="00741060"/>
    <w:rsid w:val="0074198D"/>
    <w:rsid w:val="00741E78"/>
    <w:rsid w:val="00742653"/>
    <w:rsid w:val="00742DEF"/>
    <w:rsid w:val="00742FB2"/>
    <w:rsid w:val="00743E12"/>
    <w:rsid w:val="00743EF3"/>
    <w:rsid w:val="00744014"/>
    <w:rsid w:val="00744394"/>
    <w:rsid w:val="007447D8"/>
    <w:rsid w:val="0074646C"/>
    <w:rsid w:val="00746610"/>
    <w:rsid w:val="00746714"/>
    <w:rsid w:val="00746991"/>
    <w:rsid w:val="00746B03"/>
    <w:rsid w:val="0074745A"/>
    <w:rsid w:val="0075031F"/>
    <w:rsid w:val="007508B3"/>
    <w:rsid w:val="007512BE"/>
    <w:rsid w:val="00751417"/>
    <w:rsid w:val="00751490"/>
    <w:rsid w:val="00751AC0"/>
    <w:rsid w:val="00751E69"/>
    <w:rsid w:val="00751F9A"/>
    <w:rsid w:val="007525B8"/>
    <w:rsid w:val="0075270D"/>
    <w:rsid w:val="00752AA6"/>
    <w:rsid w:val="007531C9"/>
    <w:rsid w:val="007537C6"/>
    <w:rsid w:val="0075398E"/>
    <w:rsid w:val="0075457A"/>
    <w:rsid w:val="00754EAD"/>
    <w:rsid w:val="007551F2"/>
    <w:rsid w:val="007551FC"/>
    <w:rsid w:val="00755CEF"/>
    <w:rsid w:val="00755F91"/>
    <w:rsid w:val="0075603E"/>
    <w:rsid w:val="00756D66"/>
    <w:rsid w:val="00756DD4"/>
    <w:rsid w:val="00756FB9"/>
    <w:rsid w:val="00757A34"/>
    <w:rsid w:val="007607BC"/>
    <w:rsid w:val="007607C2"/>
    <w:rsid w:val="00760FAD"/>
    <w:rsid w:val="0076109B"/>
    <w:rsid w:val="00761883"/>
    <w:rsid w:val="00762083"/>
    <w:rsid w:val="00762206"/>
    <w:rsid w:val="00762213"/>
    <w:rsid w:val="00763280"/>
    <w:rsid w:val="007632B9"/>
    <w:rsid w:val="00763855"/>
    <w:rsid w:val="00763857"/>
    <w:rsid w:val="0076393C"/>
    <w:rsid w:val="007639E8"/>
    <w:rsid w:val="00763C35"/>
    <w:rsid w:val="007640B0"/>
    <w:rsid w:val="00764984"/>
    <w:rsid w:val="00764BBA"/>
    <w:rsid w:val="00764E20"/>
    <w:rsid w:val="0076556C"/>
    <w:rsid w:val="0076564C"/>
    <w:rsid w:val="00766125"/>
    <w:rsid w:val="007663F4"/>
    <w:rsid w:val="00766B51"/>
    <w:rsid w:val="00767F97"/>
    <w:rsid w:val="00770441"/>
    <w:rsid w:val="00770BCE"/>
    <w:rsid w:val="007710F4"/>
    <w:rsid w:val="007710FB"/>
    <w:rsid w:val="0077134A"/>
    <w:rsid w:val="0077147A"/>
    <w:rsid w:val="007715CB"/>
    <w:rsid w:val="0077174A"/>
    <w:rsid w:val="00771921"/>
    <w:rsid w:val="00771941"/>
    <w:rsid w:val="007722EA"/>
    <w:rsid w:val="00772482"/>
    <w:rsid w:val="0077270D"/>
    <w:rsid w:val="007729AF"/>
    <w:rsid w:val="00772C91"/>
    <w:rsid w:val="00772DCA"/>
    <w:rsid w:val="00772E21"/>
    <w:rsid w:val="0077361C"/>
    <w:rsid w:val="007749D3"/>
    <w:rsid w:val="00775248"/>
    <w:rsid w:val="00775704"/>
    <w:rsid w:val="00775BD2"/>
    <w:rsid w:val="00775F85"/>
    <w:rsid w:val="00776309"/>
    <w:rsid w:val="00776393"/>
    <w:rsid w:val="007767DC"/>
    <w:rsid w:val="007768FD"/>
    <w:rsid w:val="007769CA"/>
    <w:rsid w:val="00777A15"/>
    <w:rsid w:val="00777A2E"/>
    <w:rsid w:val="00777B07"/>
    <w:rsid w:val="00777D86"/>
    <w:rsid w:val="007807E8"/>
    <w:rsid w:val="00780A0C"/>
    <w:rsid w:val="00780ECF"/>
    <w:rsid w:val="0078124C"/>
    <w:rsid w:val="007812FD"/>
    <w:rsid w:val="00781303"/>
    <w:rsid w:val="00781428"/>
    <w:rsid w:val="00781C50"/>
    <w:rsid w:val="00781CFF"/>
    <w:rsid w:val="00781D39"/>
    <w:rsid w:val="00781D78"/>
    <w:rsid w:val="0078216E"/>
    <w:rsid w:val="007823D2"/>
    <w:rsid w:val="00782BB6"/>
    <w:rsid w:val="00782C3B"/>
    <w:rsid w:val="00782C97"/>
    <w:rsid w:val="0078345B"/>
    <w:rsid w:val="00783D2D"/>
    <w:rsid w:val="00785301"/>
    <w:rsid w:val="00785660"/>
    <w:rsid w:val="00785958"/>
    <w:rsid w:val="00785DDE"/>
    <w:rsid w:val="00786005"/>
    <w:rsid w:val="00786B07"/>
    <w:rsid w:val="00786C4C"/>
    <w:rsid w:val="007871E2"/>
    <w:rsid w:val="0078776D"/>
    <w:rsid w:val="007878D3"/>
    <w:rsid w:val="00787919"/>
    <w:rsid w:val="0078C270"/>
    <w:rsid w:val="00790323"/>
    <w:rsid w:val="0079046E"/>
    <w:rsid w:val="0079059C"/>
    <w:rsid w:val="007911AE"/>
    <w:rsid w:val="007914FD"/>
    <w:rsid w:val="00791919"/>
    <w:rsid w:val="00791B1D"/>
    <w:rsid w:val="0079260C"/>
    <w:rsid w:val="007933FF"/>
    <w:rsid w:val="007939BF"/>
    <w:rsid w:val="007944D0"/>
    <w:rsid w:val="00794A09"/>
    <w:rsid w:val="00794AFE"/>
    <w:rsid w:val="00794B51"/>
    <w:rsid w:val="00794FE4"/>
    <w:rsid w:val="007954E0"/>
    <w:rsid w:val="00795B1E"/>
    <w:rsid w:val="00795D28"/>
    <w:rsid w:val="007963C6"/>
    <w:rsid w:val="00796A2E"/>
    <w:rsid w:val="00796B97"/>
    <w:rsid w:val="0079702F"/>
    <w:rsid w:val="007A07BD"/>
    <w:rsid w:val="007A0DAD"/>
    <w:rsid w:val="007A127D"/>
    <w:rsid w:val="007A1587"/>
    <w:rsid w:val="007A1A66"/>
    <w:rsid w:val="007A1A88"/>
    <w:rsid w:val="007A1AAE"/>
    <w:rsid w:val="007A23C4"/>
    <w:rsid w:val="007A3959"/>
    <w:rsid w:val="007A40FE"/>
    <w:rsid w:val="007A44EF"/>
    <w:rsid w:val="007A4C18"/>
    <w:rsid w:val="007A4CE7"/>
    <w:rsid w:val="007A5FEE"/>
    <w:rsid w:val="007A6707"/>
    <w:rsid w:val="007A6C7D"/>
    <w:rsid w:val="007A7214"/>
    <w:rsid w:val="007A73E5"/>
    <w:rsid w:val="007A7661"/>
    <w:rsid w:val="007A7F15"/>
    <w:rsid w:val="007A7F87"/>
    <w:rsid w:val="007A7FF9"/>
    <w:rsid w:val="007AB50C"/>
    <w:rsid w:val="007B030E"/>
    <w:rsid w:val="007B0ADC"/>
    <w:rsid w:val="007B0F63"/>
    <w:rsid w:val="007B13AD"/>
    <w:rsid w:val="007B18FE"/>
    <w:rsid w:val="007B21EC"/>
    <w:rsid w:val="007B2990"/>
    <w:rsid w:val="007B2A0F"/>
    <w:rsid w:val="007B2C8A"/>
    <w:rsid w:val="007B306E"/>
    <w:rsid w:val="007B321A"/>
    <w:rsid w:val="007B326B"/>
    <w:rsid w:val="007B3E9C"/>
    <w:rsid w:val="007B43B0"/>
    <w:rsid w:val="007B48E9"/>
    <w:rsid w:val="007B5312"/>
    <w:rsid w:val="007B594F"/>
    <w:rsid w:val="007B5BF5"/>
    <w:rsid w:val="007B5EA8"/>
    <w:rsid w:val="007B6079"/>
    <w:rsid w:val="007B609E"/>
    <w:rsid w:val="007B61CE"/>
    <w:rsid w:val="007B73DE"/>
    <w:rsid w:val="007B7DAC"/>
    <w:rsid w:val="007C051A"/>
    <w:rsid w:val="007C0A8B"/>
    <w:rsid w:val="007C0D1E"/>
    <w:rsid w:val="007C15D2"/>
    <w:rsid w:val="007C1BEF"/>
    <w:rsid w:val="007C23EE"/>
    <w:rsid w:val="007C24E0"/>
    <w:rsid w:val="007C2729"/>
    <w:rsid w:val="007C2B44"/>
    <w:rsid w:val="007C3341"/>
    <w:rsid w:val="007C3CF7"/>
    <w:rsid w:val="007C3D3B"/>
    <w:rsid w:val="007C4BA8"/>
    <w:rsid w:val="007C4E46"/>
    <w:rsid w:val="007C54A8"/>
    <w:rsid w:val="007C5803"/>
    <w:rsid w:val="007C66C6"/>
    <w:rsid w:val="007C7061"/>
    <w:rsid w:val="007C743D"/>
    <w:rsid w:val="007C79AC"/>
    <w:rsid w:val="007C7D05"/>
    <w:rsid w:val="007D03C9"/>
    <w:rsid w:val="007D0A0D"/>
    <w:rsid w:val="007D0F2C"/>
    <w:rsid w:val="007D11C4"/>
    <w:rsid w:val="007D13A2"/>
    <w:rsid w:val="007D13CC"/>
    <w:rsid w:val="007D1437"/>
    <w:rsid w:val="007D1867"/>
    <w:rsid w:val="007D1AB0"/>
    <w:rsid w:val="007D1BE2"/>
    <w:rsid w:val="007D1F84"/>
    <w:rsid w:val="007D2341"/>
    <w:rsid w:val="007D2490"/>
    <w:rsid w:val="007D24A8"/>
    <w:rsid w:val="007D29D4"/>
    <w:rsid w:val="007D2A85"/>
    <w:rsid w:val="007D2BC9"/>
    <w:rsid w:val="007D2ED7"/>
    <w:rsid w:val="007D3501"/>
    <w:rsid w:val="007D4C6E"/>
    <w:rsid w:val="007D4CA9"/>
    <w:rsid w:val="007D4EB7"/>
    <w:rsid w:val="007D54EC"/>
    <w:rsid w:val="007D563D"/>
    <w:rsid w:val="007D5758"/>
    <w:rsid w:val="007D617B"/>
    <w:rsid w:val="007D61CE"/>
    <w:rsid w:val="007D6389"/>
    <w:rsid w:val="007D6560"/>
    <w:rsid w:val="007D74EE"/>
    <w:rsid w:val="007D78B0"/>
    <w:rsid w:val="007D7A62"/>
    <w:rsid w:val="007D7A8B"/>
    <w:rsid w:val="007E003E"/>
    <w:rsid w:val="007E04A3"/>
    <w:rsid w:val="007E1A77"/>
    <w:rsid w:val="007E237F"/>
    <w:rsid w:val="007E28A3"/>
    <w:rsid w:val="007E3D0A"/>
    <w:rsid w:val="007E3E29"/>
    <w:rsid w:val="007E4098"/>
    <w:rsid w:val="007E41B9"/>
    <w:rsid w:val="007E4592"/>
    <w:rsid w:val="007E4914"/>
    <w:rsid w:val="007E50D2"/>
    <w:rsid w:val="007E5493"/>
    <w:rsid w:val="007E5B20"/>
    <w:rsid w:val="007E5D8D"/>
    <w:rsid w:val="007E64C3"/>
    <w:rsid w:val="007E64E1"/>
    <w:rsid w:val="007E6C0E"/>
    <w:rsid w:val="007E7379"/>
    <w:rsid w:val="007E7B82"/>
    <w:rsid w:val="007F0C68"/>
    <w:rsid w:val="007F0E9D"/>
    <w:rsid w:val="007F1012"/>
    <w:rsid w:val="007F1B70"/>
    <w:rsid w:val="007F25C5"/>
    <w:rsid w:val="007F283A"/>
    <w:rsid w:val="007F289D"/>
    <w:rsid w:val="007F35A0"/>
    <w:rsid w:val="007F3865"/>
    <w:rsid w:val="007F38F7"/>
    <w:rsid w:val="007F3C6C"/>
    <w:rsid w:val="007F3C8D"/>
    <w:rsid w:val="007F41A9"/>
    <w:rsid w:val="007F41C7"/>
    <w:rsid w:val="007F47A5"/>
    <w:rsid w:val="007F48A2"/>
    <w:rsid w:val="007F5FCD"/>
    <w:rsid w:val="007F609D"/>
    <w:rsid w:val="007F61F9"/>
    <w:rsid w:val="007F73C6"/>
    <w:rsid w:val="007F77C7"/>
    <w:rsid w:val="00800762"/>
    <w:rsid w:val="00800BD7"/>
    <w:rsid w:val="00800D16"/>
    <w:rsid w:val="008013FD"/>
    <w:rsid w:val="00801A6D"/>
    <w:rsid w:val="00801BFD"/>
    <w:rsid w:val="00802874"/>
    <w:rsid w:val="008029A2"/>
    <w:rsid w:val="008030B2"/>
    <w:rsid w:val="008033F2"/>
    <w:rsid w:val="00803620"/>
    <w:rsid w:val="0080363C"/>
    <w:rsid w:val="00803BB4"/>
    <w:rsid w:val="00803D2A"/>
    <w:rsid w:val="00803E9D"/>
    <w:rsid w:val="00804C24"/>
    <w:rsid w:val="00804EBB"/>
    <w:rsid w:val="008050C1"/>
    <w:rsid w:val="0080567A"/>
    <w:rsid w:val="00805C09"/>
    <w:rsid w:val="00805C68"/>
    <w:rsid w:val="00805F98"/>
    <w:rsid w:val="008063C1"/>
    <w:rsid w:val="00806529"/>
    <w:rsid w:val="00806A8D"/>
    <w:rsid w:val="008072D7"/>
    <w:rsid w:val="00807A5F"/>
    <w:rsid w:val="00807B16"/>
    <w:rsid w:val="00807E10"/>
    <w:rsid w:val="00810276"/>
    <w:rsid w:val="008104E7"/>
    <w:rsid w:val="008106D5"/>
    <w:rsid w:val="00810E06"/>
    <w:rsid w:val="00811196"/>
    <w:rsid w:val="008111E7"/>
    <w:rsid w:val="008111F3"/>
    <w:rsid w:val="00811D67"/>
    <w:rsid w:val="00811E31"/>
    <w:rsid w:val="00811EB8"/>
    <w:rsid w:val="008122A3"/>
    <w:rsid w:val="008127CE"/>
    <w:rsid w:val="00813170"/>
    <w:rsid w:val="00813D58"/>
    <w:rsid w:val="0081407E"/>
    <w:rsid w:val="008145AB"/>
    <w:rsid w:val="00814ACE"/>
    <w:rsid w:val="00814B0F"/>
    <w:rsid w:val="00815C25"/>
    <w:rsid w:val="0081622C"/>
    <w:rsid w:val="008164FE"/>
    <w:rsid w:val="00816557"/>
    <w:rsid w:val="00816E9B"/>
    <w:rsid w:val="00816F7E"/>
    <w:rsid w:val="00817518"/>
    <w:rsid w:val="008175B8"/>
    <w:rsid w:val="008175D1"/>
    <w:rsid w:val="00817AE8"/>
    <w:rsid w:val="00820B24"/>
    <w:rsid w:val="00820E31"/>
    <w:rsid w:val="0082154C"/>
    <w:rsid w:val="00821614"/>
    <w:rsid w:val="008218C7"/>
    <w:rsid w:val="00821C18"/>
    <w:rsid w:val="008222FC"/>
    <w:rsid w:val="0082289A"/>
    <w:rsid w:val="00822B51"/>
    <w:rsid w:val="00822C2E"/>
    <w:rsid w:val="00823624"/>
    <w:rsid w:val="00823AEC"/>
    <w:rsid w:val="00823CF6"/>
    <w:rsid w:val="00824090"/>
    <w:rsid w:val="00824D34"/>
    <w:rsid w:val="00824DAD"/>
    <w:rsid w:val="0082534E"/>
    <w:rsid w:val="00825EDC"/>
    <w:rsid w:val="0082625B"/>
    <w:rsid w:val="008267BE"/>
    <w:rsid w:val="0082690B"/>
    <w:rsid w:val="00826C9F"/>
    <w:rsid w:val="00826F93"/>
    <w:rsid w:val="008273C2"/>
    <w:rsid w:val="0082774E"/>
    <w:rsid w:val="00827879"/>
    <w:rsid w:val="00827FC8"/>
    <w:rsid w:val="008304AC"/>
    <w:rsid w:val="008305C2"/>
    <w:rsid w:val="00830BC4"/>
    <w:rsid w:val="008314F8"/>
    <w:rsid w:val="00831C32"/>
    <w:rsid w:val="00831EAB"/>
    <w:rsid w:val="008325DD"/>
    <w:rsid w:val="0083287D"/>
    <w:rsid w:val="00834076"/>
    <w:rsid w:val="00834928"/>
    <w:rsid w:val="00834D8A"/>
    <w:rsid w:val="008354CB"/>
    <w:rsid w:val="008361D5"/>
    <w:rsid w:val="00836342"/>
    <w:rsid w:val="008366CC"/>
    <w:rsid w:val="008369BB"/>
    <w:rsid w:val="008369DF"/>
    <w:rsid w:val="00836ACE"/>
    <w:rsid w:val="00837540"/>
    <w:rsid w:val="00837C23"/>
    <w:rsid w:val="00837EC0"/>
    <w:rsid w:val="008401C3"/>
    <w:rsid w:val="008404B1"/>
    <w:rsid w:val="0084053A"/>
    <w:rsid w:val="0084060B"/>
    <w:rsid w:val="00840A3D"/>
    <w:rsid w:val="00840B79"/>
    <w:rsid w:val="008410FF"/>
    <w:rsid w:val="00841CD3"/>
    <w:rsid w:val="00842094"/>
    <w:rsid w:val="008421F9"/>
    <w:rsid w:val="0084284E"/>
    <w:rsid w:val="00842BA3"/>
    <w:rsid w:val="00842D13"/>
    <w:rsid w:val="008432A1"/>
    <w:rsid w:val="00844A43"/>
    <w:rsid w:val="00844B87"/>
    <w:rsid w:val="00844CCD"/>
    <w:rsid w:val="00844FA2"/>
    <w:rsid w:val="00845B78"/>
    <w:rsid w:val="00845C71"/>
    <w:rsid w:val="00846538"/>
    <w:rsid w:val="0084677A"/>
    <w:rsid w:val="0084681D"/>
    <w:rsid w:val="008469DC"/>
    <w:rsid w:val="00847B8B"/>
    <w:rsid w:val="00847C2E"/>
    <w:rsid w:val="00850199"/>
    <w:rsid w:val="0085072A"/>
    <w:rsid w:val="00850CAD"/>
    <w:rsid w:val="00850E58"/>
    <w:rsid w:val="00851349"/>
    <w:rsid w:val="0085176D"/>
    <w:rsid w:val="0085183B"/>
    <w:rsid w:val="008518E2"/>
    <w:rsid w:val="00852176"/>
    <w:rsid w:val="0085230E"/>
    <w:rsid w:val="00852C38"/>
    <w:rsid w:val="00852EE7"/>
    <w:rsid w:val="00853164"/>
    <w:rsid w:val="0085344B"/>
    <w:rsid w:val="0085357A"/>
    <w:rsid w:val="008535F5"/>
    <w:rsid w:val="008538E8"/>
    <w:rsid w:val="00853E2A"/>
    <w:rsid w:val="00853FAB"/>
    <w:rsid w:val="00854A74"/>
    <w:rsid w:val="00854A8C"/>
    <w:rsid w:val="00854CCA"/>
    <w:rsid w:val="00854D8B"/>
    <w:rsid w:val="00855A50"/>
    <w:rsid w:val="00855C90"/>
    <w:rsid w:val="0085684D"/>
    <w:rsid w:val="00860723"/>
    <w:rsid w:val="00860A84"/>
    <w:rsid w:val="00860D66"/>
    <w:rsid w:val="00860EF6"/>
    <w:rsid w:val="0086165B"/>
    <w:rsid w:val="0086179D"/>
    <w:rsid w:val="00862309"/>
    <w:rsid w:val="008624D0"/>
    <w:rsid w:val="008626AC"/>
    <w:rsid w:val="00863917"/>
    <w:rsid w:val="00863D75"/>
    <w:rsid w:val="00863D95"/>
    <w:rsid w:val="0086409F"/>
    <w:rsid w:val="00864D2F"/>
    <w:rsid w:val="00864DF5"/>
    <w:rsid w:val="008650AF"/>
    <w:rsid w:val="00865A31"/>
    <w:rsid w:val="008660D0"/>
    <w:rsid w:val="008664F0"/>
    <w:rsid w:val="00866693"/>
    <w:rsid w:val="00866B89"/>
    <w:rsid w:val="00866E73"/>
    <w:rsid w:val="008673B1"/>
    <w:rsid w:val="00867427"/>
    <w:rsid w:val="008676D1"/>
    <w:rsid w:val="00867949"/>
    <w:rsid w:val="00870506"/>
    <w:rsid w:val="00870E0F"/>
    <w:rsid w:val="00871057"/>
    <w:rsid w:val="00871151"/>
    <w:rsid w:val="008712EE"/>
    <w:rsid w:val="008715CD"/>
    <w:rsid w:val="00872625"/>
    <w:rsid w:val="00872722"/>
    <w:rsid w:val="00872909"/>
    <w:rsid w:val="00873075"/>
    <w:rsid w:val="00873107"/>
    <w:rsid w:val="00873277"/>
    <w:rsid w:val="0087384F"/>
    <w:rsid w:val="008738EB"/>
    <w:rsid w:val="00873A2A"/>
    <w:rsid w:val="00873BE1"/>
    <w:rsid w:val="00873E13"/>
    <w:rsid w:val="00873EE6"/>
    <w:rsid w:val="0087406B"/>
    <w:rsid w:val="00874AC9"/>
    <w:rsid w:val="008762AB"/>
    <w:rsid w:val="008766B6"/>
    <w:rsid w:val="00876754"/>
    <w:rsid w:val="00876966"/>
    <w:rsid w:val="00876B1E"/>
    <w:rsid w:val="00877237"/>
    <w:rsid w:val="00877562"/>
    <w:rsid w:val="00877760"/>
    <w:rsid w:val="00877BAB"/>
    <w:rsid w:val="008815DB"/>
    <w:rsid w:val="0088172E"/>
    <w:rsid w:val="00881909"/>
    <w:rsid w:val="00882079"/>
    <w:rsid w:val="008820D3"/>
    <w:rsid w:val="0088233C"/>
    <w:rsid w:val="00882561"/>
    <w:rsid w:val="00882E25"/>
    <w:rsid w:val="00882E79"/>
    <w:rsid w:val="008831AC"/>
    <w:rsid w:val="00883391"/>
    <w:rsid w:val="008835FA"/>
    <w:rsid w:val="00883B41"/>
    <w:rsid w:val="00883BBC"/>
    <w:rsid w:val="008847AD"/>
    <w:rsid w:val="00884ED5"/>
    <w:rsid w:val="00885337"/>
    <w:rsid w:val="00885349"/>
    <w:rsid w:val="008859BA"/>
    <w:rsid w:val="0088601C"/>
    <w:rsid w:val="008863C3"/>
    <w:rsid w:val="008869CF"/>
    <w:rsid w:val="00886BD9"/>
    <w:rsid w:val="00886C9E"/>
    <w:rsid w:val="008870DB"/>
    <w:rsid w:val="0088747D"/>
    <w:rsid w:val="00887DA6"/>
    <w:rsid w:val="00887F92"/>
    <w:rsid w:val="008903C2"/>
    <w:rsid w:val="008904D0"/>
    <w:rsid w:val="008904ED"/>
    <w:rsid w:val="00890B1F"/>
    <w:rsid w:val="00890ED6"/>
    <w:rsid w:val="00890F86"/>
    <w:rsid w:val="008913C5"/>
    <w:rsid w:val="008914DE"/>
    <w:rsid w:val="008917A0"/>
    <w:rsid w:val="00891918"/>
    <w:rsid w:val="0089197C"/>
    <w:rsid w:val="00891A25"/>
    <w:rsid w:val="00891F65"/>
    <w:rsid w:val="008920D1"/>
    <w:rsid w:val="00892F29"/>
    <w:rsid w:val="008937D9"/>
    <w:rsid w:val="00893964"/>
    <w:rsid w:val="00893B28"/>
    <w:rsid w:val="00894633"/>
    <w:rsid w:val="00895FE2"/>
    <w:rsid w:val="008963FD"/>
    <w:rsid w:val="00896A9A"/>
    <w:rsid w:val="00896EEE"/>
    <w:rsid w:val="00897252"/>
    <w:rsid w:val="00897317"/>
    <w:rsid w:val="00897434"/>
    <w:rsid w:val="008977BA"/>
    <w:rsid w:val="00897ACB"/>
    <w:rsid w:val="0089AAA3"/>
    <w:rsid w:val="008A05BC"/>
    <w:rsid w:val="008A0D2C"/>
    <w:rsid w:val="008A1242"/>
    <w:rsid w:val="008A12BA"/>
    <w:rsid w:val="008A1980"/>
    <w:rsid w:val="008A1A74"/>
    <w:rsid w:val="008A1AA7"/>
    <w:rsid w:val="008A1C51"/>
    <w:rsid w:val="008A2A98"/>
    <w:rsid w:val="008A2E0F"/>
    <w:rsid w:val="008A3F23"/>
    <w:rsid w:val="008A3F75"/>
    <w:rsid w:val="008A46F7"/>
    <w:rsid w:val="008A4980"/>
    <w:rsid w:val="008A4A53"/>
    <w:rsid w:val="008A5166"/>
    <w:rsid w:val="008A520C"/>
    <w:rsid w:val="008A53B3"/>
    <w:rsid w:val="008A6371"/>
    <w:rsid w:val="008A701D"/>
    <w:rsid w:val="008A75B4"/>
    <w:rsid w:val="008A7810"/>
    <w:rsid w:val="008A7A74"/>
    <w:rsid w:val="008A7B79"/>
    <w:rsid w:val="008A7C56"/>
    <w:rsid w:val="008A7EF0"/>
    <w:rsid w:val="008B0EA8"/>
    <w:rsid w:val="008B176C"/>
    <w:rsid w:val="008B1DDC"/>
    <w:rsid w:val="008B1E08"/>
    <w:rsid w:val="008B2122"/>
    <w:rsid w:val="008B23A4"/>
    <w:rsid w:val="008B23D6"/>
    <w:rsid w:val="008B255F"/>
    <w:rsid w:val="008B2614"/>
    <w:rsid w:val="008B2AB8"/>
    <w:rsid w:val="008B3826"/>
    <w:rsid w:val="008B3862"/>
    <w:rsid w:val="008B432B"/>
    <w:rsid w:val="008B4CFA"/>
    <w:rsid w:val="008B4E73"/>
    <w:rsid w:val="008B4F95"/>
    <w:rsid w:val="008B585B"/>
    <w:rsid w:val="008B5CB6"/>
    <w:rsid w:val="008B671A"/>
    <w:rsid w:val="008B6A8F"/>
    <w:rsid w:val="008B6AED"/>
    <w:rsid w:val="008B6F26"/>
    <w:rsid w:val="008B7075"/>
    <w:rsid w:val="008B732D"/>
    <w:rsid w:val="008B7CD8"/>
    <w:rsid w:val="008C00D0"/>
    <w:rsid w:val="008C1CFD"/>
    <w:rsid w:val="008C25C7"/>
    <w:rsid w:val="008C2CBB"/>
    <w:rsid w:val="008C2D8D"/>
    <w:rsid w:val="008C36D2"/>
    <w:rsid w:val="008C3730"/>
    <w:rsid w:val="008C41FE"/>
    <w:rsid w:val="008C4C2D"/>
    <w:rsid w:val="008C4D03"/>
    <w:rsid w:val="008C55D3"/>
    <w:rsid w:val="008C5CCE"/>
    <w:rsid w:val="008D0536"/>
    <w:rsid w:val="008D0B3A"/>
    <w:rsid w:val="008D0BF3"/>
    <w:rsid w:val="008D0FA7"/>
    <w:rsid w:val="008D1250"/>
    <w:rsid w:val="008D1739"/>
    <w:rsid w:val="008D1E14"/>
    <w:rsid w:val="008D22F8"/>
    <w:rsid w:val="008D2305"/>
    <w:rsid w:val="008D27B9"/>
    <w:rsid w:val="008D2E60"/>
    <w:rsid w:val="008D3257"/>
    <w:rsid w:val="008D34DD"/>
    <w:rsid w:val="008D409F"/>
    <w:rsid w:val="008D479C"/>
    <w:rsid w:val="008D4ADA"/>
    <w:rsid w:val="008D4B32"/>
    <w:rsid w:val="008D5AB3"/>
    <w:rsid w:val="008D5B27"/>
    <w:rsid w:val="008D5BE8"/>
    <w:rsid w:val="008D5D3A"/>
    <w:rsid w:val="008D5FD1"/>
    <w:rsid w:val="008D635F"/>
    <w:rsid w:val="008D6884"/>
    <w:rsid w:val="008D7240"/>
    <w:rsid w:val="008D7402"/>
    <w:rsid w:val="008D75C8"/>
    <w:rsid w:val="008D7BE7"/>
    <w:rsid w:val="008E003D"/>
    <w:rsid w:val="008E0105"/>
    <w:rsid w:val="008E0C80"/>
    <w:rsid w:val="008E0F79"/>
    <w:rsid w:val="008E153D"/>
    <w:rsid w:val="008E1E8F"/>
    <w:rsid w:val="008E217E"/>
    <w:rsid w:val="008E345C"/>
    <w:rsid w:val="008E3715"/>
    <w:rsid w:val="008E37A9"/>
    <w:rsid w:val="008E37D1"/>
    <w:rsid w:val="008E3A4F"/>
    <w:rsid w:val="008E3DBB"/>
    <w:rsid w:val="008E3FBC"/>
    <w:rsid w:val="008E4795"/>
    <w:rsid w:val="008E48EE"/>
    <w:rsid w:val="008E51AD"/>
    <w:rsid w:val="008E53FE"/>
    <w:rsid w:val="008E5A59"/>
    <w:rsid w:val="008E5B91"/>
    <w:rsid w:val="008E5D94"/>
    <w:rsid w:val="008E6F1F"/>
    <w:rsid w:val="008E7182"/>
    <w:rsid w:val="008E768A"/>
    <w:rsid w:val="008E7BCF"/>
    <w:rsid w:val="008E7D3E"/>
    <w:rsid w:val="008E7DED"/>
    <w:rsid w:val="008F0DA4"/>
    <w:rsid w:val="008F1E69"/>
    <w:rsid w:val="008F2A00"/>
    <w:rsid w:val="008F2E44"/>
    <w:rsid w:val="008F30B2"/>
    <w:rsid w:val="008F32BB"/>
    <w:rsid w:val="008F336F"/>
    <w:rsid w:val="008F4EC9"/>
    <w:rsid w:val="008F51F2"/>
    <w:rsid w:val="008F5508"/>
    <w:rsid w:val="008F5CA6"/>
    <w:rsid w:val="008F62C9"/>
    <w:rsid w:val="008F6832"/>
    <w:rsid w:val="008F6B28"/>
    <w:rsid w:val="008F7137"/>
    <w:rsid w:val="008F7B4D"/>
    <w:rsid w:val="009000B5"/>
    <w:rsid w:val="0090048B"/>
    <w:rsid w:val="00900979"/>
    <w:rsid w:val="00901293"/>
    <w:rsid w:val="00901CA1"/>
    <w:rsid w:val="0090274A"/>
    <w:rsid w:val="00902F2B"/>
    <w:rsid w:val="009030C0"/>
    <w:rsid w:val="00903503"/>
    <w:rsid w:val="0090362D"/>
    <w:rsid w:val="00903994"/>
    <w:rsid w:val="00904409"/>
    <w:rsid w:val="009047C4"/>
    <w:rsid w:val="00904A26"/>
    <w:rsid w:val="00904CCC"/>
    <w:rsid w:val="00904DD4"/>
    <w:rsid w:val="009050C2"/>
    <w:rsid w:val="009050E7"/>
    <w:rsid w:val="00905261"/>
    <w:rsid w:val="00905989"/>
    <w:rsid w:val="00905E74"/>
    <w:rsid w:val="009063DB"/>
    <w:rsid w:val="00906C03"/>
    <w:rsid w:val="009072DF"/>
    <w:rsid w:val="00907B9E"/>
    <w:rsid w:val="00907F56"/>
    <w:rsid w:val="009100B6"/>
    <w:rsid w:val="00910259"/>
    <w:rsid w:val="00910618"/>
    <w:rsid w:val="0091086E"/>
    <w:rsid w:val="00910906"/>
    <w:rsid w:val="00910A3C"/>
    <w:rsid w:val="00910BA6"/>
    <w:rsid w:val="00910F70"/>
    <w:rsid w:val="00910FEE"/>
    <w:rsid w:val="00911940"/>
    <w:rsid w:val="00911A8D"/>
    <w:rsid w:val="00912191"/>
    <w:rsid w:val="0091235F"/>
    <w:rsid w:val="00912733"/>
    <w:rsid w:val="00912761"/>
    <w:rsid w:val="009128E0"/>
    <w:rsid w:val="00912EBD"/>
    <w:rsid w:val="00912EC3"/>
    <w:rsid w:val="00913429"/>
    <w:rsid w:val="00913501"/>
    <w:rsid w:val="009139C8"/>
    <w:rsid w:val="0091452B"/>
    <w:rsid w:val="00914564"/>
    <w:rsid w:val="00914884"/>
    <w:rsid w:val="00914CCC"/>
    <w:rsid w:val="00914EE5"/>
    <w:rsid w:val="009155BC"/>
    <w:rsid w:val="009156C7"/>
    <w:rsid w:val="00915B12"/>
    <w:rsid w:val="00915C9C"/>
    <w:rsid w:val="00915E93"/>
    <w:rsid w:val="00916405"/>
    <w:rsid w:val="0091650F"/>
    <w:rsid w:val="0091674C"/>
    <w:rsid w:val="0091674F"/>
    <w:rsid w:val="009167F6"/>
    <w:rsid w:val="00916CD0"/>
    <w:rsid w:val="00916DEC"/>
    <w:rsid w:val="0091732E"/>
    <w:rsid w:val="0091782D"/>
    <w:rsid w:val="00917C90"/>
    <w:rsid w:val="00917E15"/>
    <w:rsid w:val="0091F886"/>
    <w:rsid w:val="00920097"/>
    <w:rsid w:val="00920DD3"/>
    <w:rsid w:val="009216CD"/>
    <w:rsid w:val="009216E7"/>
    <w:rsid w:val="00921835"/>
    <w:rsid w:val="00921904"/>
    <w:rsid w:val="00921B6E"/>
    <w:rsid w:val="00921DE1"/>
    <w:rsid w:val="009221F6"/>
    <w:rsid w:val="009223F4"/>
    <w:rsid w:val="00922655"/>
    <w:rsid w:val="00922A55"/>
    <w:rsid w:val="00922ADC"/>
    <w:rsid w:val="00922BCA"/>
    <w:rsid w:val="00923622"/>
    <w:rsid w:val="0092376E"/>
    <w:rsid w:val="009237F1"/>
    <w:rsid w:val="00923FE2"/>
    <w:rsid w:val="009249E5"/>
    <w:rsid w:val="00924CC4"/>
    <w:rsid w:val="0092513B"/>
    <w:rsid w:val="00925371"/>
    <w:rsid w:val="00925508"/>
    <w:rsid w:val="009256FD"/>
    <w:rsid w:val="009258A8"/>
    <w:rsid w:val="009265A9"/>
    <w:rsid w:val="00926B6E"/>
    <w:rsid w:val="00927ACF"/>
    <w:rsid w:val="00930380"/>
    <w:rsid w:val="00931045"/>
    <w:rsid w:val="00931095"/>
    <w:rsid w:val="00931ADF"/>
    <w:rsid w:val="00931B9F"/>
    <w:rsid w:val="00931FD7"/>
    <w:rsid w:val="009325AE"/>
    <w:rsid w:val="009326C2"/>
    <w:rsid w:val="00932742"/>
    <w:rsid w:val="00932A16"/>
    <w:rsid w:val="00932B29"/>
    <w:rsid w:val="0093393C"/>
    <w:rsid w:val="009343E4"/>
    <w:rsid w:val="00935466"/>
    <w:rsid w:val="009354F2"/>
    <w:rsid w:val="00935B87"/>
    <w:rsid w:val="00935F52"/>
    <w:rsid w:val="0093669C"/>
    <w:rsid w:val="00936A0B"/>
    <w:rsid w:val="0093748A"/>
    <w:rsid w:val="00937BB9"/>
    <w:rsid w:val="009402FE"/>
    <w:rsid w:val="00941134"/>
    <w:rsid w:val="00941890"/>
    <w:rsid w:val="00941A86"/>
    <w:rsid w:val="00941B63"/>
    <w:rsid w:val="00941C5A"/>
    <w:rsid w:val="0094248B"/>
    <w:rsid w:val="00942AFD"/>
    <w:rsid w:val="009430D7"/>
    <w:rsid w:val="00943B69"/>
    <w:rsid w:val="00943B73"/>
    <w:rsid w:val="0094420E"/>
    <w:rsid w:val="0094497F"/>
    <w:rsid w:val="00944BB8"/>
    <w:rsid w:val="00944FAC"/>
    <w:rsid w:val="009450B7"/>
    <w:rsid w:val="00946A84"/>
    <w:rsid w:val="0094752B"/>
    <w:rsid w:val="0094790E"/>
    <w:rsid w:val="00947DD2"/>
    <w:rsid w:val="00947E57"/>
    <w:rsid w:val="0094F0DD"/>
    <w:rsid w:val="0095014B"/>
    <w:rsid w:val="009504E4"/>
    <w:rsid w:val="009509FE"/>
    <w:rsid w:val="0095120B"/>
    <w:rsid w:val="0095185A"/>
    <w:rsid w:val="00951A2B"/>
    <w:rsid w:val="00952172"/>
    <w:rsid w:val="0095268E"/>
    <w:rsid w:val="009530B4"/>
    <w:rsid w:val="00953738"/>
    <w:rsid w:val="009538D6"/>
    <w:rsid w:val="00953A5E"/>
    <w:rsid w:val="00954586"/>
    <w:rsid w:val="009549E7"/>
    <w:rsid w:val="00954A28"/>
    <w:rsid w:val="00954AB2"/>
    <w:rsid w:val="00954C04"/>
    <w:rsid w:val="00955CF5"/>
    <w:rsid w:val="00955E4C"/>
    <w:rsid w:val="00956D69"/>
    <w:rsid w:val="00956DE1"/>
    <w:rsid w:val="00957306"/>
    <w:rsid w:val="0096004F"/>
    <w:rsid w:val="0096060F"/>
    <w:rsid w:val="00960C82"/>
    <w:rsid w:val="0096275D"/>
    <w:rsid w:val="00962CB5"/>
    <w:rsid w:val="009632E4"/>
    <w:rsid w:val="00963607"/>
    <w:rsid w:val="00963F4A"/>
    <w:rsid w:val="00964255"/>
    <w:rsid w:val="00964404"/>
    <w:rsid w:val="00964567"/>
    <w:rsid w:val="00964853"/>
    <w:rsid w:val="00964D91"/>
    <w:rsid w:val="00964FD1"/>
    <w:rsid w:val="00965C4A"/>
    <w:rsid w:val="00966006"/>
    <w:rsid w:val="009663A0"/>
    <w:rsid w:val="00966BF8"/>
    <w:rsid w:val="00966C4A"/>
    <w:rsid w:val="00967C77"/>
    <w:rsid w:val="00970D06"/>
    <w:rsid w:val="00970D94"/>
    <w:rsid w:val="009710ED"/>
    <w:rsid w:val="0097114F"/>
    <w:rsid w:val="00971D54"/>
    <w:rsid w:val="00972908"/>
    <w:rsid w:val="0097307D"/>
    <w:rsid w:val="00973F19"/>
    <w:rsid w:val="009741A7"/>
    <w:rsid w:val="009741E5"/>
    <w:rsid w:val="009747A4"/>
    <w:rsid w:val="009749AE"/>
    <w:rsid w:val="00974A15"/>
    <w:rsid w:val="009756D7"/>
    <w:rsid w:val="009757DA"/>
    <w:rsid w:val="0097596C"/>
    <w:rsid w:val="009759D5"/>
    <w:rsid w:val="00975A6B"/>
    <w:rsid w:val="009763A8"/>
    <w:rsid w:val="009765AA"/>
    <w:rsid w:val="009767F0"/>
    <w:rsid w:val="009772F7"/>
    <w:rsid w:val="00977B0C"/>
    <w:rsid w:val="00977DBA"/>
    <w:rsid w:val="00977EAC"/>
    <w:rsid w:val="00977F6C"/>
    <w:rsid w:val="009809D9"/>
    <w:rsid w:val="00981A21"/>
    <w:rsid w:val="00981FDA"/>
    <w:rsid w:val="009820F9"/>
    <w:rsid w:val="00982233"/>
    <w:rsid w:val="00982A17"/>
    <w:rsid w:val="00982D7F"/>
    <w:rsid w:val="00982F28"/>
    <w:rsid w:val="009838AB"/>
    <w:rsid w:val="00983D07"/>
    <w:rsid w:val="00983E9F"/>
    <w:rsid w:val="00983FDE"/>
    <w:rsid w:val="0098587E"/>
    <w:rsid w:val="009862BC"/>
    <w:rsid w:val="0098679D"/>
    <w:rsid w:val="00987146"/>
    <w:rsid w:val="009873A3"/>
    <w:rsid w:val="00987C8C"/>
    <w:rsid w:val="00987D24"/>
    <w:rsid w:val="00987E89"/>
    <w:rsid w:val="00987EA0"/>
    <w:rsid w:val="00987F85"/>
    <w:rsid w:val="0098A20E"/>
    <w:rsid w:val="00990048"/>
    <w:rsid w:val="00990499"/>
    <w:rsid w:val="00990A59"/>
    <w:rsid w:val="00990B08"/>
    <w:rsid w:val="00990B24"/>
    <w:rsid w:val="00990E1C"/>
    <w:rsid w:val="00991333"/>
    <w:rsid w:val="00991676"/>
    <w:rsid w:val="00991B19"/>
    <w:rsid w:val="00991ED2"/>
    <w:rsid w:val="009920CD"/>
    <w:rsid w:val="0099218D"/>
    <w:rsid w:val="00992CAC"/>
    <w:rsid w:val="00992D6F"/>
    <w:rsid w:val="00992E16"/>
    <w:rsid w:val="00993082"/>
    <w:rsid w:val="00993631"/>
    <w:rsid w:val="00993722"/>
    <w:rsid w:val="0099378B"/>
    <w:rsid w:val="00993B44"/>
    <w:rsid w:val="0099408F"/>
    <w:rsid w:val="0099439D"/>
    <w:rsid w:val="00994968"/>
    <w:rsid w:val="00994B93"/>
    <w:rsid w:val="00994C46"/>
    <w:rsid w:val="00994FE0"/>
    <w:rsid w:val="00995C72"/>
    <w:rsid w:val="00995CE0"/>
    <w:rsid w:val="00995FB2"/>
    <w:rsid w:val="00996328"/>
    <w:rsid w:val="009963B5"/>
    <w:rsid w:val="0099654A"/>
    <w:rsid w:val="00996DDC"/>
    <w:rsid w:val="0099775B"/>
    <w:rsid w:val="00997BB5"/>
    <w:rsid w:val="00997E01"/>
    <w:rsid w:val="009A0C85"/>
    <w:rsid w:val="009A105B"/>
    <w:rsid w:val="009A132B"/>
    <w:rsid w:val="009A16ED"/>
    <w:rsid w:val="009A225C"/>
    <w:rsid w:val="009A24E5"/>
    <w:rsid w:val="009A2587"/>
    <w:rsid w:val="009A2A36"/>
    <w:rsid w:val="009A2ABB"/>
    <w:rsid w:val="009A2AD3"/>
    <w:rsid w:val="009A2C80"/>
    <w:rsid w:val="009A34EA"/>
    <w:rsid w:val="009A3556"/>
    <w:rsid w:val="009A408D"/>
    <w:rsid w:val="009A43AC"/>
    <w:rsid w:val="009A4684"/>
    <w:rsid w:val="009A4B4C"/>
    <w:rsid w:val="009A543E"/>
    <w:rsid w:val="009A629B"/>
    <w:rsid w:val="009A6724"/>
    <w:rsid w:val="009A78A2"/>
    <w:rsid w:val="009B0380"/>
    <w:rsid w:val="009B03F2"/>
    <w:rsid w:val="009B0426"/>
    <w:rsid w:val="009B04CD"/>
    <w:rsid w:val="009B0606"/>
    <w:rsid w:val="009B067A"/>
    <w:rsid w:val="009B0EB5"/>
    <w:rsid w:val="009B0F9C"/>
    <w:rsid w:val="009B16D4"/>
    <w:rsid w:val="009B19D1"/>
    <w:rsid w:val="009B2458"/>
    <w:rsid w:val="009B2532"/>
    <w:rsid w:val="009B3B3A"/>
    <w:rsid w:val="009B406E"/>
    <w:rsid w:val="009B48A5"/>
    <w:rsid w:val="009B4CC3"/>
    <w:rsid w:val="009B4F50"/>
    <w:rsid w:val="009B51DA"/>
    <w:rsid w:val="009B5694"/>
    <w:rsid w:val="009B5A00"/>
    <w:rsid w:val="009B5B57"/>
    <w:rsid w:val="009B6940"/>
    <w:rsid w:val="009B73CB"/>
    <w:rsid w:val="009C0499"/>
    <w:rsid w:val="009C0A5D"/>
    <w:rsid w:val="009C0AC5"/>
    <w:rsid w:val="009C0F73"/>
    <w:rsid w:val="009C1005"/>
    <w:rsid w:val="009C143F"/>
    <w:rsid w:val="009C151C"/>
    <w:rsid w:val="009C15DC"/>
    <w:rsid w:val="009C1F76"/>
    <w:rsid w:val="009C1F90"/>
    <w:rsid w:val="009C21DB"/>
    <w:rsid w:val="009C272C"/>
    <w:rsid w:val="009C2905"/>
    <w:rsid w:val="009C2B99"/>
    <w:rsid w:val="009C2D8E"/>
    <w:rsid w:val="009C2FB5"/>
    <w:rsid w:val="009C32CC"/>
    <w:rsid w:val="009C36C9"/>
    <w:rsid w:val="009C37BC"/>
    <w:rsid w:val="009C37DA"/>
    <w:rsid w:val="009C3E8D"/>
    <w:rsid w:val="009C42D8"/>
    <w:rsid w:val="009C451C"/>
    <w:rsid w:val="009C4E10"/>
    <w:rsid w:val="009C4E22"/>
    <w:rsid w:val="009C513D"/>
    <w:rsid w:val="009C56E6"/>
    <w:rsid w:val="009C5827"/>
    <w:rsid w:val="009C5AD8"/>
    <w:rsid w:val="009C5DD3"/>
    <w:rsid w:val="009C5F51"/>
    <w:rsid w:val="009C6452"/>
    <w:rsid w:val="009C6EF4"/>
    <w:rsid w:val="009C7B1A"/>
    <w:rsid w:val="009C7E31"/>
    <w:rsid w:val="009D0CBF"/>
    <w:rsid w:val="009D0EA5"/>
    <w:rsid w:val="009D109B"/>
    <w:rsid w:val="009D12EC"/>
    <w:rsid w:val="009D1660"/>
    <w:rsid w:val="009D1A4B"/>
    <w:rsid w:val="009D285B"/>
    <w:rsid w:val="009D2C87"/>
    <w:rsid w:val="009D2D95"/>
    <w:rsid w:val="009D3742"/>
    <w:rsid w:val="009D3F50"/>
    <w:rsid w:val="009D4191"/>
    <w:rsid w:val="009D4989"/>
    <w:rsid w:val="009D4D2E"/>
    <w:rsid w:val="009D5F73"/>
    <w:rsid w:val="009D61E0"/>
    <w:rsid w:val="009D636E"/>
    <w:rsid w:val="009D6D1E"/>
    <w:rsid w:val="009D7066"/>
    <w:rsid w:val="009D72A4"/>
    <w:rsid w:val="009D74C2"/>
    <w:rsid w:val="009D76F6"/>
    <w:rsid w:val="009E001C"/>
    <w:rsid w:val="009E06C9"/>
    <w:rsid w:val="009E0A44"/>
    <w:rsid w:val="009E0A47"/>
    <w:rsid w:val="009E0F61"/>
    <w:rsid w:val="009E11AD"/>
    <w:rsid w:val="009E1867"/>
    <w:rsid w:val="009E1C4E"/>
    <w:rsid w:val="009E1D14"/>
    <w:rsid w:val="009E205F"/>
    <w:rsid w:val="009E2250"/>
    <w:rsid w:val="009E2A51"/>
    <w:rsid w:val="009E2B65"/>
    <w:rsid w:val="009E313D"/>
    <w:rsid w:val="009E321D"/>
    <w:rsid w:val="009E38BB"/>
    <w:rsid w:val="009E4693"/>
    <w:rsid w:val="009E520D"/>
    <w:rsid w:val="009E521E"/>
    <w:rsid w:val="009E55F5"/>
    <w:rsid w:val="009E56A5"/>
    <w:rsid w:val="009E5B82"/>
    <w:rsid w:val="009E5E11"/>
    <w:rsid w:val="009E62DE"/>
    <w:rsid w:val="009E72A7"/>
    <w:rsid w:val="009E73F2"/>
    <w:rsid w:val="009E7E44"/>
    <w:rsid w:val="009F0040"/>
    <w:rsid w:val="009F00CD"/>
    <w:rsid w:val="009F04BF"/>
    <w:rsid w:val="009F0583"/>
    <w:rsid w:val="009F086C"/>
    <w:rsid w:val="009F0C90"/>
    <w:rsid w:val="009F104F"/>
    <w:rsid w:val="009F11DE"/>
    <w:rsid w:val="009F2047"/>
    <w:rsid w:val="009F2155"/>
    <w:rsid w:val="009F2685"/>
    <w:rsid w:val="009F2861"/>
    <w:rsid w:val="009F2E4E"/>
    <w:rsid w:val="009F3AC0"/>
    <w:rsid w:val="009F42BB"/>
    <w:rsid w:val="009F45E8"/>
    <w:rsid w:val="009F4826"/>
    <w:rsid w:val="009F594E"/>
    <w:rsid w:val="009F5A3E"/>
    <w:rsid w:val="009F5B01"/>
    <w:rsid w:val="009F5F21"/>
    <w:rsid w:val="009F6091"/>
    <w:rsid w:val="009F612D"/>
    <w:rsid w:val="009F6392"/>
    <w:rsid w:val="009F65F1"/>
    <w:rsid w:val="009F6752"/>
    <w:rsid w:val="009F6825"/>
    <w:rsid w:val="009F6854"/>
    <w:rsid w:val="009F7220"/>
    <w:rsid w:val="009F7246"/>
    <w:rsid w:val="009F7A7E"/>
    <w:rsid w:val="00A002C8"/>
    <w:rsid w:val="00A00455"/>
    <w:rsid w:val="00A006DB"/>
    <w:rsid w:val="00A007FD"/>
    <w:rsid w:val="00A00B8F"/>
    <w:rsid w:val="00A00D0B"/>
    <w:rsid w:val="00A015B2"/>
    <w:rsid w:val="00A01F38"/>
    <w:rsid w:val="00A02173"/>
    <w:rsid w:val="00A02482"/>
    <w:rsid w:val="00A030D2"/>
    <w:rsid w:val="00A034DD"/>
    <w:rsid w:val="00A03A7E"/>
    <w:rsid w:val="00A04176"/>
    <w:rsid w:val="00A043E4"/>
    <w:rsid w:val="00A04A7B"/>
    <w:rsid w:val="00A050C7"/>
    <w:rsid w:val="00A052E6"/>
    <w:rsid w:val="00A0559E"/>
    <w:rsid w:val="00A065B5"/>
    <w:rsid w:val="00A06747"/>
    <w:rsid w:val="00A06D6A"/>
    <w:rsid w:val="00A0770B"/>
    <w:rsid w:val="00A10334"/>
    <w:rsid w:val="00A108DC"/>
    <w:rsid w:val="00A11050"/>
    <w:rsid w:val="00A113AB"/>
    <w:rsid w:val="00A115A9"/>
    <w:rsid w:val="00A11662"/>
    <w:rsid w:val="00A1175F"/>
    <w:rsid w:val="00A11A2B"/>
    <w:rsid w:val="00A11AC8"/>
    <w:rsid w:val="00A11E56"/>
    <w:rsid w:val="00A12230"/>
    <w:rsid w:val="00A12252"/>
    <w:rsid w:val="00A1290F"/>
    <w:rsid w:val="00A12BA8"/>
    <w:rsid w:val="00A12BDC"/>
    <w:rsid w:val="00A131E1"/>
    <w:rsid w:val="00A14A5B"/>
    <w:rsid w:val="00A15325"/>
    <w:rsid w:val="00A15856"/>
    <w:rsid w:val="00A15BE9"/>
    <w:rsid w:val="00A15F70"/>
    <w:rsid w:val="00A1657F"/>
    <w:rsid w:val="00A16A3E"/>
    <w:rsid w:val="00A16AE0"/>
    <w:rsid w:val="00A16AF3"/>
    <w:rsid w:val="00A1702E"/>
    <w:rsid w:val="00A17332"/>
    <w:rsid w:val="00A1769E"/>
    <w:rsid w:val="00A17763"/>
    <w:rsid w:val="00A17EA2"/>
    <w:rsid w:val="00A200D2"/>
    <w:rsid w:val="00A20139"/>
    <w:rsid w:val="00A206E0"/>
    <w:rsid w:val="00A20BC1"/>
    <w:rsid w:val="00A2110C"/>
    <w:rsid w:val="00A21573"/>
    <w:rsid w:val="00A21AE3"/>
    <w:rsid w:val="00A22B1B"/>
    <w:rsid w:val="00A22EDE"/>
    <w:rsid w:val="00A22F59"/>
    <w:rsid w:val="00A2321C"/>
    <w:rsid w:val="00A234D8"/>
    <w:rsid w:val="00A241A8"/>
    <w:rsid w:val="00A24574"/>
    <w:rsid w:val="00A2483E"/>
    <w:rsid w:val="00A24B93"/>
    <w:rsid w:val="00A24F83"/>
    <w:rsid w:val="00A257D6"/>
    <w:rsid w:val="00A258A4"/>
    <w:rsid w:val="00A2594C"/>
    <w:rsid w:val="00A25966"/>
    <w:rsid w:val="00A26072"/>
    <w:rsid w:val="00A26307"/>
    <w:rsid w:val="00A26498"/>
    <w:rsid w:val="00A26DD9"/>
    <w:rsid w:val="00A26E2E"/>
    <w:rsid w:val="00A26FD8"/>
    <w:rsid w:val="00A274AF"/>
    <w:rsid w:val="00A27E84"/>
    <w:rsid w:val="00A30159"/>
    <w:rsid w:val="00A301AE"/>
    <w:rsid w:val="00A303BC"/>
    <w:rsid w:val="00A30473"/>
    <w:rsid w:val="00A3077A"/>
    <w:rsid w:val="00A3121D"/>
    <w:rsid w:val="00A31408"/>
    <w:rsid w:val="00A3143E"/>
    <w:rsid w:val="00A316A0"/>
    <w:rsid w:val="00A318A4"/>
    <w:rsid w:val="00A318BB"/>
    <w:rsid w:val="00A31EA7"/>
    <w:rsid w:val="00A3214C"/>
    <w:rsid w:val="00A33E6B"/>
    <w:rsid w:val="00A340F7"/>
    <w:rsid w:val="00A34828"/>
    <w:rsid w:val="00A34C7E"/>
    <w:rsid w:val="00A353C8"/>
    <w:rsid w:val="00A35480"/>
    <w:rsid w:val="00A35BC7"/>
    <w:rsid w:val="00A35FAE"/>
    <w:rsid w:val="00A35FD8"/>
    <w:rsid w:val="00A3636F"/>
    <w:rsid w:val="00A36FAE"/>
    <w:rsid w:val="00A37300"/>
    <w:rsid w:val="00A37332"/>
    <w:rsid w:val="00A37814"/>
    <w:rsid w:val="00A40259"/>
    <w:rsid w:val="00A40507"/>
    <w:rsid w:val="00A4053A"/>
    <w:rsid w:val="00A4063F"/>
    <w:rsid w:val="00A40BC2"/>
    <w:rsid w:val="00A40CC7"/>
    <w:rsid w:val="00A40D8A"/>
    <w:rsid w:val="00A417BC"/>
    <w:rsid w:val="00A418EB"/>
    <w:rsid w:val="00A41B6D"/>
    <w:rsid w:val="00A41DD7"/>
    <w:rsid w:val="00A42A6D"/>
    <w:rsid w:val="00A42CF6"/>
    <w:rsid w:val="00A438EC"/>
    <w:rsid w:val="00A44181"/>
    <w:rsid w:val="00A448AE"/>
    <w:rsid w:val="00A44B49"/>
    <w:rsid w:val="00A44E00"/>
    <w:rsid w:val="00A45312"/>
    <w:rsid w:val="00A45469"/>
    <w:rsid w:val="00A454F6"/>
    <w:rsid w:val="00A45951"/>
    <w:rsid w:val="00A45FA6"/>
    <w:rsid w:val="00A46832"/>
    <w:rsid w:val="00A476CF"/>
    <w:rsid w:val="00A477CC"/>
    <w:rsid w:val="00A478FD"/>
    <w:rsid w:val="00A47B26"/>
    <w:rsid w:val="00A47C3F"/>
    <w:rsid w:val="00A47C54"/>
    <w:rsid w:val="00A501AD"/>
    <w:rsid w:val="00A510CD"/>
    <w:rsid w:val="00A5133B"/>
    <w:rsid w:val="00A51367"/>
    <w:rsid w:val="00A513A2"/>
    <w:rsid w:val="00A51567"/>
    <w:rsid w:val="00A518A2"/>
    <w:rsid w:val="00A52D82"/>
    <w:rsid w:val="00A536BF"/>
    <w:rsid w:val="00A536D4"/>
    <w:rsid w:val="00A53926"/>
    <w:rsid w:val="00A53C5B"/>
    <w:rsid w:val="00A5428D"/>
    <w:rsid w:val="00A544CF"/>
    <w:rsid w:val="00A547DB"/>
    <w:rsid w:val="00A54BB9"/>
    <w:rsid w:val="00A54CBA"/>
    <w:rsid w:val="00A54CFF"/>
    <w:rsid w:val="00A55000"/>
    <w:rsid w:val="00A550B7"/>
    <w:rsid w:val="00A55157"/>
    <w:rsid w:val="00A5531D"/>
    <w:rsid w:val="00A554B5"/>
    <w:rsid w:val="00A55631"/>
    <w:rsid w:val="00A559AB"/>
    <w:rsid w:val="00A55DC4"/>
    <w:rsid w:val="00A57753"/>
    <w:rsid w:val="00A579F1"/>
    <w:rsid w:val="00A57C63"/>
    <w:rsid w:val="00A60DD7"/>
    <w:rsid w:val="00A6116A"/>
    <w:rsid w:val="00A6117E"/>
    <w:rsid w:val="00A61F7A"/>
    <w:rsid w:val="00A61FD2"/>
    <w:rsid w:val="00A62F2D"/>
    <w:rsid w:val="00A637E5"/>
    <w:rsid w:val="00A63FF6"/>
    <w:rsid w:val="00A644EF"/>
    <w:rsid w:val="00A646CE"/>
    <w:rsid w:val="00A64CF1"/>
    <w:rsid w:val="00A64D2B"/>
    <w:rsid w:val="00A64E5B"/>
    <w:rsid w:val="00A64FF2"/>
    <w:rsid w:val="00A65073"/>
    <w:rsid w:val="00A66117"/>
    <w:rsid w:val="00A6616B"/>
    <w:rsid w:val="00A66C9F"/>
    <w:rsid w:val="00A66D78"/>
    <w:rsid w:val="00A67111"/>
    <w:rsid w:val="00A6738F"/>
    <w:rsid w:val="00A673B6"/>
    <w:rsid w:val="00A6763E"/>
    <w:rsid w:val="00A677C7"/>
    <w:rsid w:val="00A6783F"/>
    <w:rsid w:val="00A6FAC5"/>
    <w:rsid w:val="00A70326"/>
    <w:rsid w:val="00A70801"/>
    <w:rsid w:val="00A70BAC"/>
    <w:rsid w:val="00A71480"/>
    <w:rsid w:val="00A7199F"/>
    <w:rsid w:val="00A72D50"/>
    <w:rsid w:val="00A731A9"/>
    <w:rsid w:val="00A732BF"/>
    <w:rsid w:val="00A73C7D"/>
    <w:rsid w:val="00A742EC"/>
    <w:rsid w:val="00A747BC"/>
    <w:rsid w:val="00A7480F"/>
    <w:rsid w:val="00A748A9"/>
    <w:rsid w:val="00A74926"/>
    <w:rsid w:val="00A74A5D"/>
    <w:rsid w:val="00A74D42"/>
    <w:rsid w:val="00A74DC5"/>
    <w:rsid w:val="00A74FD9"/>
    <w:rsid w:val="00A75D68"/>
    <w:rsid w:val="00A75EBE"/>
    <w:rsid w:val="00A75EE1"/>
    <w:rsid w:val="00A76A2D"/>
    <w:rsid w:val="00A76AB4"/>
    <w:rsid w:val="00A76C27"/>
    <w:rsid w:val="00A770CB"/>
    <w:rsid w:val="00A77176"/>
    <w:rsid w:val="00A77181"/>
    <w:rsid w:val="00A77808"/>
    <w:rsid w:val="00A779FD"/>
    <w:rsid w:val="00A77BBE"/>
    <w:rsid w:val="00A77DCC"/>
    <w:rsid w:val="00A80A8E"/>
    <w:rsid w:val="00A80E2A"/>
    <w:rsid w:val="00A80F24"/>
    <w:rsid w:val="00A80FDF"/>
    <w:rsid w:val="00A8103F"/>
    <w:rsid w:val="00A818AB"/>
    <w:rsid w:val="00A8192E"/>
    <w:rsid w:val="00A81AE7"/>
    <w:rsid w:val="00A820D6"/>
    <w:rsid w:val="00A8232B"/>
    <w:rsid w:val="00A823A7"/>
    <w:rsid w:val="00A824B9"/>
    <w:rsid w:val="00A8263F"/>
    <w:rsid w:val="00A83811"/>
    <w:rsid w:val="00A83911"/>
    <w:rsid w:val="00A83ACC"/>
    <w:rsid w:val="00A840DE"/>
    <w:rsid w:val="00A840F6"/>
    <w:rsid w:val="00A8428F"/>
    <w:rsid w:val="00A84600"/>
    <w:rsid w:val="00A8475D"/>
    <w:rsid w:val="00A847F2"/>
    <w:rsid w:val="00A84F4E"/>
    <w:rsid w:val="00A8516C"/>
    <w:rsid w:val="00A85FBE"/>
    <w:rsid w:val="00A869AF"/>
    <w:rsid w:val="00A86F7C"/>
    <w:rsid w:val="00A87477"/>
    <w:rsid w:val="00A87480"/>
    <w:rsid w:val="00A8786F"/>
    <w:rsid w:val="00A902B3"/>
    <w:rsid w:val="00A903BE"/>
    <w:rsid w:val="00A90953"/>
    <w:rsid w:val="00A9171C"/>
    <w:rsid w:val="00A92084"/>
    <w:rsid w:val="00A92637"/>
    <w:rsid w:val="00A92D02"/>
    <w:rsid w:val="00A94185"/>
    <w:rsid w:val="00A94831"/>
    <w:rsid w:val="00A95CBC"/>
    <w:rsid w:val="00A95CBD"/>
    <w:rsid w:val="00A970B7"/>
    <w:rsid w:val="00A97597"/>
    <w:rsid w:val="00A9773E"/>
    <w:rsid w:val="00A97C2F"/>
    <w:rsid w:val="00AA0B39"/>
    <w:rsid w:val="00AA0DFA"/>
    <w:rsid w:val="00AA112C"/>
    <w:rsid w:val="00AA12D9"/>
    <w:rsid w:val="00AA1383"/>
    <w:rsid w:val="00AA17A8"/>
    <w:rsid w:val="00AA19CD"/>
    <w:rsid w:val="00AA2B06"/>
    <w:rsid w:val="00AA2EEC"/>
    <w:rsid w:val="00AA3508"/>
    <w:rsid w:val="00AA398C"/>
    <w:rsid w:val="00AA39A5"/>
    <w:rsid w:val="00AA3A14"/>
    <w:rsid w:val="00AA3DEF"/>
    <w:rsid w:val="00AA3EA9"/>
    <w:rsid w:val="00AA4418"/>
    <w:rsid w:val="00AA45BB"/>
    <w:rsid w:val="00AA4620"/>
    <w:rsid w:val="00AA52F4"/>
    <w:rsid w:val="00AA5D1A"/>
    <w:rsid w:val="00AA6352"/>
    <w:rsid w:val="00AA665E"/>
    <w:rsid w:val="00AA6C8C"/>
    <w:rsid w:val="00AA6CBD"/>
    <w:rsid w:val="00AA72AF"/>
    <w:rsid w:val="00AA7A56"/>
    <w:rsid w:val="00AB0020"/>
    <w:rsid w:val="00AB0490"/>
    <w:rsid w:val="00AB0873"/>
    <w:rsid w:val="00AB099C"/>
    <w:rsid w:val="00AB09E4"/>
    <w:rsid w:val="00AB0D71"/>
    <w:rsid w:val="00AB1010"/>
    <w:rsid w:val="00AB1396"/>
    <w:rsid w:val="00AB16AD"/>
    <w:rsid w:val="00AB2320"/>
    <w:rsid w:val="00AB2543"/>
    <w:rsid w:val="00AB2F07"/>
    <w:rsid w:val="00AB31DB"/>
    <w:rsid w:val="00AB3EDA"/>
    <w:rsid w:val="00AB499A"/>
    <w:rsid w:val="00AB49EB"/>
    <w:rsid w:val="00AB4B81"/>
    <w:rsid w:val="00AB4C09"/>
    <w:rsid w:val="00AB514D"/>
    <w:rsid w:val="00AB5197"/>
    <w:rsid w:val="00AB52D0"/>
    <w:rsid w:val="00AB639E"/>
    <w:rsid w:val="00AB696F"/>
    <w:rsid w:val="00AB7518"/>
    <w:rsid w:val="00AB7657"/>
    <w:rsid w:val="00AB7CC6"/>
    <w:rsid w:val="00AC0275"/>
    <w:rsid w:val="00AC097A"/>
    <w:rsid w:val="00AC0B95"/>
    <w:rsid w:val="00AC1310"/>
    <w:rsid w:val="00AC1873"/>
    <w:rsid w:val="00AC1D89"/>
    <w:rsid w:val="00AC208A"/>
    <w:rsid w:val="00AC282B"/>
    <w:rsid w:val="00AC2D51"/>
    <w:rsid w:val="00AC3342"/>
    <w:rsid w:val="00AC3803"/>
    <w:rsid w:val="00AC405C"/>
    <w:rsid w:val="00AC4439"/>
    <w:rsid w:val="00AC44F8"/>
    <w:rsid w:val="00AC463B"/>
    <w:rsid w:val="00AC4654"/>
    <w:rsid w:val="00AC50EF"/>
    <w:rsid w:val="00AC5E8A"/>
    <w:rsid w:val="00AC6372"/>
    <w:rsid w:val="00AC67D6"/>
    <w:rsid w:val="00AC6CAC"/>
    <w:rsid w:val="00AC6F49"/>
    <w:rsid w:val="00AC6FD7"/>
    <w:rsid w:val="00AC7B81"/>
    <w:rsid w:val="00AC7C1C"/>
    <w:rsid w:val="00AD007F"/>
    <w:rsid w:val="00AD03DF"/>
    <w:rsid w:val="00AD079E"/>
    <w:rsid w:val="00AD10E9"/>
    <w:rsid w:val="00AD1319"/>
    <w:rsid w:val="00AD1F6F"/>
    <w:rsid w:val="00AD20E2"/>
    <w:rsid w:val="00AD2701"/>
    <w:rsid w:val="00AD2B11"/>
    <w:rsid w:val="00AD378F"/>
    <w:rsid w:val="00AD3FBB"/>
    <w:rsid w:val="00AD41DE"/>
    <w:rsid w:val="00AD49F6"/>
    <w:rsid w:val="00AD5595"/>
    <w:rsid w:val="00AD5B4C"/>
    <w:rsid w:val="00AD6426"/>
    <w:rsid w:val="00AD654B"/>
    <w:rsid w:val="00AD66ED"/>
    <w:rsid w:val="00AD6C64"/>
    <w:rsid w:val="00AD6CCB"/>
    <w:rsid w:val="00AD6F99"/>
    <w:rsid w:val="00AD70F2"/>
    <w:rsid w:val="00AD71BB"/>
    <w:rsid w:val="00AD71D3"/>
    <w:rsid w:val="00AD7594"/>
    <w:rsid w:val="00AE0019"/>
    <w:rsid w:val="00AE028D"/>
    <w:rsid w:val="00AE053D"/>
    <w:rsid w:val="00AE0BD9"/>
    <w:rsid w:val="00AE14DB"/>
    <w:rsid w:val="00AE14DD"/>
    <w:rsid w:val="00AE17DB"/>
    <w:rsid w:val="00AE20F8"/>
    <w:rsid w:val="00AE21AD"/>
    <w:rsid w:val="00AE2E08"/>
    <w:rsid w:val="00AE30CF"/>
    <w:rsid w:val="00AE31E6"/>
    <w:rsid w:val="00AE3797"/>
    <w:rsid w:val="00AE3897"/>
    <w:rsid w:val="00AE4227"/>
    <w:rsid w:val="00AE4359"/>
    <w:rsid w:val="00AE4ACA"/>
    <w:rsid w:val="00AE5228"/>
    <w:rsid w:val="00AE54B6"/>
    <w:rsid w:val="00AE57AB"/>
    <w:rsid w:val="00AE58A6"/>
    <w:rsid w:val="00AE59A0"/>
    <w:rsid w:val="00AE5DE4"/>
    <w:rsid w:val="00AE5E67"/>
    <w:rsid w:val="00AE5F25"/>
    <w:rsid w:val="00AE5F67"/>
    <w:rsid w:val="00AE61F5"/>
    <w:rsid w:val="00AE6375"/>
    <w:rsid w:val="00AE64CA"/>
    <w:rsid w:val="00AE6B0A"/>
    <w:rsid w:val="00AE7DB5"/>
    <w:rsid w:val="00AE7F07"/>
    <w:rsid w:val="00AE7F62"/>
    <w:rsid w:val="00AEACDE"/>
    <w:rsid w:val="00AF00BD"/>
    <w:rsid w:val="00AF0186"/>
    <w:rsid w:val="00AF020D"/>
    <w:rsid w:val="00AF0242"/>
    <w:rsid w:val="00AF02EB"/>
    <w:rsid w:val="00AF13C0"/>
    <w:rsid w:val="00AF1DF7"/>
    <w:rsid w:val="00AF225D"/>
    <w:rsid w:val="00AF2A5A"/>
    <w:rsid w:val="00AF450F"/>
    <w:rsid w:val="00AF4763"/>
    <w:rsid w:val="00AF5BDC"/>
    <w:rsid w:val="00AF5F9F"/>
    <w:rsid w:val="00AF683E"/>
    <w:rsid w:val="00AF6AD7"/>
    <w:rsid w:val="00AF6FA0"/>
    <w:rsid w:val="00AF7234"/>
    <w:rsid w:val="00AF79DD"/>
    <w:rsid w:val="00AF7E41"/>
    <w:rsid w:val="00B00025"/>
    <w:rsid w:val="00B001F8"/>
    <w:rsid w:val="00B00215"/>
    <w:rsid w:val="00B0023D"/>
    <w:rsid w:val="00B004D2"/>
    <w:rsid w:val="00B007DB"/>
    <w:rsid w:val="00B013B6"/>
    <w:rsid w:val="00B01D1C"/>
    <w:rsid w:val="00B020A8"/>
    <w:rsid w:val="00B020F5"/>
    <w:rsid w:val="00B02A4F"/>
    <w:rsid w:val="00B02C92"/>
    <w:rsid w:val="00B0339B"/>
    <w:rsid w:val="00B03426"/>
    <w:rsid w:val="00B0353E"/>
    <w:rsid w:val="00B038E8"/>
    <w:rsid w:val="00B03CDA"/>
    <w:rsid w:val="00B04761"/>
    <w:rsid w:val="00B047CF"/>
    <w:rsid w:val="00B04D07"/>
    <w:rsid w:val="00B05335"/>
    <w:rsid w:val="00B054B1"/>
    <w:rsid w:val="00B05E29"/>
    <w:rsid w:val="00B05E65"/>
    <w:rsid w:val="00B05F0C"/>
    <w:rsid w:val="00B06B19"/>
    <w:rsid w:val="00B06FE2"/>
    <w:rsid w:val="00B0747C"/>
    <w:rsid w:val="00B0EA85"/>
    <w:rsid w:val="00B1002C"/>
    <w:rsid w:val="00B10088"/>
    <w:rsid w:val="00B10225"/>
    <w:rsid w:val="00B10523"/>
    <w:rsid w:val="00B1088B"/>
    <w:rsid w:val="00B10C87"/>
    <w:rsid w:val="00B10E72"/>
    <w:rsid w:val="00B1111F"/>
    <w:rsid w:val="00B112CD"/>
    <w:rsid w:val="00B11F53"/>
    <w:rsid w:val="00B1241C"/>
    <w:rsid w:val="00B124E1"/>
    <w:rsid w:val="00B12642"/>
    <w:rsid w:val="00B126E8"/>
    <w:rsid w:val="00B12A42"/>
    <w:rsid w:val="00B12A66"/>
    <w:rsid w:val="00B12A8A"/>
    <w:rsid w:val="00B12BE3"/>
    <w:rsid w:val="00B12CD1"/>
    <w:rsid w:val="00B12DE3"/>
    <w:rsid w:val="00B13CDB"/>
    <w:rsid w:val="00B13F07"/>
    <w:rsid w:val="00B13FA0"/>
    <w:rsid w:val="00B141AF"/>
    <w:rsid w:val="00B1423E"/>
    <w:rsid w:val="00B146F7"/>
    <w:rsid w:val="00B14CF8"/>
    <w:rsid w:val="00B152FA"/>
    <w:rsid w:val="00B15D4B"/>
    <w:rsid w:val="00B15E4B"/>
    <w:rsid w:val="00B1636C"/>
    <w:rsid w:val="00B164C3"/>
    <w:rsid w:val="00B1667B"/>
    <w:rsid w:val="00B166D9"/>
    <w:rsid w:val="00B16968"/>
    <w:rsid w:val="00B16A6C"/>
    <w:rsid w:val="00B16FDC"/>
    <w:rsid w:val="00B170F1"/>
    <w:rsid w:val="00B173E7"/>
    <w:rsid w:val="00B17493"/>
    <w:rsid w:val="00B17583"/>
    <w:rsid w:val="00B17F62"/>
    <w:rsid w:val="00B20257"/>
    <w:rsid w:val="00B20353"/>
    <w:rsid w:val="00B20650"/>
    <w:rsid w:val="00B20942"/>
    <w:rsid w:val="00B2101A"/>
    <w:rsid w:val="00B21718"/>
    <w:rsid w:val="00B2174B"/>
    <w:rsid w:val="00B21777"/>
    <w:rsid w:val="00B218EB"/>
    <w:rsid w:val="00B2219F"/>
    <w:rsid w:val="00B22EA6"/>
    <w:rsid w:val="00B239BF"/>
    <w:rsid w:val="00B23AF9"/>
    <w:rsid w:val="00B24D24"/>
    <w:rsid w:val="00B25DB8"/>
    <w:rsid w:val="00B26288"/>
    <w:rsid w:val="00B268AB"/>
    <w:rsid w:val="00B2705A"/>
    <w:rsid w:val="00B27749"/>
    <w:rsid w:val="00B30382"/>
    <w:rsid w:val="00B309CB"/>
    <w:rsid w:val="00B30C55"/>
    <w:rsid w:val="00B30EE7"/>
    <w:rsid w:val="00B31B15"/>
    <w:rsid w:val="00B32032"/>
    <w:rsid w:val="00B32359"/>
    <w:rsid w:val="00B3278B"/>
    <w:rsid w:val="00B32AD1"/>
    <w:rsid w:val="00B3321F"/>
    <w:rsid w:val="00B33251"/>
    <w:rsid w:val="00B348CF"/>
    <w:rsid w:val="00B35233"/>
    <w:rsid w:val="00B35377"/>
    <w:rsid w:val="00B356E9"/>
    <w:rsid w:val="00B358E5"/>
    <w:rsid w:val="00B35E81"/>
    <w:rsid w:val="00B36472"/>
    <w:rsid w:val="00B3654D"/>
    <w:rsid w:val="00B36D7A"/>
    <w:rsid w:val="00B37244"/>
    <w:rsid w:val="00B37264"/>
    <w:rsid w:val="00B37620"/>
    <w:rsid w:val="00B3763F"/>
    <w:rsid w:val="00B376A1"/>
    <w:rsid w:val="00B378FF"/>
    <w:rsid w:val="00B37CAF"/>
    <w:rsid w:val="00B37D7F"/>
    <w:rsid w:val="00B40350"/>
    <w:rsid w:val="00B404AC"/>
    <w:rsid w:val="00B404C9"/>
    <w:rsid w:val="00B409A1"/>
    <w:rsid w:val="00B40C87"/>
    <w:rsid w:val="00B41210"/>
    <w:rsid w:val="00B41CB9"/>
    <w:rsid w:val="00B42325"/>
    <w:rsid w:val="00B42CA8"/>
    <w:rsid w:val="00B43363"/>
    <w:rsid w:val="00B434D5"/>
    <w:rsid w:val="00B434ED"/>
    <w:rsid w:val="00B4383F"/>
    <w:rsid w:val="00B44134"/>
    <w:rsid w:val="00B444BF"/>
    <w:rsid w:val="00B445A2"/>
    <w:rsid w:val="00B44754"/>
    <w:rsid w:val="00B451D5"/>
    <w:rsid w:val="00B45321"/>
    <w:rsid w:val="00B453AA"/>
    <w:rsid w:val="00B457B6"/>
    <w:rsid w:val="00B45CF3"/>
    <w:rsid w:val="00B46382"/>
    <w:rsid w:val="00B4670F"/>
    <w:rsid w:val="00B46E9E"/>
    <w:rsid w:val="00B5001D"/>
    <w:rsid w:val="00B500B1"/>
    <w:rsid w:val="00B50140"/>
    <w:rsid w:val="00B50363"/>
    <w:rsid w:val="00B51C2A"/>
    <w:rsid w:val="00B52041"/>
    <w:rsid w:val="00B5334B"/>
    <w:rsid w:val="00B53C47"/>
    <w:rsid w:val="00B53DE1"/>
    <w:rsid w:val="00B543E9"/>
    <w:rsid w:val="00B54421"/>
    <w:rsid w:val="00B5453A"/>
    <w:rsid w:val="00B54DAA"/>
    <w:rsid w:val="00B54F23"/>
    <w:rsid w:val="00B55029"/>
    <w:rsid w:val="00B55313"/>
    <w:rsid w:val="00B555C8"/>
    <w:rsid w:val="00B5563C"/>
    <w:rsid w:val="00B5565B"/>
    <w:rsid w:val="00B556FE"/>
    <w:rsid w:val="00B559E6"/>
    <w:rsid w:val="00B55EAB"/>
    <w:rsid w:val="00B560AF"/>
    <w:rsid w:val="00B56336"/>
    <w:rsid w:val="00B564DB"/>
    <w:rsid w:val="00B565D0"/>
    <w:rsid w:val="00B5729F"/>
    <w:rsid w:val="00B57306"/>
    <w:rsid w:val="00B5778E"/>
    <w:rsid w:val="00B57D9A"/>
    <w:rsid w:val="00B60414"/>
    <w:rsid w:val="00B606F9"/>
    <w:rsid w:val="00B617C6"/>
    <w:rsid w:val="00B617EF"/>
    <w:rsid w:val="00B61911"/>
    <w:rsid w:val="00B61A88"/>
    <w:rsid w:val="00B61A89"/>
    <w:rsid w:val="00B61E31"/>
    <w:rsid w:val="00B62C6C"/>
    <w:rsid w:val="00B62FB9"/>
    <w:rsid w:val="00B63604"/>
    <w:rsid w:val="00B639D3"/>
    <w:rsid w:val="00B63E48"/>
    <w:rsid w:val="00B64087"/>
    <w:rsid w:val="00B6452A"/>
    <w:rsid w:val="00B645BC"/>
    <w:rsid w:val="00B64663"/>
    <w:rsid w:val="00B6499B"/>
    <w:rsid w:val="00B649B0"/>
    <w:rsid w:val="00B64EAB"/>
    <w:rsid w:val="00B655C5"/>
    <w:rsid w:val="00B65888"/>
    <w:rsid w:val="00B65AC1"/>
    <w:rsid w:val="00B65DAF"/>
    <w:rsid w:val="00B66203"/>
    <w:rsid w:val="00B66369"/>
    <w:rsid w:val="00B6670A"/>
    <w:rsid w:val="00B66830"/>
    <w:rsid w:val="00B66920"/>
    <w:rsid w:val="00B66A8B"/>
    <w:rsid w:val="00B675DD"/>
    <w:rsid w:val="00B67A02"/>
    <w:rsid w:val="00B67C63"/>
    <w:rsid w:val="00B70F63"/>
    <w:rsid w:val="00B71409"/>
    <w:rsid w:val="00B71DBD"/>
    <w:rsid w:val="00B723F1"/>
    <w:rsid w:val="00B726F4"/>
    <w:rsid w:val="00B73760"/>
    <w:rsid w:val="00B73C8D"/>
    <w:rsid w:val="00B7400C"/>
    <w:rsid w:val="00B741BF"/>
    <w:rsid w:val="00B746DD"/>
    <w:rsid w:val="00B75149"/>
    <w:rsid w:val="00B7567D"/>
    <w:rsid w:val="00B75889"/>
    <w:rsid w:val="00B75973"/>
    <w:rsid w:val="00B767EC"/>
    <w:rsid w:val="00B76DD3"/>
    <w:rsid w:val="00B76DF7"/>
    <w:rsid w:val="00B76E14"/>
    <w:rsid w:val="00B77134"/>
    <w:rsid w:val="00B7759B"/>
    <w:rsid w:val="00B77827"/>
    <w:rsid w:val="00B77A18"/>
    <w:rsid w:val="00B77D16"/>
    <w:rsid w:val="00B77D93"/>
    <w:rsid w:val="00B77FB4"/>
    <w:rsid w:val="00B80130"/>
    <w:rsid w:val="00B80C3C"/>
    <w:rsid w:val="00B80D71"/>
    <w:rsid w:val="00B810FF"/>
    <w:rsid w:val="00B82775"/>
    <w:rsid w:val="00B8294C"/>
    <w:rsid w:val="00B82C87"/>
    <w:rsid w:val="00B839DA"/>
    <w:rsid w:val="00B840F7"/>
    <w:rsid w:val="00B84C74"/>
    <w:rsid w:val="00B85057"/>
    <w:rsid w:val="00B859BE"/>
    <w:rsid w:val="00B85BC2"/>
    <w:rsid w:val="00B86263"/>
    <w:rsid w:val="00B867B8"/>
    <w:rsid w:val="00B86886"/>
    <w:rsid w:val="00B869AA"/>
    <w:rsid w:val="00B86F06"/>
    <w:rsid w:val="00B86FAD"/>
    <w:rsid w:val="00B87BBE"/>
    <w:rsid w:val="00B87DB5"/>
    <w:rsid w:val="00B87E4B"/>
    <w:rsid w:val="00B901ED"/>
    <w:rsid w:val="00B905ED"/>
    <w:rsid w:val="00B90C19"/>
    <w:rsid w:val="00B90F52"/>
    <w:rsid w:val="00B9101E"/>
    <w:rsid w:val="00B912D9"/>
    <w:rsid w:val="00B91B60"/>
    <w:rsid w:val="00B91CF5"/>
    <w:rsid w:val="00B91D27"/>
    <w:rsid w:val="00B91D8B"/>
    <w:rsid w:val="00B92248"/>
    <w:rsid w:val="00B922BC"/>
    <w:rsid w:val="00B925ED"/>
    <w:rsid w:val="00B93353"/>
    <w:rsid w:val="00B933A5"/>
    <w:rsid w:val="00B937E2"/>
    <w:rsid w:val="00B9390F"/>
    <w:rsid w:val="00B93AF4"/>
    <w:rsid w:val="00B93CBB"/>
    <w:rsid w:val="00B9403A"/>
    <w:rsid w:val="00B94638"/>
    <w:rsid w:val="00B946E3"/>
    <w:rsid w:val="00B947AE"/>
    <w:rsid w:val="00B948B6"/>
    <w:rsid w:val="00B9507B"/>
    <w:rsid w:val="00B957E5"/>
    <w:rsid w:val="00B95A7D"/>
    <w:rsid w:val="00B9629F"/>
    <w:rsid w:val="00B9688E"/>
    <w:rsid w:val="00B9747F"/>
    <w:rsid w:val="00B975D3"/>
    <w:rsid w:val="00B97E8E"/>
    <w:rsid w:val="00BA0140"/>
    <w:rsid w:val="00BA034F"/>
    <w:rsid w:val="00BA1B78"/>
    <w:rsid w:val="00BA1DA6"/>
    <w:rsid w:val="00BA276B"/>
    <w:rsid w:val="00BA2D6C"/>
    <w:rsid w:val="00BA2DDA"/>
    <w:rsid w:val="00BA30BE"/>
    <w:rsid w:val="00BA3413"/>
    <w:rsid w:val="00BA3467"/>
    <w:rsid w:val="00BA4DB9"/>
    <w:rsid w:val="00BA538B"/>
    <w:rsid w:val="00BA5652"/>
    <w:rsid w:val="00BA6677"/>
    <w:rsid w:val="00BA71A5"/>
    <w:rsid w:val="00BA748B"/>
    <w:rsid w:val="00BA7BFD"/>
    <w:rsid w:val="00BA7F00"/>
    <w:rsid w:val="00BAA26E"/>
    <w:rsid w:val="00BB0886"/>
    <w:rsid w:val="00BB090B"/>
    <w:rsid w:val="00BB0D45"/>
    <w:rsid w:val="00BB0DE5"/>
    <w:rsid w:val="00BB1864"/>
    <w:rsid w:val="00BB2103"/>
    <w:rsid w:val="00BB3183"/>
    <w:rsid w:val="00BB36DD"/>
    <w:rsid w:val="00BB391E"/>
    <w:rsid w:val="00BB3B35"/>
    <w:rsid w:val="00BB3BCC"/>
    <w:rsid w:val="00BB3FCF"/>
    <w:rsid w:val="00BB558E"/>
    <w:rsid w:val="00BB5913"/>
    <w:rsid w:val="00BB5E93"/>
    <w:rsid w:val="00BB62F7"/>
    <w:rsid w:val="00BB643E"/>
    <w:rsid w:val="00BB6A1A"/>
    <w:rsid w:val="00BB6A42"/>
    <w:rsid w:val="00BB6B96"/>
    <w:rsid w:val="00BB7561"/>
    <w:rsid w:val="00BB7877"/>
    <w:rsid w:val="00BB7D91"/>
    <w:rsid w:val="00BC009A"/>
    <w:rsid w:val="00BC06BE"/>
    <w:rsid w:val="00BC06FF"/>
    <w:rsid w:val="00BC122F"/>
    <w:rsid w:val="00BC18D7"/>
    <w:rsid w:val="00BC1CFA"/>
    <w:rsid w:val="00BC1FDD"/>
    <w:rsid w:val="00BC2257"/>
    <w:rsid w:val="00BC276D"/>
    <w:rsid w:val="00BC323B"/>
    <w:rsid w:val="00BC3296"/>
    <w:rsid w:val="00BC390B"/>
    <w:rsid w:val="00BC3C5A"/>
    <w:rsid w:val="00BC3DAF"/>
    <w:rsid w:val="00BC41CD"/>
    <w:rsid w:val="00BC41F8"/>
    <w:rsid w:val="00BC43DE"/>
    <w:rsid w:val="00BC484E"/>
    <w:rsid w:val="00BC48C2"/>
    <w:rsid w:val="00BC4AE2"/>
    <w:rsid w:val="00BC502A"/>
    <w:rsid w:val="00BC53D0"/>
    <w:rsid w:val="00BC543A"/>
    <w:rsid w:val="00BC578C"/>
    <w:rsid w:val="00BC5EC1"/>
    <w:rsid w:val="00BC695F"/>
    <w:rsid w:val="00BC6D14"/>
    <w:rsid w:val="00BC6E33"/>
    <w:rsid w:val="00BC709D"/>
    <w:rsid w:val="00BC7335"/>
    <w:rsid w:val="00BD0614"/>
    <w:rsid w:val="00BD0712"/>
    <w:rsid w:val="00BD0FE2"/>
    <w:rsid w:val="00BD1548"/>
    <w:rsid w:val="00BD28E7"/>
    <w:rsid w:val="00BD2AB4"/>
    <w:rsid w:val="00BD3723"/>
    <w:rsid w:val="00BD401C"/>
    <w:rsid w:val="00BD401F"/>
    <w:rsid w:val="00BD4277"/>
    <w:rsid w:val="00BD5235"/>
    <w:rsid w:val="00BD554B"/>
    <w:rsid w:val="00BD5939"/>
    <w:rsid w:val="00BD5A65"/>
    <w:rsid w:val="00BD5A90"/>
    <w:rsid w:val="00BD692A"/>
    <w:rsid w:val="00BD6997"/>
    <w:rsid w:val="00BD6C5F"/>
    <w:rsid w:val="00BD7278"/>
    <w:rsid w:val="00BD74C2"/>
    <w:rsid w:val="00BD7571"/>
    <w:rsid w:val="00BD79EB"/>
    <w:rsid w:val="00BD7FB3"/>
    <w:rsid w:val="00BE0098"/>
    <w:rsid w:val="00BE0105"/>
    <w:rsid w:val="00BE06F6"/>
    <w:rsid w:val="00BE07E6"/>
    <w:rsid w:val="00BE0F85"/>
    <w:rsid w:val="00BE1029"/>
    <w:rsid w:val="00BE10CC"/>
    <w:rsid w:val="00BE1232"/>
    <w:rsid w:val="00BE15E3"/>
    <w:rsid w:val="00BE1725"/>
    <w:rsid w:val="00BE1A03"/>
    <w:rsid w:val="00BE1B60"/>
    <w:rsid w:val="00BE25CE"/>
    <w:rsid w:val="00BE331C"/>
    <w:rsid w:val="00BE4137"/>
    <w:rsid w:val="00BE45AB"/>
    <w:rsid w:val="00BE480A"/>
    <w:rsid w:val="00BE4EE4"/>
    <w:rsid w:val="00BE54AE"/>
    <w:rsid w:val="00BE56E7"/>
    <w:rsid w:val="00BE5896"/>
    <w:rsid w:val="00BE5A61"/>
    <w:rsid w:val="00BE5B56"/>
    <w:rsid w:val="00BE6036"/>
    <w:rsid w:val="00BE61E6"/>
    <w:rsid w:val="00BE6223"/>
    <w:rsid w:val="00BE64AF"/>
    <w:rsid w:val="00BE64DA"/>
    <w:rsid w:val="00BE7031"/>
    <w:rsid w:val="00BE76F2"/>
    <w:rsid w:val="00BE7911"/>
    <w:rsid w:val="00BE7AAA"/>
    <w:rsid w:val="00BE7E52"/>
    <w:rsid w:val="00BF0500"/>
    <w:rsid w:val="00BF0AE1"/>
    <w:rsid w:val="00BF14EA"/>
    <w:rsid w:val="00BF18D2"/>
    <w:rsid w:val="00BF1ADA"/>
    <w:rsid w:val="00BF2000"/>
    <w:rsid w:val="00BF22B3"/>
    <w:rsid w:val="00BF2E06"/>
    <w:rsid w:val="00BF2F77"/>
    <w:rsid w:val="00BF338D"/>
    <w:rsid w:val="00BF3F43"/>
    <w:rsid w:val="00BF3FCB"/>
    <w:rsid w:val="00BF4CA7"/>
    <w:rsid w:val="00BF4E6C"/>
    <w:rsid w:val="00BF5360"/>
    <w:rsid w:val="00BF66B0"/>
    <w:rsid w:val="00BF6ACC"/>
    <w:rsid w:val="00BF6F93"/>
    <w:rsid w:val="00BF7260"/>
    <w:rsid w:val="00BF7773"/>
    <w:rsid w:val="00C00D2D"/>
    <w:rsid w:val="00C00DDC"/>
    <w:rsid w:val="00C013DC"/>
    <w:rsid w:val="00C021E5"/>
    <w:rsid w:val="00C02279"/>
    <w:rsid w:val="00C02542"/>
    <w:rsid w:val="00C027FB"/>
    <w:rsid w:val="00C02AF7"/>
    <w:rsid w:val="00C02E19"/>
    <w:rsid w:val="00C02F67"/>
    <w:rsid w:val="00C03388"/>
    <w:rsid w:val="00C0391D"/>
    <w:rsid w:val="00C047D3"/>
    <w:rsid w:val="00C04951"/>
    <w:rsid w:val="00C05273"/>
    <w:rsid w:val="00C055EB"/>
    <w:rsid w:val="00C0587B"/>
    <w:rsid w:val="00C05B0C"/>
    <w:rsid w:val="00C05EA1"/>
    <w:rsid w:val="00C067CC"/>
    <w:rsid w:val="00C0699A"/>
    <w:rsid w:val="00C070D4"/>
    <w:rsid w:val="00C074D2"/>
    <w:rsid w:val="00C07A9E"/>
    <w:rsid w:val="00C07DC4"/>
    <w:rsid w:val="00C10723"/>
    <w:rsid w:val="00C10904"/>
    <w:rsid w:val="00C109A6"/>
    <w:rsid w:val="00C10AC7"/>
    <w:rsid w:val="00C10ECA"/>
    <w:rsid w:val="00C116C0"/>
    <w:rsid w:val="00C12419"/>
    <w:rsid w:val="00C1260C"/>
    <w:rsid w:val="00C127F4"/>
    <w:rsid w:val="00C12BFC"/>
    <w:rsid w:val="00C12C87"/>
    <w:rsid w:val="00C1367A"/>
    <w:rsid w:val="00C137A5"/>
    <w:rsid w:val="00C139D1"/>
    <w:rsid w:val="00C13F3A"/>
    <w:rsid w:val="00C145A0"/>
    <w:rsid w:val="00C147AC"/>
    <w:rsid w:val="00C14D69"/>
    <w:rsid w:val="00C14E24"/>
    <w:rsid w:val="00C1596C"/>
    <w:rsid w:val="00C15A41"/>
    <w:rsid w:val="00C15F08"/>
    <w:rsid w:val="00C16588"/>
    <w:rsid w:val="00C16E1C"/>
    <w:rsid w:val="00C16E33"/>
    <w:rsid w:val="00C16F8F"/>
    <w:rsid w:val="00C1700A"/>
    <w:rsid w:val="00C172D7"/>
    <w:rsid w:val="00C17591"/>
    <w:rsid w:val="00C20212"/>
    <w:rsid w:val="00C202BB"/>
    <w:rsid w:val="00C2047C"/>
    <w:rsid w:val="00C20959"/>
    <w:rsid w:val="00C20AB3"/>
    <w:rsid w:val="00C20ED5"/>
    <w:rsid w:val="00C21DA1"/>
    <w:rsid w:val="00C21F53"/>
    <w:rsid w:val="00C22709"/>
    <w:rsid w:val="00C22DEE"/>
    <w:rsid w:val="00C23BD1"/>
    <w:rsid w:val="00C24994"/>
    <w:rsid w:val="00C24D14"/>
    <w:rsid w:val="00C24E40"/>
    <w:rsid w:val="00C25050"/>
    <w:rsid w:val="00C25472"/>
    <w:rsid w:val="00C254C6"/>
    <w:rsid w:val="00C2580F"/>
    <w:rsid w:val="00C25820"/>
    <w:rsid w:val="00C25918"/>
    <w:rsid w:val="00C2676A"/>
    <w:rsid w:val="00C26C1E"/>
    <w:rsid w:val="00C26D52"/>
    <w:rsid w:val="00C26F96"/>
    <w:rsid w:val="00C27A0C"/>
    <w:rsid w:val="00C3018F"/>
    <w:rsid w:val="00C308F4"/>
    <w:rsid w:val="00C30C50"/>
    <w:rsid w:val="00C30E10"/>
    <w:rsid w:val="00C317BC"/>
    <w:rsid w:val="00C31A1E"/>
    <w:rsid w:val="00C31A56"/>
    <w:rsid w:val="00C3251E"/>
    <w:rsid w:val="00C33360"/>
    <w:rsid w:val="00C3341C"/>
    <w:rsid w:val="00C3354A"/>
    <w:rsid w:val="00C335AC"/>
    <w:rsid w:val="00C3401E"/>
    <w:rsid w:val="00C34D38"/>
    <w:rsid w:val="00C34E42"/>
    <w:rsid w:val="00C35068"/>
    <w:rsid w:val="00C350B4"/>
    <w:rsid w:val="00C350C7"/>
    <w:rsid w:val="00C35159"/>
    <w:rsid w:val="00C3541C"/>
    <w:rsid w:val="00C35686"/>
    <w:rsid w:val="00C36F83"/>
    <w:rsid w:val="00C37399"/>
    <w:rsid w:val="00C37DC0"/>
    <w:rsid w:val="00C37E7E"/>
    <w:rsid w:val="00C37F90"/>
    <w:rsid w:val="00C40A48"/>
    <w:rsid w:val="00C40CFE"/>
    <w:rsid w:val="00C40D61"/>
    <w:rsid w:val="00C416CB"/>
    <w:rsid w:val="00C41A6D"/>
    <w:rsid w:val="00C4211A"/>
    <w:rsid w:val="00C423F7"/>
    <w:rsid w:val="00C42852"/>
    <w:rsid w:val="00C42CC1"/>
    <w:rsid w:val="00C4312E"/>
    <w:rsid w:val="00C439D1"/>
    <w:rsid w:val="00C43DFB"/>
    <w:rsid w:val="00C44822"/>
    <w:rsid w:val="00C44C9D"/>
    <w:rsid w:val="00C45C49"/>
    <w:rsid w:val="00C46E4B"/>
    <w:rsid w:val="00C47360"/>
    <w:rsid w:val="00C47B4D"/>
    <w:rsid w:val="00C4E5DF"/>
    <w:rsid w:val="00C503DF"/>
    <w:rsid w:val="00C5054E"/>
    <w:rsid w:val="00C50BD7"/>
    <w:rsid w:val="00C50EC7"/>
    <w:rsid w:val="00C518E6"/>
    <w:rsid w:val="00C51AB3"/>
    <w:rsid w:val="00C526D1"/>
    <w:rsid w:val="00C52A18"/>
    <w:rsid w:val="00C52BDB"/>
    <w:rsid w:val="00C52EC2"/>
    <w:rsid w:val="00C53229"/>
    <w:rsid w:val="00C53AEC"/>
    <w:rsid w:val="00C53B13"/>
    <w:rsid w:val="00C53BB2"/>
    <w:rsid w:val="00C53CC5"/>
    <w:rsid w:val="00C53E0D"/>
    <w:rsid w:val="00C54131"/>
    <w:rsid w:val="00C5415F"/>
    <w:rsid w:val="00C542A4"/>
    <w:rsid w:val="00C54367"/>
    <w:rsid w:val="00C54820"/>
    <w:rsid w:val="00C55C6E"/>
    <w:rsid w:val="00C55F8D"/>
    <w:rsid w:val="00C55FC5"/>
    <w:rsid w:val="00C56262"/>
    <w:rsid w:val="00C5639B"/>
    <w:rsid w:val="00C565F1"/>
    <w:rsid w:val="00C5681D"/>
    <w:rsid w:val="00C5692D"/>
    <w:rsid w:val="00C56DAA"/>
    <w:rsid w:val="00C56EC2"/>
    <w:rsid w:val="00C56F85"/>
    <w:rsid w:val="00C57068"/>
    <w:rsid w:val="00C5781C"/>
    <w:rsid w:val="00C606A6"/>
    <w:rsid w:val="00C60A2C"/>
    <w:rsid w:val="00C60FA3"/>
    <w:rsid w:val="00C61293"/>
    <w:rsid w:val="00C621EF"/>
    <w:rsid w:val="00C6229A"/>
    <w:rsid w:val="00C622DB"/>
    <w:rsid w:val="00C63464"/>
    <w:rsid w:val="00C63867"/>
    <w:rsid w:val="00C63C62"/>
    <w:rsid w:val="00C645A2"/>
    <w:rsid w:val="00C648F6"/>
    <w:rsid w:val="00C64A66"/>
    <w:rsid w:val="00C64E15"/>
    <w:rsid w:val="00C64F4E"/>
    <w:rsid w:val="00C66236"/>
    <w:rsid w:val="00C66350"/>
    <w:rsid w:val="00C6678B"/>
    <w:rsid w:val="00C66EED"/>
    <w:rsid w:val="00C67278"/>
    <w:rsid w:val="00C67728"/>
    <w:rsid w:val="00C703EE"/>
    <w:rsid w:val="00C70A5D"/>
    <w:rsid w:val="00C70F95"/>
    <w:rsid w:val="00C70FD3"/>
    <w:rsid w:val="00C7143F"/>
    <w:rsid w:val="00C71537"/>
    <w:rsid w:val="00C71D21"/>
    <w:rsid w:val="00C724F2"/>
    <w:rsid w:val="00C72775"/>
    <w:rsid w:val="00C7365D"/>
    <w:rsid w:val="00C7376A"/>
    <w:rsid w:val="00C73B8D"/>
    <w:rsid w:val="00C73EE2"/>
    <w:rsid w:val="00C73F79"/>
    <w:rsid w:val="00C74434"/>
    <w:rsid w:val="00C7492A"/>
    <w:rsid w:val="00C74B6B"/>
    <w:rsid w:val="00C74F8A"/>
    <w:rsid w:val="00C7528C"/>
    <w:rsid w:val="00C7544C"/>
    <w:rsid w:val="00C758A2"/>
    <w:rsid w:val="00C7653A"/>
    <w:rsid w:val="00C76F90"/>
    <w:rsid w:val="00C77489"/>
    <w:rsid w:val="00C776EE"/>
    <w:rsid w:val="00C803E7"/>
    <w:rsid w:val="00C80C3E"/>
    <w:rsid w:val="00C80E58"/>
    <w:rsid w:val="00C8152E"/>
    <w:rsid w:val="00C81735"/>
    <w:rsid w:val="00C81769"/>
    <w:rsid w:val="00C81C87"/>
    <w:rsid w:val="00C81CE3"/>
    <w:rsid w:val="00C81D9C"/>
    <w:rsid w:val="00C82696"/>
    <w:rsid w:val="00C82D0E"/>
    <w:rsid w:val="00C82E25"/>
    <w:rsid w:val="00C83647"/>
    <w:rsid w:val="00C83972"/>
    <w:rsid w:val="00C84C53"/>
    <w:rsid w:val="00C85105"/>
    <w:rsid w:val="00C8562F"/>
    <w:rsid w:val="00C85665"/>
    <w:rsid w:val="00C85858"/>
    <w:rsid w:val="00C85A30"/>
    <w:rsid w:val="00C85BB7"/>
    <w:rsid w:val="00C85C98"/>
    <w:rsid w:val="00C85F5A"/>
    <w:rsid w:val="00C86305"/>
    <w:rsid w:val="00C865AD"/>
    <w:rsid w:val="00C8666F"/>
    <w:rsid w:val="00C87305"/>
    <w:rsid w:val="00C873AC"/>
    <w:rsid w:val="00C8776D"/>
    <w:rsid w:val="00C8796B"/>
    <w:rsid w:val="00C90123"/>
    <w:rsid w:val="00C90769"/>
    <w:rsid w:val="00C90A19"/>
    <w:rsid w:val="00C91178"/>
    <w:rsid w:val="00C91561"/>
    <w:rsid w:val="00C91C9C"/>
    <w:rsid w:val="00C92035"/>
    <w:rsid w:val="00C92064"/>
    <w:rsid w:val="00C93117"/>
    <w:rsid w:val="00C9376F"/>
    <w:rsid w:val="00C93A2D"/>
    <w:rsid w:val="00C93A4F"/>
    <w:rsid w:val="00C93D6D"/>
    <w:rsid w:val="00C94130"/>
    <w:rsid w:val="00C945C4"/>
    <w:rsid w:val="00C9472A"/>
    <w:rsid w:val="00C94AA6"/>
    <w:rsid w:val="00C94B33"/>
    <w:rsid w:val="00C94BB6"/>
    <w:rsid w:val="00C958BA"/>
    <w:rsid w:val="00C95BB2"/>
    <w:rsid w:val="00C96567"/>
    <w:rsid w:val="00C96FAE"/>
    <w:rsid w:val="00C96FBA"/>
    <w:rsid w:val="00C976C5"/>
    <w:rsid w:val="00C9784E"/>
    <w:rsid w:val="00CA0202"/>
    <w:rsid w:val="00CA07AF"/>
    <w:rsid w:val="00CA0A40"/>
    <w:rsid w:val="00CA0D4B"/>
    <w:rsid w:val="00CA138C"/>
    <w:rsid w:val="00CA1581"/>
    <w:rsid w:val="00CA1713"/>
    <w:rsid w:val="00CA19F9"/>
    <w:rsid w:val="00CA252B"/>
    <w:rsid w:val="00CA2D80"/>
    <w:rsid w:val="00CA3871"/>
    <w:rsid w:val="00CA3C92"/>
    <w:rsid w:val="00CA420B"/>
    <w:rsid w:val="00CA4355"/>
    <w:rsid w:val="00CA513E"/>
    <w:rsid w:val="00CA5729"/>
    <w:rsid w:val="00CA5CE3"/>
    <w:rsid w:val="00CA5E73"/>
    <w:rsid w:val="00CA62C4"/>
    <w:rsid w:val="00CA63DA"/>
    <w:rsid w:val="00CA6A40"/>
    <w:rsid w:val="00CA6CC2"/>
    <w:rsid w:val="00CA6E78"/>
    <w:rsid w:val="00CA7596"/>
    <w:rsid w:val="00CA7850"/>
    <w:rsid w:val="00CB02DF"/>
    <w:rsid w:val="00CB0B6D"/>
    <w:rsid w:val="00CB17FC"/>
    <w:rsid w:val="00CB1C7C"/>
    <w:rsid w:val="00CB2915"/>
    <w:rsid w:val="00CB294E"/>
    <w:rsid w:val="00CB30B2"/>
    <w:rsid w:val="00CB3D3E"/>
    <w:rsid w:val="00CB3DAD"/>
    <w:rsid w:val="00CB40BF"/>
    <w:rsid w:val="00CB49E4"/>
    <w:rsid w:val="00CB4FB4"/>
    <w:rsid w:val="00CB5A13"/>
    <w:rsid w:val="00CB5B23"/>
    <w:rsid w:val="00CB5DE6"/>
    <w:rsid w:val="00CB67A7"/>
    <w:rsid w:val="00CB6889"/>
    <w:rsid w:val="00CB6CEF"/>
    <w:rsid w:val="00CB7860"/>
    <w:rsid w:val="00CB78F4"/>
    <w:rsid w:val="00CB7E0B"/>
    <w:rsid w:val="00CC0042"/>
    <w:rsid w:val="00CC049C"/>
    <w:rsid w:val="00CC0B6E"/>
    <w:rsid w:val="00CC0E33"/>
    <w:rsid w:val="00CC1DAB"/>
    <w:rsid w:val="00CC2754"/>
    <w:rsid w:val="00CC276A"/>
    <w:rsid w:val="00CC2B49"/>
    <w:rsid w:val="00CC2CDF"/>
    <w:rsid w:val="00CC3364"/>
    <w:rsid w:val="00CC3603"/>
    <w:rsid w:val="00CC36E5"/>
    <w:rsid w:val="00CC39C9"/>
    <w:rsid w:val="00CC4033"/>
    <w:rsid w:val="00CC4229"/>
    <w:rsid w:val="00CC4366"/>
    <w:rsid w:val="00CC5504"/>
    <w:rsid w:val="00CC5FF0"/>
    <w:rsid w:val="00CC610B"/>
    <w:rsid w:val="00CC6339"/>
    <w:rsid w:val="00CC6A17"/>
    <w:rsid w:val="00CC6A3B"/>
    <w:rsid w:val="00CC7027"/>
    <w:rsid w:val="00CC74E9"/>
    <w:rsid w:val="00CC754B"/>
    <w:rsid w:val="00CC7BFD"/>
    <w:rsid w:val="00CC7D7B"/>
    <w:rsid w:val="00CD0EAF"/>
    <w:rsid w:val="00CD17C4"/>
    <w:rsid w:val="00CD1B33"/>
    <w:rsid w:val="00CD1E2E"/>
    <w:rsid w:val="00CD1F2C"/>
    <w:rsid w:val="00CD2093"/>
    <w:rsid w:val="00CD20AA"/>
    <w:rsid w:val="00CD2F7E"/>
    <w:rsid w:val="00CD300D"/>
    <w:rsid w:val="00CD3533"/>
    <w:rsid w:val="00CD3AF5"/>
    <w:rsid w:val="00CD3C72"/>
    <w:rsid w:val="00CD3D25"/>
    <w:rsid w:val="00CD3D3F"/>
    <w:rsid w:val="00CD3DAD"/>
    <w:rsid w:val="00CD3EFB"/>
    <w:rsid w:val="00CD42C8"/>
    <w:rsid w:val="00CD45BC"/>
    <w:rsid w:val="00CD4A97"/>
    <w:rsid w:val="00CD4E2F"/>
    <w:rsid w:val="00CD52A8"/>
    <w:rsid w:val="00CD560E"/>
    <w:rsid w:val="00CD5DD0"/>
    <w:rsid w:val="00CD5DEF"/>
    <w:rsid w:val="00CD65B2"/>
    <w:rsid w:val="00CD7163"/>
    <w:rsid w:val="00CD73D8"/>
    <w:rsid w:val="00CD74F8"/>
    <w:rsid w:val="00CD7B38"/>
    <w:rsid w:val="00CD7FE1"/>
    <w:rsid w:val="00CE0230"/>
    <w:rsid w:val="00CE0278"/>
    <w:rsid w:val="00CE053A"/>
    <w:rsid w:val="00CE08BA"/>
    <w:rsid w:val="00CE1510"/>
    <w:rsid w:val="00CE1994"/>
    <w:rsid w:val="00CE20C1"/>
    <w:rsid w:val="00CE2A95"/>
    <w:rsid w:val="00CE2AF5"/>
    <w:rsid w:val="00CE2B46"/>
    <w:rsid w:val="00CE2E4B"/>
    <w:rsid w:val="00CE3791"/>
    <w:rsid w:val="00CE3D11"/>
    <w:rsid w:val="00CE4479"/>
    <w:rsid w:val="00CE501F"/>
    <w:rsid w:val="00CE6545"/>
    <w:rsid w:val="00CE657E"/>
    <w:rsid w:val="00CE66F4"/>
    <w:rsid w:val="00CE671C"/>
    <w:rsid w:val="00CE674D"/>
    <w:rsid w:val="00CE6BD5"/>
    <w:rsid w:val="00CE6DD5"/>
    <w:rsid w:val="00CE778F"/>
    <w:rsid w:val="00CE7932"/>
    <w:rsid w:val="00CE7D6D"/>
    <w:rsid w:val="00CE7E6E"/>
    <w:rsid w:val="00CE7F59"/>
    <w:rsid w:val="00CEB7B4"/>
    <w:rsid w:val="00CF0001"/>
    <w:rsid w:val="00CF031F"/>
    <w:rsid w:val="00CF04CB"/>
    <w:rsid w:val="00CF04F6"/>
    <w:rsid w:val="00CF0501"/>
    <w:rsid w:val="00CF1221"/>
    <w:rsid w:val="00CF18D2"/>
    <w:rsid w:val="00CF20F3"/>
    <w:rsid w:val="00CF210D"/>
    <w:rsid w:val="00CF21FF"/>
    <w:rsid w:val="00CF2A80"/>
    <w:rsid w:val="00CF2D25"/>
    <w:rsid w:val="00CF3393"/>
    <w:rsid w:val="00CF34E3"/>
    <w:rsid w:val="00CF39E5"/>
    <w:rsid w:val="00CF4185"/>
    <w:rsid w:val="00CF44D6"/>
    <w:rsid w:val="00CF46B1"/>
    <w:rsid w:val="00CF52C9"/>
    <w:rsid w:val="00CF5876"/>
    <w:rsid w:val="00CF5F64"/>
    <w:rsid w:val="00CF5F81"/>
    <w:rsid w:val="00CF6022"/>
    <w:rsid w:val="00CF61FF"/>
    <w:rsid w:val="00CF6B7E"/>
    <w:rsid w:val="00CF78DD"/>
    <w:rsid w:val="00CF7CFC"/>
    <w:rsid w:val="00D00050"/>
    <w:rsid w:val="00D002B6"/>
    <w:rsid w:val="00D00A40"/>
    <w:rsid w:val="00D00F45"/>
    <w:rsid w:val="00D011E8"/>
    <w:rsid w:val="00D0125E"/>
    <w:rsid w:val="00D01317"/>
    <w:rsid w:val="00D01B3F"/>
    <w:rsid w:val="00D01C00"/>
    <w:rsid w:val="00D01F37"/>
    <w:rsid w:val="00D02532"/>
    <w:rsid w:val="00D02930"/>
    <w:rsid w:val="00D02DB8"/>
    <w:rsid w:val="00D036B9"/>
    <w:rsid w:val="00D03983"/>
    <w:rsid w:val="00D03BBC"/>
    <w:rsid w:val="00D03BEC"/>
    <w:rsid w:val="00D03E51"/>
    <w:rsid w:val="00D03E83"/>
    <w:rsid w:val="00D044D6"/>
    <w:rsid w:val="00D048D7"/>
    <w:rsid w:val="00D057CF"/>
    <w:rsid w:val="00D0589B"/>
    <w:rsid w:val="00D05DDE"/>
    <w:rsid w:val="00D06253"/>
    <w:rsid w:val="00D06256"/>
    <w:rsid w:val="00D06FD8"/>
    <w:rsid w:val="00D0717E"/>
    <w:rsid w:val="00D073B2"/>
    <w:rsid w:val="00D075DA"/>
    <w:rsid w:val="00D104F8"/>
    <w:rsid w:val="00D10740"/>
    <w:rsid w:val="00D108BB"/>
    <w:rsid w:val="00D10B11"/>
    <w:rsid w:val="00D10FE0"/>
    <w:rsid w:val="00D11320"/>
    <w:rsid w:val="00D1136C"/>
    <w:rsid w:val="00D119E5"/>
    <w:rsid w:val="00D11F0A"/>
    <w:rsid w:val="00D128CD"/>
    <w:rsid w:val="00D12F71"/>
    <w:rsid w:val="00D134E2"/>
    <w:rsid w:val="00D1403F"/>
    <w:rsid w:val="00D144F8"/>
    <w:rsid w:val="00D155D8"/>
    <w:rsid w:val="00D157EC"/>
    <w:rsid w:val="00D166C6"/>
    <w:rsid w:val="00D167C5"/>
    <w:rsid w:val="00D170D1"/>
    <w:rsid w:val="00D179B6"/>
    <w:rsid w:val="00D17D5A"/>
    <w:rsid w:val="00D202F3"/>
    <w:rsid w:val="00D203EB"/>
    <w:rsid w:val="00D20635"/>
    <w:rsid w:val="00D208DE"/>
    <w:rsid w:val="00D20B08"/>
    <w:rsid w:val="00D2135B"/>
    <w:rsid w:val="00D217EF"/>
    <w:rsid w:val="00D21956"/>
    <w:rsid w:val="00D220FF"/>
    <w:rsid w:val="00D223E1"/>
    <w:rsid w:val="00D223EC"/>
    <w:rsid w:val="00D232D6"/>
    <w:rsid w:val="00D2331A"/>
    <w:rsid w:val="00D2391E"/>
    <w:rsid w:val="00D23BDC"/>
    <w:rsid w:val="00D23EC2"/>
    <w:rsid w:val="00D23FC9"/>
    <w:rsid w:val="00D2432E"/>
    <w:rsid w:val="00D24348"/>
    <w:rsid w:val="00D24740"/>
    <w:rsid w:val="00D2497F"/>
    <w:rsid w:val="00D252A3"/>
    <w:rsid w:val="00D25ABC"/>
    <w:rsid w:val="00D2606E"/>
    <w:rsid w:val="00D263A0"/>
    <w:rsid w:val="00D26596"/>
    <w:rsid w:val="00D26760"/>
    <w:rsid w:val="00D26FB4"/>
    <w:rsid w:val="00D27356"/>
    <w:rsid w:val="00D27838"/>
    <w:rsid w:val="00D27D46"/>
    <w:rsid w:val="00D30099"/>
    <w:rsid w:val="00D300AB"/>
    <w:rsid w:val="00D30205"/>
    <w:rsid w:val="00D30D2A"/>
    <w:rsid w:val="00D30E2D"/>
    <w:rsid w:val="00D318FE"/>
    <w:rsid w:val="00D31AA7"/>
    <w:rsid w:val="00D31BA3"/>
    <w:rsid w:val="00D3239E"/>
    <w:rsid w:val="00D33705"/>
    <w:rsid w:val="00D33B7F"/>
    <w:rsid w:val="00D33CD0"/>
    <w:rsid w:val="00D33D0E"/>
    <w:rsid w:val="00D342BC"/>
    <w:rsid w:val="00D3474C"/>
    <w:rsid w:val="00D34C7B"/>
    <w:rsid w:val="00D34DF7"/>
    <w:rsid w:val="00D34FEE"/>
    <w:rsid w:val="00D3503F"/>
    <w:rsid w:val="00D352A9"/>
    <w:rsid w:val="00D35304"/>
    <w:rsid w:val="00D35BE8"/>
    <w:rsid w:val="00D35C3A"/>
    <w:rsid w:val="00D36459"/>
    <w:rsid w:val="00D369B4"/>
    <w:rsid w:val="00D36F3C"/>
    <w:rsid w:val="00D373A6"/>
    <w:rsid w:val="00D37937"/>
    <w:rsid w:val="00D37A1B"/>
    <w:rsid w:val="00D37E1D"/>
    <w:rsid w:val="00D40254"/>
    <w:rsid w:val="00D4078A"/>
    <w:rsid w:val="00D40B39"/>
    <w:rsid w:val="00D40C35"/>
    <w:rsid w:val="00D40DA8"/>
    <w:rsid w:val="00D40DD8"/>
    <w:rsid w:val="00D41403"/>
    <w:rsid w:val="00D421F2"/>
    <w:rsid w:val="00D4234C"/>
    <w:rsid w:val="00D42429"/>
    <w:rsid w:val="00D42704"/>
    <w:rsid w:val="00D42D78"/>
    <w:rsid w:val="00D431ED"/>
    <w:rsid w:val="00D437D7"/>
    <w:rsid w:val="00D43AED"/>
    <w:rsid w:val="00D43DEB"/>
    <w:rsid w:val="00D43F39"/>
    <w:rsid w:val="00D459E8"/>
    <w:rsid w:val="00D46294"/>
    <w:rsid w:val="00D473A9"/>
    <w:rsid w:val="00D500D6"/>
    <w:rsid w:val="00D507FF"/>
    <w:rsid w:val="00D50A42"/>
    <w:rsid w:val="00D50F5A"/>
    <w:rsid w:val="00D51275"/>
    <w:rsid w:val="00D5176B"/>
    <w:rsid w:val="00D52A1A"/>
    <w:rsid w:val="00D52A94"/>
    <w:rsid w:val="00D52D9C"/>
    <w:rsid w:val="00D53A81"/>
    <w:rsid w:val="00D53DFB"/>
    <w:rsid w:val="00D55269"/>
    <w:rsid w:val="00D555BC"/>
    <w:rsid w:val="00D555C5"/>
    <w:rsid w:val="00D558A4"/>
    <w:rsid w:val="00D5591F"/>
    <w:rsid w:val="00D56251"/>
    <w:rsid w:val="00D56DC5"/>
    <w:rsid w:val="00D56E1E"/>
    <w:rsid w:val="00D56EAA"/>
    <w:rsid w:val="00D574FA"/>
    <w:rsid w:val="00D57640"/>
    <w:rsid w:val="00D57C18"/>
    <w:rsid w:val="00D6026E"/>
    <w:rsid w:val="00D6040B"/>
    <w:rsid w:val="00D6067C"/>
    <w:rsid w:val="00D60C46"/>
    <w:rsid w:val="00D60E15"/>
    <w:rsid w:val="00D616F3"/>
    <w:rsid w:val="00D61E12"/>
    <w:rsid w:val="00D622C6"/>
    <w:rsid w:val="00D6326F"/>
    <w:rsid w:val="00D63AEE"/>
    <w:rsid w:val="00D63B3A"/>
    <w:rsid w:val="00D63CA3"/>
    <w:rsid w:val="00D63CF9"/>
    <w:rsid w:val="00D63F0D"/>
    <w:rsid w:val="00D641EB"/>
    <w:rsid w:val="00D6430B"/>
    <w:rsid w:val="00D6443A"/>
    <w:rsid w:val="00D64775"/>
    <w:rsid w:val="00D64932"/>
    <w:rsid w:val="00D64BE0"/>
    <w:rsid w:val="00D65511"/>
    <w:rsid w:val="00D656FC"/>
    <w:rsid w:val="00D65A77"/>
    <w:rsid w:val="00D66257"/>
    <w:rsid w:val="00D6683B"/>
    <w:rsid w:val="00D67A31"/>
    <w:rsid w:val="00D707CB"/>
    <w:rsid w:val="00D707D6"/>
    <w:rsid w:val="00D7188D"/>
    <w:rsid w:val="00D71898"/>
    <w:rsid w:val="00D71C09"/>
    <w:rsid w:val="00D720A7"/>
    <w:rsid w:val="00D7241F"/>
    <w:rsid w:val="00D7287D"/>
    <w:rsid w:val="00D728A5"/>
    <w:rsid w:val="00D72DB1"/>
    <w:rsid w:val="00D7312F"/>
    <w:rsid w:val="00D74608"/>
    <w:rsid w:val="00D7460F"/>
    <w:rsid w:val="00D7492D"/>
    <w:rsid w:val="00D7512C"/>
    <w:rsid w:val="00D75369"/>
    <w:rsid w:val="00D756FB"/>
    <w:rsid w:val="00D76851"/>
    <w:rsid w:val="00D76A1B"/>
    <w:rsid w:val="00D76ABE"/>
    <w:rsid w:val="00D76AD3"/>
    <w:rsid w:val="00D76C0B"/>
    <w:rsid w:val="00D76D47"/>
    <w:rsid w:val="00D76EB7"/>
    <w:rsid w:val="00D77006"/>
    <w:rsid w:val="00D77084"/>
    <w:rsid w:val="00D773F0"/>
    <w:rsid w:val="00D778BB"/>
    <w:rsid w:val="00D779A1"/>
    <w:rsid w:val="00D77BC8"/>
    <w:rsid w:val="00D80A67"/>
    <w:rsid w:val="00D81948"/>
    <w:rsid w:val="00D81A09"/>
    <w:rsid w:val="00D81C9B"/>
    <w:rsid w:val="00D8212D"/>
    <w:rsid w:val="00D82771"/>
    <w:rsid w:val="00D829FA"/>
    <w:rsid w:val="00D82D20"/>
    <w:rsid w:val="00D83228"/>
    <w:rsid w:val="00D838FD"/>
    <w:rsid w:val="00D839E7"/>
    <w:rsid w:val="00D83F6D"/>
    <w:rsid w:val="00D84B5D"/>
    <w:rsid w:val="00D84C0C"/>
    <w:rsid w:val="00D84C2E"/>
    <w:rsid w:val="00D85771"/>
    <w:rsid w:val="00D85886"/>
    <w:rsid w:val="00D85CF6"/>
    <w:rsid w:val="00D863F5"/>
    <w:rsid w:val="00D87269"/>
    <w:rsid w:val="00D87322"/>
    <w:rsid w:val="00D87457"/>
    <w:rsid w:val="00D87CDD"/>
    <w:rsid w:val="00D87D5D"/>
    <w:rsid w:val="00D87DC8"/>
    <w:rsid w:val="00D90F72"/>
    <w:rsid w:val="00D9101F"/>
    <w:rsid w:val="00D91032"/>
    <w:rsid w:val="00D91084"/>
    <w:rsid w:val="00D912A6"/>
    <w:rsid w:val="00D91316"/>
    <w:rsid w:val="00D917A1"/>
    <w:rsid w:val="00D91BC1"/>
    <w:rsid w:val="00D91C70"/>
    <w:rsid w:val="00D91D40"/>
    <w:rsid w:val="00D91FB6"/>
    <w:rsid w:val="00D920E0"/>
    <w:rsid w:val="00D92CDA"/>
    <w:rsid w:val="00D9302E"/>
    <w:rsid w:val="00D940FF"/>
    <w:rsid w:val="00D942E2"/>
    <w:rsid w:val="00D94616"/>
    <w:rsid w:val="00D94B65"/>
    <w:rsid w:val="00D94CBB"/>
    <w:rsid w:val="00D9533A"/>
    <w:rsid w:val="00D955CF"/>
    <w:rsid w:val="00D95A58"/>
    <w:rsid w:val="00D95D01"/>
    <w:rsid w:val="00D96127"/>
    <w:rsid w:val="00D97221"/>
    <w:rsid w:val="00D9796D"/>
    <w:rsid w:val="00D97B7F"/>
    <w:rsid w:val="00D97DA6"/>
    <w:rsid w:val="00DA007F"/>
    <w:rsid w:val="00DA03D7"/>
    <w:rsid w:val="00DA0958"/>
    <w:rsid w:val="00DA0EA7"/>
    <w:rsid w:val="00DA1467"/>
    <w:rsid w:val="00DA1557"/>
    <w:rsid w:val="00DA16CD"/>
    <w:rsid w:val="00DA16F3"/>
    <w:rsid w:val="00DA1718"/>
    <w:rsid w:val="00DA17BA"/>
    <w:rsid w:val="00DA1DF9"/>
    <w:rsid w:val="00DA20D9"/>
    <w:rsid w:val="00DA2A64"/>
    <w:rsid w:val="00DA2F5E"/>
    <w:rsid w:val="00DA2F7B"/>
    <w:rsid w:val="00DA315E"/>
    <w:rsid w:val="00DA351A"/>
    <w:rsid w:val="00DA3732"/>
    <w:rsid w:val="00DA3BFD"/>
    <w:rsid w:val="00DA3EA7"/>
    <w:rsid w:val="00DA407F"/>
    <w:rsid w:val="00DA4328"/>
    <w:rsid w:val="00DA4540"/>
    <w:rsid w:val="00DA46E7"/>
    <w:rsid w:val="00DA49E9"/>
    <w:rsid w:val="00DA5834"/>
    <w:rsid w:val="00DA6134"/>
    <w:rsid w:val="00DA6914"/>
    <w:rsid w:val="00DA6FE3"/>
    <w:rsid w:val="00DA7712"/>
    <w:rsid w:val="00DB01AE"/>
    <w:rsid w:val="00DB082B"/>
    <w:rsid w:val="00DB085F"/>
    <w:rsid w:val="00DB1006"/>
    <w:rsid w:val="00DB1417"/>
    <w:rsid w:val="00DB1424"/>
    <w:rsid w:val="00DB153A"/>
    <w:rsid w:val="00DB17F8"/>
    <w:rsid w:val="00DB1B6F"/>
    <w:rsid w:val="00DB1DFE"/>
    <w:rsid w:val="00DB2082"/>
    <w:rsid w:val="00DB25AA"/>
    <w:rsid w:val="00DB29B7"/>
    <w:rsid w:val="00DB2D6E"/>
    <w:rsid w:val="00DB2F38"/>
    <w:rsid w:val="00DB31A3"/>
    <w:rsid w:val="00DB3A39"/>
    <w:rsid w:val="00DB47BE"/>
    <w:rsid w:val="00DB49FA"/>
    <w:rsid w:val="00DB4FB8"/>
    <w:rsid w:val="00DB53A8"/>
    <w:rsid w:val="00DB5A03"/>
    <w:rsid w:val="00DB63E8"/>
    <w:rsid w:val="00DB6C68"/>
    <w:rsid w:val="00DB6CAF"/>
    <w:rsid w:val="00DB6E93"/>
    <w:rsid w:val="00DB72BC"/>
    <w:rsid w:val="00DB79EE"/>
    <w:rsid w:val="00DB7C38"/>
    <w:rsid w:val="00DB7CBE"/>
    <w:rsid w:val="00DC00ED"/>
    <w:rsid w:val="00DC051F"/>
    <w:rsid w:val="00DC0521"/>
    <w:rsid w:val="00DC10CC"/>
    <w:rsid w:val="00DC14AA"/>
    <w:rsid w:val="00DC1871"/>
    <w:rsid w:val="00DC236A"/>
    <w:rsid w:val="00DC24A5"/>
    <w:rsid w:val="00DC24DA"/>
    <w:rsid w:val="00DC2713"/>
    <w:rsid w:val="00DC2790"/>
    <w:rsid w:val="00DC2AE4"/>
    <w:rsid w:val="00DC2E8F"/>
    <w:rsid w:val="00DC3112"/>
    <w:rsid w:val="00DC335E"/>
    <w:rsid w:val="00DC3492"/>
    <w:rsid w:val="00DC4486"/>
    <w:rsid w:val="00DC490F"/>
    <w:rsid w:val="00DC4A43"/>
    <w:rsid w:val="00DC4F76"/>
    <w:rsid w:val="00DC5664"/>
    <w:rsid w:val="00DC5797"/>
    <w:rsid w:val="00DC5F37"/>
    <w:rsid w:val="00DC600F"/>
    <w:rsid w:val="00DC649E"/>
    <w:rsid w:val="00DC6C9B"/>
    <w:rsid w:val="00DC75BE"/>
    <w:rsid w:val="00DC7FC4"/>
    <w:rsid w:val="00DC7FF5"/>
    <w:rsid w:val="00DD00C6"/>
    <w:rsid w:val="00DD0786"/>
    <w:rsid w:val="00DD078F"/>
    <w:rsid w:val="00DD07B4"/>
    <w:rsid w:val="00DD0EA8"/>
    <w:rsid w:val="00DD101B"/>
    <w:rsid w:val="00DD105C"/>
    <w:rsid w:val="00DD1987"/>
    <w:rsid w:val="00DD1ABF"/>
    <w:rsid w:val="00DD22F8"/>
    <w:rsid w:val="00DD298C"/>
    <w:rsid w:val="00DD2E48"/>
    <w:rsid w:val="00DD2FB3"/>
    <w:rsid w:val="00DD41B8"/>
    <w:rsid w:val="00DD47B4"/>
    <w:rsid w:val="00DD4A11"/>
    <w:rsid w:val="00DD4BF9"/>
    <w:rsid w:val="00DD5262"/>
    <w:rsid w:val="00DD571C"/>
    <w:rsid w:val="00DD6184"/>
    <w:rsid w:val="00DD67C6"/>
    <w:rsid w:val="00DD684A"/>
    <w:rsid w:val="00DD705E"/>
    <w:rsid w:val="00DD730C"/>
    <w:rsid w:val="00DD7B94"/>
    <w:rsid w:val="00DE0533"/>
    <w:rsid w:val="00DE05B0"/>
    <w:rsid w:val="00DE090C"/>
    <w:rsid w:val="00DE0D0C"/>
    <w:rsid w:val="00DE1717"/>
    <w:rsid w:val="00DE2876"/>
    <w:rsid w:val="00DE2C78"/>
    <w:rsid w:val="00DE2DD3"/>
    <w:rsid w:val="00DE2EBB"/>
    <w:rsid w:val="00DE345D"/>
    <w:rsid w:val="00DE3906"/>
    <w:rsid w:val="00DE4255"/>
    <w:rsid w:val="00DE4306"/>
    <w:rsid w:val="00DE49BE"/>
    <w:rsid w:val="00DE4E1D"/>
    <w:rsid w:val="00DE518E"/>
    <w:rsid w:val="00DE519D"/>
    <w:rsid w:val="00DE588A"/>
    <w:rsid w:val="00DE6518"/>
    <w:rsid w:val="00DE6ECD"/>
    <w:rsid w:val="00DE76B0"/>
    <w:rsid w:val="00DE76BB"/>
    <w:rsid w:val="00DE7FF6"/>
    <w:rsid w:val="00DE862E"/>
    <w:rsid w:val="00DF0216"/>
    <w:rsid w:val="00DF039C"/>
    <w:rsid w:val="00DF0427"/>
    <w:rsid w:val="00DF1101"/>
    <w:rsid w:val="00DF1CFF"/>
    <w:rsid w:val="00DF1D93"/>
    <w:rsid w:val="00DF2C40"/>
    <w:rsid w:val="00DF469A"/>
    <w:rsid w:val="00DF4937"/>
    <w:rsid w:val="00DF4998"/>
    <w:rsid w:val="00DF4B11"/>
    <w:rsid w:val="00DF50D3"/>
    <w:rsid w:val="00DF531C"/>
    <w:rsid w:val="00DF5F68"/>
    <w:rsid w:val="00DF6055"/>
    <w:rsid w:val="00DF60EF"/>
    <w:rsid w:val="00DF6233"/>
    <w:rsid w:val="00DF63D7"/>
    <w:rsid w:val="00DF689F"/>
    <w:rsid w:val="00DF7335"/>
    <w:rsid w:val="00DF797D"/>
    <w:rsid w:val="00DF7B34"/>
    <w:rsid w:val="00DF7C49"/>
    <w:rsid w:val="00E0016C"/>
    <w:rsid w:val="00E00518"/>
    <w:rsid w:val="00E0051A"/>
    <w:rsid w:val="00E00624"/>
    <w:rsid w:val="00E00AEA"/>
    <w:rsid w:val="00E0108B"/>
    <w:rsid w:val="00E011D5"/>
    <w:rsid w:val="00E0133E"/>
    <w:rsid w:val="00E01845"/>
    <w:rsid w:val="00E018A2"/>
    <w:rsid w:val="00E01AD8"/>
    <w:rsid w:val="00E01C88"/>
    <w:rsid w:val="00E01D0F"/>
    <w:rsid w:val="00E01F76"/>
    <w:rsid w:val="00E020A1"/>
    <w:rsid w:val="00E0230D"/>
    <w:rsid w:val="00E0298D"/>
    <w:rsid w:val="00E039E5"/>
    <w:rsid w:val="00E04072"/>
    <w:rsid w:val="00E04C76"/>
    <w:rsid w:val="00E05196"/>
    <w:rsid w:val="00E059F0"/>
    <w:rsid w:val="00E05D51"/>
    <w:rsid w:val="00E05E8E"/>
    <w:rsid w:val="00E06BA1"/>
    <w:rsid w:val="00E06CAF"/>
    <w:rsid w:val="00E07BE1"/>
    <w:rsid w:val="00E07D65"/>
    <w:rsid w:val="00E07F0D"/>
    <w:rsid w:val="00E07F5F"/>
    <w:rsid w:val="00E08530"/>
    <w:rsid w:val="00E103A5"/>
    <w:rsid w:val="00E10558"/>
    <w:rsid w:val="00E10D2C"/>
    <w:rsid w:val="00E10E49"/>
    <w:rsid w:val="00E11304"/>
    <w:rsid w:val="00E114A8"/>
    <w:rsid w:val="00E114E2"/>
    <w:rsid w:val="00E11C87"/>
    <w:rsid w:val="00E11CF1"/>
    <w:rsid w:val="00E11CF8"/>
    <w:rsid w:val="00E11D20"/>
    <w:rsid w:val="00E11DD7"/>
    <w:rsid w:val="00E12061"/>
    <w:rsid w:val="00E128CF"/>
    <w:rsid w:val="00E1359E"/>
    <w:rsid w:val="00E14042"/>
    <w:rsid w:val="00E15BB4"/>
    <w:rsid w:val="00E160F6"/>
    <w:rsid w:val="00E16A70"/>
    <w:rsid w:val="00E16BB1"/>
    <w:rsid w:val="00E1737C"/>
    <w:rsid w:val="00E1758A"/>
    <w:rsid w:val="00E17B21"/>
    <w:rsid w:val="00E20196"/>
    <w:rsid w:val="00E20344"/>
    <w:rsid w:val="00E20384"/>
    <w:rsid w:val="00E2086C"/>
    <w:rsid w:val="00E21010"/>
    <w:rsid w:val="00E2103C"/>
    <w:rsid w:val="00E21222"/>
    <w:rsid w:val="00E21381"/>
    <w:rsid w:val="00E21BFC"/>
    <w:rsid w:val="00E21F00"/>
    <w:rsid w:val="00E226CC"/>
    <w:rsid w:val="00E2295D"/>
    <w:rsid w:val="00E22A56"/>
    <w:rsid w:val="00E22A6B"/>
    <w:rsid w:val="00E23113"/>
    <w:rsid w:val="00E23B79"/>
    <w:rsid w:val="00E23C8B"/>
    <w:rsid w:val="00E23DCE"/>
    <w:rsid w:val="00E23FAF"/>
    <w:rsid w:val="00E24AD4"/>
    <w:rsid w:val="00E25466"/>
    <w:rsid w:val="00E26709"/>
    <w:rsid w:val="00E26835"/>
    <w:rsid w:val="00E268DB"/>
    <w:rsid w:val="00E271B5"/>
    <w:rsid w:val="00E30530"/>
    <w:rsid w:val="00E30586"/>
    <w:rsid w:val="00E305D7"/>
    <w:rsid w:val="00E306D7"/>
    <w:rsid w:val="00E30E83"/>
    <w:rsid w:val="00E31396"/>
    <w:rsid w:val="00E315AF"/>
    <w:rsid w:val="00E31EEE"/>
    <w:rsid w:val="00E32077"/>
    <w:rsid w:val="00E32529"/>
    <w:rsid w:val="00E32ABB"/>
    <w:rsid w:val="00E32B93"/>
    <w:rsid w:val="00E34A11"/>
    <w:rsid w:val="00E34B8C"/>
    <w:rsid w:val="00E34F05"/>
    <w:rsid w:val="00E35179"/>
    <w:rsid w:val="00E35385"/>
    <w:rsid w:val="00E35E61"/>
    <w:rsid w:val="00E36366"/>
    <w:rsid w:val="00E3651C"/>
    <w:rsid w:val="00E36838"/>
    <w:rsid w:val="00E369B2"/>
    <w:rsid w:val="00E378CC"/>
    <w:rsid w:val="00E37FA4"/>
    <w:rsid w:val="00E40080"/>
    <w:rsid w:val="00E4014E"/>
    <w:rsid w:val="00E40AD1"/>
    <w:rsid w:val="00E40B67"/>
    <w:rsid w:val="00E411EC"/>
    <w:rsid w:val="00E41A64"/>
    <w:rsid w:val="00E41D05"/>
    <w:rsid w:val="00E41E3F"/>
    <w:rsid w:val="00E41F12"/>
    <w:rsid w:val="00E4208B"/>
    <w:rsid w:val="00E42380"/>
    <w:rsid w:val="00E42466"/>
    <w:rsid w:val="00E42E66"/>
    <w:rsid w:val="00E42F79"/>
    <w:rsid w:val="00E4312E"/>
    <w:rsid w:val="00E43341"/>
    <w:rsid w:val="00E433B1"/>
    <w:rsid w:val="00E43905"/>
    <w:rsid w:val="00E43AC7"/>
    <w:rsid w:val="00E43AE7"/>
    <w:rsid w:val="00E43DA0"/>
    <w:rsid w:val="00E43FFF"/>
    <w:rsid w:val="00E44086"/>
    <w:rsid w:val="00E44143"/>
    <w:rsid w:val="00E442B9"/>
    <w:rsid w:val="00E450FA"/>
    <w:rsid w:val="00E45C51"/>
    <w:rsid w:val="00E4615B"/>
    <w:rsid w:val="00E4691C"/>
    <w:rsid w:val="00E47217"/>
    <w:rsid w:val="00E47804"/>
    <w:rsid w:val="00E47D01"/>
    <w:rsid w:val="00E507A6"/>
    <w:rsid w:val="00E50CA5"/>
    <w:rsid w:val="00E510E3"/>
    <w:rsid w:val="00E51276"/>
    <w:rsid w:val="00E51791"/>
    <w:rsid w:val="00E51E2B"/>
    <w:rsid w:val="00E51EA1"/>
    <w:rsid w:val="00E52451"/>
    <w:rsid w:val="00E52D48"/>
    <w:rsid w:val="00E53AD4"/>
    <w:rsid w:val="00E54BCF"/>
    <w:rsid w:val="00E54C0C"/>
    <w:rsid w:val="00E55290"/>
    <w:rsid w:val="00E55FE1"/>
    <w:rsid w:val="00E5638B"/>
    <w:rsid w:val="00E56660"/>
    <w:rsid w:val="00E571E6"/>
    <w:rsid w:val="00E57312"/>
    <w:rsid w:val="00E573EB"/>
    <w:rsid w:val="00E57F50"/>
    <w:rsid w:val="00E601D0"/>
    <w:rsid w:val="00E6026B"/>
    <w:rsid w:val="00E602D0"/>
    <w:rsid w:val="00E6051E"/>
    <w:rsid w:val="00E60FEE"/>
    <w:rsid w:val="00E610EE"/>
    <w:rsid w:val="00E63032"/>
    <w:rsid w:val="00E63210"/>
    <w:rsid w:val="00E636AD"/>
    <w:rsid w:val="00E641C3"/>
    <w:rsid w:val="00E64275"/>
    <w:rsid w:val="00E642B1"/>
    <w:rsid w:val="00E6484C"/>
    <w:rsid w:val="00E64888"/>
    <w:rsid w:val="00E648C6"/>
    <w:rsid w:val="00E649BA"/>
    <w:rsid w:val="00E64D02"/>
    <w:rsid w:val="00E653C7"/>
    <w:rsid w:val="00E65839"/>
    <w:rsid w:val="00E65BB4"/>
    <w:rsid w:val="00E65FD1"/>
    <w:rsid w:val="00E66104"/>
    <w:rsid w:val="00E661EB"/>
    <w:rsid w:val="00E66FB2"/>
    <w:rsid w:val="00E67767"/>
    <w:rsid w:val="00E67B52"/>
    <w:rsid w:val="00E67F89"/>
    <w:rsid w:val="00E706E7"/>
    <w:rsid w:val="00E70874"/>
    <w:rsid w:val="00E70F15"/>
    <w:rsid w:val="00E7113E"/>
    <w:rsid w:val="00E71703"/>
    <w:rsid w:val="00E722B5"/>
    <w:rsid w:val="00E7249B"/>
    <w:rsid w:val="00E72D16"/>
    <w:rsid w:val="00E72D2D"/>
    <w:rsid w:val="00E73181"/>
    <w:rsid w:val="00E7362F"/>
    <w:rsid w:val="00E736D8"/>
    <w:rsid w:val="00E73FDA"/>
    <w:rsid w:val="00E740D1"/>
    <w:rsid w:val="00E744E4"/>
    <w:rsid w:val="00E74597"/>
    <w:rsid w:val="00E7498D"/>
    <w:rsid w:val="00E74F24"/>
    <w:rsid w:val="00E75450"/>
    <w:rsid w:val="00E75527"/>
    <w:rsid w:val="00E75A69"/>
    <w:rsid w:val="00E75AF7"/>
    <w:rsid w:val="00E75BE4"/>
    <w:rsid w:val="00E76056"/>
    <w:rsid w:val="00E76107"/>
    <w:rsid w:val="00E7640E"/>
    <w:rsid w:val="00E77424"/>
    <w:rsid w:val="00E77647"/>
    <w:rsid w:val="00E77A69"/>
    <w:rsid w:val="00E80551"/>
    <w:rsid w:val="00E811F4"/>
    <w:rsid w:val="00E8120D"/>
    <w:rsid w:val="00E8123F"/>
    <w:rsid w:val="00E8243F"/>
    <w:rsid w:val="00E82814"/>
    <w:rsid w:val="00E8293A"/>
    <w:rsid w:val="00E829CC"/>
    <w:rsid w:val="00E844C8"/>
    <w:rsid w:val="00E85913"/>
    <w:rsid w:val="00E86170"/>
    <w:rsid w:val="00E86195"/>
    <w:rsid w:val="00E868F2"/>
    <w:rsid w:val="00E86A7B"/>
    <w:rsid w:val="00E870A2"/>
    <w:rsid w:val="00E871EA"/>
    <w:rsid w:val="00E87232"/>
    <w:rsid w:val="00E87655"/>
    <w:rsid w:val="00E87665"/>
    <w:rsid w:val="00E8778F"/>
    <w:rsid w:val="00E87C4B"/>
    <w:rsid w:val="00E880C7"/>
    <w:rsid w:val="00E901EC"/>
    <w:rsid w:val="00E9112A"/>
    <w:rsid w:val="00E91267"/>
    <w:rsid w:val="00E9156D"/>
    <w:rsid w:val="00E9169A"/>
    <w:rsid w:val="00E9171B"/>
    <w:rsid w:val="00E91CFE"/>
    <w:rsid w:val="00E91D68"/>
    <w:rsid w:val="00E91F08"/>
    <w:rsid w:val="00E921C3"/>
    <w:rsid w:val="00E9231B"/>
    <w:rsid w:val="00E92469"/>
    <w:rsid w:val="00E92BBA"/>
    <w:rsid w:val="00E945BF"/>
    <w:rsid w:val="00E94612"/>
    <w:rsid w:val="00E94C85"/>
    <w:rsid w:val="00E94D47"/>
    <w:rsid w:val="00E9503D"/>
    <w:rsid w:val="00E95408"/>
    <w:rsid w:val="00E95C25"/>
    <w:rsid w:val="00E95C78"/>
    <w:rsid w:val="00E9600B"/>
    <w:rsid w:val="00E961BD"/>
    <w:rsid w:val="00E96287"/>
    <w:rsid w:val="00E96695"/>
    <w:rsid w:val="00E966D6"/>
    <w:rsid w:val="00E969A4"/>
    <w:rsid w:val="00E96C4E"/>
    <w:rsid w:val="00E96C90"/>
    <w:rsid w:val="00E96FBE"/>
    <w:rsid w:val="00E9740C"/>
    <w:rsid w:val="00E978BD"/>
    <w:rsid w:val="00EA01DB"/>
    <w:rsid w:val="00EA0615"/>
    <w:rsid w:val="00EA065D"/>
    <w:rsid w:val="00EA0700"/>
    <w:rsid w:val="00EA09C7"/>
    <w:rsid w:val="00EA0B0C"/>
    <w:rsid w:val="00EA0B63"/>
    <w:rsid w:val="00EA0D2F"/>
    <w:rsid w:val="00EA0D4D"/>
    <w:rsid w:val="00EA122E"/>
    <w:rsid w:val="00EA1537"/>
    <w:rsid w:val="00EA173B"/>
    <w:rsid w:val="00EA1C2B"/>
    <w:rsid w:val="00EA210F"/>
    <w:rsid w:val="00EA264A"/>
    <w:rsid w:val="00EA2B2A"/>
    <w:rsid w:val="00EA2CD8"/>
    <w:rsid w:val="00EA3504"/>
    <w:rsid w:val="00EA3DB5"/>
    <w:rsid w:val="00EA3FD2"/>
    <w:rsid w:val="00EA41CF"/>
    <w:rsid w:val="00EA4561"/>
    <w:rsid w:val="00EA50FC"/>
    <w:rsid w:val="00EA55D1"/>
    <w:rsid w:val="00EA59A8"/>
    <w:rsid w:val="00EA5BC8"/>
    <w:rsid w:val="00EA5D22"/>
    <w:rsid w:val="00EA63BC"/>
    <w:rsid w:val="00EA6A34"/>
    <w:rsid w:val="00EA7C9A"/>
    <w:rsid w:val="00EB03AA"/>
    <w:rsid w:val="00EB0653"/>
    <w:rsid w:val="00EB0A1C"/>
    <w:rsid w:val="00EB0E89"/>
    <w:rsid w:val="00EB10EB"/>
    <w:rsid w:val="00EB15EC"/>
    <w:rsid w:val="00EB16FC"/>
    <w:rsid w:val="00EB1848"/>
    <w:rsid w:val="00EB1C22"/>
    <w:rsid w:val="00EB2A0D"/>
    <w:rsid w:val="00EB2D41"/>
    <w:rsid w:val="00EB2DF4"/>
    <w:rsid w:val="00EB369E"/>
    <w:rsid w:val="00EB370A"/>
    <w:rsid w:val="00EB374A"/>
    <w:rsid w:val="00EB3C51"/>
    <w:rsid w:val="00EB40E4"/>
    <w:rsid w:val="00EB41FB"/>
    <w:rsid w:val="00EB4CAD"/>
    <w:rsid w:val="00EB4D61"/>
    <w:rsid w:val="00EB55E8"/>
    <w:rsid w:val="00EB6403"/>
    <w:rsid w:val="00EB6C8D"/>
    <w:rsid w:val="00EB6E82"/>
    <w:rsid w:val="00EB7940"/>
    <w:rsid w:val="00EB7F1D"/>
    <w:rsid w:val="00EC02C1"/>
    <w:rsid w:val="00EC02E6"/>
    <w:rsid w:val="00EC041C"/>
    <w:rsid w:val="00EC0EB7"/>
    <w:rsid w:val="00EC15E4"/>
    <w:rsid w:val="00EC1659"/>
    <w:rsid w:val="00EC17D8"/>
    <w:rsid w:val="00EC18E1"/>
    <w:rsid w:val="00EC1E09"/>
    <w:rsid w:val="00EC1ED7"/>
    <w:rsid w:val="00EC2586"/>
    <w:rsid w:val="00EC2599"/>
    <w:rsid w:val="00EC46BB"/>
    <w:rsid w:val="00EC4A1A"/>
    <w:rsid w:val="00EC50EB"/>
    <w:rsid w:val="00EC5416"/>
    <w:rsid w:val="00EC5433"/>
    <w:rsid w:val="00EC545B"/>
    <w:rsid w:val="00EC5C0E"/>
    <w:rsid w:val="00EC6112"/>
    <w:rsid w:val="00EC612D"/>
    <w:rsid w:val="00EC63EB"/>
    <w:rsid w:val="00EC6D4B"/>
    <w:rsid w:val="00EC72E6"/>
    <w:rsid w:val="00EC7CB8"/>
    <w:rsid w:val="00ED0EF4"/>
    <w:rsid w:val="00ED1806"/>
    <w:rsid w:val="00ED25C6"/>
    <w:rsid w:val="00ED26A1"/>
    <w:rsid w:val="00ED2701"/>
    <w:rsid w:val="00ED27B5"/>
    <w:rsid w:val="00ED2CE4"/>
    <w:rsid w:val="00ED376C"/>
    <w:rsid w:val="00ED37A3"/>
    <w:rsid w:val="00ED3CBF"/>
    <w:rsid w:val="00ED3CE5"/>
    <w:rsid w:val="00ED3D90"/>
    <w:rsid w:val="00ED3E25"/>
    <w:rsid w:val="00ED45AA"/>
    <w:rsid w:val="00ED4890"/>
    <w:rsid w:val="00ED4906"/>
    <w:rsid w:val="00ED4D15"/>
    <w:rsid w:val="00ED51F4"/>
    <w:rsid w:val="00ED523F"/>
    <w:rsid w:val="00ED5290"/>
    <w:rsid w:val="00ED5636"/>
    <w:rsid w:val="00ED5A23"/>
    <w:rsid w:val="00ED5F5B"/>
    <w:rsid w:val="00ED6057"/>
    <w:rsid w:val="00ED680E"/>
    <w:rsid w:val="00ED686D"/>
    <w:rsid w:val="00ED6A44"/>
    <w:rsid w:val="00ED6F5F"/>
    <w:rsid w:val="00ED756E"/>
    <w:rsid w:val="00ED7D9E"/>
    <w:rsid w:val="00EE0C75"/>
    <w:rsid w:val="00EE1461"/>
    <w:rsid w:val="00EE157F"/>
    <w:rsid w:val="00EE15B0"/>
    <w:rsid w:val="00EE15FD"/>
    <w:rsid w:val="00EE1852"/>
    <w:rsid w:val="00EE20FC"/>
    <w:rsid w:val="00EE39F0"/>
    <w:rsid w:val="00EE3F6D"/>
    <w:rsid w:val="00EE4180"/>
    <w:rsid w:val="00EE45A7"/>
    <w:rsid w:val="00EE47AE"/>
    <w:rsid w:val="00EE48F1"/>
    <w:rsid w:val="00EE4943"/>
    <w:rsid w:val="00EE5502"/>
    <w:rsid w:val="00EE55ED"/>
    <w:rsid w:val="00EE65D0"/>
    <w:rsid w:val="00EE6A08"/>
    <w:rsid w:val="00EE6A90"/>
    <w:rsid w:val="00EE6B35"/>
    <w:rsid w:val="00EE6C85"/>
    <w:rsid w:val="00EE7387"/>
    <w:rsid w:val="00EE7889"/>
    <w:rsid w:val="00EE7B36"/>
    <w:rsid w:val="00EE7BEF"/>
    <w:rsid w:val="00EE7C0A"/>
    <w:rsid w:val="00EE7CE4"/>
    <w:rsid w:val="00EF05BA"/>
    <w:rsid w:val="00EF0D8C"/>
    <w:rsid w:val="00EF1124"/>
    <w:rsid w:val="00EF1E30"/>
    <w:rsid w:val="00EF2D57"/>
    <w:rsid w:val="00EF2F57"/>
    <w:rsid w:val="00EF34E2"/>
    <w:rsid w:val="00EF4065"/>
    <w:rsid w:val="00EF459B"/>
    <w:rsid w:val="00EF469C"/>
    <w:rsid w:val="00EF4963"/>
    <w:rsid w:val="00EF5A2E"/>
    <w:rsid w:val="00EF5E08"/>
    <w:rsid w:val="00EF63C7"/>
    <w:rsid w:val="00EF66F5"/>
    <w:rsid w:val="00EF6919"/>
    <w:rsid w:val="00EF6F7E"/>
    <w:rsid w:val="00EF734E"/>
    <w:rsid w:val="00EF7815"/>
    <w:rsid w:val="00EF7D97"/>
    <w:rsid w:val="00F001CB"/>
    <w:rsid w:val="00F004F0"/>
    <w:rsid w:val="00F009D2"/>
    <w:rsid w:val="00F00E52"/>
    <w:rsid w:val="00F00FDB"/>
    <w:rsid w:val="00F018DD"/>
    <w:rsid w:val="00F01C35"/>
    <w:rsid w:val="00F01CCC"/>
    <w:rsid w:val="00F01F9F"/>
    <w:rsid w:val="00F02A5D"/>
    <w:rsid w:val="00F02C3C"/>
    <w:rsid w:val="00F0344A"/>
    <w:rsid w:val="00F03F33"/>
    <w:rsid w:val="00F0408F"/>
    <w:rsid w:val="00F0460C"/>
    <w:rsid w:val="00F0477E"/>
    <w:rsid w:val="00F04F95"/>
    <w:rsid w:val="00F053D2"/>
    <w:rsid w:val="00F05852"/>
    <w:rsid w:val="00F05B75"/>
    <w:rsid w:val="00F06DBB"/>
    <w:rsid w:val="00F07184"/>
    <w:rsid w:val="00F0728C"/>
    <w:rsid w:val="00F072CF"/>
    <w:rsid w:val="00F0783F"/>
    <w:rsid w:val="00F07B37"/>
    <w:rsid w:val="00F07C22"/>
    <w:rsid w:val="00F07C9E"/>
    <w:rsid w:val="00F07DF4"/>
    <w:rsid w:val="00F07F2C"/>
    <w:rsid w:val="00F1058F"/>
    <w:rsid w:val="00F10F59"/>
    <w:rsid w:val="00F11130"/>
    <w:rsid w:val="00F11616"/>
    <w:rsid w:val="00F11689"/>
    <w:rsid w:val="00F119A7"/>
    <w:rsid w:val="00F11A8A"/>
    <w:rsid w:val="00F124C3"/>
    <w:rsid w:val="00F12795"/>
    <w:rsid w:val="00F128DC"/>
    <w:rsid w:val="00F12DD8"/>
    <w:rsid w:val="00F12E8E"/>
    <w:rsid w:val="00F13697"/>
    <w:rsid w:val="00F1384F"/>
    <w:rsid w:val="00F13D8C"/>
    <w:rsid w:val="00F13E44"/>
    <w:rsid w:val="00F14173"/>
    <w:rsid w:val="00F14220"/>
    <w:rsid w:val="00F1454F"/>
    <w:rsid w:val="00F14B0A"/>
    <w:rsid w:val="00F155FC"/>
    <w:rsid w:val="00F1588C"/>
    <w:rsid w:val="00F158CF"/>
    <w:rsid w:val="00F15BDD"/>
    <w:rsid w:val="00F16045"/>
    <w:rsid w:val="00F16131"/>
    <w:rsid w:val="00F166F1"/>
    <w:rsid w:val="00F172BF"/>
    <w:rsid w:val="00F17B7B"/>
    <w:rsid w:val="00F17D3A"/>
    <w:rsid w:val="00F2070F"/>
    <w:rsid w:val="00F20C87"/>
    <w:rsid w:val="00F20E56"/>
    <w:rsid w:val="00F218A3"/>
    <w:rsid w:val="00F21ADD"/>
    <w:rsid w:val="00F22252"/>
    <w:rsid w:val="00F22AE1"/>
    <w:rsid w:val="00F22B49"/>
    <w:rsid w:val="00F22E89"/>
    <w:rsid w:val="00F22E8B"/>
    <w:rsid w:val="00F232BF"/>
    <w:rsid w:val="00F23528"/>
    <w:rsid w:val="00F235BA"/>
    <w:rsid w:val="00F23689"/>
    <w:rsid w:val="00F23756"/>
    <w:rsid w:val="00F24351"/>
    <w:rsid w:val="00F24CBE"/>
    <w:rsid w:val="00F24F0F"/>
    <w:rsid w:val="00F25171"/>
    <w:rsid w:val="00F2517A"/>
    <w:rsid w:val="00F25B83"/>
    <w:rsid w:val="00F260F5"/>
    <w:rsid w:val="00F26703"/>
    <w:rsid w:val="00F26A53"/>
    <w:rsid w:val="00F2738C"/>
    <w:rsid w:val="00F277B4"/>
    <w:rsid w:val="00F27AA2"/>
    <w:rsid w:val="00F3017C"/>
    <w:rsid w:val="00F30711"/>
    <w:rsid w:val="00F30A1C"/>
    <w:rsid w:val="00F30F75"/>
    <w:rsid w:val="00F316C0"/>
    <w:rsid w:val="00F31C1F"/>
    <w:rsid w:val="00F320E3"/>
    <w:rsid w:val="00F321D6"/>
    <w:rsid w:val="00F32202"/>
    <w:rsid w:val="00F3256A"/>
    <w:rsid w:val="00F3268B"/>
    <w:rsid w:val="00F326B3"/>
    <w:rsid w:val="00F327FC"/>
    <w:rsid w:val="00F3281F"/>
    <w:rsid w:val="00F3296A"/>
    <w:rsid w:val="00F32B62"/>
    <w:rsid w:val="00F32E17"/>
    <w:rsid w:val="00F32E4C"/>
    <w:rsid w:val="00F330E7"/>
    <w:rsid w:val="00F3354C"/>
    <w:rsid w:val="00F33832"/>
    <w:rsid w:val="00F3403C"/>
    <w:rsid w:val="00F34238"/>
    <w:rsid w:val="00F34241"/>
    <w:rsid w:val="00F346B5"/>
    <w:rsid w:val="00F35058"/>
    <w:rsid w:val="00F35479"/>
    <w:rsid w:val="00F357A1"/>
    <w:rsid w:val="00F35C4A"/>
    <w:rsid w:val="00F35D60"/>
    <w:rsid w:val="00F36538"/>
    <w:rsid w:val="00F36939"/>
    <w:rsid w:val="00F36BCB"/>
    <w:rsid w:val="00F3738F"/>
    <w:rsid w:val="00F37469"/>
    <w:rsid w:val="00F37787"/>
    <w:rsid w:val="00F37DF0"/>
    <w:rsid w:val="00F401F3"/>
    <w:rsid w:val="00F407A6"/>
    <w:rsid w:val="00F409D5"/>
    <w:rsid w:val="00F41361"/>
    <w:rsid w:val="00F41606"/>
    <w:rsid w:val="00F41E19"/>
    <w:rsid w:val="00F41F31"/>
    <w:rsid w:val="00F42036"/>
    <w:rsid w:val="00F42304"/>
    <w:rsid w:val="00F42614"/>
    <w:rsid w:val="00F43593"/>
    <w:rsid w:val="00F437F3"/>
    <w:rsid w:val="00F44229"/>
    <w:rsid w:val="00F444E4"/>
    <w:rsid w:val="00F44635"/>
    <w:rsid w:val="00F4468E"/>
    <w:rsid w:val="00F44F4A"/>
    <w:rsid w:val="00F45A85"/>
    <w:rsid w:val="00F45FE6"/>
    <w:rsid w:val="00F4694B"/>
    <w:rsid w:val="00F46EE4"/>
    <w:rsid w:val="00F47748"/>
    <w:rsid w:val="00F47DDE"/>
    <w:rsid w:val="00F5027A"/>
    <w:rsid w:val="00F503A8"/>
    <w:rsid w:val="00F510FB"/>
    <w:rsid w:val="00F515EB"/>
    <w:rsid w:val="00F5166D"/>
    <w:rsid w:val="00F517A2"/>
    <w:rsid w:val="00F51BF1"/>
    <w:rsid w:val="00F529D3"/>
    <w:rsid w:val="00F52B41"/>
    <w:rsid w:val="00F53646"/>
    <w:rsid w:val="00F5414B"/>
    <w:rsid w:val="00F544BD"/>
    <w:rsid w:val="00F5467B"/>
    <w:rsid w:val="00F54A43"/>
    <w:rsid w:val="00F558FB"/>
    <w:rsid w:val="00F55C1E"/>
    <w:rsid w:val="00F564D7"/>
    <w:rsid w:val="00F566AC"/>
    <w:rsid w:val="00F56E19"/>
    <w:rsid w:val="00F56E61"/>
    <w:rsid w:val="00F56F48"/>
    <w:rsid w:val="00F573AB"/>
    <w:rsid w:val="00F574C2"/>
    <w:rsid w:val="00F57655"/>
    <w:rsid w:val="00F57810"/>
    <w:rsid w:val="00F57846"/>
    <w:rsid w:val="00F60280"/>
    <w:rsid w:val="00F612DD"/>
    <w:rsid w:val="00F616EC"/>
    <w:rsid w:val="00F617AF"/>
    <w:rsid w:val="00F630BA"/>
    <w:rsid w:val="00F63D38"/>
    <w:rsid w:val="00F64827"/>
    <w:rsid w:val="00F653F7"/>
    <w:rsid w:val="00F65804"/>
    <w:rsid w:val="00F6583C"/>
    <w:rsid w:val="00F66484"/>
    <w:rsid w:val="00F664A8"/>
    <w:rsid w:val="00F666CB"/>
    <w:rsid w:val="00F66CFD"/>
    <w:rsid w:val="00F67059"/>
    <w:rsid w:val="00F67359"/>
    <w:rsid w:val="00F6782A"/>
    <w:rsid w:val="00F67A38"/>
    <w:rsid w:val="00F67E5E"/>
    <w:rsid w:val="00F67FC0"/>
    <w:rsid w:val="00F7027C"/>
    <w:rsid w:val="00F7054B"/>
    <w:rsid w:val="00F7062C"/>
    <w:rsid w:val="00F70725"/>
    <w:rsid w:val="00F71317"/>
    <w:rsid w:val="00F718B2"/>
    <w:rsid w:val="00F718B6"/>
    <w:rsid w:val="00F71B9F"/>
    <w:rsid w:val="00F71F8E"/>
    <w:rsid w:val="00F7239E"/>
    <w:rsid w:val="00F72738"/>
    <w:rsid w:val="00F727CC"/>
    <w:rsid w:val="00F72CF0"/>
    <w:rsid w:val="00F73CD2"/>
    <w:rsid w:val="00F75189"/>
    <w:rsid w:val="00F7520C"/>
    <w:rsid w:val="00F7535F"/>
    <w:rsid w:val="00F75563"/>
    <w:rsid w:val="00F7559F"/>
    <w:rsid w:val="00F756C3"/>
    <w:rsid w:val="00F75734"/>
    <w:rsid w:val="00F75F9C"/>
    <w:rsid w:val="00F76487"/>
    <w:rsid w:val="00F76D0E"/>
    <w:rsid w:val="00F76D15"/>
    <w:rsid w:val="00F777CA"/>
    <w:rsid w:val="00F77943"/>
    <w:rsid w:val="00F77F4E"/>
    <w:rsid w:val="00F809F6"/>
    <w:rsid w:val="00F80B16"/>
    <w:rsid w:val="00F80DB9"/>
    <w:rsid w:val="00F81579"/>
    <w:rsid w:val="00F816D9"/>
    <w:rsid w:val="00F819A3"/>
    <w:rsid w:val="00F81CB8"/>
    <w:rsid w:val="00F81D1A"/>
    <w:rsid w:val="00F81D9C"/>
    <w:rsid w:val="00F82382"/>
    <w:rsid w:val="00F82A48"/>
    <w:rsid w:val="00F82C0F"/>
    <w:rsid w:val="00F82C88"/>
    <w:rsid w:val="00F8340D"/>
    <w:rsid w:val="00F838A4"/>
    <w:rsid w:val="00F839D7"/>
    <w:rsid w:val="00F839DE"/>
    <w:rsid w:val="00F83B4B"/>
    <w:rsid w:val="00F83B4C"/>
    <w:rsid w:val="00F83B86"/>
    <w:rsid w:val="00F83C58"/>
    <w:rsid w:val="00F844AD"/>
    <w:rsid w:val="00F846C6"/>
    <w:rsid w:val="00F84C01"/>
    <w:rsid w:val="00F85074"/>
    <w:rsid w:val="00F853F6"/>
    <w:rsid w:val="00F85421"/>
    <w:rsid w:val="00F855C0"/>
    <w:rsid w:val="00F857E9"/>
    <w:rsid w:val="00F85963"/>
    <w:rsid w:val="00F85EE7"/>
    <w:rsid w:val="00F861F5"/>
    <w:rsid w:val="00F862F1"/>
    <w:rsid w:val="00F86550"/>
    <w:rsid w:val="00F86D41"/>
    <w:rsid w:val="00F86F15"/>
    <w:rsid w:val="00F8735D"/>
    <w:rsid w:val="00F87476"/>
    <w:rsid w:val="00F87622"/>
    <w:rsid w:val="00F87881"/>
    <w:rsid w:val="00F87E44"/>
    <w:rsid w:val="00F9045C"/>
    <w:rsid w:val="00F918A7"/>
    <w:rsid w:val="00F91AB5"/>
    <w:rsid w:val="00F91C62"/>
    <w:rsid w:val="00F92022"/>
    <w:rsid w:val="00F926F1"/>
    <w:rsid w:val="00F92761"/>
    <w:rsid w:val="00F92908"/>
    <w:rsid w:val="00F92AC7"/>
    <w:rsid w:val="00F92BF4"/>
    <w:rsid w:val="00F92CA6"/>
    <w:rsid w:val="00F933E1"/>
    <w:rsid w:val="00F93469"/>
    <w:rsid w:val="00F93AEB"/>
    <w:rsid w:val="00F93B90"/>
    <w:rsid w:val="00F94640"/>
    <w:rsid w:val="00F94AFC"/>
    <w:rsid w:val="00F94F58"/>
    <w:rsid w:val="00F95044"/>
    <w:rsid w:val="00F95078"/>
    <w:rsid w:val="00F957A3"/>
    <w:rsid w:val="00F95E56"/>
    <w:rsid w:val="00F96617"/>
    <w:rsid w:val="00F968A5"/>
    <w:rsid w:val="00F96C05"/>
    <w:rsid w:val="00F978C4"/>
    <w:rsid w:val="00FA0733"/>
    <w:rsid w:val="00FA0A92"/>
    <w:rsid w:val="00FA0C66"/>
    <w:rsid w:val="00FA0FC4"/>
    <w:rsid w:val="00FA1234"/>
    <w:rsid w:val="00FA1AD0"/>
    <w:rsid w:val="00FA1B72"/>
    <w:rsid w:val="00FA250B"/>
    <w:rsid w:val="00FA29D1"/>
    <w:rsid w:val="00FA2A06"/>
    <w:rsid w:val="00FA2A49"/>
    <w:rsid w:val="00FA31A5"/>
    <w:rsid w:val="00FA33C9"/>
    <w:rsid w:val="00FA359A"/>
    <w:rsid w:val="00FA3889"/>
    <w:rsid w:val="00FA40CF"/>
    <w:rsid w:val="00FA43C8"/>
    <w:rsid w:val="00FA4D4D"/>
    <w:rsid w:val="00FA567C"/>
    <w:rsid w:val="00FA5BFB"/>
    <w:rsid w:val="00FA661A"/>
    <w:rsid w:val="00FA66D8"/>
    <w:rsid w:val="00FA6FF5"/>
    <w:rsid w:val="00FA7010"/>
    <w:rsid w:val="00FA7240"/>
    <w:rsid w:val="00FA75FF"/>
    <w:rsid w:val="00FA7710"/>
    <w:rsid w:val="00FA7815"/>
    <w:rsid w:val="00FB013F"/>
    <w:rsid w:val="00FB075A"/>
    <w:rsid w:val="00FB0E57"/>
    <w:rsid w:val="00FB115F"/>
    <w:rsid w:val="00FB13EF"/>
    <w:rsid w:val="00FB2474"/>
    <w:rsid w:val="00FB25B3"/>
    <w:rsid w:val="00FB270A"/>
    <w:rsid w:val="00FB3060"/>
    <w:rsid w:val="00FB3112"/>
    <w:rsid w:val="00FB33C7"/>
    <w:rsid w:val="00FB37E8"/>
    <w:rsid w:val="00FB38A5"/>
    <w:rsid w:val="00FB4571"/>
    <w:rsid w:val="00FB5131"/>
    <w:rsid w:val="00FB538B"/>
    <w:rsid w:val="00FB5B29"/>
    <w:rsid w:val="00FB60C6"/>
    <w:rsid w:val="00FB6776"/>
    <w:rsid w:val="00FB6CBC"/>
    <w:rsid w:val="00FB72ED"/>
    <w:rsid w:val="00FB741F"/>
    <w:rsid w:val="00FB7CAC"/>
    <w:rsid w:val="00FC00FD"/>
    <w:rsid w:val="00FC0C6D"/>
    <w:rsid w:val="00FC0EAF"/>
    <w:rsid w:val="00FC1D5F"/>
    <w:rsid w:val="00FC20CD"/>
    <w:rsid w:val="00FC243C"/>
    <w:rsid w:val="00FC2787"/>
    <w:rsid w:val="00FC28FE"/>
    <w:rsid w:val="00FC2ABF"/>
    <w:rsid w:val="00FC416F"/>
    <w:rsid w:val="00FC4A1C"/>
    <w:rsid w:val="00FC519F"/>
    <w:rsid w:val="00FC5564"/>
    <w:rsid w:val="00FC5824"/>
    <w:rsid w:val="00FC5B5C"/>
    <w:rsid w:val="00FC5B6B"/>
    <w:rsid w:val="00FC5BE4"/>
    <w:rsid w:val="00FC5CE8"/>
    <w:rsid w:val="00FC5ED8"/>
    <w:rsid w:val="00FC5FE5"/>
    <w:rsid w:val="00FC632D"/>
    <w:rsid w:val="00FC6491"/>
    <w:rsid w:val="00FC6818"/>
    <w:rsid w:val="00FC7C8F"/>
    <w:rsid w:val="00FC7D01"/>
    <w:rsid w:val="00FC7E05"/>
    <w:rsid w:val="00FD0780"/>
    <w:rsid w:val="00FD0C9D"/>
    <w:rsid w:val="00FD1A71"/>
    <w:rsid w:val="00FD1AC7"/>
    <w:rsid w:val="00FD1EA6"/>
    <w:rsid w:val="00FD27C7"/>
    <w:rsid w:val="00FD2EA5"/>
    <w:rsid w:val="00FD3067"/>
    <w:rsid w:val="00FD31F3"/>
    <w:rsid w:val="00FD3CD3"/>
    <w:rsid w:val="00FD3E2B"/>
    <w:rsid w:val="00FD3F36"/>
    <w:rsid w:val="00FD4109"/>
    <w:rsid w:val="00FD416A"/>
    <w:rsid w:val="00FD4A12"/>
    <w:rsid w:val="00FD4A5F"/>
    <w:rsid w:val="00FD4BF5"/>
    <w:rsid w:val="00FD5303"/>
    <w:rsid w:val="00FD54AD"/>
    <w:rsid w:val="00FD54ED"/>
    <w:rsid w:val="00FD5E67"/>
    <w:rsid w:val="00FD5F2F"/>
    <w:rsid w:val="00FD6AE8"/>
    <w:rsid w:val="00FD711D"/>
    <w:rsid w:val="00FD794C"/>
    <w:rsid w:val="00FD7C2B"/>
    <w:rsid w:val="00FE00F7"/>
    <w:rsid w:val="00FE03DC"/>
    <w:rsid w:val="00FE047D"/>
    <w:rsid w:val="00FE059A"/>
    <w:rsid w:val="00FE10FC"/>
    <w:rsid w:val="00FE13C5"/>
    <w:rsid w:val="00FE1509"/>
    <w:rsid w:val="00FE19C0"/>
    <w:rsid w:val="00FE3FD5"/>
    <w:rsid w:val="00FE4AFC"/>
    <w:rsid w:val="00FE4DD8"/>
    <w:rsid w:val="00FE542D"/>
    <w:rsid w:val="00FE5517"/>
    <w:rsid w:val="00FE597E"/>
    <w:rsid w:val="00FE5CC1"/>
    <w:rsid w:val="00FE63B8"/>
    <w:rsid w:val="00FE7ADC"/>
    <w:rsid w:val="00FF02D0"/>
    <w:rsid w:val="00FF0BB9"/>
    <w:rsid w:val="00FF11D7"/>
    <w:rsid w:val="00FF1495"/>
    <w:rsid w:val="00FF1543"/>
    <w:rsid w:val="00FF17DB"/>
    <w:rsid w:val="00FF2977"/>
    <w:rsid w:val="00FF2986"/>
    <w:rsid w:val="00FF2FBF"/>
    <w:rsid w:val="00FF30A9"/>
    <w:rsid w:val="00FF31B7"/>
    <w:rsid w:val="00FF3219"/>
    <w:rsid w:val="00FF334A"/>
    <w:rsid w:val="00FF3468"/>
    <w:rsid w:val="00FF38A2"/>
    <w:rsid w:val="00FF4064"/>
    <w:rsid w:val="00FF4BFC"/>
    <w:rsid w:val="00FF4F79"/>
    <w:rsid w:val="00FF5322"/>
    <w:rsid w:val="00FF5A8E"/>
    <w:rsid w:val="00FF6879"/>
    <w:rsid w:val="00FF6A3A"/>
    <w:rsid w:val="00FF6D1A"/>
    <w:rsid w:val="00FF7F10"/>
    <w:rsid w:val="01089176"/>
    <w:rsid w:val="010B877B"/>
    <w:rsid w:val="01105B1D"/>
    <w:rsid w:val="0114E1A2"/>
    <w:rsid w:val="01150F18"/>
    <w:rsid w:val="011965EC"/>
    <w:rsid w:val="0121C65B"/>
    <w:rsid w:val="012A7202"/>
    <w:rsid w:val="01327808"/>
    <w:rsid w:val="013FEF7C"/>
    <w:rsid w:val="0146E1EA"/>
    <w:rsid w:val="01494F9E"/>
    <w:rsid w:val="014B3808"/>
    <w:rsid w:val="01575C36"/>
    <w:rsid w:val="0157C8DC"/>
    <w:rsid w:val="015B011D"/>
    <w:rsid w:val="016472C5"/>
    <w:rsid w:val="017A805C"/>
    <w:rsid w:val="019AF6FC"/>
    <w:rsid w:val="019F2748"/>
    <w:rsid w:val="019F9DFD"/>
    <w:rsid w:val="01A29465"/>
    <w:rsid w:val="01A5CC9B"/>
    <w:rsid w:val="01AAD65E"/>
    <w:rsid w:val="01B0A333"/>
    <w:rsid w:val="01B55FD3"/>
    <w:rsid w:val="01B58B1A"/>
    <w:rsid w:val="01BF034E"/>
    <w:rsid w:val="01DE49AF"/>
    <w:rsid w:val="01E4512F"/>
    <w:rsid w:val="01EA9CED"/>
    <w:rsid w:val="01F4A64E"/>
    <w:rsid w:val="01F514B0"/>
    <w:rsid w:val="01F5595A"/>
    <w:rsid w:val="01FC9F09"/>
    <w:rsid w:val="02046D7F"/>
    <w:rsid w:val="02118967"/>
    <w:rsid w:val="02162B5E"/>
    <w:rsid w:val="02195B22"/>
    <w:rsid w:val="021E864E"/>
    <w:rsid w:val="024F6527"/>
    <w:rsid w:val="02533E85"/>
    <w:rsid w:val="025A74AA"/>
    <w:rsid w:val="02627CA8"/>
    <w:rsid w:val="027A2243"/>
    <w:rsid w:val="027C7827"/>
    <w:rsid w:val="0297B039"/>
    <w:rsid w:val="02A047C4"/>
    <w:rsid w:val="02AC514D"/>
    <w:rsid w:val="02C40B0A"/>
    <w:rsid w:val="02CD79A9"/>
    <w:rsid w:val="02D675F3"/>
    <w:rsid w:val="02D696E0"/>
    <w:rsid w:val="02D8D439"/>
    <w:rsid w:val="02E1F290"/>
    <w:rsid w:val="02E83DA4"/>
    <w:rsid w:val="02EF1D2D"/>
    <w:rsid w:val="02EFE112"/>
    <w:rsid w:val="02F0CB23"/>
    <w:rsid w:val="02F5854E"/>
    <w:rsid w:val="02FD6975"/>
    <w:rsid w:val="0306F0CE"/>
    <w:rsid w:val="030B13BA"/>
    <w:rsid w:val="03100435"/>
    <w:rsid w:val="03184676"/>
    <w:rsid w:val="0326742F"/>
    <w:rsid w:val="032AC1C6"/>
    <w:rsid w:val="033778B3"/>
    <w:rsid w:val="033F13F2"/>
    <w:rsid w:val="0340C6F1"/>
    <w:rsid w:val="03424DDE"/>
    <w:rsid w:val="03435A30"/>
    <w:rsid w:val="0343E14E"/>
    <w:rsid w:val="034B1CD5"/>
    <w:rsid w:val="034B4340"/>
    <w:rsid w:val="034D6189"/>
    <w:rsid w:val="0354B23E"/>
    <w:rsid w:val="0354B77E"/>
    <w:rsid w:val="0365D6FB"/>
    <w:rsid w:val="036827FC"/>
    <w:rsid w:val="036DE50C"/>
    <w:rsid w:val="036F050A"/>
    <w:rsid w:val="03820FCB"/>
    <w:rsid w:val="0387551C"/>
    <w:rsid w:val="03883942"/>
    <w:rsid w:val="038B0BC9"/>
    <w:rsid w:val="039569FE"/>
    <w:rsid w:val="039D8D36"/>
    <w:rsid w:val="039EB71F"/>
    <w:rsid w:val="039EF249"/>
    <w:rsid w:val="03A67169"/>
    <w:rsid w:val="03B127FB"/>
    <w:rsid w:val="03B52CAB"/>
    <w:rsid w:val="03B96F36"/>
    <w:rsid w:val="03BB5EB1"/>
    <w:rsid w:val="03D47B2B"/>
    <w:rsid w:val="03DF9995"/>
    <w:rsid w:val="03E3BFC0"/>
    <w:rsid w:val="03F0095C"/>
    <w:rsid w:val="03F84AF0"/>
    <w:rsid w:val="04063547"/>
    <w:rsid w:val="040ABD3B"/>
    <w:rsid w:val="041141CA"/>
    <w:rsid w:val="041AF94E"/>
    <w:rsid w:val="04281029"/>
    <w:rsid w:val="04373124"/>
    <w:rsid w:val="044DAA8F"/>
    <w:rsid w:val="044DD746"/>
    <w:rsid w:val="044E47D1"/>
    <w:rsid w:val="04533E62"/>
    <w:rsid w:val="0455AC44"/>
    <w:rsid w:val="045681A6"/>
    <w:rsid w:val="046072E3"/>
    <w:rsid w:val="046A7779"/>
    <w:rsid w:val="0484A4F9"/>
    <w:rsid w:val="04A5A73B"/>
    <w:rsid w:val="04AA11E0"/>
    <w:rsid w:val="04B1380D"/>
    <w:rsid w:val="04BAC9AA"/>
    <w:rsid w:val="04C808ED"/>
    <w:rsid w:val="04C829C8"/>
    <w:rsid w:val="04CF5019"/>
    <w:rsid w:val="04CF72F7"/>
    <w:rsid w:val="04D1A89E"/>
    <w:rsid w:val="04DA8577"/>
    <w:rsid w:val="04DDACCA"/>
    <w:rsid w:val="04E1F435"/>
    <w:rsid w:val="04E9B0F9"/>
    <w:rsid w:val="04F1425B"/>
    <w:rsid w:val="04FEB82E"/>
    <w:rsid w:val="0501566D"/>
    <w:rsid w:val="050F7BFB"/>
    <w:rsid w:val="050FA6FB"/>
    <w:rsid w:val="051932CD"/>
    <w:rsid w:val="051C44D5"/>
    <w:rsid w:val="052A2CBF"/>
    <w:rsid w:val="053FF40B"/>
    <w:rsid w:val="05421B86"/>
    <w:rsid w:val="05455D7A"/>
    <w:rsid w:val="0554C8AB"/>
    <w:rsid w:val="0562017E"/>
    <w:rsid w:val="05653344"/>
    <w:rsid w:val="0566A8C2"/>
    <w:rsid w:val="0570ABF4"/>
    <w:rsid w:val="0576B850"/>
    <w:rsid w:val="057A322A"/>
    <w:rsid w:val="0585B448"/>
    <w:rsid w:val="05867EBE"/>
    <w:rsid w:val="0594C3E3"/>
    <w:rsid w:val="059BACB4"/>
    <w:rsid w:val="059BE848"/>
    <w:rsid w:val="05A1BFCC"/>
    <w:rsid w:val="05AF83D4"/>
    <w:rsid w:val="05B4AE41"/>
    <w:rsid w:val="05CD13C8"/>
    <w:rsid w:val="05D815B8"/>
    <w:rsid w:val="05DC53ED"/>
    <w:rsid w:val="05E7D3E2"/>
    <w:rsid w:val="05E904B5"/>
    <w:rsid w:val="05E9C792"/>
    <w:rsid w:val="05EB6A03"/>
    <w:rsid w:val="05EC1A01"/>
    <w:rsid w:val="05EE79E3"/>
    <w:rsid w:val="05FE6290"/>
    <w:rsid w:val="060628D2"/>
    <w:rsid w:val="061725E0"/>
    <w:rsid w:val="061A1270"/>
    <w:rsid w:val="061B4494"/>
    <w:rsid w:val="062A29D0"/>
    <w:rsid w:val="0631E960"/>
    <w:rsid w:val="063BD65A"/>
    <w:rsid w:val="063F88A4"/>
    <w:rsid w:val="0645DECD"/>
    <w:rsid w:val="064BD97E"/>
    <w:rsid w:val="064D1825"/>
    <w:rsid w:val="065A99F6"/>
    <w:rsid w:val="065AB675"/>
    <w:rsid w:val="066C2DDB"/>
    <w:rsid w:val="06763AD6"/>
    <w:rsid w:val="067A79C1"/>
    <w:rsid w:val="068698EA"/>
    <w:rsid w:val="068D48CC"/>
    <w:rsid w:val="068ED0CF"/>
    <w:rsid w:val="069350A0"/>
    <w:rsid w:val="06955861"/>
    <w:rsid w:val="069BA38F"/>
    <w:rsid w:val="06A311FB"/>
    <w:rsid w:val="06A4C415"/>
    <w:rsid w:val="06B30766"/>
    <w:rsid w:val="06CA1B30"/>
    <w:rsid w:val="06CE103F"/>
    <w:rsid w:val="06D2DADE"/>
    <w:rsid w:val="06D39C4D"/>
    <w:rsid w:val="06D95DC9"/>
    <w:rsid w:val="06E4435F"/>
    <w:rsid w:val="06E5BD98"/>
    <w:rsid w:val="06E9C862"/>
    <w:rsid w:val="06ECAA45"/>
    <w:rsid w:val="06ED07BC"/>
    <w:rsid w:val="06F355A8"/>
    <w:rsid w:val="06F380E7"/>
    <w:rsid w:val="06F82082"/>
    <w:rsid w:val="06F97C6E"/>
    <w:rsid w:val="0708A82F"/>
    <w:rsid w:val="07253518"/>
    <w:rsid w:val="07264672"/>
    <w:rsid w:val="07298D0B"/>
    <w:rsid w:val="07354F09"/>
    <w:rsid w:val="07385F82"/>
    <w:rsid w:val="07437D35"/>
    <w:rsid w:val="074FCF96"/>
    <w:rsid w:val="07508C98"/>
    <w:rsid w:val="075E10A7"/>
    <w:rsid w:val="076C10C6"/>
    <w:rsid w:val="0770537A"/>
    <w:rsid w:val="07739322"/>
    <w:rsid w:val="0778262D"/>
    <w:rsid w:val="07815AC7"/>
    <w:rsid w:val="0784608F"/>
    <w:rsid w:val="078E7338"/>
    <w:rsid w:val="079310DF"/>
    <w:rsid w:val="079461DE"/>
    <w:rsid w:val="07975A71"/>
    <w:rsid w:val="07986C38"/>
    <w:rsid w:val="079DD61C"/>
    <w:rsid w:val="07AA0139"/>
    <w:rsid w:val="07ADFEB3"/>
    <w:rsid w:val="07B1306F"/>
    <w:rsid w:val="07B6B49B"/>
    <w:rsid w:val="07B6C015"/>
    <w:rsid w:val="07B6D514"/>
    <w:rsid w:val="07B70911"/>
    <w:rsid w:val="07C30BDA"/>
    <w:rsid w:val="07C376A5"/>
    <w:rsid w:val="07C873BD"/>
    <w:rsid w:val="07CF07DA"/>
    <w:rsid w:val="07DAD99D"/>
    <w:rsid w:val="07E94DB3"/>
    <w:rsid w:val="07EAC2F3"/>
    <w:rsid w:val="07EC746B"/>
    <w:rsid w:val="07F08B92"/>
    <w:rsid w:val="07F61C27"/>
    <w:rsid w:val="0804469A"/>
    <w:rsid w:val="080547E4"/>
    <w:rsid w:val="08063FFA"/>
    <w:rsid w:val="080D1560"/>
    <w:rsid w:val="080FB427"/>
    <w:rsid w:val="0814DF61"/>
    <w:rsid w:val="082160BF"/>
    <w:rsid w:val="084079A6"/>
    <w:rsid w:val="0843837C"/>
    <w:rsid w:val="084B6385"/>
    <w:rsid w:val="08562242"/>
    <w:rsid w:val="0857635E"/>
    <w:rsid w:val="086130AD"/>
    <w:rsid w:val="086B001D"/>
    <w:rsid w:val="086EE3DD"/>
    <w:rsid w:val="0871C391"/>
    <w:rsid w:val="087F565A"/>
    <w:rsid w:val="087F83D1"/>
    <w:rsid w:val="08848C1D"/>
    <w:rsid w:val="0884FDA3"/>
    <w:rsid w:val="088F9BB6"/>
    <w:rsid w:val="08908A9F"/>
    <w:rsid w:val="08B84138"/>
    <w:rsid w:val="08CFC38A"/>
    <w:rsid w:val="08D696FE"/>
    <w:rsid w:val="08D6E647"/>
    <w:rsid w:val="08E075E9"/>
    <w:rsid w:val="08F5BE41"/>
    <w:rsid w:val="08F91CF2"/>
    <w:rsid w:val="08FCCFA6"/>
    <w:rsid w:val="0906E3B9"/>
    <w:rsid w:val="090A2342"/>
    <w:rsid w:val="090DDF34"/>
    <w:rsid w:val="0910E8E4"/>
    <w:rsid w:val="0920568A"/>
    <w:rsid w:val="09288434"/>
    <w:rsid w:val="09314836"/>
    <w:rsid w:val="0931B694"/>
    <w:rsid w:val="09339AB7"/>
    <w:rsid w:val="094AD092"/>
    <w:rsid w:val="094DA164"/>
    <w:rsid w:val="09508D18"/>
    <w:rsid w:val="09554F4E"/>
    <w:rsid w:val="09556092"/>
    <w:rsid w:val="09579355"/>
    <w:rsid w:val="097426AB"/>
    <w:rsid w:val="09756033"/>
    <w:rsid w:val="097BC4BA"/>
    <w:rsid w:val="097D34C0"/>
    <w:rsid w:val="0982D511"/>
    <w:rsid w:val="098A0F90"/>
    <w:rsid w:val="098B43DA"/>
    <w:rsid w:val="09A3CE9D"/>
    <w:rsid w:val="09A48D00"/>
    <w:rsid w:val="09ACC6AF"/>
    <w:rsid w:val="09AE0F4A"/>
    <w:rsid w:val="09BAD07A"/>
    <w:rsid w:val="09BB527E"/>
    <w:rsid w:val="09BD51E3"/>
    <w:rsid w:val="09C220FE"/>
    <w:rsid w:val="09C5685E"/>
    <w:rsid w:val="09C69117"/>
    <w:rsid w:val="09C7F754"/>
    <w:rsid w:val="09CF2ECA"/>
    <w:rsid w:val="09CF8F3C"/>
    <w:rsid w:val="09D2D5F9"/>
    <w:rsid w:val="09D4B25A"/>
    <w:rsid w:val="09DB81DA"/>
    <w:rsid w:val="09E0A3BC"/>
    <w:rsid w:val="09E6358D"/>
    <w:rsid w:val="09EC811D"/>
    <w:rsid w:val="09ED3C2E"/>
    <w:rsid w:val="09EFDF0B"/>
    <w:rsid w:val="09F082EF"/>
    <w:rsid w:val="09F52AE4"/>
    <w:rsid w:val="09FCE291"/>
    <w:rsid w:val="0A085BED"/>
    <w:rsid w:val="0A0ED72F"/>
    <w:rsid w:val="0A179600"/>
    <w:rsid w:val="0A1D7934"/>
    <w:rsid w:val="0A201206"/>
    <w:rsid w:val="0A3D9E6E"/>
    <w:rsid w:val="0A3DB752"/>
    <w:rsid w:val="0A48AB1F"/>
    <w:rsid w:val="0A54F3D7"/>
    <w:rsid w:val="0A594E4E"/>
    <w:rsid w:val="0A66E9CE"/>
    <w:rsid w:val="0A7CD10D"/>
    <w:rsid w:val="0A7F7B2C"/>
    <w:rsid w:val="0A80F872"/>
    <w:rsid w:val="0A83097E"/>
    <w:rsid w:val="0A890E39"/>
    <w:rsid w:val="0A898F83"/>
    <w:rsid w:val="0A89AB2E"/>
    <w:rsid w:val="0A8E2A50"/>
    <w:rsid w:val="0A8F0861"/>
    <w:rsid w:val="0A954A6A"/>
    <w:rsid w:val="0A9DD400"/>
    <w:rsid w:val="0AA3DD41"/>
    <w:rsid w:val="0AA8DC85"/>
    <w:rsid w:val="0AABF0DD"/>
    <w:rsid w:val="0AADB3D9"/>
    <w:rsid w:val="0AB6B7F0"/>
    <w:rsid w:val="0ABA9F90"/>
    <w:rsid w:val="0ABE76C5"/>
    <w:rsid w:val="0ABF8B24"/>
    <w:rsid w:val="0ACDA0F9"/>
    <w:rsid w:val="0AD00CFA"/>
    <w:rsid w:val="0AD90699"/>
    <w:rsid w:val="0AE49E1D"/>
    <w:rsid w:val="0AE622B9"/>
    <w:rsid w:val="0AF0823F"/>
    <w:rsid w:val="0AF3493E"/>
    <w:rsid w:val="0AF673C1"/>
    <w:rsid w:val="0AFAAC9C"/>
    <w:rsid w:val="0AFF5141"/>
    <w:rsid w:val="0B028A96"/>
    <w:rsid w:val="0B0503D8"/>
    <w:rsid w:val="0B0518C0"/>
    <w:rsid w:val="0B0A98BD"/>
    <w:rsid w:val="0B1005F0"/>
    <w:rsid w:val="0B18D7AF"/>
    <w:rsid w:val="0B1BF0A2"/>
    <w:rsid w:val="0B2013EF"/>
    <w:rsid w:val="0B2DCC2B"/>
    <w:rsid w:val="0B3537EE"/>
    <w:rsid w:val="0B36EB68"/>
    <w:rsid w:val="0B395987"/>
    <w:rsid w:val="0B3DC440"/>
    <w:rsid w:val="0B3F0AC4"/>
    <w:rsid w:val="0B46FEF2"/>
    <w:rsid w:val="0B49BCBD"/>
    <w:rsid w:val="0B49EF8B"/>
    <w:rsid w:val="0B4A4AC2"/>
    <w:rsid w:val="0B541D6F"/>
    <w:rsid w:val="0B54DF9A"/>
    <w:rsid w:val="0B5E4FFB"/>
    <w:rsid w:val="0B6F7B3B"/>
    <w:rsid w:val="0B7907D3"/>
    <w:rsid w:val="0B7D9B84"/>
    <w:rsid w:val="0B8A57AA"/>
    <w:rsid w:val="0B8D84B9"/>
    <w:rsid w:val="0B8D8647"/>
    <w:rsid w:val="0B9D60F8"/>
    <w:rsid w:val="0B9E8C25"/>
    <w:rsid w:val="0BA02000"/>
    <w:rsid w:val="0BA4E499"/>
    <w:rsid w:val="0BA51D13"/>
    <w:rsid w:val="0BB7B482"/>
    <w:rsid w:val="0BB92CF5"/>
    <w:rsid w:val="0BC664B3"/>
    <w:rsid w:val="0BD36A72"/>
    <w:rsid w:val="0BDA6CC2"/>
    <w:rsid w:val="0BDD608B"/>
    <w:rsid w:val="0BDEA28D"/>
    <w:rsid w:val="0BE1B390"/>
    <w:rsid w:val="0BE62D53"/>
    <w:rsid w:val="0BEA9EF2"/>
    <w:rsid w:val="0BF14E12"/>
    <w:rsid w:val="0BF26813"/>
    <w:rsid w:val="0BF715F3"/>
    <w:rsid w:val="0BFA84F7"/>
    <w:rsid w:val="0BFE27FE"/>
    <w:rsid w:val="0C005226"/>
    <w:rsid w:val="0C022D76"/>
    <w:rsid w:val="0C02692E"/>
    <w:rsid w:val="0C040567"/>
    <w:rsid w:val="0C089058"/>
    <w:rsid w:val="0C089C5B"/>
    <w:rsid w:val="0C0B29CC"/>
    <w:rsid w:val="0C1462CA"/>
    <w:rsid w:val="0C21ECE6"/>
    <w:rsid w:val="0C22C848"/>
    <w:rsid w:val="0C22D700"/>
    <w:rsid w:val="0C5597F4"/>
    <w:rsid w:val="0C5C3797"/>
    <w:rsid w:val="0C608886"/>
    <w:rsid w:val="0C6FB3A8"/>
    <w:rsid w:val="0C7798A1"/>
    <w:rsid w:val="0C84BA6B"/>
    <w:rsid w:val="0C854226"/>
    <w:rsid w:val="0C8F2259"/>
    <w:rsid w:val="0C9111DD"/>
    <w:rsid w:val="0C920238"/>
    <w:rsid w:val="0C96D983"/>
    <w:rsid w:val="0C9CD164"/>
    <w:rsid w:val="0C9EEEAA"/>
    <w:rsid w:val="0CA080F2"/>
    <w:rsid w:val="0CA9042C"/>
    <w:rsid w:val="0CAA9609"/>
    <w:rsid w:val="0CACFBC6"/>
    <w:rsid w:val="0CB9BA40"/>
    <w:rsid w:val="0CD490B6"/>
    <w:rsid w:val="0CDA6C62"/>
    <w:rsid w:val="0CDBF84C"/>
    <w:rsid w:val="0CE1F166"/>
    <w:rsid w:val="0CE2BE1F"/>
    <w:rsid w:val="0CE73ABC"/>
    <w:rsid w:val="0CE86AC3"/>
    <w:rsid w:val="0CECE193"/>
    <w:rsid w:val="0CEDC861"/>
    <w:rsid w:val="0CEE41E9"/>
    <w:rsid w:val="0CF056CA"/>
    <w:rsid w:val="0CFA8C36"/>
    <w:rsid w:val="0CFD6169"/>
    <w:rsid w:val="0D103750"/>
    <w:rsid w:val="0D125BC9"/>
    <w:rsid w:val="0D1367E9"/>
    <w:rsid w:val="0D1C6C14"/>
    <w:rsid w:val="0D296C27"/>
    <w:rsid w:val="0D37CF98"/>
    <w:rsid w:val="0D47718D"/>
    <w:rsid w:val="0D49BB8A"/>
    <w:rsid w:val="0D64BFBA"/>
    <w:rsid w:val="0D69A509"/>
    <w:rsid w:val="0D6B7439"/>
    <w:rsid w:val="0D6BC5B0"/>
    <w:rsid w:val="0D72EA28"/>
    <w:rsid w:val="0D759CCF"/>
    <w:rsid w:val="0D770F79"/>
    <w:rsid w:val="0D7A3CD0"/>
    <w:rsid w:val="0D7E5865"/>
    <w:rsid w:val="0D8157E0"/>
    <w:rsid w:val="0D835CBA"/>
    <w:rsid w:val="0D85ADB7"/>
    <w:rsid w:val="0D9B90EC"/>
    <w:rsid w:val="0D9D1C8A"/>
    <w:rsid w:val="0D9E61D4"/>
    <w:rsid w:val="0D9EDE59"/>
    <w:rsid w:val="0DA16C0E"/>
    <w:rsid w:val="0DA234FD"/>
    <w:rsid w:val="0DA7FC6E"/>
    <w:rsid w:val="0DB1F579"/>
    <w:rsid w:val="0DB57E73"/>
    <w:rsid w:val="0DBA9C4F"/>
    <w:rsid w:val="0DD1F5B3"/>
    <w:rsid w:val="0DD6403E"/>
    <w:rsid w:val="0DEA07CD"/>
    <w:rsid w:val="0DF3E0E5"/>
    <w:rsid w:val="0DF8DCD9"/>
    <w:rsid w:val="0DFC2845"/>
    <w:rsid w:val="0E005ABD"/>
    <w:rsid w:val="0E22A4CF"/>
    <w:rsid w:val="0E336E03"/>
    <w:rsid w:val="0E3B6A6E"/>
    <w:rsid w:val="0E3B86B9"/>
    <w:rsid w:val="0E3F56AD"/>
    <w:rsid w:val="0E3F5D37"/>
    <w:rsid w:val="0E43E3A5"/>
    <w:rsid w:val="0E490F60"/>
    <w:rsid w:val="0E5C1DAF"/>
    <w:rsid w:val="0E6595B3"/>
    <w:rsid w:val="0E6AE8C1"/>
    <w:rsid w:val="0E6E3CE8"/>
    <w:rsid w:val="0E826C4A"/>
    <w:rsid w:val="0E8AB6DE"/>
    <w:rsid w:val="0E9020F6"/>
    <w:rsid w:val="0E9056F0"/>
    <w:rsid w:val="0E9398BB"/>
    <w:rsid w:val="0E9EE147"/>
    <w:rsid w:val="0EB17BDD"/>
    <w:rsid w:val="0EBFAE3B"/>
    <w:rsid w:val="0EC88A12"/>
    <w:rsid w:val="0ECC1E4C"/>
    <w:rsid w:val="0ED70466"/>
    <w:rsid w:val="0EEAC26D"/>
    <w:rsid w:val="0EEDA5D4"/>
    <w:rsid w:val="0EF3511F"/>
    <w:rsid w:val="0EF6E829"/>
    <w:rsid w:val="0EFB4307"/>
    <w:rsid w:val="0EFB6013"/>
    <w:rsid w:val="0F02A8AB"/>
    <w:rsid w:val="0F10A970"/>
    <w:rsid w:val="0F13348F"/>
    <w:rsid w:val="0F153594"/>
    <w:rsid w:val="0F16CF97"/>
    <w:rsid w:val="0F180662"/>
    <w:rsid w:val="0F1B9F0E"/>
    <w:rsid w:val="0F2EDD31"/>
    <w:rsid w:val="0F3AA6A1"/>
    <w:rsid w:val="0F3CDDF6"/>
    <w:rsid w:val="0F4DB27A"/>
    <w:rsid w:val="0F4EBA78"/>
    <w:rsid w:val="0F59894B"/>
    <w:rsid w:val="0F5FD81B"/>
    <w:rsid w:val="0F612E8B"/>
    <w:rsid w:val="0F66EC7D"/>
    <w:rsid w:val="0F68CDA5"/>
    <w:rsid w:val="0F7625C7"/>
    <w:rsid w:val="0F78AF9D"/>
    <w:rsid w:val="0F7A08BD"/>
    <w:rsid w:val="0F7B5F31"/>
    <w:rsid w:val="0F7E16EA"/>
    <w:rsid w:val="0F7F0046"/>
    <w:rsid w:val="0FA4997B"/>
    <w:rsid w:val="0FAA603E"/>
    <w:rsid w:val="0FB143AB"/>
    <w:rsid w:val="0FC7369C"/>
    <w:rsid w:val="0FCB1D4F"/>
    <w:rsid w:val="0FD45213"/>
    <w:rsid w:val="0FD4E964"/>
    <w:rsid w:val="0FDF86D6"/>
    <w:rsid w:val="0FE338B1"/>
    <w:rsid w:val="0FE79C78"/>
    <w:rsid w:val="0FEC4A77"/>
    <w:rsid w:val="0FEC4B59"/>
    <w:rsid w:val="0FEE9380"/>
    <w:rsid w:val="0FFFEE18"/>
    <w:rsid w:val="100143F4"/>
    <w:rsid w:val="1011DDA7"/>
    <w:rsid w:val="10122AFF"/>
    <w:rsid w:val="101C21DE"/>
    <w:rsid w:val="1020D0E6"/>
    <w:rsid w:val="102B9532"/>
    <w:rsid w:val="10338B7E"/>
    <w:rsid w:val="1047E74A"/>
    <w:rsid w:val="1050A83F"/>
    <w:rsid w:val="10649E3B"/>
    <w:rsid w:val="106610FB"/>
    <w:rsid w:val="106CD6EA"/>
    <w:rsid w:val="10753532"/>
    <w:rsid w:val="10787FF1"/>
    <w:rsid w:val="10870B2B"/>
    <w:rsid w:val="108838BA"/>
    <w:rsid w:val="1089BC80"/>
    <w:rsid w:val="1090AA2F"/>
    <w:rsid w:val="109C607C"/>
    <w:rsid w:val="10A293C1"/>
    <w:rsid w:val="10AB758C"/>
    <w:rsid w:val="10C6FD41"/>
    <w:rsid w:val="10CA6AD9"/>
    <w:rsid w:val="10CD48CD"/>
    <w:rsid w:val="10D223F9"/>
    <w:rsid w:val="10E087BF"/>
    <w:rsid w:val="10E5BD31"/>
    <w:rsid w:val="11000A32"/>
    <w:rsid w:val="11011E53"/>
    <w:rsid w:val="110F734B"/>
    <w:rsid w:val="111795E4"/>
    <w:rsid w:val="111BA485"/>
    <w:rsid w:val="11245B2C"/>
    <w:rsid w:val="112F0F1B"/>
    <w:rsid w:val="11306CD9"/>
    <w:rsid w:val="11328579"/>
    <w:rsid w:val="1133E92C"/>
    <w:rsid w:val="1135DD25"/>
    <w:rsid w:val="11370ECB"/>
    <w:rsid w:val="1138CFEF"/>
    <w:rsid w:val="113B67D6"/>
    <w:rsid w:val="113C4505"/>
    <w:rsid w:val="1141B790"/>
    <w:rsid w:val="1142E8E5"/>
    <w:rsid w:val="114335DE"/>
    <w:rsid w:val="115331D4"/>
    <w:rsid w:val="1153FAFB"/>
    <w:rsid w:val="11557EE0"/>
    <w:rsid w:val="115B210E"/>
    <w:rsid w:val="115CC232"/>
    <w:rsid w:val="115F471E"/>
    <w:rsid w:val="11676BA2"/>
    <w:rsid w:val="1176435E"/>
    <w:rsid w:val="117A52A3"/>
    <w:rsid w:val="11807DF3"/>
    <w:rsid w:val="11839946"/>
    <w:rsid w:val="1184C4B9"/>
    <w:rsid w:val="118897D8"/>
    <w:rsid w:val="118AD642"/>
    <w:rsid w:val="118DA37A"/>
    <w:rsid w:val="118F7DAC"/>
    <w:rsid w:val="119784AD"/>
    <w:rsid w:val="11A88938"/>
    <w:rsid w:val="11A8A4A7"/>
    <w:rsid w:val="11AEBE09"/>
    <w:rsid w:val="11B0667A"/>
    <w:rsid w:val="11C2799A"/>
    <w:rsid w:val="11C4F756"/>
    <w:rsid w:val="11CAB967"/>
    <w:rsid w:val="11CFCBE2"/>
    <w:rsid w:val="11D15B8C"/>
    <w:rsid w:val="11E2E00C"/>
    <w:rsid w:val="11E68EEB"/>
    <w:rsid w:val="11ED0339"/>
    <w:rsid w:val="11F0F900"/>
    <w:rsid w:val="11F2A881"/>
    <w:rsid w:val="11FB4AFF"/>
    <w:rsid w:val="12016D48"/>
    <w:rsid w:val="1208C730"/>
    <w:rsid w:val="1209763C"/>
    <w:rsid w:val="120A4041"/>
    <w:rsid w:val="120E4DF9"/>
    <w:rsid w:val="12181990"/>
    <w:rsid w:val="121AE909"/>
    <w:rsid w:val="1222DECD"/>
    <w:rsid w:val="122F04E8"/>
    <w:rsid w:val="1236BBF7"/>
    <w:rsid w:val="123A0372"/>
    <w:rsid w:val="123E6EF3"/>
    <w:rsid w:val="1243E3EE"/>
    <w:rsid w:val="1257D0EA"/>
    <w:rsid w:val="125DA2C8"/>
    <w:rsid w:val="127A31F3"/>
    <w:rsid w:val="127F2C1C"/>
    <w:rsid w:val="128055DF"/>
    <w:rsid w:val="1280CA66"/>
    <w:rsid w:val="129A7859"/>
    <w:rsid w:val="12A7EFDA"/>
    <w:rsid w:val="12A7F513"/>
    <w:rsid w:val="12B80C31"/>
    <w:rsid w:val="12B97F8E"/>
    <w:rsid w:val="12B98744"/>
    <w:rsid w:val="12BBC6CE"/>
    <w:rsid w:val="12BEB212"/>
    <w:rsid w:val="12C6D893"/>
    <w:rsid w:val="12C6DC41"/>
    <w:rsid w:val="12D20F59"/>
    <w:rsid w:val="12D65E92"/>
    <w:rsid w:val="12DB1EDF"/>
    <w:rsid w:val="12DE4058"/>
    <w:rsid w:val="12E0C8C9"/>
    <w:rsid w:val="12E8D9F5"/>
    <w:rsid w:val="12E93DCA"/>
    <w:rsid w:val="12F6563F"/>
    <w:rsid w:val="12F68221"/>
    <w:rsid w:val="130160E8"/>
    <w:rsid w:val="130B4993"/>
    <w:rsid w:val="130FE448"/>
    <w:rsid w:val="1323CDFC"/>
    <w:rsid w:val="1339ABB2"/>
    <w:rsid w:val="134264D8"/>
    <w:rsid w:val="1342C077"/>
    <w:rsid w:val="1344C29F"/>
    <w:rsid w:val="13483EAD"/>
    <w:rsid w:val="1348DE16"/>
    <w:rsid w:val="134BE82F"/>
    <w:rsid w:val="134C1C41"/>
    <w:rsid w:val="134DC9E4"/>
    <w:rsid w:val="134F9F53"/>
    <w:rsid w:val="13514E44"/>
    <w:rsid w:val="135ABEAA"/>
    <w:rsid w:val="135F5C99"/>
    <w:rsid w:val="13695395"/>
    <w:rsid w:val="1372E479"/>
    <w:rsid w:val="1380A9B6"/>
    <w:rsid w:val="138AD2FA"/>
    <w:rsid w:val="138FFDC6"/>
    <w:rsid w:val="1399B977"/>
    <w:rsid w:val="139A8526"/>
    <w:rsid w:val="139BB97F"/>
    <w:rsid w:val="139DB9AD"/>
    <w:rsid w:val="13A1CD7B"/>
    <w:rsid w:val="13A4A7C5"/>
    <w:rsid w:val="13A83ED9"/>
    <w:rsid w:val="13BAD8E1"/>
    <w:rsid w:val="13BEAB20"/>
    <w:rsid w:val="13C05CB6"/>
    <w:rsid w:val="13D54930"/>
    <w:rsid w:val="13DA0C50"/>
    <w:rsid w:val="13DBF580"/>
    <w:rsid w:val="13E3A043"/>
    <w:rsid w:val="13F28EA6"/>
    <w:rsid w:val="13FF9C74"/>
    <w:rsid w:val="140657DD"/>
    <w:rsid w:val="14081F75"/>
    <w:rsid w:val="140E67C4"/>
    <w:rsid w:val="141631F3"/>
    <w:rsid w:val="141704D2"/>
    <w:rsid w:val="142288F2"/>
    <w:rsid w:val="14238511"/>
    <w:rsid w:val="1426C0BE"/>
    <w:rsid w:val="1427E151"/>
    <w:rsid w:val="143BCC47"/>
    <w:rsid w:val="1443DBD9"/>
    <w:rsid w:val="144624CD"/>
    <w:rsid w:val="14528064"/>
    <w:rsid w:val="145D9E56"/>
    <w:rsid w:val="14604F60"/>
    <w:rsid w:val="1460AA51"/>
    <w:rsid w:val="1476B8BC"/>
    <w:rsid w:val="147E78B9"/>
    <w:rsid w:val="147FFD1D"/>
    <w:rsid w:val="1483DD42"/>
    <w:rsid w:val="14849F22"/>
    <w:rsid w:val="14914BCA"/>
    <w:rsid w:val="1499A3EC"/>
    <w:rsid w:val="149B030D"/>
    <w:rsid w:val="149CEE0B"/>
    <w:rsid w:val="14A8E685"/>
    <w:rsid w:val="14AFCE5B"/>
    <w:rsid w:val="14B7C37C"/>
    <w:rsid w:val="14BE851F"/>
    <w:rsid w:val="14C0DD0E"/>
    <w:rsid w:val="14C310AE"/>
    <w:rsid w:val="14CA0AE9"/>
    <w:rsid w:val="14CC64EE"/>
    <w:rsid w:val="14CDA494"/>
    <w:rsid w:val="14D4D34C"/>
    <w:rsid w:val="14D541DE"/>
    <w:rsid w:val="14D79760"/>
    <w:rsid w:val="14DD940B"/>
    <w:rsid w:val="14E966B5"/>
    <w:rsid w:val="14EF544C"/>
    <w:rsid w:val="14F11D98"/>
    <w:rsid w:val="1500346F"/>
    <w:rsid w:val="1509E3D9"/>
    <w:rsid w:val="1516520C"/>
    <w:rsid w:val="15166D18"/>
    <w:rsid w:val="151CEBB3"/>
    <w:rsid w:val="15207311"/>
    <w:rsid w:val="15223AFF"/>
    <w:rsid w:val="152C8DBB"/>
    <w:rsid w:val="1533B3C3"/>
    <w:rsid w:val="1539E921"/>
    <w:rsid w:val="153F7F62"/>
    <w:rsid w:val="15404EFF"/>
    <w:rsid w:val="154B5548"/>
    <w:rsid w:val="154E7C83"/>
    <w:rsid w:val="1553B581"/>
    <w:rsid w:val="1555966D"/>
    <w:rsid w:val="1556A942"/>
    <w:rsid w:val="155BCC61"/>
    <w:rsid w:val="1560389A"/>
    <w:rsid w:val="15619870"/>
    <w:rsid w:val="15632876"/>
    <w:rsid w:val="15653A1E"/>
    <w:rsid w:val="1565E626"/>
    <w:rsid w:val="156C3BB8"/>
    <w:rsid w:val="15702DB5"/>
    <w:rsid w:val="157278FC"/>
    <w:rsid w:val="1572BD68"/>
    <w:rsid w:val="1577FA53"/>
    <w:rsid w:val="1577FD19"/>
    <w:rsid w:val="15814F08"/>
    <w:rsid w:val="15AAE7AD"/>
    <w:rsid w:val="15BFB703"/>
    <w:rsid w:val="15DCC9FB"/>
    <w:rsid w:val="15E1D224"/>
    <w:rsid w:val="15E3ED6C"/>
    <w:rsid w:val="15E985A9"/>
    <w:rsid w:val="15FA6309"/>
    <w:rsid w:val="15FF7B3E"/>
    <w:rsid w:val="15FFDB37"/>
    <w:rsid w:val="1605E025"/>
    <w:rsid w:val="160F5C86"/>
    <w:rsid w:val="1613DBFB"/>
    <w:rsid w:val="162345BB"/>
    <w:rsid w:val="1630B26B"/>
    <w:rsid w:val="16390CBE"/>
    <w:rsid w:val="16403FEC"/>
    <w:rsid w:val="1642BDAD"/>
    <w:rsid w:val="164455D3"/>
    <w:rsid w:val="1646608F"/>
    <w:rsid w:val="1648758C"/>
    <w:rsid w:val="1648DB1F"/>
    <w:rsid w:val="164E5A7D"/>
    <w:rsid w:val="1651C84D"/>
    <w:rsid w:val="16520046"/>
    <w:rsid w:val="1654240B"/>
    <w:rsid w:val="165A0E46"/>
    <w:rsid w:val="165C532E"/>
    <w:rsid w:val="165F3558"/>
    <w:rsid w:val="166A19A4"/>
    <w:rsid w:val="166A3E79"/>
    <w:rsid w:val="166CC0C2"/>
    <w:rsid w:val="1671FE97"/>
    <w:rsid w:val="167B24AA"/>
    <w:rsid w:val="167B5EC5"/>
    <w:rsid w:val="1682FB73"/>
    <w:rsid w:val="168482BD"/>
    <w:rsid w:val="1691EF27"/>
    <w:rsid w:val="169FA7E7"/>
    <w:rsid w:val="16A41037"/>
    <w:rsid w:val="16A5E746"/>
    <w:rsid w:val="16B1E5E1"/>
    <w:rsid w:val="16B9066A"/>
    <w:rsid w:val="16BFD83E"/>
    <w:rsid w:val="16CF1D0D"/>
    <w:rsid w:val="16E7F271"/>
    <w:rsid w:val="16EBB480"/>
    <w:rsid w:val="16EFCEC3"/>
    <w:rsid w:val="16F0E354"/>
    <w:rsid w:val="16F35306"/>
    <w:rsid w:val="170C7FF6"/>
    <w:rsid w:val="17140446"/>
    <w:rsid w:val="17193FAA"/>
    <w:rsid w:val="171AA8AC"/>
    <w:rsid w:val="171BF85F"/>
    <w:rsid w:val="171C518C"/>
    <w:rsid w:val="171EC715"/>
    <w:rsid w:val="17288A11"/>
    <w:rsid w:val="17361CCD"/>
    <w:rsid w:val="1739FD61"/>
    <w:rsid w:val="173AB5AD"/>
    <w:rsid w:val="173F420C"/>
    <w:rsid w:val="17431ED8"/>
    <w:rsid w:val="1744BFFD"/>
    <w:rsid w:val="1746B80E"/>
    <w:rsid w:val="1748897A"/>
    <w:rsid w:val="174CA751"/>
    <w:rsid w:val="17551173"/>
    <w:rsid w:val="175685D4"/>
    <w:rsid w:val="175B25D3"/>
    <w:rsid w:val="175E169C"/>
    <w:rsid w:val="17612B10"/>
    <w:rsid w:val="17642DF3"/>
    <w:rsid w:val="1770A898"/>
    <w:rsid w:val="1786F0EA"/>
    <w:rsid w:val="178C0A38"/>
    <w:rsid w:val="178DDAC4"/>
    <w:rsid w:val="179C9818"/>
    <w:rsid w:val="179D56A7"/>
    <w:rsid w:val="17A1B219"/>
    <w:rsid w:val="17A49CC1"/>
    <w:rsid w:val="17A5593C"/>
    <w:rsid w:val="17A66CF3"/>
    <w:rsid w:val="17B8D535"/>
    <w:rsid w:val="17BCCF4D"/>
    <w:rsid w:val="17C03BAD"/>
    <w:rsid w:val="17CB9944"/>
    <w:rsid w:val="17D74475"/>
    <w:rsid w:val="17E94C82"/>
    <w:rsid w:val="17EC873F"/>
    <w:rsid w:val="17FC03F3"/>
    <w:rsid w:val="18096ABF"/>
    <w:rsid w:val="181D80D0"/>
    <w:rsid w:val="1825F27E"/>
    <w:rsid w:val="1826EC78"/>
    <w:rsid w:val="1827A7E4"/>
    <w:rsid w:val="18322791"/>
    <w:rsid w:val="183574D4"/>
    <w:rsid w:val="18362D36"/>
    <w:rsid w:val="1837FA41"/>
    <w:rsid w:val="1839B802"/>
    <w:rsid w:val="184034E2"/>
    <w:rsid w:val="1845FBA6"/>
    <w:rsid w:val="1846F5A7"/>
    <w:rsid w:val="18527284"/>
    <w:rsid w:val="1855FB60"/>
    <w:rsid w:val="185AC82E"/>
    <w:rsid w:val="185EA1A2"/>
    <w:rsid w:val="186D4CC3"/>
    <w:rsid w:val="1875F783"/>
    <w:rsid w:val="1878DC69"/>
    <w:rsid w:val="1879C256"/>
    <w:rsid w:val="1881BA95"/>
    <w:rsid w:val="1885096A"/>
    <w:rsid w:val="18A859A9"/>
    <w:rsid w:val="18AC5C9F"/>
    <w:rsid w:val="18B1EBEA"/>
    <w:rsid w:val="18B4A0B0"/>
    <w:rsid w:val="18B4A88E"/>
    <w:rsid w:val="18B722D3"/>
    <w:rsid w:val="18BBB7C0"/>
    <w:rsid w:val="18BE3CD9"/>
    <w:rsid w:val="18C44607"/>
    <w:rsid w:val="18C68B39"/>
    <w:rsid w:val="18D4B695"/>
    <w:rsid w:val="18D910A0"/>
    <w:rsid w:val="18DA2EA7"/>
    <w:rsid w:val="18DD13DC"/>
    <w:rsid w:val="18DDEDFE"/>
    <w:rsid w:val="18DEB69B"/>
    <w:rsid w:val="18EA5E6A"/>
    <w:rsid w:val="18F4E286"/>
    <w:rsid w:val="1906E1E1"/>
    <w:rsid w:val="190E2558"/>
    <w:rsid w:val="1911910C"/>
    <w:rsid w:val="19181EC4"/>
    <w:rsid w:val="191DC3D5"/>
    <w:rsid w:val="19207EBF"/>
    <w:rsid w:val="19234F7D"/>
    <w:rsid w:val="192673EA"/>
    <w:rsid w:val="192CC731"/>
    <w:rsid w:val="1935C1A4"/>
    <w:rsid w:val="19458EFE"/>
    <w:rsid w:val="1947A6E6"/>
    <w:rsid w:val="19489C07"/>
    <w:rsid w:val="195D9FA5"/>
    <w:rsid w:val="1972438B"/>
    <w:rsid w:val="19883D04"/>
    <w:rsid w:val="198A76CB"/>
    <w:rsid w:val="198B0D61"/>
    <w:rsid w:val="19979FF9"/>
    <w:rsid w:val="19AF16A6"/>
    <w:rsid w:val="19BBCBF6"/>
    <w:rsid w:val="19BDD3BC"/>
    <w:rsid w:val="19BF13A8"/>
    <w:rsid w:val="19C4A34E"/>
    <w:rsid w:val="19C66994"/>
    <w:rsid w:val="19E1071C"/>
    <w:rsid w:val="19E53B1D"/>
    <w:rsid w:val="19E55294"/>
    <w:rsid w:val="19ED401A"/>
    <w:rsid w:val="19EF50F8"/>
    <w:rsid w:val="19F86F2D"/>
    <w:rsid w:val="19FD02B4"/>
    <w:rsid w:val="1A04033D"/>
    <w:rsid w:val="1A11C7E4"/>
    <w:rsid w:val="1A1AD514"/>
    <w:rsid w:val="1A30D51D"/>
    <w:rsid w:val="1A325935"/>
    <w:rsid w:val="1A32F5BF"/>
    <w:rsid w:val="1A33B4DE"/>
    <w:rsid w:val="1A392CA4"/>
    <w:rsid w:val="1A4752BD"/>
    <w:rsid w:val="1A4ABC94"/>
    <w:rsid w:val="1A5DCE89"/>
    <w:rsid w:val="1A71D021"/>
    <w:rsid w:val="1A7267A0"/>
    <w:rsid w:val="1A76A05C"/>
    <w:rsid w:val="1A77ECAE"/>
    <w:rsid w:val="1A78C094"/>
    <w:rsid w:val="1A7FFACF"/>
    <w:rsid w:val="1A804435"/>
    <w:rsid w:val="1A8315D4"/>
    <w:rsid w:val="1A83DD01"/>
    <w:rsid w:val="1A8E6A75"/>
    <w:rsid w:val="1A972B91"/>
    <w:rsid w:val="1A9B81EC"/>
    <w:rsid w:val="1A9FD0C1"/>
    <w:rsid w:val="1AAD616D"/>
    <w:rsid w:val="1ABB2CC1"/>
    <w:rsid w:val="1AC47417"/>
    <w:rsid w:val="1ACFE162"/>
    <w:rsid w:val="1AD029E0"/>
    <w:rsid w:val="1AD50990"/>
    <w:rsid w:val="1ADCE40D"/>
    <w:rsid w:val="1ADEDEBD"/>
    <w:rsid w:val="1AE1456F"/>
    <w:rsid w:val="1AE6FD87"/>
    <w:rsid w:val="1AE9523D"/>
    <w:rsid w:val="1AEDFF70"/>
    <w:rsid w:val="1AF26223"/>
    <w:rsid w:val="1AF82BCD"/>
    <w:rsid w:val="1B042361"/>
    <w:rsid w:val="1B05E662"/>
    <w:rsid w:val="1B0945A9"/>
    <w:rsid w:val="1B0B7143"/>
    <w:rsid w:val="1B0F1022"/>
    <w:rsid w:val="1B1ABA14"/>
    <w:rsid w:val="1B21768E"/>
    <w:rsid w:val="1B222FC3"/>
    <w:rsid w:val="1B2C94A6"/>
    <w:rsid w:val="1B2F3E45"/>
    <w:rsid w:val="1B2FC063"/>
    <w:rsid w:val="1B39ECA3"/>
    <w:rsid w:val="1B3B807E"/>
    <w:rsid w:val="1B3DAF9C"/>
    <w:rsid w:val="1B4E4106"/>
    <w:rsid w:val="1B5869B6"/>
    <w:rsid w:val="1B592E63"/>
    <w:rsid w:val="1B6017CB"/>
    <w:rsid w:val="1B633845"/>
    <w:rsid w:val="1B64592F"/>
    <w:rsid w:val="1B65DE7E"/>
    <w:rsid w:val="1B6AAA4F"/>
    <w:rsid w:val="1B765F50"/>
    <w:rsid w:val="1B7ACE6F"/>
    <w:rsid w:val="1B8349E8"/>
    <w:rsid w:val="1B842FE1"/>
    <w:rsid w:val="1B862BE5"/>
    <w:rsid w:val="1B8CD5F3"/>
    <w:rsid w:val="1B9D13C0"/>
    <w:rsid w:val="1BA30970"/>
    <w:rsid w:val="1BA99DCB"/>
    <w:rsid w:val="1BAC7CA2"/>
    <w:rsid w:val="1BB1031A"/>
    <w:rsid w:val="1BB38F30"/>
    <w:rsid w:val="1BB4AFEF"/>
    <w:rsid w:val="1BB5E9FA"/>
    <w:rsid w:val="1BB6E72B"/>
    <w:rsid w:val="1BB8DD80"/>
    <w:rsid w:val="1BBA6C27"/>
    <w:rsid w:val="1BC48556"/>
    <w:rsid w:val="1BC9BEDA"/>
    <w:rsid w:val="1BCFF2C9"/>
    <w:rsid w:val="1BD73596"/>
    <w:rsid w:val="1BDD40DF"/>
    <w:rsid w:val="1BE7D9B8"/>
    <w:rsid w:val="1C011D1D"/>
    <w:rsid w:val="1C0E756A"/>
    <w:rsid w:val="1C10B319"/>
    <w:rsid w:val="1C192E3A"/>
    <w:rsid w:val="1C19D8F5"/>
    <w:rsid w:val="1C2C8F91"/>
    <w:rsid w:val="1C3B26C8"/>
    <w:rsid w:val="1C3F1A1B"/>
    <w:rsid w:val="1C3FEF00"/>
    <w:rsid w:val="1C413E3F"/>
    <w:rsid w:val="1C45C61A"/>
    <w:rsid w:val="1C4CE119"/>
    <w:rsid w:val="1C541C8D"/>
    <w:rsid w:val="1C590BC6"/>
    <w:rsid w:val="1C5D5F05"/>
    <w:rsid w:val="1C5DF87A"/>
    <w:rsid w:val="1C6040CE"/>
    <w:rsid w:val="1C64E07B"/>
    <w:rsid w:val="1C6E9F5F"/>
    <w:rsid w:val="1C71BDA3"/>
    <w:rsid w:val="1C7750C4"/>
    <w:rsid w:val="1C798232"/>
    <w:rsid w:val="1C870C5F"/>
    <w:rsid w:val="1C885435"/>
    <w:rsid w:val="1C8986A8"/>
    <w:rsid w:val="1C9FF3EF"/>
    <w:rsid w:val="1CA0855C"/>
    <w:rsid w:val="1CA307C2"/>
    <w:rsid w:val="1CA6934A"/>
    <w:rsid w:val="1CB9ADB9"/>
    <w:rsid w:val="1CBD482A"/>
    <w:rsid w:val="1CC77229"/>
    <w:rsid w:val="1CCE0725"/>
    <w:rsid w:val="1CD1F7D7"/>
    <w:rsid w:val="1CD2A64B"/>
    <w:rsid w:val="1CDF082D"/>
    <w:rsid w:val="1CE45DF9"/>
    <w:rsid w:val="1CEF46E5"/>
    <w:rsid w:val="1CF35A6B"/>
    <w:rsid w:val="1CF9B835"/>
    <w:rsid w:val="1CFC585E"/>
    <w:rsid w:val="1CFEA481"/>
    <w:rsid w:val="1D0E263F"/>
    <w:rsid w:val="1D1086B8"/>
    <w:rsid w:val="1D1F3A89"/>
    <w:rsid w:val="1D203700"/>
    <w:rsid w:val="1D237786"/>
    <w:rsid w:val="1D25D477"/>
    <w:rsid w:val="1D2A7945"/>
    <w:rsid w:val="1D34DAC5"/>
    <w:rsid w:val="1D41E15C"/>
    <w:rsid w:val="1D43BDC7"/>
    <w:rsid w:val="1D441E35"/>
    <w:rsid w:val="1D476F6D"/>
    <w:rsid w:val="1D48F1DE"/>
    <w:rsid w:val="1D51106B"/>
    <w:rsid w:val="1D562947"/>
    <w:rsid w:val="1D59DBF2"/>
    <w:rsid w:val="1D67D6A4"/>
    <w:rsid w:val="1D769993"/>
    <w:rsid w:val="1D82AA66"/>
    <w:rsid w:val="1D82E647"/>
    <w:rsid w:val="1D89958A"/>
    <w:rsid w:val="1D95AF20"/>
    <w:rsid w:val="1D97141F"/>
    <w:rsid w:val="1DA970EA"/>
    <w:rsid w:val="1DB0E866"/>
    <w:rsid w:val="1DCD4859"/>
    <w:rsid w:val="1DCE9344"/>
    <w:rsid w:val="1DD263D1"/>
    <w:rsid w:val="1DD45EB7"/>
    <w:rsid w:val="1DDB4A4E"/>
    <w:rsid w:val="1DDEAA44"/>
    <w:rsid w:val="1DDF6E8A"/>
    <w:rsid w:val="1DDFCC98"/>
    <w:rsid w:val="1DFE4C82"/>
    <w:rsid w:val="1DFFC8A2"/>
    <w:rsid w:val="1DFFDDB0"/>
    <w:rsid w:val="1E0A40BE"/>
    <w:rsid w:val="1E181B3C"/>
    <w:rsid w:val="1E2149A7"/>
    <w:rsid w:val="1E279445"/>
    <w:rsid w:val="1E32DAC4"/>
    <w:rsid w:val="1E373651"/>
    <w:rsid w:val="1E444343"/>
    <w:rsid w:val="1E5CEE3D"/>
    <w:rsid w:val="1E5F22C2"/>
    <w:rsid w:val="1E675B33"/>
    <w:rsid w:val="1E6FDC4C"/>
    <w:rsid w:val="1E83A1BB"/>
    <w:rsid w:val="1E85889B"/>
    <w:rsid w:val="1E88AC14"/>
    <w:rsid w:val="1E93740B"/>
    <w:rsid w:val="1E9AD9B0"/>
    <w:rsid w:val="1EA3380A"/>
    <w:rsid w:val="1EA42968"/>
    <w:rsid w:val="1EAC7F6F"/>
    <w:rsid w:val="1EB1630A"/>
    <w:rsid w:val="1EB1FA38"/>
    <w:rsid w:val="1EB4020D"/>
    <w:rsid w:val="1EB6CB79"/>
    <w:rsid w:val="1EBDBBE5"/>
    <w:rsid w:val="1EC7BD03"/>
    <w:rsid w:val="1EDAE632"/>
    <w:rsid w:val="1EE33FCE"/>
    <w:rsid w:val="1EEC50B1"/>
    <w:rsid w:val="1EED981C"/>
    <w:rsid w:val="1F0D6EA2"/>
    <w:rsid w:val="1F26CE27"/>
    <w:rsid w:val="1F2CC567"/>
    <w:rsid w:val="1F2D6276"/>
    <w:rsid w:val="1F2E1AE5"/>
    <w:rsid w:val="1F35198A"/>
    <w:rsid w:val="1F42E71E"/>
    <w:rsid w:val="1F4A3979"/>
    <w:rsid w:val="1F4C8894"/>
    <w:rsid w:val="1F51D13D"/>
    <w:rsid w:val="1F60D74F"/>
    <w:rsid w:val="1F6F9353"/>
    <w:rsid w:val="1F6FA908"/>
    <w:rsid w:val="1F764966"/>
    <w:rsid w:val="1F77184D"/>
    <w:rsid w:val="1F876F54"/>
    <w:rsid w:val="1F89DE2B"/>
    <w:rsid w:val="1F8DB465"/>
    <w:rsid w:val="1F900996"/>
    <w:rsid w:val="1F936D6E"/>
    <w:rsid w:val="1F9A5930"/>
    <w:rsid w:val="1F9D8030"/>
    <w:rsid w:val="1FA247BD"/>
    <w:rsid w:val="1FAA38AA"/>
    <w:rsid w:val="1FB820A9"/>
    <w:rsid w:val="1FBC599E"/>
    <w:rsid w:val="1FC48DE0"/>
    <w:rsid w:val="1FD306B2"/>
    <w:rsid w:val="1FD59015"/>
    <w:rsid w:val="1FE2CE1B"/>
    <w:rsid w:val="1FE7A193"/>
    <w:rsid w:val="1FF1FAD5"/>
    <w:rsid w:val="2001C143"/>
    <w:rsid w:val="2008BC9D"/>
    <w:rsid w:val="20146E1B"/>
    <w:rsid w:val="2016697C"/>
    <w:rsid w:val="2017A04A"/>
    <w:rsid w:val="2019D61A"/>
    <w:rsid w:val="2024D93E"/>
    <w:rsid w:val="203888BB"/>
    <w:rsid w:val="204D7197"/>
    <w:rsid w:val="204DC50B"/>
    <w:rsid w:val="204E5BD6"/>
    <w:rsid w:val="20661856"/>
    <w:rsid w:val="206CFA85"/>
    <w:rsid w:val="206F39B7"/>
    <w:rsid w:val="2071BDE2"/>
    <w:rsid w:val="207B1420"/>
    <w:rsid w:val="2082B0E0"/>
    <w:rsid w:val="208C01F7"/>
    <w:rsid w:val="209CE7BE"/>
    <w:rsid w:val="20AD8680"/>
    <w:rsid w:val="20BC5779"/>
    <w:rsid w:val="20BCF172"/>
    <w:rsid w:val="20BD02FE"/>
    <w:rsid w:val="20C8FA88"/>
    <w:rsid w:val="20C9846D"/>
    <w:rsid w:val="20CB4EE1"/>
    <w:rsid w:val="20CCC05C"/>
    <w:rsid w:val="20D793B5"/>
    <w:rsid w:val="20EF8AF7"/>
    <w:rsid w:val="20F6D108"/>
    <w:rsid w:val="20FA604E"/>
    <w:rsid w:val="20FC9C1D"/>
    <w:rsid w:val="20FD3247"/>
    <w:rsid w:val="20FEDC75"/>
    <w:rsid w:val="20FFF792"/>
    <w:rsid w:val="2115D47B"/>
    <w:rsid w:val="21220BDB"/>
    <w:rsid w:val="21230131"/>
    <w:rsid w:val="212513C6"/>
    <w:rsid w:val="212B77A6"/>
    <w:rsid w:val="21340A1D"/>
    <w:rsid w:val="21378A99"/>
    <w:rsid w:val="213F6B64"/>
    <w:rsid w:val="214AA541"/>
    <w:rsid w:val="214ABC29"/>
    <w:rsid w:val="21509DA5"/>
    <w:rsid w:val="2157CC75"/>
    <w:rsid w:val="21631F45"/>
    <w:rsid w:val="216C7CE7"/>
    <w:rsid w:val="216CA16C"/>
    <w:rsid w:val="216ED713"/>
    <w:rsid w:val="21747FAC"/>
    <w:rsid w:val="2176A552"/>
    <w:rsid w:val="2177B392"/>
    <w:rsid w:val="217CE2A3"/>
    <w:rsid w:val="2188BA73"/>
    <w:rsid w:val="2189C8C0"/>
    <w:rsid w:val="218B7791"/>
    <w:rsid w:val="2191CE49"/>
    <w:rsid w:val="21938254"/>
    <w:rsid w:val="21A6B3F4"/>
    <w:rsid w:val="21B056F6"/>
    <w:rsid w:val="21BD7535"/>
    <w:rsid w:val="21BDB4C0"/>
    <w:rsid w:val="21BEE432"/>
    <w:rsid w:val="21BF5FFC"/>
    <w:rsid w:val="21D73D17"/>
    <w:rsid w:val="21E235DE"/>
    <w:rsid w:val="21E4FC32"/>
    <w:rsid w:val="21E6180C"/>
    <w:rsid w:val="21F47D47"/>
    <w:rsid w:val="21FA634C"/>
    <w:rsid w:val="21FB5ABC"/>
    <w:rsid w:val="2209D220"/>
    <w:rsid w:val="221CF906"/>
    <w:rsid w:val="22206EE7"/>
    <w:rsid w:val="222D2578"/>
    <w:rsid w:val="222DDACE"/>
    <w:rsid w:val="222EA2FC"/>
    <w:rsid w:val="22300CDE"/>
    <w:rsid w:val="2231B7BB"/>
    <w:rsid w:val="2247092D"/>
    <w:rsid w:val="2247C610"/>
    <w:rsid w:val="2247D4F6"/>
    <w:rsid w:val="224EBA8B"/>
    <w:rsid w:val="225F3648"/>
    <w:rsid w:val="226493D9"/>
    <w:rsid w:val="226A3ADD"/>
    <w:rsid w:val="2276843F"/>
    <w:rsid w:val="228A8BA6"/>
    <w:rsid w:val="2293FEDD"/>
    <w:rsid w:val="22A0235A"/>
    <w:rsid w:val="22A053AA"/>
    <w:rsid w:val="22AF7F22"/>
    <w:rsid w:val="22B60A9C"/>
    <w:rsid w:val="22B738A5"/>
    <w:rsid w:val="22C265DC"/>
    <w:rsid w:val="22C3E6DC"/>
    <w:rsid w:val="22C713DB"/>
    <w:rsid w:val="22CCB266"/>
    <w:rsid w:val="22D12B16"/>
    <w:rsid w:val="22D520C7"/>
    <w:rsid w:val="22E448F8"/>
    <w:rsid w:val="22E74B6F"/>
    <w:rsid w:val="22EC96EF"/>
    <w:rsid w:val="22EE6CE4"/>
    <w:rsid w:val="22EFC2EA"/>
    <w:rsid w:val="22F3F5EA"/>
    <w:rsid w:val="22F68454"/>
    <w:rsid w:val="22FDDBAE"/>
    <w:rsid w:val="2301BC0E"/>
    <w:rsid w:val="2301C268"/>
    <w:rsid w:val="23021116"/>
    <w:rsid w:val="2304E78D"/>
    <w:rsid w:val="230B3939"/>
    <w:rsid w:val="230ED635"/>
    <w:rsid w:val="231152F2"/>
    <w:rsid w:val="23182263"/>
    <w:rsid w:val="231E9687"/>
    <w:rsid w:val="232FB935"/>
    <w:rsid w:val="2330A63F"/>
    <w:rsid w:val="2340576A"/>
    <w:rsid w:val="2340CD80"/>
    <w:rsid w:val="234F0AC1"/>
    <w:rsid w:val="23610404"/>
    <w:rsid w:val="23620246"/>
    <w:rsid w:val="23621560"/>
    <w:rsid w:val="2368C83C"/>
    <w:rsid w:val="236906C7"/>
    <w:rsid w:val="2370CE6D"/>
    <w:rsid w:val="238BEFBA"/>
    <w:rsid w:val="239B7CE6"/>
    <w:rsid w:val="23D6862D"/>
    <w:rsid w:val="23E2A207"/>
    <w:rsid w:val="23E67043"/>
    <w:rsid w:val="23F036F9"/>
    <w:rsid w:val="23F10395"/>
    <w:rsid w:val="23FB8F3A"/>
    <w:rsid w:val="23FE8889"/>
    <w:rsid w:val="24027042"/>
    <w:rsid w:val="240445D1"/>
    <w:rsid w:val="24116D3B"/>
    <w:rsid w:val="2418BB04"/>
    <w:rsid w:val="241B9AB0"/>
    <w:rsid w:val="242D1494"/>
    <w:rsid w:val="24305DF6"/>
    <w:rsid w:val="24331453"/>
    <w:rsid w:val="244E1DA4"/>
    <w:rsid w:val="2453FED0"/>
    <w:rsid w:val="245AF3FF"/>
    <w:rsid w:val="2462570F"/>
    <w:rsid w:val="246A6BD6"/>
    <w:rsid w:val="246DD7A2"/>
    <w:rsid w:val="246E0FDA"/>
    <w:rsid w:val="247022EB"/>
    <w:rsid w:val="2471E209"/>
    <w:rsid w:val="2478C1F0"/>
    <w:rsid w:val="2488A1C2"/>
    <w:rsid w:val="249D5EF5"/>
    <w:rsid w:val="24A6C8C8"/>
    <w:rsid w:val="24ABE145"/>
    <w:rsid w:val="24AC533F"/>
    <w:rsid w:val="24B1F93F"/>
    <w:rsid w:val="24B2FEF8"/>
    <w:rsid w:val="24BD245D"/>
    <w:rsid w:val="24BDE6D9"/>
    <w:rsid w:val="24C47951"/>
    <w:rsid w:val="24C83A4A"/>
    <w:rsid w:val="24CCC3E9"/>
    <w:rsid w:val="24CD98B1"/>
    <w:rsid w:val="24D60F24"/>
    <w:rsid w:val="24D9B300"/>
    <w:rsid w:val="24D9DEE7"/>
    <w:rsid w:val="24DC9F03"/>
    <w:rsid w:val="24E0C250"/>
    <w:rsid w:val="24E25C92"/>
    <w:rsid w:val="24E3FE61"/>
    <w:rsid w:val="24EA19F2"/>
    <w:rsid w:val="24F25021"/>
    <w:rsid w:val="24F7B734"/>
    <w:rsid w:val="2509BC98"/>
    <w:rsid w:val="250CEACA"/>
    <w:rsid w:val="25130C3E"/>
    <w:rsid w:val="25160116"/>
    <w:rsid w:val="25228E24"/>
    <w:rsid w:val="2534CE0F"/>
    <w:rsid w:val="25489D11"/>
    <w:rsid w:val="254C6DBE"/>
    <w:rsid w:val="254E8543"/>
    <w:rsid w:val="2563B13A"/>
    <w:rsid w:val="256AE616"/>
    <w:rsid w:val="256BDCB1"/>
    <w:rsid w:val="25840660"/>
    <w:rsid w:val="25878FE5"/>
    <w:rsid w:val="259D20DA"/>
    <w:rsid w:val="259DA9CA"/>
    <w:rsid w:val="25A07570"/>
    <w:rsid w:val="25A42DC2"/>
    <w:rsid w:val="25ADC534"/>
    <w:rsid w:val="25B93875"/>
    <w:rsid w:val="25CB50FF"/>
    <w:rsid w:val="25CBE432"/>
    <w:rsid w:val="25CDFC09"/>
    <w:rsid w:val="25CE11AE"/>
    <w:rsid w:val="25D7FDCE"/>
    <w:rsid w:val="25EF17F5"/>
    <w:rsid w:val="25F1C96E"/>
    <w:rsid w:val="25F22AFA"/>
    <w:rsid w:val="25F2CF7E"/>
    <w:rsid w:val="25FABCBA"/>
    <w:rsid w:val="25FC7EDD"/>
    <w:rsid w:val="26054D71"/>
    <w:rsid w:val="260BBFF5"/>
    <w:rsid w:val="261281C7"/>
    <w:rsid w:val="2615D8B0"/>
    <w:rsid w:val="261F481F"/>
    <w:rsid w:val="26276F30"/>
    <w:rsid w:val="262BE3F5"/>
    <w:rsid w:val="262FD781"/>
    <w:rsid w:val="2633179E"/>
    <w:rsid w:val="263886F8"/>
    <w:rsid w:val="264FF8CD"/>
    <w:rsid w:val="26596648"/>
    <w:rsid w:val="265C0DB1"/>
    <w:rsid w:val="26701D5F"/>
    <w:rsid w:val="2674C713"/>
    <w:rsid w:val="2675493F"/>
    <w:rsid w:val="2689E5A5"/>
    <w:rsid w:val="26929D92"/>
    <w:rsid w:val="2693F000"/>
    <w:rsid w:val="2697D439"/>
    <w:rsid w:val="269F7077"/>
    <w:rsid w:val="26A2BCF0"/>
    <w:rsid w:val="26AEBB44"/>
    <w:rsid w:val="26C00220"/>
    <w:rsid w:val="26C93C2F"/>
    <w:rsid w:val="26CF1042"/>
    <w:rsid w:val="26D5C882"/>
    <w:rsid w:val="26D9D6CB"/>
    <w:rsid w:val="26DD5808"/>
    <w:rsid w:val="26EBA91A"/>
    <w:rsid w:val="26F9CFAD"/>
    <w:rsid w:val="2700FE8B"/>
    <w:rsid w:val="2711AA9D"/>
    <w:rsid w:val="27129182"/>
    <w:rsid w:val="2716C8BD"/>
    <w:rsid w:val="271F3F26"/>
    <w:rsid w:val="2721C217"/>
    <w:rsid w:val="2724FA81"/>
    <w:rsid w:val="27259899"/>
    <w:rsid w:val="273077D0"/>
    <w:rsid w:val="2730FFA8"/>
    <w:rsid w:val="273DF459"/>
    <w:rsid w:val="27450A22"/>
    <w:rsid w:val="2750CF67"/>
    <w:rsid w:val="275ECEE9"/>
    <w:rsid w:val="276190C0"/>
    <w:rsid w:val="27649C59"/>
    <w:rsid w:val="2773FE1F"/>
    <w:rsid w:val="27766CB3"/>
    <w:rsid w:val="27785C37"/>
    <w:rsid w:val="277D11FD"/>
    <w:rsid w:val="27835D8E"/>
    <w:rsid w:val="278418AE"/>
    <w:rsid w:val="27858464"/>
    <w:rsid w:val="2786EFAC"/>
    <w:rsid w:val="2787F224"/>
    <w:rsid w:val="278A0518"/>
    <w:rsid w:val="278A8B63"/>
    <w:rsid w:val="2791C102"/>
    <w:rsid w:val="27A961F5"/>
    <w:rsid w:val="27B4AD0E"/>
    <w:rsid w:val="27BEA9EB"/>
    <w:rsid w:val="27C498A2"/>
    <w:rsid w:val="27C79329"/>
    <w:rsid w:val="27D6CFB1"/>
    <w:rsid w:val="27E3B408"/>
    <w:rsid w:val="27E6061D"/>
    <w:rsid w:val="27E7C23C"/>
    <w:rsid w:val="27ED542F"/>
    <w:rsid w:val="27EEDB13"/>
    <w:rsid w:val="27FC6060"/>
    <w:rsid w:val="27FD1B63"/>
    <w:rsid w:val="28024662"/>
    <w:rsid w:val="2806B5B7"/>
    <w:rsid w:val="281F47DD"/>
    <w:rsid w:val="28204134"/>
    <w:rsid w:val="28226679"/>
    <w:rsid w:val="2836AECB"/>
    <w:rsid w:val="28384B95"/>
    <w:rsid w:val="283A25E8"/>
    <w:rsid w:val="284554F3"/>
    <w:rsid w:val="284A4655"/>
    <w:rsid w:val="2850B29A"/>
    <w:rsid w:val="28510ABC"/>
    <w:rsid w:val="2859688A"/>
    <w:rsid w:val="285AE453"/>
    <w:rsid w:val="2862E2C5"/>
    <w:rsid w:val="28673339"/>
    <w:rsid w:val="2869E484"/>
    <w:rsid w:val="28769912"/>
    <w:rsid w:val="287E2673"/>
    <w:rsid w:val="2881FE2B"/>
    <w:rsid w:val="2889860F"/>
    <w:rsid w:val="288BC2BA"/>
    <w:rsid w:val="288BE9F6"/>
    <w:rsid w:val="288DFC7A"/>
    <w:rsid w:val="288E192B"/>
    <w:rsid w:val="289A5281"/>
    <w:rsid w:val="289C0931"/>
    <w:rsid w:val="289F4AAF"/>
    <w:rsid w:val="28A8CBCC"/>
    <w:rsid w:val="28B3AF8D"/>
    <w:rsid w:val="28B46FBF"/>
    <w:rsid w:val="28CA279A"/>
    <w:rsid w:val="28CB3E94"/>
    <w:rsid w:val="28CD5FF5"/>
    <w:rsid w:val="28CE9B79"/>
    <w:rsid w:val="28D166AF"/>
    <w:rsid w:val="28D1B4CF"/>
    <w:rsid w:val="28E90C43"/>
    <w:rsid w:val="28F4CE81"/>
    <w:rsid w:val="28FFD19D"/>
    <w:rsid w:val="29078195"/>
    <w:rsid w:val="291496B7"/>
    <w:rsid w:val="291B493E"/>
    <w:rsid w:val="291BC323"/>
    <w:rsid w:val="291C83C6"/>
    <w:rsid w:val="29259F23"/>
    <w:rsid w:val="29307411"/>
    <w:rsid w:val="295B655B"/>
    <w:rsid w:val="295CC204"/>
    <w:rsid w:val="295CCEAA"/>
    <w:rsid w:val="296BDFFD"/>
    <w:rsid w:val="296F78CB"/>
    <w:rsid w:val="29717565"/>
    <w:rsid w:val="2976214F"/>
    <w:rsid w:val="2977C045"/>
    <w:rsid w:val="298078DA"/>
    <w:rsid w:val="29821765"/>
    <w:rsid w:val="298AC8AA"/>
    <w:rsid w:val="298AD393"/>
    <w:rsid w:val="29922F88"/>
    <w:rsid w:val="29931155"/>
    <w:rsid w:val="299592C0"/>
    <w:rsid w:val="299A03E2"/>
    <w:rsid w:val="299F9ADE"/>
    <w:rsid w:val="29A3E6ED"/>
    <w:rsid w:val="29AAFF2F"/>
    <w:rsid w:val="29AB463F"/>
    <w:rsid w:val="29B2D18B"/>
    <w:rsid w:val="29BAC303"/>
    <w:rsid w:val="29BE36D7"/>
    <w:rsid w:val="29C4F8BA"/>
    <w:rsid w:val="29D76D19"/>
    <w:rsid w:val="29E644A7"/>
    <w:rsid w:val="29FB38F5"/>
    <w:rsid w:val="29FD6B57"/>
    <w:rsid w:val="29FFE0D2"/>
    <w:rsid w:val="2A05CFD6"/>
    <w:rsid w:val="2A065205"/>
    <w:rsid w:val="2A0AE407"/>
    <w:rsid w:val="2A135758"/>
    <w:rsid w:val="2A154961"/>
    <w:rsid w:val="2A2ADC5C"/>
    <w:rsid w:val="2A3B4C4F"/>
    <w:rsid w:val="2A3B5ADD"/>
    <w:rsid w:val="2A3BFE0F"/>
    <w:rsid w:val="2A48DB0E"/>
    <w:rsid w:val="2A49D9FD"/>
    <w:rsid w:val="2A4B7E9B"/>
    <w:rsid w:val="2A4E80F6"/>
    <w:rsid w:val="2A542410"/>
    <w:rsid w:val="2A54882D"/>
    <w:rsid w:val="2A5E7888"/>
    <w:rsid w:val="2A6A11CB"/>
    <w:rsid w:val="2A746EDA"/>
    <w:rsid w:val="2A75CDAE"/>
    <w:rsid w:val="2A76C2BC"/>
    <w:rsid w:val="2A8DFA95"/>
    <w:rsid w:val="2A9C83F9"/>
    <w:rsid w:val="2AB32074"/>
    <w:rsid w:val="2ABCBC09"/>
    <w:rsid w:val="2AC961C4"/>
    <w:rsid w:val="2ADE25B8"/>
    <w:rsid w:val="2ADEEAA2"/>
    <w:rsid w:val="2AE3F0DF"/>
    <w:rsid w:val="2AEE6470"/>
    <w:rsid w:val="2AF458BD"/>
    <w:rsid w:val="2AF6B18B"/>
    <w:rsid w:val="2AFCF833"/>
    <w:rsid w:val="2B0419F5"/>
    <w:rsid w:val="2B043D4C"/>
    <w:rsid w:val="2B06A317"/>
    <w:rsid w:val="2B0FE313"/>
    <w:rsid w:val="2B171C66"/>
    <w:rsid w:val="2B1914ED"/>
    <w:rsid w:val="2B19F345"/>
    <w:rsid w:val="2B1C0DC0"/>
    <w:rsid w:val="2B22C64B"/>
    <w:rsid w:val="2B3019F8"/>
    <w:rsid w:val="2B31E4CD"/>
    <w:rsid w:val="2B33A4A4"/>
    <w:rsid w:val="2B36A17B"/>
    <w:rsid w:val="2B3ACFC4"/>
    <w:rsid w:val="2B3B0935"/>
    <w:rsid w:val="2B42752C"/>
    <w:rsid w:val="2B4A1042"/>
    <w:rsid w:val="2B4C4F6E"/>
    <w:rsid w:val="2B5232EA"/>
    <w:rsid w:val="2B69BD69"/>
    <w:rsid w:val="2B6B6988"/>
    <w:rsid w:val="2B6C2B2F"/>
    <w:rsid w:val="2B7364B8"/>
    <w:rsid w:val="2B826B29"/>
    <w:rsid w:val="2B8FA079"/>
    <w:rsid w:val="2B99AE68"/>
    <w:rsid w:val="2B9E272A"/>
    <w:rsid w:val="2B9E900A"/>
    <w:rsid w:val="2BA63F29"/>
    <w:rsid w:val="2BAB441D"/>
    <w:rsid w:val="2BADB813"/>
    <w:rsid w:val="2BB15325"/>
    <w:rsid w:val="2BB73323"/>
    <w:rsid w:val="2BC10697"/>
    <w:rsid w:val="2BC274CC"/>
    <w:rsid w:val="2BC9AEFB"/>
    <w:rsid w:val="2BCAD7DA"/>
    <w:rsid w:val="2BD5A5C7"/>
    <w:rsid w:val="2BEC98E2"/>
    <w:rsid w:val="2BF5EE28"/>
    <w:rsid w:val="2BF84175"/>
    <w:rsid w:val="2BF92D47"/>
    <w:rsid w:val="2C116A2B"/>
    <w:rsid w:val="2C15F6D6"/>
    <w:rsid w:val="2C1F4C3F"/>
    <w:rsid w:val="2C2706B4"/>
    <w:rsid w:val="2C2B597A"/>
    <w:rsid w:val="2C2D352A"/>
    <w:rsid w:val="2C3452FD"/>
    <w:rsid w:val="2C3DB733"/>
    <w:rsid w:val="2C4EE4F1"/>
    <w:rsid w:val="2C570EE5"/>
    <w:rsid w:val="2C5C2766"/>
    <w:rsid w:val="2C5DD95F"/>
    <w:rsid w:val="2C5EEA34"/>
    <w:rsid w:val="2C5F49A5"/>
    <w:rsid w:val="2C5FE3AB"/>
    <w:rsid w:val="2C64E25A"/>
    <w:rsid w:val="2C87772A"/>
    <w:rsid w:val="2C8955B4"/>
    <w:rsid w:val="2C8CA65A"/>
    <w:rsid w:val="2C8FFAE3"/>
    <w:rsid w:val="2C9CEC85"/>
    <w:rsid w:val="2C9E56A5"/>
    <w:rsid w:val="2C9FF39D"/>
    <w:rsid w:val="2CA26749"/>
    <w:rsid w:val="2CA56401"/>
    <w:rsid w:val="2CA9BA5B"/>
    <w:rsid w:val="2CAA8A21"/>
    <w:rsid w:val="2CAE0DD8"/>
    <w:rsid w:val="2CAEEBB9"/>
    <w:rsid w:val="2CB0223A"/>
    <w:rsid w:val="2CB189BA"/>
    <w:rsid w:val="2CBE9C35"/>
    <w:rsid w:val="2CC2D3BA"/>
    <w:rsid w:val="2CD73C44"/>
    <w:rsid w:val="2CDA0C57"/>
    <w:rsid w:val="2CE1943B"/>
    <w:rsid w:val="2CF5206B"/>
    <w:rsid w:val="2D002551"/>
    <w:rsid w:val="2D00D1C6"/>
    <w:rsid w:val="2D0532DB"/>
    <w:rsid w:val="2D05D2C2"/>
    <w:rsid w:val="2D06BBAE"/>
    <w:rsid w:val="2D08C4AE"/>
    <w:rsid w:val="2D0CDF1F"/>
    <w:rsid w:val="2D176739"/>
    <w:rsid w:val="2D20673C"/>
    <w:rsid w:val="2D29789C"/>
    <w:rsid w:val="2D2A2D25"/>
    <w:rsid w:val="2D3000B4"/>
    <w:rsid w:val="2D306479"/>
    <w:rsid w:val="2D567EC1"/>
    <w:rsid w:val="2D5DF351"/>
    <w:rsid w:val="2D69D191"/>
    <w:rsid w:val="2D71A2AF"/>
    <w:rsid w:val="2D7282E7"/>
    <w:rsid w:val="2D72FC9A"/>
    <w:rsid w:val="2D7FC72A"/>
    <w:rsid w:val="2D822325"/>
    <w:rsid w:val="2D8C2450"/>
    <w:rsid w:val="2D924DE5"/>
    <w:rsid w:val="2D94E833"/>
    <w:rsid w:val="2DAC3BCA"/>
    <w:rsid w:val="2DAFE9A5"/>
    <w:rsid w:val="2DB36592"/>
    <w:rsid w:val="2DB5CA4A"/>
    <w:rsid w:val="2DBB1CA0"/>
    <w:rsid w:val="2DC24A5C"/>
    <w:rsid w:val="2DC79DBB"/>
    <w:rsid w:val="2DC7F179"/>
    <w:rsid w:val="2DD35393"/>
    <w:rsid w:val="2DD40AE2"/>
    <w:rsid w:val="2DD9DE40"/>
    <w:rsid w:val="2DDABA7E"/>
    <w:rsid w:val="2DDBCBE6"/>
    <w:rsid w:val="2DDF6697"/>
    <w:rsid w:val="2DDF8F92"/>
    <w:rsid w:val="2DEA31CC"/>
    <w:rsid w:val="2DF40762"/>
    <w:rsid w:val="2DF47FBC"/>
    <w:rsid w:val="2DF745E2"/>
    <w:rsid w:val="2DFBC7C7"/>
    <w:rsid w:val="2DFCDA37"/>
    <w:rsid w:val="2DFE5949"/>
    <w:rsid w:val="2E07AD68"/>
    <w:rsid w:val="2E09D973"/>
    <w:rsid w:val="2E12EF34"/>
    <w:rsid w:val="2E1A69E1"/>
    <w:rsid w:val="2E272383"/>
    <w:rsid w:val="2E280DA2"/>
    <w:rsid w:val="2E2E575F"/>
    <w:rsid w:val="2E336D9B"/>
    <w:rsid w:val="2E457A9F"/>
    <w:rsid w:val="2E45DF6D"/>
    <w:rsid w:val="2E51B644"/>
    <w:rsid w:val="2E641EE3"/>
    <w:rsid w:val="2E64ED92"/>
    <w:rsid w:val="2E66FBFB"/>
    <w:rsid w:val="2E6C4C8C"/>
    <w:rsid w:val="2E6F9528"/>
    <w:rsid w:val="2E752F15"/>
    <w:rsid w:val="2E83A014"/>
    <w:rsid w:val="2E883E99"/>
    <w:rsid w:val="2E8AA89F"/>
    <w:rsid w:val="2E941DF0"/>
    <w:rsid w:val="2E9542AF"/>
    <w:rsid w:val="2E9613CF"/>
    <w:rsid w:val="2EA6EEF0"/>
    <w:rsid w:val="2EA8D1C2"/>
    <w:rsid w:val="2EA9A164"/>
    <w:rsid w:val="2EAF8BAC"/>
    <w:rsid w:val="2EB8C4EF"/>
    <w:rsid w:val="2EB95BD4"/>
    <w:rsid w:val="2EB9CBF5"/>
    <w:rsid w:val="2EBB039C"/>
    <w:rsid w:val="2EC23851"/>
    <w:rsid w:val="2EC653C2"/>
    <w:rsid w:val="2ECC57C5"/>
    <w:rsid w:val="2ECF1F81"/>
    <w:rsid w:val="2ED65A28"/>
    <w:rsid w:val="2F003B6B"/>
    <w:rsid w:val="2F060050"/>
    <w:rsid w:val="2F06F334"/>
    <w:rsid w:val="2F12E65A"/>
    <w:rsid w:val="2F143BBA"/>
    <w:rsid w:val="2F145E8A"/>
    <w:rsid w:val="2F184F06"/>
    <w:rsid w:val="2F1BE777"/>
    <w:rsid w:val="2F1EF324"/>
    <w:rsid w:val="2F1F0C6D"/>
    <w:rsid w:val="2F27F4B1"/>
    <w:rsid w:val="2F367D30"/>
    <w:rsid w:val="2F4827AF"/>
    <w:rsid w:val="2F554326"/>
    <w:rsid w:val="2F5EF0EA"/>
    <w:rsid w:val="2F5FD118"/>
    <w:rsid w:val="2F6175DE"/>
    <w:rsid w:val="2F64A155"/>
    <w:rsid w:val="2F68BB61"/>
    <w:rsid w:val="2F68F126"/>
    <w:rsid w:val="2F6BEC8D"/>
    <w:rsid w:val="2F732BB1"/>
    <w:rsid w:val="2F7C9FEF"/>
    <w:rsid w:val="2F7FC83F"/>
    <w:rsid w:val="2F836E1C"/>
    <w:rsid w:val="2F839E49"/>
    <w:rsid w:val="2F919268"/>
    <w:rsid w:val="2F937E9F"/>
    <w:rsid w:val="2F9779A9"/>
    <w:rsid w:val="2F9BC590"/>
    <w:rsid w:val="2FAFCAA1"/>
    <w:rsid w:val="2FB7E5EE"/>
    <w:rsid w:val="2FBA2671"/>
    <w:rsid w:val="2FC02DCD"/>
    <w:rsid w:val="2FC95D77"/>
    <w:rsid w:val="2FD48CA3"/>
    <w:rsid w:val="2FD5ABB3"/>
    <w:rsid w:val="2FD792C8"/>
    <w:rsid w:val="2FDD631C"/>
    <w:rsid w:val="2FDF5B30"/>
    <w:rsid w:val="2FE2F513"/>
    <w:rsid w:val="2FE7BB7F"/>
    <w:rsid w:val="2FE7EB3F"/>
    <w:rsid w:val="2FED268B"/>
    <w:rsid w:val="2FEE49E8"/>
    <w:rsid w:val="2FEEBBB7"/>
    <w:rsid w:val="2FF0A288"/>
    <w:rsid w:val="2FF6376E"/>
    <w:rsid w:val="3000E2CD"/>
    <w:rsid w:val="30038A86"/>
    <w:rsid w:val="301139AC"/>
    <w:rsid w:val="301B58F6"/>
    <w:rsid w:val="302B96DE"/>
    <w:rsid w:val="3032943E"/>
    <w:rsid w:val="30386D6B"/>
    <w:rsid w:val="304188CD"/>
    <w:rsid w:val="30512453"/>
    <w:rsid w:val="305C1053"/>
    <w:rsid w:val="30601D18"/>
    <w:rsid w:val="30641102"/>
    <w:rsid w:val="30646535"/>
    <w:rsid w:val="3069FE74"/>
    <w:rsid w:val="306E1394"/>
    <w:rsid w:val="3070B60C"/>
    <w:rsid w:val="307191D2"/>
    <w:rsid w:val="30771EA1"/>
    <w:rsid w:val="3077CA4F"/>
    <w:rsid w:val="3079AEB7"/>
    <w:rsid w:val="30812AB4"/>
    <w:rsid w:val="30850F2F"/>
    <w:rsid w:val="308864B2"/>
    <w:rsid w:val="3088CCDA"/>
    <w:rsid w:val="3093CC5B"/>
    <w:rsid w:val="3097DA3B"/>
    <w:rsid w:val="30992705"/>
    <w:rsid w:val="309E8333"/>
    <w:rsid w:val="309F474C"/>
    <w:rsid w:val="30A71054"/>
    <w:rsid w:val="30B29EC0"/>
    <w:rsid w:val="30B8DC5A"/>
    <w:rsid w:val="30BDB7E2"/>
    <w:rsid w:val="30BED917"/>
    <w:rsid w:val="30C533E2"/>
    <w:rsid w:val="30C57961"/>
    <w:rsid w:val="30D0A511"/>
    <w:rsid w:val="30D3FF6A"/>
    <w:rsid w:val="30D5FE98"/>
    <w:rsid w:val="30E2D023"/>
    <w:rsid w:val="30E8BD6C"/>
    <w:rsid w:val="310A14A6"/>
    <w:rsid w:val="310A9B5C"/>
    <w:rsid w:val="31129361"/>
    <w:rsid w:val="31210CC7"/>
    <w:rsid w:val="312CC42E"/>
    <w:rsid w:val="313DECEC"/>
    <w:rsid w:val="313F2C55"/>
    <w:rsid w:val="314090CE"/>
    <w:rsid w:val="3141254E"/>
    <w:rsid w:val="31644BA8"/>
    <w:rsid w:val="3165E457"/>
    <w:rsid w:val="316E64C6"/>
    <w:rsid w:val="3173C006"/>
    <w:rsid w:val="317431BC"/>
    <w:rsid w:val="3180AA75"/>
    <w:rsid w:val="319CA896"/>
    <w:rsid w:val="31AA226D"/>
    <w:rsid w:val="31CB589D"/>
    <w:rsid w:val="31D7369F"/>
    <w:rsid w:val="31E1895A"/>
    <w:rsid w:val="31E52B91"/>
    <w:rsid w:val="31E5D264"/>
    <w:rsid w:val="31EBFF20"/>
    <w:rsid w:val="31F0D20C"/>
    <w:rsid w:val="31F0F400"/>
    <w:rsid w:val="31F10B16"/>
    <w:rsid w:val="31F1D518"/>
    <w:rsid w:val="3202FA4D"/>
    <w:rsid w:val="3203D543"/>
    <w:rsid w:val="3204C1C7"/>
    <w:rsid w:val="3208830A"/>
    <w:rsid w:val="3208CB09"/>
    <w:rsid w:val="320BA8AA"/>
    <w:rsid w:val="320D1569"/>
    <w:rsid w:val="321B7896"/>
    <w:rsid w:val="321F5BC0"/>
    <w:rsid w:val="32251797"/>
    <w:rsid w:val="322A05A3"/>
    <w:rsid w:val="3231152B"/>
    <w:rsid w:val="323E1F49"/>
    <w:rsid w:val="324BF9E4"/>
    <w:rsid w:val="32529924"/>
    <w:rsid w:val="32537830"/>
    <w:rsid w:val="3256320E"/>
    <w:rsid w:val="3257A26B"/>
    <w:rsid w:val="3267CEBD"/>
    <w:rsid w:val="32782FA1"/>
    <w:rsid w:val="32869D59"/>
    <w:rsid w:val="32996393"/>
    <w:rsid w:val="32A3DC3B"/>
    <w:rsid w:val="32A541FC"/>
    <w:rsid w:val="32AAADF8"/>
    <w:rsid w:val="32B1DE8F"/>
    <w:rsid w:val="32B645CE"/>
    <w:rsid w:val="32C49A84"/>
    <w:rsid w:val="32CCF8ED"/>
    <w:rsid w:val="32D0A7B3"/>
    <w:rsid w:val="32D8D1A7"/>
    <w:rsid w:val="32D8E723"/>
    <w:rsid w:val="32E99209"/>
    <w:rsid w:val="32EC4CF2"/>
    <w:rsid w:val="32FDEB34"/>
    <w:rsid w:val="33154493"/>
    <w:rsid w:val="33231AD3"/>
    <w:rsid w:val="3326C7E4"/>
    <w:rsid w:val="332E7AE7"/>
    <w:rsid w:val="3330C312"/>
    <w:rsid w:val="333C4DC8"/>
    <w:rsid w:val="333DBA4D"/>
    <w:rsid w:val="3342CB47"/>
    <w:rsid w:val="3344B69C"/>
    <w:rsid w:val="33478A38"/>
    <w:rsid w:val="334DE109"/>
    <w:rsid w:val="33638C5E"/>
    <w:rsid w:val="337C95F3"/>
    <w:rsid w:val="33831A04"/>
    <w:rsid w:val="3386D160"/>
    <w:rsid w:val="338AC4D9"/>
    <w:rsid w:val="338F8F65"/>
    <w:rsid w:val="3393B65F"/>
    <w:rsid w:val="3395478D"/>
    <w:rsid w:val="3398589E"/>
    <w:rsid w:val="339EA73F"/>
    <w:rsid w:val="33A19F36"/>
    <w:rsid w:val="33A2BE46"/>
    <w:rsid w:val="33A3DDFC"/>
    <w:rsid w:val="33A84094"/>
    <w:rsid w:val="33B190A5"/>
    <w:rsid w:val="33BAE17B"/>
    <w:rsid w:val="33BD9F83"/>
    <w:rsid w:val="33BFB8D1"/>
    <w:rsid w:val="33C1AE9C"/>
    <w:rsid w:val="33C8D8AC"/>
    <w:rsid w:val="33CBB728"/>
    <w:rsid w:val="33CC96CD"/>
    <w:rsid w:val="33E31660"/>
    <w:rsid w:val="33E45B36"/>
    <w:rsid w:val="33F0220F"/>
    <w:rsid w:val="33F18417"/>
    <w:rsid w:val="3402F59B"/>
    <w:rsid w:val="340BE3B3"/>
    <w:rsid w:val="3416758C"/>
    <w:rsid w:val="3420620E"/>
    <w:rsid w:val="3421AE0E"/>
    <w:rsid w:val="34233803"/>
    <w:rsid w:val="342FDDEA"/>
    <w:rsid w:val="34311DA7"/>
    <w:rsid w:val="344B45AE"/>
    <w:rsid w:val="344D14CF"/>
    <w:rsid w:val="3452798A"/>
    <w:rsid w:val="345D321B"/>
    <w:rsid w:val="345E1325"/>
    <w:rsid w:val="346926A4"/>
    <w:rsid w:val="3472CE3D"/>
    <w:rsid w:val="3472E0E8"/>
    <w:rsid w:val="347A6737"/>
    <w:rsid w:val="348991FB"/>
    <w:rsid w:val="348A7929"/>
    <w:rsid w:val="348EA5E7"/>
    <w:rsid w:val="34951D76"/>
    <w:rsid w:val="3495992F"/>
    <w:rsid w:val="34996BB6"/>
    <w:rsid w:val="34BACD16"/>
    <w:rsid w:val="34D33A54"/>
    <w:rsid w:val="34D9AB5C"/>
    <w:rsid w:val="34DC4C0E"/>
    <w:rsid w:val="34DD0AC4"/>
    <w:rsid w:val="34DFA630"/>
    <w:rsid w:val="34FDEEC9"/>
    <w:rsid w:val="35161919"/>
    <w:rsid w:val="35203EFE"/>
    <w:rsid w:val="352BA0DC"/>
    <w:rsid w:val="35351C09"/>
    <w:rsid w:val="35358807"/>
    <w:rsid w:val="3535B1FE"/>
    <w:rsid w:val="35390954"/>
    <w:rsid w:val="3539675B"/>
    <w:rsid w:val="3539B287"/>
    <w:rsid w:val="353A741D"/>
    <w:rsid w:val="353B6AEC"/>
    <w:rsid w:val="353BCC20"/>
    <w:rsid w:val="353EB5E5"/>
    <w:rsid w:val="354A9B38"/>
    <w:rsid w:val="355F4DF0"/>
    <w:rsid w:val="355FE9BB"/>
    <w:rsid w:val="35692E49"/>
    <w:rsid w:val="356B3AF6"/>
    <w:rsid w:val="356B9BF2"/>
    <w:rsid w:val="357004DD"/>
    <w:rsid w:val="35734675"/>
    <w:rsid w:val="3576B6E7"/>
    <w:rsid w:val="3577E3B5"/>
    <w:rsid w:val="3579E188"/>
    <w:rsid w:val="35865B78"/>
    <w:rsid w:val="3589B0E8"/>
    <w:rsid w:val="358BBF51"/>
    <w:rsid w:val="3590082B"/>
    <w:rsid w:val="359866BA"/>
    <w:rsid w:val="35A66618"/>
    <w:rsid w:val="35AC56E2"/>
    <w:rsid w:val="35B13611"/>
    <w:rsid w:val="35B4FFCF"/>
    <w:rsid w:val="35C88987"/>
    <w:rsid w:val="35CC69D9"/>
    <w:rsid w:val="35D569CC"/>
    <w:rsid w:val="35EB5B58"/>
    <w:rsid w:val="35FBE93D"/>
    <w:rsid w:val="35FCDC16"/>
    <w:rsid w:val="3602EA7F"/>
    <w:rsid w:val="36031882"/>
    <w:rsid w:val="360F96A3"/>
    <w:rsid w:val="3620903A"/>
    <w:rsid w:val="362BA2E4"/>
    <w:rsid w:val="36348B24"/>
    <w:rsid w:val="3639D65E"/>
    <w:rsid w:val="36408C81"/>
    <w:rsid w:val="3649C45A"/>
    <w:rsid w:val="364DC136"/>
    <w:rsid w:val="365C8633"/>
    <w:rsid w:val="3662CA0C"/>
    <w:rsid w:val="36682518"/>
    <w:rsid w:val="366B8A68"/>
    <w:rsid w:val="367F4210"/>
    <w:rsid w:val="368014C6"/>
    <w:rsid w:val="36872C37"/>
    <w:rsid w:val="36896A4C"/>
    <w:rsid w:val="36999FEC"/>
    <w:rsid w:val="36A0949F"/>
    <w:rsid w:val="36AECC43"/>
    <w:rsid w:val="36B41F6E"/>
    <w:rsid w:val="36C0BFCB"/>
    <w:rsid w:val="36C354DB"/>
    <w:rsid w:val="36C5DAC6"/>
    <w:rsid w:val="36C60CCA"/>
    <w:rsid w:val="36C704ED"/>
    <w:rsid w:val="36D3D343"/>
    <w:rsid w:val="36EF8098"/>
    <w:rsid w:val="3701C0B3"/>
    <w:rsid w:val="3703D4E9"/>
    <w:rsid w:val="37059144"/>
    <w:rsid w:val="3708548D"/>
    <w:rsid w:val="370866F4"/>
    <w:rsid w:val="370E110B"/>
    <w:rsid w:val="371210CB"/>
    <w:rsid w:val="371895DF"/>
    <w:rsid w:val="3718ED22"/>
    <w:rsid w:val="37197D2B"/>
    <w:rsid w:val="373F631A"/>
    <w:rsid w:val="3742D25C"/>
    <w:rsid w:val="37458BA1"/>
    <w:rsid w:val="37471225"/>
    <w:rsid w:val="3748E7A8"/>
    <w:rsid w:val="374F45EE"/>
    <w:rsid w:val="374FF3DC"/>
    <w:rsid w:val="375323E1"/>
    <w:rsid w:val="37600E60"/>
    <w:rsid w:val="376202A5"/>
    <w:rsid w:val="376C9B28"/>
    <w:rsid w:val="3772C536"/>
    <w:rsid w:val="37753CFB"/>
    <w:rsid w:val="37760A70"/>
    <w:rsid w:val="3776BE63"/>
    <w:rsid w:val="37795E47"/>
    <w:rsid w:val="37796B5A"/>
    <w:rsid w:val="37840E11"/>
    <w:rsid w:val="378A0AEB"/>
    <w:rsid w:val="378A4A79"/>
    <w:rsid w:val="378F197A"/>
    <w:rsid w:val="37923D0E"/>
    <w:rsid w:val="3794BDE4"/>
    <w:rsid w:val="37AADE5B"/>
    <w:rsid w:val="37B08171"/>
    <w:rsid w:val="37B21508"/>
    <w:rsid w:val="37B817AF"/>
    <w:rsid w:val="37BE6262"/>
    <w:rsid w:val="37E28834"/>
    <w:rsid w:val="37E64FFC"/>
    <w:rsid w:val="37E76A20"/>
    <w:rsid w:val="37ED05CD"/>
    <w:rsid w:val="37EEE95C"/>
    <w:rsid w:val="37F06F70"/>
    <w:rsid w:val="37F2494C"/>
    <w:rsid w:val="37F2778E"/>
    <w:rsid w:val="380402BE"/>
    <w:rsid w:val="380CCE1F"/>
    <w:rsid w:val="380E3D0D"/>
    <w:rsid w:val="380E4E94"/>
    <w:rsid w:val="3816BC91"/>
    <w:rsid w:val="38190C3C"/>
    <w:rsid w:val="381AEB87"/>
    <w:rsid w:val="381E046A"/>
    <w:rsid w:val="382167D4"/>
    <w:rsid w:val="3821A87A"/>
    <w:rsid w:val="3827FE94"/>
    <w:rsid w:val="383FA632"/>
    <w:rsid w:val="383FBDC6"/>
    <w:rsid w:val="38464462"/>
    <w:rsid w:val="385DF744"/>
    <w:rsid w:val="3863FCA7"/>
    <w:rsid w:val="38691A97"/>
    <w:rsid w:val="387745E7"/>
    <w:rsid w:val="3885B3B8"/>
    <w:rsid w:val="389702C9"/>
    <w:rsid w:val="389728C4"/>
    <w:rsid w:val="389BCA96"/>
    <w:rsid w:val="389C30EC"/>
    <w:rsid w:val="38A43755"/>
    <w:rsid w:val="38A44C31"/>
    <w:rsid w:val="38A59E37"/>
    <w:rsid w:val="38AAB4CF"/>
    <w:rsid w:val="38AADA43"/>
    <w:rsid w:val="38BD001B"/>
    <w:rsid w:val="38BD9C20"/>
    <w:rsid w:val="38D11BF4"/>
    <w:rsid w:val="38D2981A"/>
    <w:rsid w:val="38D97DE8"/>
    <w:rsid w:val="38DE073B"/>
    <w:rsid w:val="38E063A0"/>
    <w:rsid w:val="38E90882"/>
    <w:rsid w:val="38EB40ED"/>
    <w:rsid w:val="38F11466"/>
    <w:rsid w:val="38F2BD96"/>
    <w:rsid w:val="38F471E1"/>
    <w:rsid w:val="38F8E6A9"/>
    <w:rsid w:val="38FAE85C"/>
    <w:rsid w:val="38FB0A45"/>
    <w:rsid w:val="38FB1FB0"/>
    <w:rsid w:val="38FF7671"/>
    <w:rsid w:val="3901BB76"/>
    <w:rsid w:val="390905F1"/>
    <w:rsid w:val="39097530"/>
    <w:rsid w:val="390EEFA6"/>
    <w:rsid w:val="391896DC"/>
    <w:rsid w:val="3919B9EF"/>
    <w:rsid w:val="391DDF58"/>
    <w:rsid w:val="39232DF4"/>
    <w:rsid w:val="392635F6"/>
    <w:rsid w:val="392A2332"/>
    <w:rsid w:val="392B257D"/>
    <w:rsid w:val="39327A56"/>
    <w:rsid w:val="39368496"/>
    <w:rsid w:val="393D3FAE"/>
    <w:rsid w:val="393E3CE4"/>
    <w:rsid w:val="394678A6"/>
    <w:rsid w:val="394900F3"/>
    <w:rsid w:val="394CAAFF"/>
    <w:rsid w:val="3952569E"/>
    <w:rsid w:val="3954010D"/>
    <w:rsid w:val="395B78F7"/>
    <w:rsid w:val="3960E5D4"/>
    <w:rsid w:val="396EEA43"/>
    <w:rsid w:val="397C5090"/>
    <w:rsid w:val="397F1DAF"/>
    <w:rsid w:val="3983F157"/>
    <w:rsid w:val="39A188B6"/>
    <w:rsid w:val="39AAA3B4"/>
    <w:rsid w:val="39AFCA2D"/>
    <w:rsid w:val="39B996B2"/>
    <w:rsid w:val="39BE6D9A"/>
    <w:rsid w:val="39BF4413"/>
    <w:rsid w:val="39C592E6"/>
    <w:rsid w:val="39C68460"/>
    <w:rsid w:val="39CA7925"/>
    <w:rsid w:val="39CEF4CD"/>
    <w:rsid w:val="39D31882"/>
    <w:rsid w:val="39D853D5"/>
    <w:rsid w:val="39DB47FB"/>
    <w:rsid w:val="39E20561"/>
    <w:rsid w:val="39E4E1F5"/>
    <w:rsid w:val="39F01230"/>
    <w:rsid w:val="39F179EE"/>
    <w:rsid w:val="39FEA2A7"/>
    <w:rsid w:val="3A0C8994"/>
    <w:rsid w:val="3A11E24C"/>
    <w:rsid w:val="3A1E296C"/>
    <w:rsid w:val="3A2328DA"/>
    <w:rsid w:val="3A28275D"/>
    <w:rsid w:val="3A299437"/>
    <w:rsid w:val="3A29C162"/>
    <w:rsid w:val="3A2EA393"/>
    <w:rsid w:val="3A2F233B"/>
    <w:rsid w:val="3A32F50F"/>
    <w:rsid w:val="3A393AD5"/>
    <w:rsid w:val="3A3ADD67"/>
    <w:rsid w:val="3A3D523E"/>
    <w:rsid w:val="3A49798D"/>
    <w:rsid w:val="3A53A57D"/>
    <w:rsid w:val="3A570892"/>
    <w:rsid w:val="3A598340"/>
    <w:rsid w:val="3A5DC41B"/>
    <w:rsid w:val="3A66AE03"/>
    <w:rsid w:val="3A6F31DC"/>
    <w:rsid w:val="3A765500"/>
    <w:rsid w:val="3A78E34E"/>
    <w:rsid w:val="3A8779AC"/>
    <w:rsid w:val="3A8D1C43"/>
    <w:rsid w:val="3A9070A3"/>
    <w:rsid w:val="3A957A25"/>
    <w:rsid w:val="3A9E496A"/>
    <w:rsid w:val="3AA1FD76"/>
    <w:rsid w:val="3AA642AB"/>
    <w:rsid w:val="3AA78BFA"/>
    <w:rsid w:val="3AAEB9F7"/>
    <w:rsid w:val="3AB53064"/>
    <w:rsid w:val="3AB6F5EA"/>
    <w:rsid w:val="3AB83C38"/>
    <w:rsid w:val="3AB93345"/>
    <w:rsid w:val="3AC57B30"/>
    <w:rsid w:val="3ACB2DDC"/>
    <w:rsid w:val="3AD50740"/>
    <w:rsid w:val="3AD63E12"/>
    <w:rsid w:val="3AD72AEF"/>
    <w:rsid w:val="3AD7A530"/>
    <w:rsid w:val="3ADE2AD3"/>
    <w:rsid w:val="3ADF858E"/>
    <w:rsid w:val="3AE370FB"/>
    <w:rsid w:val="3AE7C331"/>
    <w:rsid w:val="3AE7E616"/>
    <w:rsid w:val="3AF2F4D6"/>
    <w:rsid w:val="3AFD7D8C"/>
    <w:rsid w:val="3B09C78F"/>
    <w:rsid w:val="3B0D332A"/>
    <w:rsid w:val="3B1715F1"/>
    <w:rsid w:val="3B1F0256"/>
    <w:rsid w:val="3B30723F"/>
    <w:rsid w:val="3B33CAA9"/>
    <w:rsid w:val="3B35312C"/>
    <w:rsid w:val="3B3C5525"/>
    <w:rsid w:val="3B47320B"/>
    <w:rsid w:val="3B58AA64"/>
    <w:rsid w:val="3B600AF1"/>
    <w:rsid w:val="3B60A1EE"/>
    <w:rsid w:val="3B76043A"/>
    <w:rsid w:val="3BA15655"/>
    <w:rsid w:val="3BAE0AA0"/>
    <w:rsid w:val="3BB22DE4"/>
    <w:rsid w:val="3BBA9562"/>
    <w:rsid w:val="3BC09E99"/>
    <w:rsid w:val="3BC28B04"/>
    <w:rsid w:val="3BE0C1FA"/>
    <w:rsid w:val="3BEDEA6D"/>
    <w:rsid w:val="3C1DA71A"/>
    <w:rsid w:val="3C240A0D"/>
    <w:rsid w:val="3C24E8D5"/>
    <w:rsid w:val="3C3009E4"/>
    <w:rsid w:val="3C3200C1"/>
    <w:rsid w:val="3C3DF40C"/>
    <w:rsid w:val="3C418457"/>
    <w:rsid w:val="3C420FAE"/>
    <w:rsid w:val="3C4989F5"/>
    <w:rsid w:val="3C4E758D"/>
    <w:rsid w:val="3C551350"/>
    <w:rsid w:val="3C55816B"/>
    <w:rsid w:val="3C5628C1"/>
    <w:rsid w:val="3C8A16EA"/>
    <w:rsid w:val="3C8AA768"/>
    <w:rsid w:val="3C8C50BA"/>
    <w:rsid w:val="3CA36852"/>
    <w:rsid w:val="3CA6E460"/>
    <w:rsid w:val="3CAA5E11"/>
    <w:rsid w:val="3CAD15DE"/>
    <w:rsid w:val="3CAED1E6"/>
    <w:rsid w:val="3CB15D2C"/>
    <w:rsid w:val="3CC07871"/>
    <w:rsid w:val="3CC37F9F"/>
    <w:rsid w:val="3CC81C5E"/>
    <w:rsid w:val="3CD1F679"/>
    <w:rsid w:val="3CD62BF8"/>
    <w:rsid w:val="3CD67198"/>
    <w:rsid w:val="3CD77A31"/>
    <w:rsid w:val="3CD91CAB"/>
    <w:rsid w:val="3CDA567A"/>
    <w:rsid w:val="3CE0866E"/>
    <w:rsid w:val="3CE9DAAA"/>
    <w:rsid w:val="3CF17F4B"/>
    <w:rsid w:val="3CF67625"/>
    <w:rsid w:val="3CF7ACC9"/>
    <w:rsid w:val="3D00E493"/>
    <w:rsid w:val="3D020BBA"/>
    <w:rsid w:val="3D029046"/>
    <w:rsid w:val="3D06E807"/>
    <w:rsid w:val="3D0FDDD0"/>
    <w:rsid w:val="3D13B48A"/>
    <w:rsid w:val="3D1E8E12"/>
    <w:rsid w:val="3D2531A5"/>
    <w:rsid w:val="3D38B892"/>
    <w:rsid w:val="3D3B10EC"/>
    <w:rsid w:val="3D3B2C70"/>
    <w:rsid w:val="3D3DF673"/>
    <w:rsid w:val="3D500A93"/>
    <w:rsid w:val="3D5BFAD5"/>
    <w:rsid w:val="3D5D0F5A"/>
    <w:rsid w:val="3D5D17C5"/>
    <w:rsid w:val="3D5F700C"/>
    <w:rsid w:val="3D601E25"/>
    <w:rsid w:val="3D73A8B6"/>
    <w:rsid w:val="3D7DA9FB"/>
    <w:rsid w:val="3D98DCF2"/>
    <w:rsid w:val="3DB05149"/>
    <w:rsid w:val="3DB6E2FB"/>
    <w:rsid w:val="3DB8D276"/>
    <w:rsid w:val="3DC74AC6"/>
    <w:rsid w:val="3DDD54B8"/>
    <w:rsid w:val="3DE0E1B5"/>
    <w:rsid w:val="3DE17C3E"/>
    <w:rsid w:val="3DECA8ED"/>
    <w:rsid w:val="3DEFAA29"/>
    <w:rsid w:val="3DF63FCC"/>
    <w:rsid w:val="3DFE9952"/>
    <w:rsid w:val="3E007C42"/>
    <w:rsid w:val="3E0592FF"/>
    <w:rsid w:val="3E06ED9F"/>
    <w:rsid w:val="3E0721CB"/>
    <w:rsid w:val="3E07AE2E"/>
    <w:rsid w:val="3E198913"/>
    <w:rsid w:val="3E1B3A06"/>
    <w:rsid w:val="3E24FCCB"/>
    <w:rsid w:val="3E2CF975"/>
    <w:rsid w:val="3E3307C5"/>
    <w:rsid w:val="3E334052"/>
    <w:rsid w:val="3E3C1D3F"/>
    <w:rsid w:val="3E414D97"/>
    <w:rsid w:val="3E425E5A"/>
    <w:rsid w:val="3E426A92"/>
    <w:rsid w:val="3E488A93"/>
    <w:rsid w:val="3E491E77"/>
    <w:rsid w:val="3E4FD7DE"/>
    <w:rsid w:val="3E51F943"/>
    <w:rsid w:val="3E52E795"/>
    <w:rsid w:val="3E57627A"/>
    <w:rsid w:val="3E669A57"/>
    <w:rsid w:val="3E69161B"/>
    <w:rsid w:val="3E6F1318"/>
    <w:rsid w:val="3E7046A5"/>
    <w:rsid w:val="3E816BD2"/>
    <w:rsid w:val="3E8204AC"/>
    <w:rsid w:val="3E84E02D"/>
    <w:rsid w:val="3E86C507"/>
    <w:rsid w:val="3E877FA6"/>
    <w:rsid w:val="3E87F7CB"/>
    <w:rsid w:val="3E88983E"/>
    <w:rsid w:val="3E9281D6"/>
    <w:rsid w:val="3E95D01B"/>
    <w:rsid w:val="3E9AF5D3"/>
    <w:rsid w:val="3EB7A620"/>
    <w:rsid w:val="3EBC7B89"/>
    <w:rsid w:val="3EC5512B"/>
    <w:rsid w:val="3ED91170"/>
    <w:rsid w:val="3EE3ADD9"/>
    <w:rsid w:val="3EE55728"/>
    <w:rsid w:val="3EE65D62"/>
    <w:rsid w:val="3EE6DCA0"/>
    <w:rsid w:val="3EED8519"/>
    <w:rsid w:val="3EF8C9F4"/>
    <w:rsid w:val="3EF9D1BD"/>
    <w:rsid w:val="3EFABA2B"/>
    <w:rsid w:val="3EFD2E4A"/>
    <w:rsid w:val="3F029D61"/>
    <w:rsid w:val="3F1256F8"/>
    <w:rsid w:val="3F13B330"/>
    <w:rsid w:val="3F25A6B3"/>
    <w:rsid w:val="3F2B5451"/>
    <w:rsid w:val="3F2BD882"/>
    <w:rsid w:val="3F2D0AED"/>
    <w:rsid w:val="3F2F0851"/>
    <w:rsid w:val="3F3AF3EB"/>
    <w:rsid w:val="3F3BB522"/>
    <w:rsid w:val="3F4C063A"/>
    <w:rsid w:val="3F501F17"/>
    <w:rsid w:val="3F514E85"/>
    <w:rsid w:val="3F53CDF6"/>
    <w:rsid w:val="3F570877"/>
    <w:rsid w:val="3F700976"/>
    <w:rsid w:val="3F72962F"/>
    <w:rsid w:val="3F77F1A7"/>
    <w:rsid w:val="3F792519"/>
    <w:rsid w:val="3F7A9090"/>
    <w:rsid w:val="3F7E96DB"/>
    <w:rsid w:val="3F7F5B70"/>
    <w:rsid w:val="3F858226"/>
    <w:rsid w:val="3F89756D"/>
    <w:rsid w:val="3F8CF5E0"/>
    <w:rsid w:val="3F99CB9C"/>
    <w:rsid w:val="3F9E9AD0"/>
    <w:rsid w:val="3FB00B9D"/>
    <w:rsid w:val="3FB326E5"/>
    <w:rsid w:val="3FB87F2B"/>
    <w:rsid w:val="3FC9863C"/>
    <w:rsid w:val="3FCF8CEE"/>
    <w:rsid w:val="3FDE5D05"/>
    <w:rsid w:val="3FE1A06C"/>
    <w:rsid w:val="3FF5C24C"/>
    <w:rsid w:val="3FFCCB9F"/>
    <w:rsid w:val="3FFDF88C"/>
    <w:rsid w:val="40087405"/>
    <w:rsid w:val="4009BB00"/>
    <w:rsid w:val="400F592F"/>
    <w:rsid w:val="40116075"/>
    <w:rsid w:val="401347F1"/>
    <w:rsid w:val="4013C696"/>
    <w:rsid w:val="4022F8EF"/>
    <w:rsid w:val="4028338A"/>
    <w:rsid w:val="40392331"/>
    <w:rsid w:val="4048901D"/>
    <w:rsid w:val="4053D034"/>
    <w:rsid w:val="4058C1E9"/>
    <w:rsid w:val="405F5785"/>
    <w:rsid w:val="406099A3"/>
    <w:rsid w:val="4061B69B"/>
    <w:rsid w:val="406D5C66"/>
    <w:rsid w:val="406FBBE5"/>
    <w:rsid w:val="40740B49"/>
    <w:rsid w:val="407DF31B"/>
    <w:rsid w:val="407FAF5F"/>
    <w:rsid w:val="409BB218"/>
    <w:rsid w:val="40A59716"/>
    <w:rsid w:val="40A669D9"/>
    <w:rsid w:val="40A7F8D0"/>
    <w:rsid w:val="40AD7E45"/>
    <w:rsid w:val="40B67A40"/>
    <w:rsid w:val="40B7E846"/>
    <w:rsid w:val="40B817B5"/>
    <w:rsid w:val="40BA5765"/>
    <w:rsid w:val="40BBF421"/>
    <w:rsid w:val="40BD98FD"/>
    <w:rsid w:val="40C8AE05"/>
    <w:rsid w:val="40CE42F3"/>
    <w:rsid w:val="40D019AF"/>
    <w:rsid w:val="40D2C158"/>
    <w:rsid w:val="40D9895E"/>
    <w:rsid w:val="40E0DE49"/>
    <w:rsid w:val="40F0AB01"/>
    <w:rsid w:val="40F1D1FC"/>
    <w:rsid w:val="40F6080D"/>
    <w:rsid w:val="40F634B4"/>
    <w:rsid w:val="40F93B0C"/>
    <w:rsid w:val="4101B9FE"/>
    <w:rsid w:val="411EDB3E"/>
    <w:rsid w:val="41267C16"/>
    <w:rsid w:val="41354736"/>
    <w:rsid w:val="41390970"/>
    <w:rsid w:val="413A6B18"/>
    <w:rsid w:val="413D8C3B"/>
    <w:rsid w:val="4141DEA6"/>
    <w:rsid w:val="41435E73"/>
    <w:rsid w:val="4163D56B"/>
    <w:rsid w:val="4178D642"/>
    <w:rsid w:val="4179D7A1"/>
    <w:rsid w:val="418331E5"/>
    <w:rsid w:val="4185E105"/>
    <w:rsid w:val="4189BE0E"/>
    <w:rsid w:val="418A9CD1"/>
    <w:rsid w:val="418B364B"/>
    <w:rsid w:val="4191547C"/>
    <w:rsid w:val="4192C8FC"/>
    <w:rsid w:val="419C2BC0"/>
    <w:rsid w:val="41A24280"/>
    <w:rsid w:val="41ACFD23"/>
    <w:rsid w:val="41AD52E5"/>
    <w:rsid w:val="41BB5BF6"/>
    <w:rsid w:val="41C1FF4F"/>
    <w:rsid w:val="41C4F06E"/>
    <w:rsid w:val="41C70727"/>
    <w:rsid w:val="41CD3183"/>
    <w:rsid w:val="41D8B50A"/>
    <w:rsid w:val="41EC74FF"/>
    <w:rsid w:val="41F58782"/>
    <w:rsid w:val="41F5C8CA"/>
    <w:rsid w:val="41FC6A04"/>
    <w:rsid w:val="4220A186"/>
    <w:rsid w:val="4222EE68"/>
    <w:rsid w:val="422BDA1A"/>
    <w:rsid w:val="4235B25B"/>
    <w:rsid w:val="4236CCFE"/>
    <w:rsid w:val="42387BB4"/>
    <w:rsid w:val="423F2D4E"/>
    <w:rsid w:val="423FC68A"/>
    <w:rsid w:val="4257AF03"/>
    <w:rsid w:val="425944EB"/>
    <w:rsid w:val="425CCA31"/>
    <w:rsid w:val="425CF29D"/>
    <w:rsid w:val="42636F2F"/>
    <w:rsid w:val="42708B86"/>
    <w:rsid w:val="42726D48"/>
    <w:rsid w:val="42812101"/>
    <w:rsid w:val="4281CEF3"/>
    <w:rsid w:val="428AB531"/>
    <w:rsid w:val="429F3FF6"/>
    <w:rsid w:val="42A0867D"/>
    <w:rsid w:val="42AECE4C"/>
    <w:rsid w:val="42C9CE25"/>
    <w:rsid w:val="42CB8A0C"/>
    <w:rsid w:val="42CFD8C7"/>
    <w:rsid w:val="42D0145B"/>
    <w:rsid w:val="42E21E9C"/>
    <w:rsid w:val="42E77D6D"/>
    <w:rsid w:val="42F5EAFC"/>
    <w:rsid w:val="42FE2ACF"/>
    <w:rsid w:val="42FF4BAF"/>
    <w:rsid w:val="4300AD7E"/>
    <w:rsid w:val="430B1D27"/>
    <w:rsid w:val="431146F8"/>
    <w:rsid w:val="4313406A"/>
    <w:rsid w:val="431EFBBF"/>
    <w:rsid w:val="4325C140"/>
    <w:rsid w:val="432D5CC0"/>
    <w:rsid w:val="4332C123"/>
    <w:rsid w:val="433407E1"/>
    <w:rsid w:val="433C86C8"/>
    <w:rsid w:val="433C87F7"/>
    <w:rsid w:val="433FCA62"/>
    <w:rsid w:val="4344C04E"/>
    <w:rsid w:val="434647DC"/>
    <w:rsid w:val="43527733"/>
    <w:rsid w:val="43592D2B"/>
    <w:rsid w:val="435F4942"/>
    <w:rsid w:val="435F80C1"/>
    <w:rsid w:val="4364E4CA"/>
    <w:rsid w:val="436D9661"/>
    <w:rsid w:val="436DF021"/>
    <w:rsid w:val="437F8F09"/>
    <w:rsid w:val="4387DBA0"/>
    <w:rsid w:val="438E1A47"/>
    <w:rsid w:val="4390C463"/>
    <w:rsid w:val="439AB691"/>
    <w:rsid w:val="43B90802"/>
    <w:rsid w:val="43BD2369"/>
    <w:rsid w:val="43C01095"/>
    <w:rsid w:val="43EA42AB"/>
    <w:rsid w:val="43F10EE1"/>
    <w:rsid w:val="43F5987A"/>
    <w:rsid w:val="43F9E788"/>
    <w:rsid w:val="4406756B"/>
    <w:rsid w:val="440AA354"/>
    <w:rsid w:val="440E7EBE"/>
    <w:rsid w:val="4417D715"/>
    <w:rsid w:val="442FC54C"/>
    <w:rsid w:val="44319F8E"/>
    <w:rsid w:val="44380378"/>
    <w:rsid w:val="444A7DC4"/>
    <w:rsid w:val="444B915A"/>
    <w:rsid w:val="44522E08"/>
    <w:rsid w:val="445A1286"/>
    <w:rsid w:val="445E80C5"/>
    <w:rsid w:val="446196BD"/>
    <w:rsid w:val="44625522"/>
    <w:rsid w:val="44634F81"/>
    <w:rsid w:val="4482B234"/>
    <w:rsid w:val="449A627A"/>
    <w:rsid w:val="449C2421"/>
    <w:rsid w:val="44A0B605"/>
    <w:rsid w:val="44A3110E"/>
    <w:rsid w:val="44A66618"/>
    <w:rsid w:val="44A7C856"/>
    <w:rsid w:val="44ADDD0A"/>
    <w:rsid w:val="44B223E7"/>
    <w:rsid w:val="44B86DE7"/>
    <w:rsid w:val="44BDF335"/>
    <w:rsid w:val="44CBFE1B"/>
    <w:rsid w:val="44E3FCB7"/>
    <w:rsid w:val="44EDF7AB"/>
    <w:rsid w:val="44F5D572"/>
    <w:rsid w:val="44F65BC2"/>
    <w:rsid w:val="45072870"/>
    <w:rsid w:val="45167FDC"/>
    <w:rsid w:val="4517B602"/>
    <w:rsid w:val="451834ED"/>
    <w:rsid w:val="4523F895"/>
    <w:rsid w:val="4526DCE0"/>
    <w:rsid w:val="453448C2"/>
    <w:rsid w:val="4541F3DC"/>
    <w:rsid w:val="4548EFFA"/>
    <w:rsid w:val="45689144"/>
    <w:rsid w:val="456DEE29"/>
    <w:rsid w:val="456E5D81"/>
    <w:rsid w:val="45723887"/>
    <w:rsid w:val="4578FA3F"/>
    <w:rsid w:val="457985E3"/>
    <w:rsid w:val="4584EC83"/>
    <w:rsid w:val="45870750"/>
    <w:rsid w:val="458E3062"/>
    <w:rsid w:val="458EB505"/>
    <w:rsid w:val="459288F2"/>
    <w:rsid w:val="4596EBF3"/>
    <w:rsid w:val="4599CF52"/>
    <w:rsid w:val="45A4B4AA"/>
    <w:rsid w:val="45A70287"/>
    <w:rsid w:val="45A7B02A"/>
    <w:rsid w:val="45B73C10"/>
    <w:rsid w:val="45C099A5"/>
    <w:rsid w:val="45CE4221"/>
    <w:rsid w:val="45D146A1"/>
    <w:rsid w:val="45DBBDF3"/>
    <w:rsid w:val="45ECE328"/>
    <w:rsid w:val="45EDA02A"/>
    <w:rsid w:val="45F00CFC"/>
    <w:rsid w:val="45F4CF7E"/>
    <w:rsid w:val="45F5864D"/>
    <w:rsid w:val="46053D4D"/>
    <w:rsid w:val="460B5E54"/>
    <w:rsid w:val="460B9E70"/>
    <w:rsid w:val="4613578B"/>
    <w:rsid w:val="4618D938"/>
    <w:rsid w:val="46295E1E"/>
    <w:rsid w:val="46297EAC"/>
    <w:rsid w:val="4632E374"/>
    <w:rsid w:val="463368AC"/>
    <w:rsid w:val="4633A325"/>
    <w:rsid w:val="46360FD1"/>
    <w:rsid w:val="46445ADA"/>
    <w:rsid w:val="4649166F"/>
    <w:rsid w:val="464FC239"/>
    <w:rsid w:val="4652BED4"/>
    <w:rsid w:val="46559BD3"/>
    <w:rsid w:val="46745E6E"/>
    <w:rsid w:val="4674BD2F"/>
    <w:rsid w:val="467507DB"/>
    <w:rsid w:val="4675FFDB"/>
    <w:rsid w:val="467F3934"/>
    <w:rsid w:val="467F873E"/>
    <w:rsid w:val="4681BFC8"/>
    <w:rsid w:val="468B885E"/>
    <w:rsid w:val="468D025B"/>
    <w:rsid w:val="4691F447"/>
    <w:rsid w:val="46936679"/>
    <w:rsid w:val="46961648"/>
    <w:rsid w:val="4697F090"/>
    <w:rsid w:val="4699A573"/>
    <w:rsid w:val="46A7D0B1"/>
    <w:rsid w:val="46A87A5F"/>
    <w:rsid w:val="46A9ECB9"/>
    <w:rsid w:val="46B6B2CA"/>
    <w:rsid w:val="46BA6698"/>
    <w:rsid w:val="46BB6D8F"/>
    <w:rsid w:val="46BD1CD2"/>
    <w:rsid w:val="46D23329"/>
    <w:rsid w:val="46D45219"/>
    <w:rsid w:val="46D4E4E6"/>
    <w:rsid w:val="46D7FEE9"/>
    <w:rsid w:val="46E10250"/>
    <w:rsid w:val="46E2EF51"/>
    <w:rsid w:val="46E7F33C"/>
    <w:rsid w:val="46EF5F9A"/>
    <w:rsid w:val="46F08944"/>
    <w:rsid w:val="46F0D480"/>
    <w:rsid w:val="46F7FB45"/>
    <w:rsid w:val="46FA27D0"/>
    <w:rsid w:val="46FAA73E"/>
    <w:rsid w:val="470E8EF4"/>
    <w:rsid w:val="470F2263"/>
    <w:rsid w:val="47126BA4"/>
    <w:rsid w:val="472D2F21"/>
    <w:rsid w:val="472E93ED"/>
    <w:rsid w:val="473D8973"/>
    <w:rsid w:val="4745AE7E"/>
    <w:rsid w:val="4747754A"/>
    <w:rsid w:val="4758DEC8"/>
    <w:rsid w:val="47699985"/>
    <w:rsid w:val="476D30ED"/>
    <w:rsid w:val="476F5FAF"/>
    <w:rsid w:val="476FB1D3"/>
    <w:rsid w:val="47728A7B"/>
    <w:rsid w:val="477EF392"/>
    <w:rsid w:val="47822876"/>
    <w:rsid w:val="47836639"/>
    <w:rsid w:val="47895D6E"/>
    <w:rsid w:val="478C0787"/>
    <w:rsid w:val="478ECDA3"/>
    <w:rsid w:val="479EEC34"/>
    <w:rsid w:val="47A52C8A"/>
    <w:rsid w:val="47AE6BE9"/>
    <w:rsid w:val="47B02AC5"/>
    <w:rsid w:val="47B056D6"/>
    <w:rsid w:val="47B555BC"/>
    <w:rsid w:val="47C44774"/>
    <w:rsid w:val="47CDD6F9"/>
    <w:rsid w:val="47D8CC6A"/>
    <w:rsid w:val="47DC93A2"/>
    <w:rsid w:val="47DDD194"/>
    <w:rsid w:val="47E02B3B"/>
    <w:rsid w:val="47E2CC4D"/>
    <w:rsid w:val="47E680E5"/>
    <w:rsid w:val="47EA6BE8"/>
    <w:rsid w:val="47EFA881"/>
    <w:rsid w:val="47F38091"/>
    <w:rsid w:val="47F4D268"/>
    <w:rsid w:val="47F60B7A"/>
    <w:rsid w:val="47F9B17C"/>
    <w:rsid w:val="48025061"/>
    <w:rsid w:val="480349F2"/>
    <w:rsid w:val="480BF639"/>
    <w:rsid w:val="4816F691"/>
    <w:rsid w:val="4833725A"/>
    <w:rsid w:val="483EE31B"/>
    <w:rsid w:val="48525F22"/>
    <w:rsid w:val="48545D0F"/>
    <w:rsid w:val="48558C7F"/>
    <w:rsid w:val="4867049B"/>
    <w:rsid w:val="48738EAC"/>
    <w:rsid w:val="487F4625"/>
    <w:rsid w:val="4881D73B"/>
    <w:rsid w:val="488475B8"/>
    <w:rsid w:val="488C1403"/>
    <w:rsid w:val="489DBFE0"/>
    <w:rsid w:val="48B1C8C0"/>
    <w:rsid w:val="48B92DC4"/>
    <w:rsid w:val="48CCCCC3"/>
    <w:rsid w:val="48D84DE9"/>
    <w:rsid w:val="48D8ECED"/>
    <w:rsid w:val="48E75271"/>
    <w:rsid w:val="48E79C8A"/>
    <w:rsid w:val="48E97A94"/>
    <w:rsid w:val="48EA108C"/>
    <w:rsid w:val="48F269A2"/>
    <w:rsid w:val="48F3F8A8"/>
    <w:rsid w:val="48FB0EEC"/>
    <w:rsid w:val="4901BB20"/>
    <w:rsid w:val="49033755"/>
    <w:rsid w:val="4903E8E2"/>
    <w:rsid w:val="490ADB2A"/>
    <w:rsid w:val="491C3463"/>
    <w:rsid w:val="4928692D"/>
    <w:rsid w:val="492A1636"/>
    <w:rsid w:val="4930163F"/>
    <w:rsid w:val="4941C4CC"/>
    <w:rsid w:val="4950A374"/>
    <w:rsid w:val="49668922"/>
    <w:rsid w:val="4967203E"/>
    <w:rsid w:val="496C1933"/>
    <w:rsid w:val="4975A366"/>
    <w:rsid w:val="49824DD2"/>
    <w:rsid w:val="498B639E"/>
    <w:rsid w:val="498ED3FE"/>
    <w:rsid w:val="499321BB"/>
    <w:rsid w:val="49A2F525"/>
    <w:rsid w:val="49AEF2D4"/>
    <w:rsid w:val="49B27913"/>
    <w:rsid w:val="49BA4D52"/>
    <w:rsid w:val="49D4B5DA"/>
    <w:rsid w:val="49D81476"/>
    <w:rsid w:val="49D83E55"/>
    <w:rsid w:val="49DE116D"/>
    <w:rsid w:val="49E06E48"/>
    <w:rsid w:val="49E446C1"/>
    <w:rsid w:val="49EA180C"/>
    <w:rsid w:val="49F18EA0"/>
    <w:rsid w:val="49F57757"/>
    <w:rsid w:val="49FBF532"/>
    <w:rsid w:val="49FE1A7C"/>
    <w:rsid w:val="4A1E8B00"/>
    <w:rsid w:val="4A36987F"/>
    <w:rsid w:val="4A3D0987"/>
    <w:rsid w:val="4A4781DB"/>
    <w:rsid w:val="4A4D7FA1"/>
    <w:rsid w:val="4A5708C0"/>
    <w:rsid w:val="4A62EA76"/>
    <w:rsid w:val="4A63A335"/>
    <w:rsid w:val="4A6AE605"/>
    <w:rsid w:val="4A6FB4D1"/>
    <w:rsid w:val="4A7105ED"/>
    <w:rsid w:val="4A7D2B80"/>
    <w:rsid w:val="4A826BE1"/>
    <w:rsid w:val="4A830462"/>
    <w:rsid w:val="4A922DF1"/>
    <w:rsid w:val="4A9D329B"/>
    <w:rsid w:val="4A9E9E4A"/>
    <w:rsid w:val="4A9FC55D"/>
    <w:rsid w:val="4AA2ABE8"/>
    <w:rsid w:val="4AB89EB0"/>
    <w:rsid w:val="4AC72FE6"/>
    <w:rsid w:val="4AD1D0ED"/>
    <w:rsid w:val="4ADC7C41"/>
    <w:rsid w:val="4AEA76B4"/>
    <w:rsid w:val="4AED58B7"/>
    <w:rsid w:val="4AEE59C4"/>
    <w:rsid w:val="4AF16D9F"/>
    <w:rsid w:val="4AF5A958"/>
    <w:rsid w:val="4B015A67"/>
    <w:rsid w:val="4B0B417E"/>
    <w:rsid w:val="4B12588B"/>
    <w:rsid w:val="4B1AC1D6"/>
    <w:rsid w:val="4B2168C6"/>
    <w:rsid w:val="4B221742"/>
    <w:rsid w:val="4B25A802"/>
    <w:rsid w:val="4B27C4D2"/>
    <w:rsid w:val="4B28E3F7"/>
    <w:rsid w:val="4B2EFCF9"/>
    <w:rsid w:val="4B35E582"/>
    <w:rsid w:val="4B36C690"/>
    <w:rsid w:val="4B37CE29"/>
    <w:rsid w:val="4B40B91A"/>
    <w:rsid w:val="4B47CF91"/>
    <w:rsid w:val="4B4BC4FF"/>
    <w:rsid w:val="4B4E4974"/>
    <w:rsid w:val="4B5069F5"/>
    <w:rsid w:val="4B537924"/>
    <w:rsid w:val="4B63D761"/>
    <w:rsid w:val="4B64F291"/>
    <w:rsid w:val="4B6D2FE6"/>
    <w:rsid w:val="4B6FF173"/>
    <w:rsid w:val="4B7E7026"/>
    <w:rsid w:val="4B8A80F9"/>
    <w:rsid w:val="4B9245AB"/>
    <w:rsid w:val="4B9D7538"/>
    <w:rsid w:val="4BA06B67"/>
    <w:rsid w:val="4BA17989"/>
    <w:rsid w:val="4BA5A44C"/>
    <w:rsid w:val="4BAC6A61"/>
    <w:rsid w:val="4BB24E13"/>
    <w:rsid w:val="4BBECCA9"/>
    <w:rsid w:val="4BBFA1BC"/>
    <w:rsid w:val="4BC11E60"/>
    <w:rsid w:val="4BC4E4EA"/>
    <w:rsid w:val="4BCFDC8F"/>
    <w:rsid w:val="4BD2AA0C"/>
    <w:rsid w:val="4BD7235B"/>
    <w:rsid w:val="4BD7B61A"/>
    <w:rsid w:val="4BDE1292"/>
    <w:rsid w:val="4BE02930"/>
    <w:rsid w:val="4BE0C10A"/>
    <w:rsid w:val="4BE1D097"/>
    <w:rsid w:val="4BE5552B"/>
    <w:rsid w:val="4BE5D22B"/>
    <w:rsid w:val="4BE97CEE"/>
    <w:rsid w:val="4BFA85EF"/>
    <w:rsid w:val="4C052426"/>
    <w:rsid w:val="4C149E5B"/>
    <w:rsid w:val="4C20B137"/>
    <w:rsid w:val="4C20F8DC"/>
    <w:rsid w:val="4C238632"/>
    <w:rsid w:val="4C3B07D2"/>
    <w:rsid w:val="4C3B1799"/>
    <w:rsid w:val="4C46F4B9"/>
    <w:rsid w:val="4C4F22A9"/>
    <w:rsid w:val="4C591A9C"/>
    <w:rsid w:val="4C61F095"/>
    <w:rsid w:val="4C65072F"/>
    <w:rsid w:val="4C6C1143"/>
    <w:rsid w:val="4C6E42D6"/>
    <w:rsid w:val="4C706BE9"/>
    <w:rsid w:val="4C708E86"/>
    <w:rsid w:val="4C72CFCE"/>
    <w:rsid w:val="4C78DAD7"/>
    <w:rsid w:val="4C7EE31C"/>
    <w:rsid w:val="4C8A0CE8"/>
    <w:rsid w:val="4C8F14C4"/>
    <w:rsid w:val="4C92A5F1"/>
    <w:rsid w:val="4C9FE593"/>
    <w:rsid w:val="4CA0C97A"/>
    <w:rsid w:val="4CA24FB4"/>
    <w:rsid w:val="4CAB0FB8"/>
    <w:rsid w:val="4CABF51F"/>
    <w:rsid w:val="4CAE5D09"/>
    <w:rsid w:val="4CB400B6"/>
    <w:rsid w:val="4CBC7A87"/>
    <w:rsid w:val="4CC1DE49"/>
    <w:rsid w:val="4CD166C8"/>
    <w:rsid w:val="4CD22E2E"/>
    <w:rsid w:val="4CE43BDE"/>
    <w:rsid w:val="4CE5BED4"/>
    <w:rsid w:val="4CF18AA0"/>
    <w:rsid w:val="4CF5F7D7"/>
    <w:rsid w:val="4D0013D2"/>
    <w:rsid w:val="4D007834"/>
    <w:rsid w:val="4D01FCE7"/>
    <w:rsid w:val="4D04DCFA"/>
    <w:rsid w:val="4D09DCF5"/>
    <w:rsid w:val="4D19AE3E"/>
    <w:rsid w:val="4D1BFCBF"/>
    <w:rsid w:val="4D236D4A"/>
    <w:rsid w:val="4D2C9D24"/>
    <w:rsid w:val="4D4174AD"/>
    <w:rsid w:val="4D4BA51C"/>
    <w:rsid w:val="4D4F929A"/>
    <w:rsid w:val="4D590AEF"/>
    <w:rsid w:val="4D5A52BC"/>
    <w:rsid w:val="4D613DA2"/>
    <w:rsid w:val="4D6F3AAA"/>
    <w:rsid w:val="4D7196A5"/>
    <w:rsid w:val="4D7401D5"/>
    <w:rsid w:val="4D84C86E"/>
    <w:rsid w:val="4D874DB3"/>
    <w:rsid w:val="4D875514"/>
    <w:rsid w:val="4D8A37A7"/>
    <w:rsid w:val="4D922A8B"/>
    <w:rsid w:val="4D97A3D6"/>
    <w:rsid w:val="4D9BE167"/>
    <w:rsid w:val="4DA3A8A2"/>
    <w:rsid w:val="4DA538CF"/>
    <w:rsid w:val="4DA6B9E5"/>
    <w:rsid w:val="4DA9578F"/>
    <w:rsid w:val="4DB027C1"/>
    <w:rsid w:val="4DB412AC"/>
    <w:rsid w:val="4DB7EE5A"/>
    <w:rsid w:val="4DBAC97C"/>
    <w:rsid w:val="4DBE1BF4"/>
    <w:rsid w:val="4DC6B3E7"/>
    <w:rsid w:val="4DCC5AF7"/>
    <w:rsid w:val="4DCF691B"/>
    <w:rsid w:val="4DD448AB"/>
    <w:rsid w:val="4DD5E0C1"/>
    <w:rsid w:val="4DF36EA5"/>
    <w:rsid w:val="4DF3B1F2"/>
    <w:rsid w:val="4E013237"/>
    <w:rsid w:val="4E151B24"/>
    <w:rsid w:val="4E2795AD"/>
    <w:rsid w:val="4E2B90DA"/>
    <w:rsid w:val="4E2C5704"/>
    <w:rsid w:val="4E367E37"/>
    <w:rsid w:val="4E39C120"/>
    <w:rsid w:val="4E542714"/>
    <w:rsid w:val="4E56F056"/>
    <w:rsid w:val="4E58FE96"/>
    <w:rsid w:val="4E5B5431"/>
    <w:rsid w:val="4E669BE3"/>
    <w:rsid w:val="4E710D5F"/>
    <w:rsid w:val="4E7156D9"/>
    <w:rsid w:val="4E720B80"/>
    <w:rsid w:val="4E78F683"/>
    <w:rsid w:val="4E79BFD1"/>
    <w:rsid w:val="4E8A288A"/>
    <w:rsid w:val="4E94F104"/>
    <w:rsid w:val="4E951407"/>
    <w:rsid w:val="4E9AD4B9"/>
    <w:rsid w:val="4EA55CB1"/>
    <w:rsid w:val="4EB5494C"/>
    <w:rsid w:val="4EB71DF0"/>
    <w:rsid w:val="4EC0C9B8"/>
    <w:rsid w:val="4EC2DB5F"/>
    <w:rsid w:val="4ECC31C2"/>
    <w:rsid w:val="4ED27AEB"/>
    <w:rsid w:val="4ED92FFC"/>
    <w:rsid w:val="4ED9BF71"/>
    <w:rsid w:val="4EE63F56"/>
    <w:rsid w:val="4EEF83E4"/>
    <w:rsid w:val="4EFA8121"/>
    <w:rsid w:val="4F0B4CE8"/>
    <w:rsid w:val="4F14E20B"/>
    <w:rsid w:val="4F1A2AF1"/>
    <w:rsid w:val="4F1DA5BE"/>
    <w:rsid w:val="4F1E6246"/>
    <w:rsid w:val="4F2DBC3D"/>
    <w:rsid w:val="4F37AC99"/>
    <w:rsid w:val="4F41CF5D"/>
    <w:rsid w:val="4F4435B0"/>
    <w:rsid w:val="4F44BD39"/>
    <w:rsid w:val="4F4763B6"/>
    <w:rsid w:val="4F4DA010"/>
    <w:rsid w:val="4F50EF20"/>
    <w:rsid w:val="4F5AC99F"/>
    <w:rsid w:val="4F60E316"/>
    <w:rsid w:val="4F620709"/>
    <w:rsid w:val="4F63A726"/>
    <w:rsid w:val="4F6F0243"/>
    <w:rsid w:val="4F6F4044"/>
    <w:rsid w:val="4F799900"/>
    <w:rsid w:val="4F843448"/>
    <w:rsid w:val="4F8CB6E5"/>
    <w:rsid w:val="4F937334"/>
    <w:rsid w:val="4F990BD8"/>
    <w:rsid w:val="4F9FF099"/>
    <w:rsid w:val="4FA23480"/>
    <w:rsid w:val="4FB71F9F"/>
    <w:rsid w:val="4FBC2756"/>
    <w:rsid w:val="4FC538E0"/>
    <w:rsid w:val="4FC868D4"/>
    <w:rsid w:val="4FC8A82C"/>
    <w:rsid w:val="4FE0457A"/>
    <w:rsid w:val="4FEE5187"/>
    <w:rsid w:val="4FF10424"/>
    <w:rsid w:val="4FF4CEF7"/>
    <w:rsid w:val="4FF72492"/>
    <w:rsid w:val="50027266"/>
    <w:rsid w:val="500A3672"/>
    <w:rsid w:val="500BFF24"/>
    <w:rsid w:val="500C2559"/>
    <w:rsid w:val="5011AFE2"/>
    <w:rsid w:val="50198FB7"/>
    <w:rsid w:val="5022FB50"/>
    <w:rsid w:val="50340478"/>
    <w:rsid w:val="50354636"/>
    <w:rsid w:val="503CE720"/>
    <w:rsid w:val="5047D113"/>
    <w:rsid w:val="505A8DB9"/>
    <w:rsid w:val="505BB04F"/>
    <w:rsid w:val="5063E4CE"/>
    <w:rsid w:val="50656CDB"/>
    <w:rsid w:val="50699D4D"/>
    <w:rsid w:val="506CDEF3"/>
    <w:rsid w:val="506E4CAD"/>
    <w:rsid w:val="5070D2E0"/>
    <w:rsid w:val="50736F9A"/>
    <w:rsid w:val="50827CC9"/>
    <w:rsid w:val="50863B6C"/>
    <w:rsid w:val="508AC6AD"/>
    <w:rsid w:val="508C96A9"/>
    <w:rsid w:val="5093BB6B"/>
    <w:rsid w:val="50947503"/>
    <w:rsid w:val="50959418"/>
    <w:rsid w:val="5099299D"/>
    <w:rsid w:val="509FF925"/>
    <w:rsid w:val="50A78555"/>
    <w:rsid w:val="50A88174"/>
    <w:rsid w:val="50ACAD11"/>
    <w:rsid w:val="50C26961"/>
    <w:rsid w:val="50C34034"/>
    <w:rsid w:val="50D57633"/>
    <w:rsid w:val="50D747FF"/>
    <w:rsid w:val="50D945C6"/>
    <w:rsid w:val="50DE1C0B"/>
    <w:rsid w:val="50DED1CF"/>
    <w:rsid w:val="50DF0DE9"/>
    <w:rsid w:val="50E625AF"/>
    <w:rsid w:val="50ED6CD9"/>
    <w:rsid w:val="50FD1998"/>
    <w:rsid w:val="5108D56C"/>
    <w:rsid w:val="510967B4"/>
    <w:rsid w:val="510B364A"/>
    <w:rsid w:val="510D9004"/>
    <w:rsid w:val="51154223"/>
    <w:rsid w:val="51216E77"/>
    <w:rsid w:val="512D89E2"/>
    <w:rsid w:val="51302FED"/>
    <w:rsid w:val="513104CE"/>
    <w:rsid w:val="513AA6C5"/>
    <w:rsid w:val="513DDE37"/>
    <w:rsid w:val="5144471B"/>
    <w:rsid w:val="514E15F0"/>
    <w:rsid w:val="5153B005"/>
    <w:rsid w:val="516144D8"/>
    <w:rsid w:val="516C4FFF"/>
    <w:rsid w:val="516CE905"/>
    <w:rsid w:val="5173AC28"/>
    <w:rsid w:val="5173BDB6"/>
    <w:rsid w:val="517C0F2A"/>
    <w:rsid w:val="517D5FD1"/>
    <w:rsid w:val="517FB5AB"/>
    <w:rsid w:val="5187B50F"/>
    <w:rsid w:val="519EE57A"/>
    <w:rsid w:val="519F99D7"/>
    <w:rsid w:val="51A108B3"/>
    <w:rsid w:val="51A8FD53"/>
    <w:rsid w:val="51A94658"/>
    <w:rsid w:val="51ABD1E8"/>
    <w:rsid w:val="51C85123"/>
    <w:rsid w:val="51D09C84"/>
    <w:rsid w:val="51D1CE12"/>
    <w:rsid w:val="51D4C166"/>
    <w:rsid w:val="51D80B85"/>
    <w:rsid w:val="51F16D02"/>
    <w:rsid w:val="51F5ACA9"/>
    <w:rsid w:val="51F882A3"/>
    <w:rsid w:val="52026DBE"/>
    <w:rsid w:val="5205536C"/>
    <w:rsid w:val="5205B1B6"/>
    <w:rsid w:val="52111C4B"/>
    <w:rsid w:val="5217CD85"/>
    <w:rsid w:val="522686B5"/>
    <w:rsid w:val="522830A5"/>
    <w:rsid w:val="522FC403"/>
    <w:rsid w:val="5239D429"/>
    <w:rsid w:val="5257AFD4"/>
    <w:rsid w:val="526B6CA6"/>
    <w:rsid w:val="527F3002"/>
    <w:rsid w:val="527F4EFC"/>
    <w:rsid w:val="52827506"/>
    <w:rsid w:val="5287E806"/>
    <w:rsid w:val="52930585"/>
    <w:rsid w:val="5297CAAD"/>
    <w:rsid w:val="529813F2"/>
    <w:rsid w:val="529F3974"/>
    <w:rsid w:val="52A18F59"/>
    <w:rsid w:val="52AC4C29"/>
    <w:rsid w:val="52AD1675"/>
    <w:rsid w:val="52B7BF39"/>
    <w:rsid w:val="52B87493"/>
    <w:rsid w:val="52B882F1"/>
    <w:rsid w:val="52B8B59E"/>
    <w:rsid w:val="52BCA760"/>
    <w:rsid w:val="52C261CF"/>
    <w:rsid w:val="52CD6114"/>
    <w:rsid w:val="52DFEAE9"/>
    <w:rsid w:val="52E95475"/>
    <w:rsid w:val="52F01A55"/>
    <w:rsid w:val="52F51C39"/>
    <w:rsid w:val="52FA6383"/>
    <w:rsid w:val="52FC02EF"/>
    <w:rsid w:val="52FDB0DD"/>
    <w:rsid w:val="5306BC40"/>
    <w:rsid w:val="5307EBA2"/>
    <w:rsid w:val="53084069"/>
    <w:rsid w:val="5308A8C3"/>
    <w:rsid w:val="531D9A76"/>
    <w:rsid w:val="5322B133"/>
    <w:rsid w:val="5325B205"/>
    <w:rsid w:val="532C5541"/>
    <w:rsid w:val="532DE705"/>
    <w:rsid w:val="5345CAF5"/>
    <w:rsid w:val="53475666"/>
    <w:rsid w:val="534AD242"/>
    <w:rsid w:val="534BAC59"/>
    <w:rsid w:val="534C6860"/>
    <w:rsid w:val="5350DD6D"/>
    <w:rsid w:val="5352CB57"/>
    <w:rsid w:val="5359C87D"/>
    <w:rsid w:val="53783B70"/>
    <w:rsid w:val="537D4E25"/>
    <w:rsid w:val="538A6F59"/>
    <w:rsid w:val="538EDB5D"/>
    <w:rsid w:val="5393A1C5"/>
    <w:rsid w:val="53943ADB"/>
    <w:rsid w:val="53994AF3"/>
    <w:rsid w:val="53A06F41"/>
    <w:rsid w:val="53A0B635"/>
    <w:rsid w:val="53AB7021"/>
    <w:rsid w:val="53B4CA20"/>
    <w:rsid w:val="53B86291"/>
    <w:rsid w:val="53BD76D2"/>
    <w:rsid w:val="53C7FB89"/>
    <w:rsid w:val="53D1E37C"/>
    <w:rsid w:val="53D333BF"/>
    <w:rsid w:val="53D7C9FE"/>
    <w:rsid w:val="53DD4692"/>
    <w:rsid w:val="53DE1BCF"/>
    <w:rsid w:val="53DF3062"/>
    <w:rsid w:val="53E5D377"/>
    <w:rsid w:val="53E8D47B"/>
    <w:rsid w:val="53E9C602"/>
    <w:rsid w:val="53EC6E1D"/>
    <w:rsid w:val="53FB8765"/>
    <w:rsid w:val="53FBC7F5"/>
    <w:rsid w:val="54108B53"/>
    <w:rsid w:val="5410CA08"/>
    <w:rsid w:val="5417D3E7"/>
    <w:rsid w:val="541E6017"/>
    <w:rsid w:val="541F80C4"/>
    <w:rsid w:val="5423D4AD"/>
    <w:rsid w:val="5424598D"/>
    <w:rsid w:val="54296585"/>
    <w:rsid w:val="542BBB5D"/>
    <w:rsid w:val="5440EFFD"/>
    <w:rsid w:val="544E7DFE"/>
    <w:rsid w:val="54529460"/>
    <w:rsid w:val="5458394F"/>
    <w:rsid w:val="545BB2F3"/>
    <w:rsid w:val="5460E278"/>
    <w:rsid w:val="54666461"/>
    <w:rsid w:val="546B3489"/>
    <w:rsid w:val="546D5AFC"/>
    <w:rsid w:val="546E5C74"/>
    <w:rsid w:val="546FBDCE"/>
    <w:rsid w:val="54794A22"/>
    <w:rsid w:val="547A77DF"/>
    <w:rsid w:val="5488BE59"/>
    <w:rsid w:val="549145A4"/>
    <w:rsid w:val="54926963"/>
    <w:rsid w:val="549570A5"/>
    <w:rsid w:val="549C861A"/>
    <w:rsid w:val="54A5F717"/>
    <w:rsid w:val="54A69F98"/>
    <w:rsid w:val="54AA9C8F"/>
    <w:rsid w:val="54AB5BE8"/>
    <w:rsid w:val="54BB8E40"/>
    <w:rsid w:val="54C6183C"/>
    <w:rsid w:val="54C6FA46"/>
    <w:rsid w:val="54CA1DE0"/>
    <w:rsid w:val="54DBCFED"/>
    <w:rsid w:val="54E40144"/>
    <w:rsid w:val="54E6253A"/>
    <w:rsid w:val="54F1DD58"/>
    <w:rsid w:val="54F383FA"/>
    <w:rsid w:val="54F6E891"/>
    <w:rsid w:val="54FE4E66"/>
    <w:rsid w:val="55017A23"/>
    <w:rsid w:val="5502AF35"/>
    <w:rsid w:val="550A9BC0"/>
    <w:rsid w:val="550D051A"/>
    <w:rsid w:val="550F3050"/>
    <w:rsid w:val="55131FC3"/>
    <w:rsid w:val="5513A1F2"/>
    <w:rsid w:val="55162EE8"/>
    <w:rsid w:val="55166ABA"/>
    <w:rsid w:val="5517D45F"/>
    <w:rsid w:val="5518D25A"/>
    <w:rsid w:val="5520F3D5"/>
    <w:rsid w:val="552631D3"/>
    <w:rsid w:val="55280E7C"/>
    <w:rsid w:val="552FF46C"/>
    <w:rsid w:val="55343E92"/>
    <w:rsid w:val="55368CD5"/>
    <w:rsid w:val="553CE732"/>
    <w:rsid w:val="55418A80"/>
    <w:rsid w:val="5542A357"/>
    <w:rsid w:val="5549BE77"/>
    <w:rsid w:val="55519E93"/>
    <w:rsid w:val="5556AA72"/>
    <w:rsid w:val="5558222C"/>
    <w:rsid w:val="5558C683"/>
    <w:rsid w:val="55594E51"/>
    <w:rsid w:val="5568480C"/>
    <w:rsid w:val="556E4E46"/>
    <w:rsid w:val="5575AD9C"/>
    <w:rsid w:val="558162B5"/>
    <w:rsid w:val="5587D5AD"/>
    <w:rsid w:val="5589A8B4"/>
    <w:rsid w:val="558C2879"/>
    <w:rsid w:val="55A22916"/>
    <w:rsid w:val="55A671A7"/>
    <w:rsid w:val="55AACD7A"/>
    <w:rsid w:val="55AEC42C"/>
    <w:rsid w:val="55B9BC8B"/>
    <w:rsid w:val="55BC4888"/>
    <w:rsid w:val="55C42F2F"/>
    <w:rsid w:val="55C6DDD3"/>
    <w:rsid w:val="55C812E5"/>
    <w:rsid w:val="55CA5552"/>
    <w:rsid w:val="55CE7781"/>
    <w:rsid w:val="55D16CAB"/>
    <w:rsid w:val="55D970AD"/>
    <w:rsid w:val="55F212A5"/>
    <w:rsid w:val="55F8E51F"/>
    <w:rsid w:val="560E9D6B"/>
    <w:rsid w:val="560FCD8E"/>
    <w:rsid w:val="561C9229"/>
    <w:rsid w:val="561CBC8E"/>
    <w:rsid w:val="561E1D54"/>
    <w:rsid w:val="5624C926"/>
    <w:rsid w:val="56272128"/>
    <w:rsid w:val="56272B6C"/>
    <w:rsid w:val="563C0D0C"/>
    <w:rsid w:val="564C7E16"/>
    <w:rsid w:val="5654D343"/>
    <w:rsid w:val="566114D3"/>
    <w:rsid w:val="5679A18D"/>
    <w:rsid w:val="567B4B19"/>
    <w:rsid w:val="56814C45"/>
    <w:rsid w:val="5686758A"/>
    <w:rsid w:val="5688E2DD"/>
    <w:rsid w:val="56898619"/>
    <w:rsid w:val="568CBA92"/>
    <w:rsid w:val="568E7E2E"/>
    <w:rsid w:val="56B3EFBE"/>
    <w:rsid w:val="56B66E81"/>
    <w:rsid w:val="56B9BCAF"/>
    <w:rsid w:val="56BA04BF"/>
    <w:rsid w:val="56BB7C74"/>
    <w:rsid w:val="56BF2E42"/>
    <w:rsid w:val="56CD5ADE"/>
    <w:rsid w:val="56CFFA5B"/>
    <w:rsid w:val="56D4603B"/>
    <w:rsid w:val="56D4EB77"/>
    <w:rsid w:val="56D71887"/>
    <w:rsid w:val="56D7DC4E"/>
    <w:rsid w:val="56DCCF4D"/>
    <w:rsid w:val="56DFE0A3"/>
    <w:rsid w:val="56E2D45C"/>
    <w:rsid w:val="56E48635"/>
    <w:rsid w:val="56E715A1"/>
    <w:rsid w:val="56E948E9"/>
    <w:rsid w:val="56ED6768"/>
    <w:rsid w:val="56F55088"/>
    <w:rsid w:val="56F5E033"/>
    <w:rsid w:val="56FE4108"/>
    <w:rsid w:val="56FE83F7"/>
    <w:rsid w:val="57017F50"/>
    <w:rsid w:val="570AF96A"/>
    <w:rsid w:val="570E1678"/>
    <w:rsid w:val="571422CD"/>
    <w:rsid w:val="5716C0FF"/>
    <w:rsid w:val="571A5D5F"/>
    <w:rsid w:val="5730FC14"/>
    <w:rsid w:val="57385326"/>
    <w:rsid w:val="573B1187"/>
    <w:rsid w:val="573C3C77"/>
    <w:rsid w:val="5748FF77"/>
    <w:rsid w:val="57648471"/>
    <w:rsid w:val="5764C471"/>
    <w:rsid w:val="5767BDCD"/>
    <w:rsid w:val="576B37BF"/>
    <w:rsid w:val="57714F97"/>
    <w:rsid w:val="5772D896"/>
    <w:rsid w:val="5778B167"/>
    <w:rsid w:val="577D2830"/>
    <w:rsid w:val="578CC3F6"/>
    <w:rsid w:val="578F32B9"/>
    <w:rsid w:val="5793345E"/>
    <w:rsid w:val="579E5DDB"/>
    <w:rsid w:val="57A07668"/>
    <w:rsid w:val="57BA22D7"/>
    <w:rsid w:val="57C0DAEC"/>
    <w:rsid w:val="57D9E08C"/>
    <w:rsid w:val="57DF2603"/>
    <w:rsid w:val="57E01736"/>
    <w:rsid w:val="57EE9328"/>
    <w:rsid w:val="57F0CA10"/>
    <w:rsid w:val="57F30F04"/>
    <w:rsid w:val="58076AD0"/>
    <w:rsid w:val="580EC9BE"/>
    <w:rsid w:val="5810ACF1"/>
    <w:rsid w:val="5812D23B"/>
    <w:rsid w:val="58260DE6"/>
    <w:rsid w:val="58461E19"/>
    <w:rsid w:val="5857FE90"/>
    <w:rsid w:val="585ACD67"/>
    <w:rsid w:val="585E9083"/>
    <w:rsid w:val="585EC161"/>
    <w:rsid w:val="58606D37"/>
    <w:rsid w:val="5871708D"/>
    <w:rsid w:val="58771CD9"/>
    <w:rsid w:val="5884BB19"/>
    <w:rsid w:val="58869180"/>
    <w:rsid w:val="589D4FB1"/>
    <w:rsid w:val="58A774F4"/>
    <w:rsid w:val="58ACD505"/>
    <w:rsid w:val="58ADF6BB"/>
    <w:rsid w:val="58AEF99C"/>
    <w:rsid w:val="58B10ACE"/>
    <w:rsid w:val="58C2FAD2"/>
    <w:rsid w:val="58C3B1FE"/>
    <w:rsid w:val="58C41CF9"/>
    <w:rsid w:val="58CC8F07"/>
    <w:rsid w:val="58D36A21"/>
    <w:rsid w:val="58D4991A"/>
    <w:rsid w:val="58D77C8B"/>
    <w:rsid w:val="58E64646"/>
    <w:rsid w:val="58E7C36B"/>
    <w:rsid w:val="58E85D79"/>
    <w:rsid w:val="58ECA9EB"/>
    <w:rsid w:val="58FB1E8B"/>
    <w:rsid w:val="58FC9A6A"/>
    <w:rsid w:val="59017DA3"/>
    <w:rsid w:val="590691FC"/>
    <w:rsid w:val="59097D26"/>
    <w:rsid w:val="590AE20C"/>
    <w:rsid w:val="590F21C7"/>
    <w:rsid w:val="591086F3"/>
    <w:rsid w:val="5911EF2C"/>
    <w:rsid w:val="5915ACAD"/>
    <w:rsid w:val="591850FB"/>
    <w:rsid w:val="591B64CA"/>
    <w:rsid w:val="591B6B70"/>
    <w:rsid w:val="59266F93"/>
    <w:rsid w:val="59271C6F"/>
    <w:rsid w:val="592D541B"/>
    <w:rsid w:val="592F3289"/>
    <w:rsid w:val="5933EFDF"/>
    <w:rsid w:val="593E78C7"/>
    <w:rsid w:val="593FE995"/>
    <w:rsid w:val="5944D2B6"/>
    <w:rsid w:val="594649A7"/>
    <w:rsid w:val="59511AC8"/>
    <w:rsid w:val="5960AEDD"/>
    <w:rsid w:val="5963FBEF"/>
    <w:rsid w:val="59662425"/>
    <w:rsid w:val="597BD80B"/>
    <w:rsid w:val="59813F78"/>
    <w:rsid w:val="598401FF"/>
    <w:rsid w:val="598EE3E2"/>
    <w:rsid w:val="59942800"/>
    <w:rsid w:val="599C6499"/>
    <w:rsid w:val="59A13091"/>
    <w:rsid w:val="59A6F8D0"/>
    <w:rsid w:val="59B11ADB"/>
    <w:rsid w:val="59BF596F"/>
    <w:rsid w:val="59DC0D88"/>
    <w:rsid w:val="59DD7287"/>
    <w:rsid w:val="59DEF873"/>
    <w:rsid w:val="59E369B8"/>
    <w:rsid w:val="59E5707A"/>
    <w:rsid w:val="59E5E425"/>
    <w:rsid w:val="59EF1717"/>
    <w:rsid w:val="59F9AD68"/>
    <w:rsid w:val="5A00204D"/>
    <w:rsid w:val="5A0457A3"/>
    <w:rsid w:val="5A0C88B3"/>
    <w:rsid w:val="5A0D786E"/>
    <w:rsid w:val="5A17C0DC"/>
    <w:rsid w:val="5A1B2EA5"/>
    <w:rsid w:val="5A228F4B"/>
    <w:rsid w:val="5A24A13D"/>
    <w:rsid w:val="5A29D680"/>
    <w:rsid w:val="5A2CAD46"/>
    <w:rsid w:val="5A2D5419"/>
    <w:rsid w:val="5A33E11E"/>
    <w:rsid w:val="5A37C631"/>
    <w:rsid w:val="5A3ECB8C"/>
    <w:rsid w:val="5A46BAE5"/>
    <w:rsid w:val="5A4719B3"/>
    <w:rsid w:val="5A48B3F5"/>
    <w:rsid w:val="5A57D3C2"/>
    <w:rsid w:val="5A59733C"/>
    <w:rsid w:val="5A65BFD2"/>
    <w:rsid w:val="5A7347EF"/>
    <w:rsid w:val="5A74793E"/>
    <w:rsid w:val="5A7785D1"/>
    <w:rsid w:val="5A84E53F"/>
    <w:rsid w:val="5A8A8184"/>
    <w:rsid w:val="5A9BAF02"/>
    <w:rsid w:val="5AA4AAFD"/>
    <w:rsid w:val="5AB053B7"/>
    <w:rsid w:val="5ABF014F"/>
    <w:rsid w:val="5ABF0F25"/>
    <w:rsid w:val="5AC30A3D"/>
    <w:rsid w:val="5AC34CD5"/>
    <w:rsid w:val="5ACD0DF4"/>
    <w:rsid w:val="5AD0CC9A"/>
    <w:rsid w:val="5AD62AB9"/>
    <w:rsid w:val="5ADF4156"/>
    <w:rsid w:val="5AEACD9D"/>
    <w:rsid w:val="5AEC9649"/>
    <w:rsid w:val="5AF0F56C"/>
    <w:rsid w:val="5AF11826"/>
    <w:rsid w:val="5B062B84"/>
    <w:rsid w:val="5B0756E4"/>
    <w:rsid w:val="5B098CF5"/>
    <w:rsid w:val="5B0CD121"/>
    <w:rsid w:val="5B176712"/>
    <w:rsid w:val="5B26C826"/>
    <w:rsid w:val="5B31C6C2"/>
    <w:rsid w:val="5B34E655"/>
    <w:rsid w:val="5B36680A"/>
    <w:rsid w:val="5B37441C"/>
    <w:rsid w:val="5B3E38E7"/>
    <w:rsid w:val="5B3E45ED"/>
    <w:rsid w:val="5B4001F7"/>
    <w:rsid w:val="5B43520F"/>
    <w:rsid w:val="5B45A869"/>
    <w:rsid w:val="5B4825DF"/>
    <w:rsid w:val="5B50ECD5"/>
    <w:rsid w:val="5B6742B0"/>
    <w:rsid w:val="5B7121DB"/>
    <w:rsid w:val="5B723DF5"/>
    <w:rsid w:val="5B73319E"/>
    <w:rsid w:val="5B790FF4"/>
    <w:rsid w:val="5B7D9679"/>
    <w:rsid w:val="5B839D41"/>
    <w:rsid w:val="5B8664D3"/>
    <w:rsid w:val="5B976657"/>
    <w:rsid w:val="5B9C12E1"/>
    <w:rsid w:val="5BA0F1F3"/>
    <w:rsid w:val="5BA124EB"/>
    <w:rsid w:val="5BA9E630"/>
    <w:rsid w:val="5BAC6C25"/>
    <w:rsid w:val="5BB1CA7F"/>
    <w:rsid w:val="5BB9E77F"/>
    <w:rsid w:val="5BC49A3E"/>
    <w:rsid w:val="5BD5ED18"/>
    <w:rsid w:val="5BD9BFFF"/>
    <w:rsid w:val="5BE0C8BB"/>
    <w:rsid w:val="5BECFDC1"/>
    <w:rsid w:val="5BF74B10"/>
    <w:rsid w:val="5BFC106D"/>
    <w:rsid w:val="5C01BAA0"/>
    <w:rsid w:val="5C0634A3"/>
    <w:rsid w:val="5C098C9E"/>
    <w:rsid w:val="5C0DA99C"/>
    <w:rsid w:val="5C1DF319"/>
    <w:rsid w:val="5C1F1E75"/>
    <w:rsid w:val="5C283851"/>
    <w:rsid w:val="5C28796B"/>
    <w:rsid w:val="5C2BECFF"/>
    <w:rsid w:val="5C31DEDC"/>
    <w:rsid w:val="5C3241C3"/>
    <w:rsid w:val="5C3676C9"/>
    <w:rsid w:val="5C368C24"/>
    <w:rsid w:val="5C402A67"/>
    <w:rsid w:val="5C49D086"/>
    <w:rsid w:val="5C4AC2C9"/>
    <w:rsid w:val="5C4B2A70"/>
    <w:rsid w:val="5C4C9A42"/>
    <w:rsid w:val="5C6B9752"/>
    <w:rsid w:val="5C7AE4EB"/>
    <w:rsid w:val="5C7D91EA"/>
    <w:rsid w:val="5C7DCB94"/>
    <w:rsid w:val="5C81FFCA"/>
    <w:rsid w:val="5C8563B7"/>
    <w:rsid w:val="5CA31BC7"/>
    <w:rsid w:val="5CA7E19A"/>
    <w:rsid w:val="5CA8A3AB"/>
    <w:rsid w:val="5CAB4304"/>
    <w:rsid w:val="5CABF71D"/>
    <w:rsid w:val="5CB2F8E9"/>
    <w:rsid w:val="5CB9BA63"/>
    <w:rsid w:val="5CC773E4"/>
    <w:rsid w:val="5CC8A2D4"/>
    <w:rsid w:val="5CC99EF3"/>
    <w:rsid w:val="5CD3EB29"/>
    <w:rsid w:val="5CDF08AA"/>
    <w:rsid w:val="5CE2669F"/>
    <w:rsid w:val="5CE4254B"/>
    <w:rsid w:val="5CE5633C"/>
    <w:rsid w:val="5CF08239"/>
    <w:rsid w:val="5CF2931B"/>
    <w:rsid w:val="5CF4BC67"/>
    <w:rsid w:val="5CF872A5"/>
    <w:rsid w:val="5CF9E5D1"/>
    <w:rsid w:val="5CFC5454"/>
    <w:rsid w:val="5D0215D0"/>
    <w:rsid w:val="5D0C4726"/>
    <w:rsid w:val="5D0DD30F"/>
    <w:rsid w:val="5D10DDFC"/>
    <w:rsid w:val="5D17705B"/>
    <w:rsid w:val="5D1E3D3B"/>
    <w:rsid w:val="5D287BD0"/>
    <w:rsid w:val="5D2AB367"/>
    <w:rsid w:val="5D3490C1"/>
    <w:rsid w:val="5D3E2159"/>
    <w:rsid w:val="5D48C063"/>
    <w:rsid w:val="5D50A90A"/>
    <w:rsid w:val="5D5486B1"/>
    <w:rsid w:val="5D587363"/>
    <w:rsid w:val="5D7A0BD0"/>
    <w:rsid w:val="5D7B598A"/>
    <w:rsid w:val="5D7DE901"/>
    <w:rsid w:val="5D80333C"/>
    <w:rsid w:val="5D90338C"/>
    <w:rsid w:val="5D93C748"/>
    <w:rsid w:val="5DA35E9F"/>
    <w:rsid w:val="5DABF43E"/>
    <w:rsid w:val="5DB10C79"/>
    <w:rsid w:val="5DB606B9"/>
    <w:rsid w:val="5DB66600"/>
    <w:rsid w:val="5DCE7E59"/>
    <w:rsid w:val="5DD5EBEE"/>
    <w:rsid w:val="5DDC92E2"/>
    <w:rsid w:val="5DE68D00"/>
    <w:rsid w:val="5DEBD5A3"/>
    <w:rsid w:val="5DF00F48"/>
    <w:rsid w:val="5E04B13F"/>
    <w:rsid w:val="5E0A523F"/>
    <w:rsid w:val="5E166EA4"/>
    <w:rsid w:val="5E17E052"/>
    <w:rsid w:val="5E272DA7"/>
    <w:rsid w:val="5E2736FB"/>
    <w:rsid w:val="5E2FCD0C"/>
    <w:rsid w:val="5E30E303"/>
    <w:rsid w:val="5E315B74"/>
    <w:rsid w:val="5E322933"/>
    <w:rsid w:val="5E38CBFA"/>
    <w:rsid w:val="5E432C77"/>
    <w:rsid w:val="5E4371FC"/>
    <w:rsid w:val="5E46F5B8"/>
    <w:rsid w:val="5E4C0A7C"/>
    <w:rsid w:val="5E55791C"/>
    <w:rsid w:val="5E62DF9E"/>
    <w:rsid w:val="5E642605"/>
    <w:rsid w:val="5E72EB53"/>
    <w:rsid w:val="5E73EECE"/>
    <w:rsid w:val="5E744C64"/>
    <w:rsid w:val="5E78969F"/>
    <w:rsid w:val="5E7E330A"/>
    <w:rsid w:val="5E7E8AA2"/>
    <w:rsid w:val="5E86043B"/>
    <w:rsid w:val="5E87CAA3"/>
    <w:rsid w:val="5E87DF25"/>
    <w:rsid w:val="5E931589"/>
    <w:rsid w:val="5E954F6A"/>
    <w:rsid w:val="5E99104F"/>
    <w:rsid w:val="5E9AD478"/>
    <w:rsid w:val="5E9EE431"/>
    <w:rsid w:val="5EA03001"/>
    <w:rsid w:val="5EA1721F"/>
    <w:rsid w:val="5EA681AB"/>
    <w:rsid w:val="5EB6E81F"/>
    <w:rsid w:val="5ED9DB5F"/>
    <w:rsid w:val="5EDD1011"/>
    <w:rsid w:val="5EDFDA49"/>
    <w:rsid w:val="5EE482F8"/>
    <w:rsid w:val="5EE6F0A6"/>
    <w:rsid w:val="5EE81479"/>
    <w:rsid w:val="5EEFF1DF"/>
    <w:rsid w:val="5EF347A5"/>
    <w:rsid w:val="5EF443C4"/>
    <w:rsid w:val="5EF707AD"/>
    <w:rsid w:val="5EFFF745"/>
    <w:rsid w:val="5F0453E6"/>
    <w:rsid w:val="5F156C7C"/>
    <w:rsid w:val="5F208994"/>
    <w:rsid w:val="5F20C52F"/>
    <w:rsid w:val="5F2B7EF4"/>
    <w:rsid w:val="5F2D30E4"/>
    <w:rsid w:val="5F2FA462"/>
    <w:rsid w:val="5F30192D"/>
    <w:rsid w:val="5F32BB19"/>
    <w:rsid w:val="5F384186"/>
    <w:rsid w:val="5F39C119"/>
    <w:rsid w:val="5F4C1C47"/>
    <w:rsid w:val="5F4E968D"/>
    <w:rsid w:val="5F5458DA"/>
    <w:rsid w:val="5F58FF76"/>
    <w:rsid w:val="5F6DE595"/>
    <w:rsid w:val="5F72AE89"/>
    <w:rsid w:val="5F739D4E"/>
    <w:rsid w:val="5F73BB6A"/>
    <w:rsid w:val="5F7649A4"/>
    <w:rsid w:val="5F8230EF"/>
    <w:rsid w:val="5F88822F"/>
    <w:rsid w:val="5F8BB4D7"/>
    <w:rsid w:val="5F92465B"/>
    <w:rsid w:val="5F970AE2"/>
    <w:rsid w:val="5FA1B929"/>
    <w:rsid w:val="5FA5311D"/>
    <w:rsid w:val="5FB01548"/>
    <w:rsid w:val="5FC0EACB"/>
    <w:rsid w:val="5FC8763F"/>
    <w:rsid w:val="5FD4C406"/>
    <w:rsid w:val="5FD9222E"/>
    <w:rsid w:val="5FDB2594"/>
    <w:rsid w:val="5FE37DE1"/>
    <w:rsid w:val="5FEBD838"/>
    <w:rsid w:val="5FEE2E68"/>
    <w:rsid w:val="5FF8129E"/>
    <w:rsid w:val="5FF85D86"/>
    <w:rsid w:val="5FFC0B71"/>
    <w:rsid w:val="600883B1"/>
    <w:rsid w:val="600BC4DF"/>
    <w:rsid w:val="600F2A1C"/>
    <w:rsid w:val="6010EB7C"/>
    <w:rsid w:val="60113633"/>
    <w:rsid w:val="601C05BA"/>
    <w:rsid w:val="602083B6"/>
    <w:rsid w:val="6025548D"/>
    <w:rsid w:val="6025BFAF"/>
    <w:rsid w:val="60374523"/>
    <w:rsid w:val="603E4984"/>
    <w:rsid w:val="6046B1EB"/>
    <w:rsid w:val="604C999D"/>
    <w:rsid w:val="6050302B"/>
    <w:rsid w:val="60529573"/>
    <w:rsid w:val="6052DEEF"/>
    <w:rsid w:val="605CDC8F"/>
    <w:rsid w:val="6065F293"/>
    <w:rsid w:val="6066858C"/>
    <w:rsid w:val="60676A3A"/>
    <w:rsid w:val="606A4169"/>
    <w:rsid w:val="606BE209"/>
    <w:rsid w:val="60703531"/>
    <w:rsid w:val="6071FD67"/>
    <w:rsid w:val="6073AF21"/>
    <w:rsid w:val="607820DA"/>
    <w:rsid w:val="607F7C6D"/>
    <w:rsid w:val="608743A3"/>
    <w:rsid w:val="60927A3C"/>
    <w:rsid w:val="60A4A2F8"/>
    <w:rsid w:val="60C05221"/>
    <w:rsid w:val="60C1C661"/>
    <w:rsid w:val="60C93EAE"/>
    <w:rsid w:val="60CBE98E"/>
    <w:rsid w:val="60D31274"/>
    <w:rsid w:val="60D7F6AE"/>
    <w:rsid w:val="60DDA72E"/>
    <w:rsid w:val="60DE067C"/>
    <w:rsid w:val="60DECFA3"/>
    <w:rsid w:val="60DEDB87"/>
    <w:rsid w:val="60E024B8"/>
    <w:rsid w:val="60E1C284"/>
    <w:rsid w:val="60E4F0B6"/>
    <w:rsid w:val="60EEE06D"/>
    <w:rsid w:val="60F1FE5A"/>
    <w:rsid w:val="60FB134E"/>
    <w:rsid w:val="60FD4FCC"/>
    <w:rsid w:val="6114C9E7"/>
    <w:rsid w:val="6126E6BC"/>
    <w:rsid w:val="612B1BA5"/>
    <w:rsid w:val="613D541C"/>
    <w:rsid w:val="613FB19D"/>
    <w:rsid w:val="6141B086"/>
    <w:rsid w:val="614575A4"/>
    <w:rsid w:val="615782D1"/>
    <w:rsid w:val="616681AF"/>
    <w:rsid w:val="6176CFDE"/>
    <w:rsid w:val="617DEC81"/>
    <w:rsid w:val="618753B6"/>
    <w:rsid w:val="6189785A"/>
    <w:rsid w:val="618FF02D"/>
    <w:rsid w:val="6191277C"/>
    <w:rsid w:val="619CAB6F"/>
    <w:rsid w:val="61B50AA5"/>
    <w:rsid w:val="61C6D4CE"/>
    <w:rsid w:val="61C91F79"/>
    <w:rsid w:val="61C9729E"/>
    <w:rsid w:val="61DF6E15"/>
    <w:rsid w:val="61E461F8"/>
    <w:rsid w:val="61E94EB5"/>
    <w:rsid w:val="61EF1E8F"/>
    <w:rsid w:val="6210B82B"/>
    <w:rsid w:val="62295BD4"/>
    <w:rsid w:val="6230679A"/>
    <w:rsid w:val="6239BF53"/>
    <w:rsid w:val="62414D42"/>
    <w:rsid w:val="624B32A2"/>
    <w:rsid w:val="624DDE87"/>
    <w:rsid w:val="624F6D46"/>
    <w:rsid w:val="624FE508"/>
    <w:rsid w:val="62501C0D"/>
    <w:rsid w:val="625A0583"/>
    <w:rsid w:val="625D2C5D"/>
    <w:rsid w:val="625F0C6C"/>
    <w:rsid w:val="62730C8D"/>
    <w:rsid w:val="627DA25C"/>
    <w:rsid w:val="6282EAF9"/>
    <w:rsid w:val="6283C76B"/>
    <w:rsid w:val="6285C94A"/>
    <w:rsid w:val="628B9688"/>
    <w:rsid w:val="6294AC76"/>
    <w:rsid w:val="62952223"/>
    <w:rsid w:val="629CCF64"/>
    <w:rsid w:val="62A309FF"/>
    <w:rsid w:val="62B1AE1C"/>
    <w:rsid w:val="62B58B3D"/>
    <w:rsid w:val="62B89B0D"/>
    <w:rsid w:val="62BE5694"/>
    <w:rsid w:val="62C1FF6B"/>
    <w:rsid w:val="62D43DFE"/>
    <w:rsid w:val="62E29797"/>
    <w:rsid w:val="62E301BC"/>
    <w:rsid w:val="62EEFE39"/>
    <w:rsid w:val="62F55599"/>
    <w:rsid w:val="62FB9DD5"/>
    <w:rsid w:val="62FDC44B"/>
    <w:rsid w:val="62FF603D"/>
    <w:rsid w:val="6305A430"/>
    <w:rsid w:val="6306F65A"/>
    <w:rsid w:val="63071EF1"/>
    <w:rsid w:val="632A8F7E"/>
    <w:rsid w:val="632CC36B"/>
    <w:rsid w:val="6336D6AF"/>
    <w:rsid w:val="63435239"/>
    <w:rsid w:val="635BC5EA"/>
    <w:rsid w:val="635D391B"/>
    <w:rsid w:val="635F4B49"/>
    <w:rsid w:val="6365A0A9"/>
    <w:rsid w:val="636D3407"/>
    <w:rsid w:val="636D8712"/>
    <w:rsid w:val="637025C6"/>
    <w:rsid w:val="63705D2E"/>
    <w:rsid w:val="6370C251"/>
    <w:rsid w:val="63741615"/>
    <w:rsid w:val="637535E0"/>
    <w:rsid w:val="637A0390"/>
    <w:rsid w:val="63824AB4"/>
    <w:rsid w:val="63993DC7"/>
    <w:rsid w:val="639A1EC5"/>
    <w:rsid w:val="63A07E35"/>
    <w:rsid w:val="63A2CD03"/>
    <w:rsid w:val="63A39AAE"/>
    <w:rsid w:val="63A3A3FA"/>
    <w:rsid w:val="63A8D35A"/>
    <w:rsid w:val="63A8E17E"/>
    <w:rsid w:val="63ACCE21"/>
    <w:rsid w:val="63B18804"/>
    <w:rsid w:val="63B98009"/>
    <w:rsid w:val="63BA66F8"/>
    <w:rsid w:val="63BEB6EC"/>
    <w:rsid w:val="63C78FEE"/>
    <w:rsid w:val="63CDAF77"/>
    <w:rsid w:val="63D44852"/>
    <w:rsid w:val="63E27E6A"/>
    <w:rsid w:val="63EF2D74"/>
    <w:rsid w:val="63FB6E78"/>
    <w:rsid w:val="64060CF8"/>
    <w:rsid w:val="640EB75C"/>
    <w:rsid w:val="6416321A"/>
    <w:rsid w:val="64163ABD"/>
    <w:rsid w:val="6419753B"/>
    <w:rsid w:val="641DDF73"/>
    <w:rsid w:val="642226DF"/>
    <w:rsid w:val="64259CD3"/>
    <w:rsid w:val="642CF2AA"/>
    <w:rsid w:val="64337EA6"/>
    <w:rsid w:val="643C456D"/>
    <w:rsid w:val="6441E0CB"/>
    <w:rsid w:val="6470949C"/>
    <w:rsid w:val="64714BDD"/>
    <w:rsid w:val="6473F03A"/>
    <w:rsid w:val="648ADE61"/>
    <w:rsid w:val="648B78CD"/>
    <w:rsid w:val="648F8731"/>
    <w:rsid w:val="649AD3EE"/>
    <w:rsid w:val="649AE614"/>
    <w:rsid w:val="64A3233B"/>
    <w:rsid w:val="64A38A39"/>
    <w:rsid w:val="64ABC4DA"/>
    <w:rsid w:val="64BD47F8"/>
    <w:rsid w:val="64BF813B"/>
    <w:rsid w:val="64CBF3A3"/>
    <w:rsid w:val="64D0665A"/>
    <w:rsid w:val="64D14369"/>
    <w:rsid w:val="64DA26D5"/>
    <w:rsid w:val="64DEEA35"/>
    <w:rsid w:val="64E4E6A2"/>
    <w:rsid w:val="64E98992"/>
    <w:rsid w:val="64EBECDB"/>
    <w:rsid w:val="64FC5366"/>
    <w:rsid w:val="64FF962E"/>
    <w:rsid w:val="65047DC0"/>
    <w:rsid w:val="650E6B1F"/>
    <w:rsid w:val="65154446"/>
    <w:rsid w:val="6518EFB3"/>
    <w:rsid w:val="651BE844"/>
    <w:rsid w:val="652394E4"/>
    <w:rsid w:val="65286A5F"/>
    <w:rsid w:val="652B3CC6"/>
    <w:rsid w:val="652C3785"/>
    <w:rsid w:val="6534F42F"/>
    <w:rsid w:val="653EA117"/>
    <w:rsid w:val="65412812"/>
    <w:rsid w:val="6546385F"/>
    <w:rsid w:val="65493621"/>
    <w:rsid w:val="65551EBB"/>
    <w:rsid w:val="6555F9F0"/>
    <w:rsid w:val="6559B71C"/>
    <w:rsid w:val="65606CFF"/>
    <w:rsid w:val="6560A287"/>
    <w:rsid w:val="6563DEA4"/>
    <w:rsid w:val="65665DF6"/>
    <w:rsid w:val="656681F5"/>
    <w:rsid w:val="656DAFA0"/>
    <w:rsid w:val="65727784"/>
    <w:rsid w:val="658C38E0"/>
    <w:rsid w:val="65913D6B"/>
    <w:rsid w:val="65946A83"/>
    <w:rsid w:val="65A4218A"/>
    <w:rsid w:val="65A54B4B"/>
    <w:rsid w:val="65C20F5D"/>
    <w:rsid w:val="65D220FF"/>
    <w:rsid w:val="65D4E241"/>
    <w:rsid w:val="65D4EC90"/>
    <w:rsid w:val="65E04FDC"/>
    <w:rsid w:val="65E0F373"/>
    <w:rsid w:val="65EAC6B7"/>
    <w:rsid w:val="6608A237"/>
    <w:rsid w:val="660EF2D7"/>
    <w:rsid w:val="661043F5"/>
    <w:rsid w:val="661BCD42"/>
    <w:rsid w:val="661F7A0C"/>
    <w:rsid w:val="662F5446"/>
    <w:rsid w:val="663A84E2"/>
    <w:rsid w:val="6646498D"/>
    <w:rsid w:val="6647953B"/>
    <w:rsid w:val="664FD23A"/>
    <w:rsid w:val="665A2A87"/>
    <w:rsid w:val="665AA578"/>
    <w:rsid w:val="665D6E77"/>
    <w:rsid w:val="666E99EF"/>
    <w:rsid w:val="6671E216"/>
    <w:rsid w:val="6671ED92"/>
    <w:rsid w:val="6677AFF7"/>
    <w:rsid w:val="667A71C3"/>
    <w:rsid w:val="667B1499"/>
    <w:rsid w:val="66816AE0"/>
    <w:rsid w:val="6685F16B"/>
    <w:rsid w:val="66881626"/>
    <w:rsid w:val="66962634"/>
    <w:rsid w:val="669DD5FF"/>
    <w:rsid w:val="66A04142"/>
    <w:rsid w:val="66A09B6A"/>
    <w:rsid w:val="66AB4EF2"/>
    <w:rsid w:val="66ACC06E"/>
    <w:rsid w:val="66BC5E4B"/>
    <w:rsid w:val="66C0B7AE"/>
    <w:rsid w:val="66C6A867"/>
    <w:rsid w:val="66C9A153"/>
    <w:rsid w:val="66CDF443"/>
    <w:rsid w:val="66D58F11"/>
    <w:rsid w:val="66E66E3F"/>
    <w:rsid w:val="66EF80C7"/>
    <w:rsid w:val="66F04C03"/>
    <w:rsid w:val="670BC30F"/>
    <w:rsid w:val="67218591"/>
    <w:rsid w:val="67380579"/>
    <w:rsid w:val="67391EB1"/>
    <w:rsid w:val="6741A88C"/>
    <w:rsid w:val="67429487"/>
    <w:rsid w:val="67472888"/>
    <w:rsid w:val="674C1910"/>
    <w:rsid w:val="674DACA7"/>
    <w:rsid w:val="674EDE87"/>
    <w:rsid w:val="67586D1C"/>
    <w:rsid w:val="67590F45"/>
    <w:rsid w:val="676B4C0F"/>
    <w:rsid w:val="676F8B3D"/>
    <w:rsid w:val="6771B4E3"/>
    <w:rsid w:val="677E4FDE"/>
    <w:rsid w:val="677F09A9"/>
    <w:rsid w:val="6787DEB6"/>
    <w:rsid w:val="6790EA0D"/>
    <w:rsid w:val="67942442"/>
    <w:rsid w:val="6799E76C"/>
    <w:rsid w:val="67AA7855"/>
    <w:rsid w:val="67AB83BB"/>
    <w:rsid w:val="67B268A4"/>
    <w:rsid w:val="67B50C0E"/>
    <w:rsid w:val="67B6FD1A"/>
    <w:rsid w:val="67C84656"/>
    <w:rsid w:val="67D55568"/>
    <w:rsid w:val="67DCAE37"/>
    <w:rsid w:val="67DE4343"/>
    <w:rsid w:val="67E24CD4"/>
    <w:rsid w:val="67E9BA8A"/>
    <w:rsid w:val="67EF704F"/>
    <w:rsid w:val="67F04FC8"/>
    <w:rsid w:val="67F45487"/>
    <w:rsid w:val="67F510DA"/>
    <w:rsid w:val="67F66E47"/>
    <w:rsid w:val="67F67566"/>
    <w:rsid w:val="67FF1C74"/>
    <w:rsid w:val="68168709"/>
    <w:rsid w:val="68173441"/>
    <w:rsid w:val="68188CAA"/>
    <w:rsid w:val="681A7716"/>
    <w:rsid w:val="68258ECC"/>
    <w:rsid w:val="6826664F"/>
    <w:rsid w:val="683285DE"/>
    <w:rsid w:val="6843EB3B"/>
    <w:rsid w:val="68482DE5"/>
    <w:rsid w:val="684910D5"/>
    <w:rsid w:val="68548E78"/>
    <w:rsid w:val="6855575C"/>
    <w:rsid w:val="6855D260"/>
    <w:rsid w:val="6856D21C"/>
    <w:rsid w:val="685C880F"/>
    <w:rsid w:val="68654F3B"/>
    <w:rsid w:val="68672E5E"/>
    <w:rsid w:val="6890C25E"/>
    <w:rsid w:val="6891CE21"/>
    <w:rsid w:val="6891DFE4"/>
    <w:rsid w:val="68968CBE"/>
    <w:rsid w:val="689B6B95"/>
    <w:rsid w:val="68A2939F"/>
    <w:rsid w:val="68A6A587"/>
    <w:rsid w:val="68A8F899"/>
    <w:rsid w:val="68ABBA42"/>
    <w:rsid w:val="68AC4815"/>
    <w:rsid w:val="68AF346E"/>
    <w:rsid w:val="68BC4C8E"/>
    <w:rsid w:val="68BDF79C"/>
    <w:rsid w:val="68C215D8"/>
    <w:rsid w:val="68C7FB6C"/>
    <w:rsid w:val="68CD652E"/>
    <w:rsid w:val="68CF481F"/>
    <w:rsid w:val="68D02768"/>
    <w:rsid w:val="68D3AC0C"/>
    <w:rsid w:val="68D44622"/>
    <w:rsid w:val="68E57786"/>
    <w:rsid w:val="68E99C45"/>
    <w:rsid w:val="68EC6E2E"/>
    <w:rsid w:val="68ED9E5C"/>
    <w:rsid w:val="68FB293E"/>
    <w:rsid w:val="68FCCFE7"/>
    <w:rsid w:val="6900E61A"/>
    <w:rsid w:val="6903D225"/>
    <w:rsid w:val="6908585C"/>
    <w:rsid w:val="690A7D1C"/>
    <w:rsid w:val="690DE4CB"/>
    <w:rsid w:val="691463CE"/>
    <w:rsid w:val="6915E56C"/>
    <w:rsid w:val="6915E57E"/>
    <w:rsid w:val="691B731F"/>
    <w:rsid w:val="691C749D"/>
    <w:rsid w:val="6929AE9A"/>
    <w:rsid w:val="692A3740"/>
    <w:rsid w:val="6931F8A1"/>
    <w:rsid w:val="693444CE"/>
    <w:rsid w:val="6935A95C"/>
    <w:rsid w:val="69393A59"/>
    <w:rsid w:val="6943CF7D"/>
    <w:rsid w:val="69462ED9"/>
    <w:rsid w:val="69518014"/>
    <w:rsid w:val="6954B408"/>
    <w:rsid w:val="697017C3"/>
    <w:rsid w:val="697A657D"/>
    <w:rsid w:val="697CD33A"/>
    <w:rsid w:val="6985E599"/>
    <w:rsid w:val="6988ED61"/>
    <w:rsid w:val="698A3176"/>
    <w:rsid w:val="6990E13B"/>
    <w:rsid w:val="69934524"/>
    <w:rsid w:val="699EF822"/>
    <w:rsid w:val="69A3E354"/>
    <w:rsid w:val="69AA0E1F"/>
    <w:rsid w:val="69AE270A"/>
    <w:rsid w:val="69B0B191"/>
    <w:rsid w:val="69B11638"/>
    <w:rsid w:val="69B2EFF4"/>
    <w:rsid w:val="69BF48A9"/>
    <w:rsid w:val="69C61B3D"/>
    <w:rsid w:val="69C6531D"/>
    <w:rsid w:val="69D44004"/>
    <w:rsid w:val="69F70778"/>
    <w:rsid w:val="69FC7A21"/>
    <w:rsid w:val="6A018296"/>
    <w:rsid w:val="6A10FAF1"/>
    <w:rsid w:val="6A13151B"/>
    <w:rsid w:val="6A1D97C2"/>
    <w:rsid w:val="6A2652DF"/>
    <w:rsid w:val="6A2EE8AB"/>
    <w:rsid w:val="6A33DD76"/>
    <w:rsid w:val="6A369F9A"/>
    <w:rsid w:val="6A38EC35"/>
    <w:rsid w:val="6A45F67A"/>
    <w:rsid w:val="6A4C63E4"/>
    <w:rsid w:val="6A4F5799"/>
    <w:rsid w:val="6A60954A"/>
    <w:rsid w:val="6A6B0B6A"/>
    <w:rsid w:val="6A75FF16"/>
    <w:rsid w:val="6A81A613"/>
    <w:rsid w:val="6A8C6C34"/>
    <w:rsid w:val="6A9AF9E2"/>
    <w:rsid w:val="6A9C0F58"/>
    <w:rsid w:val="6A9E71D9"/>
    <w:rsid w:val="6AA2F68F"/>
    <w:rsid w:val="6AA3C565"/>
    <w:rsid w:val="6AA5F1F0"/>
    <w:rsid w:val="6AA649E9"/>
    <w:rsid w:val="6AA8EA62"/>
    <w:rsid w:val="6AAEF895"/>
    <w:rsid w:val="6AAFDB1B"/>
    <w:rsid w:val="6AB5B611"/>
    <w:rsid w:val="6AB9ADCA"/>
    <w:rsid w:val="6AD0DBDA"/>
    <w:rsid w:val="6AE5EB7A"/>
    <w:rsid w:val="6AE8B338"/>
    <w:rsid w:val="6AFE199F"/>
    <w:rsid w:val="6AFF0C3F"/>
    <w:rsid w:val="6AFF7D03"/>
    <w:rsid w:val="6B05555C"/>
    <w:rsid w:val="6B06EF12"/>
    <w:rsid w:val="6B0A9A52"/>
    <w:rsid w:val="6B103F75"/>
    <w:rsid w:val="6B140FB5"/>
    <w:rsid w:val="6B1A7FCC"/>
    <w:rsid w:val="6B1B807B"/>
    <w:rsid w:val="6B213156"/>
    <w:rsid w:val="6B3A89B1"/>
    <w:rsid w:val="6B3CB4C0"/>
    <w:rsid w:val="6B40E2E6"/>
    <w:rsid w:val="6B4646F0"/>
    <w:rsid w:val="6B4F9750"/>
    <w:rsid w:val="6B537F3D"/>
    <w:rsid w:val="6B5F709A"/>
    <w:rsid w:val="6B622D11"/>
    <w:rsid w:val="6B7C8723"/>
    <w:rsid w:val="6B88D273"/>
    <w:rsid w:val="6B94024D"/>
    <w:rsid w:val="6B97EE94"/>
    <w:rsid w:val="6B98C62B"/>
    <w:rsid w:val="6B9AC307"/>
    <w:rsid w:val="6BA8435E"/>
    <w:rsid w:val="6BB547FC"/>
    <w:rsid w:val="6BB60AB9"/>
    <w:rsid w:val="6BB8CEE5"/>
    <w:rsid w:val="6BBD7944"/>
    <w:rsid w:val="6BBEED18"/>
    <w:rsid w:val="6BC9AB51"/>
    <w:rsid w:val="6BCAE063"/>
    <w:rsid w:val="6BD45BBB"/>
    <w:rsid w:val="6BD49489"/>
    <w:rsid w:val="6BD75971"/>
    <w:rsid w:val="6BE70897"/>
    <w:rsid w:val="6BE7CAFA"/>
    <w:rsid w:val="6BE913F1"/>
    <w:rsid w:val="6BECCA13"/>
    <w:rsid w:val="6BF33E31"/>
    <w:rsid w:val="6BF44052"/>
    <w:rsid w:val="6BFD4369"/>
    <w:rsid w:val="6C08704E"/>
    <w:rsid w:val="6C12FE80"/>
    <w:rsid w:val="6C1C5060"/>
    <w:rsid w:val="6C1C5433"/>
    <w:rsid w:val="6C24CDE1"/>
    <w:rsid w:val="6C26320B"/>
    <w:rsid w:val="6C2BFEA5"/>
    <w:rsid w:val="6C32E52E"/>
    <w:rsid w:val="6C34D5BE"/>
    <w:rsid w:val="6C40F6AB"/>
    <w:rsid w:val="6C43A464"/>
    <w:rsid w:val="6C4F06F0"/>
    <w:rsid w:val="6C719EB9"/>
    <w:rsid w:val="6C810AC5"/>
    <w:rsid w:val="6C887805"/>
    <w:rsid w:val="6C8A6724"/>
    <w:rsid w:val="6C8C2E35"/>
    <w:rsid w:val="6C94192F"/>
    <w:rsid w:val="6CA9E875"/>
    <w:rsid w:val="6CAC8676"/>
    <w:rsid w:val="6CAE1311"/>
    <w:rsid w:val="6CB5E73F"/>
    <w:rsid w:val="6CC0536A"/>
    <w:rsid w:val="6CC5AED3"/>
    <w:rsid w:val="6CC768BE"/>
    <w:rsid w:val="6CC82E96"/>
    <w:rsid w:val="6CC9687A"/>
    <w:rsid w:val="6CCD3304"/>
    <w:rsid w:val="6CD3F6AD"/>
    <w:rsid w:val="6CDDBEF7"/>
    <w:rsid w:val="6CE9476C"/>
    <w:rsid w:val="6CEBF251"/>
    <w:rsid w:val="6D040A8D"/>
    <w:rsid w:val="6D0C49FC"/>
    <w:rsid w:val="6D13E3CB"/>
    <w:rsid w:val="6D1487D3"/>
    <w:rsid w:val="6D177512"/>
    <w:rsid w:val="6D1836CF"/>
    <w:rsid w:val="6D1BD03D"/>
    <w:rsid w:val="6D1F4FC8"/>
    <w:rsid w:val="6D22DE14"/>
    <w:rsid w:val="6D2A64CE"/>
    <w:rsid w:val="6D2D7A2F"/>
    <w:rsid w:val="6D2DD3B1"/>
    <w:rsid w:val="6D51B747"/>
    <w:rsid w:val="6D5210DF"/>
    <w:rsid w:val="6D65CA77"/>
    <w:rsid w:val="6D6E6489"/>
    <w:rsid w:val="6D79FC32"/>
    <w:rsid w:val="6D7BD7CA"/>
    <w:rsid w:val="6D80B704"/>
    <w:rsid w:val="6D8B53A7"/>
    <w:rsid w:val="6D9B52D3"/>
    <w:rsid w:val="6D9C2798"/>
    <w:rsid w:val="6DA44EC1"/>
    <w:rsid w:val="6DA71D2F"/>
    <w:rsid w:val="6DA789C5"/>
    <w:rsid w:val="6DA87991"/>
    <w:rsid w:val="6DAA561C"/>
    <w:rsid w:val="6DAB4211"/>
    <w:rsid w:val="6DAE9E49"/>
    <w:rsid w:val="6DB18440"/>
    <w:rsid w:val="6DB72CAF"/>
    <w:rsid w:val="6DB91404"/>
    <w:rsid w:val="6DB9EDD5"/>
    <w:rsid w:val="6DBF2B22"/>
    <w:rsid w:val="6DC8BDCF"/>
    <w:rsid w:val="6DC955C3"/>
    <w:rsid w:val="6DCD0A62"/>
    <w:rsid w:val="6DCE1819"/>
    <w:rsid w:val="6DD1ADAC"/>
    <w:rsid w:val="6DDA9D73"/>
    <w:rsid w:val="6DDDA8DD"/>
    <w:rsid w:val="6DE08593"/>
    <w:rsid w:val="6DE55050"/>
    <w:rsid w:val="6DE77BDD"/>
    <w:rsid w:val="6E087C4A"/>
    <w:rsid w:val="6E0B9C4D"/>
    <w:rsid w:val="6E17B2C0"/>
    <w:rsid w:val="6E193B6E"/>
    <w:rsid w:val="6E34C3FE"/>
    <w:rsid w:val="6E380113"/>
    <w:rsid w:val="6E3FFE9C"/>
    <w:rsid w:val="6E41E942"/>
    <w:rsid w:val="6E459198"/>
    <w:rsid w:val="6E52F652"/>
    <w:rsid w:val="6E56101D"/>
    <w:rsid w:val="6E587629"/>
    <w:rsid w:val="6E703F84"/>
    <w:rsid w:val="6E7A4F10"/>
    <w:rsid w:val="6E88BD73"/>
    <w:rsid w:val="6E8A9867"/>
    <w:rsid w:val="6E997864"/>
    <w:rsid w:val="6EAAF7A3"/>
    <w:rsid w:val="6EC3743A"/>
    <w:rsid w:val="6EC5B84B"/>
    <w:rsid w:val="6ED0B309"/>
    <w:rsid w:val="6ED37B85"/>
    <w:rsid w:val="6ED48094"/>
    <w:rsid w:val="6EE3A855"/>
    <w:rsid w:val="6EEC9B67"/>
    <w:rsid w:val="6EF70639"/>
    <w:rsid w:val="6EFBADF8"/>
    <w:rsid w:val="6EFC3293"/>
    <w:rsid w:val="6EFD62C2"/>
    <w:rsid w:val="6F03E41C"/>
    <w:rsid w:val="6F0414BC"/>
    <w:rsid w:val="6F0960CC"/>
    <w:rsid w:val="6F11FE45"/>
    <w:rsid w:val="6F1873D4"/>
    <w:rsid w:val="6F197D78"/>
    <w:rsid w:val="6F23306B"/>
    <w:rsid w:val="6F26DF31"/>
    <w:rsid w:val="6F28F14C"/>
    <w:rsid w:val="6F39072A"/>
    <w:rsid w:val="6F472B77"/>
    <w:rsid w:val="6F5183EA"/>
    <w:rsid w:val="6F5387EB"/>
    <w:rsid w:val="6F55072F"/>
    <w:rsid w:val="6F73A52B"/>
    <w:rsid w:val="6F74CC30"/>
    <w:rsid w:val="6F778DF3"/>
    <w:rsid w:val="6F8811C8"/>
    <w:rsid w:val="6F890DE7"/>
    <w:rsid w:val="6F8A2881"/>
    <w:rsid w:val="6F93CCE4"/>
    <w:rsid w:val="6F94903C"/>
    <w:rsid w:val="6F9547D8"/>
    <w:rsid w:val="6F9A0C39"/>
    <w:rsid w:val="6F9ABFFC"/>
    <w:rsid w:val="6F9E0015"/>
    <w:rsid w:val="6FA70568"/>
    <w:rsid w:val="6FACEC73"/>
    <w:rsid w:val="6FAF55F4"/>
    <w:rsid w:val="6FBF61DB"/>
    <w:rsid w:val="6FC7372B"/>
    <w:rsid w:val="6FD783B1"/>
    <w:rsid w:val="6FD90E96"/>
    <w:rsid w:val="6FDA816D"/>
    <w:rsid w:val="6FDFACA3"/>
    <w:rsid w:val="6FFA26F9"/>
    <w:rsid w:val="6FFCDA5C"/>
    <w:rsid w:val="6FFE3857"/>
    <w:rsid w:val="7003A7B0"/>
    <w:rsid w:val="70045B55"/>
    <w:rsid w:val="7004672A"/>
    <w:rsid w:val="7006CCFF"/>
    <w:rsid w:val="701A155C"/>
    <w:rsid w:val="701D7901"/>
    <w:rsid w:val="701EBE06"/>
    <w:rsid w:val="702B7B48"/>
    <w:rsid w:val="702F69CB"/>
    <w:rsid w:val="703C0F97"/>
    <w:rsid w:val="703D1B14"/>
    <w:rsid w:val="70411794"/>
    <w:rsid w:val="7059A742"/>
    <w:rsid w:val="706324E8"/>
    <w:rsid w:val="707DFC36"/>
    <w:rsid w:val="708EE796"/>
    <w:rsid w:val="7095735B"/>
    <w:rsid w:val="7095991D"/>
    <w:rsid w:val="709DC800"/>
    <w:rsid w:val="70A52618"/>
    <w:rsid w:val="70A7AA6A"/>
    <w:rsid w:val="70B63B13"/>
    <w:rsid w:val="70BA9BC9"/>
    <w:rsid w:val="70C12491"/>
    <w:rsid w:val="70C43526"/>
    <w:rsid w:val="70CBEC84"/>
    <w:rsid w:val="70E6EEF7"/>
    <w:rsid w:val="70E9F0C7"/>
    <w:rsid w:val="70EBFF49"/>
    <w:rsid w:val="70F6DC2A"/>
    <w:rsid w:val="71035668"/>
    <w:rsid w:val="71162C10"/>
    <w:rsid w:val="7118BF49"/>
    <w:rsid w:val="711E47EC"/>
    <w:rsid w:val="7132C71F"/>
    <w:rsid w:val="71387DEA"/>
    <w:rsid w:val="71405AC7"/>
    <w:rsid w:val="71428DB5"/>
    <w:rsid w:val="714916B2"/>
    <w:rsid w:val="71612B2D"/>
    <w:rsid w:val="716D1577"/>
    <w:rsid w:val="717FB5C7"/>
    <w:rsid w:val="7180975C"/>
    <w:rsid w:val="7181C5E1"/>
    <w:rsid w:val="71886C05"/>
    <w:rsid w:val="71A3E6C8"/>
    <w:rsid w:val="71A59071"/>
    <w:rsid w:val="71AE01B0"/>
    <w:rsid w:val="71B6659B"/>
    <w:rsid w:val="71B7D974"/>
    <w:rsid w:val="71C496E5"/>
    <w:rsid w:val="71C8C882"/>
    <w:rsid w:val="71CFFF89"/>
    <w:rsid w:val="71D08337"/>
    <w:rsid w:val="71D7655E"/>
    <w:rsid w:val="71D91A4C"/>
    <w:rsid w:val="71D9FFAC"/>
    <w:rsid w:val="71DAEC04"/>
    <w:rsid w:val="71DDA442"/>
    <w:rsid w:val="71F36FA6"/>
    <w:rsid w:val="71F4DDAF"/>
    <w:rsid w:val="71FDD7BA"/>
    <w:rsid w:val="7201D32A"/>
    <w:rsid w:val="7202D993"/>
    <w:rsid w:val="720D365A"/>
    <w:rsid w:val="720E42E6"/>
    <w:rsid w:val="721D304C"/>
    <w:rsid w:val="7226FC5D"/>
    <w:rsid w:val="72281F79"/>
    <w:rsid w:val="72308FEC"/>
    <w:rsid w:val="7234D0B3"/>
    <w:rsid w:val="72351FBF"/>
    <w:rsid w:val="723A51B1"/>
    <w:rsid w:val="723BCCDC"/>
    <w:rsid w:val="72498327"/>
    <w:rsid w:val="7252CF59"/>
    <w:rsid w:val="725CF4F2"/>
    <w:rsid w:val="725E4689"/>
    <w:rsid w:val="726902B0"/>
    <w:rsid w:val="726F63DD"/>
    <w:rsid w:val="7274D248"/>
    <w:rsid w:val="72778641"/>
    <w:rsid w:val="7277BB44"/>
    <w:rsid w:val="72790916"/>
    <w:rsid w:val="7282BF44"/>
    <w:rsid w:val="728524B9"/>
    <w:rsid w:val="72953BFB"/>
    <w:rsid w:val="7297D2CD"/>
    <w:rsid w:val="729C5ED4"/>
    <w:rsid w:val="72ABD8D6"/>
    <w:rsid w:val="72B5869A"/>
    <w:rsid w:val="72B5A0F7"/>
    <w:rsid w:val="72B78E18"/>
    <w:rsid w:val="72B92B34"/>
    <w:rsid w:val="72BBE5B8"/>
    <w:rsid w:val="72BD7420"/>
    <w:rsid w:val="72C44D15"/>
    <w:rsid w:val="72CC3C68"/>
    <w:rsid w:val="72D7A334"/>
    <w:rsid w:val="72DB9D6E"/>
    <w:rsid w:val="72E6BF4A"/>
    <w:rsid w:val="72E788B0"/>
    <w:rsid w:val="72E7BD21"/>
    <w:rsid w:val="72EA3ED1"/>
    <w:rsid w:val="72EC707C"/>
    <w:rsid w:val="72ECD3B6"/>
    <w:rsid w:val="72F42EBB"/>
    <w:rsid w:val="7304D14F"/>
    <w:rsid w:val="73119658"/>
    <w:rsid w:val="7327ADDC"/>
    <w:rsid w:val="732E660E"/>
    <w:rsid w:val="7348840F"/>
    <w:rsid w:val="7360E223"/>
    <w:rsid w:val="7362C436"/>
    <w:rsid w:val="7365A780"/>
    <w:rsid w:val="7368331C"/>
    <w:rsid w:val="736C18B7"/>
    <w:rsid w:val="736C5575"/>
    <w:rsid w:val="736C8D54"/>
    <w:rsid w:val="73701E96"/>
    <w:rsid w:val="73789294"/>
    <w:rsid w:val="737E64BB"/>
    <w:rsid w:val="73850D07"/>
    <w:rsid w:val="73855CEE"/>
    <w:rsid w:val="738D9A10"/>
    <w:rsid w:val="738E4DEA"/>
    <w:rsid w:val="738E914C"/>
    <w:rsid w:val="73995D57"/>
    <w:rsid w:val="73A15BBF"/>
    <w:rsid w:val="73A81058"/>
    <w:rsid w:val="73B1632B"/>
    <w:rsid w:val="73B61013"/>
    <w:rsid w:val="73C3A9C8"/>
    <w:rsid w:val="73C88863"/>
    <w:rsid w:val="73CA64EE"/>
    <w:rsid w:val="73D4E919"/>
    <w:rsid w:val="73D586B1"/>
    <w:rsid w:val="73D94784"/>
    <w:rsid w:val="73E1FAC8"/>
    <w:rsid w:val="73E527B9"/>
    <w:rsid w:val="73E8293E"/>
    <w:rsid w:val="73F1E4C2"/>
    <w:rsid w:val="73F61E99"/>
    <w:rsid w:val="73FBDF03"/>
    <w:rsid w:val="740EAA22"/>
    <w:rsid w:val="741A3E17"/>
    <w:rsid w:val="741AF4B1"/>
    <w:rsid w:val="741EB3A7"/>
    <w:rsid w:val="7421DCB2"/>
    <w:rsid w:val="74293F60"/>
    <w:rsid w:val="742B79F1"/>
    <w:rsid w:val="743051F5"/>
    <w:rsid w:val="74320830"/>
    <w:rsid w:val="7433F6D4"/>
    <w:rsid w:val="744FAD8F"/>
    <w:rsid w:val="744FC717"/>
    <w:rsid w:val="7463A99F"/>
    <w:rsid w:val="746F4662"/>
    <w:rsid w:val="7472E5A9"/>
    <w:rsid w:val="7487E5DE"/>
    <w:rsid w:val="748BF482"/>
    <w:rsid w:val="74A1BA66"/>
    <w:rsid w:val="74A2C364"/>
    <w:rsid w:val="74A67A49"/>
    <w:rsid w:val="74AC0C78"/>
    <w:rsid w:val="74B001F7"/>
    <w:rsid w:val="74D06A9A"/>
    <w:rsid w:val="74D6469F"/>
    <w:rsid w:val="74DA55B6"/>
    <w:rsid w:val="74DA991D"/>
    <w:rsid w:val="74EEA98B"/>
    <w:rsid w:val="74FA6DBD"/>
    <w:rsid w:val="74FE3384"/>
    <w:rsid w:val="75039858"/>
    <w:rsid w:val="750C472D"/>
    <w:rsid w:val="75129B04"/>
    <w:rsid w:val="751E0F18"/>
    <w:rsid w:val="7526FF8D"/>
    <w:rsid w:val="753AF476"/>
    <w:rsid w:val="753E367E"/>
    <w:rsid w:val="75406471"/>
    <w:rsid w:val="7548302C"/>
    <w:rsid w:val="7553D9CB"/>
    <w:rsid w:val="755C006C"/>
    <w:rsid w:val="7562C52D"/>
    <w:rsid w:val="75664E93"/>
    <w:rsid w:val="7570E723"/>
    <w:rsid w:val="7571B2C9"/>
    <w:rsid w:val="75733555"/>
    <w:rsid w:val="75799F54"/>
    <w:rsid w:val="758469C0"/>
    <w:rsid w:val="75941139"/>
    <w:rsid w:val="7596B2B6"/>
    <w:rsid w:val="759932A5"/>
    <w:rsid w:val="759C833A"/>
    <w:rsid w:val="759DE400"/>
    <w:rsid w:val="759DFA71"/>
    <w:rsid w:val="75A65389"/>
    <w:rsid w:val="75AEEDE9"/>
    <w:rsid w:val="75B8B98A"/>
    <w:rsid w:val="75C35F04"/>
    <w:rsid w:val="75C3CE67"/>
    <w:rsid w:val="75C7B868"/>
    <w:rsid w:val="75D4F3BE"/>
    <w:rsid w:val="75D78137"/>
    <w:rsid w:val="75DE42B2"/>
    <w:rsid w:val="75DF8A6C"/>
    <w:rsid w:val="75ED816B"/>
    <w:rsid w:val="76003CF1"/>
    <w:rsid w:val="760110F0"/>
    <w:rsid w:val="7606CFBA"/>
    <w:rsid w:val="76089D59"/>
    <w:rsid w:val="760B24F6"/>
    <w:rsid w:val="760C16C2"/>
    <w:rsid w:val="760C76D7"/>
    <w:rsid w:val="760CA643"/>
    <w:rsid w:val="76104FE1"/>
    <w:rsid w:val="76108C12"/>
    <w:rsid w:val="761DF7AD"/>
    <w:rsid w:val="76287516"/>
    <w:rsid w:val="762A36EF"/>
    <w:rsid w:val="762C9F67"/>
    <w:rsid w:val="762D8852"/>
    <w:rsid w:val="764846F3"/>
    <w:rsid w:val="76510824"/>
    <w:rsid w:val="765368BC"/>
    <w:rsid w:val="76565F08"/>
    <w:rsid w:val="76630702"/>
    <w:rsid w:val="7669AB5B"/>
    <w:rsid w:val="767BD52E"/>
    <w:rsid w:val="767E6B48"/>
    <w:rsid w:val="76818FDE"/>
    <w:rsid w:val="7685F5E4"/>
    <w:rsid w:val="768E2268"/>
    <w:rsid w:val="769253E1"/>
    <w:rsid w:val="769D95EA"/>
    <w:rsid w:val="76A7EA45"/>
    <w:rsid w:val="76A8178E"/>
    <w:rsid w:val="76AC13B6"/>
    <w:rsid w:val="76BB900B"/>
    <w:rsid w:val="76BDC87C"/>
    <w:rsid w:val="76BE9BDF"/>
    <w:rsid w:val="76CEFF87"/>
    <w:rsid w:val="76DBF11A"/>
    <w:rsid w:val="76DBFE74"/>
    <w:rsid w:val="76F0918F"/>
    <w:rsid w:val="76F3ED93"/>
    <w:rsid w:val="76F432F4"/>
    <w:rsid w:val="76F4D36A"/>
    <w:rsid w:val="770ED100"/>
    <w:rsid w:val="770F8FB5"/>
    <w:rsid w:val="771D2A6A"/>
    <w:rsid w:val="77288302"/>
    <w:rsid w:val="772EB439"/>
    <w:rsid w:val="7735F0D8"/>
    <w:rsid w:val="7736250C"/>
    <w:rsid w:val="7738539B"/>
    <w:rsid w:val="77560A69"/>
    <w:rsid w:val="775F62CD"/>
    <w:rsid w:val="777152F6"/>
    <w:rsid w:val="7772F44F"/>
    <w:rsid w:val="777535C6"/>
    <w:rsid w:val="77776160"/>
    <w:rsid w:val="77843EC3"/>
    <w:rsid w:val="7795E661"/>
    <w:rsid w:val="77966E38"/>
    <w:rsid w:val="77987A23"/>
    <w:rsid w:val="779B55A0"/>
    <w:rsid w:val="77BE9DF2"/>
    <w:rsid w:val="77CC3824"/>
    <w:rsid w:val="77CF0625"/>
    <w:rsid w:val="77D43677"/>
    <w:rsid w:val="77D98335"/>
    <w:rsid w:val="77DFA426"/>
    <w:rsid w:val="77E8DC76"/>
    <w:rsid w:val="77E929BF"/>
    <w:rsid w:val="77EDA2CE"/>
    <w:rsid w:val="77F0BD1D"/>
    <w:rsid w:val="77F29508"/>
    <w:rsid w:val="77F38FFC"/>
    <w:rsid w:val="77F48768"/>
    <w:rsid w:val="78066A64"/>
    <w:rsid w:val="780FD9C7"/>
    <w:rsid w:val="7812CE3D"/>
    <w:rsid w:val="781424D9"/>
    <w:rsid w:val="7815441B"/>
    <w:rsid w:val="781708E8"/>
    <w:rsid w:val="7818F696"/>
    <w:rsid w:val="781AD830"/>
    <w:rsid w:val="781BBF96"/>
    <w:rsid w:val="781D492C"/>
    <w:rsid w:val="7820FD33"/>
    <w:rsid w:val="7823D74C"/>
    <w:rsid w:val="78377FA9"/>
    <w:rsid w:val="783EA995"/>
    <w:rsid w:val="7840FA96"/>
    <w:rsid w:val="78480EF9"/>
    <w:rsid w:val="7849A58C"/>
    <w:rsid w:val="784AF7D1"/>
    <w:rsid w:val="784E9AD2"/>
    <w:rsid w:val="78576290"/>
    <w:rsid w:val="785B26A0"/>
    <w:rsid w:val="785EF3B1"/>
    <w:rsid w:val="786466E3"/>
    <w:rsid w:val="786788FB"/>
    <w:rsid w:val="786FE5E8"/>
    <w:rsid w:val="7884E2A2"/>
    <w:rsid w:val="78887A50"/>
    <w:rsid w:val="7889A78E"/>
    <w:rsid w:val="78A0581B"/>
    <w:rsid w:val="78A0D878"/>
    <w:rsid w:val="78A8463E"/>
    <w:rsid w:val="78B38E32"/>
    <w:rsid w:val="78BBD901"/>
    <w:rsid w:val="78CC3676"/>
    <w:rsid w:val="78CF730D"/>
    <w:rsid w:val="78DAED57"/>
    <w:rsid w:val="78E0693A"/>
    <w:rsid w:val="78E3CDE4"/>
    <w:rsid w:val="78E61F65"/>
    <w:rsid w:val="78F04422"/>
    <w:rsid w:val="790062F5"/>
    <w:rsid w:val="790457AA"/>
    <w:rsid w:val="79126017"/>
    <w:rsid w:val="79164536"/>
    <w:rsid w:val="791D6BE8"/>
    <w:rsid w:val="7923574E"/>
    <w:rsid w:val="792B86B4"/>
    <w:rsid w:val="794632FE"/>
    <w:rsid w:val="7948B870"/>
    <w:rsid w:val="7949B624"/>
    <w:rsid w:val="794C1F7E"/>
    <w:rsid w:val="794C4A50"/>
    <w:rsid w:val="7950416A"/>
    <w:rsid w:val="79581445"/>
    <w:rsid w:val="795FB26D"/>
    <w:rsid w:val="796895BD"/>
    <w:rsid w:val="7969CD69"/>
    <w:rsid w:val="7973ACB0"/>
    <w:rsid w:val="79781EBB"/>
    <w:rsid w:val="79789F49"/>
    <w:rsid w:val="79821177"/>
    <w:rsid w:val="7985BD4C"/>
    <w:rsid w:val="79A5514B"/>
    <w:rsid w:val="79AD49A3"/>
    <w:rsid w:val="79B0FC8C"/>
    <w:rsid w:val="79B3F54D"/>
    <w:rsid w:val="79B763D2"/>
    <w:rsid w:val="79B894C2"/>
    <w:rsid w:val="79BB0806"/>
    <w:rsid w:val="79C52CE5"/>
    <w:rsid w:val="79DAC3EB"/>
    <w:rsid w:val="79EE5FDD"/>
    <w:rsid w:val="79FDD547"/>
    <w:rsid w:val="7A0B34D2"/>
    <w:rsid w:val="7A16556A"/>
    <w:rsid w:val="7A206199"/>
    <w:rsid w:val="7A2E9AB3"/>
    <w:rsid w:val="7A328FB4"/>
    <w:rsid w:val="7A32ECF6"/>
    <w:rsid w:val="7A39D289"/>
    <w:rsid w:val="7A3A9C18"/>
    <w:rsid w:val="7A3B3E28"/>
    <w:rsid w:val="7A4E7238"/>
    <w:rsid w:val="7A5634DF"/>
    <w:rsid w:val="7A5ABCFE"/>
    <w:rsid w:val="7A64BA73"/>
    <w:rsid w:val="7A6B3102"/>
    <w:rsid w:val="7A6B7706"/>
    <w:rsid w:val="7A7216D6"/>
    <w:rsid w:val="7A84809D"/>
    <w:rsid w:val="7A85A037"/>
    <w:rsid w:val="7A8AB993"/>
    <w:rsid w:val="7A983CA2"/>
    <w:rsid w:val="7A99AAA4"/>
    <w:rsid w:val="7AAA26C5"/>
    <w:rsid w:val="7AB13F6A"/>
    <w:rsid w:val="7AB60A0D"/>
    <w:rsid w:val="7AB65DFD"/>
    <w:rsid w:val="7ABD6983"/>
    <w:rsid w:val="7AC250B5"/>
    <w:rsid w:val="7AC5F64F"/>
    <w:rsid w:val="7AC5FEE5"/>
    <w:rsid w:val="7AC75493"/>
    <w:rsid w:val="7AD060CF"/>
    <w:rsid w:val="7AD34361"/>
    <w:rsid w:val="7AD85337"/>
    <w:rsid w:val="7ADC3CC8"/>
    <w:rsid w:val="7ADFAD57"/>
    <w:rsid w:val="7AE2F0DF"/>
    <w:rsid w:val="7AE891EF"/>
    <w:rsid w:val="7AE8AB1F"/>
    <w:rsid w:val="7AF8C991"/>
    <w:rsid w:val="7B055BB7"/>
    <w:rsid w:val="7B0A22F5"/>
    <w:rsid w:val="7B0DD4BC"/>
    <w:rsid w:val="7B18088D"/>
    <w:rsid w:val="7B22C969"/>
    <w:rsid w:val="7B27DE12"/>
    <w:rsid w:val="7B2BE099"/>
    <w:rsid w:val="7B3884B5"/>
    <w:rsid w:val="7B4B73EC"/>
    <w:rsid w:val="7B5347C9"/>
    <w:rsid w:val="7B53DF41"/>
    <w:rsid w:val="7B61ABB9"/>
    <w:rsid w:val="7B6E08EC"/>
    <w:rsid w:val="7B7E761C"/>
    <w:rsid w:val="7B80A0F3"/>
    <w:rsid w:val="7B89014E"/>
    <w:rsid w:val="7B951693"/>
    <w:rsid w:val="7B95392E"/>
    <w:rsid w:val="7B96CE5E"/>
    <w:rsid w:val="7BA0A745"/>
    <w:rsid w:val="7BA1737F"/>
    <w:rsid w:val="7BA1FAF6"/>
    <w:rsid w:val="7BA57D80"/>
    <w:rsid w:val="7BAECF63"/>
    <w:rsid w:val="7BB0812C"/>
    <w:rsid w:val="7BB84BF0"/>
    <w:rsid w:val="7BCA03FB"/>
    <w:rsid w:val="7BCA7822"/>
    <w:rsid w:val="7BD365D6"/>
    <w:rsid w:val="7BD75C9A"/>
    <w:rsid w:val="7BDCD100"/>
    <w:rsid w:val="7BDCE0D3"/>
    <w:rsid w:val="7BE85866"/>
    <w:rsid w:val="7C0368F6"/>
    <w:rsid w:val="7C073F61"/>
    <w:rsid w:val="7C0918D6"/>
    <w:rsid w:val="7C096B5B"/>
    <w:rsid w:val="7C0ACAA1"/>
    <w:rsid w:val="7C0AF88A"/>
    <w:rsid w:val="7C10EBA2"/>
    <w:rsid w:val="7C1DE761"/>
    <w:rsid w:val="7C295E1E"/>
    <w:rsid w:val="7C2D6EA7"/>
    <w:rsid w:val="7C3803B7"/>
    <w:rsid w:val="7C3BC25D"/>
    <w:rsid w:val="7C3D9144"/>
    <w:rsid w:val="7C523CFD"/>
    <w:rsid w:val="7C54F202"/>
    <w:rsid w:val="7C56D4EB"/>
    <w:rsid w:val="7C5A6068"/>
    <w:rsid w:val="7C64E0FF"/>
    <w:rsid w:val="7C6C2FDD"/>
    <w:rsid w:val="7C737AC0"/>
    <w:rsid w:val="7C776870"/>
    <w:rsid w:val="7C7B1605"/>
    <w:rsid w:val="7C8D4062"/>
    <w:rsid w:val="7C8E3271"/>
    <w:rsid w:val="7C8E4D22"/>
    <w:rsid w:val="7C90793B"/>
    <w:rsid w:val="7C934613"/>
    <w:rsid w:val="7C99D282"/>
    <w:rsid w:val="7CA9D7EE"/>
    <w:rsid w:val="7CB07F77"/>
    <w:rsid w:val="7CCC7F8B"/>
    <w:rsid w:val="7CCD0CBA"/>
    <w:rsid w:val="7CD2EB6F"/>
    <w:rsid w:val="7CD7C1CF"/>
    <w:rsid w:val="7CE7B784"/>
    <w:rsid w:val="7CF388C0"/>
    <w:rsid w:val="7CF3DCAD"/>
    <w:rsid w:val="7CF43891"/>
    <w:rsid w:val="7CF4E1B4"/>
    <w:rsid w:val="7CF4EA68"/>
    <w:rsid w:val="7CFC0216"/>
    <w:rsid w:val="7D0A41A6"/>
    <w:rsid w:val="7D20EFDC"/>
    <w:rsid w:val="7D2145F3"/>
    <w:rsid w:val="7D239134"/>
    <w:rsid w:val="7D24EABE"/>
    <w:rsid w:val="7D280F08"/>
    <w:rsid w:val="7D288B26"/>
    <w:rsid w:val="7D2C37FD"/>
    <w:rsid w:val="7D3F8210"/>
    <w:rsid w:val="7D3FC408"/>
    <w:rsid w:val="7D418EFD"/>
    <w:rsid w:val="7D41E559"/>
    <w:rsid w:val="7D470D68"/>
    <w:rsid w:val="7D593B6A"/>
    <w:rsid w:val="7D6015C4"/>
    <w:rsid w:val="7D665440"/>
    <w:rsid w:val="7D673C66"/>
    <w:rsid w:val="7D7E7B6C"/>
    <w:rsid w:val="7D7FFBBC"/>
    <w:rsid w:val="7D8D68F4"/>
    <w:rsid w:val="7D985488"/>
    <w:rsid w:val="7D9D76B0"/>
    <w:rsid w:val="7DA5E7AF"/>
    <w:rsid w:val="7DA6144C"/>
    <w:rsid w:val="7DAB9C35"/>
    <w:rsid w:val="7DB4BF94"/>
    <w:rsid w:val="7DBD109F"/>
    <w:rsid w:val="7DBE6AA7"/>
    <w:rsid w:val="7DBEF3AD"/>
    <w:rsid w:val="7DBF408E"/>
    <w:rsid w:val="7DC040BD"/>
    <w:rsid w:val="7DC0A021"/>
    <w:rsid w:val="7DD6BFB2"/>
    <w:rsid w:val="7DE5AE8D"/>
    <w:rsid w:val="7DFB1683"/>
    <w:rsid w:val="7E035F69"/>
    <w:rsid w:val="7E084EB9"/>
    <w:rsid w:val="7E0B59AA"/>
    <w:rsid w:val="7E100FBD"/>
    <w:rsid w:val="7E130EE7"/>
    <w:rsid w:val="7E1A2C47"/>
    <w:rsid w:val="7E277D2C"/>
    <w:rsid w:val="7E2D6A8E"/>
    <w:rsid w:val="7E35718D"/>
    <w:rsid w:val="7E3B79A8"/>
    <w:rsid w:val="7E43D3BE"/>
    <w:rsid w:val="7E49ED3D"/>
    <w:rsid w:val="7E4CCB8C"/>
    <w:rsid w:val="7E4F30A2"/>
    <w:rsid w:val="7E58A018"/>
    <w:rsid w:val="7E5E7AA1"/>
    <w:rsid w:val="7E6F5348"/>
    <w:rsid w:val="7E7064B0"/>
    <w:rsid w:val="7E78FC14"/>
    <w:rsid w:val="7E82C4B1"/>
    <w:rsid w:val="7E831A94"/>
    <w:rsid w:val="7E867273"/>
    <w:rsid w:val="7E8BC3C6"/>
    <w:rsid w:val="7E8C84B4"/>
    <w:rsid w:val="7E9E9067"/>
    <w:rsid w:val="7EA61906"/>
    <w:rsid w:val="7EA6BA1F"/>
    <w:rsid w:val="7EAA0C69"/>
    <w:rsid w:val="7EAA40C9"/>
    <w:rsid w:val="7ECDE1D3"/>
    <w:rsid w:val="7ED41761"/>
    <w:rsid w:val="7EDA126E"/>
    <w:rsid w:val="7EE3ECB8"/>
    <w:rsid w:val="7EE987EB"/>
    <w:rsid w:val="7EEBC2EC"/>
    <w:rsid w:val="7EF1F8A2"/>
    <w:rsid w:val="7EF72443"/>
    <w:rsid w:val="7F2359B8"/>
    <w:rsid w:val="7F238A66"/>
    <w:rsid w:val="7F2646B2"/>
    <w:rsid w:val="7F2C7458"/>
    <w:rsid w:val="7F3026A7"/>
    <w:rsid w:val="7F4602B8"/>
    <w:rsid w:val="7F47708D"/>
    <w:rsid w:val="7F4AF9FF"/>
    <w:rsid w:val="7F4D11E7"/>
    <w:rsid w:val="7F4E0874"/>
    <w:rsid w:val="7F4F4584"/>
    <w:rsid w:val="7F5CF17C"/>
    <w:rsid w:val="7F645695"/>
    <w:rsid w:val="7F690FF1"/>
    <w:rsid w:val="7F725835"/>
    <w:rsid w:val="7F72C813"/>
    <w:rsid w:val="7F770F7F"/>
    <w:rsid w:val="7F856CCC"/>
    <w:rsid w:val="7F8718C9"/>
    <w:rsid w:val="7F8DB0AE"/>
    <w:rsid w:val="7F93DF16"/>
    <w:rsid w:val="7FABF877"/>
    <w:rsid w:val="7FC430E9"/>
    <w:rsid w:val="7FC85053"/>
    <w:rsid w:val="7FCE1EAE"/>
    <w:rsid w:val="7FD099F8"/>
    <w:rsid w:val="7FD43234"/>
    <w:rsid w:val="7FDEF7A6"/>
    <w:rsid w:val="7FE0FCFC"/>
    <w:rsid w:val="7FE3AA3A"/>
    <w:rsid w:val="7FE6181B"/>
    <w:rsid w:val="7FE9980C"/>
    <w:rsid w:val="7FF94AE9"/>
    <w:rsid w:val="7FFEC45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0D4F27"/>
  <w15:chartTrackingRefBased/>
  <w15:docId w15:val="{21273A10-B771-4B8F-9B71-B64B0476B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A9"/>
    <w:rPr>
      <w:sz w:val="24"/>
    </w:rPr>
  </w:style>
  <w:style w:type="paragraph" w:styleId="Heading1">
    <w:name w:val="heading 1"/>
    <w:basedOn w:val="Normal"/>
    <w:next w:val="Normal"/>
    <w:link w:val="Heading1Char"/>
    <w:uiPriority w:val="9"/>
    <w:qFormat/>
    <w:rsid w:val="00A673B6"/>
    <w:pPr>
      <w:keepNext/>
      <w:keepLines/>
      <w:spacing w:before="240" w:after="0"/>
      <w:outlineLvl w:val="0"/>
    </w:pPr>
    <w:rPr>
      <w:rFonts w:asciiTheme="majorHAnsi" w:eastAsiaTheme="majorEastAsia" w:hAnsiTheme="majorHAnsi" w:cstheme="majorBidi"/>
      <w:b/>
      <w:color w:val="2F5496" w:themeColor="accent1" w:themeShade="BF"/>
      <w:sz w:val="40"/>
      <w:szCs w:val="32"/>
    </w:rPr>
  </w:style>
  <w:style w:type="paragraph" w:styleId="Heading2">
    <w:name w:val="heading 2"/>
    <w:basedOn w:val="Normal"/>
    <w:next w:val="Normal"/>
    <w:link w:val="Heading2Char"/>
    <w:uiPriority w:val="9"/>
    <w:unhideWhenUsed/>
    <w:qFormat/>
    <w:rsid w:val="00A673B6"/>
    <w:pPr>
      <w:keepNext/>
      <w:keepLines/>
      <w:spacing w:before="40" w:after="0"/>
      <w:outlineLvl w:val="1"/>
    </w:pPr>
    <w:rPr>
      <w:rFonts w:asciiTheme="majorHAnsi" w:eastAsiaTheme="majorEastAsia" w:hAnsiTheme="majorHAnsi" w:cstheme="majorBidi"/>
      <w:b/>
      <w:color w:val="2F5496" w:themeColor="accent1" w:themeShade="BF"/>
      <w:sz w:val="32"/>
      <w:szCs w:val="26"/>
    </w:rPr>
  </w:style>
  <w:style w:type="paragraph" w:styleId="Heading3">
    <w:name w:val="heading 3"/>
    <w:basedOn w:val="Normal"/>
    <w:next w:val="Normal"/>
    <w:link w:val="Heading3Char"/>
    <w:uiPriority w:val="9"/>
    <w:unhideWhenUsed/>
    <w:qFormat/>
    <w:rsid w:val="00321D06"/>
    <w:pPr>
      <w:keepNext/>
      <w:keepLines/>
      <w:spacing w:before="40" w:after="0"/>
      <w:outlineLvl w:val="2"/>
    </w:pPr>
    <w:rPr>
      <w:rFonts w:asciiTheme="majorHAnsi" w:eastAsiaTheme="majorEastAsia" w:hAnsiTheme="majorHAnsi" w:cstheme="majorBidi"/>
      <w:b/>
      <w:color w:val="1F3763" w:themeColor="accent1" w:themeShade="7F"/>
      <w:sz w:val="28"/>
      <w:szCs w:val="24"/>
    </w:rPr>
  </w:style>
  <w:style w:type="paragraph" w:styleId="Heading4">
    <w:name w:val="heading 4"/>
    <w:basedOn w:val="Normal"/>
    <w:next w:val="Normal"/>
    <w:link w:val="Heading4Char"/>
    <w:uiPriority w:val="9"/>
    <w:unhideWhenUsed/>
    <w:qFormat/>
    <w:rsid w:val="00F01CCC"/>
    <w:pPr>
      <w:keepNext/>
      <w:keepLines/>
      <w:spacing w:before="40" w:after="0"/>
      <w:outlineLvl w:val="3"/>
    </w:pPr>
    <w:rPr>
      <w:rFonts w:asciiTheme="majorHAnsi" w:eastAsiaTheme="majorEastAsia" w:hAnsiTheme="majorHAnsi" w:cstheme="majorBidi"/>
      <w:b/>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A88"/>
    <w:pPr>
      <w:ind w:left="720"/>
      <w:contextualSpacing/>
    </w:pPr>
  </w:style>
  <w:style w:type="character" w:customStyle="1" w:styleId="Heading1Char">
    <w:name w:val="Heading 1 Char"/>
    <w:basedOn w:val="DefaultParagraphFont"/>
    <w:link w:val="Heading1"/>
    <w:uiPriority w:val="9"/>
    <w:rsid w:val="00A673B6"/>
    <w:rPr>
      <w:rFonts w:asciiTheme="majorHAnsi" w:eastAsiaTheme="majorEastAsia" w:hAnsiTheme="majorHAnsi" w:cstheme="majorBidi"/>
      <w:b/>
      <w:color w:val="2F5496" w:themeColor="accent1" w:themeShade="BF"/>
      <w:sz w:val="40"/>
      <w:szCs w:val="32"/>
    </w:rPr>
  </w:style>
  <w:style w:type="character" w:customStyle="1" w:styleId="Heading2Char">
    <w:name w:val="Heading 2 Char"/>
    <w:basedOn w:val="DefaultParagraphFont"/>
    <w:link w:val="Heading2"/>
    <w:uiPriority w:val="9"/>
    <w:rsid w:val="00A673B6"/>
    <w:rPr>
      <w:rFonts w:asciiTheme="majorHAnsi" w:eastAsiaTheme="majorEastAsia" w:hAnsiTheme="majorHAnsi" w:cstheme="majorBidi"/>
      <w:b/>
      <w:color w:val="2F5496" w:themeColor="accent1" w:themeShade="BF"/>
      <w:sz w:val="32"/>
      <w:szCs w:val="26"/>
    </w:rPr>
  </w:style>
  <w:style w:type="paragraph" w:styleId="FootnoteText">
    <w:name w:val="footnote text"/>
    <w:basedOn w:val="Normal"/>
    <w:link w:val="FootnoteTextChar"/>
    <w:uiPriority w:val="99"/>
    <w:semiHidden/>
    <w:unhideWhenUsed/>
    <w:rsid w:val="00D431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31ED"/>
    <w:rPr>
      <w:sz w:val="20"/>
      <w:szCs w:val="20"/>
    </w:rPr>
  </w:style>
  <w:style w:type="character" w:styleId="FootnoteReference">
    <w:name w:val="footnote reference"/>
    <w:basedOn w:val="DefaultParagraphFont"/>
    <w:uiPriority w:val="99"/>
    <w:semiHidden/>
    <w:unhideWhenUsed/>
    <w:rsid w:val="00D431ED"/>
    <w:rPr>
      <w:vertAlign w:val="superscript"/>
    </w:rPr>
  </w:style>
  <w:style w:type="character" w:styleId="Hyperlink">
    <w:name w:val="Hyperlink"/>
    <w:basedOn w:val="DefaultParagraphFont"/>
    <w:uiPriority w:val="99"/>
    <w:unhideWhenUsed/>
    <w:rsid w:val="00A66D78"/>
    <w:rPr>
      <w:color w:val="0563C1" w:themeColor="hyperlink"/>
      <w:u w:val="single"/>
    </w:rPr>
  </w:style>
  <w:style w:type="character" w:styleId="UnresolvedMention">
    <w:name w:val="Unresolved Mention"/>
    <w:basedOn w:val="DefaultParagraphFont"/>
    <w:uiPriority w:val="99"/>
    <w:semiHidden/>
    <w:unhideWhenUsed/>
    <w:rsid w:val="00A66D78"/>
    <w:rPr>
      <w:color w:val="605E5C"/>
      <w:shd w:val="clear" w:color="auto" w:fill="E1DFDD"/>
    </w:rPr>
  </w:style>
  <w:style w:type="paragraph" w:customStyle="1" w:styleId="arrow">
    <w:name w:val="arrow"/>
    <w:basedOn w:val="Normal"/>
    <w:rsid w:val="00A84F4E"/>
    <w:pPr>
      <w:spacing w:before="100" w:beforeAutospacing="1" w:after="100" w:afterAutospacing="1" w:line="240" w:lineRule="auto"/>
    </w:pPr>
    <w:rPr>
      <w:rFonts w:ascii="Times New Roman" w:eastAsia="Times New Roman" w:hAnsi="Times New Roman" w:cs="Times New Roman"/>
      <w:szCs w:val="24"/>
      <w:lang w:eastAsia="en-AU"/>
    </w:rPr>
  </w:style>
  <w:style w:type="character" w:styleId="FollowedHyperlink">
    <w:name w:val="FollowedHyperlink"/>
    <w:basedOn w:val="DefaultParagraphFont"/>
    <w:uiPriority w:val="99"/>
    <w:semiHidden/>
    <w:unhideWhenUsed/>
    <w:rsid w:val="00A84F4E"/>
    <w:rPr>
      <w:color w:val="954F72" w:themeColor="followedHyperlink"/>
      <w:u w:val="single"/>
    </w:rPr>
  </w:style>
  <w:style w:type="character" w:customStyle="1" w:styleId="Heading3Char">
    <w:name w:val="Heading 3 Char"/>
    <w:basedOn w:val="DefaultParagraphFont"/>
    <w:link w:val="Heading3"/>
    <w:uiPriority w:val="9"/>
    <w:rsid w:val="00321D06"/>
    <w:rPr>
      <w:rFonts w:asciiTheme="majorHAnsi" w:eastAsiaTheme="majorEastAsia" w:hAnsiTheme="majorHAnsi" w:cstheme="majorBidi"/>
      <w:b/>
      <w:color w:val="1F3763" w:themeColor="accent1" w:themeShade="7F"/>
      <w:sz w:val="28"/>
      <w:szCs w:val="24"/>
    </w:rPr>
  </w:style>
  <w:style w:type="character" w:customStyle="1" w:styleId="nowrap">
    <w:name w:val="nowrap"/>
    <w:basedOn w:val="DefaultParagraphFont"/>
    <w:rsid w:val="008111F3"/>
  </w:style>
  <w:style w:type="character" w:styleId="Emphasis">
    <w:name w:val="Emphasis"/>
    <w:basedOn w:val="DefaultParagraphFont"/>
    <w:uiPriority w:val="20"/>
    <w:qFormat/>
    <w:rsid w:val="008111F3"/>
    <w:rPr>
      <w:i/>
      <w:iCs/>
    </w:rPr>
  </w:style>
  <w:style w:type="paragraph" w:styleId="Header">
    <w:name w:val="header"/>
    <w:basedOn w:val="Normal"/>
    <w:link w:val="HeaderChar"/>
    <w:uiPriority w:val="99"/>
    <w:unhideWhenUsed/>
    <w:rsid w:val="002F1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426"/>
  </w:style>
  <w:style w:type="paragraph" w:styleId="Footer">
    <w:name w:val="footer"/>
    <w:basedOn w:val="Normal"/>
    <w:link w:val="FooterChar"/>
    <w:uiPriority w:val="99"/>
    <w:unhideWhenUsed/>
    <w:rsid w:val="002F1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426"/>
  </w:style>
  <w:style w:type="paragraph" w:styleId="Revision">
    <w:name w:val="Revision"/>
    <w:hidden/>
    <w:uiPriority w:val="99"/>
    <w:semiHidden/>
    <w:rsid w:val="00DC24A5"/>
    <w:pPr>
      <w:spacing w:after="0" w:line="240" w:lineRule="auto"/>
    </w:pPr>
  </w:style>
  <w:style w:type="paragraph" w:customStyle="1" w:styleId="boxtext">
    <w:name w:val="boxtext"/>
    <w:basedOn w:val="Normal"/>
    <w:rsid w:val="00F23689"/>
    <w:pPr>
      <w:spacing w:before="100" w:beforeAutospacing="1" w:after="100" w:afterAutospacing="1" w:line="240" w:lineRule="auto"/>
    </w:pPr>
    <w:rPr>
      <w:rFonts w:ascii="Times New Roman" w:eastAsia="Times New Roman" w:hAnsi="Times New Roman" w:cs="Times New Roman"/>
      <w:szCs w:val="24"/>
      <w:lang w:eastAsia="en-AU"/>
    </w:rPr>
  </w:style>
  <w:style w:type="table" w:styleId="ListTable1Light-Accent5">
    <w:name w:val="List Table 1 Light Accent 5"/>
    <w:basedOn w:val="TableNormal"/>
    <w:uiPriority w:val="46"/>
    <w:rsid w:val="00935F52"/>
    <w:pPr>
      <w:spacing w:after="0" w:line="240" w:lineRule="auto"/>
    </w:pPr>
    <w:rPr>
      <w:rFonts w:ascii="Arial" w:eastAsia="Calibri" w:hAnsi="Arial" w:cs="Times New Roman"/>
      <w:sz w:val="20"/>
      <w:szCs w:val="20"/>
      <w:lang w:eastAsia="en-AU"/>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ReportTitle">
    <w:name w:val="Report Title"/>
    <w:basedOn w:val="Normal"/>
    <w:uiPriority w:val="11"/>
    <w:qFormat/>
    <w:rsid w:val="00E411EC"/>
    <w:pPr>
      <w:spacing w:after="200" w:line="276" w:lineRule="auto"/>
    </w:pPr>
    <w:rPr>
      <w:rFonts w:ascii="Arial" w:eastAsia="Calibri" w:hAnsi="Arial" w:cs="Times New Roman"/>
      <w:b/>
      <w:color w:val="323E4F" w:themeColor="text2" w:themeShade="BF"/>
      <w:sz w:val="52"/>
    </w:rPr>
  </w:style>
  <w:style w:type="character" w:customStyle="1" w:styleId="Heading4Char">
    <w:name w:val="Heading 4 Char"/>
    <w:basedOn w:val="DefaultParagraphFont"/>
    <w:link w:val="Heading4"/>
    <w:uiPriority w:val="9"/>
    <w:rsid w:val="00F01CCC"/>
    <w:rPr>
      <w:rFonts w:asciiTheme="majorHAnsi" w:eastAsiaTheme="majorEastAsia" w:hAnsiTheme="majorHAnsi" w:cstheme="majorBidi"/>
      <w:b/>
      <w:iCs/>
      <w:color w:val="2F5496" w:themeColor="accent1" w:themeShade="BF"/>
      <w:sz w:val="24"/>
    </w:rPr>
  </w:style>
  <w:style w:type="paragraph" w:styleId="TOCHeading">
    <w:name w:val="TOC Heading"/>
    <w:basedOn w:val="Heading1"/>
    <w:next w:val="Normal"/>
    <w:uiPriority w:val="39"/>
    <w:unhideWhenUsed/>
    <w:qFormat/>
    <w:rsid w:val="00D63CA3"/>
    <w:pPr>
      <w:outlineLvl w:val="9"/>
    </w:pPr>
    <w:rPr>
      <w:lang w:val="en-US"/>
    </w:rPr>
  </w:style>
  <w:style w:type="paragraph" w:styleId="TOC1">
    <w:name w:val="toc 1"/>
    <w:basedOn w:val="Normal"/>
    <w:next w:val="Normal"/>
    <w:autoRedefine/>
    <w:uiPriority w:val="39"/>
    <w:unhideWhenUsed/>
    <w:rsid w:val="00D63CA3"/>
    <w:pPr>
      <w:spacing w:after="100"/>
    </w:pPr>
  </w:style>
  <w:style w:type="paragraph" w:styleId="TOC2">
    <w:name w:val="toc 2"/>
    <w:basedOn w:val="Normal"/>
    <w:next w:val="Normal"/>
    <w:autoRedefine/>
    <w:uiPriority w:val="39"/>
    <w:unhideWhenUsed/>
    <w:rsid w:val="00D63CA3"/>
    <w:pPr>
      <w:spacing w:after="100"/>
      <w:ind w:left="220"/>
    </w:pPr>
  </w:style>
  <w:style w:type="paragraph" w:styleId="TOC3">
    <w:name w:val="toc 3"/>
    <w:basedOn w:val="Normal"/>
    <w:next w:val="Normal"/>
    <w:autoRedefine/>
    <w:uiPriority w:val="39"/>
    <w:unhideWhenUsed/>
    <w:rsid w:val="00D63CA3"/>
    <w:pPr>
      <w:spacing w:after="100"/>
      <w:ind w:left="440"/>
    </w:pPr>
  </w:style>
  <w:style w:type="character" w:customStyle="1" w:styleId="normaltextrun">
    <w:name w:val="normaltextrun"/>
    <w:basedOn w:val="DefaultParagraphFont"/>
    <w:rsid w:val="007607BC"/>
  </w:style>
  <w:style w:type="paragraph" w:styleId="CommentText">
    <w:name w:val="annotation text"/>
    <w:basedOn w:val="Normal"/>
    <w:link w:val="CommentTextChar"/>
    <w:uiPriority w:val="99"/>
    <w:semiHidden/>
    <w:unhideWhenUsed/>
    <w:rsid w:val="007607BC"/>
    <w:pPr>
      <w:spacing w:line="240" w:lineRule="auto"/>
    </w:pPr>
    <w:rPr>
      <w:sz w:val="20"/>
      <w:szCs w:val="20"/>
    </w:rPr>
  </w:style>
  <w:style w:type="character" w:customStyle="1" w:styleId="CommentTextChar">
    <w:name w:val="Comment Text Char"/>
    <w:basedOn w:val="DefaultParagraphFont"/>
    <w:link w:val="CommentText"/>
    <w:uiPriority w:val="99"/>
    <w:semiHidden/>
    <w:rsid w:val="007607BC"/>
    <w:rPr>
      <w:sz w:val="20"/>
      <w:szCs w:val="20"/>
    </w:rPr>
  </w:style>
  <w:style w:type="character" w:styleId="CommentReference">
    <w:name w:val="annotation reference"/>
    <w:basedOn w:val="DefaultParagraphFont"/>
    <w:uiPriority w:val="99"/>
    <w:semiHidden/>
    <w:unhideWhenUsed/>
    <w:rsid w:val="007607BC"/>
    <w:rPr>
      <w:sz w:val="16"/>
      <w:szCs w:val="16"/>
    </w:rPr>
  </w:style>
  <w:style w:type="table" w:styleId="TableGrid">
    <w:name w:val="Table Grid"/>
    <w:basedOn w:val="TableNormal"/>
    <w:uiPriority w:val="39"/>
    <w:rsid w:val="00377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DE0D0C"/>
    <w:pPr>
      <w:spacing w:after="0" w:line="240" w:lineRule="auto"/>
    </w:pPr>
    <w:rPr>
      <w:rFonts w:ascii="Arial" w:eastAsia="Calibri" w:hAnsi="Arial" w:cs="Times New Roman"/>
      <w:sz w:val="20"/>
      <w:szCs w:val="20"/>
      <w:lang w:eastAsia="en-AU"/>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ommentSubject">
    <w:name w:val="annotation subject"/>
    <w:basedOn w:val="CommentText"/>
    <w:next w:val="CommentText"/>
    <w:link w:val="CommentSubjectChar"/>
    <w:uiPriority w:val="99"/>
    <w:semiHidden/>
    <w:unhideWhenUsed/>
    <w:rsid w:val="00425379"/>
    <w:rPr>
      <w:b/>
      <w:bCs/>
    </w:rPr>
  </w:style>
  <w:style w:type="character" w:customStyle="1" w:styleId="CommentSubjectChar">
    <w:name w:val="Comment Subject Char"/>
    <w:basedOn w:val="CommentTextChar"/>
    <w:link w:val="CommentSubject"/>
    <w:uiPriority w:val="99"/>
    <w:semiHidden/>
    <w:rsid w:val="00425379"/>
    <w:rPr>
      <w:b/>
      <w:bCs/>
      <w:sz w:val="20"/>
      <w:szCs w:val="20"/>
    </w:rPr>
  </w:style>
  <w:style w:type="paragraph" w:styleId="NoSpacing">
    <w:name w:val="No Spacing"/>
    <w:uiPriority w:val="1"/>
    <w:qFormat/>
    <w:rsid w:val="00B9507B"/>
    <w:pPr>
      <w:spacing w:after="0" w:line="240" w:lineRule="auto"/>
    </w:pPr>
    <w:rPr>
      <w:sz w:val="24"/>
    </w:rPr>
  </w:style>
  <w:style w:type="paragraph" w:styleId="TOC4">
    <w:name w:val="toc 4"/>
    <w:basedOn w:val="Normal"/>
    <w:next w:val="Normal"/>
    <w:autoRedefine/>
    <w:uiPriority w:val="39"/>
    <w:unhideWhenUsed/>
    <w:rsid w:val="001C168E"/>
    <w:pPr>
      <w:spacing w:after="100"/>
      <w:ind w:left="720"/>
    </w:pPr>
  </w:style>
  <w:style w:type="paragraph" w:customStyle="1" w:styleId="Default">
    <w:name w:val="Default"/>
    <w:rsid w:val="00013C91"/>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C20212"/>
    <w:pPr>
      <w:spacing w:after="0" w:line="240" w:lineRule="auto"/>
    </w:pPr>
    <w:rPr>
      <w:rFonts w:ascii="Times New Roman" w:eastAsia="Times New Roman" w:hAnsi="Times New Roman" w:cs="Times New Roman"/>
      <w:szCs w:val="24"/>
      <w:lang w:eastAsia="en-AU"/>
    </w:rPr>
  </w:style>
  <w:style w:type="character" w:customStyle="1" w:styleId="normaltextrun1">
    <w:name w:val="normaltextrun1"/>
    <w:basedOn w:val="DefaultParagraphFont"/>
    <w:rsid w:val="00C20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205218">
      <w:bodyDiv w:val="1"/>
      <w:marLeft w:val="0"/>
      <w:marRight w:val="0"/>
      <w:marTop w:val="0"/>
      <w:marBottom w:val="0"/>
      <w:divBdr>
        <w:top w:val="none" w:sz="0" w:space="0" w:color="auto"/>
        <w:left w:val="none" w:sz="0" w:space="0" w:color="auto"/>
        <w:bottom w:val="none" w:sz="0" w:space="0" w:color="auto"/>
        <w:right w:val="none" w:sz="0" w:space="0" w:color="auto"/>
      </w:divBdr>
    </w:div>
    <w:div w:id="715737187">
      <w:bodyDiv w:val="1"/>
      <w:marLeft w:val="0"/>
      <w:marRight w:val="0"/>
      <w:marTop w:val="0"/>
      <w:marBottom w:val="0"/>
      <w:divBdr>
        <w:top w:val="none" w:sz="0" w:space="0" w:color="auto"/>
        <w:left w:val="none" w:sz="0" w:space="0" w:color="auto"/>
        <w:bottom w:val="none" w:sz="0" w:space="0" w:color="auto"/>
        <w:right w:val="none" w:sz="0" w:space="0" w:color="auto"/>
      </w:divBdr>
    </w:div>
    <w:div w:id="907229983">
      <w:bodyDiv w:val="1"/>
      <w:marLeft w:val="0"/>
      <w:marRight w:val="0"/>
      <w:marTop w:val="0"/>
      <w:marBottom w:val="0"/>
      <w:divBdr>
        <w:top w:val="none" w:sz="0" w:space="0" w:color="auto"/>
        <w:left w:val="none" w:sz="0" w:space="0" w:color="auto"/>
        <w:bottom w:val="none" w:sz="0" w:space="0" w:color="auto"/>
        <w:right w:val="none" w:sz="0" w:space="0" w:color="auto"/>
      </w:divBdr>
    </w:div>
    <w:div w:id="1093932725">
      <w:bodyDiv w:val="1"/>
      <w:marLeft w:val="0"/>
      <w:marRight w:val="0"/>
      <w:marTop w:val="0"/>
      <w:marBottom w:val="0"/>
      <w:divBdr>
        <w:top w:val="none" w:sz="0" w:space="0" w:color="auto"/>
        <w:left w:val="none" w:sz="0" w:space="0" w:color="auto"/>
        <w:bottom w:val="none" w:sz="0" w:space="0" w:color="auto"/>
        <w:right w:val="none" w:sz="0" w:space="0" w:color="auto"/>
      </w:divBdr>
    </w:div>
    <w:div w:id="1161510418">
      <w:bodyDiv w:val="1"/>
      <w:marLeft w:val="0"/>
      <w:marRight w:val="0"/>
      <w:marTop w:val="0"/>
      <w:marBottom w:val="0"/>
      <w:divBdr>
        <w:top w:val="none" w:sz="0" w:space="0" w:color="auto"/>
        <w:left w:val="none" w:sz="0" w:space="0" w:color="auto"/>
        <w:bottom w:val="none" w:sz="0" w:space="0" w:color="auto"/>
        <w:right w:val="none" w:sz="0" w:space="0" w:color="auto"/>
      </w:divBdr>
    </w:div>
    <w:div w:id="1714426496">
      <w:bodyDiv w:val="1"/>
      <w:marLeft w:val="0"/>
      <w:marRight w:val="0"/>
      <w:marTop w:val="0"/>
      <w:marBottom w:val="0"/>
      <w:divBdr>
        <w:top w:val="none" w:sz="0" w:space="0" w:color="auto"/>
        <w:left w:val="none" w:sz="0" w:space="0" w:color="auto"/>
        <w:bottom w:val="none" w:sz="0" w:space="0" w:color="auto"/>
        <w:right w:val="none" w:sz="0" w:space="0" w:color="auto"/>
      </w:divBdr>
    </w:div>
    <w:div w:id="184786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4/relationships/chartEx" Target="charts/chartEx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2.xml"/><Relationship Id="Rc171d086ded142a6" Type="http://schemas.microsoft.com/office/2019/09/relationships/intelligence" Target="intelligence.xml"/></Relationships>
</file>

<file path=word/_rels/footnotes.xml.rels><?xml version="1.0" encoding="UTF-8" standalone="yes"?>
<Relationships xmlns="http://schemas.openxmlformats.org/package/2006/relationships"><Relationship Id="rId8" Type="http://schemas.openxmlformats.org/officeDocument/2006/relationships/hyperlink" Target="https://www.planning.nsw.gov.au/-/media/Files/DPE/Plans-and-policies/compliance-and-enforcement-compliance-policy-11-2020.pdf?la=en" TargetMode="External"/><Relationship Id="rId3" Type="http://schemas.openxmlformats.org/officeDocument/2006/relationships/hyperlink" Target="https://epbcactreview.environment.gov.au/resources/final-report" TargetMode="External"/><Relationship Id="rId7" Type="http://schemas.openxmlformats.org/officeDocument/2006/relationships/hyperlink" Target="https://ausgovenvironment.sharepoint.com/sites/AWE-intranet/Shared%20Documents/Forms/AllItems.aspx?sortField=Modified&amp;isAscending=false&amp;id=/sites/AWE-intranet/Shared%20Documents/Regulatory%20statement_Internal_Final.pdf&amp;parent=/sites/AWE-intranet/Shared%20Documents" TargetMode="External"/><Relationship Id="rId2" Type="http://schemas.openxmlformats.org/officeDocument/2006/relationships/hyperlink" Target="https://www.anao.gov.au/work/performance-audit/referrals-assessments-and-approvals-controlled-actions-under-the-epbc-act" TargetMode="External"/><Relationship Id="rId1" Type="http://schemas.openxmlformats.org/officeDocument/2006/relationships/hyperlink" Target="https://www.legislation.gov.au/Details/C2021C00081" TargetMode="External"/><Relationship Id="rId6" Type="http://schemas.openxmlformats.org/officeDocument/2006/relationships/hyperlink" Target="https://soe.environment.gov.au/" TargetMode="External"/><Relationship Id="rId5" Type="http://schemas.openxmlformats.org/officeDocument/2006/relationships/hyperlink" Target="https://www.environment.gov.au/system/files/pages/f0e28291-cffd-4dbf-87f6-12cd76fea3a6/files/kpmg-native-and-exotic-bird-export.pdf" TargetMode="External"/><Relationship Id="rId4" Type="http://schemas.openxmlformats.org/officeDocument/2006/relationships/hyperlink" Target="https://www.environment.gov.au/system/files/resources/0bb50a4d-b273-4a31-8fdb-dcde90edef3e/files/review-interactions-epbc-act-agriculture-final-report.pdf" TargetMode="External"/><Relationship Id="rId9" Type="http://schemas.openxmlformats.org/officeDocument/2006/relationships/hyperlink" Target="https://www.ag.gov.au/legal-system/administrative-law/regulatory-power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27954\AppData\Local\Microsoft\Windows\INetCache\Content.Outlook\0945BJRM\pie%20charts%20v2.xlsx" TargetMode="External"/><Relationship Id="rId2" Type="http://schemas.microsoft.com/office/2011/relationships/chartColorStyle" Target="colors2.xml"/><Relationship Id="rId1" Type="http://schemas.microsoft.com/office/2011/relationships/chartStyle" Target="style2.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27954\AppData\Local\Microsoft\Windows\INetCache\Content.Outlook\0945BJRM\pie%20charts%20v2.xlsx" TargetMode="External"/><Relationship Id="rId2" Type="http://schemas.microsoft.com/office/2011/relationships/chartColorStyle" Target="colors3.xml"/><Relationship Id="rId1" Type="http://schemas.microsoft.com/office/2011/relationships/chartStyle" Target="style3.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27954\AppData\Local\Microsoft\Windows\INetCache\Content.Outlook\0945BJRM\pie%20charts%20v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ECB Budget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Sheet3!$F$7:$F$10</c:f>
              <c:strCache>
                <c:ptCount val="4"/>
                <c:pt idx="0">
                  <c:v>2017-18</c:v>
                </c:pt>
                <c:pt idx="1">
                  <c:v>2018-19</c:v>
                </c:pt>
                <c:pt idx="2">
                  <c:v>2019-20</c:v>
                </c:pt>
                <c:pt idx="3">
                  <c:v>2020-21</c:v>
                </c:pt>
              </c:strCache>
            </c:strRef>
          </c:cat>
          <c:val>
            <c:numRef>
              <c:f>Sheet3!$G$7:$G$10</c:f>
              <c:numCache>
                <c:formatCode>General</c:formatCode>
                <c:ptCount val="4"/>
                <c:pt idx="0">
                  <c:v>8216680</c:v>
                </c:pt>
                <c:pt idx="1">
                  <c:v>8334672</c:v>
                </c:pt>
                <c:pt idx="2">
                  <c:v>7495652</c:v>
                </c:pt>
                <c:pt idx="3">
                  <c:v>6082456</c:v>
                </c:pt>
              </c:numCache>
            </c:numRef>
          </c:val>
          <c:smooth val="0"/>
          <c:extLst>
            <c:ext xmlns:c16="http://schemas.microsoft.com/office/drawing/2014/chart" uri="{C3380CC4-5D6E-409C-BE32-E72D297353CC}">
              <c16:uniqueId val="{00000000-5566-4F8E-820E-26D788E8EB46}"/>
            </c:ext>
          </c:extLst>
        </c:ser>
        <c:dLbls>
          <c:showLegendKey val="0"/>
          <c:showVal val="0"/>
          <c:showCatName val="0"/>
          <c:showSerName val="0"/>
          <c:showPercent val="0"/>
          <c:showBubbleSize val="0"/>
        </c:dLbls>
        <c:marker val="1"/>
        <c:smooth val="0"/>
        <c:axId val="501950712"/>
        <c:axId val="501952680"/>
      </c:lineChart>
      <c:catAx>
        <c:axId val="501950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1952680"/>
        <c:crosses val="autoZero"/>
        <c:auto val="1"/>
        <c:lblAlgn val="ctr"/>
        <c:lblOffset val="100"/>
        <c:noMultiLvlLbl val="0"/>
      </c:catAx>
      <c:valAx>
        <c:axId val="501952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19507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ECB ASL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Sheet3!$F$13:$F$16</c:f>
              <c:strCache>
                <c:ptCount val="4"/>
                <c:pt idx="0">
                  <c:v>2017-18</c:v>
                </c:pt>
                <c:pt idx="1">
                  <c:v>2018-19</c:v>
                </c:pt>
                <c:pt idx="2">
                  <c:v>2019-20</c:v>
                </c:pt>
                <c:pt idx="3">
                  <c:v>2020-21</c:v>
                </c:pt>
              </c:strCache>
            </c:strRef>
          </c:cat>
          <c:val>
            <c:numRef>
              <c:f>Sheet3!$G$13:$G$16</c:f>
              <c:numCache>
                <c:formatCode>General</c:formatCode>
                <c:ptCount val="4"/>
                <c:pt idx="0">
                  <c:v>52</c:v>
                </c:pt>
                <c:pt idx="1">
                  <c:v>52</c:v>
                </c:pt>
                <c:pt idx="2">
                  <c:v>43</c:v>
                </c:pt>
                <c:pt idx="3">
                  <c:v>36</c:v>
                </c:pt>
              </c:numCache>
            </c:numRef>
          </c:val>
          <c:smooth val="0"/>
          <c:extLst>
            <c:ext xmlns:c16="http://schemas.microsoft.com/office/drawing/2014/chart" uri="{C3380CC4-5D6E-409C-BE32-E72D297353CC}">
              <c16:uniqueId val="{00000000-EF96-43AC-855D-A0DF72BA6426}"/>
            </c:ext>
          </c:extLst>
        </c:ser>
        <c:dLbls>
          <c:showLegendKey val="0"/>
          <c:showVal val="0"/>
          <c:showCatName val="0"/>
          <c:showSerName val="0"/>
          <c:showPercent val="0"/>
          <c:showBubbleSize val="0"/>
        </c:dLbls>
        <c:marker val="1"/>
        <c:smooth val="0"/>
        <c:axId val="674512976"/>
        <c:axId val="674515600"/>
      </c:lineChart>
      <c:catAx>
        <c:axId val="674512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4515600"/>
        <c:crosses val="autoZero"/>
        <c:auto val="1"/>
        <c:lblAlgn val="ctr"/>
        <c:lblOffset val="100"/>
        <c:noMultiLvlLbl val="0"/>
      </c:catAx>
      <c:valAx>
        <c:axId val="674515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45129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Sheet6!$C$4:$E$25</cx:f>
        <cx:lvl ptCount="22"/>
        <cx:lvl ptCount="22">
          <cx:pt idx="0">Governance</cx:pt>
          <cx:pt idx="1">Risk</cx:pt>
          <cx:pt idx="2">Projects</cx:pt>
          <cx:pt idx="3">Finance</cx:pt>
          <cx:pt idx="4">Policy</cx:pt>
          <cx:pt idx="5">ECB</cx:pt>
          <cx:pt idx="6">AELERT</cx:pt>
          <cx:pt idx="7">Seizures Part 13A</cx:pt>
          <cx:pt idx="8">Allegations</cx:pt>
          <cx:pt idx="9">Projects</cx:pt>
          <cx:pt idx="10">Ozone</cx:pt>
          <cx:pt idx="11">EPBC Part 7</cx:pt>
          <cx:pt idx="12">EPBC Part 9</cx:pt>
          <cx:pt idx="13">Strategic</cx:pt>
          <cx:pt idx="14">Operational</cx:pt>
          <cx:pt idx="15">EPBC Part 9</cx:pt>
          <cx:pt idx="16">EPSD</cx:pt>
          <cx:pt idx="17">Haz Waste</cx:pt>
          <cx:pt idx="18">EPBC Part 3</cx:pt>
          <cx:pt idx="19">EPBC Part 7</cx:pt>
          <cx:pt idx="20">EPBC Part 13</cx:pt>
          <cx:pt idx="21">EPBC 13A</cx:pt>
        </cx:lvl>
        <cx:lvl ptCount="22">
          <cx:pt idx="0">CSR</cx:pt>
          <cx:pt idx="1">CSR</cx:pt>
          <cx:pt idx="2">CSR</cx:pt>
          <cx:pt idx="3">CSR</cx:pt>
          <cx:pt idx="4">CSR</cx:pt>
          <cx:pt idx="5">Executive</cx:pt>
          <cx:pt idx="6">Executive</cx:pt>
          <cx:pt idx="7">Triage</cx:pt>
          <cx:pt idx="8">Triage</cx:pt>
          <cx:pt idx="9">Triage</cx:pt>
          <cx:pt idx="10">Compliance</cx:pt>
          <cx:pt idx="11">Compliance</cx:pt>
          <cx:pt idx="12">Compliance</cx:pt>
          <cx:pt idx="13">Intel</cx:pt>
          <cx:pt idx="14">Intel</cx:pt>
          <cx:pt idx="15">Audit</cx:pt>
          <cx:pt idx="16">Audit</cx:pt>
          <cx:pt idx="17">Crime</cx:pt>
          <cx:pt idx="18">Crime</cx:pt>
          <cx:pt idx="19">Crime</cx:pt>
          <cx:pt idx="20">Crime</cx:pt>
          <cx:pt idx="21">Crime</cx:pt>
        </cx:lvl>
      </cx:strDim>
      <cx:numDim type="size">
        <cx:f>Sheet6!$F$4:$F$25</cx:f>
        <cx:lvl ptCount="22" formatCode="General">
          <cx:pt idx="0">20</cx:pt>
          <cx:pt idx="1">20</cx:pt>
          <cx:pt idx="2">20</cx:pt>
          <cx:pt idx="3">20</cx:pt>
          <cx:pt idx="4">20</cx:pt>
          <cx:pt idx="5">80</cx:pt>
          <cx:pt idx="6">20</cx:pt>
          <cx:pt idx="7">30</cx:pt>
          <cx:pt idx="8">30</cx:pt>
          <cx:pt idx="9">30</cx:pt>
          <cx:pt idx="10">50</cx:pt>
          <cx:pt idx="11">25</cx:pt>
          <cx:pt idx="12">25</cx:pt>
          <cx:pt idx="13">30</cx:pt>
          <cx:pt idx="14">60</cx:pt>
          <cx:pt idx="15">80</cx:pt>
          <cx:pt idx="16">20</cx:pt>
          <cx:pt idx="17">20</cx:pt>
          <cx:pt idx="18">20</cx:pt>
          <cx:pt idx="19">20</cx:pt>
          <cx:pt idx="20">20</cx:pt>
          <cx:pt idx="21">20</cx:pt>
        </cx:lvl>
      </cx:numDim>
    </cx:data>
  </cx:chartData>
  <cx:chart>
    <cx:title pos="t" align="ctr" overlay="0">
      <cx:tx>
        <cx:txData>
          <cx:v>Work effort by section in ECB</cx:v>
        </cx:txData>
      </cx:tx>
      <cx:txPr>
        <a:bodyPr spcFirstLastPara="1" vertOverflow="ellipsis" horzOverflow="overflow" wrap="square" lIns="0" tIns="0" rIns="0" bIns="0" anchor="ctr" anchorCtr="1"/>
        <a:lstStyle/>
        <a:p>
          <a:pPr algn="ctr" rtl="0">
            <a:defRPr/>
          </a:pPr>
          <a:r>
            <a:rPr lang="en-US" sz="1400" b="0" i="0" u="none" strike="noStrike" baseline="0">
              <a:solidFill>
                <a:sysClr val="windowText" lastClr="000000">
                  <a:lumMod val="65000"/>
                  <a:lumOff val="35000"/>
                </a:sysClr>
              </a:solidFill>
              <a:latin typeface="Calibri" panose="020F0502020204030204"/>
            </a:rPr>
            <a:t>Work effort by section in ECB</a:t>
          </a:r>
        </a:p>
      </cx:txPr>
    </cx:title>
    <cx:plotArea>
      <cx:plotAreaRegion>
        <cx:series layoutId="sunburst" uniqueId="{5CB83471-0B23-4A78-8431-008CD5113F24}">
          <cx:tx>
            <cx:txData>
              <cx:f>Sheet6!$F$3</cx:f>
              <cx:v>Series1</cx:v>
            </cx:txData>
          </cx:tx>
          <cx:dataLabels pos="ctr">
            <cx:visibility seriesName="0" categoryName="1" value="0"/>
          </cx:dataLabels>
          <cx:dataId val="0"/>
        </cx:series>
      </cx:plotAreaRegion>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81">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1D3A3BE5-5D1B-4BD6-B2F6-2FC6C44232C3}">
  <ds:schemaRefs>
    <ds:schemaRef ds:uri="http://schemas.openxmlformats.org/officeDocument/2006/bibliography"/>
  </ds:schemaRefs>
</ds:datastoreItem>
</file>

<file path=customXml/itemProps2.xml><?xml version="1.0" encoding="utf-8"?>
<ds:datastoreItem xmlns:ds="http://schemas.openxmlformats.org/officeDocument/2006/customXml" ds:itemID="{E1568959-B17F-47F6-BDB0-780642980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59AC33-A238-49F0-B43C-01BD541387EC}">
  <ds:schemaRefs>
    <ds:schemaRef ds:uri="http://schemas.microsoft.com/sharepoint/v3/contenttype/forms"/>
  </ds:schemaRefs>
</ds:datastoreItem>
</file>

<file path=customXml/itemProps4.xml><?xml version="1.0" encoding="utf-8"?>
<ds:datastoreItem xmlns:ds="http://schemas.openxmlformats.org/officeDocument/2006/customXml" ds:itemID="{6AE03D20-8EB3-479F-A156-A59F0F4BF5E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25a5c30-4c2f-474f-aa2f-443e46b3d189"/>
    <ds:schemaRef ds:uri="http://purl.org/dc/terms/"/>
    <ds:schemaRef ds:uri="http://schemas.openxmlformats.org/package/2006/metadata/core-properties"/>
    <ds:schemaRef ds:uri="ac7ce04e-ea5d-4d46-bab0-39b1fa6a6f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67</Pages>
  <Words>23283</Words>
  <Characters>132714</Characters>
  <Application>Microsoft Office Word</Application>
  <DocSecurity>0</DocSecurity>
  <Lines>1105</Lines>
  <Paragraphs>311</Paragraphs>
  <ScaleCrop>false</ScaleCrop>
  <HeadingPairs>
    <vt:vector size="2" baseType="variant">
      <vt:variant>
        <vt:lpstr>Title</vt:lpstr>
      </vt:variant>
      <vt:variant>
        <vt:i4>1</vt:i4>
      </vt:variant>
    </vt:vector>
  </HeadingPairs>
  <TitlesOfParts>
    <vt:vector size="1" baseType="lpstr">
      <vt:lpstr>Environment Compliance Regulatory Risk Review Final Report</vt:lpstr>
    </vt:vector>
  </TitlesOfParts>
  <Company/>
  <LinksUpToDate>false</LinksUpToDate>
  <CharactersWithSpaces>155686</CharactersWithSpaces>
  <SharedDoc>false</SharedDoc>
  <HLinks>
    <vt:vector size="366" baseType="variant">
      <vt:variant>
        <vt:i4>7667794</vt:i4>
      </vt:variant>
      <vt:variant>
        <vt:i4>297</vt:i4>
      </vt:variant>
      <vt:variant>
        <vt:i4>0</vt:i4>
      </vt:variant>
      <vt:variant>
        <vt:i4>5</vt:i4>
      </vt:variant>
      <vt:variant>
        <vt:lpwstr/>
      </vt:variant>
      <vt:variant>
        <vt:lpwstr>_Attachment_A_–</vt:lpwstr>
      </vt:variant>
      <vt:variant>
        <vt:i4>7667794</vt:i4>
      </vt:variant>
      <vt:variant>
        <vt:i4>294</vt:i4>
      </vt:variant>
      <vt:variant>
        <vt:i4>0</vt:i4>
      </vt:variant>
      <vt:variant>
        <vt:i4>5</vt:i4>
      </vt:variant>
      <vt:variant>
        <vt:lpwstr/>
      </vt:variant>
      <vt:variant>
        <vt:lpwstr>_Attachment_A_–</vt:lpwstr>
      </vt:variant>
      <vt:variant>
        <vt:i4>7667793</vt:i4>
      </vt:variant>
      <vt:variant>
        <vt:i4>291</vt:i4>
      </vt:variant>
      <vt:variant>
        <vt:i4>0</vt:i4>
      </vt:variant>
      <vt:variant>
        <vt:i4>5</vt:i4>
      </vt:variant>
      <vt:variant>
        <vt:lpwstr/>
      </vt:variant>
      <vt:variant>
        <vt:lpwstr>_Attachment_B_–</vt:lpwstr>
      </vt:variant>
      <vt:variant>
        <vt:i4>7667794</vt:i4>
      </vt:variant>
      <vt:variant>
        <vt:i4>288</vt:i4>
      </vt:variant>
      <vt:variant>
        <vt:i4>0</vt:i4>
      </vt:variant>
      <vt:variant>
        <vt:i4>5</vt:i4>
      </vt:variant>
      <vt:variant>
        <vt:lpwstr/>
      </vt:variant>
      <vt:variant>
        <vt:lpwstr>_Attachment_A_–</vt:lpwstr>
      </vt:variant>
      <vt:variant>
        <vt:i4>7667794</vt:i4>
      </vt:variant>
      <vt:variant>
        <vt:i4>285</vt:i4>
      </vt:variant>
      <vt:variant>
        <vt:i4>0</vt:i4>
      </vt:variant>
      <vt:variant>
        <vt:i4>5</vt:i4>
      </vt:variant>
      <vt:variant>
        <vt:lpwstr/>
      </vt:variant>
      <vt:variant>
        <vt:lpwstr>_Attachment_A_–</vt:lpwstr>
      </vt:variant>
      <vt:variant>
        <vt:i4>7667794</vt:i4>
      </vt:variant>
      <vt:variant>
        <vt:i4>282</vt:i4>
      </vt:variant>
      <vt:variant>
        <vt:i4>0</vt:i4>
      </vt:variant>
      <vt:variant>
        <vt:i4>5</vt:i4>
      </vt:variant>
      <vt:variant>
        <vt:lpwstr/>
      </vt:variant>
      <vt:variant>
        <vt:lpwstr>_Attachment_A_–</vt:lpwstr>
      </vt:variant>
      <vt:variant>
        <vt:i4>1376304</vt:i4>
      </vt:variant>
      <vt:variant>
        <vt:i4>279</vt:i4>
      </vt:variant>
      <vt:variant>
        <vt:i4>0</vt:i4>
      </vt:variant>
      <vt:variant>
        <vt:i4>5</vt:i4>
      </vt:variant>
      <vt:variant>
        <vt:lpwstr/>
      </vt:variant>
      <vt:variant>
        <vt:lpwstr>_Recommendations</vt:lpwstr>
      </vt:variant>
      <vt:variant>
        <vt:i4>2031670</vt:i4>
      </vt:variant>
      <vt:variant>
        <vt:i4>272</vt:i4>
      </vt:variant>
      <vt:variant>
        <vt:i4>0</vt:i4>
      </vt:variant>
      <vt:variant>
        <vt:i4>5</vt:i4>
      </vt:variant>
      <vt:variant>
        <vt:lpwstr/>
      </vt:variant>
      <vt:variant>
        <vt:lpwstr>_Toc72243806</vt:lpwstr>
      </vt:variant>
      <vt:variant>
        <vt:i4>1835062</vt:i4>
      </vt:variant>
      <vt:variant>
        <vt:i4>266</vt:i4>
      </vt:variant>
      <vt:variant>
        <vt:i4>0</vt:i4>
      </vt:variant>
      <vt:variant>
        <vt:i4>5</vt:i4>
      </vt:variant>
      <vt:variant>
        <vt:lpwstr/>
      </vt:variant>
      <vt:variant>
        <vt:lpwstr>_Toc72243805</vt:lpwstr>
      </vt:variant>
      <vt:variant>
        <vt:i4>1900598</vt:i4>
      </vt:variant>
      <vt:variant>
        <vt:i4>260</vt:i4>
      </vt:variant>
      <vt:variant>
        <vt:i4>0</vt:i4>
      </vt:variant>
      <vt:variant>
        <vt:i4>5</vt:i4>
      </vt:variant>
      <vt:variant>
        <vt:lpwstr/>
      </vt:variant>
      <vt:variant>
        <vt:lpwstr>_Toc72243804</vt:lpwstr>
      </vt:variant>
      <vt:variant>
        <vt:i4>1703990</vt:i4>
      </vt:variant>
      <vt:variant>
        <vt:i4>254</vt:i4>
      </vt:variant>
      <vt:variant>
        <vt:i4>0</vt:i4>
      </vt:variant>
      <vt:variant>
        <vt:i4>5</vt:i4>
      </vt:variant>
      <vt:variant>
        <vt:lpwstr/>
      </vt:variant>
      <vt:variant>
        <vt:lpwstr>_Toc72243803</vt:lpwstr>
      </vt:variant>
      <vt:variant>
        <vt:i4>1769526</vt:i4>
      </vt:variant>
      <vt:variant>
        <vt:i4>248</vt:i4>
      </vt:variant>
      <vt:variant>
        <vt:i4>0</vt:i4>
      </vt:variant>
      <vt:variant>
        <vt:i4>5</vt:i4>
      </vt:variant>
      <vt:variant>
        <vt:lpwstr/>
      </vt:variant>
      <vt:variant>
        <vt:lpwstr>_Toc72243802</vt:lpwstr>
      </vt:variant>
      <vt:variant>
        <vt:i4>1572918</vt:i4>
      </vt:variant>
      <vt:variant>
        <vt:i4>242</vt:i4>
      </vt:variant>
      <vt:variant>
        <vt:i4>0</vt:i4>
      </vt:variant>
      <vt:variant>
        <vt:i4>5</vt:i4>
      </vt:variant>
      <vt:variant>
        <vt:lpwstr/>
      </vt:variant>
      <vt:variant>
        <vt:lpwstr>_Toc72243801</vt:lpwstr>
      </vt:variant>
      <vt:variant>
        <vt:i4>1638454</vt:i4>
      </vt:variant>
      <vt:variant>
        <vt:i4>236</vt:i4>
      </vt:variant>
      <vt:variant>
        <vt:i4>0</vt:i4>
      </vt:variant>
      <vt:variant>
        <vt:i4>5</vt:i4>
      </vt:variant>
      <vt:variant>
        <vt:lpwstr/>
      </vt:variant>
      <vt:variant>
        <vt:lpwstr>_Toc72243800</vt:lpwstr>
      </vt:variant>
      <vt:variant>
        <vt:i4>2031679</vt:i4>
      </vt:variant>
      <vt:variant>
        <vt:i4>230</vt:i4>
      </vt:variant>
      <vt:variant>
        <vt:i4>0</vt:i4>
      </vt:variant>
      <vt:variant>
        <vt:i4>5</vt:i4>
      </vt:variant>
      <vt:variant>
        <vt:lpwstr/>
      </vt:variant>
      <vt:variant>
        <vt:lpwstr>_Toc72243799</vt:lpwstr>
      </vt:variant>
      <vt:variant>
        <vt:i4>1966143</vt:i4>
      </vt:variant>
      <vt:variant>
        <vt:i4>224</vt:i4>
      </vt:variant>
      <vt:variant>
        <vt:i4>0</vt:i4>
      </vt:variant>
      <vt:variant>
        <vt:i4>5</vt:i4>
      </vt:variant>
      <vt:variant>
        <vt:lpwstr/>
      </vt:variant>
      <vt:variant>
        <vt:lpwstr>_Toc72243798</vt:lpwstr>
      </vt:variant>
      <vt:variant>
        <vt:i4>1114175</vt:i4>
      </vt:variant>
      <vt:variant>
        <vt:i4>218</vt:i4>
      </vt:variant>
      <vt:variant>
        <vt:i4>0</vt:i4>
      </vt:variant>
      <vt:variant>
        <vt:i4>5</vt:i4>
      </vt:variant>
      <vt:variant>
        <vt:lpwstr/>
      </vt:variant>
      <vt:variant>
        <vt:lpwstr>_Toc72243797</vt:lpwstr>
      </vt:variant>
      <vt:variant>
        <vt:i4>1048639</vt:i4>
      </vt:variant>
      <vt:variant>
        <vt:i4>212</vt:i4>
      </vt:variant>
      <vt:variant>
        <vt:i4>0</vt:i4>
      </vt:variant>
      <vt:variant>
        <vt:i4>5</vt:i4>
      </vt:variant>
      <vt:variant>
        <vt:lpwstr/>
      </vt:variant>
      <vt:variant>
        <vt:lpwstr>_Toc72243796</vt:lpwstr>
      </vt:variant>
      <vt:variant>
        <vt:i4>1245247</vt:i4>
      </vt:variant>
      <vt:variant>
        <vt:i4>206</vt:i4>
      </vt:variant>
      <vt:variant>
        <vt:i4>0</vt:i4>
      </vt:variant>
      <vt:variant>
        <vt:i4>5</vt:i4>
      </vt:variant>
      <vt:variant>
        <vt:lpwstr/>
      </vt:variant>
      <vt:variant>
        <vt:lpwstr>_Toc72243795</vt:lpwstr>
      </vt:variant>
      <vt:variant>
        <vt:i4>1179711</vt:i4>
      </vt:variant>
      <vt:variant>
        <vt:i4>200</vt:i4>
      </vt:variant>
      <vt:variant>
        <vt:i4>0</vt:i4>
      </vt:variant>
      <vt:variant>
        <vt:i4>5</vt:i4>
      </vt:variant>
      <vt:variant>
        <vt:lpwstr/>
      </vt:variant>
      <vt:variant>
        <vt:lpwstr>_Toc72243794</vt:lpwstr>
      </vt:variant>
      <vt:variant>
        <vt:i4>1376319</vt:i4>
      </vt:variant>
      <vt:variant>
        <vt:i4>194</vt:i4>
      </vt:variant>
      <vt:variant>
        <vt:i4>0</vt:i4>
      </vt:variant>
      <vt:variant>
        <vt:i4>5</vt:i4>
      </vt:variant>
      <vt:variant>
        <vt:lpwstr/>
      </vt:variant>
      <vt:variant>
        <vt:lpwstr>_Toc72243793</vt:lpwstr>
      </vt:variant>
      <vt:variant>
        <vt:i4>1310783</vt:i4>
      </vt:variant>
      <vt:variant>
        <vt:i4>188</vt:i4>
      </vt:variant>
      <vt:variant>
        <vt:i4>0</vt:i4>
      </vt:variant>
      <vt:variant>
        <vt:i4>5</vt:i4>
      </vt:variant>
      <vt:variant>
        <vt:lpwstr/>
      </vt:variant>
      <vt:variant>
        <vt:lpwstr>_Toc72243792</vt:lpwstr>
      </vt:variant>
      <vt:variant>
        <vt:i4>1507391</vt:i4>
      </vt:variant>
      <vt:variant>
        <vt:i4>182</vt:i4>
      </vt:variant>
      <vt:variant>
        <vt:i4>0</vt:i4>
      </vt:variant>
      <vt:variant>
        <vt:i4>5</vt:i4>
      </vt:variant>
      <vt:variant>
        <vt:lpwstr/>
      </vt:variant>
      <vt:variant>
        <vt:lpwstr>_Toc72243791</vt:lpwstr>
      </vt:variant>
      <vt:variant>
        <vt:i4>1441855</vt:i4>
      </vt:variant>
      <vt:variant>
        <vt:i4>176</vt:i4>
      </vt:variant>
      <vt:variant>
        <vt:i4>0</vt:i4>
      </vt:variant>
      <vt:variant>
        <vt:i4>5</vt:i4>
      </vt:variant>
      <vt:variant>
        <vt:lpwstr/>
      </vt:variant>
      <vt:variant>
        <vt:lpwstr>_Toc72243790</vt:lpwstr>
      </vt:variant>
      <vt:variant>
        <vt:i4>2031678</vt:i4>
      </vt:variant>
      <vt:variant>
        <vt:i4>170</vt:i4>
      </vt:variant>
      <vt:variant>
        <vt:i4>0</vt:i4>
      </vt:variant>
      <vt:variant>
        <vt:i4>5</vt:i4>
      </vt:variant>
      <vt:variant>
        <vt:lpwstr/>
      </vt:variant>
      <vt:variant>
        <vt:lpwstr>_Toc72243789</vt:lpwstr>
      </vt:variant>
      <vt:variant>
        <vt:i4>1966142</vt:i4>
      </vt:variant>
      <vt:variant>
        <vt:i4>164</vt:i4>
      </vt:variant>
      <vt:variant>
        <vt:i4>0</vt:i4>
      </vt:variant>
      <vt:variant>
        <vt:i4>5</vt:i4>
      </vt:variant>
      <vt:variant>
        <vt:lpwstr/>
      </vt:variant>
      <vt:variant>
        <vt:lpwstr>_Toc72243788</vt:lpwstr>
      </vt:variant>
      <vt:variant>
        <vt:i4>1114174</vt:i4>
      </vt:variant>
      <vt:variant>
        <vt:i4>158</vt:i4>
      </vt:variant>
      <vt:variant>
        <vt:i4>0</vt:i4>
      </vt:variant>
      <vt:variant>
        <vt:i4>5</vt:i4>
      </vt:variant>
      <vt:variant>
        <vt:lpwstr/>
      </vt:variant>
      <vt:variant>
        <vt:lpwstr>_Toc72243787</vt:lpwstr>
      </vt:variant>
      <vt:variant>
        <vt:i4>1048638</vt:i4>
      </vt:variant>
      <vt:variant>
        <vt:i4>152</vt:i4>
      </vt:variant>
      <vt:variant>
        <vt:i4>0</vt:i4>
      </vt:variant>
      <vt:variant>
        <vt:i4>5</vt:i4>
      </vt:variant>
      <vt:variant>
        <vt:lpwstr/>
      </vt:variant>
      <vt:variant>
        <vt:lpwstr>_Toc72243786</vt:lpwstr>
      </vt:variant>
      <vt:variant>
        <vt:i4>1245246</vt:i4>
      </vt:variant>
      <vt:variant>
        <vt:i4>146</vt:i4>
      </vt:variant>
      <vt:variant>
        <vt:i4>0</vt:i4>
      </vt:variant>
      <vt:variant>
        <vt:i4>5</vt:i4>
      </vt:variant>
      <vt:variant>
        <vt:lpwstr/>
      </vt:variant>
      <vt:variant>
        <vt:lpwstr>_Toc72243785</vt:lpwstr>
      </vt:variant>
      <vt:variant>
        <vt:i4>1179710</vt:i4>
      </vt:variant>
      <vt:variant>
        <vt:i4>140</vt:i4>
      </vt:variant>
      <vt:variant>
        <vt:i4>0</vt:i4>
      </vt:variant>
      <vt:variant>
        <vt:i4>5</vt:i4>
      </vt:variant>
      <vt:variant>
        <vt:lpwstr/>
      </vt:variant>
      <vt:variant>
        <vt:lpwstr>_Toc72243784</vt:lpwstr>
      </vt:variant>
      <vt:variant>
        <vt:i4>1376318</vt:i4>
      </vt:variant>
      <vt:variant>
        <vt:i4>134</vt:i4>
      </vt:variant>
      <vt:variant>
        <vt:i4>0</vt:i4>
      </vt:variant>
      <vt:variant>
        <vt:i4>5</vt:i4>
      </vt:variant>
      <vt:variant>
        <vt:lpwstr/>
      </vt:variant>
      <vt:variant>
        <vt:lpwstr>_Toc72243783</vt:lpwstr>
      </vt:variant>
      <vt:variant>
        <vt:i4>1310782</vt:i4>
      </vt:variant>
      <vt:variant>
        <vt:i4>128</vt:i4>
      </vt:variant>
      <vt:variant>
        <vt:i4>0</vt:i4>
      </vt:variant>
      <vt:variant>
        <vt:i4>5</vt:i4>
      </vt:variant>
      <vt:variant>
        <vt:lpwstr/>
      </vt:variant>
      <vt:variant>
        <vt:lpwstr>_Toc72243782</vt:lpwstr>
      </vt:variant>
      <vt:variant>
        <vt:i4>1507390</vt:i4>
      </vt:variant>
      <vt:variant>
        <vt:i4>122</vt:i4>
      </vt:variant>
      <vt:variant>
        <vt:i4>0</vt:i4>
      </vt:variant>
      <vt:variant>
        <vt:i4>5</vt:i4>
      </vt:variant>
      <vt:variant>
        <vt:lpwstr/>
      </vt:variant>
      <vt:variant>
        <vt:lpwstr>_Toc72243781</vt:lpwstr>
      </vt:variant>
      <vt:variant>
        <vt:i4>1441854</vt:i4>
      </vt:variant>
      <vt:variant>
        <vt:i4>116</vt:i4>
      </vt:variant>
      <vt:variant>
        <vt:i4>0</vt:i4>
      </vt:variant>
      <vt:variant>
        <vt:i4>5</vt:i4>
      </vt:variant>
      <vt:variant>
        <vt:lpwstr/>
      </vt:variant>
      <vt:variant>
        <vt:lpwstr>_Toc72243780</vt:lpwstr>
      </vt:variant>
      <vt:variant>
        <vt:i4>2031665</vt:i4>
      </vt:variant>
      <vt:variant>
        <vt:i4>110</vt:i4>
      </vt:variant>
      <vt:variant>
        <vt:i4>0</vt:i4>
      </vt:variant>
      <vt:variant>
        <vt:i4>5</vt:i4>
      </vt:variant>
      <vt:variant>
        <vt:lpwstr/>
      </vt:variant>
      <vt:variant>
        <vt:lpwstr>_Toc72243779</vt:lpwstr>
      </vt:variant>
      <vt:variant>
        <vt:i4>1966129</vt:i4>
      </vt:variant>
      <vt:variant>
        <vt:i4>104</vt:i4>
      </vt:variant>
      <vt:variant>
        <vt:i4>0</vt:i4>
      </vt:variant>
      <vt:variant>
        <vt:i4>5</vt:i4>
      </vt:variant>
      <vt:variant>
        <vt:lpwstr/>
      </vt:variant>
      <vt:variant>
        <vt:lpwstr>_Toc72243778</vt:lpwstr>
      </vt:variant>
      <vt:variant>
        <vt:i4>1114161</vt:i4>
      </vt:variant>
      <vt:variant>
        <vt:i4>98</vt:i4>
      </vt:variant>
      <vt:variant>
        <vt:i4>0</vt:i4>
      </vt:variant>
      <vt:variant>
        <vt:i4>5</vt:i4>
      </vt:variant>
      <vt:variant>
        <vt:lpwstr/>
      </vt:variant>
      <vt:variant>
        <vt:lpwstr>_Toc72243777</vt:lpwstr>
      </vt:variant>
      <vt:variant>
        <vt:i4>1048625</vt:i4>
      </vt:variant>
      <vt:variant>
        <vt:i4>92</vt:i4>
      </vt:variant>
      <vt:variant>
        <vt:i4>0</vt:i4>
      </vt:variant>
      <vt:variant>
        <vt:i4>5</vt:i4>
      </vt:variant>
      <vt:variant>
        <vt:lpwstr/>
      </vt:variant>
      <vt:variant>
        <vt:lpwstr>_Toc72243776</vt:lpwstr>
      </vt:variant>
      <vt:variant>
        <vt:i4>1245233</vt:i4>
      </vt:variant>
      <vt:variant>
        <vt:i4>86</vt:i4>
      </vt:variant>
      <vt:variant>
        <vt:i4>0</vt:i4>
      </vt:variant>
      <vt:variant>
        <vt:i4>5</vt:i4>
      </vt:variant>
      <vt:variant>
        <vt:lpwstr/>
      </vt:variant>
      <vt:variant>
        <vt:lpwstr>_Toc72243775</vt:lpwstr>
      </vt:variant>
      <vt:variant>
        <vt:i4>1179697</vt:i4>
      </vt:variant>
      <vt:variant>
        <vt:i4>80</vt:i4>
      </vt:variant>
      <vt:variant>
        <vt:i4>0</vt:i4>
      </vt:variant>
      <vt:variant>
        <vt:i4>5</vt:i4>
      </vt:variant>
      <vt:variant>
        <vt:lpwstr/>
      </vt:variant>
      <vt:variant>
        <vt:lpwstr>_Toc72243774</vt:lpwstr>
      </vt:variant>
      <vt:variant>
        <vt:i4>1376305</vt:i4>
      </vt:variant>
      <vt:variant>
        <vt:i4>74</vt:i4>
      </vt:variant>
      <vt:variant>
        <vt:i4>0</vt:i4>
      </vt:variant>
      <vt:variant>
        <vt:i4>5</vt:i4>
      </vt:variant>
      <vt:variant>
        <vt:lpwstr/>
      </vt:variant>
      <vt:variant>
        <vt:lpwstr>_Toc72243773</vt:lpwstr>
      </vt:variant>
      <vt:variant>
        <vt:i4>1310769</vt:i4>
      </vt:variant>
      <vt:variant>
        <vt:i4>68</vt:i4>
      </vt:variant>
      <vt:variant>
        <vt:i4>0</vt:i4>
      </vt:variant>
      <vt:variant>
        <vt:i4>5</vt:i4>
      </vt:variant>
      <vt:variant>
        <vt:lpwstr/>
      </vt:variant>
      <vt:variant>
        <vt:lpwstr>_Toc72243772</vt:lpwstr>
      </vt:variant>
      <vt:variant>
        <vt:i4>1507377</vt:i4>
      </vt:variant>
      <vt:variant>
        <vt:i4>62</vt:i4>
      </vt:variant>
      <vt:variant>
        <vt:i4>0</vt:i4>
      </vt:variant>
      <vt:variant>
        <vt:i4>5</vt:i4>
      </vt:variant>
      <vt:variant>
        <vt:lpwstr/>
      </vt:variant>
      <vt:variant>
        <vt:lpwstr>_Toc72243771</vt:lpwstr>
      </vt:variant>
      <vt:variant>
        <vt:i4>1441841</vt:i4>
      </vt:variant>
      <vt:variant>
        <vt:i4>56</vt:i4>
      </vt:variant>
      <vt:variant>
        <vt:i4>0</vt:i4>
      </vt:variant>
      <vt:variant>
        <vt:i4>5</vt:i4>
      </vt:variant>
      <vt:variant>
        <vt:lpwstr/>
      </vt:variant>
      <vt:variant>
        <vt:lpwstr>_Toc72243770</vt:lpwstr>
      </vt:variant>
      <vt:variant>
        <vt:i4>2031664</vt:i4>
      </vt:variant>
      <vt:variant>
        <vt:i4>50</vt:i4>
      </vt:variant>
      <vt:variant>
        <vt:i4>0</vt:i4>
      </vt:variant>
      <vt:variant>
        <vt:i4>5</vt:i4>
      </vt:variant>
      <vt:variant>
        <vt:lpwstr/>
      </vt:variant>
      <vt:variant>
        <vt:lpwstr>_Toc72243769</vt:lpwstr>
      </vt:variant>
      <vt:variant>
        <vt:i4>1966128</vt:i4>
      </vt:variant>
      <vt:variant>
        <vt:i4>44</vt:i4>
      </vt:variant>
      <vt:variant>
        <vt:i4>0</vt:i4>
      </vt:variant>
      <vt:variant>
        <vt:i4>5</vt:i4>
      </vt:variant>
      <vt:variant>
        <vt:lpwstr/>
      </vt:variant>
      <vt:variant>
        <vt:lpwstr>_Toc72243768</vt:lpwstr>
      </vt:variant>
      <vt:variant>
        <vt:i4>1114160</vt:i4>
      </vt:variant>
      <vt:variant>
        <vt:i4>38</vt:i4>
      </vt:variant>
      <vt:variant>
        <vt:i4>0</vt:i4>
      </vt:variant>
      <vt:variant>
        <vt:i4>5</vt:i4>
      </vt:variant>
      <vt:variant>
        <vt:lpwstr/>
      </vt:variant>
      <vt:variant>
        <vt:lpwstr>_Toc72243767</vt:lpwstr>
      </vt:variant>
      <vt:variant>
        <vt:i4>1048624</vt:i4>
      </vt:variant>
      <vt:variant>
        <vt:i4>32</vt:i4>
      </vt:variant>
      <vt:variant>
        <vt:i4>0</vt:i4>
      </vt:variant>
      <vt:variant>
        <vt:i4>5</vt:i4>
      </vt:variant>
      <vt:variant>
        <vt:lpwstr/>
      </vt:variant>
      <vt:variant>
        <vt:lpwstr>_Toc72243766</vt:lpwstr>
      </vt:variant>
      <vt:variant>
        <vt:i4>1245232</vt:i4>
      </vt:variant>
      <vt:variant>
        <vt:i4>26</vt:i4>
      </vt:variant>
      <vt:variant>
        <vt:i4>0</vt:i4>
      </vt:variant>
      <vt:variant>
        <vt:i4>5</vt:i4>
      </vt:variant>
      <vt:variant>
        <vt:lpwstr/>
      </vt:variant>
      <vt:variant>
        <vt:lpwstr>_Toc72243765</vt:lpwstr>
      </vt:variant>
      <vt:variant>
        <vt:i4>1179696</vt:i4>
      </vt:variant>
      <vt:variant>
        <vt:i4>20</vt:i4>
      </vt:variant>
      <vt:variant>
        <vt:i4>0</vt:i4>
      </vt:variant>
      <vt:variant>
        <vt:i4>5</vt:i4>
      </vt:variant>
      <vt:variant>
        <vt:lpwstr/>
      </vt:variant>
      <vt:variant>
        <vt:lpwstr>_Toc72243764</vt:lpwstr>
      </vt:variant>
      <vt:variant>
        <vt:i4>1376304</vt:i4>
      </vt:variant>
      <vt:variant>
        <vt:i4>14</vt:i4>
      </vt:variant>
      <vt:variant>
        <vt:i4>0</vt:i4>
      </vt:variant>
      <vt:variant>
        <vt:i4>5</vt:i4>
      </vt:variant>
      <vt:variant>
        <vt:lpwstr/>
      </vt:variant>
      <vt:variant>
        <vt:lpwstr>_Toc72243763</vt:lpwstr>
      </vt:variant>
      <vt:variant>
        <vt:i4>1310768</vt:i4>
      </vt:variant>
      <vt:variant>
        <vt:i4>8</vt:i4>
      </vt:variant>
      <vt:variant>
        <vt:i4>0</vt:i4>
      </vt:variant>
      <vt:variant>
        <vt:i4>5</vt:i4>
      </vt:variant>
      <vt:variant>
        <vt:lpwstr/>
      </vt:variant>
      <vt:variant>
        <vt:lpwstr>_Toc72243762</vt:lpwstr>
      </vt:variant>
      <vt:variant>
        <vt:i4>1507376</vt:i4>
      </vt:variant>
      <vt:variant>
        <vt:i4>2</vt:i4>
      </vt:variant>
      <vt:variant>
        <vt:i4>0</vt:i4>
      </vt:variant>
      <vt:variant>
        <vt:i4>5</vt:i4>
      </vt:variant>
      <vt:variant>
        <vt:lpwstr/>
      </vt:variant>
      <vt:variant>
        <vt:lpwstr>_Toc72243761</vt:lpwstr>
      </vt:variant>
      <vt:variant>
        <vt:i4>4849748</vt:i4>
      </vt:variant>
      <vt:variant>
        <vt:i4>21</vt:i4>
      </vt:variant>
      <vt:variant>
        <vt:i4>0</vt:i4>
      </vt:variant>
      <vt:variant>
        <vt:i4>5</vt:i4>
      </vt:variant>
      <vt:variant>
        <vt:lpwstr>https://ausgovenvironment.sharepoint.com/sites/AWE-intranet/Shared Documents/Forms/AllItems.aspx?sortField=Modified&amp;isAscending=false&amp;id=/sites/AWE-intranet/Shared%20Documents/Regulatory%20statement_Internal_Final.pdf&amp;parent=/sites/AWE-intranet/Shared%20Documents</vt:lpwstr>
      </vt:variant>
      <vt:variant>
        <vt:lpwstr/>
      </vt:variant>
      <vt:variant>
        <vt:i4>2687016</vt:i4>
      </vt:variant>
      <vt:variant>
        <vt:i4>18</vt:i4>
      </vt:variant>
      <vt:variant>
        <vt:i4>0</vt:i4>
      </vt:variant>
      <vt:variant>
        <vt:i4>5</vt:i4>
      </vt:variant>
      <vt:variant>
        <vt:lpwstr>https://www.ag.gov.au/legal-system/administrative-law/regulatory-powers</vt:lpwstr>
      </vt:variant>
      <vt:variant>
        <vt:lpwstr/>
      </vt:variant>
      <vt:variant>
        <vt:i4>2162744</vt:i4>
      </vt:variant>
      <vt:variant>
        <vt:i4>15</vt:i4>
      </vt:variant>
      <vt:variant>
        <vt:i4>0</vt:i4>
      </vt:variant>
      <vt:variant>
        <vt:i4>5</vt:i4>
      </vt:variant>
      <vt:variant>
        <vt:lpwstr>https://soe.environment.gov.au/</vt:lpwstr>
      </vt:variant>
      <vt:variant>
        <vt:lpwstr/>
      </vt:variant>
      <vt:variant>
        <vt:i4>7798896</vt:i4>
      </vt:variant>
      <vt:variant>
        <vt:i4>12</vt:i4>
      </vt:variant>
      <vt:variant>
        <vt:i4>0</vt:i4>
      </vt:variant>
      <vt:variant>
        <vt:i4>5</vt:i4>
      </vt:variant>
      <vt:variant>
        <vt:lpwstr>https://www.environment.gov.au/system/files/pages/f0e28291-cffd-4dbf-87f6-12cd76fea3a6/files/kpmg-native-and-exotic-bird-export.pdf</vt:lpwstr>
      </vt:variant>
      <vt:variant>
        <vt:lpwstr/>
      </vt:variant>
      <vt:variant>
        <vt:i4>7733287</vt:i4>
      </vt:variant>
      <vt:variant>
        <vt:i4>9</vt:i4>
      </vt:variant>
      <vt:variant>
        <vt:i4>0</vt:i4>
      </vt:variant>
      <vt:variant>
        <vt:i4>5</vt:i4>
      </vt:variant>
      <vt:variant>
        <vt:lpwstr>https://www.environment.gov.au/system/files/resources/0bb50a4d-b273-4a31-8fdb-dcde90edef3e/files/review-interactions-epbc-act-agriculture-final-report.pdf</vt:lpwstr>
      </vt:variant>
      <vt:variant>
        <vt:lpwstr/>
      </vt:variant>
      <vt:variant>
        <vt:i4>3080309</vt:i4>
      </vt:variant>
      <vt:variant>
        <vt:i4>6</vt:i4>
      </vt:variant>
      <vt:variant>
        <vt:i4>0</vt:i4>
      </vt:variant>
      <vt:variant>
        <vt:i4>5</vt:i4>
      </vt:variant>
      <vt:variant>
        <vt:lpwstr>https://epbcactreview.environment.gov.au/resources/final-report</vt:lpwstr>
      </vt:variant>
      <vt:variant>
        <vt:lpwstr/>
      </vt:variant>
      <vt:variant>
        <vt:i4>1245263</vt:i4>
      </vt:variant>
      <vt:variant>
        <vt:i4>3</vt:i4>
      </vt:variant>
      <vt:variant>
        <vt:i4>0</vt:i4>
      </vt:variant>
      <vt:variant>
        <vt:i4>5</vt:i4>
      </vt:variant>
      <vt:variant>
        <vt:lpwstr>https://www.anao.gov.au/work/performance-audit/referrals-assessments-and-approvals-controlled-actions-under-the-epbc-act</vt:lpwstr>
      </vt:variant>
      <vt:variant>
        <vt:lpwstr/>
      </vt:variant>
      <vt:variant>
        <vt:i4>7340077</vt:i4>
      </vt:variant>
      <vt:variant>
        <vt:i4>0</vt:i4>
      </vt:variant>
      <vt:variant>
        <vt:i4>0</vt:i4>
      </vt:variant>
      <vt:variant>
        <vt:i4>5</vt:i4>
      </vt:variant>
      <vt:variant>
        <vt:lpwstr>https://www.legislation.gov.au/Details/C2021C00081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Compliance Regulatory Risk Review Final Report</dc:title>
  <dc:subject/>
  <dc:creator>Department of Agriculture, Water and the Environment</dc:creator>
  <cp:keywords/>
  <dc:description/>
  <cp:lastModifiedBy>Lien Nguyen</cp:lastModifiedBy>
  <cp:revision>3</cp:revision>
  <cp:lastPrinted>2021-05-21T05:54:00Z</cp:lastPrinted>
  <dcterms:created xsi:type="dcterms:W3CDTF">2021-12-14T00:57:00Z</dcterms:created>
  <dcterms:modified xsi:type="dcterms:W3CDTF">2021-12-15T22:18:00Z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