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36E" w:rsidRPr="003C63AC" w:rsidRDefault="00F6036E" w:rsidP="00F6036E">
      <w:bookmarkStart w:id="0" w:name="_GoBack"/>
      <w:bookmarkEnd w:id="0"/>
    </w:p>
    <w:p w:rsidR="00F6036E" w:rsidRPr="003C63AC" w:rsidRDefault="00F6036E" w:rsidP="00F6036E"/>
    <w:p w:rsidR="00F6036E" w:rsidRPr="003C63AC" w:rsidRDefault="00F6036E" w:rsidP="00F6036E"/>
    <w:p w:rsidR="00F6036E" w:rsidRPr="003C63AC" w:rsidRDefault="00F6036E" w:rsidP="00F6036E"/>
    <w:p w:rsidR="00F6036E" w:rsidRPr="003C63AC" w:rsidRDefault="00F6036E" w:rsidP="00F6036E"/>
    <w:p w:rsidR="00F6036E" w:rsidRPr="003C63AC" w:rsidRDefault="00F6036E" w:rsidP="00F6036E"/>
    <w:p w:rsidR="00F6036E" w:rsidRPr="003C63AC" w:rsidRDefault="00F6036E" w:rsidP="00F6036E"/>
    <w:p w:rsidR="00F6036E" w:rsidRPr="003C63AC" w:rsidRDefault="00F6036E" w:rsidP="00F6036E"/>
    <w:p w:rsidR="00F6036E" w:rsidRPr="003C63AC" w:rsidRDefault="00F6036E" w:rsidP="00F6036E"/>
    <w:p w:rsidR="00F6036E" w:rsidRPr="003C63AC" w:rsidRDefault="00F6036E" w:rsidP="00F6036E"/>
    <w:p w:rsidR="00F6036E" w:rsidRPr="003C63AC" w:rsidRDefault="00F6036E" w:rsidP="00F6036E"/>
    <w:p w:rsidR="00F6036E" w:rsidRPr="003C63AC" w:rsidRDefault="00F6036E" w:rsidP="00F6036E"/>
    <w:p w:rsidR="00F6036E" w:rsidRPr="003C63AC" w:rsidRDefault="00F6036E" w:rsidP="00F6036E"/>
    <w:p w:rsidR="00F6036E" w:rsidRPr="003C63AC" w:rsidRDefault="005C6A24" w:rsidP="00F6036E">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-1776730</wp:posOffset>
                </wp:positionH>
                <wp:positionV relativeFrom="paragraph">
                  <wp:posOffset>-4627245</wp:posOffset>
                </wp:positionV>
                <wp:extent cx="635000" cy="635000"/>
                <wp:effectExtent l="0" t="0" r="12700" b="12700"/>
                <wp:wrapNone/>
                <wp:docPr id="28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0040B" id="_x0000_t202" coordsize="21600,21600" o:spt="202" path="m,l,21600r21600,l21600,xe">
                <v:stroke joinstyle="miter"/>
                <v:path gradientshapeok="t" o:connecttype="rect"/>
              </v:shapetype>
              <v:shape id="Text Box 39" o:spid="_x0000_s1026" type="#_x0000_t202" style="position:absolute;margin-left:-139.9pt;margin-top:-364.35pt;width:50pt;height: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"/>
            </w:pict>
          </mc:Fallback>
        </mc:AlternateContent>
      </w:r>
      <w:r>
        <w:rPr>
          <w:noProof/>
          <w:lang w:eastAsia="en-AU"/>
        </w:rPr>
        <mc:AlternateContent>
          <mc:Choice Requires="wps">
            <w:drawing>
              <wp:anchor distT="0" distB="0" distL="114300" distR="114300" simplePos="0" relativeHeight="251658240" behindDoc="1" locked="1" layoutInCell="1" allowOverlap="1">
                <wp:simplePos x="0" y="0"/>
                <wp:positionH relativeFrom="page">
                  <wp:posOffset>228600</wp:posOffset>
                </wp:positionH>
                <wp:positionV relativeFrom="page">
                  <wp:posOffset>5943600</wp:posOffset>
                </wp:positionV>
                <wp:extent cx="7219950" cy="2908935"/>
                <wp:effectExtent l="0" t="0" r="0" b="5715"/>
                <wp:wrapNone/>
                <wp:docPr id="2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2908935"/>
                        </a:xfrm>
                        <a:prstGeom prst="rect">
                          <a:avLst/>
                        </a:prstGeom>
                        <a:solidFill>
                          <a:schemeClr val="bg1">
                            <a:lumMod val="50000"/>
                          </a:schemeClr>
                        </a:solidFill>
                        <a:ln>
                          <a:noFill/>
                        </a:ln>
                        <a:effectLst/>
                        <a:extLst/>
                      </wps:spPr>
                      <wps:txbx>
                        <w:txbxContent>
                          <w:p w:rsidR="007D6AC3" w:rsidRDefault="007D6AC3" w:rsidP="00F6036E">
                            <w:pPr>
                              <w:contextualSpacing/>
                              <w:rPr>
                                <w:rFonts w:cstheme="minorHAnsi"/>
                                <w:color w:val="FFFFFF" w:themeColor="background1"/>
                              </w:rPr>
                            </w:pP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left:0;text-align:left;margin-left:18pt;margin-top:468pt;width:568.5pt;height:229.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" fillcolor="#7f7f7f [1612]" stroked="f">
                <v:textbox inset="18pt,18pt,1in,18pt">
                  <w:txbxContent>
                    <w:p w:rsidR="007D6AC3" w:rsidRDefault="007D6AC3" w:rsidP="00F6036E">
                      <w:pPr>
                        <w:contextualSpacing/>
                        <w:rPr>
                          <w:rFonts w:cstheme="minorHAnsi"/>
                          <w:color w:val="FFFFFF" w:themeColor="background1"/>
                        </w:rPr>
                      </w:pPr>
                    </w:p>
                  </w:txbxContent>
                </v:textbox>
                <w10:wrap anchorx="page" anchory="page"/>
                <w10:anchorlock/>
              </v:rect>
            </w:pict>
          </mc:Fallback>
        </mc:AlternateContent>
      </w:r>
    </w:p>
    <w:p w:rsidR="00F6036E" w:rsidRPr="003C63AC" w:rsidRDefault="00F6036E" w:rsidP="00F6036E"/>
    <w:p w:rsidR="00F6036E" w:rsidRPr="003C63AC" w:rsidRDefault="00F6036E" w:rsidP="00F6036E"/>
    <w:p w:rsidR="00F6036E" w:rsidRPr="003C63AC" w:rsidRDefault="00F6036E" w:rsidP="00F6036E"/>
    <w:p w:rsidR="00F6036E" w:rsidRPr="003C63AC" w:rsidRDefault="00F6036E" w:rsidP="00F6036E"/>
    <w:p w:rsidR="00403EF3" w:rsidRPr="003C63AC" w:rsidRDefault="00403EF3" w:rsidP="00403EF3"/>
    <w:p w:rsidR="00403EF3" w:rsidRPr="003C63AC" w:rsidRDefault="00403EF3" w:rsidP="00403EF3"/>
    <w:p w:rsidR="009E6823" w:rsidRPr="003C63AC" w:rsidRDefault="009E6823" w:rsidP="00F6036E">
      <w:pPr>
        <w:pStyle w:val="Date"/>
        <w:ind w:right="-1198"/>
        <w:rPr>
          <w:color w:val="FFFFFF" w:themeColor="background1"/>
          <w:sz w:val="48"/>
          <w:szCs w:val="48"/>
        </w:rPr>
      </w:pPr>
    </w:p>
    <w:p w:rsidR="00B75623" w:rsidRPr="003C63AC" w:rsidRDefault="00B75623" w:rsidP="009E6823">
      <w:pPr>
        <w:pStyle w:val="Date"/>
        <w:ind w:right="-1198"/>
        <w:rPr>
          <w:color w:val="FFFFFF" w:themeColor="background1"/>
          <w:sz w:val="44"/>
          <w:szCs w:val="44"/>
          <w:lang w:val="en-AU"/>
        </w:rPr>
      </w:pPr>
    </w:p>
    <w:p w:rsidR="00B75623" w:rsidRPr="003C63AC" w:rsidRDefault="00B75623" w:rsidP="009E6823">
      <w:pPr>
        <w:pStyle w:val="Date"/>
        <w:ind w:right="-1198"/>
        <w:rPr>
          <w:color w:val="FFFFFF" w:themeColor="background1"/>
          <w:sz w:val="44"/>
          <w:szCs w:val="44"/>
          <w:lang w:val="en-AU"/>
        </w:rPr>
      </w:pPr>
      <w:r w:rsidRPr="003C63AC">
        <w:rPr>
          <w:color w:val="FFFFFF" w:themeColor="background1"/>
          <w:sz w:val="44"/>
          <w:szCs w:val="44"/>
          <w:lang w:val="en-AU"/>
        </w:rPr>
        <w:t xml:space="preserve">Prepared for the </w:t>
      </w:r>
    </w:p>
    <w:p w:rsidR="00710DAB" w:rsidRPr="003C63AC" w:rsidRDefault="00BE7891" w:rsidP="009E6823">
      <w:pPr>
        <w:pStyle w:val="Date"/>
        <w:ind w:right="-1198"/>
        <w:rPr>
          <w:color w:val="FFFFFF" w:themeColor="background1"/>
          <w:sz w:val="44"/>
          <w:szCs w:val="44"/>
        </w:rPr>
      </w:pPr>
      <w:r w:rsidRPr="003C63AC">
        <w:rPr>
          <w:color w:val="FFFFFF" w:themeColor="background1"/>
          <w:sz w:val="44"/>
          <w:szCs w:val="44"/>
          <w:lang w:val="en-AU"/>
        </w:rPr>
        <w:t xml:space="preserve">Department of </w:t>
      </w:r>
      <w:r w:rsidR="000254C9" w:rsidRPr="003C63AC">
        <w:rPr>
          <w:color w:val="FFFFFF" w:themeColor="background1"/>
          <w:sz w:val="44"/>
          <w:szCs w:val="44"/>
          <w:lang w:val="en-AU"/>
        </w:rPr>
        <w:t xml:space="preserve">the </w:t>
      </w:r>
      <w:r w:rsidRPr="003C63AC">
        <w:rPr>
          <w:color w:val="FFFFFF" w:themeColor="background1"/>
          <w:sz w:val="44"/>
          <w:szCs w:val="44"/>
          <w:lang w:val="en-AU"/>
        </w:rPr>
        <w:t>Environment</w:t>
      </w:r>
    </w:p>
    <w:p w:rsidR="000254C9" w:rsidRPr="003C63AC" w:rsidRDefault="0016405B" w:rsidP="000254C9">
      <w:pPr>
        <w:pStyle w:val="Date"/>
        <w:ind w:right="-1198"/>
      </w:pPr>
      <w:r w:rsidRPr="003C63AC">
        <w:rPr>
          <w:color w:val="FFFFFF" w:themeColor="background1"/>
          <w:sz w:val="44"/>
          <w:szCs w:val="44"/>
        </w:rPr>
        <w:t>Environment Standards Branch</w:t>
      </w:r>
    </w:p>
    <w:p w:rsidR="000254C9" w:rsidRPr="003C63AC" w:rsidRDefault="000254C9" w:rsidP="000254C9">
      <w:pPr>
        <w:pStyle w:val="Date"/>
        <w:ind w:right="-1198"/>
        <w:rPr>
          <w:color w:val="FFFFFF" w:themeColor="background1"/>
          <w:sz w:val="36"/>
          <w:szCs w:val="36"/>
        </w:rPr>
      </w:pPr>
    </w:p>
    <w:p w:rsidR="00F6036E" w:rsidRPr="003C63AC" w:rsidRDefault="00636751" w:rsidP="000254C9">
      <w:pPr>
        <w:pStyle w:val="Date"/>
        <w:ind w:right="-1198"/>
        <w:rPr>
          <w:color w:val="FFFFFF" w:themeColor="background1"/>
          <w:sz w:val="44"/>
          <w:szCs w:val="44"/>
        </w:rPr>
      </w:pPr>
      <w:r>
        <w:rPr>
          <w:color w:val="FFFFFF" w:themeColor="background1"/>
          <w:sz w:val="44"/>
          <w:szCs w:val="44"/>
        </w:rPr>
        <w:t>June 2015</w:t>
      </w:r>
    </w:p>
    <w:p w:rsidR="00965A0C" w:rsidRPr="003C63AC" w:rsidRDefault="00965A0C" w:rsidP="00965A0C">
      <w:pPr>
        <w:rPr>
          <w:sz w:val="16"/>
          <w:szCs w:val="16"/>
        </w:rPr>
      </w:pPr>
    </w:p>
    <w:p w:rsidR="00965A0C" w:rsidRPr="003C63AC" w:rsidRDefault="00965A0C" w:rsidP="00965A0C">
      <w:pPr>
        <w:rPr>
          <w:sz w:val="16"/>
          <w:szCs w:val="16"/>
        </w:rPr>
      </w:pPr>
    </w:p>
    <w:p w:rsidR="000254C9" w:rsidRPr="003C63AC" w:rsidRDefault="000254C9" w:rsidP="00F6036E"/>
    <w:p w:rsidR="00F6036E" w:rsidRPr="003C63AC" w:rsidRDefault="00F6036E" w:rsidP="00A76A76">
      <w:pPr>
        <w:ind w:right="-1198"/>
        <w:jc w:val="right"/>
      </w:pPr>
      <w:r w:rsidRPr="003C63AC">
        <w:rPr>
          <w:noProof/>
          <w:lang w:eastAsia="en-AU"/>
        </w:rPr>
        <w:drawing>
          <wp:inline distT="0" distB="0" distL="0" distR="0">
            <wp:extent cx="3429000" cy="5866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t Group Logo.jpg"/>
                    <pic:cNvPicPr/>
                  </pic:nvPicPr>
                  <pic:blipFill>
                    <a:blip r:embed="rId7">
                      <a:extLst>
                        <a:ext uri="{28A0092B-C50C-407E-A947-70E740481C1C}">
                          <a14:useLocalDpi xmlns:a14="http://schemas.microsoft.com/office/drawing/2010/main" val="0"/>
                        </a:ext>
                      </a:extLst>
                    </a:blip>
                    <a:stretch>
                      <a:fillRect/>
                    </a:stretch>
                  </pic:blipFill>
                  <pic:spPr>
                    <a:xfrm>
                      <a:off x="0" y="0"/>
                      <a:ext cx="3429000" cy="586648"/>
                    </a:xfrm>
                    <a:prstGeom prst="rect">
                      <a:avLst/>
                    </a:prstGeom>
                  </pic:spPr>
                </pic:pic>
              </a:graphicData>
            </a:graphic>
          </wp:inline>
        </w:drawing>
      </w:r>
      <w:r w:rsidR="005C6A24">
        <w:rPr>
          <w:noProof/>
          <w:lang w:eastAsia="en-AU"/>
        </w:rPr>
        <mc:AlternateContent>
          <mc:Choice Requires="wps">
            <w:drawing>
              <wp:anchor distT="0" distB="0" distL="114300" distR="114300" simplePos="0" relativeHeight="251657216" behindDoc="0" locked="1" layoutInCell="1" allowOverlap="1">
                <wp:simplePos x="0" y="0"/>
                <wp:positionH relativeFrom="page">
                  <wp:posOffset>228600</wp:posOffset>
                </wp:positionH>
                <wp:positionV relativeFrom="page">
                  <wp:posOffset>1480185</wp:posOffset>
                </wp:positionV>
                <wp:extent cx="7219950" cy="1034415"/>
                <wp:effectExtent l="0" t="0" r="0" b="0"/>
                <wp:wrapNone/>
                <wp:docPr id="27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1034415"/>
                        </a:xfrm>
                        <a:prstGeom prst="rect">
                          <a:avLst/>
                        </a:prstGeom>
                        <a:solidFill>
                          <a:srgbClr val="000000">
                            <a:alpha val="70000"/>
                          </a:srgbClr>
                        </a:solidFill>
                        <a:ln>
                          <a:noFill/>
                        </a:ln>
                        <a:extLst>
                          <a:ext uri="{91240B29-F687-4f45-9708-019B960494DF}">
                            <a14:hiddenLine xmlns:a14="http://schemas.microsoft.com/office/drawing/2010/main" xmlns="" w="9525">
                              <a:solidFill>
                                <a:srgbClr val="000000"/>
                              </a:solidFill>
                              <a:miter lim="800000"/>
                              <a:headEnd/>
                              <a:tailEnd/>
                            </a14:hiddenLine>
                          </a:ext>
                        </a:extLst>
                      </wps:spPr>
                      <wps:txbx>
                        <w:txbxContent>
                          <w:p w:rsidR="007D6AC3" w:rsidRPr="006513BC" w:rsidRDefault="007D6AC3" w:rsidP="005302B0">
                            <w:pPr>
                              <w:pStyle w:val="NoSpacing"/>
                              <w:snapToGrid w:val="0"/>
                              <w:spacing w:before="120" w:after="240"/>
                              <w:rPr>
                                <w:rFonts w:asciiTheme="minorHAnsi" w:eastAsiaTheme="majorEastAsia" w:hAnsiTheme="minorHAnsi" w:cstheme="minorHAnsi"/>
                                <w:color w:val="FFFFFF" w:themeColor="background1"/>
                                <w:sz w:val="48"/>
                                <w:szCs w:val="48"/>
                              </w:rPr>
                            </w:pPr>
                            <w:r w:rsidRPr="005302B0">
                              <w:rPr>
                                <w:rFonts w:asciiTheme="minorHAnsi" w:eastAsiaTheme="majorEastAsia" w:hAnsiTheme="minorHAnsi" w:cstheme="minorHAnsi"/>
                                <w:color w:val="FFFFFF" w:themeColor="background1"/>
                                <w:sz w:val="48"/>
                                <w:szCs w:val="48"/>
                              </w:rPr>
                              <w:t>Environmental Impacts of Refrigerant Gas in E</w:t>
                            </w:r>
                            <w:r>
                              <w:rPr>
                                <w:rFonts w:asciiTheme="minorHAnsi" w:eastAsiaTheme="majorEastAsia" w:hAnsiTheme="minorHAnsi" w:cstheme="minorHAnsi"/>
                                <w:color w:val="FFFFFF" w:themeColor="background1"/>
                                <w:sz w:val="48"/>
                                <w:szCs w:val="48"/>
                              </w:rPr>
                              <w:t xml:space="preserve">nd of </w:t>
                            </w:r>
                            <w:r w:rsidRPr="005302B0">
                              <w:rPr>
                                <w:rFonts w:asciiTheme="minorHAnsi" w:eastAsiaTheme="majorEastAsia" w:hAnsiTheme="minorHAnsi" w:cstheme="minorHAnsi"/>
                                <w:color w:val="FFFFFF" w:themeColor="background1"/>
                                <w:sz w:val="48"/>
                                <w:szCs w:val="48"/>
                              </w:rPr>
                              <w:t>L</w:t>
                            </w:r>
                            <w:r>
                              <w:rPr>
                                <w:rFonts w:asciiTheme="minorHAnsi" w:eastAsiaTheme="majorEastAsia" w:hAnsiTheme="minorHAnsi" w:cstheme="minorHAnsi"/>
                                <w:color w:val="FFFFFF" w:themeColor="background1"/>
                                <w:sz w:val="48"/>
                                <w:szCs w:val="48"/>
                              </w:rPr>
                              <w:t xml:space="preserve">ife </w:t>
                            </w:r>
                            <w:r w:rsidRPr="005302B0">
                              <w:rPr>
                                <w:rFonts w:asciiTheme="minorHAnsi" w:eastAsiaTheme="majorEastAsia" w:hAnsiTheme="minorHAnsi" w:cstheme="minorHAnsi"/>
                                <w:color w:val="FFFFFF" w:themeColor="background1"/>
                                <w:sz w:val="48"/>
                                <w:szCs w:val="48"/>
                              </w:rPr>
                              <w:t>V</w:t>
                            </w:r>
                            <w:r>
                              <w:rPr>
                                <w:rFonts w:asciiTheme="minorHAnsi" w:eastAsiaTheme="majorEastAsia" w:hAnsiTheme="minorHAnsi" w:cstheme="minorHAnsi"/>
                                <w:color w:val="FFFFFF" w:themeColor="background1"/>
                                <w:sz w:val="48"/>
                                <w:szCs w:val="48"/>
                              </w:rPr>
                              <w:t>ehicles</w:t>
                            </w:r>
                            <w:r w:rsidRPr="005302B0">
                              <w:rPr>
                                <w:rFonts w:asciiTheme="minorHAnsi" w:eastAsiaTheme="majorEastAsia" w:hAnsiTheme="minorHAnsi" w:cstheme="minorHAnsi"/>
                                <w:color w:val="FFFFFF" w:themeColor="background1"/>
                                <w:sz w:val="48"/>
                                <w:szCs w:val="48"/>
                              </w:rPr>
                              <w:t xml:space="preserve"> in Australia</w:t>
                            </w:r>
                          </w:p>
                        </w:txbxContent>
                      </wps:txbx>
                      <wps:bodyPr rot="0" vert="horz" wrap="square" lIns="228600" tIns="45720" rIns="91440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Rectangle 82" o:spid="_x0000_s1027" style="position:absolute;left:0;text-align:left;margin-left:18pt;margin-top:116.55pt;width:568.5pt;height:81.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" fillcolor="black" stroked="f">
                <v:fill opacity="46003f"/>
                <v:textbox style="mso-fit-shape-to-text:t" inset="18pt,,1in">
                  <w:txbxContent>
                    <w:p w:rsidR="007D6AC3" w:rsidRPr="006513BC" w:rsidRDefault="007D6AC3" w:rsidP="005302B0">
                      <w:pPr>
                        <w:pStyle w:val="NoSpacing"/>
                        <w:snapToGrid w:val="0"/>
                        <w:spacing w:before="120" w:after="240"/>
                        <w:rPr>
                          <w:rFonts w:asciiTheme="minorHAnsi" w:eastAsiaTheme="majorEastAsia" w:hAnsiTheme="minorHAnsi" w:cstheme="minorHAnsi"/>
                          <w:color w:val="FFFFFF" w:themeColor="background1"/>
                          <w:sz w:val="48"/>
                          <w:szCs w:val="48"/>
                        </w:rPr>
                      </w:pPr>
                      <w:r w:rsidRPr="005302B0">
                        <w:rPr>
                          <w:rFonts w:asciiTheme="minorHAnsi" w:eastAsiaTheme="majorEastAsia" w:hAnsiTheme="minorHAnsi" w:cstheme="minorHAnsi"/>
                          <w:color w:val="FFFFFF" w:themeColor="background1"/>
                          <w:sz w:val="48"/>
                          <w:szCs w:val="48"/>
                        </w:rPr>
                        <w:t>Environmental Impacts of Refrigerant Gas in E</w:t>
                      </w:r>
                      <w:r>
                        <w:rPr>
                          <w:rFonts w:asciiTheme="minorHAnsi" w:eastAsiaTheme="majorEastAsia" w:hAnsiTheme="minorHAnsi" w:cstheme="minorHAnsi"/>
                          <w:color w:val="FFFFFF" w:themeColor="background1"/>
                          <w:sz w:val="48"/>
                          <w:szCs w:val="48"/>
                        </w:rPr>
                        <w:t xml:space="preserve">nd of </w:t>
                      </w:r>
                      <w:r w:rsidRPr="005302B0">
                        <w:rPr>
                          <w:rFonts w:asciiTheme="minorHAnsi" w:eastAsiaTheme="majorEastAsia" w:hAnsiTheme="minorHAnsi" w:cstheme="minorHAnsi"/>
                          <w:color w:val="FFFFFF" w:themeColor="background1"/>
                          <w:sz w:val="48"/>
                          <w:szCs w:val="48"/>
                        </w:rPr>
                        <w:t>L</w:t>
                      </w:r>
                      <w:r>
                        <w:rPr>
                          <w:rFonts w:asciiTheme="minorHAnsi" w:eastAsiaTheme="majorEastAsia" w:hAnsiTheme="minorHAnsi" w:cstheme="minorHAnsi"/>
                          <w:color w:val="FFFFFF" w:themeColor="background1"/>
                          <w:sz w:val="48"/>
                          <w:szCs w:val="48"/>
                        </w:rPr>
                        <w:t xml:space="preserve">ife </w:t>
                      </w:r>
                      <w:r w:rsidRPr="005302B0">
                        <w:rPr>
                          <w:rFonts w:asciiTheme="minorHAnsi" w:eastAsiaTheme="majorEastAsia" w:hAnsiTheme="minorHAnsi" w:cstheme="minorHAnsi"/>
                          <w:color w:val="FFFFFF" w:themeColor="background1"/>
                          <w:sz w:val="48"/>
                          <w:szCs w:val="48"/>
                        </w:rPr>
                        <w:t>V</w:t>
                      </w:r>
                      <w:r>
                        <w:rPr>
                          <w:rFonts w:asciiTheme="minorHAnsi" w:eastAsiaTheme="majorEastAsia" w:hAnsiTheme="minorHAnsi" w:cstheme="minorHAnsi"/>
                          <w:color w:val="FFFFFF" w:themeColor="background1"/>
                          <w:sz w:val="48"/>
                          <w:szCs w:val="48"/>
                        </w:rPr>
                        <w:t>ehicles</w:t>
                      </w:r>
                      <w:r w:rsidRPr="005302B0">
                        <w:rPr>
                          <w:rFonts w:asciiTheme="minorHAnsi" w:eastAsiaTheme="majorEastAsia" w:hAnsiTheme="minorHAnsi" w:cstheme="minorHAnsi"/>
                          <w:color w:val="FFFFFF" w:themeColor="background1"/>
                          <w:sz w:val="48"/>
                          <w:szCs w:val="48"/>
                        </w:rPr>
                        <w:t xml:space="preserve"> in Australia</w:t>
                      </w:r>
                    </w:p>
                  </w:txbxContent>
                </v:textbox>
                <w10:wrap anchorx="page" anchory="page"/>
                <w10:anchorlock/>
              </v:rect>
            </w:pict>
          </mc:Fallback>
        </mc:AlternateContent>
      </w:r>
      <w:r w:rsidRPr="003C63AC">
        <w:rPr>
          <w:noProof/>
          <w:lang w:eastAsia="en-AU"/>
        </w:rPr>
        <w:drawing>
          <wp:anchor distT="0" distB="0" distL="114300" distR="114300" simplePos="0" relativeHeight="251655168" behindDoc="1" locked="1" layoutInCell="0" allowOverlap="1">
            <wp:simplePos x="0" y="0"/>
            <wp:positionH relativeFrom="page">
              <wp:posOffset>228600</wp:posOffset>
            </wp:positionH>
            <wp:positionV relativeFrom="page">
              <wp:posOffset>685800</wp:posOffset>
            </wp:positionV>
            <wp:extent cx="7221220" cy="5137785"/>
            <wp:effectExtent l="0" t="0" r="0" b="0"/>
            <wp:wrapNone/>
            <wp:docPr id="22"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5000"/>
                              </a14:imgEffect>
                            </a14:imgLayer>
                          </a14:imgProps>
                        </a:ext>
                        <a:ext uri="{28A0092B-C50C-407E-A947-70E740481C1C}">
                          <a14:useLocalDpi xmlns:a14="http://schemas.microsoft.com/office/drawing/2010/main" val="0"/>
                        </a:ext>
                      </a:extLst>
                    </a:blip>
                    <a:stretch>
                      <a:fillRect/>
                    </a:stretch>
                  </pic:blipFill>
                  <pic:spPr bwMode="auto">
                    <a:xfrm>
                      <a:off x="0" y="0"/>
                      <a:ext cx="7221220" cy="5137785"/>
                    </a:xfrm>
                    <a:prstGeom prst="rect">
                      <a:avLst/>
                    </a:prstGeom>
                    <a:noFill/>
                  </pic:spPr>
                </pic:pic>
              </a:graphicData>
            </a:graphic>
          </wp:anchor>
        </w:drawing>
      </w:r>
      <w:r w:rsidR="005C6A24">
        <w:rPr>
          <w:noProof/>
          <w:lang w:eastAsia="en-AU"/>
        </w:rPr>
        <mc:AlternateContent>
          <mc:Choice Requires="wps">
            <w:drawing>
              <wp:anchor distT="0" distB="0" distL="114300" distR="114300" simplePos="0" relativeHeight="251656192" behindDoc="1" locked="1" layoutInCell="0" allowOverlap="1">
                <wp:simplePos x="0" y="0"/>
                <wp:positionH relativeFrom="page">
                  <wp:posOffset>228600</wp:posOffset>
                </wp:positionH>
                <wp:positionV relativeFrom="page">
                  <wp:posOffset>276225</wp:posOffset>
                </wp:positionV>
                <wp:extent cx="7223760" cy="320040"/>
                <wp:effectExtent l="0" t="0" r="0" b="3810"/>
                <wp:wrapNone/>
                <wp:docPr id="27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320040"/>
                        </a:xfrm>
                        <a:prstGeom prst="rect">
                          <a:avLst/>
                        </a:prstGeom>
                        <a:solidFill>
                          <a:schemeClr val="accent5">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0767D" id="Rectangle 73" o:spid="_x0000_s1026" style="position:absolute;margin-left:18pt;margin-top:21.75pt;width:568.8pt;height:25.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" o:allowincell="f" fillcolor="#31849b [2408]" stroked="f">
                <v:textbox inset=",7.2pt,,7.2pt"/>
                <w10:wrap anchorx="page" anchory="page"/>
                <w10:anchorlock/>
              </v:rect>
            </w:pict>
          </mc:Fallback>
        </mc:AlternateContent>
      </w:r>
      <w:r w:rsidRPr="003C63AC">
        <w:br w:type="page"/>
      </w:r>
    </w:p>
    <w:p w:rsidR="003937A5" w:rsidRPr="003C63AC" w:rsidRDefault="003937A5">
      <w:pPr>
        <w:spacing w:before="0"/>
        <w:jc w:val="left"/>
        <w:sectPr w:rsidR="003937A5" w:rsidRPr="003C63AC" w:rsidSect="00892DF8">
          <w:headerReference w:type="even" r:id="rId10"/>
          <w:headerReference w:type="default" r:id="rId11"/>
          <w:footerReference w:type="even" r:id="rId12"/>
          <w:footerReference w:type="default" r:id="rId13"/>
          <w:headerReference w:type="first" r:id="rId14"/>
          <w:footerReference w:type="first" r:id="rId15"/>
          <w:pgSz w:w="11900" w:h="16840"/>
          <w:pgMar w:top="1440" w:right="1800" w:bottom="1440" w:left="1800" w:header="708" w:footer="708" w:gutter="0"/>
          <w:cols w:space="708"/>
        </w:sectPr>
      </w:pPr>
    </w:p>
    <w:p w:rsidR="003937A5" w:rsidRPr="003C63AC" w:rsidRDefault="003937A5" w:rsidP="003937A5">
      <w:pPr>
        <w:rPr>
          <w:rFonts w:asciiTheme="majorHAnsi" w:hAnsiTheme="majorHAnsi"/>
          <w:sz w:val="36"/>
          <w:szCs w:val="36"/>
        </w:rPr>
      </w:pPr>
      <w:r w:rsidRPr="003C63AC">
        <w:rPr>
          <w:rFonts w:asciiTheme="majorHAnsi" w:hAnsiTheme="majorHAnsi"/>
          <w:sz w:val="36"/>
          <w:szCs w:val="36"/>
        </w:rPr>
        <w:lastRenderedPageBreak/>
        <w:t>Table of Contents</w:t>
      </w:r>
    </w:p>
    <w:p w:rsidR="000B5172" w:rsidRDefault="00F005B2">
      <w:pPr>
        <w:pStyle w:val="TOC1"/>
        <w:rPr>
          <w:rFonts w:asciiTheme="minorHAnsi" w:eastAsiaTheme="minorEastAsia" w:hAnsiTheme="minorHAnsi" w:cstheme="minorBidi"/>
          <w:b w:val="0"/>
          <w:color w:val="auto"/>
          <w:sz w:val="22"/>
          <w:szCs w:val="22"/>
          <w:lang w:val="en-AU" w:eastAsia="en-AU"/>
        </w:rPr>
      </w:pPr>
      <w:r>
        <w:rPr>
          <w:rFonts w:ascii="Verdana" w:hAnsi="Verdana"/>
          <w:sz w:val="20"/>
          <w:szCs w:val="20"/>
        </w:rPr>
        <w:fldChar w:fldCharType="begin"/>
      </w:r>
      <w:r w:rsidR="0077243E">
        <w:rPr>
          <w:rFonts w:ascii="Verdana" w:hAnsi="Verdana"/>
          <w:sz w:val="20"/>
          <w:szCs w:val="20"/>
        </w:rPr>
        <w:instrText xml:space="preserve"> TOC \o "1-3" </w:instrText>
      </w:r>
      <w:r>
        <w:rPr>
          <w:rFonts w:ascii="Verdana" w:hAnsi="Verdana"/>
          <w:sz w:val="20"/>
          <w:szCs w:val="20"/>
        </w:rPr>
        <w:fldChar w:fldCharType="separate"/>
      </w:r>
      <w:r w:rsidR="000B5172">
        <w:t>Glossary</w:t>
      </w:r>
      <w:r w:rsidR="000B5172">
        <w:tab/>
      </w:r>
      <w:r w:rsidR="000B5172">
        <w:fldChar w:fldCharType="begin"/>
      </w:r>
      <w:r w:rsidR="000B5172">
        <w:instrText xml:space="preserve"> PAGEREF _Toc430778968 \h </w:instrText>
      </w:r>
      <w:r w:rsidR="000B5172">
        <w:fldChar w:fldCharType="separate"/>
      </w:r>
      <w:r w:rsidR="000B5172">
        <w:t>4</w:t>
      </w:r>
      <w:r w:rsidR="000B5172">
        <w:fldChar w:fldCharType="end"/>
      </w:r>
    </w:p>
    <w:p w:rsidR="000B5172" w:rsidRDefault="000B5172">
      <w:pPr>
        <w:pStyle w:val="TOC1"/>
        <w:rPr>
          <w:rFonts w:asciiTheme="minorHAnsi" w:eastAsiaTheme="minorEastAsia" w:hAnsiTheme="minorHAnsi" w:cstheme="minorBidi"/>
          <w:b w:val="0"/>
          <w:color w:val="auto"/>
          <w:sz w:val="22"/>
          <w:szCs w:val="22"/>
          <w:lang w:val="en-AU" w:eastAsia="en-AU"/>
        </w:rPr>
      </w:pPr>
      <w:r>
        <w:t>Abbreviations</w:t>
      </w:r>
      <w:r>
        <w:tab/>
      </w:r>
      <w:r>
        <w:fldChar w:fldCharType="begin"/>
      </w:r>
      <w:r>
        <w:instrText xml:space="preserve"> PAGEREF _Toc430778969 \h </w:instrText>
      </w:r>
      <w:r>
        <w:fldChar w:fldCharType="separate"/>
      </w:r>
      <w:r>
        <w:t>7</w:t>
      </w:r>
      <w:r>
        <w:fldChar w:fldCharType="end"/>
      </w:r>
    </w:p>
    <w:p w:rsidR="000B5172" w:rsidRDefault="000B5172">
      <w:pPr>
        <w:pStyle w:val="TOC1"/>
        <w:rPr>
          <w:rFonts w:asciiTheme="minorHAnsi" w:eastAsiaTheme="minorEastAsia" w:hAnsiTheme="minorHAnsi" w:cstheme="minorBidi"/>
          <w:b w:val="0"/>
          <w:color w:val="auto"/>
          <w:sz w:val="22"/>
          <w:szCs w:val="22"/>
          <w:lang w:val="en-AU" w:eastAsia="en-AU"/>
        </w:rPr>
      </w:pPr>
      <w:r w:rsidRPr="00FF6C14">
        <w:rPr>
          <w:lang w:val="en-AU"/>
        </w:rPr>
        <w:t>1</w:t>
      </w:r>
      <w:r>
        <w:rPr>
          <w:rFonts w:asciiTheme="minorHAnsi" w:eastAsiaTheme="minorEastAsia" w:hAnsiTheme="minorHAnsi" w:cstheme="minorBidi"/>
          <w:b w:val="0"/>
          <w:color w:val="auto"/>
          <w:sz w:val="22"/>
          <w:szCs w:val="22"/>
          <w:lang w:val="en-AU" w:eastAsia="en-AU"/>
        </w:rPr>
        <w:tab/>
      </w:r>
      <w:r w:rsidRPr="00FF6C14">
        <w:rPr>
          <w:lang w:val="en-AU"/>
        </w:rPr>
        <w:t>Executive Summary</w:t>
      </w:r>
      <w:r>
        <w:tab/>
      </w:r>
      <w:r>
        <w:fldChar w:fldCharType="begin"/>
      </w:r>
      <w:r>
        <w:instrText xml:space="preserve"> PAGEREF _Toc430778970 \h </w:instrText>
      </w:r>
      <w:r>
        <w:fldChar w:fldCharType="separate"/>
      </w:r>
      <w:r>
        <w:t>8</w:t>
      </w:r>
      <w:r>
        <w:fldChar w:fldCharType="end"/>
      </w:r>
    </w:p>
    <w:p w:rsidR="000B5172" w:rsidRDefault="000B5172">
      <w:pPr>
        <w:pStyle w:val="TOC1"/>
        <w:rPr>
          <w:rFonts w:asciiTheme="minorHAnsi" w:eastAsiaTheme="minorEastAsia" w:hAnsiTheme="minorHAnsi" w:cstheme="minorBidi"/>
          <w:b w:val="0"/>
          <w:color w:val="auto"/>
          <w:sz w:val="22"/>
          <w:szCs w:val="22"/>
          <w:lang w:val="en-AU" w:eastAsia="en-AU"/>
        </w:rPr>
      </w:pPr>
      <w:r>
        <w:t>2</w:t>
      </w:r>
      <w:r>
        <w:rPr>
          <w:rFonts w:asciiTheme="minorHAnsi" w:eastAsiaTheme="minorEastAsia" w:hAnsiTheme="minorHAnsi" w:cstheme="minorBidi"/>
          <w:b w:val="0"/>
          <w:color w:val="auto"/>
          <w:sz w:val="22"/>
          <w:szCs w:val="22"/>
          <w:lang w:val="en-AU" w:eastAsia="en-AU"/>
        </w:rPr>
        <w:tab/>
      </w:r>
      <w:r w:rsidRPr="00FF6C14">
        <w:rPr>
          <w:lang w:val="en-AU"/>
        </w:rPr>
        <w:t>Introduction</w:t>
      </w:r>
      <w:r>
        <w:tab/>
      </w:r>
      <w:r>
        <w:fldChar w:fldCharType="begin"/>
      </w:r>
      <w:r>
        <w:instrText xml:space="preserve"> PAGEREF _Toc430778971 \h </w:instrText>
      </w:r>
      <w:r>
        <w:fldChar w:fldCharType="separate"/>
      </w:r>
      <w:r>
        <w:t>9</w:t>
      </w:r>
      <w:r>
        <w:fldChar w:fldCharType="end"/>
      </w:r>
    </w:p>
    <w:p w:rsidR="000B5172" w:rsidRDefault="000B5172">
      <w:pPr>
        <w:pStyle w:val="TOC1"/>
        <w:rPr>
          <w:rFonts w:asciiTheme="minorHAnsi" w:eastAsiaTheme="minorEastAsia" w:hAnsiTheme="minorHAnsi" w:cstheme="minorBidi"/>
          <w:b w:val="0"/>
          <w:color w:val="auto"/>
          <w:sz w:val="22"/>
          <w:szCs w:val="22"/>
          <w:lang w:val="en-AU" w:eastAsia="en-AU"/>
        </w:rPr>
      </w:pPr>
      <w:r>
        <w:t>3</w:t>
      </w:r>
      <w:r>
        <w:rPr>
          <w:rFonts w:asciiTheme="minorHAnsi" w:eastAsiaTheme="minorEastAsia" w:hAnsiTheme="minorHAnsi" w:cstheme="minorBidi"/>
          <w:b w:val="0"/>
          <w:color w:val="auto"/>
          <w:sz w:val="22"/>
          <w:szCs w:val="22"/>
          <w:lang w:val="en-AU" w:eastAsia="en-AU"/>
        </w:rPr>
        <w:tab/>
      </w:r>
      <w:r w:rsidRPr="00FF6C14">
        <w:rPr>
          <w:lang w:val="en-AU"/>
        </w:rPr>
        <w:t>The Motor Vehicle Fleet</w:t>
      </w:r>
      <w:r>
        <w:tab/>
      </w:r>
      <w:r>
        <w:fldChar w:fldCharType="begin"/>
      </w:r>
      <w:r>
        <w:instrText xml:space="preserve"> PAGEREF _Toc430778972 \h </w:instrText>
      </w:r>
      <w:r>
        <w:fldChar w:fldCharType="separate"/>
      </w:r>
      <w:r>
        <w:t>11</w:t>
      </w:r>
      <w:r>
        <w:fldChar w:fldCharType="end"/>
      </w:r>
    </w:p>
    <w:p w:rsidR="000B5172" w:rsidRDefault="000B5172">
      <w:pPr>
        <w:pStyle w:val="TOC2"/>
        <w:tabs>
          <w:tab w:val="left" w:pos="720"/>
          <w:tab w:val="right" w:leader="dot" w:pos="9622"/>
        </w:tabs>
        <w:rPr>
          <w:rFonts w:asciiTheme="minorHAnsi" w:eastAsiaTheme="minorEastAsia" w:hAnsiTheme="minorHAnsi" w:cstheme="minorBidi"/>
          <w:noProof/>
          <w:lang w:val="en-AU" w:eastAsia="en-AU"/>
        </w:rPr>
      </w:pPr>
      <w:r w:rsidRPr="00FF6C14">
        <w:rPr>
          <w:noProof/>
        </w:rPr>
        <w:t>3.1</w:t>
      </w:r>
      <w:r>
        <w:rPr>
          <w:rFonts w:asciiTheme="minorHAnsi" w:eastAsiaTheme="minorEastAsia" w:hAnsiTheme="minorHAnsi" w:cstheme="minorBidi"/>
          <w:noProof/>
          <w:lang w:val="en-AU" w:eastAsia="en-AU"/>
        </w:rPr>
        <w:tab/>
      </w:r>
      <w:r>
        <w:rPr>
          <w:noProof/>
        </w:rPr>
        <w:t>Passenger and Light Commercial Vehicle Fleet, MACs and SGGs</w:t>
      </w:r>
      <w:r>
        <w:rPr>
          <w:noProof/>
        </w:rPr>
        <w:tab/>
      </w:r>
      <w:r>
        <w:rPr>
          <w:noProof/>
        </w:rPr>
        <w:fldChar w:fldCharType="begin"/>
      </w:r>
      <w:r>
        <w:rPr>
          <w:noProof/>
        </w:rPr>
        <w:instrText xml:space="preserve"> PAGEREF _Toc430778973 \h </w:instrText>
      </w:r>
      <w:r>
        <w:rPr>
          <w:noProof/>
        </w:rPr>
      </w:r>
      <w:r>
        <w:rPr>
          <w:noProof/>
        </w:rPr>
        <w:fldChar w:fldCharType="separate"/>
      </w:r>
      <w:r>
        <w:rPr>
          <w:noProof/>
        </w:rPr>
        <w:t>11</w:t>
      </w:r>
      <w:r>
        <w:rPr>
          <w:noProof/>
        </w:rPr>
        <w:fldChar w:fldCharType="end"/>
      </w:r>
    </w:p>
    <w:p w:rsidR="000B5172" w:rsidRDefault="000B5172">
      <w:pPr>
        <w:pStyle w:val="TOC2"/>
        <w:tabs>
          <w:tab w:val="left" w:pos="720"/>
          <w:tab w:val="right" w:leader="dot" w:pos="9622"/>
        </w:tabs>
        <w:rPr>
          <w:rFonts w:asciiTheme="minorHAnsi" w:eastAsiaTheme="minorEastAsia" w:hAnsiTheme="minorHAnsi" w:cstheme="minorBidi"/>
          <w:noProof/>
          <w:lang w:val="en-AU" w:eastAsia="en-AU"/>
        </w:rPr>
      </w:pPr>
      <w:r w:rsidRPr="00FF6C14">
        <w:rPr>
          <w:noProof/>
        </w:rPr>
        <w:t>3.2</w:t>
      </w:r>
      <w:r>
        <w:rPr>
          <w:rFonts w:asciiTheme="minorHAnsi" w:eastAsiaTheme="minorEastAsia" w:hAnsiTheme="minorHAnsi" w:cstheme="minorBidi"/>
          <w:noProof/>
          <w:lang w:val="en-AU" w:eastAsia="en-AU"/>
        </w:rPr>
        <w:tab/>
      </w:r>
      <w:r>
        <w:rPr>
          <w:noProof/>
        </w:rPr>
        <w:t>Number of ELVs in Australia</w:t>
      </w:r>
      <w:r>
        <w:rPr>
          <w:noProof/>
        </w:rPr>
        <w:tab/>
      </w:r>
      <w:r>
        <w:rPr>
          <w:noProof/>
        </w:rPr>
        <w:fldChar w:fldCharType="begin"/>
      </w:r>
      <w:r>
        <w:rPr>
          <w:noProof/>
        </w:rPr>
        <w:instrText xml:space="preserve"> PAGEREF _Toc430778974 \h </w:instrText>
      </w:r>
      <w:r>
        <w:rPr>
          <w:noProof/>
        </w:rPr>
      </w:r>
      <w:r>
        <w:rPr>
          <w:noProof/>
        </w:rPr>
        <w:fldChar w:fldCharType="separate"/>
      </w:r>
      <w:r>
        <w:rPr>
          <w:noProof/>
        </w:rPr>
        <w:t>14</w:t>
      </w:r>
      <w:r>
        <w:rPr>
          <w:noProof/>
        </w:rPr>
        <w:fldChar w:fldCharType="end"/>
      </w:r>
    </w:p>
    <w:p w:rsidR="000B5172" w:rsidRDefault="000B5172">
      <w:pPr>
        <w:pStyle w:val="TOC2"/>
        <w:tabs>
          <w:tab w:val="left" w:pos="720"/>
          <w:tab w:val="right" w:leader="dot" w:pos="9622"/>
        </w:tabs>
        <w:rPr>
          <w:rFonts w:asciiTheme="minorHAnsi" w:eastAsiaTheme="minorEastAsia" w:hAnsiTheme="minorHAnsi" w:cstheme="minorBidi"/>
          <w:noProof/>
          <w:lang w:val="en-AU" w:eastAsia="en-AU"/>
        </w:rPr>
      </w:pPr>
      <w:r w:rsidRPr="00FF6C14">
        <w:rPr>
          <w:noProof/>
        </w:rPr>
        <w:t>3.3</w:t>
      </w:r>
      <w:r>
        <w:rPr>
          <w:rFonts w:asciiTheme="minorHAnsi" w:eastAsiaTheme="minorEastAsia" w:hAnsiTheme="minorHAnsi" w:cstheme="minorBidi"/>
          <w:noProof/>
          <w:lang w:val="en-AU" w:eastAsia="en-AU"/>
        </w:rPr>
        <w:tab/>
      </w:r>
      <w:r>
        <w:rPr>
          <w:noProof/>
        </w:rPr>
        <w:t>ELV Feedstock</w:t>
      </w:r>
      <w:r>
        <w:rPr>
          <w:noProof/>
        </w:rPr>
        <w:tab/>
      </w:r>
      <w:r>
        <w:rPr>
          <w:noProof/>
        </w:rPr>
        <w:fldChar w:fldCharType="begin"/>
      </w:r>
      <w:r>
        <w:rPr>
          <w:noProof/>
        </w:rPr>
        <w:instrText xml:space="preserve"> PAGEREF _Toc430778975 \h </w:instrText>
      </w:r>
      <w:r>
        <w:rPr>
          <w:noProof/>
        </w:rPr>
      </w:r>
      <w:r>
        <w:rPr>
          <w:noProof/>
        </w:rPr>
        <w:fldChar w:fldCharType="separate"/>
      </w:r>
      <w:r>
        <w:rPr>
          <w:noProof/>
        </w:rPr>
        <w:t>17</w:t>
      </w:r>
      <w:r>
        <w:rPr>
          <w:noProof/>
        </w:rPr>
        <w:fldChar w:fldCharType="end"/>
      </w:r>
    </w:p>
    <w:p w:rsidR="000B5172" w:rsidRDefault="000B5172">
      <w:pPr>
        <w:pStyle w:val="TOC2"/>
        <w:tabs>
          <w:tab w:val="left" w:pos="720"/>
          <w:tab w:val="right" w:leader="dot" w:pos="9622"/>
        </w:tabs>
        <w:rPr>
          <w:rFonts w:asciiTheme="minorHAnsi" w:eastAsiaTheme="minorEastAsia" w:hAnsiTheme="minorHAnsi" w:cstheme="minorBidi"/>
          <w:noProof/>
          <w:lang w:val="en-AU" w:eastAsia="en-AU"/>
        </w:rPr>
      </w:pPr>
      <w:r w:rsidRPr="00FF6C14">
        <w:rPr>
          <w:noProof/>
        </w:rPr>
        <w:t>3.4</w:t>
      </w:r>
      <w:r>
        <w:rPr>
          <w:rFonts w:asciiTheme="minorHAnsi" w:eastAsiaTheme="minorEastAsia" w:hAnsiTheme="minorHAnsi" w:cstheme="minorBidi"/>
          <w:noProof/>
          <w:lang w:val="en-AU" w:eastAsia="en-AU"/>
        </w:rPr>
        <w:tab/>
      </w:r>
      <w:r>
        <w:rPr>
          <w:noProof/>
        </w:rPr>
        <w:t>Average refrigerant charge of ELVs</w:t>
      </w:r>
      <w:r>
        <w:rPr>
          <w:noProof/>
        </w:rPr>
        <w:tab/>
      </w:r>
      <w:r>
        <w:rPr>
          <w:noProof/>
        </w:rPr>
        <w:fldChar w:fldCharType="begin"/>
      </w:r>
      <w:r>
        <w:rPr>
          <w:noProof/>
        </w:rPr>
        <w:instrText xml:space="preserve"> PAGEREF _Toc430778976 \h </w:instrText>
      </w:r>
      <w:r>
        <w:rPr>
          <w:noProof/>
        </w:rPr>
      </w:r>
      <w:r>
        <w:rPr>
          <w:noProof/>
        </w:rPr>
        <w:fldChar w:fldCharType="separate"/>
      </w:r>
      <w:r>
        <w:rPr>
          <w:noProof/>
        </w:rPr>
        <w:t>20</w:t>
      </w:r>
      <w:r>
        <w:rPr>
          <w:noProof/>
        </w:rPr>
        <w:fldChar w:fldCharType="end"/>
      </w:r>
    </w:p>
    <w:p w:rsidR="000B5172" w:rsidRDefault="000B5172">
      <w:pPr>
        <w:pStyle w:val="TOC2"/>
        <w:tabs>
          <w:tab w:val="left" w:pos="720"/>
          <w:tab w:val="right" w:leader="dot" w:pos="9622"/>
        </w:tabs>
        <w:rPr>
          <w:rFonts w:asciiTheme="minorHAnsi" w:eastAsiaTheme="minorEastAsia" w:hAnsiTheme="minorHAnsi" w:cstheme="minorBidi"/>
          <w:noProof/>
          <w:lang w:val="en-AU" w:eastAsia="en-AU"/>
        </w:rPr>
      </w:pPr>
      <w:r w:rsidRPr="00FF6C14">
        <w:rPr>
          <w:noProof/>
        </w:rPr>
        <w:t>3.5</w:t>
      </w:r>
      <w:r>
        <w:rPr>
          <w:rFonts w:asciiTheme="minorHAnsi" w:eastAsiaTheme="minorEastAsia" w:hAnsiTheme="minorHAnsi" w:cstheme="minorBidi"/>
          <w:noProof/>
          <w:lang w:val="en-AU" w:eastAsia="en-AU"/>
        </w:rPr>
        <w:tab/>
      </w:r>
      <w:r>
        <w:rPr>
          <w:noProof/>
        </w:rPr>
        <w:t>Total Residual Refrigerant in ELVs</w:t>
      </w:r>
      <w:r>
        <w:rPr>
          <w:noProof/>
        </w:rPr>
        <w:tab/>
      </w:r>
      <w:r>
        <w:rPr>
          <w:noProof/>
        </w:rPr>
        <w:fldChar w:fldCharType="begin"/>
      </w:r>
      <w:r>
        <w:rPr>
          <w:noProof/>
        </w:rPr>
        <w:instrText xml:space="preserve"> PAGEREF _Toc430778977 \h </w:instrText>
      </w:r>
      <w:r>
        <w:rPr>
          <w:noProof/>
        </w:rPr>
      </w:r>
      <w:r>
        <w:rPr>
          <w:noProof/>
        </w:rPr>
        <w:fldChar w:fldCharType="separate"/>
      </w:r>
      <w:r>
        <w:rPr>
          <w:noProof/>
        </w:rPr>
        <w:t>23</w:t>
      </w:r>
      <w:r>
        <w:rPr>
          <w:noProof/>
        </w:rPr>
        <w:fldChar w:fldCharType="end"/>
      </w:r>
    </w:p>
    <w:p w:rsidR="000B5172" w:rsidRDefault="000B5172">
      <w:pPr>
        <w:pStyle w:val="TOC2"/>
        <w:tabs>
          <w:tab w:val="left" w:pos="720"/>
          <w:tab w:val="right" w:leader="dot" w:pos="9622"/>
        </w:tabs>
        <w:rPr>
          <w:rFonts w:asciiTheme="minorHAnsi" w:eastAsiaTheme="minorEastAsia" w:hAnsiTheme="minorHAnsi" w:cstheme="minorBidi"/>
          <w:noProof/>
          <w:lang w:val="en-AU" w:eastAsia="en-AU"/>
        </w:rPr>
      </w:pPr>
      <w:r w:rsidRPr="00FF6C14">
        <w:rPr>
          <w:noProof/>
        </w:rPr>
        <w:t>3.6</w:t>
      </w:r>
      <w:r>
        <w:rPr>
          <w:rFonts w:asciiTheme="minorHAnsi" w:eastAsiaTheme="minorEastAsia" w:hAnsiTheme="minorHAnsi" w:cstheme="minorBidi"/>
          <w:noProof/>
          <w:lang w:val="en-AU" w:eastAsia="en-AU"/>
        </w:rPr>
        <w:tab/>
      </w:r>
      <w:r>
        <w:rPr>
          <w:noProof/>
        </w:rPr>
        <w:t>Total Emissions from ELVs</w:t>
      </w:r>
      <w:r>
        <w:rPr>
          <w:noProof/>
        </w:rPr>
        <w:tab/>
      </w:r>
      <w:r>
        <w:rPr>
          <w:noProof/>
        </w:rPr>
        <w:fldChar w:fldCharType="begin"/>
      </w:r>
      <w:r>
        <w:rPr>
          <w:noProof/>
        </w:rPr>
        <w:instrText xml:space="preserve"> PAGEREF _Toc430778978 \h </w:instrText>
      </w:r>
      <w:r>
        <w:rPr>
          <w:noProof/>
        </w:rPr>
      </w:r>
      <w:r>
        <w:rPr>
          <w:noProof/>
        </w:rPr>
        <w:fldChar w:fldCharType="separate"/>
      </w:r>
      <w:r>
        <w:rPr>
          <w:noProof/>
        </w:rPr>
        <w:t>25</w:t>
      </w:r>
      <w:r>
        <w:rPr>
          <w:noProof/>
        </w:rPr>
        <w:fldChar w:fldCharType="end"/>
      </w:r>
    </w:p>
    <w:p w:rsidR="000B5172" w:rsidRDefault="000B5172">
      <w:pPr>
        <w:pStyle w:val="TOC1"/>
        <w:rPr>
          <w:rFonts w:asciiTheme="minorHAnsi" w:eastAsiaTheme="minorEastAsia" w:hAnsiTheme="minorHAnsi" w:cstheme="minorBidi"/>
          <w:b w:val="0"/>
          <w:color w:val="auto"/>
          <w:sz w:val="22"/>
          <w:szCs w:val="22"/>
          <w:lang w:val="en-AU" w:eastAsia="en-AU"/>
        </w:rPr>
      </w:pPr>
      <w:r w:rsidRPr="00FF6C14">
        <w:rPr>
          <w:lang w:val="en-AU"/>
        </w:rPr>
        <w:t>4</w:t>
      </w:r>
      <w:r>
        <w:rPr>
          <w:rFonts w:asciiTheme="minorHAnsi" w:eastAsiaTheme="minorEastAsia" w:hAnsiTheme="minorHAnsi" w:cstheme="minorBidi"/>
          <w:b w:val="0"/>
          <w:color w:val="auto"/>
          <w:sz w:val="22"/>
          <w:szCs w:val="22"/>
          <w:lang w:val="en-AU" w:eastAsia="en-AU"/>
        </w:rPr>
        <w:tab/>
      </w:r>
      <w:r w:rsidRPr="00FF6C14">
        <w:rPr>
          <w:lang w:val="en-AU"/>
        </w:rPr>
        <w:t>The Reverse Supply Chain</w:t>
      </w:r>
      <w:r>
        <w:tab/>
      </w:r>
      <w:r>
        <w:fldChar w:fldCharType="begin"/>
      </w:r>
      <w:r>
        <w:instrText xml:space="preserve"> PAGEREF _Toc430778979 \h </w:instrText>
      </w:r>
      <w:r>
        <w:fldChar w:fldCharType="separate"/>
      </w:r>
      <w:r>
        <w:t>26</w:t>
      </w:r>
      <w:r>
        <w:fldChar w:fldCharType="end"/>
      </w:r>
    </w:p>
    <w:p w:rsidR="000B5172" w:rsidRDefault="000B5172">
      <w:pPr>
        <w:pStyle w:val="TOC2"/>
        <w:tabs>
          <w:tab w:val="left" w:pos="720"/>
          <w:tab w:val="right" w:leader="dot" w:pos="9622"/>
        </w:tabs>
        <w:rPr>
          <w:rFonts w:asciiTheme="minorHAnsi" w:eastAsiaTheme="minorEastAsia" w:hAnsiTheme="minorHAnsi" w:cstheme="minorBidi"/>
          <w:noProof/>
          <w:lang w:val="en-AU" w:eastAsia="en-AU"/>
        </w:rPr>
      </w:pPr>
      <w:r w:rsidRPr="00FF6C14">
        <w:rPr>
          <w:noProof/>
        </w:rPr>
        <w:t>4.1</w:t>
      </w:r>
      <w:r>
        <w:rPr>
          <w:rFonts w:asciiTheme="minorHAnsi" w:eastAsiaTheme="minorEastAsia" w:hAnsiTheme="minorHAnsi" w:cstheme="minorBidi"/>
          <w:noProof/>
          <w:lang w:val="en-AU" w:eastAsia="en-AU"/>
        </w:rPr>
        <w:tab/>
      </w:r>
      <w:r>
        <w:rPr>
          <w:noProof/>
        </w:rPr>
        <w:t>Market Intermediaries for ELVs</w:t>
      </w:r>
      <w:r>
        <w:rPr>
          <w:noProof/>
        </w:rPr>
        <w:tab/>
      </w:r>
      <w:r>
        <w:rPr>
          <w:noProof/>
        </w:rPr>
        <w:fldChar w:fldCharType="begin"/>
      </w:r>
      <w:r>
        <w:rPr>
          <w:noProof/>
        </w:rPr>
        <w:instrText xml:space="preserve"> PAGEREF _Toc430778980 \h </w:instrText>
      </w:r>
      <w:r>
        <w:rPr>
          <w:noProof/>
        </w:rPr>
      </w:r>
      <w:r>
        <w:rPr>
          <w:noProof/>
        </w:rPr>
        <w:fldChar w:fldCharType="separate"/>
      </w:r>
      <w:r>
        <w:rPr>
          <w:noProof/>
        </w:rPr>
        <w:t>28</w:t>
      </w:r>
      <w:r>
        <w:rPr>
          <w:noProof/>
        </w:rPr>
        <w:fldChar w:fldCharType="end"/>
      </w:r>
    </w:p>
    <w:p w:rsidR="000B5172" w:rsidRDefault="000B5172">
      <w:pPr>
        <w:pStyle w:val="TOC2"/>
        <w:tabs>
          <w:tab w:val="left" w:pos="720"/>
          <w:tab w:val="right" w:leader="dot" w:pos="9622"/>
        </w:tabs>
        <w:rPr>
          <w:rFonts w:asciiTheme="minorHAnsi" w:eastAsiaTheme="minorEastAsia" w:hAnsiTheme="minorHAnsi" w:cstheme="minorBidi"/>
          <w:noProof/>
          <w:lang w:val="en-AU" w:eastAsia="en-AU"/>
        </w:rPr>
      </w:pPr>
      <w:r w:rsidRPr="00FF6C14">
        <w:rPr>
          <w:noProof/>
        </w:rPr>
        <w:t>4.2</w:t>
      </w:r>
      <w:r>
        <w:rPr>
          <w:rFonts w:asciiTheme="minorHAnsi" w:eastAsiaTheme="minorEastAsia" w:hAnsiTheme="minorHAnsi" w:cstheme="minorBidi"/>
          <w:noProof/>
          <w:lang w:val="en-AU" w:eastAsia="en-AU"/>
        </w:rPr>
        <w:tab/>
      </w:r>
      <w:r>
        <w:rPr>
          <w:noProof/>
        </w:rPr>
        <w:t>Economic Utilisation of ELVs</w:t>
      </w:r>
      <w:r>
        <w:rPr>
          <w:noProof/>
        </w:rPr>
        <w:tab/>
      </w:r>
      <w:r>
        <w:rPr>
          <w:noProof/>
        </w:rPr>
        <w:fldChar w:fldCharType="begin"/>
      </w:r>
      <w:r>
        <w:rPr>
          <w:noProof/>
        </w:rPr>
        <w:instrText xml:space="preserve"> PAGEREF _Toc430778981 \h </w:instrText>
      </w:r>
      <w:r>
        <w:rPr>
          <w:noProof/>
        </w:rPr>
      </w:r>
      <w:r>
        <w:rPr>
          <w:noProof/>
        </w:rPr>
        <w:fldChar w:fldCharType="separate"/>
      </w:r>
      <w:r>
        <w:rPr>
          <w:noProof/>
        </w:rPr>
        <w:t>29</w:t>
      </w:r>
      <w:r>
        <w:rPr>
          <w:noProof/>
        </w:rPr>
        <w:fldChar w:fldCharType="end"/>
      </w:r>
    </w:p>
    <w:p w:rsidR="000B5172" w:rsidRDefault="000B5172">
      <w:pPr>
        <w:pStyle w:val="TOC3"/>
        <w:tabs>
          <w:tab w:val="left" w:pos="960"/>
          <w:tab w:val="right" w:leader="dot" w:pos="9622"/>
        </w:tabs>
        <w:rPr>
          <w:rFonts w:asciiTheme="minorHAnsi" w:eastAsiaTheme="minorEastAsia" w:hAnsiTheme="minorHAnsi" w:cstheme="minorBidi"/>
          <w:i w:val="0"/>
          <w:noProof/>
          <w:lang w:val="en-AU" w:eastAsia="en-AU"/>
        </w:rPr>
      </w:pPr>
      <w:r>
        <w:rPr>
          <w:noProof/>
        </w:rPr>
        <w:t>4.2.1</w:t>
      </w:r>
      <w:r>
        <w:rPr>
          <w:rFonts w:asciiTheme="minorHAnsi" w:eastAsiaTheme="minorEastAsia" w:hAnsiTheme="minorHAnsi" w:cstheme="minorBidi"/>
          <w:i w:val="0"/>
          <w:noProof/>
          <w:lang w:val="en-AU" w:eastAsia="en-AU"/>
        </w:rPr>
        <w:tab/>
      </w:r>
      <w:r>
        <w:rPr>
          <w:noProof/>
        </w:rPr>
        <w:t>Auto-parts Recycling</w:t>
      </w:r>
      <w:r>
        <w:rPr>
          <w:noProof/>
        </w:rPr>
        <w:tab/>
      </w:r>
      <w:r>
        <w:rPr>
          <w:noProof/>
        </w:rPr>
        <w:fldChar w:fldCharType="begin"/>
      </w:r>
      <w:r>
        <w:rPr>
          <w:noProof/>
        </w:rPr>
        <w:instrText xml:space="preserve"> PAGEREF _Toc430778982 \h </w:instrText>
      </w:r>
      <w:r>
        <w:rPr>
          <w:noProof/>
        </w:rPr>
      </w:r>
      <w:r>
        <w:rPr>
          <w:noProof/>
        </w:rPr>
        <w:fldChar w:fldCharType="separate"/>
      </w:r>
      <w:r>
        <w:rPr>
          <w:noProof/>
        </w:rPr>
        <w:t>29</w:t>
      </w:r>
      <w:r>
        <w:rPr>
          <w:noProof/>
        </w:rPr>
        <w:fldChar w:fldCharType="end"/>
      </w:r>
    </w:p>
    <w:p w:rsidR="000B5172" w:rsidRDefault="000B5172">
      <w:pPr>
        <w:pStyle w:val="TOC3"/>
        <w:tabs>
          <w:tab w:val="left" w:pos="960"/>
          <w:tab w:val="right" w:leader="dot" w:pos="9622"/>
        </w:tabs>
        <w:rPr>
          <w:rFonts w:asciiTheme="minorHAnsi" w:eastAsiaTheme="minorEastAsia" w:hAnsiTheme="minorHAnsi" w:cstheme="minorBidi"/>
          <w:i w:val="0"/>
          <w:noProof/>
          <w:lang w:val="en-AU" w:eastAsia="en-AU"/>
        </w:rPr>
      </w:pPr>
      <w:r>
        <w:rPr>
          <w:noProof/>
        </w:rPr>
        <w:t>4.2.2</w:t>
      </w:r>
      <w:r>
        <w:rPr>
          <w:rFonts w:asciiTheme="minorHAnsi" w:eastAsiaTheme="minorEastAsia" w:hAnsiTheme="minorHAnsi" w:cstheme="minorBidi"/>
          <w:i w:val="0"/>
          <w:noProof/>
          <w:lang w:val="en-AU" w:eastAsia="en-AU"/>
        </w:rPr>
        <w:tab/>
      </w:r>
      <w:r>
        <w:rPr>
          <w:noProof/>
        </w:rPr>
        <w:t>Metal recyclers – the final stop on the road</w:t>
      </w:r>
      <w:r>
        <w:rPr>
          <w:noProof/>
        </w:rPr>
        <w:tab/>
      </w:r>
      <w:r>
        <w:rPr>
          <w:noProof/>
        </w:rPr>
        <w:fldChar w:fldCharType="begin"/>
      </w:r>
      <w:r>
        <w:rPr>
          <w:noProof/>
        </w:rPr>
        <w:instrText xml:space="preserve"> PAGEREF _Toc430778983 \h </w:instrText>
      </w:r>
      <w:r>
        <w:rPr>
          <w:noProof/>
        </w:rPr>
      </w:r>
      <w:r>
        <w:rPr>
          <w:noProof/>
        </w:rPr>
        <w:fldChar w:fldCharType="separate"/>
      </w:r>
      <w:r>
        <w:rPr>
          <w:noProof/>
        </w:rPr>
        <w:t>30</w:t>
      </w:r>
      <w:r>
        <w:rPr>
          <w:noProof/>
        </w:rPr>
        <w:fldChar w:fldCharType="end"/>
      </w:r>
    </w:p>
    <w:p w:rsidR="000B5172" w:rsidRDefault="000B5172">
      <w:pPr>
        <w:pStyle w:val="TOC1"/>
        <w:rPr>
          <w:rFonts w:asciiTheme="minorHAnsi" w:eastAsiaTheme="minorEastAsia" w:hAnsiTheme="minorHAnsi" w:cstheme="minorBidi"/>
          <w:b w:val="0"/>
          <w:color w:val="auto"/>
          <w:sz w:val="22"/>
          <w:szCs w:val="22"/>
          <w:lang w:val="en-AU" w:eastAsia="en-AU"/>
        </w:rPr>
      </w:pPr>
      <w:r w:rsidRPr="00FF6C14">
        <w:rPr>
          <w:lang w:val="en-AU"/>
        </w:rPr>
        <w:t>5</w:t>
      </w:r>
      <w:r>
        <w:rPr>
          <w:rFonts w:asciiTheme="minorHAnsi" w:eastAsiaTheme="minorEastAsia" w:hAnsiTheme="minorHAnsi" w:cstheme="minorBidi"/>
          <w:b w:val="0"/>
          <w:color w:val="auto"/>
          <w:sz w:val="22"/>
          <w:szCs w:val="22"/>
          <w:lang w:val="en-AU" w:eastAsia="en-AU"/>
        </w:rPr>
        <w:tab/>
      </w:r>
      <w:r w:rsidRPr="00FF6C14">
        <w:rPr>
          <w:lang w:val="en-AU"/>
        </w:rPr>
        <w:t>Practices in the Auto Recycling Industry and Practical Obstacles to Refrigerant Recovery</w:t>
      </w:r>
      <w:r>
        <w:tab/>
      </w:r>
      <w:r>
        <w:fldChar w:fldCharType="begin"/>
      </w:r>
      <w:r>
        <w:instrText xml:space="preserve"> PAGEREF _Toc430778984 \h </w:instrText>
      </w:r>
      <w:r>
        <w:fldChar w:fldCharType="separate"/>
      </w:r>
      <w:r>
        <w:t>33</w:t>
      </w:r>
      <w:r>
        <w:fldChar w:fldCharType="end"/>
      </w:r>
    </w:p>
    <w:p w:rsidR="000B5172" w:rsidRDefault="000B5172">
      <w:pPr>
        <w:pStyle w:val="TOC2"/>
        <w:tabs>
          <w:tab w:val="left" w:pos="720"/>
          <w:tab w:val="right" w:leader="dot" w:pos="9622"/>
        </w:tabs>
        <w:rPr>
          <w:rFonts w:asciiTheme="minorHAnsi" w:eastAsiaTheme="minorEastAsia" w:hAnsiTheme="minorHAnsi" w:cstheme="minorBidi"/>
          <w:noProof/>
          <w:lang w:val="en-AU" w:eastAsia="en-AU"/>
        </w:rPr>
      </w:pPr>
      <w:r w:rsidRPr="00FF6C14">
        <w:rPr>
          <w:noProof/>
        </w:rPr>
        <w:t>5.1</w:t>
      </w:r>
      <w:r>
        <w:rPr>
          <w:rFonts w:asciiTheme="minorHAnsi" w:eastAsiaTheme="minorEastAsia" w:hAnsiTheme="minorHAnsi" w:cstheme="minorBidi"/>
          <w:noProof/>
          <w:lang w:val="en-AU" w:eastAsia="en-AU"/>
        </w:rPr>
        <w:tab/>
      </w:r>
      <w:r>
        <w:rPr>
          <w:noProof/>
        </w:rPr>
        <w:t>Common Practice in the Auto-parts Recycling Industry</w:t>
      </w:r>
      <w:r>
        <w:rPr>
          <w:noProof/>
        </w:rPr>
        <w:tab/>
      </w:r>
      <w:r>
        <w:rPr>
          <w:noProof/>
        </w:rPr>
        <w:fldChar w:fldCharType="begin"/>
      </w:r>
      <w:r>
        <w:rPr>
          <w:noProof/>
        </w:rPr>
        <w:instrText xml:space="preserve"> PAGEREF _Toc430778985 \h </w:instrText>
      </w:r>
      <w:r>
        <w:rPr>
          <w:noProof/>
        </w:rPr>
      </w:r>
      <w:r>
        <w:rPr>
          <w:noProof/>
        </w:rPr>
        <w:fldChar w:fldCharType="separate"/>
      </w:r>
      <w:r>
        <w:rPr>
          <w:noProof/>
        </w:rPr>
        <w:t>33</w:t>
      </w:r>
      <w:r>
        <w:rPr>
          <w:noProof/>
        </w:rPr>
        <w:fldChar w:fldCharType="end"/>
      </w:r>
    </w:p>
    <w:p w:rsidR="000B5172" w:rsidRDefault="000B5172">
      <w:pPr>
        <w:pStyle w:val="TOC2"/>
        <w:tabs>
          <w:tab w:val="left" w:pos="720"/>
          <w:tab w:val="right" w:leader="dot" w:pos="9622"/>
        </w:tabs>
        <w:rPr>
          <w:rFonts w:asciiTheme="minorHAnsi" w:eastAsiaTheme="minorEastAsia" w:hAnsiTheme="minorHAnsi" w:cstheme="minorBidi"/>
          <w:noProof/>
          <w:lang w:val="en-AU" w:eastAsia="en-AU"/>
        </w:rPr>
      </w:pPr>
      <w:r w:rsidRPr="00FF6C14">
        <w:rPr>
          <w:noProof/>
        </w:rPr>
        <w:t>5.2</w:t>
      </w:r>
      <w:r>
        <w:rPr>
          <w:rFonts w:asciiTheme="minorHAnsi" w:eastAsiaTheme="minorEastAsia" w:hAnsiTheme="minorHAnsi" w:cstheme="minorBidi"/>
          <w:noProof/>
          <w:lang w:val="en-AU" w:eastAsia="en-AU"/>
        </w:rPr>
        <w:tab/>
      </w:r>
      <w:r>
        <w:rPr>
          <w:noProof/>
        </w:rPr>
        <w:t>The Skilled Workforce</w:t>
      </w:r>
      <w:r>
        <w:rPr>
          <w:noProof/>
        </w:rPr>
        <w:tab/>
      </w:r>
      <w:r>
        <w:rPr>
          <w:noProof/>
        </w:rPr>
        <w:fldChar w:fldCharType="begin"/>
      </w:r>
      <w:r>
        <w:rPr>
          <w:noProof/>
        </w:rPr>
        <w:instrText xml:space="preserve"> PAGEREF _Toc430778986 \h </w:instrText>
      </w:r>
      <w:r>
        <w:rPr>
          <w:noProof/>
        </w:rPr>
      </w:r>
      <w:r>
        <w:rPr>
          <w:noProof/>
        </w:rPr>
        <w:fldChar w:fldCharType="separate"/>
      </w:r>
      <w:r>
        <w:rPr>
          <w:noProof/>
        </w:rPr>
        <w:t>35</w:t>
      </w:r>
      <w:r>
        <w:rPr>
          <w:noProof/>
        </w:rPr>
        <w:fldChar w:fldCharType="end"/>
      </w:r>
    </w:p>
    <w:p w:rsidR="000B5172" w:rsidRDefault="000B5172">
      <w:pPr>
        <w:pStyle w:val="TOC2"/>
        <w:tabs>
          <w:tab w:val="left" w:pos="720"/>
          <w:tab w:val="right" w:leader="dot" w:pos="9622"/>
        </w:tabs>
        <w:rPr>
          <w:rFonts w:asciiTheme="minorHAnsi" w:eastAsiaTheme="minorEastAsia" w:hAnsiTheme="minorHAnsi" w:cstheme="minorBidi"/>
          <w:noProof/>
          <w:lang w:val="en-AU" w:eastAsia="en-AU"/>
        </w:rPr>
      </w:pPr>
      <w:r w:rsidRPr="00FF6C14">
        <w:rPr>
          <w:noProof/>
          <w:kern w:val="32"/>
        </w:rPr>
        <w:t>5.3</w:t>
      </w:r>
      <w:r>
        <w:rPr>
          <w:rFonts w:asciiTheme="minorHAnsi" w:eastAsiaTheme="minorEastAsia" w:hAnsiTheme="minorHAnsi" w:cstheme="minorBidi"/>
          <w:noProof/>
          <w:lang w:val="en-AU" w:eastAsia="en-AU"/>
        </w:rPr>
        <w:tab/>
      </w:r>
      <w:r>
        <w:rPr>
          <w:noProof/>
        </w:rPr>
        <w:t>Regulation and Compliance</w:t>
      </w:r>
      <w:r>
        <w:rPr>
          <w:noProof/>
        </w:rPr>
        <w:tab/>
      </w:r>
      <w:r>
        <w:rPr>
          <w:noProof/>
        </w:rPr>
        <w:fldChar w:fldCharType="begin"/>
      </w:r>
      <w:r>
        <w:rPr>
          <w:noProof/>
        </w:rPr>
        <w:instrText xml:space="preserve"> PAGEREF _Toc430778987 \h </w:instrText>
      </w:r>
      <w:r>
        <w:rPr>
          <w:noProof/>
        </w:rPr>
      </w:r>
      <w:r>
        <w:rPr>
          <w:noProof/>
        </w:rPr>
        <w:fldChar w:fldCharType="separate"/>
      </w:r>
      <w:r>
        <w:rPr>
          <w:noProof/>
        </w:rPr>
        <w:t>38</w:t>
      </w:r>
      <w:r>
        <w:rPr>
          <w:noProof/>
        </w:rPr>
        <w:fldChar w:fldCharType="end"/>
      </w:r>
    </w:p>
    <w:p w:rsidR="000B5172" w:rsidRDefault="000B5172">
      <w:pPr>
        <w:pStyle w:val="TOC1"/>
        <w:rPr>
          <w:rFonts w:asciiTheme="minorHAnsi" w:eastAsiaTheme="minorEastAsia" w:hAnsiTheme="minorHAnsi" w:cstheme="minorBidi"/>
          <w:b w:val="0"/>
          <w:color w:val="auto"/>
          <w:sz w:val="22"/>
          <w:szCs w:val="22"/>
          <w:lang w:val="en-AU" w:eastAsia="en-AU"/>
        </w:rPr>
      </w:pPr>
      <w:r w:rsidRPr="00FF6C14">
        <w:rPr>
          <w:lang w:val="en-AU"/>
        </w:rPr>
        <w:t>6</w:t>
      </w:r>
      <w:r>
        <w:rPr>
          <w:rFonts w:asciiTheme="minorHAnsi" w:eastAsiaTheme="minorEastAsia" w:hAnsiTheme="minorHAnsi" w:cstheme="minorBidi"/>
          <w:b w:val="0"/>
          <w:color w:val="auto"/>
          <w:sz w:val="22"/>
          <w:szCs w:val="22"/>
          <w:lang w:val="en-AU" w:eastAsia="en-AU"/>
        </w:rPr>
        <w:tab/>
      </w:r>
      <w:r w:rsidRPr="00FF6C14">
        <w:rPr>
          <w:lang w:val="en-AU"/>
        </w:rPr>
        <w:t>Future ELVs</w:t>
      </w:r>
      <w:r>
        <w:tab/>
      </w:r>
      <w:r>
        <w:fldChar w:fldCharType="begin"/>
      </w:r>
      <w:r>
        <w:instrText xml:space="preserve"> PAGEREF _Toc430778988 \h </w:instrText>
      </w:r>
      <w:r>
        <w:fldChar w:fldCharType="separate"/>
      </w:r>
      <w:r>
        <w:t>40</w:t>
      </w:r>
      <w:r>
        <w:fldChar w:fldCharType="end"/>
      </w:r>
    </w:p>
    <w:p w:rsidR="000B5172" w:rsidRDefault="000B5172">
      <w:pPr>
        <w:pStyle w:val="TOC1"/>
        <w:rPr>
          <w:rFonts w:asciiTheme="minorHAnsi" w:eastAsiaTheme="minorEastAsia" w:hAnsiTheme="minorHAnsi" w:cstheme="minorBidi"/>
          <w:b w:val="0"/>
          <w:color w:val="auto"/>
          <w:sz w:val="22"/>
          <w:szCs w:val="22"/>
          <w:lang w:val="en-AU" w:eastAsia="en-AU"/>
        </w:rPr>
      </w:pPr>
      <w:r w:rsidRPr="00FF6C14">
        <w:rPr>
          <w:lang w:val="en-AU"/>
        </w:rPr>
        <w:t>7</w:t>
      </w:r>
      <w:r>
        <w:rPr>
          <w:rFonts w:asciiTheme="minorHAnsi" w:eastAsiaTheme="minorEastAsia" w:hAnsiTheme="minorHAnsi" w:cstheme="minorBidi"/>
          <w:b w:val="0"/>
          <w:color w:val="auto"/>
          <w:sz w:val="22"/>
          <w:szCs w:val="22"/>
          <w:lang w:val="en-AU" w:eastAsia="en-AU"/>
        </w:rPr>
        <w:tab/>
      </w:r>
      <w:r w:rsidRPr="00FF6C14">
        <w:rPr>
          <w:lang w:val="en-AU"/>
        </w:rPr>
        <w:t>Conclusions</w:t>
      </w:r>
      <w:r>
        <w:tab/>
      </w:r>
      <w:r>
        <w:fldChar w:fldCharType="begin"/>
      </w:r>
      <w:r>
        <w:instrText xml:space="preserve"> PAGEREF _Toc430778989 \h </w:instrText>
      </w:r>
      <w:r>
        <w:fldChar w:fldCharType="separate"/>
      </w:r>
      <w:r>
        <w:t>48</w:t>
      </w:r>
      <w:r>
        <w:fldChar w:fldCharType="end"/>
      </w:r>
    </w:p>
    <w:p w:rsidR="000B5172" w:rsidRDefault="000B5172">
      <w:pPr>
        <w:pStyle w:val="TOC1"/>
        <w:rPr>
          <w:rFonts w:asciiTheme="minorHAnsi" w:eastAsiaTheme="minorEastAsia" w:hAnsiTheme="minorHAnsi" w:cstheme="minorBidi"/>
          <w:b w:val="0"/>
          <w:color w:val="auto"/>
          <w:sz w:val="22"/>
          <w:szCs w:val="22"/>
          <w:lang w:val="en-AU" w:eastAsia="en-AU"/>
        </w:rPr>
      </w:pPr>
      <w:r w:rsidRPr="00FF6C14">
        <w:rPr>
          <w:lang w:val="en-AU"/>
        </w:rPr>
        <w:t>8</w:t>
      </w:r>
      <w:r>
        <w:rPr>
          <w:rFonts w:asciiTheme="minorHAnsi" w:eastAsiaTheme="minorEastAsia" w:hAnsiTheme="minorHAnsi" w:cstheme="minorBidi"/>
          <w:b w:val="0"/>
          <w:color w:val="auto"/>
          <w:sz w:val="22"/>
          <w:szCs w:val="22"/>
          <w:lang w:val="en-AU" w:eastAsia="en-AU"/>
        </w:rPr>
        <w:tab/>
      </w:r>
      <w:r w:rsidRPr="00FF6C14">
        <w:rPr>
          <w:lang w:val="en-AU"/>
        </w:rPr>
        <w:t>References</w:t>
      </w:r>
      <w:r>
        <w:tab/>
      </w:r>
      <w:r>
        <w:fldChar w:fldCharType="begin"/>
      </w:r>
      <w:r>
        <w:instrText xml:space="preserve"> PAGEREF _Toc430778990 \h </w:instrText>
      </w:r>
      <w:r>
        <w:fldChar w:fldCharType="separate"/>
      </w:r>
      <w:r>
        <w:t>50</w:t>
      </w:r>
      <w:r>
        <w:fldChar w:fldCharType="end"/>
      </w:r>
    </w:p>
    <w:p w:rsidR="000B5172" w:rsidRDefault="000B5172">
      <w:pPr>
        <w:pStyle w:val="TOC1"/>
        <w:rPr>
          <w:rFonts w:asciiTheme="minorHAnsi" w:eastAsiaTheme="minorEastAsia" w:hAnsiTheme="minorHAnsi" w:cstheme="minorBidi"/>
          <w:b w:val="0"/>
          <w:color w:val="auto"/>
          <w:sz w:val="22"/>
          <w:szCs w:val="22"/>
          <w:lang w:val="en-AU" w:eastAsia="en-AU"/>
        </w:rPr>
      </w:pPr>
      <w:r w:rsidRPr="00FF6C14">
        <w:rPr>
          <w:lang w:val="en-AU"/>
        </w:rPr>
        <w:t>Appendix A</w:t>
      </w:r>
      <w:r>
        <w:tab/>
      </w:r>
      <w:r>
        <w:fldChar w:fldCharType="begin"/>
      </w:r>
      <w:r>
        <w:instrText xml:space="preserve"> PAGEREF _Toc430778991 \h </w:instrText>
      </w:r>
      <w:r>
        <w:fldChar w:fldCharType="separate"/>
      </w:r>
      <w:r>
        <w:t>52</w:t>
      </w:r>
      <w:r>
        <w:fldChar w:fldCharType="end"/>
      </w:r>
    </w:p>
    <w:p w:rsidR="000B5172" w:rsidRDefault="000B5172">
      <w:pPr>
        <w:pStyle w:val="TOC2"/>
        <w:tabs>
          <w:tab w:val="right" w:leader="dot" w:pos="9622"/>
        </w:tabs>
        <w:rPr>
          <w:rFonts w:asciiTheme="minorHAnsi" w:eastAsiaTheme="minorEastAsia" w:hAnsiTheme="minorHAnsi" w:cstheme="minorBidi"/>
          <w:noProof/>
          <w:lang w:val="en-AU" w:eastAsia="en-AU"/>
        </w:rPr>
      </w:pPr>
      <w:r>
        <w:rPr>
          <w:noProof/>
        </w:rPr>
        <w:t>ELV model data sources and explanation</w:t>
      </w:r>
      <w:r>
        <w:rPr>
          <w:noProof/>
        </w:rPr>
        <w:tab/>
      </w:r>
      <w:r>
        <w:rPr>
          <w:noProof/>
        </w:rPr>
        <w:fldChar w:fldCharType="begin"/>
      </w:r>
      <w:r>
        <w:rPr>
          <w:noProof/>
        </w:rPr>
        <w:instrText xml:space="preserve"> PAGEREF _Toc430778992 \h </w:instrText>
      </w:r>
      <w:r>
        <w:rPr>
          <w:noProof/>
        </w:rPr>
      </w:r>
      <w:r>
        <w:rPr>
          <w:noProof/>
        </w:rPr>
        <w:fldChar w:fldCharType="separate"/>
      </w:r>
      <w:r>
        <w:rPr>
          <w:noProof/>
        </w:rPr>
        <w:t>52</w:t>
      </w:r>
      <w:r>
        <w:rPr>
          <w:noProof/>
        </w:rPr>
        <w:fldChar w:fldCharType="end"/>
      </w:r>
    </w:p>
    <w:p w:rsidR="000B5172" w:rsidRDefault="000B5172">
      <w:pPr>
        <w:pStyle w:val="TOC2"/>
        <w:tabs>
          <w:tab w:val="right" w:leader="dot" w:pos="9622"/>
        </w:tabs>
        <w:rPr>
          <w:rFonts w:asciiTheme="minorHAnsi" w:eastAsiaTheme="minorEastAsia" w:hAnsiTheme="minorHAnsi" w:cstheme="minorBidi"/>
          <w:noProof/>
          <w:lang w:val="en-AU" w:eastAsia="en-AU"/>
        </w:rPr>
      </w:pPr>
      <w:r>
        <w:rPr>
          <w:noProof/>
        </w:rPr>
        <w:t>ELV model prediction versus ABS attrition</w:t>
      </w:r>
      <w:r>
        <w:rPr>
          <w:noProof/>
        </w:rPr>
        <w:tab/>
      </w:r>
      <w:r>
        <w:rPr>
          <w:noProof/>
        </w:rPr>
        <w:fldChar w:fldCharType="begin"/>
      </w:r>
      <w:r>
        <w:rPr>
          <w:noProof/>
        </w:rPr>
        <w:instrText xml:space="preserve"> PAGEREF _Toc430778993 \h </w:instrText>
      </w:r>
      <w:r>
        <w:rPr>
          <w:noProof/>
        </w:rPr>
      </w:r>
      <w:r>
        <w:rPr>
          <w:noProof/>
        </w:rPr>
        <w:fldChar w:fldCharType="separate"/>
      </w:r>
      <w:r>
        <w:rPr>
          <w:noProof/>
        </w:rPr>
        <w:t>54</w:t>
      </w:r>
      <w:r>
        <w:rPr>
          <w:noProof/>
        </w:rPr>
        <w:fldChar w:fldCharType="end"/>
      </w:r>
    </w:p>
    <w:p w:rsidR="000B5172" w:rsidRDefault="000B5172">
      <w:pPr>
        <w:pStyle w:val="TOC1"/>
        <w:rPr>
          <w:rFonts w:asciiTheme="minorHAnsi" w:eastAsiaTheme="minorEastAsia" w:hAnsiTheme="minorHAnsi" w:cstheme="minorBidi"/>
          <w:b w:val="0"/>
          <w:color w:val="auto"/>
          <w:sz w:val="22"/>
          <w:szCs w:val="22"/>
          <w:lang w:val="en-AU" w:eastAsia="en-AU"/>
        </w:rPr>
      </w:pPr>
      <w:r w:rsidRPr="00FF6C14">
        <w:rPr>
          <w:lang w:val="en-AU"/>
        </w:rPr>
        <w:t>Appendix B</w:t>
      </w:r>
      <w:r>
        <w:tab/>
      </w:r>
      <w:r>
        <w:fldChar w:fldCharType="begin"/>
      </w:r>
      <w:r>
        <w:instrText xml:space="preserve"> PAGEREF _Toc430778994 \h </w:instrText>
      </w:r>
      <w:r>
        <w:fldChar w:fldCharType="separate"/>
      </w:r>
      <w:r>
        <w:t>56</w:t>
      </w:r>
      <w:r>
        <w:fldChar w:fldCharType="end"/>
      </w:r>
    </w:p>
    <w:p w:rsidR="000B5172" w:rsidRDefault="000B5172">
      <w:pPr>
        <w:pStyle w:val="TOC2"/>
        <w:tabs>
          <w:tab w:val="right" w:leader="dot" w:pos="9622"/>
        </w:tabs>
        <w:rPr>
          <w:rFonts w:asciiTheme="minorHAnsi" w:eastAsiaTheme="minorEastAsia" w:hAnsiTheme="minorHAnsi" w:cstheme="minorBidi"/>
          <w:noProof/>
          <w:lang w:val="en-AU" w:eastAsia="en-AU"/>
        </w:rPr>
      </w:pPr>
      <w:r>
        <w:rPr>
          <w:noProof/>
        </w:rPr>
        <w:t>The National Exchange of Vehicle and Driver Information System and the Written off Vehicle Register</w:t>
      </w:r>
      <w:r>
        <w:rPr>
          <w:noProof/>
        </w:rPr>
        <w:tab/>
      </w:r>
      <w:r>
        <w:rPr>
          <w:noProof/>
        </w:rPr>
        <w:fldChar w:fldCharType="begin"/>
      </w:r>
      <w:r>
        <w:rPr>
          <w:noProof/>
        </w:rPr>
        <w:instrText xml:space="preserve"> PAGEREF _Toc430778995 \h </w:instrText>
      </w:r>
      <w:r>
        <w:rPr>
          <w:noProof/>
        </w:rPr>
      </w:r>
      <w:r>
        <w:rPr>
          <w:noProof/>
        </w:rPr>
        <w:fldChar w:fldCharType="separate"/>
      </w:r>
      <w:r>
        <w:rPr>
          <w:noProof/>
        </w:rPr>
        <w:t>56</w:t>
      </w:r>
      <w:r>
        <w:rPr>
          <w:noProof/>
        </w:rPr>
        <w:fldChar w:fldCharType="end"/>
      </w:r>
    </w:p>
    <w:p w:rsidR="000B5172" w:rsidRDefault="000B5172">
      <w:pPr>
        <w:pStyle w:val="TOC1"/>
        <w:rPr>
          <w:rFonts w:asciiTheme="minorHAnsi" w:eastAsiaTheme="minorEastAsia" w:hAnsiTheme="minorHAnsi" w:cstheme="minorBidi"/>
          <w:b w:val="0"/>
          <w:color w:val="auto"/>
          <w:sz w:val="22"/>
          <w:szCs w:val="22"/>
          <w:lang w:val="en-AU" w:eastAsia="en-AU"/>
        </w:rPr>
      </w:pPr>
      <w:r w:rsidRPr="00FF6C14">
        <w:rPr>
          <w:lang w:val="en-AU"/>
        </w:rPr>
        <w:t>Appendix C</w:t>
      </w:r>
      <w:r>
        <w:tab/>
      </w:r>
      <w:r>
        <w:fldChar w:fldCharType="begin"/>
      </w:r>
      <w:r>
        <w:instrText xml:space="preserve"> PAGEREF _Toc430778996 \h </w:instrText>
      </w:r>
      <w:r>
        <w:fldChar w:fldCharType="separate"/>
      </w:r>
      <w:r>
        <w:t>60</w:t>
      </w:r>
      <w:r>
        <w:fldChar w:fldCharType="end"/>
      </w:r>
    </w:p>
    <w:p w:rsidR="000B5172" w:rsidRDefault="000B5172">
      <w:pPr>
        <w:pStyle w:val="TOC2"/>
        <w:tabs>
          <w:tab w:val="right" w:leader="dot" w:pos="9622"/>
        </w:tabs>
        <w:rPr>
          <w:rFonts w:asciiTheme="minorHAnsi" w:eastAsiaTheme="minorEastAsia" w:hAnsiTheme="minorHAnsi" w:cstheme="minorBidi"/>
          <w:noProof/>
          <w:lang w:val="en-AU" w:eastAsia="en-AU"/>
        </w:rPr>
      </w:pPr>
      <w:r>
        <w:rPr>
          <w:noProof/>
        </w:rPr>
        <w:t>Australian Metal Recyclers Industry Association Media Statement</w:t>
      </w:r>
      <w:r>
        <w:rPr>
          <w:noProof/>
        </w:rPr>
        <w:tab/>
      </w:r>
      <w:r>
        <w:rPr>
          <w:noProof/>
        </w:rPr>
        <w:fldChar w:fldCharType="begin"/>
      </w:r>
      <w:r>
        <w:rPr>
          <w:noProof/>
        </w:rPr>
        <w:instrText xml:space="preserve"> PAGEREF _Toc430778997 \h </w:instrText>
      </w:r>
      <w:r>
        <w:rPr>
          <w:noProof/>
        </w:rPr>
      </w:r>
      <w:r>
        <w:rPr>
          <w:noProof/>
        </w:rPr>
        <w:fldChar w:fldCharType="separate"/>
      </w:r>
      <w:r>
        <w:rPr>
          <w:noProof/>
        </w:rPr>
        <w:t>60</w:t>
      </w:r>
      <w:r>
        <w:rPr>
          <w:noProof/>
        </w:rPr>
        <w:fldChar w:fldCharType="end"/>
      </w:r>
    </w:p>
    <w:p w:rsidR="004315E8" w:rsidRPr="003C63AC" w:rsidRDefault="00F005B2" w:rsidP="00304627">
      <w:pPr>
        <w:rPr>
          <w:rFonts w:cs="Times New Roman"/>
          <w:sz w:val="24"/>
        </w:rPr>
      </w:pPr>
      <w:r>
        <w:rPr>
          <w:rFonts w:ascii="Verdana" w:eastAsia="Times New Roman" w:hAnsi="Verdana" w:cs="Times New Roman"/>
          <w:noProof/>
          <w:color w:val="31849B" w:themeColor="accent5" w:themeShade="BF"/>
          <w:sz w:val="20"/>
          <w:szCs w:val="20"/>
          <w:lang w:val="en-US"/>
        </w:rPr>
        <w:fldChar w:fldCharType="end"/>
      </w:r>
    </w:p>
    <w:p w:rsidR="0077243E" w:rsidRDefault="0077243E">
      <w:pPr>
        <w:spacing w:before="0"/>
        <w:jc w:val="left"/>
        <w:rPr>
          <w:rFonts w:cs="Times New Roman"/>
          <w:sz w:val="24"/>
        </w:rPr>
      </w:pPr>
      <w:r>
        <w:rPr>
          <w:rFonts w:cs="Times New Roman"/>
          <w:sz w:val="24"/>
        </w:rPr>
        <w:br w:type="page"/>
      </w:r>
    </w:p>
    <w:p w:rsidR="0077243E" w:rsidRPr="003937A5" w:rsidRDefault="0077243E" w:rsidP="0077243E">
      <w:pPr>
        <w:tabs>
          <w:tab w:val="left" w:pos="7513"/>
        </w:tabs>
        <w:rPr>
          <w:rFonts w:asciiTheme="majorHAnsi" w:hAnsiTheme="majorHAnsi"/>
          <w:sz w:val="20"/>
          <w:szCs w:val="20"/>
        </w:rPr>
      </w:pPr>
      <w:bookmarkStart w:id="1" w:name="_Toc257359939"/>
      <w:r w:rsidRPr="003937A5">
        <w:rPr>
          <w:rFonts w:asciiTheme="majorHAnsi" w:hAnsiTheme="majorHAnsi"/>
          <w:sz w:val="20"/>
          <w:szCs w:val="20"/>
        </w:rPr>
        <w:lastRenderedPageBreak/>
        <w:t xml:space="preserve">This paper has been prepared for the Australian Government, Department of </w:t>
      </w:r>
      <w:r>
        <w:rPr>
          <w:rFonts w:asciiTheme="majorHAnsi" w:hAnsiTheme="majorHAnsi"/>
          <w:sz w:val="20"/>
          <w:szCs w:val="20"/>
        </w:rPr>
        <w:t>the</w:t>
      </w:r>
      <w:r w:rsidRPr="003937A5">
        <w:rPr>
          <w:rFonts w:asciiTheme="majorHAnsi" w:hAnsiTheme="majorHAnsi"/>
          <w:sz w:val="20"/>
          <w:szCs w:val="20"/>
        </w:rPr>
        <w:t xml:space="preserve"> Environment, (</w:t>
      </w:r>
      <w:r>
        <w:rPr>
          <w:rFonts w:asciiTheme="majorHAnsi" w:hAnsiTheme="majorHAnsi"/>
          <w:sz w:val="20"/>
          <w:szCs w:val="20"/>
        </w:rPr>
        <w:t>DoE</w:t>
      </w:r>
      <w:r w:rsidRPr="003937A5">
        <w:rPr>
          <w:rFonts w:asciiTheme="majorHAnsi" w:hAnsiTheme="majorHAnsi"/>
          <w:sz w:val="20"/>
          <w:szCs w:val="20"/>
        </w:rPr>
        <w:t>) Environment Quality Division,</w:t>
      </w:r>
      <w:r>
        <w:rPr>
          <w:rFonts w:asciiTheme="majorHAnsi" w:hAnsiTheme="majorHAnsi"/>
          <w:sz w:val="20"/>
          <w:szCs w:val="20"/>
        </w:rPr>
        <w:t xml:space="preserve"> </w:t>
      </w:r>
      <w:r w:rsidRPr="0077243E">
        <w:rPr>
          <w:rFonts w:asciiTheme="majorHAnsi" w:hAnsiTheme="majorHAnsi"/>
          <w:sz w:val="20"/>
          <w:szCs w:val="20"/>
        </w:rPr>
        <w:t>Environment Standards Branch</w:t>
      </w:r>
      <w:r w:rsidRPr="003937A5">
        <w:rPr>
          <w:rFonts w:asciiTheme="majorHAnsi" w:hAnsiTheme="majorHAnsi"/>
          <w:sz w:val="20"/>
          <w:szCs w:val="20"/>
        </w:rPr>
        <w:t>.</w:t>
      </w:r>
    </w:p>
    <w:p w:rsidR="0077243E" w:rsidRPr="003937A5" w:rsidRDefault="0077243E" w:rsidP="0077243E">
      <w:pPr>
        <w:rPr>
          <w:rFonts w:asciiTheme="majorHAnsi" w:hAnsiTheme="majorHAnsi"/>
          <w:sz w:val="20"/>
          <w:szCs w:val="20"/>
        </w:rPr>
      </w:pPr>
      <w:r w:rsidRPr="003937A5">
        <w:rPr>
          <w:rFonts w:asciiTheme="majorHAnsi" w:hAnsiTheme="majorHAnsi"/>
          <w:sz w:val="20"/>
          <w:szCs w:val="20"/>
        </w:rPr>
        <w:t xml:space="preserve">Prepared by Peter Brodribb </w:t>
      </w:r>
      <w:r>
        <w:rPr>
          <w:rFonts w:asciiTheme="majorHAnsi" w:hAnsiTheme="majorHAnsi"/>
          <w:sz w:val="20"/>
          <w:szCs w:val="20"/>
        </w:rPr>
        <w:t xml:space="preserve">and Michael McCann </w:t>
      </w:r>
      <w:r w:rsidRPr="003937A5">
        <w:rPr>
          <w:rFonts w:asciiTheme="majorHAnsi" w:hAnsiTheme="majorHAnsi"/>
          <w:sz w:val="20"/>
          <w:szCs w:val="20"/>
        </w:rPr>
        <w:t xml:space="preserve">of the Expert Group </w:t>
      </w:r>
      <w:r w:rsidRPr="0077243E">
        <w:rPr>
          <w:rFonts w:asciiTheme="majorHAnsi" w:hAnsiTheme="majorHAnsi"/>
          <w:sz w:val="20"/>
          <w:szCs w:val="20"/>
        </w:rPr>
        <w:t>(A.C.N. 122 581 159, A.B.N. 79 413 183 502)</w:t>
      </w:r>
    </w:p>
    <w:p w:rsidR="0077243E" w:rsidRDefault="0077243E" w:rsidP="0077243E">
      <w:pPr>
        <w:rPr>
          <w:rFonts w:asciiTheme="majorHAnsi" w:hAnsiTheme="majorHAnsi"/>
          <w:sz w:val="20"/>
          <w:szCs w:val="20"/>
        </w:rPr>
      </w:pPr>
      <w:r>
        <w:rPr>
          <w:rFonts w:asciiTheme="majorHAnsi" w:hAnsiTheme="majorHAnsi"/>
          <w:sz w:val="20"/>
          <w:szCs w:val="20"/>
        </w:rPr>
        <w:t>Level 1, 181 Bay Street, Brighton, Victoria 3186</w:t>
      </w:r>
    </w:p>
    <w:p w:rsidR="0077243E" w:rsidRPr="003937A5" w:rsidRDefault="0077243E" w:rsidP="0077243E">
      <w:pPr>
        <w:rPr>
          <w:rFonts w:asciiTheme="majorHAnsi" w:hAnsiTheme="majorHAnsi"/>
          <w:sz w:val="20"/>
          <w:szCs w:val="20"/>
        </w:rPr>
      </w:pPr>
      <w:r w:rsidRPr="003937A5">
        <w:rPr>
          <w:rFonts w:asciiTheme="majorHAnsi" w:hAnsiTheme="majorHAnsi"/>
          <w:sz w:val="20"/>
          <w:szCs w:val="20"/>
        </w:rPr>
        <w:t xml:space="preserve">Ph: +61 3 9592 9111 </w:t>
      </w:r>
    </w:p>
    <w:p w:rsidR="0077243E" w:rsidRPr="003937A5" w:rsidRDefault="0077243E" w:rsidP="0077243E">
      <w:pPr>
        <w:rPr>
          <w:rFonts w:asciiTheme="majorHAnsi" w:hAnsiTheme="majorHAnsi"/>
          <w:sz w:val="20"/>
          <w:szCs w:val="20"/>
        </w:rPr>
      </w:pPr>
      <w:r w:rsidRPr="003937A5">
        <w:rPr>
          <w:rFonts w:asciiTheme="majorHAnsi" w:hAnsiTheme="majorHAnsi"/>
          <w:sz w:val="20"/>
          <w:szCs w:val="20"/>
        </w:rPr>
        <w:t xml:space="preserve">Email: inquiries@expertgroup.com.au </w:t>
      </w:r>
    </w:p>
    <w:p w:rsidR="0077243E" w:rsidRPr="003937A5" w:rsidRDefault="0077243E" w:rsidP="0077243E">
      <w:pPr>
        <w:rPr>
          <w:rFonts w:asciiTheme="majorHAnsi" w:hAnsiTheme="majorHAnsi"/>
          <w:sz w:val="20"/>
          <w:szCs w:val="20"/>
        </w:rPr>
      </w:pPr>
      <w:r w:rsidRPr="003937A5">
        <w:rPr>
          <w:rFonts w:asciiTheme="majorHAnsi" w:hAnsiTheme="majorHAnsi"/>
          <w:sz w:val="20"/>
          <w:szCs w:val="20"/>
        </w:rPr>
        <w:t>Web address: www.expertgroup.com.au</w:t>
      </w:r>
    </w:p>
    <w:p w:rsidR="0077243E" w:rsidRPr="003937A5" w:rsidRDefault="0077243E" w:rsidP="0077243E">
      <w:pPr>
        <w:rPr>
          <w:rFonts w:asciiTheme="majorHAnsi" w:hAnsiTheme="majorHAnsi"/>
          <w:sz w:val="20"/>
          <w:szCs w:val="20"/>
        </w:rPr>
      </w:pPr>
    </w:p>
    <w:p w:rsidR="0077243E" w:rsidRPr="003937A5" w:rsidRDefault="0077243E" w:rsidP="0077243E">
      <w:pPr>
        <w:rPr>
          <w:rFonts w:asciiTheme="majorHAnsi" w:hAnsiTheme="majorHAnsi"/>
          <w:b/>
          <w:sz w:val="20"/>
          <w:szCs w:val="20"/>
        </w:rPr>
      </w:pPr>
      <w:r w:rsidRPr="003937A5">
        <w:rPr>
          <w:rFonts w:asciiTheme="majorHAnsi" w:hAnsiTheme="majorHAnsi"/>
          <w:b/>
          <w:sz w:val="20"/>
          <w:szCs w:val="20"/>
        </w:rPr>
        <w:t>Disclaimer</w:t>
      </w:r>
    </w:p>
    <w:p w:rsidR="0077243E" w:rsidRDefault="0077243E" w:rsidP="0077243E">
      <w:pPr>
        <w:rPr>
          <w:rFonts w:asciiTheme="majorHAnsi" w:hAnsiTheme="majorHAnsi"/>
          <w:sz w:val="20"/>
          <w:szCs w:val="20"/>
        </w:rPr>
      </w:pPr>
      <w:r w:rsidRPr="00DE56EC">
        <w:rPr>
          <w:rFonts w:asciiTheme="majorHAnsi" w:hAnsiTheme="majorHAnsi"/>
          <w:sz w:val="20"/>
          <w:szCs w:val="20"/>
        </w:rPr>
        <w:t>This document is produced for general information only and does not represent a statement of the policy of the Commonwealth of Australia. The Commonwealth of Australia and all persons acting for the Commonwealth preparing this report accept no liability for the accuracy of or inferences from the material contained in this publication, or for any action as a result of any person’s or group’s interpretations, deductions, conclusions or actions in relying on this material.</w:t>
      </w:r>
    </w:p>
    <w:p w:rsidR="0077243E" w:rsidRPr="003937A5" w:rsidRDefault="0077243E" w:rsidP="0077243E">
      <w:pPr>
        <w:rPr>
          <w:rFonts w:asciiTheme="majorHAnsi" w:hAnsiTheme="majorHAnsi"/>
          <w:sz w:val="20"/>
          <w:szCs w:val="20"/>
        </w:rPr>
      </w:pPr>
      <w:r w:rsidRPr="003937A5">
        <w:rPr>
          <w:rFonts w:asciiTheme="majorHAnsi" w:hAnsiTheme="majorHAnsi"/>
          <w:sz w:val="20"/>
          <w:szCs w:val="20"/>
        </w:rPr>
        <w:t xml:space="preserve">The Expert Group and </w:t>
      </w:r>
      <w:r>
        <w:rPr>
          <w:rFonts w:asciiTheme="majorHAnsi" w:hAnsiTheme="majorHAnsi"/>
          <w:sz w:val="20"/>
          <w:szCs w:val="20"/>
        </w:rPr>
        <w:t xml:space="preserve">associated parties </w:t>
      </w:r>
      <w:r w:rsidRPr="003937A5">
        <w:rPr>
          <w:rFonts w:asciiTheme="majorHAnsi" w:hAnsiTheme="majorHAnsi"/>
          <w:sz w:val="20"/>
          <w:szCs w:val="20"/>
        </w:rPr>
        <w:t>have made their best endeavours to ensure the accuracy and reliability of the data used herein, however makes no warranties as to the accuracy of data herein nor accepts any liability for any action taken or decision made based on the contents of this report.</w:t>
      </w:r>
    </w:p>
    <w:p w:rsidR="0077243E" w:rsidRDefault="0077243E" w:rsidP="0077243E">
      <w:pPr>
        <w:rPr>
          <w:rFonts w:asciiTheme="majorHAnsi" w:hAnsiTheme="majorHAnsi"/>
          <w:sz w:val="20"/>
          <w:szCs w:val="20"/>
        </w:rPr>
      </w:pPr>
      <w:r>
        <w:rPr>
          <w:rFonts w:asciiTheme="majorHAnsi" w:hAnsiTheme="majorHAnsi"/>
          <w:sz w:val="20"/>
          <w:szCs w:val="20"/>
        </w:rPr>
        <w:t>ISBN</w:t>
      </w:r>
      <w:r w:rsidRPr="007249E8">
        <w:rPr>
          <w:rFonts w:asciiTheme="majorHAnsi" w:hAnsiTheme="majorHAnsi"/>
          <w:sz w:val="20"/>
          <w:szCs w:val="20"/>
        </w:rPr>
        <w:t>: XX</w:t>
      </w:r>
    </w:p>
    <w:p w:rsidR="0077243E" w:rsidRDefault="0077243E" w:rsidP="0077243E">
      <w:pPr>
        <w:rPr>
          <w:rFonts w:asciiTheme="majorHAnsi" w:hAnsiTheme="majorHAnsi"/>
          <w:sz w:val="20"/>
          <w:szCs w:val="20"/>
        </w:rPr>
      </w:pPr>
      <w:r w:rsidRPr="003937A5">
        <w:rPr>
          <w:rFonts w:asciiTheme="majorHAnsi" w:hAnsiTheme="majorHAnsi"/>
          <w:sz w:val="20"/>
          <w:szCs w:val="20"/>
        </w:rPr>
        <w:t xml:space="preserve">For bibliographic purposes this report may be cited as: </w:t>
      </w:r>
      <w:r w:rsidRPr="00BF1B86">
        <w:rPr>
          <w:rFonts w:asciiTheme="majorHAnsi" w:hAnsiTheme="majorHAnsi"/>
          <w:sz w:val="20"/>
          <w:szCs w:val="20"/>
        </w:rPr>
        <w:t xml:space="preserve">Assessment of environmental impacts from the </w:t>
      </w:r>
      <w:r w:rsidRPr="0077243E">
        <w:rPr>
          <w:rFonts w:asciiTheme="majorHAnsi" w:hAnsiTheme="majorHAnsi"/>
          <w:sz w:val="20"/>
          <w:szCs w:val="20"/>
        </w:rPr>
        <w:t>Environmental Impacts of Refrigerant Gas in End of Life Vehicles in Australia</w:t>
      </w:r>
      <w:r>
        <w:rPr>
          <w:rFonts w:asciiTheme="majorHAnsi" w:hAnsiTheme="majorHAnsi"/>
          <w:sz w:val="20"/>
          <w:szCs w:val="20"/>
        </w:rPr>
        <w:t xml:space="preserve">, </w:t>
      </w:r>
      <w:r w:rsidRPr="003937A5">
        <w:rPr>
          <w:rFonts w:asciiTheme="majorHAnsi" w:hAnsiTheme="majorHAnsi"/>
          <w:sz w:val="20"/>
          <w:szCs w:val="20"/>
        </w:rPr>
        <w:t>Peter Brodribb and Michael McCann 201</w:t>
      </w:r>
      <w:r>
        <w:rPr>
          <w:rFonts w:asciiTheme="majorHAnsi" w:hAnsiTheme="majorHAnsi"/>
          <w:sz w:val="20"/>
          <w:szCs w:val="20"/>
        </w:rPr>
        <w:t>4</w:t>
      </w:r>
      <w:r w:rsidRPr="003937A5">
        <w:rPr>
          <w:rFonts w:asciiTheme="majorHAnsi" w:hAnsiTheme="majorHAnsi"/>
          <w:sz w:val="20"/>
          <w:szCs w:val="20"/>
        </w:rPr>
        <w:t>, Canberra.</w:t>
      </w:r>
    </w:p>
    <w:p w:rsidR="0077243E" w:rsidRPr="003937A5" w:rsidRDefault="0077243E" w:rsidP="0077243E">
      <w:pPr>
        <w:rPr>
          <w:rFonts w:asciiTheme="majorHAnsi" w:hAnsiTheme="majorHAnsi"/>
          <w:sz w:val="20"/>
          <w:szCs w:val="20"/>
        </w:rPr>
      </w:pPr>
    </w:p>
    <w:p w:rsidR="0077243E" w:rsidRPr="00D93F9C" w:rsidRDefault="0077243E" w:rsidP="0077243E">
      <w:pPr>
        <w:rPr>
          <w:rFonts w:asciiTheme="majorHAnsi" w:hAnsiTheme="majorHAnsi"/>
          <w:color w:val="000000" w:themeColor="text1"/>
          <w:sz w:val="20"/>
          <w:szCs w:val="20"/>
        </w:rPr>
      </w:pPr>
      <w:r w:rsidRPr="00D93F9C">
        <w:rPr>
          <w:rFonts w:asciiTheme="majorHAnsi" w:hAnsiTheme="majorHAnsi"/>
          <w:color w:val="000000" w:themeColor="text1"/>
          <w:sz w:val="20"/>
          <w:szCs w:val="20"/>
        </w:rPr>
        <w:t>© Commonwealth of Australia 201</w:t>
      </w:r>
      <w:r>
        <w:rPr>
          <w:rFonts w:asciiTheme="majorHAnsi" w:hAnsiTheme="majorHAnsi"/>
          <w:color w:val="000000" w:themeColor="text1"/>
          <w:sz w:val="20"/>
          <w:szCs w:val="20"/>
        </w:rPr>
        <w:t>4</w:t>
      </w:r>
    </w:p>
    <w:p w:rsidR="0077243E" w:rsidRPr="008635DC" w:rsidRDefault="0077243E" w:rsidP="0077243E">
      <w:pPr>
        <w:rPr>
          <w:rFonts w:asciiTheme="majorHAnsi" w:hAnsiTheme="majorHAnsi"/>
          <w:color w:val="000000" w:themeColor="text1"/>
          <w:sz w:val="20"/>
          <w:szCs w:val="20"/>
        </w:rPr>
      </w:pPr>
      <w:r w:rsidRPr="00D93F9C">
        <w:rPr>
          <w:rFonts w:asciiTheme="majorHAnsi" w:hAnsiTheme="majorHAnsi"/>
          <w:color w:val="000000" w:themeColor="text1"/>
          <w:sz w:val="20"/>
          <w:szCs w:val="20"/>
        </w:rPr>
        <w:t xml:space="preserve">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enquiries concerning reproduction and rights should be addressed to Department of </w:t>
      </w:r>
      <w:r>
        <w:rPr>
          <w:rFonts w:asciiTheme="majorHAnsi" w:hAnsiTheme="majorHAnsi"/>
          <w:color w:val="000000" w:themeColor="text1"/>
          <w:sz w:val="20"/>
          <w:szCs w:val="20"/>
        </w:rPr>
        <w:t>the</w:t>
      </w:r>
      <w:r w:rsidRPr="00D93F9C">
        <w:rPr>
          <w:rFonts w:asciiTheme="majorHAnsi" w:hAnsiTheme="majorHAnsi"/>
          <w:color w:val="000000" w:themeColor="text1"/>
          <w:sz w:val="20"/>
          <w:szCs w:val="20"/>
        </w:rPr>
        <w:t xml:space="preserve"> Environment, Public Affairs, GPO Box 787 Canberra ACT 2601 or email </w:t>
      </w:r>
      <w:hyperlink r:id="rId16" w:history="1">
        <w:r w:rsidRPr="00D93F9C">
          <w:rPr>
            <w:rStyle w:val="Hyperlink"/>
            <w:rFonts w:ascii="Verdana" w:hAnsi="Verdana"/>
            <w:sz w:val="17"/>
            <w:szCs w:val="17"/>
          </w:rPr>
          <w:t>public.affairs@environment.gov.au</w:t>
        </w:r>
      </w:hyperlink>
      <w:r w:rsidRPr="00D93F9C">
        <w:rPr>
          <w:rFonts w:ascii="Verdana" w:hAnsi="Verdana"/>
          <w:color w:val="000000"/>
          <w:sz w:val="17"/>
          <w:szCs w:val="17"/>
        </w:rPr>
        <w:t>.</w:t>
      </w:r>
    </w:p>
    <w:p w:rsidR="0077243E" w:rsidRDefault="0077243E">
      <w:pPr>
        <w:spacing w:before="0"/>
        <w:jc w:val="left"/>
        <w:rPr>
          <w:rFonts w:ascii="Calibri" w:eastAsia="Times New Roman" w:hAnsi="Calibri" w:cs="Times New Roman"/>
          <w:b/>
          <w:bCs/>
          <w:kern w:val="32"/>
          <w:sz w:val="32"/>
          <w:szCs w:val="32"/>
          <w:lang w:val="en-US"/>
        </w:rPr>
      </w:pPr>
      <w:r>
        <w:br w:type="page"/>
      </w:r>
    </w:p>
    <w:p w:rsidR="000A71E6" w:rsidRPr="003C63AC" w:rsidRDefault="000A71E6" w:rsidP="000A71E6">
      <w:pPr>
        <w:pStyle w:val="Heading1"/>
        <w:numPr>
          <w:ilvl w:val="0"/>
          <w:numId w:val="0"/>
        </w:numPr>
        <w:ind w:left="432" w:hanging="432"/>
      </w:pPr>
      <w:bookmarkStart w:id="2" w:name="_Toc430778968"/>
      <w:r w:rsidRPr="003C63AC">
        <w:lastRenderedPageBreak/>
        <w:t>Glossary</w:t>
      </w:r>
      <w:bookmarkEnd w:id="1"/>
      <w:bookmarkEnd w:id="2"/>
    </w:p>
    <w:tbl>
      <w:tblPr>
        <w:tblW w:w="0" w:type="auto"/>
        <w:tblLook w:val="00A0" w:firstRow="1" w:lastRow="0" w:firstColumn="1" w:lastColumn="0" w:noHBand="0" w:noVBand="0"/>
      </w:tblPr>
      <w:tblGrid>
        <w:gridCol w:w="2230"/>
        <w:gridCol w:w="7483"/>
      </w:tblGrid>
      <w:tr w:rsidR="0083581E" w:rsidRPr="003C63AC" w:rsidTr="000A71E6">
        <w:trPr>
          <w:trHeight w:val="342"/>
        </w:trPr>
        <w:tc>
          <w:tcPr>
            <w:tcW w:w="2230" w:type="dxa"/>
          </w:tcPr>
          <w:p w:rsidR="0083581E" w:rsidRPr="003C63AC" w:rsidRDefault="0083581E" w:rsidP="000A71E6">
            <w:pPr>
              <w:pStyle w:val="BodyText"/>
              <w:spacing w:before="60" w:after="60"/>
              <w:jc w:val="left"/>
              <w:rPr>
                <w:rFonts w:asciiTheme="majorHAnsi" w:hAnsiTheme="majorHAnsi"/>
                <w:sz w:val="18"/>
                <w:szCs w:val="22"/>
              </w:rPr>
            </w:pPr>
            <w:r w:rsidRPr="003C63AC">
              <w:rPr>
                <w:rFonts w:asciiTheme="majorHAnsi" w:hAnsiTheme="majorHAnsi"/>
                <w:sz w:val="18"/>
                <w:szCs w:val="22"/>
              </w:rPr>
              <w:t xml:space="preserve">Bulk </w:t>
            </w:r>
            <w:r w:rsidR="003C63AC" w:rsidRPr="003C63AC">
              <w:rPr>
                <w:rFonts w:asciiTheme="majorHAnsi" w:hAnsiTheme="majorHAnsi"/>
                <w:sz w:val="18"/>
                <w:szCs w:val="22"/>
              </w:rPr>
              <w:t>importers</w:t>
            </w:r>
          </w:p>
        </w:tc>
        <w:tc>
          <w:tcPr>
            <w:tcW w:w="7483" w:type="dxa"/>
          </w:tcPr>
          <w:p w:rsidR="0083581E" w:rsidRPr="003C63AC" w:rsidRDefault="0083581E" w:rsidP="0083581E">
            <w:pPr>
              <w:pStyle w:val="BodyText"/>
              <w:spacing w:before="60" w:after="60"/>
              <w:rPr>
                <w:rFonts w:asciiTheme="majorHAnsi" w:hAnsiTheme="majorHAnsi"/>
                <w:sz w:val="18"/>
                <w:szCs w:val="22"/>
              </w:rPr>
            </w:pPr>
            <w:r w:rsidRPr="003C63AC">
              <w:rPr>
                <w:rFonts w:asciiTheme="majorHAnsi" w:hAnsiTheme="majorHAnsi"/>
                <w:sz w:val="18"/>
                <w:szCs w:val="22"/>
              </w:rPr>
              <w:t xml:space="preserve">Companies with a </w:t>
            </w:r>
            <w:r w:rsidR="003C63AC" w:rsidRPr="003C63AC">
              <w:rPr>
                <w:rFonts w:asciiTheme="majorHAnsi" w:hAnsiTheme="majorHAnsi"/>
                <w:sz w:val="18"/>
                <w:szCs w:val="22"/>
              </w:rPr>
              <w:t>licence</w:t>
            </w:r>
            <w:r w:rsidRPr="003C63AC">
              <w:rPr>
                <w:rFonts w:asciiTheme="majorHAnsi" w:hAnsiTheme="majorHAnsi"/>
                <w:sz w:val="18"/>
                <w:szCs w:val="22"/>
              </w:rPr>
              <w:t xml:space="preserve"> to import bulk refrigerant take delivery of ship borne ISO containers each carrying between 10 and 18 tonnes of gas (depending on the type). These refrigerants are typically pumped into large vertical or horizontal storage tanks at the importer’s yards. The larger tanks will generally be capable of holding between 20 and 70 tonnes of gas, depending on the volumetric capacity and pressures of the refrigerant. Importers decant gas into tradeable quantities depending on purpose and market.</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rPr>
              <w:t>Chlorofluorocarbons (CFCs)</w:t>
            </w: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szCs w:val="22"/>
              </w:rPr>
              <w:t>Molecules containing carbon, fluorine, and chlorine. CFCs are the major ozone depleting substance phased out by the Montreal Protocol on Substances that Deplete the Ozone Layer. Many CFCs are potent greenhouse gases.</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rPr>
              <w:t>Coefficient of performance (COP)</w:t>
            </w: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szCs w:val="22"/>
              </w:rPr>
              <w:t xml:space="preserve">The ratio of the heat </w:t>
            </w:r>
            <w:r w:rsidRPr="003C63AC">
              <w:rPr>
                <w:rFonts w:asciiTheme="majorHAnsi" w:hAnsiTheme="majorHAnsi"/>
                <w:sz w:val="18"/>
                <w:szCs w:val="22"/>
                <w:lang w:val="en-GB"/>
              </w:rPr>
              <w:t>extraction</w:t>
            </w:r>
            <w:r w:rsidRPr="003C63AC">
              <w:rPr>
                <w:rFonts w:asciiTheme="majorHAnsi" w:hAnsiTheme="majorHAnsi"/>
                <w:sz w:val="18"/>
                <w:szCs w:val="22"/>
              </w:rPr>
              <w:t xml:space="preserve"> rate divided by the power consumed by the refrigeration compressor(s) and necessary ancillaries. The COP is dimensionless and is used to express the system efficiency.</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rPr>
              <w:t>Compressor</w:t>
            </w: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szCs w:val="22"/>
              </w:rPr>
              <w:t>A device in the air conditioning or refrigeration circuit which compresses refrigerant vapour, and circulates that refrigerant through to its phases of condensation and evaporation, in order to produce the refrigeration effect. The compressor is available in many forms such as piston, scroll, or screw.</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lang w:val="en-AU"/>
              </w:rPr>
              <w:t>CO</w:t>
            </w:r>
            <w:r w:rsidRPr="003C63AC">
              <w:rPr>
                <w:rFonts w:asciiTheme="majorHAnsi" w:hAnsiTheme="majorHAnsi"/>
                <w:sz w:val="18"/>
                <w:szCs w:val="22"/>
                <w:vertAlign w:val="subscript"/>
                <w:lang w:val="en-AU"/>
              </w:rPr>
              <w:t>2</w:t>
            </w:r>
            <w:r w:rsidRPr="003C63AC">
              <w:rPr>
                <w:rFonts w:asciiTheme="majorHAnsi" w:hAnsiTheme="majorHAnsi"/>
                <w:sz w:val="18"/>
                <w:szCs w:val="22"/>
                <w:lang w:val="en-AU"/>
              </w:rPr>
              <w:t xml:space="preserve"> refrigerant</w:t>
            </w: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szCs w:val="22"/>
                <w:lang w:val="en-AU"/>
              </w:rPr>
              <w:t>A widely used industrial refrigerant with high thermodynamic properties is suitable for process refrigeration applications, and automotive air conditioning use. In the past its high operating pressures have limited its use in small to medium commercial refrigeration applications. Technical innovation such as micro cascade systems and commercial availability of components such as compressors and other in line accessories is assisting its transition into smaller scale applications.</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lang w:val="en-AU"/>
              </w:rPr>
              <w:t>CO</w:t>
            </w:r>
            <w:r w:rsidRPr="003C63AC">
              <w:rPr>
                <w:rFonts w:asciiTheme="majorHAnsi" w:hAnsiTheme="majorHAnsi"/>
                <w:sz w:val="18"/>
                <w:szCs w:val="22"/>
                <w:vertAlign w:val="subscript"/>
                <w:lang w:val="en-AU"/>
              </w:rPr>
              <w:t>2</w:t>
            </w:r>
            <w:r w:rsidRPr="003C63AC">
              <w:rPr>
                <w:rFonts w:asciiTheme="majorHAnsi" w:hAnsiTheme="majorHAnsi"/>
                <w:sz w:val="18"/>
                <w:szCs w:val="22"/>
                <w:lang w:val="en-AU"/>
              </w:rPr>
              <w:t>e</w:t>
            </w: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szCs w:val="22"/>
                <w:lang w:val="en-AU"/>
              </w:rPr>
              <w:t>Carbon dioxide equivalent is a measure that quantifies different greenhouse gases in terms of the amount of carbon dioxide that would deliver the same global warming.</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lang w:val="en-AU"/>
              </w:rPr>
            </w:pPr>
            <w:r w:rsidRPr="003C63AC">
              <w:rPr>
                <w:rFonts w:asciiTheme="majorHAnsi" w:hAnsiTheme="majorHAnsi"/>
                <w:sz w:val="18"/>
                <w:szCs w:val="22"/>
                <w:lang w:val="en-AU"/>
              </w:rPr>
              <w:t>Cumulative distribution function</w:t>
            </w:r>
          </w:p>
        </w:tc>
        <w:tc>
          <w:tcPr>
            <w:tcW w:w="7483" w:type="dxa"/>
          </w:tcPr>
          <w:p w:rsidR="000A71E6" w:rsidRPr="003C63AC" w:rsidRDefault="000A71E6" w:rsidP="000A71E6">
            <w:pPr>
              <w:pStyle w:val="BodyText"/>
              <w:spacing w:before="60" w:after="60"/>
              <w:rPr>
                <w:rFonts w:asciiTheme="majorHAnsi" w:hAnsiTheme="majorHAnsi"/>
                <w:sz w:val="18"/>
                <w:szCs w:val="22"/>
                <w:lang w:val="en-AU"/>
              </w:rPr>
            </w:pPr>
            <w:r w:rsidRPr="003C63AC">
              <w:rPr>
                <w:rFonts w:asciiTheme="majorHAnsi" w:hAnsiTheme="majorHAnsi"/>
                <w:sz w:val="18"/>
                <w:szCs w:val="22"/>
                <w:lang w:val="en-AU"/>
              </w:rPr>
              <w:t>Cumulative distribution function of the normal distribution with mean (μ) and standard deviation (σ) evaluated at a point in time (year x).</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lang w:val="en-AU"/>
              </w:rPr>
              <w:t>Direct emissions</w:t>
            </w: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szCs w:val="22"/>
                <w:lang w:val="en-AU"/>
              </w:rPr>
              <w:t>Global warming effect arising from emissions of refrigerant, or any other ‘greenhouse gas’, from the equipment over its lifetime.</w:t>
            </w:r>
          </w:p>
        </w:tc>
      </w:tr>
      <w:tr w:rsidR="000A71E6" w:rsidRPr="003C63AC" w:rsidTr="000A71E6">
        <w:trPr>
          <w:trHeight w:val="342"/>
        </w:trPr>
        <w:tc>
          <w:tcPr>
            <w:tcW w:w="2230" w:type="dxa"/>
          </w:tcPr>
          <w:p w:rsidR="000A71E6" w:rsidRPr="003C63AC" w:rsidRDefault="000A71E6" w:rsidP="00615925">
            <w:pPr>
              <w:pStyle w:val="BodyText"/>
              <w:spacing w:before="60" w:after="60"/>
              <w:jc w:val="left"/>
              <w:rPr>
                <w:rFonts w:asciiTheme="majorHAnsi" w:hAnsiTheme="majorHAnsi"/>
                <w:sz w:val="18"/>
                <w:szCs w:val="22"/>
                <w:highlight w:val="yellow"/>
              </w:rPr>
            </w:pPr>
            <w:r w:rsidRPr="003C63AC">
              <w:rPr>
                <w:rFonts w:asciiTheme="majorHAnsi" w:hAnsiTheme="majorHAnsi"/>
                <w:sz w:val="18"/>
                <w:szCs w:val="22"/>
                <w:lang w:val="en-AU"/>
              </w:rPr>
              <w:t>End-of-</w:t>
            </w:r>
            <w:r w:rsidR="00615925" w:rsidRPr="003C63AC">
              <w:rPr>
                <w:rFonts w:asciiTheme="majorHAnsi" w:hAnsiTheme="majorHAnsi"/>
                <w:sz w:val="18"/>
                <w:szCs w:val="22"/>
                <w:lang w:val="en-AU"/>
              </w:rPr>
              <w:t>l</w:t>
            </w:r>
            <w:r w:rsidRPr="003C63AC">
              <w:rPr>
                <w:rFonts w:asciiTheme="majorHAnsi" w:hAnsiTheme="majorHAnsi"/>
                <w:sz w:val="18"/>
                <w:szCs w:val="22"/>
                <w:lang w:val="en-AU"/>
              </w:rPr>
              <w:t xml:space="preserve">ife </w:t>
            </w:r>
            <w:r w:rsidR="00615925" w:rsidRPr="003C63AC">
              <w:rPr>
                <w:rFonts w:asciiTheme="majorHAnsi" w:hAnsiTheme="majorHAnsi"/>
                <w:sz w:val="18"/>
                <w:szCs w:val="22"/>
                <w:lang w:val="en-AU"/>
              </w:rPr>
              <w:t>equipment</w:t>
            </w:r>
          </w:p>
        </w:tc>
        <w:tc>
          <w:tcPr>
            <w:tcW w:w="7483" w:type="dxa"/>
          </w:tcPr>
          <w:p w:rsidR="000A71E6" w:rsidRPr="003C63AC" w:rsidRDefault="000A71E6" w:rsidP="00602C64">
            <w:pPr>
              <w:pStyle w:val="BodyText"/>
              <w:spacing w:before="60" w:after="60"/>
              <w:rPr>
                <w:rFonts w:asciiTheme="majorHAnsi" w:hAnsiTheme="majorHAnsi"/>
                <w:sz w:val="18"/>
                <w:szCs w:val="22"/>
                <w:highlight w:val="yellow"/>
              </w:rPr>
            </w:pPr>
            <w:r w:rsidRPr="003C63AC">
              <w:rPr>
                <w:rFonts w:asciiTheme="majorHAnsi" w:hAnsiTheme="majorHAnsi"/>
                <w:sz w:val="18"/>
                <w:szCs w:val="22"/>
                <w:lang w:val="en-AU"/>
              </w:rPr>
              <w:t xml:space="preserve">Domestic, commercial or industrial device reaching the end of its useful lifespan.  </w:t>
            </w:r>
          </w:p>
        </w:tc>
      </w:tr>
      <w:tr w:rsidR="00602C64" w:rsidRPr="003C63AC" w:rsidTr="000A71E6">
        <w:trPr>
          <w:trHeight w:val="342"/>
        </w:trPr>
        <w:tc>
          <w:tcPr>
            <w:tcW w:w="2230" w:type="dxa"/>
          </w:tcPr>
          <w:p w:rsidR="00602C64" w:rsidRPr="003C63AC" w:rsidRDefault="00602C64" w:rsidP="00615925">
            <w:pPr>
              <w:pStyle w:val="BodyText"/>
              <w:spacing w:before="60" w:after="60"/>
              <w:jc w:val="left"/>
              <w:rPr>
                <w:rFonts w:asciiTheme="majorHAnsi" w:hAnsiTheme="majorHAnsi"/>
                <w:sz w:val="18"/>
                <w:szCs w:val="22"/>
                <w:lang w:val="en-AU"/>
              </w:rPr>
            </w:pPr>
            <w:r w:rsidRPr="003C63AC">
              <w:rPr>
                <w:rFonts w:asciiTheme="majorHAnsi" w:hAnsiTheme="majorHAnsi"/>
                <w:sz w:val="18"/>
                <w:szCs w:val="22"/>
                <w:lang w:val="en-AU"/>
              </w:rPr>
              <w:t>End- of-life (EOL) emissions</w:t>
            </w:r>
          </w:p>
        </w:tc>
        <w:tc>
          <w:tcPr>
            <w:tcW w:w="7483" w:type="dxa"/>
          </w:tcPr>
          <w:p w:rsidR="00602C64" w:rsidRPr="003C63AC" w:rsidRDefault="00602C64" w:rsidP="000A71E6">
            <w:pPr>
              <w:pStyle w:val="BodyText"/>
              <w:spacing w:before="60" w:after="60"/>
              <w:rPr>
                <w:rFonts w:asciiTheme="majorHAnsi" w:hAnsiTheme="majorHAnsi"/>
                <w:sz w:val="18"/>
                <w:szCs w:val="22"/>
                <w:lang w:val="en-AU"/>
              </w:rPr>
            </w:pPr>
            <w:r w:rsidRPr="003C63AC">
              <w:rPr>
                <w:rFonts w:asciiTheme="majorHAnsi" w:hAnsiTheme="majorHAnsi"/>
                <w:sz w:val="18"/>
                <w:szCs w:val="22"/>
                <w:lang w:val="en-AU"/>
              </w:rPr>
              <w:t>End- of-life (EOL) emissions are direct emissions from ozone depleting substance (ODS) and synthetic greenhouse gases (SGG) refrigerants not recovered for destruction or reclamation.</w:t>
            </w:r>
          </w:p>
        </w:tc>
      </w:tr>
      <w:tr w:rsidR="00AD156C" w:rsidRPr="003C63AC" w:rsidTr="000A71E6">
        <w:trPr>
          <w:trHeight w:val="342"/>
        </w:trPr>
        <w:tc>
          <w:tcPr>
            <w:tcW w:w="2230" w:type="dxa"/>
          </w:tcPr>
          <w:p w:rsidR="00AD156C" w:rsidRPr="003C63AC" w:rsidRDefault="00AD156C" w:rsidP="00AD156C">
            <w:pPr>
              <w:pStyle w:val="BodyText"/>
              <w:spacing w:before="60" w:after="60"/>
              <w:jc w:val="left"/>
              <w:rPr>
                <w:rFonts w:asciiTheme="majorHAnsi" w:hAnsiTheme="majorHAnsi"/>
                <w:sz w:val="18"/>
                <w:szCs w:val="22"/>
                <w:lang w:val="en-AU"/>
              </w:rPr>
            </w:pPr>
            <w:r w:rsidRPr="003C63AC">
              <w:rPr>
                <w:rFonts w:asciiTheme="majorHAnsi" w:hAnsiTheme="majorHAnsi"/>
                <w:sz w:val="18"/>
                <w:szCs w:val="22"/>
                <w:lang w:val="en-AU"/>
              </w:rPr>
              <w:t>End-of-life vehicles (Assignment definition)</w:t>
            </w:r>
          </w:p>
        </w:tc>
        <w:tc>
          <w:tcPr>
            <w:tcW w:w="7483" w:type="dxa"/>
          </w:tcPr>
          <w:p w:rsidR="00AD156C" w:rsidRPr="003C63AC" w:rsidRDefault="00AD156C" w:rsidP="00AD156C">
            <w:pPr>
              <w:pStyle w:val="BodyText"/>
              <w:spacing w:before="60" w:after="60"/>
              <w:rPr>
                <w:rFonts w:asciiTheme="majorHAnsi" w:hAnsiTheme="majorHAnsi"/>
                <w:sz w:val="18"/>
                <w:szCs w:val="22"/>
                <w:lang w:val="en-AU"/>
              </w:rPr>
            </w:pPr>
            <w:r w:rsidRPr="003C63AC">
              <w:rPr>
                <w:rFonts w:asciiTheme="majorHAnsi" w:hAnsiTheme="majorHAnsi"/>
                <w:sz w:val="18"/>
                <w:szCs w:val="22"/>
                <w:lang w:val="en-AU"/>
              </w:rPr>
              <w:t>Passenger and light commercial vehicles with a gross vehicle mass less than 3.5 tonnes that have been de-registered according to the State and Territory motor vehicle registration authorities (i.e. assumes a one month period of grace with renewals).</w:t>
            </w:r>
          </w:p>
        </w:tc>
      </w:tr>
      <w:tr w:rsidR="00615925" w:rsidRPr="003C63AC" w:rsidTr="000A71E6">
        <w:trPr>
          <w:trHeight w:val="342"/>
        </w:trPr>
        <w:tc>
          <w:tcPr>
            <w:tcW w:w="2230" w:type="dxa"/>
          </w:tcPr>
          <w:p w:rsidR="00615925" w:rsidRPr="003C63AC" w:rsidRDefault="00161723" w:rsidP="00161723">
            <w:pPr>
              <w:pStyle w:val="BodyText"/>
              <w:spacing w:before="60" w:after="60"/>
              <w:jc w:val="left"/>
              <w:rPr>
                <w:rFonts w:asciiTheme="majorHAnsi" w:hAnsiTheme="majorHAnsi"/>
                <w:sz w:val="18"/>
                <w:szCs w:val="22"/>
              </w:rPr>
            </w:pPr>
            <w:r w:rsidRPr="003C63AC">
              <w:rPr>
                <w:rFonts w:asciiTheme="majorHAnsi" w:hAnsiTheme="majorHAnsi"/>
                <w:sz w:val="18"/>
                <w:szCs w:val="22"/>
                <w:lang w:val="en-AU"/>
              </w:rPr>
              <w:t xml:space="preserve">End-of-life vehicles </w:t>
            </w:r>
            <w:r w:rsidR="00615925" w:rsidRPr="003C63AC">
              <w:rPr>
                <w:rFonts w:asciiTheme="majorHAnsi" w:hAnsiTheme="majorHAnsi"/>
                <w:sz w:val="18"/>
                <w:szCs w:val="22"/>
              </w:rPr>
              <w:t xml:space="preserve">         (EC Directive</w:t>
            </w:r>
            <w:r w:rsidRPr="003C63AC">
              <w:rPr>
                <w:rFonts w:asciiTheme="majorHAnsi" w:hAnsiTheme="majorHAnsi"/>
                <w:sz w:val="18"/>
                <w:szCs w:val="22"/>
              </w:rPr>
              <w:t>s</w:t>
            </w:r>
            <w:r w:rsidR="00506C94" w:rsidRPr="003C63AC">
              <w:rPr>
                <w:rFonts w:asciiTheme="majorHAnsi" w:hAnsiTheme="majorHAnsi"/>
                <w:sz w:val="18"/>
                <w:szCs w:val="22"/>
              </w:rPr>
              <w:t xml:space="preserve"> definition</w:t>
            </w:r>
            <w:r w:rsidR="00615925" w:rsidRPr="003C63AC">
              <w:rPr>
                <w:rFonts w:asciiTheme="majorHAnsi" w:hAnsiTheme="majorHAnsi"/>
                <w:sz w:val="18"/>
                <w:szCs w:val="22"/>
              </w:rPr>
              <w:t>)</w:t>
            </w:r>
          </w:p>
        </w:tc>
        <w:tc>
          <w:tcPr>
            <w:tcW w:w="7483" w:type="dxa"/>
          </w:tcPr>
          <w:p w:rsidR="00506C94" w:rsidRPr="003C63AC" w:rsidRDefault="00615925" w:rsidP="00506C94">
            <w:pPr>
              <w:pStyle w:val="BodyText"/>
              <w:spacing w:before="60" w:after="60"/>
              <w:rPr>
                <w:rFonts w:asciiTheme="majorHAnsi" w:hAnsiTheme="majorHAnsi"/>
                <w:sz w:val="18"/>
                <w:szCs w:val="22"/>
                <w:lang w:val="en-AU"/>
              </w:rPr>
            </w:pPr>
            <w:r w:rsidRPr="003C63AC">
              <w:rPr>
                <w:rFonts w:asciiTheme="majorHAnsi" w:hAnsiTheme="majorHAnsi"/>
                <w:sz w:val="18"/>
                <w:szCs w:val="22"/>
                <w:lang w:val="en-AU"/>
              </w:rPr>
              <w:t xml:space="preserve">The ELV-Directive (2000/53/EC) applies to vehicles and end-of-life vehicles, and the </w:t>
            </w:r>
            <w:r w:rsidR="00161723" w:rsidRPr="003C63AC">
              <w:rPr>
                <w:rFonts w:asciiTheme="majorHAnsi" w:hAnsiTheme="majorHAnsi"/>
                <w:sz w:val="18"/>
                <w:szCs w:val="22"/>
                <w:lang w:val="en-AU"/>
              </w:rPr>
              <w:t xml:space="preserve">‘end-of life vehicle’ means a vehicle </w:t>
            </w:r>
            <w:r w:rsidR="00161723" w:rsidRPr="00AD4F11">
              <w:rPr>
                <w:rFonts w:asciiTheme="majorHAnsi" w:hAnsiTheme="majorHAnsi"/>
                <w:sz w:val="18"/>
                <w:szCs w:val="22"/>
                <w:lang w:val="en-AU"/>
              </w:rPr>
              <w:t>as defined by nominated categories of vehicles types</w:t>
            </w:r>
            <w:r w:rsidR="00506C94" w:rsidRPr="00AD4F11">
              <w:rPr>
                <w:rFonts w:asciiTheme="majorHAnsi" w:hAnsiTheme="majorHAnsi"/>
                <w:sz w:val="18"/>
                <w:szCs w:val="22"/>
                <w:lang w:val="en-AU"/>
              </w:rPr>
              <w:t xml:space="preserve"> listed in the Directive</w:t>
            </w:r>
            <w:r w:rsidR="00161723" w:rsidRPr="005728F4">
              <w:rPr>
                <w:rFonts w:asciiTheme="majorHAnsi" w:hAnsiTheme="majorHAnsi"/>
                <w:sz w:val="18"/>
                <w:szCs w:val="22"/>
                <w:lang w:val="en-AU"/>
              </w:rPr>
              <w:t xml:space="preserve">. </w:t>
            </w:r>
            <w:r w:rsidR="00506C94" w:rsidRPr="000F5EF8">
              <w:rPr>
                <w:rFonts w:asciiTheme="majorHAnsi" w:hAnsiTheme="majorHAnsi"/>
                <w:sz w:val="18"/>
                <w:szCs w:val="22"/>
                <w:lang w:val="en-AU"/>
              </w:rPr>
              <w:t xml:space="preserve">An </w:t>
            </w:r>
            <w:r w:rsidR="00161723" w:rsidRPr="004F1732">
              <w:rPr>
                <w:rFonts w:asciiTheme="majorHAnsi" w:hAnsiTheme="majorHAnsi"/>
                <w:sz w:val="18"/>
                <w:szCs w:val="22"/>
                <w:lang w:val="en-AU"/>
              </w:rPr>
              <w:t xml:space="preserve">End-of-life vehicle </w:t>
            </w:r>
            <w:r w:rsidR="00506C94" w:rsidRPr="004F1732">
              <w:rPr>
                <w:rFonts w:asciiTheme="majorHAnsi" w:hAnsiTheme="majorHAnsi"/>
                <w:sz w:val="18"/>
                <w:szCs w:val="22"/>
                <w:lang w:val="en-AU"/>
              </w:rPr>
              <w:t xml:space="preserve">is considered </w:t>
            </w:r>
            <w:r w:rsidR="00161723" w:rsidRPr="00AD02ED">
              <w:rPr>
                <w:rFonts w:asciiTheme="majorHAnsi" w:hAnsiTheme="majorHAnsi"/>
                <w:sz w:val="18"/>
                <w:szCs w:val="22"/>
                <w:lang w:val="en-AU"/>
              </w:rPr>
              <w:t xml:space="preserve">waste </w:t>
            </w:r>
            <w:r w:rsidR="00506C94" w:rsidRPr="00D357AA">
              <w:rPr>
                <w:rFonts w:asciiTheme="majorHAnsi" w:hAnsiTheme="majorHAnsi"/>
                <w:sz w:val="18"/>
                <w:szCs w:val="22"/>
                <w:lang w:val="en-AU"/>
              </w:rPr>
              <w:t xml:space="preserve">and </w:t>
            </w:r>
            <w:r w:rsidR="00161723" w:rsidRPr="00920E28">
              <w:rPr>
                <w:rFonts w:asciiTheme="majorHAnsi" w:hAnsiTheme="majorHAnsi"/>
                <w:sz w:val="18"/>
                <w:szCs w:val="22"/>
                <w:lang w:val="en-AU"/>
              </w:rPr>
              <w:t xml:space="preserve">is defined in the Waste Framework Directive (2008/98/EC). The </w:t>
            </w:r>
            <w:r w:rsidR="00506C94" w:rsidRPr="003C63AC">
              <w:rPr>
                <w:rFonts w:asciiTheme="majorHAnsi" w:hAnsiTheme="majorHAnsi"/>
                <w:sz w:val="18"/>
                <w:szCs w:val="22"/>
                <w:lang w:val="en-AU"/>
              </w:rPr>
              <w:t xml:space="preserve">Waste </w:t>
            </w:r>
            <w:r w:rsidR="00161723" w:rsidRPr="003C63AC">
              <w:rPr>
                <w:rFonts w:asciiTheme="majorHAnsi" w:hAnsiTheme="majorHAnsi"/>
                <w:sz w:val="18"/>
                <w:szCs w:val="22"/>
                <w:lang w:val="en-AU"/>
              </w:rPr>
              <w:t xml:space="preserve">Directive provides guidance on the distinction between waste vehicles and used vehicles. A </w:t>
            </w:r>
            <w:r w:rsidR="00506C94" w:rsidRPr="003C63AC">
              <w:rPr>
                <w:rFonts w:asciiTheme="majorHAnsi" w:hAnsiTheme="majorHAnsi"/>
                <w:sz w:val="18"/>
                <w:szCs w:val="22"/>
                <w:lang w:val="en-AU"/>
              </w:rPr>
              <w:t xml:space="preserve">used </w:t>
            </w:r>
            <w:r w:rsidR="00161723" w:rsidRPr="003C63AC">
              <w:rPr>
                <w:rFonts w:asciiTheme="majorHAnsi" w:hAnsiTheme="majorHAnsi"/>
                <w:sz w:val="18"/>
                <w:szCs w:val="22"/>
                <w:lang w:val="en-AU"/>
              </w:rPr>
              <w:t>vehicles should be classed as waste if at least one of the following criteria applies:</w:t>
            </w:r>
            <w:r w:rsidR="00506C94" w:rsidRPr="003C63AC">
              <w:rPr>
                <w:rFonts w:asciiTheme="majorHAnsi" w:hAnsiTheme="majorHAnsi"/>
                <w:sz w:val="18"/>
                <w:szCs w:val="22"/>
                <w:lang w:val="en-AU"/>
              </w:rPr>
              <w:t xml:space="preserve"> </w:t>
            </w:r>
          </w:p>
          <w:p w:rsidR="00506C94" w:rsidRPr="003C63AC" w:rsidRDefault="00506C94" w:rsidP="00506C94">
            <w:pPr>
              <w:pStyle w:val="BodyText"/>
              <w:spacing w:before="60" w:after="60"/>
              <w:rPr>
                <w:rFonts w:asciiTheme="majorHAnsi" w:hAnsiTheme="majorHAnsi"/>
                <w:sz w:val="18"/>
                <w:szCs w:val="22"/>
                <w:lang w:val="en-AU"/>
              </w:rPr>
            </w:pPr>
            <w:r w:rsidRPr="003C63AC">
              <w:rPr>
                <w:rFonts w:asciiTheme="majorHAnsi" w:hAnsiTheme="majorHAnsi"/>
                <w:sz w:val="18"/>
                <w:szCs w:val="22"/>
                <w:lang w:val="en-AU"/>
              </w:rPr>
              <w:t>a. The vehicle is destined for dismantling and reuse of spare parts or for shredding/scrapping;</w:t>
            </w:r>
          </w:p>
          <w:p w:rsidR="00506C94" w:rsidRPr="003C63AC" w:rsidRDefault="00506C94" w:rsidP="00506C94">
            <w:pPr>
              <w:pStyle w:val="BodyText"/>
              <w:spacing w:before="60" w:after="60"/>
              <w:rPr>
                <w:rFonts w:asciiTheme="majorHAnsi" w:hAnsiTheme="majorHAnsi"/>
                <w:sz w:val="18"/>
                <w:szCs w:val="22"/>
                <w:lang w:val="en-AU"/>
              </w:rPr>
            </w:pPr>
            <w:r w:rsidRPr="003C63AC">
              <w:rPr>
                <w:rFonts w:asciiTheme="majorHAnsi" w:hAnsiTheme="majorHAnsi"/>
                <w:sz w:val="18"/>
                <w:szCs w:val="22"/>
                <w:lang w:val="en-AU"/>
              </w:rPr>
              <w:t>b. The vehicle is cut into pieces (e.g. two halves), welded up or closed by an insulating foam (only by breaking open the waste vehicle can be made roadworthy) and/or used as “container” for spare parts or wastes;</w:t>
            </w:r>
          </w:p>
          <w:p w:rsidR="00506C94" w:rsidRPr="003C63AC" w:rsidRDefault="00506C94" w:rsidP="00506C94">
            <w:pPr>
              <w:pStyle w:val="BodyText"/>
              <w:spacing w:before="60" w:after="60"/>
              <w:rPr>
                <w:rFonts w:asciiTheme="majorHAnsi" w:hAnsiTheme="majorHAnsi"/>
                <w:sz w:val="18"/>
                <w:szCs w:val="22"/>
                <w:lang w:val="en-AU"/>
              </w:rPr>
            </w:pPr>
            <w:r w:rsidRPr="003C63AC">
              <w:rPr>
                <w:rFonts w:asciiTheme="majorHAnsi" w:hAnsiTheme="majorHAnsi"/>
                <w:sz w:val="18"/>
                <w:szCs w:val="22"/>
                <w:lang w:val="en-AU"/>
              </w:rPr>
              <w:t>c. The vehicle stems from a waste collection or waste treatment system;</w:t>
            </w:r>
          </w:p>
          <w:p w:rsidR="00506C94" w:rsidRPr="003C63AC" w:rsidRDefault="00506C94" w:rsidP="00506C94">
            <w:pPr>
              <w:pStyle w:val="BodyText"/>
              <w:spacing w:before="60" w:after="60"/>
              <w:rPr>
                <w:rFonts w:asciiTheme="majorHAnsi" w:hAnsiTheme="majorHAnsi"/>
                <w:sz w:val="18"/>
                <w:szCs w:val="22"/>
                <w:lang w:val="en-AU"/>
              </w:rPr>
            </w:pPr>
            <w:r w:rsidRPr="003C63AC">
              <w:rPr>
                <w:rFonts w:asciiTheme="majorHAnsi" w:hAnsiTheme="majorHAnsi"/>
                <w:sz w:val="18"/>
                <w:szCs w:val="22"/>
                <w:lang w:val="en-AU"/>
              </w:rPr>
              <w:t>d. The vehicle is a write-off /is not suitable for minor repair /has badly damaged essential parts (as a result of an accident, for example) or has no “Vehicle is repairable” certification where a competent authority has requested it;</w:t>
            </w:r>
          </w:p>
          <w:p w:rsidR="00161723" w:rsidRPr="003C63AC" w:rsidRDefault="00506C94" w:rsidP="00506C94">
            <w:pPr>
              <w:pStyle w:val="BodyText"/>
              <w:spacing w:before="60" w:after="60"/>
              <w:rPr>
                <w:rFonts w:asciiTheme="majorHAnsi" w:hAnsiTheme="majorHAnsi"/>
                <w:sz w:val="18"/>
                <w:szCs w:val="22"/>
                <w:lang w:val="en-AU"/>
              </w:rPr>
            </w:pPr>
            <w:r w:rsidRPr="003C63AC">
              <w:rPr>
                <w:rFonts w:asciiTheme="majorHAnsi" w:hAnsiTheme="majorHAnsi"/>
                <w:sz w:val="18"/>
                <w:szCs w:val="22"/>
                <w:lang w:val="en-AU"/>
              </w:rPr>
              <w:t>e. The existence of a certificate of destruction.</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rPr>
              <w:t>Equivalent Carbon Price (ECP)</w:t>
            </w: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szCs w:val="22"/>
                <w:lang w:val="en-AU"/>
              </w:rPr>
              <w:t>Under the Australian Government's Clean Energy Future Plan, synthetic greenhouse gases list</w:t>
            </w:r>
            <w:r w:rsidR="0029245A">
              <w:rPr>
                <w:rFonts w:asciiTheme="majorHAnsi" w:hAnsiTheme="majorHAnsi"/>
                <w:sz w:val="18"/>
                <w:szCs w:val="22"/>
                <w:lang w:val="en-AU"/>
              </w:rPr>
              <w:t>ed under the Kyoto Protocol had</w:t>
            </w:r>
            <w:r w:rsidRPr="003C63AC">
              <w:rPr>
                <w:rFonts w:asciiTheme="majorHAnsi" w:hAnsiTheme="majorHAnsi"/>
                <w:sz w:val="18"/>
                <w:szCs w:val="22"/>
                <w:lang w:val="en-AU"/>
              </w:rPr>
              <w:t xml:space="preserve"> an equivalent carbon price applied through the Ozone Protection and Synthetic Greenhouse Gas Management legislation</w:t>
            </w:r>
            <w:r w:rsidR="0029245A">
              <w:rPr>
                <w:rFonts w:asciiTheme="majorHAnsi" w:hAnsiTheme="majorHAnsi"/>
                <w:sz w:val="18"/>
                <w:szCs w:val="22"/>
                <w:lang w:val="en-AU"/>
              </w:rPr>
              <w:t xml:space="preserve"> from July 2012 through to June 2014. Gases covered </w:t>
            </w:r>
            <w:r w:rsidRPr="003C63AC">
              <w:rPr>
                <w:rFonts w:asciiTheme="majorHAnsi" w:hAnsiTheme="majorHAnsi"/>
                <w:sz w:val="18"/>
                <w:szCs w:val="22"/>
                <w:lang w:val="en-AU"/>
              </w:rPr>
              <w:t>include</w:t>
            </w:r>
            <w:r w:rsidR="0029245A">
              <w:rPr>
                <w:rFonts w:asciiTheme="majorHAnsi" w:hAnsiTheme="majorHAnsi"/>
                <w:sz w:val="18"/>
                <w:szCs w:val="22"/>
                <w:lang w:val="en-AU"/>
              </w:rPr>
              <w:t>d</w:t>
            </w:r>
            <w:r w:rsidRPr="003C63AC">
              <w:rPr>
                <w:rFonts w:asciiTheme="majorHAnsi" w:hAnsiTheme="majorHAnsi"/>
                <w:sz w:val="18"/>
                <w:szCs w:val="22"/>
                <w:lang w:val="en-AU"/>
              </w:rPr>
              <w:t xml:space="preserve"> hydrofluorocarbons, perfluorocarbons (excluding gases produced from </w:t>
            </w:r>
            <w:r w:rsidRPr="003C63AC">
              <w:rPr>
                <w:rFonts w:asciiTheme="majorHAnsi" w:hAnsiTheme="majorHAnsi"/>
                <w:sz w:val="18"/>
                <w:szCs w:val="22"/>
                <w:lang w:val="en-AU"/>
              </w:rPr>
              <w:lastRenderedPageBreak/>
              <w:t xml:space="preserve">aluminium smelting) and </w:t>
            </w:r>
            <w:r w:rsidR="003C63AC" w:rsidRPr="003C63AC">
              <w:rPr>
                <w:rFonts w:asciiTheme="majorHAnsi" w:hAnsiTheme="majorHAnsi"/>
                <w:sz w:val="18"/>
                <w:szCs w:val="22"/>
                <w:lang w:val="en-AU"/>
              </w:rPr>
              <w:t>sulphur</w:t>
            </w:r>
            <w:r w:rsidRPr="003C63AC">
              <w:rPr>
                <w:rFonts w:asciiTheme="majorHAnsi" w:hAnsiTheme="majorHAnsi"/>
                <w:sz w:val="18"/>
                <w:szCs w:val="22"/>
                <w:lang w:val="en-AU"/>
              </w:rPr>
              <w:t xml:space="preserve"> hexafluoride, whether in bulk form or contained in equipment.</w:t>
            </w:r>
          </w:p>
        </w:tc>
      </w:tr>
      <w:tr w:rsidR="006E4CCB" w:rsidRPr="003C63AC" w:rsidTr="000A71E6">
        <w:trPr>
          <w:trHeight w:val="342"/>
        </w:trPr>
        <w:tc>
          <w:tcPr>
            <w:tcW w:w="2230" w:type="dxa"/>
          </w:tcPr>
          <w:p w:rsidR="006E4CCB" w:rsidRPr="003C63AC" w:rsidRDefault="006E4CCB" w:rsidP="006E4CCB">
            <w:pPr>
              <w:pStyle w:val="BodyText"/>
              <w:spacing w:before="60" w:after="60"/>
              <w:jc w:val="left"/>
              <w:rPr>
                <w:rFonts w:asciiTheme="majorHAnsi" w:hAnsiTheme="majorHAnsi"/>
                <w:sz w:val="18"/>
                <w:szCs w:val="22"/>
              </w:rPr>
            </w:pPr>
            <w:r w:rsidRPr="003C63AC">
              <w:rPr>
                <w:rFonts w:asciiTheme="majorHAnsi" w:hAnsiTheme="majorHAnsi"/>
                <w:sz w:val="18"/>
                <w:szCs w:val="22"/>
              </w:rPr>
              <w:lastRenderedPageBreak/>
              <w:t>Equivalent refrigerant charge</w:t>
            </w:r>
          </w:p>
        </w:tc>
        <w:tc>
          <w:tcPr>
            <w:tcW w:w="7483" w:type="dxa"/>
          </w:tcPr>
          <w:p w:rsidR="006E4CCB" w:rsidRPr="003C63AC" w:rsidRDefault="006E4CCB" w:rsidP="004D498D">
            <w:pPr>
              <w:pStyle w:val="BodyText"/>
              <w:spacing w:before="60" w:after="60"/>
              <w:rPr>
                <w:rFonts w:asciiTheme="majorHAnsi" w:hAnsiTheme="majorHAnsi"/>
                <w:sz w:val="18"/>
                <w:szCs w:val="22"/>
              </w:rPr>
            </w:pPr>
            <w:r w:rsidRPr="003C63AC">
              <w:rPr>
                <w:rFonts w:asciiTheme="majorHAnsi" w:hAnsiTheme="majorHAnsi"/>
                <w:sz w:val="18"/>
                <w:szCs w:val="22"/>
              </w:rPr>
              <w:t xml:space="preserve">The equivalent charge size relates to the amount of </w:t>
            </w:r>
            <w:r w:rsidR="00602C64">
              <w:rPr>
                <w:rFonts w:asciiTheme="majorHAnsi" w:hAnsiTheme="majorHAnsi"/>
                <w:sz w:val="18"/>
                <w:szCs w:val="22"/>
              </w:rPr>
              <w:t>h</w:t>
            </w:r>
            <w:r w:rsidRPr="003C63AC">
              <w:rPr>
                <w:rFonts w:asciiTheme="majorHAnsi" w:hAnsiTheme="majorHAnsi"/>
                <w:sz w:val="18"/>
                <w:szCs w:val="22"/>
              </w:rPr>
              <w:t>igh GWP HFC that is used or will be displaced by an alternative refrigerant, not the actual charge of the lower GWP refrigerant which can be up to 30</w:t>
            </w:r>
            <w:r w:rsidR="004D498D">
              <w:rPr>
                <w:rFonts w:asciiTheme="majorHAnsi" w:hAnsiTheme="majorHAnsi"/>
                <w:sz w:val="18"/>
                <w:szCs w:val="22"/>
              </w:rPr>
              <w:t xml:space="preserve"> per cent</w:t>
            </w:r>
            <w:r w:rsidRPr="003C63AC">
              <w:rPr>
                <w:rFonts w:asciiTheme="majorHAnsi" w:hAnsiTheme="majorHAnsi"/>
                <w:sz w:val="18"/>
                <w:szCs w:val="22"/>
              </w:rPr>
              <w:t xml:space="preserve"> less. This also represents a worst case scenario in GWP terms. Refer refrigerant charge in glossary.</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rPr>
              <w:t>Gas</w:t>
            </w: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szCs w:val="22"/>
              </w:rPr>
              <w:t>A general term used throughout this report, referring to ozone depleting substances, synthetic greenhouse gases and natural refrigerants. The term can refer to refrigerants when the substance is used as a working fluid in equipment or used in other applications.</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rPr>
              <w:t>Gas Species</w:t>
            </w: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szCs w:val="22"/>
              </w:rPr>
              <w:t>A gas species is defined as a refrigerant category based on its chemical family. For example CFCs, HCFCs and HFCs are all synthetic gases and are defined as different gas species. Similarly Hydrocarbon refrigerant is another gas species, and HC-600a, HC-290 and HC-436 (a blend of HC-600a and HC-290) refrigerants are all part of this family. Other gas species include anhydrous ammonia and Carbon Dioxide.</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rPr>
              <w:t>Global Warming Potential (GWP)</w:t>
            </w:r>
          </w:p>
          <w:p w:rsidR="000A71E6" w:rsidRPr="003C63AC" w:rsidRDefault="000A71E6" w:rsidP="000A71E6">
            <w:pPr>
              <w:pStyle w:val="BodyText"/>
              <w:spacing w:before="60" w:after="60"/>
              <w:jc w:val="left"/>
              <w:rPr>
                <w:rFonts w:asciiTheme="majorHAnsi" w:hAnsiTheme="majorHAnsi"/>
                <w:sz w:val="18"/>
                <w:szCs w:val="22"/>
              </w:rPr>
            </w:pP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szCs w:val="22"/>
              </w:rPr>
              <w:t xml:space="preserve">A relative index that enables comparison of the climate effect of various greenhouse gases (and other climate changing agents). Carbon dioxide, the greenhouse gas that causes the greatest radiative forcing because of its abundance is used as the reference gas. GWP is also defined as an index based on the radiative forcing of a pulsed injection of a unit mass of a given </w:t>
            </w:r>
            <w:r w:rsidR="003C63AC" w:rsidRPr="003C63AC">
              <w:rPr>
                <w:rFonts w:asciiTheme="majorHAnsi" w:hAnsiTheme="majorHAnsi"/>
                <w:sz w:val="18"/>
                <w:szCs w:val="22"/>
              </w:rPr>
              <w:t>well-mixed</w:t>
            </w:r>
            <w:r w:rsidRPr="003C63AC">
              <w:rPr>
                <w:rFonts w:asciiTheme="majorHAnsi" w:hAnsiTheme="majorHAnsi"/>
                <w:sz w:val="18"/>
                <w:szCs w:val="22"/>
              </w:rPr>
              <w:t xml:space="preserve"> greenhouse gas in the present-day atmosphere, integrated over a chosen time horizon, relative to the radiative forcing of carbon dioxide over the same time horizon. The GWPs represent the combined effect of the differing atmospheric lifetimes (i.e. how long these gases remain in the atmosphere) and their relative effectiveness in absorbing outgoing thermal infrared radiation. The Kyoto Protocol is based on GWPs from pulse emissions over a 100-year time frame.</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rPr>
              <w:t>Greenhouse Gases (GHG)</w:t>
            </w: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rPr>
              <w:t>The Kyoto Protocol covers emissions of the six main greenhouse gases, namely Carbon dioxide (CO</w:t>
            </w:r>
            <w:r w:rsidRPr="003C63AC">
              <w:rPr>
                <w:rFonts w:asciiTheme="majorHAnsi" w:hAnsiTheme="majorHAnsi"/>
                <w:sz w:val="18"/>
                <w:vertAlign w:val="subscript"/>
              </w:rPr>
              <w:t>2</w:t>
            </w:r>
            <w:r w:rsidRPr="003C63AC">
              <w:rPr>
                <w:rFonts w:asciiTheme="majorHAnsi" w:hAnsiTheme="majorHAnsi"/>
                <w:sz w:val="18"/>
              </w:rPr>
              <w:t>); Methane (CH</w:t>
            </w:r>
            <w:r w:rsidRPr="003C63AC">
              <w:rPr>
                <w:rFonts w:asciiTheme="majorHAnsi" w:hAnsiTheme="majorHAnsi"/>
                <w:sz w:val="18"/>
                <w:vertAlign w:val="subscript"/>
              </w:rPr>
              <w:t>4</w:t>
            </w:r>
            <w:r w:rsidRPr="003C63AC">
              <w:rPr>
                <w:rFonts w:asciiTheme="majorHAnsi" w:hAnsiTheme="majorHAnsi"/>
                <w:sz w:val="18"/>
              </w:rPr>
              <w:t>); Nitrous oxide (N</w:t>
            </w:r>
            <w:r w:rsidRPr="003C63AC">
              <w:rPr>
                <w:rFonts w:asciiTheme="majorHAnsi" w:hAnsiTheme="majorHAnsi"/>
                <w:sz w:val="18"/>
                <w:vertAlign w:val="subscript"/>
              </w:rPr>
              <w:t>2</w:t>
            </w:r>
            <w:r w:rsidRPr="003C63AC">
              <w:rPr>
                <w:rFonts w:asciiTheme="majorHAnsi" w:hAnsiTheme="majorHAnsi"/>
                <w:sz w:val="18"/>
              </w:rPr>
              <w:t xml:space="preserve">O); Hydrofluorocarbons (HFCs); Perfluorocarbons (PFCs); and </w:t>
            </w:r>
            <w:r w:rsidR="003C63AC" w:rsidRPr="003C63AC">
              <w:rPr>
                <w:rFonts w:asciiTheme="majorHAnsi" w:hAnsiTheme="majorHAnsi"/>
                <w:sz w:val="18"/>
                <w:lang w:val="en-AU"/>
              </w:rPr>
              <w:t>Sulphur</w:t>
            </w:r>
            <w:r w:rsidRPr="003C63AC">
              <w:rPr>
                <w:rFonts w:asciiTheme="majorHAnsi" w:hAnsiTheme="majorHAnsi"/>
                <w:sz w:val="18"/>
              </w:rPr>
              <w:t xml:space="preserve"> hexafluoride (SF</w:t>
            </w:r>
            <w:r w:rsidRPr="003C63AC">
              <w:rPr>
                <w:rFonts w:asciiTheme="majorHAnsi" w:hAnsiTheme="majorHAnsi"/>
                <w:sz w:val="18"/>
                <w:vertAlign w:val="subscript"/>
              </w:rPr>
              <w:t>6</w:t>
            </w:r>
            <w:r w:rsidRPr="003C63AC">
              <w:rPr>
                <w:rFonts w:asciiTheme="majorHAnsi" w:hAnsiTheme="majorHAnsi"/>
                <w:sz w:val="18"/>
              </w:rPr>
              <w:t>). The scope of this study covers the equivalent in carbon dioxide due to indirect emissions from electricity generation, and direct emissions from HFCs.</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rPr>
              <w:t>Hydrocarbons (HCs)</w:t>
            </w: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rPr>
              <w:t>The term hydrocarbon refers to the main types and blends in use in Australia including HC-600a, HC-290 and HC-436 (a blend of HC-600a and HC-290). HC-600a is the preferred hydrocarbon refrigerant in domestic refrigeration applications as it is suited to both refrigerator and freezer applications. HC-290 is the preferred hydrocarbon option for non-domestic stationary applications as its performance characteristics are more suited to medium temperature applications (i.e. greater than zero degrees Celsius). HC-436 is a hydrocarbon blend that is commonly used in mobile air conditioning retrofit applications.</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rPr>
              <w:t>Hydrochlorofluorocarbons (HCFCs)</w:t>
            </w: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szCs w:val="22"/>
              </w:rPr>
              <w:t>Chemicals that contains hydrogen, fluorine, chlorine, and carbon. They deplete the ozone layer, but have less potency compared to CFCs. Many HCFCs are potent greenhouse gases. HCFC-22 is the most common refrigerant in the Australian refrigerant bank.</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rPr>
              <w:t>Hydrofluorocarbons (HFCs)</w:t>
            </w: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szCs w:val="22"/>
              </w:rPr>
              <w:t>Chemicals that contain hydrogen, fluorine, and carbon. They do not deplete the ozone layer and have been used as substitutes for CFCs and HCFCs. Many HFCs are potent greenhouse gases.</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rPr>
              <w:t>Hydrofluoro-olefins (HFOs), and HFO blends</w:t>
            </w: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szCs w:val="22"/>
              </w:rPr>
              <w:t xml:space="preserve">Chemicals known as hydrofluoro-olefins that contain hydrogen, fluorine, and carbon, and are described as unsaturated HFCs. They do not deplete the ozone layer and have very low GWP values. For example HFO-1234yf, with a GWP of 4 and HFO-1234ze with a GWP of 6. Refer </w:t>
            </w:r>
            <w:r w:rsidRPr="003C63AC">
              <w:rPr>
                <w:rFonts w:asciiTheme="majorHAnsi" w:hAnsiTheme="majorHAnsi"/>
                <w:i/>
                <w:sz w:val="18"/>
                <w:szCs w:val="22"/>
              </w:rPr>
              <w:t>Section 3.4</w:t>
            </w:r>
            <w:r w:rsidRPr="003C63AC">
              <w:rPr>
                <w:rFonts w:asciiTheme="majorHAnsi" w:hAnsiTheme="majorHAnsi"/>
                <w:sz w:val="18"/>
                <w:szCs w:val="22"/>
              </w:rPr>
              <w:t xml:space="preserve"> for further details.</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rPr>
              <w:t>Kyoto Protocol</w:t>
            </w: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szCs w:val="22"/>
              </w:rPr>
              <w:t xml:space="preserve">The Kyoto Protocol sets binding emissions limits for the six greenhouse gases listed in the Protocol. The Australian Government is committed to reducing emissions of the six main greenhouse gases, which includes the synthetic greenhouse gases (SGGs) listed under the Kyoto Protocol, including hydrofluorocarbons (HFCs), perfluorocarbons (PFCs) and </w:t>
            </w:r>
            <w:r w:rsidR="003C63AC" w:rsidRPr="003C63AC">
              <w:rPr>
                <w:rFonts w:asciiTheme="majorHAnsi" w:hAnsiTheme="majorHAnsi"/>
                <w:sz w:val="18"/>
                <w:szCs w:val="22"/>
                <w:lang w:val="en-AU"/>
              </w:rPr>
              <w:t>sulphur</w:t>
            </w:r>
            <w:r w:rsidRPr="003C63AC">
              <w:rPr>
                <w:rFonts w:asciiTheme="majorHAnsi" w:hAnsiTheme="majorHAnsi"/>
                <w:sz w:val="18"/>
                <w:szCs w:val="22"/>
              </w:rPr>
              <w:t xml:space="preserve"> hexafluoride (SF</w:t>
            </w:r>
            <w:r w:rsidRPr="003C63AC">
              <w:rPr>
                <w:rFonts w:asciiTheme="majorHAnsi" w:hAnsiTheme="majorHAnsi"/>
                <w:sz w:val="18"/>
                <w:szCs w:val="22"/>
                <w:vertAlign w:val="subscript"/>
              </w:rPr>
              <w:t>6</w:t>
            </w:r>
            <w:r w:rsidRPr="003C63AC">
              <w:rPr>
                <w:rFonts w:asciiTheme="majorHAnsi" w:hAnsiTheme="majorHAnsi"/>
                <w:sz w:val="18"/>
                <w:szCs w:val="22"/>
              </w:rPr>
              <w:t xml:space="preserve">). </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rPr>
              <w:t>Low GWP substances or refrigerants</w:t>
            </w: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szCs w:val="22"/>
              </w:rPr>
              <w:t>This term can and is used to refer to both the commonly referred ‘natural’ refrigerants, HFC substances with a GWP lower than those commonly used today and the near to commercial HFOs being scaled up by the major synthetic greenhouse gas manufacturers that are sometimes referred to as low GWP HFCs.</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rPr>
              <w:t>Montreal Protocol</w:t>
            </w: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szCs w:val="22"/>
              </w:rPr>
              <w:t>The Montreal Protocol on Substances that Deplete the Ozone Layer sets binding progressive phase out obligations for developed and developing countries for all the major ozone depleting substances, including CFCs, halons and less damaging transitional chemicals such as HCFCs.</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rPr>
              <w:t>Natural refrigerants</w:t>
            </w: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szCs w:val="22"/>
              </w:rPr>
              <w:t xml:space="preserve">Hydrocarbons (R600a, R290 and R436), ammonia (R717) and carbon dioxide (R744) are commonly referred to as natural refrigerants. The term ‘natural’ implies the origin of the fluids as they occur </w:t>
            </w:r>
            <w:r w:rsidRPr="003C63AC">
              <w:rPr>
                <w:rFonts w:asciiTheme="majorHAnsi" w:hAnsiTheme="majorHAnsi"/>
                <w:sz w:val="18"/>
                <w:szCs w:val="22"/>
              </w:rPr>
              <w:lastRenderedPageBreak/>
              <w:t>in nature as a result of geological and/or biological processes, unlike fluorinated substances that are synthesised chemicals. However it has to be noted that all ‘natural’ refrigerants are refined and compressed by bulk gas manufacturers via some process and transported like other commercial gases so also have an ‘energy investment’ in their creation, storage and transport.</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rPr>
              <w:lastRenderedPageBreak/>
              <w:t>Ozone depleting substances (ODS)</w:t>
            </w:r>
          </w:p>
        </w:tc>
        <w:tc>
          <w:tcPr>
            <w:tcW w:w="7483" w:type="dxa"/>
          </w:tcPr>
          <w:p w:rsidR="000A71E6" w:rsidRPr="003C63AC" w:rsidRDefault="000A71E6" w:rsidP="00B754A0">
            <w:pPr>
              <w:pStyle w:val="BodyText"/>
              <w:spacing w:before="60" w:after="60"/>
              <w:rPr>
                <w:rFonts w:asciiTheme="majorHAnsi" w:hAnsiTheme="majorHAnsi"/>
                <w:sz w:val="18"/>
                <w:szCs w:val="22"/>
              </w:rPr>
            </w:pPr>
            <w:r w:rsidRPr="003C63AC">
              <w:rPr>
                <w:rFonts w:asciiTheme="majorHAnsi" w:hAnsiTheme="majorHAnsi"/>
                <w:sz w:val="18"/>
                <w:szCs w:val="22"/>
              </w:rPr>
              <w:t>Chemicals that deplete the ozone layer (e.g. HCFCs</w:t>
            </w:r>
            <w:r w:rsidRPr="00602C64">
              <w:rPr>
                <w:rFonts w:asciiTheme="majorHAnsi" w:hAnsiTheme="majorHAnsi"/>
                <w:sz w:val="18"/>
                <w:szCs w:val="22"/>
              </w:rPr>
              <w:t>)</w:t>
            </w:r>
            <w:r w:rsidR="00B754A0">
              <w:rPr>
                <w:rFonts w:asciiTheme="majorHAnsi" w:hAnsiTheme="majorHAnsi"/>
                <w:sz w:val="18"/>
                <w:szCs w:val="22"/>
              </w:rPr>
              <w:t xml:space="preserve"> and controlled under the Montreal Protocol</w:t>
            </w:r>
            <w:r w:rsidRPr="00602C64">
              <w:rPr>
                <w:rFonts w:asciiTheme="majorHAnsi" w:hAnsiTheme="majorHAnsi"/>
                <w:sz w:val="18"/>
                <w:szCs w:val="22"/>
              </w:rPr>
              <w:t>.</w:t>
            </w:r>
            <w:r w:rsidR="00602C64" w:rsidRPr="00602C64">
              <w:rPr>
                <w:rFonts w:asciiTheme="majorHAnsi" w:hAnsiTheme="majorHAnsi"/>
                <w:sz w:val="19"/>
                <w:szCs w:val="19"/>
              </w:rPr>
              <w:t xml:space="preserve"> The </w:t>
            </w:r>
            <w:hyperlink r:id="rId17" w:history="1">
              <w:r w:rsidR="00602C64" w:rsidRPr="00602C64">
                <w:rPr>
                  <w:rStyle w:val="Emphasis"/>
                  <w:rFonts w:asciiTheme="majorHAnsi" w:hAnsiTheme="majorHAnsi"/>
                  <w:color w:val="0062A0"/>
                  <w:sz w:val="19"/>
                  <w:szCs w:val="19"/>
                  <w:u w:val="single"/>
                </w:rPr>
                <w:t>Ozone Protection and Synthetic Greenhouse Gas Management Act 1989</w:t>
              </w:r>
            </w:hyperlink>
            <w:r w:rsidR="00602C64" w:rsidRPr="00602C64">
              <w:rPr>
                <w:rFonts w:asciiTheme="majorHAnsi" w:hAnsiTheme="majorHAnsi"/>
                <w:sz w:val="19"/>
                <w:szCs w:val="19"/>
              </w:rPr>
              <w:t xml:space="preserve"> controls the manufacture, import and export of ozone depleting substances in Australia.</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rPr>
              <w:t>Pre-charged equipment (PCE)</w:t>
            </w: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szCs w:val="22"/>
                <w:lang w:val="en-AU"/>
              </w:rPr>
              <w:t>Pre-charged equipment is defined as air conditioning equipment or refrigeration equipment (including equipment fitted to a motor vehicle) that is imported containing a hydrofluorocarbon (HFC) or hydrochlorofluorocarbon (HCFC) refrigerant charge.</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rPr>
              <w:t>RAC</w:t>
            </w: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szCs w:val="22"/>
                <w:lang w:val="en-AU"/>
              </w:rPr>
              <w:t>Refrigeration and air conditioning.</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lang w:val="en-AU"/>
              </w:rPr>
              <w:t>Recovery efficiency</w:t>
            </w: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szCs w:val="22"/>
                <w:lang w:val="en-AU"/>
              </w:rPr>
              <w:t>Proportion of refrigerant charge that is recovered from a system when it is decommissioned at the end of its useful working life. The Recovery/recycling factor has a value from 0 to 1.</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lang w:val="en-AU"/>
              </w:rPr>
              <w:t>Refrigerant</w:t>
            </w: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szCs w:val="22"/>
                <w:lang w:val="en-AU"/>
              </w:rPr>
              <w:t>Working fluid in the vapour compression refrigeration cycle.</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rPr>
              <w:t>Refrigerant bank</w:t>
            </w: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szCs w:val="22"/>
              </w:rPr>
              <w:t>The ‘bank’ of refrigerant gases is the aggregate of all compounds and substances employed as working fluids in the estimated 44 million mechanical devices using the vapour compression cycle in Australia.</w:t>
            </w:r>
          </w:p>
        </w:tc>
      </w:tr>
      <w:tr w:rsidR="00613390" w:rsidRPr="003C63AC" w:rsidTr="000A71E6">
        <w:trPr>
          <w:trHeight w:val="342"/>
        </w:trPr>
        <w:tc>
          <w:tcPr>
            <w:tcW w:w="2230" w:type="dxa"/>
          </w:tcPr>
          <w:p w:rsidR="00613390" w:rsidRPr="003C63AC" w:rsidRDefault="00613390" w:rsidP="000A71E6">
            <w:pPr>
              <w:pStyle w:val="BodyText"/>
              <w:spacing w:before="60" w:after="60"/>
              <w:jc w:val="left"/>
              <w:rPr>
                <w:rFonts w:asciiTheme="majorHAnsi" w:hAnsiTheme="majorHAnsi"/>
                <w:sz w:val="18"/>
                <w:szCs w:val="22"/>
                <w:lang w:val="en-AU"/>
              </w:rPr>
            </w:pPr>
            <w:r w:rsidRPr="003C63AC">
              <w:rPr>
                <w:rFonts w:asciiTheme="majorHAnsi" w:hAnsiTheme="majorHAnsi"/>
                <w:sz w:val="18"/>
                <w:szCs w:val="22"/>
                <w:lang w:val="en-AU"/>
              </w:rPr>
              <w:t>Refrigerant consumption</w:t>
            </w:r>
          </w:p>
        </w:tc>
        <w:tc>
          <w:tcPr>
            <w:tcW w:w="7483" w:type="dxa"/>
          </w:tcPr>
          <w:p w:rsidR="00613390" w:rsidRPr="003C63AC" w:rsidRDefault="00482BF3" w:rsidP="00482BF3">
            <w:pPr>
              <w:pStyle w:val="BodyText"/>
              <w:spacing w:before="60" w:after="60"/>
              <w:rPr>
                <w:rFonts w:asciiTheme="majorHAnsi" w:hAnsiTheme="majorHAnsi"/>
                <w:sz w:val="18"/>
                <w:szCs w:val="22"/>
                <w:lang w:val="en-AU"/>
              </w:rPr>
            </w:pPr>
            <w:r w:rsidRPr="003C63AC">
              <w:rPr>
                <w:rFonts w:asciiTheme="majorHAnsi" w:hAnsiTheme="majorHAnsi"/>
                <w:sz w:val="18"/>
                <w:szCs w:val="22"/>
                <w:lang w:val="en-AU"/>
              </w:rPr>
              <w:t xml:space="preserve">The Montreal Protocol definition of consumption is bulk imports plus manufacturing minus exports. Australian has not manufactured refrigerant since 1996. </w:t>
            </w:r>
            <w:r w:rsidR="00613390" w:rsidRPr="003C63AC">
              <w:rPr>
                <w:rFonts w:asciiTheme="majorHAnsi" w:hAnsiTheme="majorHAnsi"/>
                <w:sz w:val="18"/>
                <w:szCs w:val="22"/>
                <w:lang w:val="en-AU"/>
              </w:rPr>
              <w:t xml:space="preserve">Bulk refrigerant is imported and consumed largely for servicing the existing refrigerant bank of equipment, </w:t>
            </w:r>
            <w:r w:rsidR="00692752" w:rsidRPr="003C63AC">
              <w:rPr>
                <w:rFonts w:asciiTheme="majorHAnsi" w:hAnsiTheme="majorHAnsi"/>
                <w:sz w:val="18"/>
                <w:szCs w:val="22"/>
                <w:lang w:val="en-AU"/>
              </w:rPr>
              <w:t xml:space="preserve">as well as </w:t>
            </w:r>
            <w:r w:rsidR="00613390" w:rsidRPr="003C63AC">
              <w:rPr>
                <w:rFonts w:asciiTheme="majorHAnsi" w:hAnsiTheme="majorHAnsi"/>
                <w:sz w:val="18"/>
                <w:szCs w:val="22"/>
                <w:lang w:val="en-AU"/>
              </w:rPr>
              <w:t>charging new equipment not imported as pre-charged equipment (PCE)</w:t>
            </w:r>
            <w:r w:rsidR="00692752" w:rsidRPr="003C63AC">
              <w:rPr>
                <w:rFonts w:asciiTheme="majorHAnsi" w:hAnsiTheme="majorHAnsi"/>
                <w:sz w:val="18"/>
                <w:szCs w:val="22"/>
                <w:lang w:val="en-AU"/>
              </w:rPr>
              <w:t xml:space="preserve"> and in other applications including foams, fire protection, aerosols, export and other.</w:t>
            </w:r>
          </w:p>
        </w:tc>
      </w:tr>
      <w:tr w:rsidR="0083581E" w:rsidRPr="003C63AC" w:rsidTr="000A71E6">
        <w:trPr>
          <w:trHeight w:val="342"/>
        </w:trPr>
        <w:tc>
          <w:tcPr>
            <w:tcW w:w="2230" w:type="dxa"/>
          </w:tcPr>
          <w:p w:rsidR="0083581E" w:rsidRPr="003C63AC" w:rsidRDefault="0083581E" w:rsidP="000A71E6">
            <w:pPr>
              <w:pStyle w:val="BodyText"/>
              <w:spacing w:before="60" w:after="60"/>
              <w:jc w:val="left"/>
              <w:rPr>
                <w:rFonts w:asciiTheme="majorHAnsi" w:hAnsiTheme="majorHAnsi"/>
                <w:sz w:val="18"/>
                <w:szCs w:val="22"/>
                <w:lang w:val="en-AU"/>
              </w:rPr>
            </w:pPr>
            <w:r w:rsidRPr="003C63AC">
              <w:rPr>
                <w:rFonts w:asciiTheme="majorHAnsi" w:hAnsiTheme="majorHAnsi"/>
                <w:sz w:val="18"/>
                <w:szCs w:val="22"/>
                <w:lang w:val="en-AU"/>
              </w:rPr>
              <w:t>Refrigerant decanting into tradable quantities</w:t>
            </w:r>
          </w:p>
        </w:tc>
        <w:tc>
          <w:tcPr>
            <w:tcW w:w="7483" w:type="dxa"/>
          </w:tcPr>
          <w:p w:rsidR="0083581E" w:rsidRPr="005728F4" w:rsidRDefault="0083581E" w:rsidP="003C63AC">
            <w:pPr>
              <w:pStyle w:val="BodyText"/>
              <w:spacing w:before="60" w:after="60"/>
              <w:rPr>
                <w:rFonts w:asciiTheme="majorHAnsi" w:hAnsiTheme="majorHAnsi"/>
                <w:sz w:val="18"/>
                <w:szCs w:val="22"/>
                <w:lang w:val="en-AU"/>
              </w:rPr>
            </w:pPr>
            <w:r w:rsidRPr="003C63AC">
              <w:rPr>
                <w:rFonts w:asciiTheme="majorHAnsi" w:hAnsiTheme="majorHAnsi"/>
                <w:sz w:val="18"/>
                <w:szCs w:val="22"/>
                <w:lang w:val="en-AU"/>
              </w:rPr>
              <w:t>There are three significant import</w:t>
            </w:r>
            <w:r w:rsidR="003C63AC">
              <w:rPr>
                <w:rFonts w:asciiTheme="majorHAnsi" w:hAnsiTheme="majorHAnsi"/>
                <w:sz w:val="18"/>
                <w:szCs w:val="22"/>
                <w:lang w:val="en-AU"/>
              </w:rPr>
              <w:t>/</w:t>
            </w:r>
            <w:r w:rsidRPr="003C63AC">
              <w:rPr>
                <w:rFonts w:asciiTheme="majorHAnsi" w:hAnsiTheme="majorHAnsi"/>
                <w:sz w:val="18"/>
                <w:szCs w:val="22"/>
                <w:lang w:val="en-AU"/>
              </w:rPr>
              <w:t>decanting facilities in Australia. Gas is decanted at these sites into thousands of cylinders ranging in size through 10 kg, 18 kg, 60 kg and then larger transportable tanks. Transportable tanks with a volumetric capacity of approximately 900 litres are com</w:t>
            </w:r>
            <w:r w:rsidRPr="00AD4F11">
              <w:rPr>
                <w:rFonts w:asciiTheme="majorHAnsi" w:hAnsiTheme="majorHAnsi"/>
                <w:sz w:val="18"/>
                <w:szCs w:val="22"/>
                <w:lang w:val="en-AU"/>
              </w:rPr>
              <w:t>monly referred to as ‘one tonners’, and ‘half tonners’ for tanks with a 450 litres capacity. These transportable tanks can contain between 400 kg and 700 kg of product depending on the gas involved.</w:t>
            </w:r>
          </w:p>
        </w:tc>
      </w:tr>
      <w:tr w:rsidR="000A71E6" w:rsidRPr="003C63AC" w:rsidTr="000A71E6">
        <w:trPr>
          <w:trHeight w:val="342"/>
        </w:trPr>
        <w:tc>
          <w:tcPr>
            <w:tcW w:w="2230" w:type="dxa"/>
          </w:tcPr>
          <w:p w:rsidR="000A71E6" w:rsidRPr="00704995" w:rsidRDefault="000A71E6" w:rsidP="000A71E6">
            <w:pPr>
              <w:pStyle w:val="BodyText"/>
              <w:spacing w:before="60" w:after="60"/>
              <w:jc w:val="left"/>
              <w:rPr>
                <w:rFonts w:asciiTheme="majorHAnsi" w:hAnsiTheme="majorHAnsi"/>
                <w:sz w:val="18"/>
                <w:szCs w:val="22"/>
                <w:lang w:val="en-AU"/>
              </w:rPr>
            </w:pPr>
            <w:r w:rsidRPr="003C63AC">
              <w:rPr>
                <w:rFonts w:asciiTheme="majorHAnsi" w:hAnsiTheme="majorHAnsi"/>
                <w:sz w:val="18"/>
                <w:szCs w:val="22"/>
                <w:lang w:val="en-AU"/>
              </w:rPr>
              <w:t>Refrigerant charge</w:t>
            </w:r>
          </w:p>
        </w:tc>
        <w:tc>
          <w:tcPr>
            <w:tcW w:w="7483" w:type="dxa"/>
          </w:tcPr>
          <w:p w:rsidR="000A71E6" w:rsidRPr="003C63AC" w:rsidRDefault="000A71E6" w:rsidP="00917722">
            <w:pPr>
              <w:pStyle w:val="BodyText"/>
              <w:spacing w:before="60" w:after="60"/>
              <w:rPr>
                <w:rFonts w:asciiTheme="majorHAnsi" w:hAnsiTheme="majorHAnsi"/>
                <w:sz w:val="18"/>
                <w:szCs w:val="22"/>
              </w:rPr>
            </w:pPr>
            <w:r w:rsidRPr="003C63AC">
              <w:rPr>
                <w:rFonts w:asciiTheme="majorHAnsi" w:hAnsiTheme="majorHAnsi"/>
                <w:sz w:val="18"/>
                <w:szCs w:val="22"/>
                <w:lang w:val="en-AU"/>
              </w:rPr>
              <w:t>The original refrigerant charge of refrigerant used as the working fluid for heat transfer inside a piece of equipment.</w:t>
            </w:r>
            <w:r w:rsidR="006E4CCB" w:rsidRPr="00AD4F11">
              <w:rPr>
                <w:rFonts w:asciiTheme="majorHAnsi" w:hAnsiTheme="majorHAnsi"/>
                <w:sz w:val="18"/>
                <w:szCs w:val="22"/>
                <w:lang w:val="en-AU"/>
              </w:rPr>
              <w:t xml:space="preserve">  The actual refrigerant charge for passenger and light commercial vehicle air conditioners</w:t>
            </w:r>
            <w:r w:rsidR="00917722">
              <w:rPr>
                <w:rFonts w:asciiTheme="majorHAnsi" w:hAnsiTheme="majorHAnsi"/>
                <w:sz w:val="18"/>
                <w:szCs w:val="22"/>
                <w:lang w:val="en-AU"/>
              </w:rPr>
              <w:t xml:space="preserve"> (in accordance with Australian vehicle imports for in the last 7 years)</w:t>
            </w:r>
            <w:r w:rsidR="006E4CCB" w:rsidRPr="00AD4F11">
              <w:rPr>
                <w:rFonts w:asciiTheme="majorHAnsi" w:hAnsiTheme="majorHAnsi"/>
                <w:sz w:val="18"/>
                <w:szCs w:val="22"/>
                <w:lang w:val="en-AU"/>
              </w:rPr>
              <w:t xml:space="preserve"> is typically</w:t>
            </w:r>
            <w:r w:rsidR="00A06C56">
              <w:rPr>
                <w:rFonts w:asciiTheme="majorHAnsi" w:hAnsiTheme="majorHAnsi"/>
                <w:sz w:val="18"/>
                <w:szCs w:val="22"/>
                <w:lang w:val="en-AU"/>
              </w:rPr>
              <w:t>:</w:t>
            </w:r>
            <w:r w:rsidR="006E4CCB" w:rsidRPr="00AD4F11">
              <w:rPr>
                <w:rFonts w:asciiTheme="majorHAnsi" w:hAnsiTheme="majorHAnsi"/>
                <w:sz w:val="18"/>
                <w:szCs w:val="22"/>
                <w:lang w:val="en-AU"/>
              </w:rPr>
              <w:t xml:space="preserve"> </w:t>
            </w:r>
            <w:r w:rsidR="006E4CCB" w:rsidRPr="005728F4">
              <w:rPr>
                <w:rFonts w:asciiTheme="majorHAnsi" w:hAnsiTheme="majorHAnsi"/>
                <w:sz w:val="18"/>
                <w:szCs w:val="22"/>
                <w:lang w:val="en-AU"/>
              </w:rPr>
              <w:t>HFC-134a = 6</w:t>
            </w:r>
            <w:r w:rsidR="0074658D">
              <w:rPr>
                <w:rFonts w:asciiTheme="majorHAnsi" w:hAnsiTheme="majorHAnsi"/>
                <w:sz w:val="18"/>
                <w:szCs w:val="22"/>
                <w:lang w:val="en-AU"/>
              </w:rPr>
              <w:t>1</w:t>
            </w:r>
            <w:r w:rsidR="006E4CCB" w:rsidRPr="005728F4">
              <w:rPr>
                <w:rFonts w:asciiTheme="majorHAnsi" w:hAnsiTheme="majorHAnsi"/>
                <w:sz w:val="18"/>
                <w:szCs w:val="22"/>
                <w:lang w:val="en-AU"/>
              </w:rPr>
              <w:t>0 grams, CFC-12 = 700 grams and HC = 210 grams. Actual charge quantities by vehicle type can be found in tec</w:t>
            </w:r>
            <w:r w:rsidR="006E4CCB" w:rsidRPr="000F5EF8">
              <w:rPr>
                <w:rFonts w:asciiTheme="majorHAnsi" w:hAnsiTheme="majorHAnsi"/>
                <w:sz w:val="18"/>
                <w:szCs w:val="22"/>
                <w:lang w:val="en-AU"/>
              </w:rPr>
              <w:t>hnical guides (i.e. Adair Refrigerant Charge Quantities Guide</w:t>
            </w:r>
            <w:r w:rsidR="003C63AC" w:rsidRPr="004F1732">
              <w:rPr>
                <w:rFonts w:asciiTheme="majorHAnsi" w:hAnsiTheme="majorHAnsi"/>
                <w:sz w:val="18"/>
                <w:szCs w:val="22"/>
                <w:lang w:val="en-AU"/>
              </w:rPr>
              <w:t>), which</w:t>
            </w:r>
            <w:r w:rsidR="006E4CCB" w:rsidRPr="00AD02ED">
              <w:rPr>
                <w:rFonts w:asciiTheme="majorHAnsi" w:hAnsiTheme="majorHAnsi"/>
                <w:sz w:val="18"/>
                <w:szCs w:val="22"/>
                <w:lang w:val="en-AU"/>
              </w:rPr>
              <w:t xml:space="preserve"> shows a wide range and some newer models with HFC-134a charge sizes below 6</w:t>
            </w:r>
            <w:r w:rsidR="0074658D">
              <w:rPr>
                <w:rFonts w:asciiTheme="majorHAnsi" w:hAnsiTheme="majorHAnsi"/>
                <w:sz w:val="18"/>
                <w:szCs w:val="22"/>
                <w:lang w:val="en-AU"/>
              </w:rPr>
              <w:t>1</w:t>
            </w:r>
            <w:r w:rsidR="006E4CCB" w:rsidRPr="00AD02ED">
              <w:rPr>
                <w:rFonts w:asciiTheme="majorHAnsi" w:hAnsiTheme="majorHAnsi"/>
                <w:sz w:val="18"/>
                <w:szCs w:val="22"/>
                <w:lang w:val="en-AU"/>
              </w:rPr>
              <w:t>0 grams.</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lang w:val="en-AU"/>
              </w:rPr>
              <w:t>Refrigerant leak rate</w:t>
            </w: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szCs w:val="22"/>
                <w:lang w:val="en-AU"/>
              </w:rPr>
              <w:t>The annual leak rate is defined as the sum of gradual leakage during normal operation, catastrophic losses amortised over the life of the equipment and losses during service and maintenance expressed as a percentage of the initial charge per annum.</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lang w:val="en-AU"/>
              </w:rPr>
              <w:t>Refrigerant recovery</w:t>
            </w:r>
          </w:p>
        </w:tc>
        <w:tc>
          <w:tcPr>
            <w:tcW w:w="7483" w:type="dxa"/>
          </w:tcPr>
          <w:p w:rsidR="000A71E6" w:rsidRPr="003C63AC" w:rsidRDefault="000A71E6" w:rsidP="00B13D4C">
            <w:pPr>
              <w:pStyle w:val="BodyText"/>
              <w:spacing w:before="60" w:after="60"/>
              <w:rPr>
                <w:rFonts w:asciiTheme="majorHAnsi" w:hAnsiTheme="majorHAnsi"/>
                <w:sz w:val="18"/>
                <w:szCs w:val="22"/>
              </w:rPr>
            </w:pPr>
            <w:r w:rsidRPr="003C63AC">
              <w:rPr>
                <w:rFonts w:asciiTheme="majorHAnsi" w:hAnsiTheme="majorHAnsi"/>
                <w:sz w:val="18"/>
                <w:szCs w:val="22"/>
                <w:lang w:val="en-AU"/>
              </w:rPr>
              <w:t>Removal of refrigerant from a system and its storage in</w:t>
            </w:r>
            <w:r w:rsidR="0083581E" w:rsidRPr="003C63AC">
              <w:rPr>
                <w:rFonts w:asciiTheme="majorHAnsi" w:hAnsiTheme="majorHAnsi"/>
                <w:sz w:val="18"/>
                <w:szCs w:val="22"/>
                <w:lang w:val="en-AU"/>
              </w:rPr>
              <w:t>to</w:t>
            </w:r>
            <w:r w:rsidRPr="003C63AC">
              <w:rPr>
                <w:rFonts w:asciiTheme="majorHAnsi" w:hAnsiTheme="majorHAnsi"/>
                <w:sz w:val="18"/>
                <w:szCs w:val="22"/>
                <w:lang w:val="en-AU"/>
              </w:rPr>
              <w:t xml:space="preserve"> an external container.</w:t>
            </w:r>
            <w:r w:rsidR="0083581E" w:rsidRPr="003C63AC">
              <w:rPr>
                <w:rFonts w:asciiTheme="majorHAnsi" w:hAnsiTheme="majorHAnsi"/>
                <w:sz w:val="18"/>
                <w:szCs w:val="22"/>
                <w:lang w:val="en-AU"/>
              </w:rPr>
              <w:t xml:space="preserve"> These containers can be cylinders that range in size through 10 kg, 18 kg, 60 kg and then larger transportable tanks</w:t>
            </w:r>
            <w:r w:rsidR="00B13D4C" w:rsidRPr="003C63AC">
              <w:rPr>
                <w:rFonts w:asciiTheme="majorHAnsi" w:hAnsiTheme="majorHAnsi"/>
                <w:sz w:val="18"/>
                <w:szCs w:val="22"/>
                <w:lang w:val="en-AU"/>
              </w:rPr>
              <w:t>. Transportable tanks with a volumetric capacity of approximately 900 litres are commonly referred to as ‘one tonners’, and ‘half tonners’ for tanks with a 450 litres capacity. These transportable tanks can contain between 400 kg and 700 kg of product depending on the gas involved.</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rPr>
              <w:t>Second Assessment Report (AR2)</w:t>
            </w: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szCs w:val="22"/>
              </w:rPr>
              <w:t xml:space="preserve">Second Assessment Report of the United Nations Framework Convention on Climate Change, released in 1996. Australia’s legally binding emission obligations under the Kyoto Protocol are calculated based on AR2 and therefore Australian legislation, including the </w:t>
            </w:r>
            <w:r w:rsidRPr="003C63AC">
              <w:rPr>
                <w:rFonts w:asciiTheme="majorHAnsi" w:hAnsiTheme="majorHAnsi"/>
                <w:i/>
                <w:sz w:val="18"/>
                <w:szCs w:val="22"/>
              </w:rPr>
              <w:t>Ozone Protection and Synthetic Greenhouse Gas Management Act</w:t>
            </w:r>
            <w:r w:rsidRPr="003C63AC">
              <w:rPr>
                <w:rFonts w:asciiTheme="majorHAnsi" w:hAnsiTheme="majorHAnsi"/>
                <w:sz w:val="18"/>
                <w:szCs w:val="22"/>
              </w:rPr>
              <w:t xml:space="preserve">, also </w:t>
            </w:r>
            <w:r w:rsidR="003C63AC" w:rsidRPr="003C63AC">
              <w:rPr>
                <w:rFonts w:asciiTheme="majorHAnsi" w:hAnsiTheme="majorHAnsi"/>
                <w:sz w:val="18"/>
                <w:szCs w:val="22"/>
                <w:lang w:val="en-AU"/>
              </w:rPr>
              <w:t>cites</w:t>
            </w:r>
            <w:r w:rsidRPr="003C63AC">
              <w:rPr>
                <w:rFonts w:asciiTheme="majorHAnsi" w:hAnsiTheme="majorHAnsi"/>
                <w:sz w:val="18"/>
                <w:szCs w:val="22"/>
              </w:rPr>
              <w:t xml:space="preserve"> GWPs from AR2.</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rPr>
              <w:t>Synthetic greenhouse gases (SGGs)</w:t>
            </w:r>
          </w:p>
        </w:tc>
        <w:tc>
          <w:tcPr>
            <w:tcW w:w="7483" w:type="dxa"/>
          </w:tcPr>
          <w:p w:rsidR="000A71E6" w:rsidRPr="003C63AC" w:rsidRDefault="000A71E6" w:rsidP="004C06E6">
            <w:pPr>
              <w:pStyle w:val="BodyText"/>
              <w:spacing w:before="60" w:after="60"/>
              <w:rPr>
                <w:rFonts w:asciiTheme="majorHAnsi" w:hAnsiTheme="majorHAnsi"/>
                <w:sz w:val="18"/>
                <w:szCs w:val="22"/>
              </w:rPr>
            </w:pPr>
            <w:r w:rsidRPr="003C63AC">
              <w:rPr>
                <w:rFonts w:asciiTheme="majorHAnsi" w:hAnsiTheme="majorHAnsi"/>
                <w:sz w:val="18"/>
                <w:szCs w:val="22"/>
              </w:rPr>
              <w:t>SGGs listed under the Kyoto Protocol</w:t>
            </w:r>
            <w:r w:rsidR="00B754A0">
              <w:rPr>
                <w:rFonts w:asciiTheme="majorHAnsi" w:hAnsiTheme="majorHAnsi"/>
                <w:sz w:val="18"/>
                <w:szCs w:val="22"/>
              </w:rPr>
              <w:t xml:space="preserve"> and regulated under the </w:t>
            </w:r>
            <w:hyperlink r:id="rId18" w:history="1">
              <w:r w:rsidR="00B754A0" w:rsidRPr="00602C64">
                <w:rPr>
                  <w:rStyle w:val="Emphasis"/>
                  <w:rFonts w:asciiTheme="majorHAnsi" w:hAnsiTheme="majorHAnsi"/>
                  <w:color w:val="0062A0"/>
                  <w:sz w:val="19"/>
                  <w:szCs w:val="19"/>
                  <w:u w:val="single"/>
                </w:rPr>
                <w:t>Ozone Protection and Synthetic Greenhouse Gas Management Act 1989</w:t>
              </w:r>
            </w:hyperlink>
            <w:r w:rsidRPr="003C63AC">
              <w:rPr>
                <w:rFonts w:asciiTheme="majorHAnsi" w:hAnsiTheme="majorHAnsi"/>
                <w:sz w:val="18"/>
                <w:szCs w:val="22"/>
              </w:rPr>
              <w:t xml:space="preserve"> include hydrofluorocarbons (HFCs), perfluorocarbons (PFCs) and </w:t>
            </w:r>
            <w:r w:rsidR="003C63AC" w:rsidRPr="003C63AC">
              <w:rPr>
                <w:rFonts w:asciiTheme="majorHAnsi" w:hAnsiTheme="majorHAnsi"/>
                <w:sz w:val="18"/>
                <w:szCs w:val="22"/>
                <w:lang w:val="en-AU"/>
              </w:rPr>
              <w:t>sul</w:t>
            </w:r>
            <w:r w:rsidR="004C06E6">
              <w:rPr>
                <w:rFonts w:asciiTheme="majorHAnsi" w:hAnsiTheme="majorHAnsi"/>
                <w:sz w:val="18"/>
                <w:szCs w:val="22"/>
                <w:lang w:val="en-AU"/>
              </w:rPr>
              <w:t>f</w:t>
            </w:r>
            <w:r w:rsidR="003C63AC" w:rsidRPr="003C63AC">
              <w:rPr>
                <w:rFonts w:asciiTheme="majorHAnsi" w:hAnsiTheme="majorHAnsi"/>
                <w:sz w:val="18"/>
                <w:szCs w:val="22"/>
                <w:lang w:val="en-AU"/>
              </w:rPr>
              <w:t>ur</w:t>
            </w:r>
            <w:r w:rsidRPr="003C63AC">
              <w:rPr>
                <w:rFonts w:asciiTheme="majorHAnsi" w:hAnsiTheme="majorHAnsi"/>
                <w:sz w:val="18"/>
                <w:szCs w:val="22"/>
              </w:rPr>
              <w:t xml:space="preserve"> hexafluoride (SF</w:t>
            </w:r>
            <w:r w:rsidRPr="003C63AC">
              <w:rPr>
                <w:rFonts w:asciiTheme="majorHAnsi" w:hAnsiTheme="majorHAnsi"/>
                <w:sz w:val="18"/>
                <w:szCs w:val="22"/>
                <w:vertAlign w:val="subscript"/>
              </w:rPr>
              <w:t>6</w:t>
            </w:r>
            <w:r w:rsidRPr="003C63AC">
              <w:rPr>
                <w:rFonts w:asciiTheme="majorHAnsi" w:hAnsiTheme="majorHAnsi"/>
                <w:sz w:val="18"/>
                <w:szCs w:val="22"/>
              </w:rPr>
              <w:t xml:space="preserve">). </w:t>
            </w:r>
          </w:p>
        </w:tc>
      </w:tr>
      <w:tr w:rsidR="000A71E6" w:rsidRPr="003C63AC" w:rsidTr="000A71E6">
        <w:trPr>
          <w:trHeight w:val="342"/>
        </w:trPr>
        <w:tc>
          <w:tcPr>
            <w:tcW w:w="2230" w:type="dxa"/>
          </w:tcPr>
          <w:p w:rsidR="000A71E6" w:rsidRPr="003C63AC" w:rsidRDefault="000A71E6" w:rsidP="000A71E6">
            <w:pPr>
              <w:pStyle w:val="BodyText"/>
              <w:spacing w:before="60" w:after="60"/>
              <w:jc w:val="left"/>
              <w:rPr>
                <w:rFonts w:asciiTheme="majorHAnsi" w:hAnsiTheme="majorHAnsi"/>
                <w:sz w:val="18"/>
                <w:szCs w:val="22"/>
              </w:rPr>
            </w:pPr>
            <w:r w:rsidRPr="003C63AC">
              <w:rPr>
                <w:rFonts w:asciiTheme="majorHAnsi" w:hAnsiTheme="majorHAnsi"/>
                <w:sz w:val="18"/>
                <w:szCs w:val="22"/>
              </w:rPr>
              <w:t>Synthetic substances or synthetic refrigerants</w:t>
            </w:r>
          </w:p>
        </w:tc>
        <w:tc>
          <w:tcPr>
            <w:tcW w:w="7483" w:type="dxa"/>
          </w:tcPr>
          <w:p w:rsidR="000A71E6" w:rsidRPr="003C63AC" w:rsidRDefault="000A71E6" w:rsidP="000A71E6">
            <w:pPr>
              <w:pStyle w:val="BodyText"/>
              <w:spacing w:before="60" w:after="60"/>
              <w:rPr>
                <w:rFonts w:asciiTheme="majorHAnsi" w:hAnsiTheme="majorHAnsi"/>
                <w:sz w:val="18"/>
                <w:szCs w:val="22"/>
              </w:rPr>
            </w:pPr>
            <w:r w:rsidRPr="003C63AC">
              <w:rPr>
                <w:rFonts w:asciiTheme="majorHAnsi" w:hAnsiTheme="majorHAnsi"/>
                <w:sz w:val="18"/>
                <w:szCs w:val="22"/>
              </w:rPr>
              <w:t>HCFCs, HFCs and HFOs are commonly referred to as synthetic substances or synthetic refrigerants.</w:t>
            </w:r>
          </w:p>
        </w:tc>
      </w:tr>
    </w:tbl>
    <w:p w:rsidR="000A71E6" w:rsidRPr="003C63AC" w:rsidRDefault="000A71E6" w:rsidP="000A71E6">
      <w:pPr>
        <w:spacing w:before="0"/>
        <w:jc w:val="left"/>
      </w:pPr>
    </w:p>
    <w:p w:rsidR="00F55B60" w:rsidRPr="003C63AC" w:rsidRDefault="00F55B60">
      <w:pPr>
        <w:spacing w:before="0"/>
        <w:jc w:val="left"/>
        <w:rPr>
          <w:rFonts w:ascii="Calibri" w:eastAsia="Times New Roman" w:hAnsi="Calibri" w:cs="Times New Roman"/>
          <w:b/>
          <w:bCs/>
          <w:kern w:val="32"/>
          <w:sz w:val="32"/>
          <w:szCs w:val="32"/>
          <w:lang w:val="en-US"/>
        </w:rPr>
      </w:pPr>
      <w:bookmarkStart w:id="3" w:name="_Toc257359940"/>
      <w:r w:rsidRPr="003C63AC">
        <w:lastRenderedPageBreak/>
        <w:br w:type="page"/>
      </w:r>
    </w:p>
    <w:p w:rsidR="000A71E6" w:rsidRPr="003C63AC" w:rsidRDefault="000A71E6" w:rsidP="000A71E6">
      <w:pPr>
        <w:pStyle w:val="Heading1"/>
        <w:numPr>
          <w:ilvl w:val="0"/>
          <w:numId w:val="0"/>
        </w:numPr>
        <w:ind w:left="432" w:hanging="432"/>
      </w:pPr>
      <w:bookmarkStart w:id="4" w:name="_Toc430778969"/>
      <w:r w:rsidRPr="003C63AC">
        <w:lastRenderedPageBreak/>
        <w:t>Abbreviations</w:t>
      </w:r>
      <w:bookmarkEnd w:id="3"/>
      <w:bookmarkEnd w:id="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6"/>
        <w:gridCol w:w="7489"/>
      </w:tblGrid>
      <w:tr w:rsidR="000A71E6" w:rsidRPr="003C63AC" w:rsidTr="000A71E6">
        <w:trPr>
          <w:trHeight w:val="342"/>
        </w:trPr>
        <w:tc>
          <w:tcPr>
            <w:tcW w:w="2116" w:type="dxa"/>
          </w:tcPr>
          <w:p w:rsidR="000A71E6" w:rsidRPr="003C63AC" w:rsidRDefault="000A71E6"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AC</w:t>
            </w:r>
          </w:p>
        </w:tc>
        <w:tc>
          <w:tcPr>
            <w:tcW w:w="7489" w:type="dxa"/>
          </w:tcPr>
          <w:p w:rsidR="000A71E6" w:rsidRPr="003C63AC" w:rsidRDefault="000A71E6" w:rsidP="000A71E6">
            <w:pPr>
              <w:pStyle w:val="BodyText"/>
              <w:spacing w:before="60" w:after="60"/>
              <w:rPr>
                <w:rFonts w:asciiTheme="majorHAnsi" w:hAnsiTheme="majorHAnsi"/>
                <w:sz w:val="18"/>
                <w:szCs w:val="18"/>
              </w:rPr>
            </w:pPr>
            <w:r w:rsidRPr="003C63AC">
              <w:rPr>
                <w:rFonts w:asciiTheme="majorHAnsi" w:hAnsiTheme="majorHAnsi"/>
                <w:sz w:val="18"/>
                <w:szCs w:val="18"/>
              </w:rPr>
              <w:t>Air conditioning</w:t>
            </w:r>
          </w:p>
        </w:tc>
      </w:tr>
      <w:tr w:rsidR="000A71E6" w:rsidRPr="003C63AC" w:rsidTr="000A71E6">
        <w:trPr>
          <w:trHeight w:val="342"/>
        </w:trPr>
        <w:tc>
          <w:tcPr>
            <w:tcW w:w="2116" w:type="dxa"/>
          </w:tcPr>
          <w:p w:rsidR="000A71E6" w:rsidRPr="003C63AC" w:rsidRDefault="000A71E6"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AR2</w:t>
            </w:r>
          </w:p>
        </w:tc>
        <w:tc>
          <w:tcPr>
            <w:tcW w:w="7489" w:type="dxa"/>
          </w:tcPr>
          <w:p w:rsidR="000A71E6" w:rsidRPr="003C63AC" w:rsidRDefault="000A71E6" w:rsidP="000A71E6">
            <w:pPr>
              <w:pStyle w:val="BodyText"/>
              <w:spacing w:before="60" w:after="60"/>
              <w:rPr>
                <w:rFonts w:asciiTheme="majorHAnsi" w:hAnsiTheme="majorHAnsi"/>
                <w:sz w:val="18"/>
                <w:szCs w:val="18"/>
              </w:rPr>
            </w:pPr>
            <w:r w:rsidRPr="003C63AC">
              <w:rPr>
                <w:rFonts w:asciiTheme="majorHAnsi" w:hAnsiTheme="majorHAnsi"/>
                <w:sz w:val="18"/>
                <w:szCs w:val="18"/>
              </w:rPr>
              <w:t>Second Assessment Report, similarly A4 is Forth Assessment Report</w:t>
            </w:r>
          </w:p>
        </w:tc>
      </w:tr>
      <w:tr w:rsidR="000A71E6" w:rsidRPr="003C63AC" w:rsidTr="000A71E6">
        <w:trPr>
          <w:trHeight w:val="342"/>
        </w:trPr>
        <w:tc>
          <w:tcPr>
            <w:tcW w:w="2116" w:type="dxa"/>
          </w:tcPr>
          <w:p w:rsidR="000A71E6" w:rsidRPr="003C63AC" w:rsidRDefault="000A71E6"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 xml:space="preserve">ABS </w:t>
            </w:r>
          </w:p>
        </w:tc>
        <w:tc>
          <w:tcPr>
            <w:tcW w:w="7489" w:type="dxa"/>
          </w:tcPr>
          <w:p w:rsidR="000A71E6" w:rsidRPr="003C63AC" w:rsidRDefault="000A71E6" w:rsidP="000A71E6">
            <w:pPr>
              <w:pStyle w:val="BodyText"/>
              <w:spacing w:before="60" w:after="60"/>
              <w:rPr>
                <w:rFonts w:asciiTheme="majorHAnsi" w:hAnsiTheme="majorHAnsi"/>
                <w:sz w:val="18"/>
                <w:szCs w:val="18"/>
              </w:rPr>
            </w:pPr>
            <w:r w:rsidRPr="003C63AC">
              <w:rPr>
                <w:rFonts w:asciiTheme="majorHAnsi" w:hAnsiTheme="majorHAnsi"/>
                <w:sz w:val="18"/>
                <w:szCs w:val="18"/>
              </w:rPr>
              <w:t>Australian Bureau of Statistics</w:t>
            </w:r>
          </w:p>
        </w:tc>
      </w:tr>
      <w:tr w:rsidR="00A64E5D" w:rsidRPr="003C63AC" w:rsidTr="000A71E6">
        <w:trPr>
          <w:trHeight w:val="342"/>
        </w:trPr>
        <w:tc>
          <w:tcPr>
            <w:tcW w:w="2116" w:type="dxa"/>
          </w:tcPr>
          <w:p w:rsidR="00A64E5D" w:rsidRPr="003C63AC" w:rsidRDefault="00A64E5D"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ANZSCO</w:t>
            </w:r>
          </w:p>
        </w:tc>
        <w:tc>
          <w:tcPr>
            <w:tcW w:w="7489" w:type="dxa"/>
          </w:tcPr>
          <w:p w:rsidR="00A64E5D" w:rsidRPr="003C63AC" w:rsidRDefault="00A64E5D" w:rsidP="000A71E6">
            <w:pPr>
              <w:pStyle w:val="BodyText"/>
              <w:spacing w:before="60" w:after="60"/>
              <w:rPr>
                <w:rFonts w:asciiTheme="majorHAnsi" w:hAnsiTheme="majorHAnsi"/>
                <w:sz w:val="18"/>
                <w:szCs w:val="22"/>
              </w:rPr>
            </w:pPr>
            <w:r w:rsidRPr="003C63AC">
              <w:rPr>
                <w:rFonts w:asciiTheme="majorHAnsi" w:hAnsiTheme="majorHAnsi"/>
                <w:sz w:val="18"/>
                <w:szCs w:val="18"/>
              </w:rPr>
              <w:t>Australian and New Zealand Standard Classification of Occupations</w:t>
            </w:r>
          </w:p>
        </w:tc>
      </w:tr>
      <w:tr w:rsidR="008071B8" w:rsidRPr="003C63AC" w:rsidTr="000A71E6">
        <w:trPr>
          <w:trHeight w:val="342"/>
        </w:trPr>
        <w:tc>
          <w:tcPr>
            <w:tcW w:w="2116" w:type="dxa"/>
          </w:tcPr>
          <w:p w:rsidR="008071B8" w:rsidRPr="003C63AC" w:rsidRDefault="008071B8"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CFCs</w:t>
            </w:r>
          </w:p>
        </w:tc>
        <w:tc>
          <w:tcPr>
            <w:tcW w:w="7489" w:type="dxa"/>
          </w:tcPr>
          <w:p w:rsidR="008071B8" w:rsidRPr="003C63AC" w:rsidRDefault="008071B8" w:rsidP="000A71E6">
            <w:pPr>
              <w:pStyle w:val="BodyText"/>
              <w:spacing w:before="60" w:after="60"/>
              <w:rPr>
                <w:rFonts w:asciiTheme="majorHAnsi" w:hAnsiTheme="majorHAnsi"/>
                <w:sz w:val="18"/>
                <w:szCs w:val="18"/>
              </w:rPr>
            </w:pPr>
            <w:r w:rsidRPr="003C63AC">
              <w:rPr>
                <w:rFonts w:asciiTheme="majorHAnsi" w:hAnsiTheme="majorHAnsi"/>
                <w:sz w:val="18"/>
                <w:szCs w:val="22"/>
              </w:rPr>
              <w:t>Chlorofluorocarbons</w:t>
            </w:r>
          </w:p>
        </w:tc>
      </w:tr>
      <w:tr w:rsidR="000A71E6" w:rsidRPr="003C63AC" w:rsidTr="000A71E6">
        <w:trPr>
          <w:trHeight w:val="342"/>
        </w:trPr>
        <w:tc>
          <w:tcPr>
            <w:tcW w:w="2116" w:type="dxa"/>
          </w:tcPr>
          <w:p w:rsidR="000A71E6" w:rsidRPr="003C63AC" w:rsidRDefault="000A71E6"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CO</w:t>
            </w:r>
            <w:r w:rsidRPr="003C63AC">
              <w:rPr>
                <w:rFonts w:asciiTheme="majorHAnsi" w:hAnsiTheme="majorHAnsi"/>
                <w:sz w:val="18"/>
                <w:szCs w:val="18"/>
                <w:vertAlign w:val="subscript"/>
              </w:rPr>
              <w:t>2</w:t>
            </w:r>
            <w:r w:rsidRPr="003C63AC">
              <w:rPr>
                <w:rFonts w:asciiTheme="majorHAnsi" w:hAnsiTheme="majorHAnsi"/>
                <w:sz w:val="18"/>
                <w:szCs w:val="18"/>
              </w:rPr>
              <w:t>e</w:t>
            </w:r>
          </w:p>
        </w:tc>
        <w:tc>
          <w:tcPr>
            <w:tcW w:w="7489" w:type="dxa"/>
          </w:tcPr>
          <w:p w:rsidR="000A71E6" w:rsidRPr="003C63AC" w:rsidRDefault="000A71E6" w:rsidP="000A71E6">
            <w:pPr>
              <w:pStyle w:val="BodyText"/>
              <w:spacing w:before="60" w:after="60"/>
              <w:rPr>
                <w:rFonts w:asciiTheme="majorHAnsi" w:hAnsiTheme="majorHAnsi"/>
                <w:sz w:val="18"/>
                <w:szCs w:val="18"/>
              </w:rPr>
            </w:pPr>
            <w:r w:rsidRPr="003C63AC">
              <w:rPr>
                <w:rFonts w:asciiTheme="majorHAnsi" w:hAnsiTheme="majorHAnsi"/>
                <w:sz w:val="18"/>
                <w:szCs w:val="18"/>
              </w:rPr>
              <w:t>Carbon dioxide equivalent</w:t>
            </w:r>
          </w:p>
        </w:tc>
      </w:tr>
      <w:tr w:rsidR="000A71E6" w:rsidRPr="003C63AC" w:rsidTr="000A71E6">
        <w:trPr>
          <w:trHeight w:val="342"/>
        </w:trPr>
        <w:tc>
          <w:tcPr>
            <w:tcW w:w="2116" w:type="dxa"/>
          </w:tcPr>
          <w:p w:rsidR="000A71E6" w:rsidRPr="003C63AC" w:rsidRDefault="000A71E6"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DSEWPaC</w:t>
            </w:r>
          </w:p>
        </w:tc>
        <w:tc>
          <w:tcPr>
            <w:tcW w:w="7489" w:type="dxa"/>
          </w:tcPr>
          <w:p w:rsidR="000A71E6" w:rsidRPr="003C63AC" w:rsidRDefault="000A71E6" w:rsidP="000A71E6">
            <w:pPr>
              <w:pStyle w:val="BodyText"/>
              <w:spacing w:before="60" w:after="60"/>
              <w:rPr>
                <w:rFonts w:asciiTheme="majorHAnsi" w:hAnsiTheme="majorHAnsi"/>
                <w:sz w:val="18"/>
                <w:szCs w:val="18"/>
              </w:rPr>
            </w:pPr>
            <w:r w:rsidRPr="003C63AC">
              <w:rPr>
                <w:rFonts w:asciiTheme="majorHAnsi" w:hAnsiTheme="majorHAnsi"/>
                <w:sz w:val="18"/>
                <w:szCs w:val="18"/>
              </w:rPr>
              <w:t>Department of Sustainability, Environment, Water, Population and Communities, now Department of the Environment</w:t>
            </w:r>
          </w:p>
        </w:tc>
      </w:tr>
      <w:tr w:rsidR="000A71E6" w:rsidRPr="003C63AC" w:rsidTr="000A71E6">
        <w:trPr>
          <w:trHeight w:val="342"/>
        </w:trPr>
        <w:tc>
          <w:tcPr>
            <w:tcW w:w="2116" w:type="dxa"/>
          </w:tcPr>
          <w:p w:rsidR="000A71E6" w:rsidRPr="003C63AC" w:rsidRDefault="000A71E6"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DoE</w:t>
            </w:r>
          </w:p>
        </w:tc>
        <w:tc>
          <w:tcPr>
            <w:tcW w:w="7489" w:type="dxa"/>
          </w:tcPr>
          <w:p w:rsidR="000A71E6" w:rsidRPr="003C63AC" w:rsidRDefault="000A71E6" w:rsidP="000A71E6">
            <w:pPr>
              <w:pStyle w:val="BodyText"/>
              <w:spacing w:before="60" w:after="60"/>
              <w:rPr>
                <w:rFonts w:asciiTheme="majorHAnsi" w:hAnsiTheme="majorHAnsi"/>
                <w:sz w:val="18"/>
                <w:szCs w:val="18"/>
              </w:rPr>
            </w:pPr>
            <w:r w:rsidRPr="003C63AC">
              <w:rPr>
                <w:rFonts w:asciiTheme="majorHAnsi" w:hAnsiTheme="majorHAnsi"/>
                <w:sz w:val="18"/>
                <w:szCs w:val="18"/>
              </w:rPr>
              <w:t>Department of the Environment</w:t>
            </w:r>
          </w:p>
        </w:tc>
      </w:tr>
      <w:tr w:rsidR="000A71E6" w:rsidRPr="003C63AC" w:rsidTr="000A71E6">
        <w:trPr>
          <w:trHeight w:val="342"/>
        </w:trPr>
        <w:tc>
          <w:tcPr>
            <w:tcW w:w="2116" w:type="dxa"/>
          </w:tcPr>
          <w:p w:rsidR="000A71E6" w:rsidRPr="003C63AC" w:rsidRDefault="000A71E6"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ELV</w:t>
            </w:r>
          </w:p>
        </w:tc>
        <w:tc>
          <w:tcPr>
            <w:tcW w:w="7489" w:type="dxa"/>
          </w:tcPr>
          <w:p w:rsidR="000A71E6" w:rsidRPr="003C63AC" w:rsidRDefault="000A71E6" w:rsidP="000A71E6">
            <w:pPr>
              <w:pStyle w:val="BodyText"/>
              <w:spacing w:before="60" w:after="60"/>
              <w:rPr>
                <w:rFonts w:asciiTheme="majorHAnsi" w:hAnsiTheme="majorHAnsi"/>
                <w:sz w:val="18"/>
                <w:szCs w:val="18"/>
              </w:rPr>
            </w:pPr>
            <w:r w:rsidRPr="003C63AC">
              <w:rPr>
                <w:rFonts w:asciiTheme="majorHAnsi" w:hAnsiTheme="majorHAnsi"/>
                <w:sz w:val="18"/>
                <w:szCs w:val="18"/>
              </w:rPr>
              <w:t>End-of-life vehicle</w:t>
            </w:r>
          </w:p>
        </w:tc>
      </w:tr>
      <w:tr w:rsidR="000A71E6" w:rsidRPr="003C63AC" w:rsidTr="000A71E6">
        <w:trPr>
          <w:trHeight w:val="342"/>
        </w:trPr>
        <w:tc>
          <w:tcPr>
            <w:tcW w:w="2116" w:type="dxa"/>
          </w:tcPr>
          <w:p w:rsidR="000A71E6" w:rsidRPr="003C63AC" w:rsidRDefault="000A71E6"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GHG</w:t>
            </w:r>
          </w:p>
        </w:tc>
        <w:tc>
          <w:tcPr>
            <w:tcW w:w="7489" w:type="dxa"/>
          </w:tcPr>
          <w:p w:rsidR="000A71E6" w:rsidRPr="003C63AC" w:rsidRDefault="000A71E6" w:rsidP="000A71E6">
            <w:pPr>
              <w:pStyle w:val="BodyText"/>
              <w:spacing w:before="60" w:after="60"/>
              <w:rPr>
                <w:rFonts w:asciiTheme="majorHAnsi" w:hAnsiTheme="majorHAnsi"/>
                <w:sz w:val="18"/>
                <w:szCs w:val="18"/>
              </w:rPr>
            </w:pPr>
            <w:r w:rsidRPr="003C63AC">
              <w:rPr>
                <w:rFonts w:asciiTheme="majorHAnsi" w:hAnsiTheme="majorHAnsi"/>
                <w:sz w:val="18"/>
                <w:szCs w:val="18"/>
              </w:rPr>
              <w:t>Greenhouse Gas</w:t>
            </w:r>
          </w:p>
        </w:tc>
      </w:tr>
      <w:tr w:rsidR="000A71E6" w:rsidRPr="003C63AC" w:rsidTr="000A71E6">
        <w:trPr>
          <w:trHeight w:val="342"/>
        </w:trPr>
        <w:tc>
          <w:tcPr>
            <w:tcW w:w="2116" w:type="dxa"/>
          </w:tcPr>
          <w:p w:rsidR="000A71E6" w:rsidRPr="003C63AC" w:rsidRDefault="000A71E6"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IPCC</w:t>
            </w:r>
          </w:p>
        </w:tc>
        <w:tc>
          <w:tcPr>
            <w:tcW w:w="7489" w:type="dxa"/>
          </w:tcPr>
          <w:p w:rsidR="000A71E6" w:rsidRPr="003C63AC" w:rsidRDefault="000A71E6" w:rsidP="000A71E6">
            <w:pPr>
              <w:pStyle w:val="BodyText"/>
              <w:spacing w:before="60" w:after="60"/>
              <w:rPr>
                <w:rFonts w:asciiTheme="majorHAnsi" w:hAnsiTheme="majorHAnsi"/>
                <w:sz w:val="18"/>
                <w:szCs w:val="18"/>
              </w:rPr>
            </w:pPr>
            <w:r w:rsidRPr="003C63AC">
              <w:rPr>
                <w:rFonts w:asciiTheme="majorHAnsi" w:hAnsiTheme="majorHAnsi"/>
                <w:sz w:val="18"/>
                <w:szCs w:val="18"/>
              </w:rPr>
              <w:t>Intergovernmental Panel on Climate Change</w:t>
            </w:r>
          </w:p>
        </w:tc>
      </w:tr>
      <w:tr w:rsidR="000A71E6" w:rsidRPr="003C63AC" w:rsidTr="000A71E6">
        <w:trPr>
          <w:trHeight w:val="342"/>
        </w:trPr>
        <w:tc>
          <w:tcPr>
            <w:tcW w:w="2116" w:type="dxa"/>
          </w:tcPr>
          <w:p w:rsidR="000A71E6" w:rsidRPr="003C63AC" w:rsidRDefault="000A71E6"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kt</w:t>
            </w:r>
          </w:p>
        </w:tc>
        <w:tc>
          <w:tcPr>
            <w:tcW w:w="7489" w:type="dxa"/>
          </w:tcPr>
          <w:p w:rsidR="000A71E6" w:rsidRPr="003C63AC" w:rsidRDefault="000A71E6" w:rsidP="000A71E6">
            <w:pPr>
              <w:pStyle w:val="BodyText"/>
              <w:spacing w:before="60" w:after="60"/>
              <w:rPr>
                <w:rFonts w:asciiTheme="majorHAnsi" w:hAnsiTheme="majorHAnsi"/>
                <w:sz w:val="18"/>
                <w:szCs w:val="18"/>
              </w:rPr>
            </w:pPr>
            <w:r w:rsidRPr="003C63AC">
              <w:rPr>
                <w:rFonts w:asciiTheme="majorHAnsi" w:hAnsiTheme="majorHAnsi"/>
                <w:sz w:val="18"/>
                <w:szCs w:val="18"/>
              </w:rPr>
              <w:t>Kilo tonnes, or thousand tonnes</w:t>
            </w:r>
          </w:p>
        </w:tc>
      </w:tr>
      <w:tr w:rsidR="000A71E6" w:rsidRPr="003C63AC" w:rsidTr="000A71E6">
        <w:trPr>
          <w:trHeight w:val="342"/>
        </w:trPr>
        <w:tc>
          <w:tcPr>
            <w:tcW w:w="2116" w:type="dxa"/>
          </w:tcPr>
          <w:p w:rsidR="000A71E6" w:rsidRPr="003C63AC" w:rsidRDefault="000A71E6"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MAC</w:t>
            </w:r>
          </w:p>
        </w:tc>
        <w:tc>
          <w:tcPr>
            <w:tcW w:w="7489" w:type="dxa"/>
          </w:tcPr>
          <w:p w:rsidR="000A71E6" w:rsidRPr="003C63AC" w:rsidRDefault="000A71E6" w:rsidP="000A71E6">
            <w:pPr>
              <w:pStyle w:val="BodyText"/>
              <w:spacing w:before="60" w:after="60"/>
              <w:rPr>
                <w:rFonts w:asciiTheme="majorHAnsi" w:hAnsiTheme="majorHAnsi"/>
                <w:sz w:val="18"/>
                <w:szCs w:val="18"/>
              </w:rPr>
            </w:pPr>
            <w:r w:rsidRPr="003C63AC">
              <w:rPr>
                <w:rFonts w:asciiTheme="majorHAnsi" w:hAnsiTheme="majorHAnsi"/>
                <w:sz w:val="18"/>
                <w:szCs w:val="18"/>
              </w:rPr>
              <w:t>Mobile air conditioning</w:t>
            </w:r>
          </w:p>
        </w:tc>
      </w:tr>
      <w:tr w:rsidR="000A71E6" w:rsidRPr="003C63AC" w:rsidTr="000A71E6">
        <w:trPr>
          <w:trHeight w:val="342"/>
        </w:trPr>
        <w:tc>
          <w:tcPr>
            <w:tcW w:w="2116" w:type="dxa"/>
          </w:tcPr>
          <w:p w:rsidR="000A71E6" w:rsidRPr="003C63AC" w:rsidRDefault="000A71E6"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Mt</w:t>
            </w:r>
          </w:p>
        </w:tc>
        <w:tc>
          <w:tcPr>
            <w:tcW w:w="7489" w:type="dxa"/>
          </w:tcPr>
          <w:p w:rsidR="000A71E6" w:rsidRPr="003C63AC" w:rsidRDefault="000A71E6" w:rsidP="000A71E6">
            <w:pPr>
              <w:pStyle w:val="BodyText"/>
              <w:spacing w:before="60" w:after="60"/>
              <w:rPr>
                <w:rFonts w:asciiTheme="majorHAnsi" w:hAnsiTheme="majorHAnsi"/>
                <w:sz w:val="18"/>
                <w:szCs w:val="18"/>
              </w:rPr>
            </w:pPr>
            <w:r w:rsidRPr="003C63AC">
              <w:rPr>
                <w:rFonts w:asciiTheme="majorHAnsi" w:hAnsiTheme="majorHAnsi"/>
                <w:sz w:val="18"/>
                <w:szCs w:val="18"/>
              </w:rPr>
              <w:t>Mega tonne, or million tonnes</w:t>
            </w:r>
          </w:p>
        </w:tc>
      </w:tr>
      <w:tr w:rsidR="00CE4B62" w:rsidRPr="003C63AC" w:rsidTr="000A71E6">
        <w:trPr>
          <w:trHeight w:val="342"/>
        </w:trPr>
        <w:tc>
          <w:tcPr>
            <w:tcW w:w="2116" w:type="dxa"/>
          </w:tcPr>
          <w:p w:rsidR="00CE4B62" w:rsidRPr="003C63AC" w:rsidRDefault="00CE4B62"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MVC</w:t>
            </w:r>
          </w:p>
        </w:tc>
        <w:tc>
          <w:tcPr>
            <w:tcW w:w="7489" w:type="dxa"/>
          </w:tcPr>
          <w:p w:rsidR="00CE4B62" w:rsidRPr="003C63AC" w:rsidRDefault="00CE4B62" w:rsidP="000A71E6">
            <w:pPr>
              <w:pStyle w:val="BodyText"/>
              <w:spacing w:before="60" w:after="60"/>
              <w:rPr>
                <w:rFonts w:asciiTheme="majorHAnsi" w:hAnsiTheme="majorHAnsi"/>
                <w:sz w:val="18"/>
                <w:szCs w:val="18"/>
              </w:rPr>
            </w:pPr>
            <w:r w:rsidRPr="003C63AC">
              <w:rPr>
                <w:rFonts w:asciiTheme="majorHAnsi" w:hAnsiTheme="majorHAnsi"/>
                <w:sz w:val="18"/>
                <w:szCs w:val="18"/>
              </w:rPr>
              <w:t>ABS Catalogue 9309.0, Motor Vehicle Census</w:t>
            </w:r>
          </w:p>
        </w:tc>
      </w:tr>
      <w:tr w:rsidR="000A71E6" w:rsidRPr="003C63AC" w:rsidTr="000A71E6">
        <w:trPr>
          <w:trHeight w:val="342"/>
        </w:trPr>
        <w:tc>
          <w:tcPr>
            <w:tcW w:w="2116" w:type="dxa"/>
          </w:tcPr>
          <w:p w:rsidR="000A71E6" w:rsidRPr="003C63AC" w:rsidRDefault="008071B8"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The Act</w:t>
            </w:r>
          </w:p>
        </w:tc>
        <w:tc>
          <w:tcPr>
            <w:tcW w:w="7489" w:type="dxa"/>
          </w:tcPr>
          <w:p w:rsidR="000A71E6" w:rsidRPr="003C63AC" w:rsidRDefault="008F3C36" w:rsidP="000A71E6">
            <w:pPr>
              <w:pStyle w:val="BodyText"/>
              <w:spacing w:before="60" w:after="60"/>
              <w:rPr>
                <w:rFonts w:asciiTheme="majorHAnsi" w:hAnsiTheme="majorHAnsi"/>
                <w:sz w:val="18"/>
                <w:szCs w:val="18"/>
              </w:rPr>
            </w:pPr>
            <w:r w:rsidRPr="005F3387">
              <w:rPr>
                <w:rFonts w:asciiTheme="majorHAnsi" w:hAnsiTheme="majorHAnsi"/>
                <w:i/>
                <w:sz w:val="18"/>
                <w:szCs w:val="18"/>
              </w:rPr>
              <w:t>Ozone Protection and Synthetic Greenhouse Gas Management Act 1989</w:t>
            </w:r>
            <w:r w:rsidR="000A71E6" w:rsidRPr="003C63AC">
              <w:rPr>
                <w:rFonts w:asciiTheme="majorHAnsi" w:hAnsiTheme="majorHAnsi"/>
                <w:sz w:val="18"/>
                <w:szCs w:val="18"/>
              </w:rPr>
              <w:t>, including amendments.</w:t>
            </w:r>
          </w:p>
        </w:tc>
      </w:tr>
      <w:tr w:rsidR="000A71E6" w:rsidRPr="003C63AC" w:rsidTr="000A71E6">
        <w:trPr>
          <w:trHeight w:val="342"/>
        </w:trPr>
        <w:tc>
          <w:tcPr>
            <w:tcW w:w="2116" w:type="dxa"/>
          </w:tcPr>
          <w:p w:rsidR="000A71E6" w:rsidRPr="003C63AC" w:rsidRDefault="000A71E6"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ODS</w:t>
            </w:r>
          </w:p>
        </w:tc>
        <w:tc>
          <w:tcPr>
            <w:tcW w:w="7489" w:type="dxa"/>
          </w:tcPr>
          <w:p w:rsidR="000A71E6" w:rsidRPr="003C63AC" w:rsidRDefault="000A71E6" w:rsidP="000A71E6">
            <w:pPr>
              <w:pStyle w:val="BodyText"/>
              <w:spacing w:before="60" w:after="60"/>
              <w:rPr>
                <w:rFonts w:asciiTheme="majorHAnsi" w:hAnsiTheme="majorHAnsi"/>
                <w:sz w:val="18"/>
                <w:szCs w:val="18"/>
              </w:rPr>
            </w:pPr>
            <w:r w:rsidRPr="003C63AC">
              <w:rPr>
                <w:rFonts w:asciiTheme="majorHAnsi" w:hAnsiTheme="majorHAnsi"/>
                <w:sz w:val="18"/>
                <w:szCs w:val="18"/>
              </w:rPr>
              <w:t>Ozone depleting substances</w:t>
            </w:r>
          </w:p>
        </w:tc>
      </w:tr>
      <w:tr w:rsidR="000A71E6" w:rsidRPr="003C63AC" w:rsidTr="000A71E6">
        <w:trPr>
          <w:trHeight w:val="342"/>
        </w:trPr>
        <w:tc>
          <w:tcPr>
            <w:tcW w:w="2116" w:type="dxa"/>
          </w:tcPr>
          <w:p w:rsidR="000A71E6" w:rsidRPr="003C63AC" w:rsidRDefault="000A71E6"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OEM</w:t>
            </w:r>
          </w:p>
        </w:tc>
        <w:tc>
          <w:tcPr>
            <w:tcW w:w="7489" w:type="dxa"/>
          </w:tcPr>
          <w:p w:rsidR="000A71E6" w:rsidRPr="003C63AC" w:rsidRDefault="000A71E6" w:rsidP="000A71E6">
            <w:pPr>
              <w:pStyle w:val="BodyText"/>
              <w:spacing w:before="60" w:after="60"/>
              <w:rPr>
                <w:rFonts w:asciiTheme="majorHAnsi" w:hAnsiTheme="majorHAnsi"/>
                <w:sz w:val="18"/>
                <w:szCs w:val="18"/>
              </w:rPr>
            </w:pPr>
            <w:r w:rsidRPr="003C63AC">
              <w:rPr>
                <w:rFonts w:asciiTheme="majorHAnsi" w:hAnsiTheme="majorHAnsi"/>
                <w:sz w:val="18"/>
                <w:szCs w:val="18"/>
              </w:rPr>
              <w:t>Original Equipment Manufacturer</w:t>
            </w:r>
          </w:p>
        </w:tc>
      </w:tr>
      <w:tr w:rsidR="00A64E5D" w:rsidRPr="003C63AC" w:rsidTr="000A71E6">
        <w:trPr>
          <w:trHeight w:val="342"/>
        </w:trPr>
        <w:tc>
          <w:tcPr>
            <w:tcW w:w="2116" w:type="dxa"/>
          </w:tcPr>
          <w:p w:rsidR="00A64E5D" w:rsidRPr="003C63AC" w:rsidRDefault="00A64E5D"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OHS</w:t>
            </w:r>
          </w:p>
        </w:tc>
        <w:tc>
          <w:tcPr>
            <w:tcW w:w="7489" w:type="dxa"/>
          </w:tcPr>
          <w:p w:rsidR="00A64E5D" w:rsidRPr="003C63AC" w:rsidRDefault="00A64E5D" w:rsidP="000A71E6">
            <w:pPr>
              <w:pStyle w:val="BodyText"/>
              <w:spacing w:before="60" w:after="60"/>
              <w:rPr>
                <w:rFonts w:asciiTheme="majorHAnsi" w:hAnsiTheme="majorHAnsi"/>
                <w:sz w:val="18"/>
                <w:szCs w:val="18"/>
              </w:rPr>
            </w:pPr>
            <w:r w:rsidRPr="003C63AC">
              <w:rPr>
                <w:rFonts w:asciiTheme="majorHAnsi" w:hAnsiTheme="majorHAnsi"/>
                <w:sz w:val="18"/>
                <w:szCs w:val="18"/>
              </w:rPr>
              <w:t>Occupational Health and Safety</w:t>
            </w:r>
          </w:p>
        </w:tc>
      </w:tr>
      <w:tr w:rsidR="008071B8" w:rsidRPr="003C63AC" w:rsidTr="000A71E6">
        <w:trPr>
          <w:trHeight w:val="342"/>
        </w:trPr>
        <w:tc>
          <w:tcPr>
            <w:tcW w:w="2116" w:type="dxa"/>
          </w:tcPr>
          <w:p w:rsidR="008071B8" w:rsidRPr="003C63AC" w:rsidRDefault="008071B8"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P&amp;LC</w:t>
            </w:r>
          </w:p>
        </w:tc>
        <w:tc>
          <w:tcPr>
            <w:tcW w:w="7489" w:type="dxa"/>
          </w:tcPr>
          <w:p w:rsidR="008071B8" w:rsidRPr="003C63AC" w:rsidRDefault="008071B8" w:rsidP="000A71E6">
            <w:pPr>
              <w:pStyle w:val="BodyText"/>
              <w:spacing w:before="60" w:after="60"/>
              <w:rPr>
                <w:rFonts w:asciiTheme="majorHAnsi" w:hAnsiTheme="majorHAnsi"/>
                <w:sz w:val="18"/>
                <w:szCs w:val="18"/>
              </w:rPr>
            </w:pPr>
            <w:r w:rsidRPr="003C63AC">
              <w:rPr>
                <w:rFonts w:asciiTheme="majorHAnsi" w:hAnsiTheme="majorHAnsi"/>
                <w:sz w:val="18"/>
                <w:szCs w:val="18"/>
              </w:rPr>
              <w:t>Passenger and light commercial</w:t>
            </w:r>
          </w:p>
        </w:tc>
      </w:tr>
      <w:tr w:rsidR="000A71E6" w:rsidRPr="003C63AC" w:rsidTr="000A71E6">
        <w:trPr>
          <w:trHeight w:val="342"/>
        </w:trPr>
        <w:tc>
          <w:tcPr>
            <w:tcW w:w="2116" w:type="dxa"/>
          </w:tcPr>
          <w:p w:rsidR="000A71E6" w:rsidRPr="003C63AC" w:rsidRDefault="000A71E6"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RAC</w:t>
            </w:r>
          </w:p>
        </w:tc>
        <w:tc>
          <w:tcPr>
            <w:tcW w:w="7489" w:type="dxa"/>
          </w:tcPr>
          <w:p w:rsidR="000A71E6" w:rsidRPr="003C63AC" w:rsidRDefault="000A71E6" w:rsidP="000A71E6">
            <w:pPr>
              <w:pStyle w:val="BodyText"/>
              <w:spacing w:before="60" w:after="60"/>
              <w:rPr>
                <w:rFonts w:asciiTheme="majorHAnsi" w:hAnsiTheme="majorHAnsi"/>
                <w:sz w:val="18"/>
                <w:szCs w:val="18"/>
              </w:rPr>
            </w:pPr>
            <w:r w:rsidRPr="003C63AC">
              <w:rPr>
                <w:rFonts w:asciiTheme="majorHAnsi" w:hAnsiTheme="majorHAnsi"/>
                <w:sz w:val="18"/>
                <w:szCs w:val="18"/>
              </w:rPr>
              <w:t>Refrigeration and air conditioning</w:t>
            </w:r>
          </w:p>
        </w:tc>
      </w:tr>
      <w:tr w:rsidR="000A71E6" w:rsidRPr="003C63AC" w:rsidTr="000A71E6">
        <w:trPr>
          <w:trHeight w:val="342"/>
        </w:trPr>
        <w:tc>
          <w:tcPr>
            <w:tcW w:w="2116" w:type="dxa"/>
          </w:tcPr>
          <w:p w:rsidR="000A71E6" w:rsidRPr="003C63AC" w:rsidRDefault="000A71E6"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RCFC</w:t>
            </w:r>
          </w:p>
        </w:tc>
        <w:tc>
          <w:tcPr>
            <w:tcW w:w="7489" w:type="dxa"/>
          </w:tcPr>
          <w:p w:rsidR="000A71E6" w:rsidRPr="003C63AC" w:rsidRDefault="000A71E6" w:rsidP="000A71E6">
            <w:pPr>
              <w:pStyle w:val="BodyText"/>
              <w:spacing w:before="60" w:after="60"/>
              <w:rPr>
                <w:rFonts w:asciiTheme="majorHAnsi" w:hAnsiTheme="majorHAnsi"/>
                <w:sz w:val="18"/>
                <w:szCs w:val="18"/>
              </w:rPr>
            </w:pPr>
            <w:r w:rsidRPr="003C63AC">
              <w:rPr>
                <w:rFonts w:asciiTheme="majorHAnsi" w:hAnsiTheme="majorHAnsi"/>
                <w:sz w:val="18"/>
                <w:szCs w:val="18"/>
              </w:rPr>
              <w:t>Refrigerated cold food chain</w:t>
            </w:r>
          </w:p>
        </w:tc>
      </w:tr>
      <w:tr w:rsidR="008071B8" w:rsidRPr="003C63AC" w:rsidTr="000A71E6">
        <w:trPr>
          <w:trHeight w:val="342"/>
        </w:trPr>
        <w:tc>
          <w:tcPr>
            <w:tcW w:w="2116" w:type="dxa"/>
          </w:tcPr>
          <w:p w:rsidR="008071B8" w:rsidRPr="003C63AC" w:rsidRDefault="008071B8"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RRA</w:t>
            </w:r>
          </w:p>
        </w:tc>
        <w:tc>
          <w:tcPr>
            <w:tcW w:w="7489" w:type="dxa"/>
          </w:tcPr>
          <w:p w:rsidR="008071B8" w:rsidRPr="003C63AC" w:rsidRDefault="008071B8" w:rsidP="000A71E6">
            <w:pPr>
              <w:pStyle w:val="BodyText"/>
              <w:spacing w:before="60" w:after="60"/>
              <w:rPr>
                <w:rFonts w:asciiTheme="majorHAnsi" w:hAnsiTheme="majorHAnsi"/>
                <w:sz w:val="18"/>
                <w:szCs w:val="18"/>
              </w:rPr>
            </w:pPr>
            <w:r w:rsidRPr="003C63AC">
              <w:rPr>
                <w:rFonts w:asciiTheme="majorHAnsi" w:hAnsiTheme="majorHAnsi"/>
                <w:sz w:val="18"/>
                <w:szCs w:val="18"/>
              </w:rPr>
              <w:t>Refrigerant Reclaim Australia</w:t>
            </w:r>
          </w:p>
        </w:tc>
      </w:tr>
      <w:tr w:rsidR="008071B8" w:rsidRPr="003C63AC" w:rsidTr="000A71E6">
        <w:trPr>
          <w:trHeight w:val="342"/>
        </w:trPr>
        <w:tc>
          <w:tcPr>
            <w:tcW w:w="2116" w:type="dxa"/>
          </w:tcPr>
          <w:p w:rsidR="008071B8" w:rsidRPr="003C63AC" w:rsidRDefault="008071B8"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RWO</w:t>
            </w:r>
          </w:p>
        </w:tc>
        <w:tc>
          <w:tcPr>
            <w:tcW w:w="7489" w:type="dxa"/>
          </w:tcPr>
          <w:p w:rsidR="008071B8" w:rsidRPr="003C63AC" w:rsidRDefault="008071B8" w:rsidP="000A71E6">
            <w:pPr>
              <w:pStyle w:val="BodyText"/>
              <w:spacing w:before="60" w:after="60"/>
              <w:rPr>
                <w:rFonts w:asciiTheme="majorHAnsi" w:hAnsiTheme="majorHAnsi"/>
                <w:sz w:val="18"/>
                <w:szCs w:val="18"/>
              </w:rPr>
            </w:pPr>
            <w:r w:rsidRPr="003C63AC">
              <w:rPr>
                <w:rFonts w:asciiTheme="majorHAnsi" w:hAnsiTheme="majorHAnsi"/>
                <w:sz w:val="18"/>
                <w:szCs w:val="18"/>
              </w:rPr>
              <w:t>Repairable write offs</w:t>
            </w:r>
          </w:p>
        </w:tc>
      </w:tr>
      <w:tr w:rsidR="008071B8" w:rsidRPr="003C63AC" w:rsidTr="008071B8">
        <w:trPr>
          <w:trHeight w:val="342"/>
        </w:trPr>
        <w:tc>
          <w:tcPr>
            <w:tcW w:w="2116" w:type="dxa"/>
          </w:tcPr>
          <w:p w:rsidR="008071B8" w:rsidRPr="003C63AC" w:rsidRDefault="008071B8" w:rsidP="008071B8">
            <w:pPr>
              <w:pStyle w:val="BodyText"/>
              <w:spacing w:before="60" w:after="60"/>
              <w:jc w:val="left"/>
              <w:rPr>
                <w:rFonts w:asciiTheme="majorHAnsi" w:hAnsiTheme="majorHAnsi"/>
                <w:sz w:val="18"/>
                <w:szCs w:val="18"/>
              </w:rPr>
            </w:pPr>
            <w:r w:rsidRPr="003C63AC">
              <w:rPr>
                <w:rFonts w:asciiTheme="majorHAnsi" w:hAnsiTheme="majorHAnsi"/>
                <w:sz w:val="18"/>
                <w:szCs w:val="18"/>
              </w:rPr>
              <w:t>SGG</w:t>
            </w:r>
          </w:p>
        </w:tc>
        <w:tc>
          <w:tcPr>
            <w:tcW w:w="7489" w:type="dxa"/>
          </w:tcPr>
          <w:p w:rsidR="008071B8" w:rsidRPr="003C63AC" w:rsidRDefault="008071B8" w:rsidP="008071B8">
            <w:pPr>
              <w:pStyle w:val="BodyText"/>
              <w:spacing w:before="60" w:after="60"/>
              <w:rPr>
                <w:rFonts w:asciiTheme="majorHAnsi" w:hAnsiTheme="majorHAnsi"/>
                <w:sz w:val="18"/>
                <w:szCs w:val="18"/>
              </w:rPr>
            </w:pPr>
            <w:r w:rsidRPr="003C63AC">
              <w:rPr>
                <w:rFonts w:asciiTheme="majorHAnsi" w:hAnsiTheme="majorHAnsi"/>
                <w:sz w:val="18"/>
                <w:szCs w:val="18"/>
              </w:rPr>
              <w:t>Synthetic greenhouse gas</w:t>
            </w:r>
          </w:p>
        </w:tc>
      </w:tr>
      <w:tr w:rsidR="008071B8" w:rsidRPr="003C63AC" w:rsidTr="000A71E6">
        <w:trPr>
          <w:trHeight w:val="342"/>
        </w:trPr>
        <w:tc>
          <w:tcPr>
            <w:tcW w:w="2116" w:type="dxa"/>
          </w:tcPr>
          <w:p w:rsidR="008071B8" w:rsidRPr="003C63AC" w:rsidRDefault="008071B8"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SNR</w:t>
            </w:r>
          </w:p>
        </w:tc>
        <w:tc>
          <w:tcPr>
            <w:tcW w:w="7489" w:type="dxa"/>
          </w:tcPr>
          <w:p w:rsidR="008071B8" w:rsidRPr="003C63AC" w:rsidRDefault="008071B8" w:rsidP="000A71E6">
            <w:pPr>
              <w:pStyle w:val="BodyText"/>
              <w:spacing w:before="60" w:after="60"/>
              <w:rPr>
                <w:rFonts w:asciiTheme="majorHAnsi" w:hAnsiTheme="majorHAnsi"/>
                <w:sz w:val="18"/>
                <w:szCs w:val="18"/>
              </w:rPr>
            </w:pPr>
            <w:r w:rsidRPr="003C63AC">
              <w:rPr>
                <w:rFonts w:asciiTheme="majorHAnsi" w:hAnsiTheme="majorHAnsi"/>
                <w:sz w:val="18"/>
                <w:szCs w:val="18"/>
              </w:rPr>
              <w:t>Stolen and never recovered</w:t>
            </w:r>
          </w:p>
        </w:tc>
      </w:tr>
      <w:tr w:rsidR="008071B8" w:rsidRPr="003C63AC" w:rsidTr="000A71E6">
        <w:trPr>
          <w:trHeight w:val="342"/>
        </w:trPr>
        <w:tc>
          <w:tcPr>
            <w:tcW w:w="2116" w:type="dxa"/>
          </w:tcPr>
          <w:p w:rsidR="008071B8" w:rsidRPr="003C63AC" w:rsidRDefault="008071B8"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SWO</w:t>
            </w:r>
          </w:p>
        </w:tc>
        <w:tc>
          <w:tcPr>
            <w:tcW w:w="7489" w:type="dxa"/>
          </w:tcPr>
          <w:p w:rsidR="008071B8" w:rsidRPr="003C63AC" w:rsidRDefault="008071B8" w:rsidP="000A71E6">
            <w:pPr>
              <w:pStyle w:val="BodyText"/>
              <w:spacing w:before="60" w:after="60"/>
              <w:rPr>
                <w:rFonts w:asciiTheme="majorHAnsi" w:hAnsiTheme="majorHAnsi"/>
                <w:sz w:val="18"/>
                <w:szCs w:val="18"/>
              </w:rPr>
            </w:pPr>
            <w:r w:rsidRPr="003C63AC">
              <w:rPr>
                <w:rFonts w:asciiTheme="majorHAnsi" w:hAnsiTheme="majorHAnsi"/>
                <w:sz w:val="18"/>
                <w:szCs w:val="18"/>
              </w:rPr>
              <w:t>Statutory write-off’</w:t>
            </w:r>
          </w:p>
        </w:tc>
      </w:tr>
      <w:tr w:rsidR="000A71E6" w:rsidRPr="003C63AC" w:rsidTr="000A71E6">
        <w:trPr>
          <w:trHeight w:val="342"/>
        </w:trPr>
        <w:tc>
          <w:tcPr>
            <w:tcW w:w="2116" w:type="dxa"/>
          </w:tcPr>
          <w:p w:rsidR="000A71E6" w:rsidRPr="003C63AC" w:rsidRDefault="000A71E6"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Tonne</w:t>
            </w:r>
          </w:p>
        </w:tc>
        <w:tc>
          <w:tcPr>
            <w:tcW w:w="7489" w:type="dxa"/>
          </w:tcPr>
          <w:p w:rsidR="000A71E6" w:rsidRPr="003C63AC" w:rsidRDefault="000A71E6" w:rsidP="000A71E6">
            <w:pPr>
              <w:pStyle w:val="BodyText"/>
              <w:spacing w:before="60" w:after="60"/>
              <w:rPr>
                <w:rFonts w:asciiTheme="majorHAnsi" w:hAnsiTheme="majorHAnsi"/>
                <w:sz w:val="18"/>
                <w:szCs w:val="18"/>
              </w:rPr>
            </w:pPr>
            <w:r w:rsidRPr="003C63AC">
              <w:rPr>
                <w:rFonts w:asciiTheme="majorHAnsi" w:hAnsiTheme="majorHAnsi"/>
                <w:sz w:val="18"/>
                <w:szCs w:val="18"/>
              </w:rPr>
              <w:t>Metric tonne</w:t>
            </w:r>
          </w:p>
        </w:tc>
      </w:tr>
      <w:tr w:rsidR="000A71E6" w:rsidRPr="003C63AC" w:rsidTr="000A71E6">
        <w:trPr>
          <w:trHeight w:val="342"/>
        </w:trPr>
        <w:tc>
          <w:tcPr>
            <w:tcW w:w="2116" w:type="dxa"/>
          </w:tcPr>
          <w:p w:rsidR="000A71E6" w:rsidRPr="003C63AC" w:rsidRDefault="000A71E6" w:rsidP="000A71E6">
            <w:pPr>
              <w:pStyle w:val="BodyText"/>
              <w:spacing w:before="60" w:after="60"/>
              <w:jc w:val="left"/>
              <w:rPr>
                <w:rFonts w:asciiTheme="majorHAnsi" w:hAnsiTheme="majorHAnsi"/>
                <w:sz w:val="18"/>
                <w:szCs w:val="18"/>
              </w:rPr>
            </w:pPr>
            <w:r w:rsidRPr="003C63AC">
              <w:rPr>
                <w:rFonts w:asciiTheme="majorHAnsi" w:hAnsiTheme="majorHAnsi"/>
                <w:sz w:val="18"/>
                <w:szCs w:val="18"/>
              </w:rPr>
              <w:t>UNFCCC</w:t>
            </w:r>
          </w:p>
        </w:tc>
        <w:tc>
          <w:tcPr>
            <w:tcW w:w="7489" w:type="dxa"/>
          </w:tcPr>
          <w:p w:rsidR="000A71E6" w:rsidRPr="003C63AC" w:rsidRDefault="000A71E6" w:rsidP="000A71E6">
            <w:pPr>
              <w:pStyle w:val="BodyText"/>
              <w:spacing w:before="60" w:after="60"/>
              <w:rPr>
                <w:rFonts w:asciiTheme="majorHAnsi" w:hAnsiTheme="majorHAnsi"/>
                <w:sz w:val="18"/>
                <w:szCs w:val="18"/>
              </w:rPr>
            </w:pPr>
            <w:r w:rsidRPr="003C63AC">
              <w:rPr>
                <w:rFonts w:asciiTheme="majorHAnsi" w:hAnsiTheme="majorHAnsi"/>
                <w:sz w:val="18"/>
                <w:szCs w:val="18"/>
              </w:rPr>
              <w:t xml:space="preserve">United Nations Framework Convention on Climate Change </w:t>
            </w:r>
          </w:p>
        </w:tc>
      </w:tr>
    </w:tbl>
    <w:p w:rsidR="00970378" w:rsidRPr="003C63AC" w:rsidRDefault="00970378">
      <w:pPr>
        <w:spacing w:before="0"/>
        <w:jc w:val="left"/>
        <w:rPr>
          <w:rFonts w:cs="Times New Roman"/>
          <w:sz w:val="24"/>
        </w:rPr>
      </w:pPr>
      <w:r w:rsidRPr="003C63AC">
        <w:rPr>
          <w:rFonts w:cs="Times New Roman"/>
          <w:sz w:val="24"/>
        </w:rPr>
        <w:br w:type="page"/>
      </w:r>
    </w:p>
    <w:p w:rsidR="003C25E3" w:rsidRPr="003C63AC" w:rsidRDefault="003C25E3" w:rsidP="00E7047D">
      <w:pPr>
        <w:pStyle w:val="Heading1"/>
        <w:ind w:left="432"/>
        <w:rPr>
          <w:lang w:val="en-AU"/>
        </w:rPr>
      </w:pPr>
      <w:bookmarkStart w:id="5" w:name="_Toc430778970"/>
      <w:r w:rsidRPr="003C63AC">
        <w:rPr>
          <w:lang w:val="en-AU"/>
        </w:rPr>
        <w:lastRenderedPageBreak/>
        <w:t>Executive Summary</w:t>
      </w:r>
      <w:bookmarkEnd w:id="5"/>
    </w:p>
    <w:p w:rsidR="00CE7C55" w:rsidRPr="003C63AC" w:rsidRDefault="00CE7C55" w:rsidP="00CE7C55">
      <w:pPr>
        <w:rPr>
          <w:lang w:val="en-US"/>
        </w:rPr>
      </w:pPr>
      <w:r w:rsidRPr="003C63AC">
        <w:rPr>
          <w:lang w:val="en-US"/>
        </w:rPr>
        <w:t xml:space="preserve">In 2013 </w:t>
      </w:r>
      <w:r w:rsidRPr="002A1EBC">
        <w:rPr>
          <w:lang w:val="en-US"/>
        </w:rPr>
        <w:t xml:space="preserve">approximately </w:t>
      </w:r>
      <w:r w:rsidR="00D25133" w:rsidRPr="002A1EBC">
        <w:rPr>
          <w:lang w:val="en-US"/>
        </w:rPr>
        <w:t>658,000</w:t>
      </w:r>
      <w:r w:rsidRPr="002A1EBC">
        <w:rPr>
          <w:lang w:val="en-US"/>
        </w:rPr>
        <w:t xml:space="preserve"> passenger</w:t>
      </w:r>
      <w:r w:rsidRPr="003C63AC">
        <w:rPr>
          <w:lang w:val="en-US"/>
        </w:rPr>
        <w:t xml:space="preserve"> and light commercial vehicles were not re-registered in Australia. Approximately one third of these vehicles were damaged by a collision or event</w:t>
      </w:r>
      <w:r w:rsidR="00444866" w:rsidRPr="003C63AC">
        <w:rPr>
          <w:lang w:val="en-US"/>
        </w:rPr>
        <w:t>,</w:t>
      </w:r>
      <w:r w:rsidRPr="003C63AC">
        <w:rPr>
          <w:lang w:val="en-US"/>
        </w:rPr>
        <w:t xml:space="preserve"> or were part of the relatively small number of vehicles that were stolen. Approximately two thirds were </w:t>
      </w:r>
      <w:r w:rsidR="00444866" w:rsidRPr="003C63AC">
        <w:rPr>
          <w:lang w:val="en-US"/>
        </w:rPr>
        <w:t xml:space="preserve">not re-registered and </w:t>
      </w:r>
      <w:r w:rsidRPr="003C63AC">
        <w:rPr>
          <w:lang w:val="en-US"/>
        </w:rPr>
        <w:t xml:space="preserve">retired from use as a result of </w:t>
      </w:r>
      <w:r w:rsidR="00CF2935" w:rsidRPr="003C63AC">
        <w:rPr>
          <w:lang w:val="en-US"/>
        </w:rPr>
        <w:t xml:space="preserve">old </w:t>
      </w:r>
      <w:r w:rsidRPr="003C63AC">
        <w:rPr>
          <w:lang w:val="en-US"/>
        </w:rPr>
        <w:t>age, mechanical breakdown or</w:t>
      </w:r>
      <w:r w:rsidR="00444866" w:rsidRPr="003C63AC">
        <w:rPr>
          <w:lang w:val="en-US"/>
        </w:rPr>
        <w:t xml:space="preserve"> due to </w:t>
      </w:r>
      <w:r w:rsidR="00CF2935" w:rsidRPr="003C63AC">
        <w:rPr>
          <w:lang w:val="en-US"/>
        </w:rPr>
        <w:t>e</w:t>
      </w:r>
      <w:r w:rsidRPr="003C63AC">
        <w:rPr>
          <w:lang w:val="en-US"/>
        </w:rPr>
        <w:t>conomic circumstances</w:t>
      </w:r>
      <w:r w:rsidR="00CF2935" w:rsidRPr="003C63AC">
        <w:rPr>
          <w:lang w:val="en-US"/>
        </w:rPr>
        <w:t xml:space="preserve"> decided by the vehicle owner</w:t>
      </w:r>
      <w:r w:rsidR="006D2C2E" w:rsidRPr="003C63AC">
        <w:rPr>
          <w:lang w:val="en-US"/>
        </w:rPr>
        <w:t>.</w:t>
      </w:r>
    </w:p>
    <w:p w:rsidR="00032822" w:rsidRPr="003C63AC" w:rsidRDefault="00D25133" w:rsidP="00CE7C55">
      <w:pPr>
        <w:rPr>
          <w:lang w:val="en-US"/>
        </w:rPr>
      </w:pPr>
      <w:r w:rsidRPr="002A1EBC">
        <w:rPr>
          <w:lang w:val="en-US"/>
        </w:rPr>
        <w:t>It is estimated that as much as one third of all end-of-li</w:t>
      </w:r>
      <w:r w:rsidR="00424526" w:rsidRPr="002A1EBC">
        <w:rPr>
          <w:lang w:val="en-US"/>
        </w:rPr>
        <w:t>f</w:t>
      </w:r>
      <w:r w:rsidRPr="002A1EBC">
        <w:rPr>
          <w:lang w:val="en-US"/>
        </w:rPr>
        <w:t>e vehicles (ELVs) had no residual refrigerant charge when dismantled or crushed. However</w:t>
      </w:r>
      <w:r w:rsidR="00424526" w:rsidRPr="002A1EBC">
        <w:rPr>
          <w:lang w:val="en-US"/>
        </w:rPr>
        <w:t>,</w:t>
      </w:r>
      <w:r w:rsidRPr="002A1EBC">
        <w:rPr>
          <w:lang w:val="en-US"/>
        </w:rPr>
        <w:t xml:space="preserve"> across the entire population of ELVs it is estimated that they contained on average 340 grams of refrigerant gas each. In aggregate, ELVs in 2013 were estimated to contain approximately 187 tonnes of high </w:t>
      </w:r>
      <w:r w:rsidR="00424526" w:rsidRPr="002A1EBC">
        <w:rPr>
          <w:lang w:val="en-US"/>
        </w:rPr>
        <w:t>global warming potential (</w:t>
      </w:r>
      <w:r w:rsidRPr="002A1EBC">
        <w:rPr>
          <w:lang w:val="en-US"/>
        </w:rPr>
        <w:t>GWP</w:t>
      </w:r>
      <w:r w:rsidR="00424526" w:rsidRPr="002A1EBC">
        <w:rPr>
          <w:lang w:val="en-US"/>
        </w:rPr>
        <w:t>)</w:t>
      </w:r>
      <w:r w:rsidRPr="002A1EBC">
        <w:rPr>
          <w:lang w:val="en-US"/>
        </w:rPr>
        <w:t xml:space="preserve"> refrigerant, comprising 166 tonnes of HFC-134a and 21 tonnes of CFC-12</w:t>
      </w:r>
      <w:r w:rsidRPr="002A1EBC">
        <w:rPr>
          <w:sz w:val="16"/>
          <w:szCs w:val="16"/>
          <w:lang w:val="en-US"/>
        </w:rPr>
        <w:t>.</w:t>
      </w:r>
    </w:p>
    <w:p w:rsidR="008E0CFC" w:rsidRPr="003C63AC" w:rsidRDefault="008E0CFC" w:rsidP="008E0CFC">
      <w:r w:rsidRPr="003C63AC">
        <w:t xml:space="preserve">Using a GWP of 1430 for HFC-134a, as published in the IPCC’s Fourth Assessment Report, it is estimated that the residual </w:t>
      </w:r>
      <w:r w:rsidR="00805543">
        <w:t xml:space="preserve">HFC </w:t>
      </w:r>
      <w:r w:rsidRPr="003C63AC">
        <w:t>refrigerant in ELVs has an equival</w:t>
      </w:r>
      <w:r w:rsidRPr="00AD4F11">
        <w:t xml:space="preserve">ent global warming impact </w:t>
      </w:r>
      <w:r w:rsidR="008625EE" w:rsidRPr="005728F4">
        <w:t xml:space="preserve">of </w:t>
      </w:r>
      <w:r w:rsidRPr="000F5EF8">
        <w:t>237 kt of CO</w:t>
      </w:r>
      <w:r w:rsidRPr="004F1732">
        <w:rPr>
          <w:vertAlign w:val="subscript"/>
        </w:rPr>
        <w:t>2</w:t>
      </w:r>
      <w:r w:rsidRPr="004F1732">
        <w:t xml:space="preserve">e. </w:t>
      </w:r>
      <w:r w:rsidR="006D2C2E" w:rsidRPr="00AD02ED">
        <w:t>Using a GWP of 10</w:t>
      </w:r>
      <w:r w:rsidRPr="00D357AA">
        <w:t>900 (AR4 GWP-100 Year) for CFC-12 this component of the ELV gas pool was equivalent to 232 kt of CO</w:t>
      </w:r>
      <w:r w:rsidRPr="00920E28">
        <w:rPr>
          <w:vertAlign w:val="subscript"/>
        </w:rPr>
        <w:t>2</w:t>
      </w:r>
      <w:r w:rsidR="00FA0EE5">
        <w:rPr>
          <w:vertAlign w:val="subscript"/>
        </w:rPr>
        <w:t xml:space="preserve"> </w:t>
      </w:r>
      <w:r w:rsidR="00D25133" w:rsidRPr="00D25133">
        <w:t xml:space="preserve">(noting </w:t>
      </w:r>
      <w:r w:rsidR="00FA0EE5">
        <w:t xml:space="preserve">that emissions of CFCs are not counted towards Australia’s </w:t>
      </w:r>
      <w:r w:rsidR="00C11D5B">
        <w:t>Kyoto Protocol commitments as they are managed under the Montreal Protocol)</w:t>
      </w:r>
      <w:r w:rsidRPr="00920E28">
        <w:t>. Thus the entire pool of 187 tonnes of residual high GWP refrigerant in</w:t>
      </w:r>
      <w:r w:rsidRPr="003C63AC">
        <w:t xml:space="preserve"> ELVs in 2013 was </w:t>
      </w:r>
      <w:r w:rsidR="00805543">
        <w:t xml:space="preserve">estimated as </w:t>
      </w:r>
      <w:r w:rsidRPr="003C63AC">
        <w:t>equivalent to 468 kt of CO</w:t>
      </w:r>
      <w:r w:rsidRPr="003C63AC">
        <w:rPr>
          <w:vertAlign w:val="subscript"/>
        </w:rPr>
        <w:t>2</w:t>
      </w:r>
      <w:r w:rsidRPr="003C63AC">
        <w:t xml:space="preserve">. </w:t>
      </w:r>
    </w:p>
    <w:p w:rsidR="00CE7C55" w:rsidRPr="003C63AC" w:rsidRDefault="008E0CFC" w:rsidP="00292FD5">
      <w:pPr>
        <w:rPr>
          <w:lang w:val="en-US"/>
        </w:rPr>
      </w:pPr>
      <w:r w:rsidRPr="003C63AC">
        <w:t xml:space="preserve">While we expect </w:t>
      </w:r>
      <w:r w:rsidR="00805543">
        <w:t>up to</w:t>
      </w:r>
      <w:r w:rsidRPr="003C63AC">
        <w:t xml:space="preserve"> 10 per cent of that pool was recovered</w:t>
      </w:r>
      <w:r w:rsidR="002A1EBC">
        <w:t>,</w:t>
      </w:r>
      <w:r w:rsidRPr="003C63AC">
        <w:t xml:space="preserve"> that still means </w:t>
      </w:r>
      <w:r w:rsidR="001153B4">
        <w:t xml:space="preserve">that </w:t>
      </w:r>
      <w:r w:rsidRPr="003C63AC">
        <w:t xml:space="preserve">the equivalent of </w:t>
      </w:r>
      <w:r w:rsidR="00292FD5" w:rsidRPr="00AD4F11">
        <w:t xml:space="preserve">more than </w:t>
      </w:r>
      <w:r w:rsidRPr="005728F4">
        <w:t>400 kt</w:t>
      </w:r>
      <w:r w:rsidR="00FC0DF3" w:rsidRPr="000F5EF8">
        <w:t xml:space="preserve"> CO</w:t>
      </w:r>
      <w:r w:rsidR="00FC0DF3" w:rsidRPr="004F1732">
        <w:rPr>
          <w:vertAlign w:val="subscript"/>
        </w:rPr>
        <w:t>2</w:t>
      </w:r>
      <w:r w:rsidR="00FC0DF3" w:rsidRPr="004F1732">
        <w:t xml:space="preserve">e </w:t>
      </w:r>
      <w:r w:rsidR="005F3387">
        <w:t xml:space="preserve">was </w:t>
      </w:r>
      <w:r w:rsidR="00805543">
        <w:t>estimated</w:t>
      </w:r>
      <w:r w:rsidR="00805543" w:rsidRPr="00AD02ED">
        <w:t xml:space="preserve"> </w:t>
      </w:r>
      <w:r w:rsidRPr="00AD02ED">
        <w:t>to have been emitted. This is equiva</w:t>
      </w:r>
      <w:r w:rsidRPr="00D357AA">
        <w:t xml:space="preserve">lent to 23 per cent of the estimated direct emissions from operating </w:t>
      </w:r>
      <w:r w:rsidR="008625EE" w:rsidRPr="00920E28">
        <w:t>mobile air conditioning</w:t>
      </w:r>
      <w:r w:rsidR="007F2256">
        <w:t xml:space="preserve"> (MAC)</w:t>
      </w:r>
      <w:r w:rsidR="008625EE" w:rsidRPr="00920E28">
        <w:t xml:space="preserve"> systems </w:t>
      </w:r>
      <w:r w:rsidRPr="00920E28">
        <w:t>in 2013 and is roughly equivalent to 5 per cent of total consumption (imports) in 2013 from all applications.</w:t>
      </w:r>
    </w:p>
    <w:p w:rsidR="00CE7C55" w:rsidRPr="003C63AC" w:rsidRDefault="0091635D" w:rsidP="00CE7C55">
      <w:pPr>
        <w:rPr>
          <w:lang w:val="en-US"/>
        </w:rPr>
      </w:pPr>
      <w:r>
        <w:rPr>
          <w:lang w:val="en-US"/>
        </w:rPr>
        <w:t xml:space="preserve">Overall the study was </w:t>
      </w:r>
      <w:r w:rsidR="00CE7C55" w:rsidRPr="003C63AC">
        <w:rPr>
          <w:lang w:val="en-US"/>
        </w:rPr>
        <w:t xml:space="preserve">Refrigerant gas emissions from ELVs primarily </w:t>
      </w:r>
      <w:r w:rsidR="00805543">
        <w:rPr>
          <w:lang w:val="en-US"/>
        </w:rPr>
        <w:t>occur</w:t>
      </w:r>
      <w:r w:rsidR="00805543" w:rsidRPr="003C63AC">
        <w:rPr>
          <w:lang w:val="en-US"/>
        </w:rPr>
        <w:t xml:space="preserve"> </w:t>
      </w:r>
      <w:r w:rsidR="00FC0DF3" w:rsidRPr="003C63AC">
        <w:rPr>
          <w:lang w:val="en-US"/>
        </w:rPr>
        <w:t xml:space="preserve">at the point </w:t>
      </w:r>
      <w:r w:rsidR="00CF2935" w:rsidRPr="003C63AC">
        <w:rPr>
          <w:lang w:val="en-US"/>
        </w:rPr>
        <w:t xml:space="preserve">where </w:t>
      </w:r>
      <w:r w:rsidR="00FC0DF3" w:rsidRPr="003C63AC">
        <w:rPr>
          <w:lang w:val="en-US"/>
        </w:rPr>
        <w:t xml:space="preserve">the </w:t>
      </w:r>
      <w:r w:rsidR="00CE7C55" w:rsidRPr="003C63AC">
        <w:rPr>
          <w:lang w:val="en-US"/>
        </w:rPr>
        <w:t xml:space="preserve">vehicles </w:t>
      </w:r>
      <w:r w:rsidR="00FC0DF3" w:rsidRPr="003C63AC">
        <w:rPr>
          <w:lang w:val="en-US"/>
        </w:rPr>
        <w:t xml:space="preserve">are </w:t>
      </w:r>
      <w:r w:rsidR="00CE7C55" w:rsidRPr="003C63AC">
        <w:rPr>
          <w:lang w:val="en-US"/>
        </w:rPr>
        <w:t xml:space="preserve">dismantled for spare parts, </w:t>
      </w:r>
      <w:r w:rsidR="00805543">
        <w:rPr>
          <w:lang w:val="en-US"/>
        </w:rPr>
        <w:t>and where</w:t>
      </w:r>
      <w:r w:rsidR="00CE7C55" w:rsidRPr="003C63AC">
        <w:rPr>
          <w:lang w:val="en-US"/>
        </w:rPr>
        <w:t xml:space="preserve"> the air conditioner </w:t>
      </w:r>
      <w:r w:rsidR="00805543">
        <w:rPr>
          <w:lang w:val="en-US"/>
        </w:rPr>
        <w:t xml:space="preserve">is not </w:t>
      </w:r>
      <w:r w:rsidR="00CE7C55" w:rsidRPr="003C63AC">
        <w:rPr>
          <w:lang w:val="en-US"/>
        </w:rPr>
        <w:t xml:space="preserve">first degassed. </w:t>
      </w:r>
    </w:p>
    <w:p w:rsidR="00CE7C55" w:rsidRPr="003C63AC" w:rsidRDefault="00CE7C55" w:rsidP="00CE7C55">
      <w:pPr>
        <w:rPr>
          <w:lang w:val="en-US"/>
        </w:rPr>
      </w:pPr>
      <w:r w:rsidRPr="003C63AC">
        <w:rPr>
          <w:lang w:val="en-US"/>
        </w:rPr>
        <w:t>A small number of ELVs may</w:t>
      </w:r>
      <w:r w:rsidR="00FC0DF3" w:rsidRPr="003C63AC">
        <w:rPr>
          <w:lang w:val="en-US"/>
        </w:rPr>
        <w:t xml:space="preserve"> be</w:t>
      </w:r>
      <w:r w:rsidRPr="003C63AC">
        <w:rPr>
          <w:lang w:val="en-US"/>
        </w:rPr>
        <w:t xml:space="preserve"> </w:t>
      </w:r>
      <w:r w:rsidR="00FC0DF3" w:rsidRPr="003C63AC">
        <w:rPr>
          <w:lang w:val="en-US"/>
        </w:rPr>
        <w:t xml:space="preserve">crushed </w:t>
      </w:r>
      <w:r w:rsidRPr="003C63AC">
        <w:rPr>
          <w:lang w:val="en-US"/>
        </w:rPr>
        <w:t xml:space="preserve">without first being stripped for parts. However because of the value of </w:t>
      </w:r>
      <w:r w:rsidR="00FC0DF3" w:rsidRPr="003C63AC">
        <w:rPr>
          <w:lang w:val="en-US"/>
        </w:rPr>
        <w:t xml:space="preserve">the </w:t>
      </w:r>
      <w:r w:rsidRPr="003C63AC">
        <w:rPr>
          <w:lang w:val="en-US"/>
        </w:rPr>
        <w:t xml:space="preserve">non-ferrous metals and </w:t>
      </w:r>
      <w:r w:rsidR="00FC0DF3" w:rsidRPr="003C63AC">
        <w:rPr>
          <w:lang w:val="en-US"/>
        </w:rPr>
        <w:t xml:space="preserve">spare </w:t>
      </w:r>
      <w:r w:rsidRPr="003C63AC">
        <w:rPr>
          <w:lang w:val="en-US"/>
        </w:rPr>
        <w:t xml:space="preserve">parts that can be recovered from ELVs, the majority of them will have been delivered to an auto-parts recycling business, and partly or completely dismantled to recover any saleable spare parts and non-ferrous metals before the chassis </w:t>
      </w:r>
      <w:r w:rsidR="008625EE" w:rsidRPr="003C63AC">
        <w:rPr>
          <w:lang w:val="en-US"/>
        </w:rPr>
        <w:t xml:space="preserve">is </w:t>
      </w:r>
      <w:r w:rsidRPr="003C63AC">
        <w:rPr>
          <w:lang w:val="en-US"/>
        </w:rPr>
        <w:t xml:space="preserve">crushed and sold for scrap steel. </w:t>
      </w:r>
    </w:p>
    <w:p w:rsidR="00CE7C55" w:rsidRPr="003C63AC" w:rsidRDefault="00CE7C55" w:rsidP="00CE7C55">
      <w:pPr>
        <w:rPr>
          <w:lang w:val="en-US"/>
        </w:rPr>
      </w:pPr>
      <w:r w:rsidRPr="003C63AC">
        <w:rPr>
          <w:lang w:val="en-US"/>
        </w:rPr>
        <w:t xml:space="preserve">It is estimated that there are more than 1,800 businesses and sole traders involved in dismantling ELVs. </w:t>
      </w:r>
      <w:r w:rsidR="00CC6025">
        <w:rPr>
          <w:lang w:val="en-US"/>
        </w:rPr>
        <w:t>It is a commonly</w:t>
      </w:r>
      <w:r w:rsidR="00420C49">
        <w:rPr>
          <w:lang w:val="en-US"/>
        </w:rPr>
        <w:t xml:space="preserve"> stated view by industry leaders</w:t>
      </w:r>
      <w:r w:rsidR="00CC6025">
        <w:rPr>
          <w:lang w:val="en-US"/>
        </w:rPr>
        <w:t xml:space="preserve"> </w:t>
      </w:r>
      <w:r w:rsidR="004711A6">
        <w:rPr>
          <w:lang w:val="en-US"/>
        </w:rPr>
        <w:t xml:space="preserve">who participated in this study </w:t>
      </w:r>
      <w:r w:rsidR="00CC6025">
        <w:rPr>
          <w:lang w:val="en-US"/>
        </w:rPr>
        <w:t>that only a</w:t>
      </w:r>
      <w:r w:rsidRPr="003C63AC">
        <w:rPr>
          <w:lang w:val="en-US"/>
        </w:rPr>
        <w:t xml:space="preserve"> small proportion of the larger enterprises in this industry</w:t>
      </w:r>
      <w:r w:rsidR="00FC0DF3" w:rsidRPr="003C63AC">
        <w:rPr>
          <w:lang w:val="en-US"/>
        </w:rPr>
        <w:t>, and the industry association</w:t>
      </w:r>
      <w:r w:rsidR="00F43D7D" w:rsidRPr="003C63AC">
        <w:rPr>
          <w:lang w:val="en-US"/>
        </w:rPr>
        <w:t>s</w:t>
      </w:r>
      <w:r w:rsidR="00FC0DF3" w:rsidRPr="003C63AC">
        <w:rPr>
          <w:rStyle w:val="FootnoteReference"/>
          <w:lang w:val="en-US"/>
        </w:rPr>
        <w:footnoteReference w:id="1"/>
      </w:r>
      <w:r w:rsidR="00F43D7D" w:rsidRPr="003C63AC">
        <w:rPr>
          <w:lang w:val="en-US"/>
        </w:rPr>
        <w:t>,</w:t>
      </w:r>
      <w:r w:rsidRPr="003C63AC">
        <w:rPr>
          <w:lang w:val="en-US"/>
        </w:rPr>
        <w:t xml:space="preserve"> are working to achieve best practice outcomes and process ELVs with careful </w:t>
      </w:r>
      <w:r w:rsidR="00CC6025">
        <w:rPr>
          <w:lang w:val="en-US"/>
        </w:rPr>
        <w:t>management of the many</w:t>
      </w:r>
      <w:r w:rsidRPr="003C63AC">
        <w:rPr>
          <w:lang w:val="en-US"/>
        </w:rPr>
        <w:t xml:space="preserve"> pollutants that the activity can produce, including recovery of remnant refrigerant gas. </w:t>
      </w:r>
    </w:p>
    <w:p w:rsidR="0091635D" w:rsidRDefault="00CC6025" w:rsidP="00CE7C55">
      <w:pPr>
        <w:rPr>
          <w:lang w:val="en-US"/>
        </w:rPr>
      </w:pPr>
      <w:r>
        <w:rPr>
          <w:lang w:val="en-US"/>
        </w:rPr>
        <w:t xml:space="preserve">Combined with </w:t>
      </w:r>
      <w:r w:rsidR="00420C49">
        <w:rPr>
          <w:lang w:val="en-US"/>
        </w:rPr>
        <w:t xml:space="preserve">hard </w:t>
      </w:r>
      <w:r>
        <w:rPr>
          <w:lang w:val="en-US"/>
        </w:rPr>
        <w:t>data for recovery and destruction of the main sp</w:t>
      </w:r>
      <w:r w:rsidR="00420C49">
        <w:rPr>
          <w:lang w:val="en-US"/>
        </w:rPr>
        <w:t>ecies of gas found in ELVs, the</w:t>
      </w:r>
      <w:r>
        <w:rPr>
          <w:lang w:val="en-US"/>
        </w:rPr>
        <w:t xml:space="preserve"> </w:t>
      </w:r>
      <w:r w:rsidR="00420C49">
        <w:rPr>
          <w:lang w:val="en-US"/>
        </w:rPr>
        <w:t xml:space="preserve">anecdotal </w:t>
      </w:r>
      <w:r>
        <w:rPr>
          <w:lang w:val="en-US"/>
        </w:rPr>
        <w:t>report</w:t>
      </w:r>
      <w:r w:rsidR="00420C49">
        <w:rPr>
          <w:lang w:val="en-US"/>
        </w:rPr>
        <w:t>s,</w:t>
      </w:r>
      <w:r>
        <w:rPr>
          <w:lang w:val="en-US"/>
        </w:rPr>
        <w:t xml:space="preserve"> </w:t>
      </w:r>
      <w:r w:rsidR="00420C49">
        <w:rPr>
          <w:lang w:val="en-US"/>
        </w:rPr>
        <w:t xml:space="preserve">from within the industry, </w:t>
      </w:r>
      <w:r>
        <w:rPr>
          <w:lang w:val="en-US"/>
        </w:rPr>
        <w:t>of low levels of recoveries is reasonable grounds on which to determine that the</w:t>
      </w:r>
      <w:r w:rsidR="00CE7C55" w:rsidRPr="003C63AC">
        <w:rPr>
          <w:lang w:val="en-US"/>
        </w:rPr>
        <w:t xml:space="preserve"> majority of industry participants do not recover remnant refrigerant gas from the ELVs they process. </w:t>
      </w:r>
    </w:p>
    <w:p w:rsidR="00CE7C55" w:rsidRPr="003C63AC" w:rsidRDefault="00CE7C55" w:rsidP="00CE7C55">
      <w:pPr>
        <w:rPr>
          <w:lang w:val="en-US"/>
        </w:rPr>
      </w:pPr>
      <w:r w:rsidRPr="003C63AC">
        <w:rPr>
          <w:lang w:val="en-US"/>
        </w:rPr>
        <w:t xml:space="preserve">Overall compliance with a range of environmental and </w:t>
      </w:r>
      <w:r w:rsidR="00424526">
        <w:rPr>
          <w:lang w:val="en-US"/>
        </w:rPr>
        <w:t>occupational health and safety (</w:t>
      </w:r>
      <w:r w:rsidRPr="003C63AC">
        <w:rPr>
          <w:lang w:val="en-US"/>
        </w:rPr>
        <w:t>OHS</w:t>
      </w:r>
      <w:r w:rsidR="00424526">
        <w:rPr>
          <w:lang w:val="en-US"/>
        </w:rPr>
        <w:t>)</w:t>
      </w:r>
      <w:r w:rsidRPr="003C63AC">
        <w:rPr>
          <w:lang w:val="en-US"/>
        </w:rPr>
        <w:t xml:space="preserve"> </w:t>
      </w:r>
      <w:r w:rsidR="0091635D">
        <w:rPr>
          <w:lang w:val="en-US"/>
        </w:rPr>
        <w:t xml:space="preserve">regulations in this industry was both reported </w:t>
      </w:r>
      <w:r w:rsidR="00420C49">
        <w:rPr>
          <w:lang w:val="en-US"/>
        </w:rPr>
        <w:t xml:space="preserve">to be, </w:t>
      </w:r>
      <w:r w:rsidR="0091635D">
        <w:rPr>
          <w:lang w:val="en-US"/>
        </w:rPr>
        <w:t>and observed</w:t>
      </w:r>
      <w:r w:rsidRPr="003C63AC">
        <w:rPr>
          <w:lang w:val="en-US"/>
        </w:rPr>
        <w:t xml:space="preserve"> as being</w:t>
      </w:r>
      <w:r w:rsidR="00420C49">
        <w:rPr>
          <w:lang w:val="en-US"/>
        </w:rPr>
        <w:t>, quite</w:t>
      </w:r>
      <w:r w:rsidRPr="003C63AC">
        <w:rPr>
          <w:lang w:val="en-US"/>
        </w:rPr>
        <w:t xml:space="preserve"> poor. The worst sites</w:t>
      </w:r>
      <w:r w:rsidR="00420C49">
        <w:rPr>
          <w:lang w:val="en-US"/>
        </w:rPr>
        <w:t xml:space="preserve"> where ELVs are processed can </w:t>
      </w:r>
      <w:r w:rsidR="00CC6025">
        <w:rPr>
          <w:lang w:val="en-US"/>
        </w:rPr>
        <w:t xml:space="preserve">clearly </w:t>
      </w:r>
      <w:r w:rsidR="00420C49">
        <w:rPr>
          <w:lang w:val="en-US"/>
        </w:rPr>
        <w:t xml:space="preserve">be </w:t>
      </w:r>
      <w:r w:rsidR="00CC6025">
        <w:rPr>
          <w:lang w:val="en-US"/>
        </w:rPr>
        <w:t>seen</w:t>
      </w:r>
      <w:r w:rsidR="00420C49">
        <w:rPr>
          <w:lang w:val="en-US"/>
        </w:rPr>
        <w:t>,</w:t>
      </w:r>
      <w:r w:rsidR="00CC6025">
        <w:rPr>
          <w:lang w:val="en-US"/>
        </w:rPr>
        <w:t xml:space="preserve"> even in a cursory examination</w:t>
      </w:r>
      <w:r w:rsidR="00420C49">
        <w:rPr>
          <w:lang w:val="en-US"/>
        </w:rPr>
        <w:t>,</w:t>
      </w:r>
      <w:r w:rsidR="00CC6025">
        <w:rPr>
          <w:lang w:val="en-US"/>
        </w:rPr>
        <w:t xml:space="preserve"> to be</w:t>
      </w:r>
      <w:r w:rsidRPr="003C63AC">
        <w:rPr>
          <w:lang w:val="en-US"/>
        </w:rPr>
        <w:t xml:space="preserve"> highly polluted.</w:t>
      </w:r>
      <w:r w:rsidR="00CC6025">
        <w:rPr>
          <w:lang w:val="en-US"/>
        </w:rPr>
        <w:t xml:space="preserve"> While the oils, hydraulic fluids and solid waste that is commonly produced when processing ELVs are not in the scope of this study, the</w:t>
      </w:r>
      <w:r w:rsidR="00420C49">
        <w:rPr>
          <w:lang w:val="en-US"/>
        </w:rPr>
        <w:t xml:space="preserve"> evident pollution</w:t>
      </w:r>
      <w:r w:rsidR="00CC6025">
        <w:rPr>
          <w:lang w:val="en-US"/>
        </w:rPr>
        <w:t xml:space="preserve"> at many car wreckers yards is indicative of the </w:t>
      </w:r>
      <w:r w:rsidR="00420C49">
        <w:rPr>
          <w:lang w:val="en-US"/>
        </w:rPr>
        <w:t xml:space="preserve">low </w:t>
      </w:r>
      <w:r w:rsidR="00CC6025">
        <w:rPr>
          <w:lang w:val="en-US"/>
        </w:rPr>
        <w:t xml:space="preserve">level of concern for control of </w:t>
      </w:r>
      <w:r w:rsidR="00420C49">
        <w:rPr>
          <w:lang w:val="en-US"/>
        </w:rPr>
        <w:t xml:space="preserve">even highly visible </w:t>
      </w:r>
      <w:r w:rsidR="00CC6025">
        <w:rPr>
          <w:lang w:val="en-US"/>
        </w:rPr>
        <w:t>pollutants</w:t>
      </w:r>
      <w:r w:rsidR="0091635D">
        <w:rPr>
          <w:lang w:val="en-US"/>
        </w:rPr>
        <w:t xml:space="preserve"> by many industry participants.</w:t>
      </w:r>
      <w:r w:rsidR="00420C49">
        <w:rPr>
          <w:lang w:val="en-US"/>
        </w:rPr>
        <w:t xml:space="preserve"> </w:t>
      </w:r>
    </w:p>
    <w:p w:rsidR="00CE7C55" w:rsidRPr="003C63AC" w:rsidRDefault="00CE7C55" w:rsidP="00CE7C55">
      <w:pPr>
        <w:rPr>
          <w:lang w:val="en-US"/>
        </w:rPr>
      </w:pPr>
      <w:r w:rsidRPr="003C63AC">
        <w:rPr>
          <w:lang w:val="en-US"/>
        </w:rPr>
        <w:t>Possibly half of the industry participants are essentially backyard operat</w:t>
      </w:r>
      <w:r w:rsidR="00F43D7D" w:rsidRPr="003C63AC">
        <w:rPr>
          <w:lang w:val="en-US"/>
        </w:rPr>
        <w:t>ions</w:t>
      </w:r>
      <w:r w:rsidRPr="003C63AC">
        <w:rPr>
          <w:lang w:val="en-US"/>
        </w:rPr>
        <w:t xml:space="preserve"> or very small scale enterprises. A</w:t>
      </w:r>
      <w:r w:rsidR="00894024">
        <w:rPr>
          <w:lang w:val="en-US"/>
        </w:rPr>
        <w:t>necdotally</w:t>
      </w:r>
      <w:r w:rsidR="007F2256">
        <w:rPr>
          <w:lang w:val="en-US"/>
        </w:rPr>
        <w:t>,</w:t>
      </w:r>
      <w:r w:rsidR="00894024">
        <w:rPr>
          <w:lang w:val="en-US"/>
        </w:rPr>
        <w:t xml:space="preserve"> a</w:t>
      </w:r>
      <w:r w:rsidRPr="003C63AC">
        <w:rPr>
          <w:lang w:val="en-US"/>
        </w:rPr>
        <w:t xml:space="preserve"> number of the smallest operations will close up shop, and move and reopen at a new site frequently to avoid normal business reporting, or local government or environmental controls. </w:t>
      </w:r>
    </w:p>
    <w:p w:rsidR="00CE7C55" w:rsidRPr="003C63AC" w:rsidRDefault="00CE7C55" w:rsidP="00CE7C55">
      <w:pPr>
        <w:rPr>
          <w:lang w:val="en-US"/>
        </w:rPr>
      </w:pPr>
      <w:r w:rsidRPr="003C63AC">
        <w:rPr>
          <w:lang w:val="en-US"/>
        </w:rPr>
        <w:lastRenderedPageBreak/>
        <w:t>The willing and compliant enterprises</w:t>
      </w:r>
      <w:r w:rsidR="008F68A0" w:rsidRPr="003C63AC">
        <w:rPr>
          <w:lang w:val="en-US"/>
        </w:rPr>
        <w:t xml:space="preserve"> </w:t>
      </w:r>
      <w:r w:rsidRPr="003C63AC">
        <w:rPr>
          <w:lang w:val="en-US"/>
        </w:rPr>
        <w:t xml:space="preserve">operate at a commercial disadvantage </w:t>
      </w:r>
      <w:r w:rsidR="005178AC" w:rsidRPr="003C63AC">
        <w:rPr>
          <w:lang w:val="en-US"/>
        </w:rPr>
        <w:t xml:space="preserve">(by incurring compliance costs), </w:t>
      </w:r>
      <w:r w:rsidRPr="003C63AC">
        <w:rPr>
          <w:lang w:val="en-US"/>
        </w:rPr>
        <w:t>to the larger number of businesses who do not apply the same degree of commitment to meeting their regulatory obligations. The question of how to achieve a greater level of compliance across the industry, without disadvantaging those who willingly undertake refrigerant recovery</w:t>
      </w:r>
      <w:r w:rsidR="00D84404">
        <w:rPr>
          <w:lang w:val="en-US"/>
        </w:rPr>
        <w:t>,</w:t>
      </w:r>
      <w:r w:rsidRPr="003C63AC">
        <w:rPr>
          <w:lang w:val="en-US"/>
        </w:rPr>
        <w:t xml:space="preserve"> is a complex problem. </w:t>
      </w:r>
    </w:p>
    <w:p w:rsidR="009D7DD5" w:rsidRDefault="00CE7C55" w:rsidP="006D2C2E">
      <w:pPr>
        <w:rPr>
          <w:lang w:val="en-US"/>
        </w:rPr>
      </w:pPr>
      <w:r w:rsidRPr="003C63AC">
        <w:rPr>
          <w:lang w:val="en-US"/>
        </w:rPr>
        <w:t xml:space="preserve">Given the economic disincentives </w:t>
      </w:r>
      <w:r w:rsidR="008F68A0" w:rsidRPr="003C63AC">
        <w:rPr>
          <w:lang w:val="en-US"/>
        </w:rPr>
        <w:t>to</w:t>
      </w:r>
      <w:r w:rsidRPr="003C63AC">
        <w:rPr>
          <w:lang w:val="en-US"/>
        </w:rPr>
        <w:t xml:space="preserve"> </w:t>
      </w:r>
      <w:r w:rsidR="00743DB8">
        <w:rPr>
          <w:lang w:val="en-US"/>
        </w:rPr>
        <w:t xml:space="preserve">the </w:t>
      </w:r>
      <w:r w:rsidRPr="003C63AC">
        <w:rPr>
          <w:lang w:val="en-US"/>
        </w:rPr>
        <w:t xml:space="preserve">recovery of remnant refrigerant in ELVs, as compared to the quick rewards available for rapid removal of </w:t>
      </w:r>
      <w:r w:rsidR="005178AC" w:rsidRPr="003C63AC">
        <w:rPr>
          <w:lang w:val="en-US"/>
        </w:rPr>
        <w:t xml:space="preserve">compressors as saleable spare parts and condensers </w:t>
      </w:r>
      <w:r w:rsidRPr="003C63AC">
        <w:rPr>
          <w:lang w:val="en-US"/>
        </w:rPr>
        <w:t xml:space="preserve">for their copper content, it is conceivable that effective management of the pool of remnant refrigerant in ELVs will not be achieved outside of the creation of an automobile stewardship scheme. </w:t>
      </w:r>
    </w:p>
    <w:p w:rsidR="00151BC4" w:rsidRDefault="00420C49" w:rsidP="006D2C2E">
      <w:pPr>
        <w:rPr>
          <w:lang w:val="en-US"/>
        </w:rPr>
      </w:pPr>
      <w:r>
        <w:rPr>
          <w:lang w:val="en-US"/>
        </w:rPr>
        <w:t>It must be noted that while data on the auto industry is generally very good and readily available, hard data about ELVs is not as easily available. The general</w:t>
      </w:r>
      <w:r w:rsidR="00F86940">
        <w:rPr>
          <w:lang w:val="en-US"/>
        </w:rPr>
        <w:t>ly</w:t>
      </w:r>
      <w:r>
        <w:rPr>
          <w:lang w:val="en-US"/>
        </w:rPr>
        <w:t xml:space="preserve"> low level of compliance with environmental and business regulation across much of the industry</w:t>
      </w:r>
      <w:r w:rsidR="00D84404">
        <w:rPr>
          <w:lang w:val="en-US"/>
        </w:rPr>
        <w:t>,</w:t>
      </w:r>
      <w:r>
        <w:rPr>
          <w:lang w:val="en-US"/>
        </w:rPr>
        <w:t xml:space="preserve"> translates into a general lack of reliable data about the activities of business operators in the sector. At the same time, the few larger operators who work to be compliant with regulatory obligations did have good data that they made available</w:t>
      </w:r>
      <w:r w:rsidR="00D84404">
        <w:rPr>
          <w:lang w:val="en-US"/>
        </w:rPr>
        <w:t>,</w:t>
      </w:r>
      <w:r>
        <w:rPr>
          <w:lang w:val="en-US"/>
        </w:rPr>
        <w:t xml:space="preserve"> and from which,</w:t>
      </w:r>
      <w:r w:rsidR="00F84CE0">
        <w:rPr>
          <w:lang w:val="en-US"/>
        </w:rPr>
        <w:t xml:space="preserve"> in combination with </w:t>
      </w:r>
      <w:r w:rsidR="00D84404">
        <w:rPr>
          <w:lang w:val="en-US"/>
        </w:rPr>
        <w:t xml:space="preserve">a range of </w:t>
      </w:r>
      <w:r w:rsidR="00F84CE0">
        <w:rPr>
          <w:lang w:val="en-US"/>
        </w:rPr>
        <w:t>other data available to the authors,</w:t>
      </w:r>
      <w:r>
        <w:rPr>
          <w:lang w:val="en-US"/>
        </w:rPr>
        <w:t xml:space="preserve"> some of the key findings of the report were able to be deduced</w:t>
      </w:r>
      <w:r w:rsidR="00F84CE0">
        <w:rPr>
          <w:lang w:val="en-US"/>
        </w:rPr>
        <w:t>.</w:t>
      </w:r>
      <w:r w:rsidR="005059C6">
        <w:rPr>
          <w:lang w:val="en-US"/>
        </w:rPr>
        <w:t xml:space="preserve"> </w:t>
      </w:r>
    </w:p>
    <w:p w:rsidR="00D84404" w:rsidRDefault="00083AED" w:rsidP="006D2C2E">
      <w:pPr>
        <w:rPr>
          <w:lang w:val="en-US"/>
        </w:rPr>
      </w:pPr>
      <w:r>
        <w:rPr>
          <w:lang w:val="en-US"/>
        </w:rPr>
        <w:t>T</w:t>
      </w:r>
      <w:r w:rsidR="00D84404">
        <w:rPr>
          <w:lang w:val="en-US"/>
        </w:rPr>
        <w:t xml:space="preserve">he extent of the primary data was quite limited, </w:t>
      </w:r>
      <w:r>
        <w:rPr>
          <w:lang w:val="en-US"/>
        </w:rPr>
        <w:t xml:space="preserve">although </w:t>
      </w:r>
      <w:r w:rsidR="00D84404">
        <w:rPr>
          <w:lang w:val="en-US"/>
        </w:rPr>
        <w:t xml:space="preserve">having access to any primary data from within the industry was invaluable. For instance one of the largest operators in the industry provided access to a full year’s records of recovery of residual refrigerants from more than </w:t>
      </w:r>
      <w:r w:rsidR="007D6AC3">
        <w:rPr>
          <w:lang w:val="en-US"/>
        </w:rPr>
        <w:t>XX</w:t>
      </w:r>
      <w:r w:rsidR="00D84404">
        <w:rPr>
          <w:lang w:val="en-US"/>
        </w:rPr>
        <w:t xml:space="preserve"> vehicles that were scrapped. A second source of primary data, on residual refrigerant charge sizes was a multi-site collection program run over a period of 15 months by Refrigerant Reclaim Australia</w:t>
      </w:r>
      <w:r>
        <w:rPr>
          <w:lang w:val="en-US"/>
        </w:rPr>
        <w:t>. This program</w:t>
      </w:r>
      <w:r w:rsidR="00D84404">
        <w:rPr>
          <w:lang w:val="en-US"/>
        </w:rPr>
        <w:t xml:space="preserve"> recovered, tested and weighed refrigerant from more than 28,000 vehicles held in the ‘salvage yards’ of auction houses.</w:t>
      </w:r>
      <w:r>
        <w:rPr>
          <w:lang w:val="en-US"/>
        </w:rPr>
        <w:t xml:space="preserve"> </w:t>
      </w:r>
    </w:p>
    <w:p w:rsidR="00083AED" w:rsidRDefault="00083AED" w:rsidP="006D2C2E">
      <w:pPr>
        <w:rPr>
          <w:lang w:val="en-US"/>
        </w:rPr>
      </w:pPr>
      <w:r>
        <w:rPr>
          <w:lang w:val="en-US"/>
        </w:rPr>
        <w:t>These two sources of primary data are not entirely comparable for reasons discussed later in the report. Ultimately greater certainty in the findings of this report will only be achieved through the conduct of a larger, targeted program of refrigerant recovery and analysis, and data collection from a number of points on the reverse supply chain for ELVs.</w:t>
      </w:r>
    </w:p>
    <w:p w:rsidR="00083AED" w:rsidRPr="003C63AC" w:rsidRDefault="00083AED" w:rsidP="006D2C2E">
      <w:pPr>
        <w:rPr>
          <w:rFonts w:ascii="Calibri" w:eastAsia="Times New Roman" w:hAnsi="Calibri" w:cs="Times New Roman"/>
          <w:b/>
          <w:bCs/>
          <w:kern w:val="32"/>
          <w:sz w:val="32"/>
          <w:szCs w:val="32"/>
        </w:rPr>
      </w:pPr>
    </w:p>
    <w:p w:rsidR="000554C9" w:rsidRPr="003C63AC" w:rsidRDefault="000554C9" w:rsidP="00E7047D">
      <w:pPr>
        <w:pStyle w:val="Heading1"/>
        <w:ind w:left="432"/>
      </w:pPr>
      <w:bookmarkStart w:id="6" w:name="_Toc430778971"/>
      <w:r w:rsidRPr="003C63AC">
        <w:rPr>
          <w:lang w:val="en-AU"/>
        </w:rPr>
        <w:t>Introduction</w:t>
      </w:r>
      <w:bookmarkEnd w:id="6"/>
    </w:p>
    <w:p w:rsidR="00500FE9" w:rsidRPr="00D357AA" w:rsidRDefault="00500FE9" w:rsidP="00500FE9">
      <w:r w:rsidRPr="003C63AC">
        <w:t xml:space="preserve">Synthetic greenhouse gases (SGGs) used in the majority of refrigeration and air conditioning (RAC) </w:t>
      </w:r>
      <w:r w:rsidRPr="00AD4F11">
        <w:t xml:space="preserve">equipment </w:t>
      </w:r>
      <w:r w:rsidRPr="005728F4">
        <w:t xml:space="preserve">are designed to be inert, non-toxic and </w:t>
      </w:r>
      <w:r w:rsidRPr="000F5EF8">
        <w:t>long lived. These desirable attributes allow them to continue to do their job</w:t>
      </w:r>
      <w:r w:rsidR="008F68A0" w:rsidRPr="004F1732">
        <w:t>,</w:t>
      </w:r>
      <w:r w:rsidRPr="004F1732">
        <w:t xml:space="preserve"> as medium for transferring heat from one space to another</w:t>
      </w:r>
      <w:r w:rsidR="008F68A0" w:rsidRPr="00AD02ED">
        <w:t>,</w:t>
      </w:r>
      <w:r w:rsidRPr="00D357AA">
        <w:t xml:space="preserve"> for a long time.</w:t>
      </w:r>
    </w:p>
    <w:p w:rsidR="00500FE9" w:rsidRPr="00920E28" w:rsidRDefault="00500FE9" w:rsidP="00500FE9">
      <w:r w:rsidRPr="00920E28">
        <w:t xml:space="preserve">However, the most common SGGs in use for </w:t>
      </w:r>
      <w:r w:rsidR="00A540D1">
        <w:t>RAC</w:t>
      </w:r>
      <w:r w:rsidRPr="00920E28">
        <w:t xml:space="preserve"> also have a high </w:t>
      </w:r>
      <w:r w:rsidR="00A540D1">
        <w:t>GWP</w:t>
      </w:r>
      <w:r w:rsidRPr="00920E28">
        <w:t>. As such, minimising the loss of these gases to atmosphere is an important priority for government.</w:t>
      </w:r>
    </w:p>
    <w:p w:rsidR="00500FE9" w:rsidRPr="003C63AC" w:rsidRDefault="00500FE9" w:rsidP="00500FE9">
      <w:r w:rsidRPr="003C63AC">
        <w:t>Australia is a signatory to two international treaties, the Montreal Protocol and the Kyoto Protocol</w:t>
      </w:r>
      <w:r w:rsidR="008F68A0" w:rsidRPr="003C63AC">
        <w:t>,</w:t>
      </w:r>
      <w:r w:rsidRPr="003C63AC">
        <w:t xml:space="preserve"> under which it has made commitments to the international community to phase out and control emissions of a number of ozone depleting substances (ODS) and greenhouse gases. As part of fulfilling those obligations Australian governments, over the years, have developed a suite of regulatory controls on ODS and SGGs. </w:t>
      </w:r>
    </w:p>
    <w:p w:rsidR="00500FE9" w:rsidRPr="003C63AC" w:rsidRDefault="00500FE9" w:rsidP="00500FE9">
      <w:r w:rsidRPr="003C63AC">
        <w:t>In Australia it is illegal to emit SGGs to air</w:t>
      </w:r>
      <w:r w:rsidR="004C0733">
        <w:t xml:space="preserve"> unless it is permitted under the </w:t>
      </w:r>
      <w:r w:rsidR="00D25133" w:rsidRPr="00D25133">
        <w:t xml:space="preserve">Ozone Protection and Synthetic Greenhouse Gas Management </w:t>
      </w:r>
      <w:r w:rsidR="004C0733">
        <w:t>Regulations 1995</w:t>
      </w:r>
      <w:r w:rsidR="00E50307">
        <w:t xml:space="preserve"> (the Regulations)</w:t>
      </w:r>
      <w:r w:rsidRPr="003C63AC">
        <w:t xml:space="preserve">. The management of SGGs in Australia is the responsibility of the Australian Government Department of the Environment under the </w:t>
      </w:r>
      <w:bookmarkStart w:id="7" w:name="OLE_LINK5"/>
      <w:bookmarkStart w:id="8" w:name="OLE_LINK6"/>
      <w:r w:rsidRPr="003C63AC">
        <w:rPr>
          <w:i/>
        </w:rPr>
        <w:t xml:space="preserve">Ozone Protection and Synthetic Greenhouse Gas Management Act 1989 </w:t>
      </w:r>
      <w:bookmarkEnd w:id="7"/>
      <w:bookmarkEnd w:id="8"/>
      <w:r w:rsidRPr="003C63AC">
        <w:t>and related regulations (the Act).</w:t>
      </w:r>
    </w:p>
    <w:p w:rsidR="00500FE9" w:rsidRPr="003C63AC" w:rsidRDefault="00500FE9" w:rsidP="00500FE9">
      <w:r w:rsidRPr="003C63AC">
        <w:t>As part of these regulatory controls, the Australian Government empowers the Australian Refrigeration Council to administer a licensing and trading authorisation scheme for technicians and businesses involved in the handling and sale of synthetic refrigerant gases.</w:t>
      </w:r>
    </w:p>
    <w:p w:rsidR="00500FE9" w:rsidRPr="003C63AC" w:rsidRDefault="00500FE9" w:rsidP="00500FE9">
      <w:r w:rsidRPr="003C63AC">
        <w:t>The refrigeration and air conditioning industry in Australia has a well established</w:t>
      </w:r>
      <w:r w:rsidR="008F68A0" w:rsidRPr="003C63AC">
        <w:t>,</w:t>
      </w:r>
      <w:r w:rsidRPr="003C63AC">
        <w:t xml:space="preserve"> industry funded</w:t>
      </w:r>
      <w:r w:rsidR="008F68A0" w:rsidRPr="003C63AC">
        <w:t>,</w:t>
      </w:r>
      <w:r w:rsidRPr="003C63AC">
        <w:t xml:space="preserve"> voluntary product stewardship scheme that manages a reverse supply chain for the recovery and </w:t>
      </w:r>
      <w:r w:rsidR="004C0733">
        <w:t>disposal</w:t>
      </w:r>
      <w:r w:rsidR="004C0733" w:rsidRPr="003C63AC">
        <w:t xml:space="preserve"> </w:t>
      </w:r>
      <w:r w:rsidRPr="003C63AC">
        <w:t xml:space="preserve">of refrigerant gas no longer fit </w:t>
      </w:r>
      <w:r w:rsidR="007D5938" w:rsidRPr="003C63AC">
        <w:t xml:space="preserve">or required </w:t>
      </w:r>
      <w:r w:rsidRPr="003C63AC">
        <w:t xml:space="preserve">for use. The scheme is </w:t>
      </w:r>
      <w:r w:rsidR="004C0733">
        <w:t>operated</w:t>
      </w:r>
      <w:r w:rsidR="004C0733" w:rsidRPr="003C63AC">
        <w:t xml:space="preserve"> </w:t>
      </w:r>
      <w:r w:rsidRPr="003C63AC">
        <w:t xml:space="preserve">by Refrigerant Reclaim Australia (RRA).  </w:t>
      </w:r>
    </w:p>
    <w:p w:rsidR="00500FE9" w:rsidRPr="003C63AC" w:rsidRDefault="00500FE9" w:rsidP="00500FE9">
      <w:r w:rsidRPr="003C63AC">
        <w:lastRenderedPageBreak/>
        <w:t>However</w:t>
      </w:r>
      <w:r w:rsidR="00743DB8">
        <w:t>,</w:t>
      </w:r>
      <w:r w:rsidRPr="003C63AC">
        <w:t xml:space="preserve"> for a wide variety of reasons including</w:t>
      </w:r>
      <w:r w:rsidR="008F68A0" w:rsidRPr="003C63AC">
        <w:t>,</w:t>
      </w:r>
      <w:r w:rsidRPr="003C63AC">
        <w:t xml:space="preserve"> economic factors and practical issues of equipment ownership, </w:t>
      </w:r>
      <w:r w:rsidR="008F68A0" w:rsidRPr="003C63AC">
        <w:t xml:space="preserve">and </w:t>
      </w:r>
      <w:r w:rsidRPr="003C63AC">
        <w:t xml:space="preserve">retirement and disposal decisions, the </w:t>
      </w:r>
      <w:r w:rsidR="0031495E" w:rsidRPr="003C63AC">
        <w:t>license</w:t>
      </w:r>
      <w:r w:rsidRPr="003C63AC">
        <w:t xml:space="preserve">d technical workforce, with the tools required to recover waste gas, do not </w:t>
      </w:r>
      <w:r w:rsidR="004C0733">
        <w:t>always</w:t>
      </w:r>
      <w:r w:rsidR="004C0733" w:rsidRPr="003C63AC">
        <w:t xml:space="preserve"> </w:t>
      </w:r>
      <w:r w:rsidRPr="003C63AC">
        <w:t>get the opportunity to recover remnant refrigerant gas from the equipment that reaches the end of its life.</w:t>
      </w:r>
    </w:p>
    <w:p w:rsidR="00500FE9" w:rsidRPr="003C63AC" w:rsidRDefault="00500FE9" w:rsidP="00500FE9">
      <w:r w:rsidRPr="003C63AC">
        <w:t xml:space="preserve">This is particularly the case with passenger and light commercial vehicles, which are the focus of this study. The scope of this study is limited to passenger vehicles and light commercial vehicles with a gross vehicle mass less than 3.5 tonnes (P&amp;LCs). In 2013, 658,000 P&amp;LCs reached the end of their useful life (ABS 9309.0 2014). The large majority of these vehicles are fitted with air conditioning </w:t>
      </w:r>
      <w:r w:rsidR="00A11AD8" w:rsidRPr="003C63AC">
        <w:t>(~</w:t>
      </w:r>
      <w:r w:rsidR="00161EF5" w:rsidRPr="003C63AC">
        <w:t>6</w:t>
      </w:r>
      <w:r w:rsidR="00A11AD8" w:rsidRPr="003C63AC">
        <w:t xml:space="preserve"> per cent</w:t>
      </w:r>
      <w:r w:rsidR="00161EF5" w:rsidRPr="003C63AC">
        <w:t xml:space="preserve"> of ELVs have no MAC</w:t>
      </w:r>
      <w:r w:rsidR="00A11AD8" w:rsidRPr="003C63AC">
        <w:t xml:space="preserve">) </w:t>
      </w:r>
      <w:r w:rsidRPr="003C63AC">
        <w:t>and most contain a residual refrigerant gas charge when they are taken off the road. This residual gas is most commonly the auto industry standard HFC 134-a</w:t>
      </w:r>
      <w:r w:rsidR="00161EF5" w:rsidRPr="003C63AC">
        <w:t xml:space="preserve"> (~75% of ELVs)</w:t>
      </w:r>
      <w:r w:rsidRPr="003C63AC">
        <w:t>, HC-290 (or hydrocarbon blend) and CFC-12, an ozone depleting substance from an ear</w:t>
      </w:r>
      <w:r w:rsidR="00A11AD8" w:rsidRPr="003C63AC">
        <w:t>lier generation of refrigerants</w:t>
      </w:r>
      <w:r w:rsidR="00A540D1">
        <w:t>,</w:t>
      </w:r>
      <w:r w:rsidR="00A11AD8" w:rsidRPr="003C63AC">
        <w:t xml:space="preserve"> are found in similar </w:t>
      </w:r>
      <w:r w:rsidR="00161EF5" w:rsidRPr="003C63AC">
        <w:t>quantities (&lt;10% of ELVs each).</w:t>
      </w:r>
    </w:p>
    <w:p w:rsidR="007D57F0" w:rsidRDefault="006E4142" w:rsidP="00500FE9">
      <w:r>
        <w:t>It is an offence under the Act for ODS or SGG refrigerant to be emitted unless provided for under the regulations. It is also an offence under the Act to handle refrigerant without an appropriate licence.</w:t>
      </w:r>
      <w:r w:rsidRPr="003C63AC">
        <w:t xml:space="preserve"> </w:t>
      </w:r>
      <w:r>
        <w:t>There is no obligation under the Act for owners of equipment to have refrigerant recovered from equipment they chose to retire or dispose of</w:t>
      </w:r>
      <w:r w:rsidR="00DE5C0A">
        <w:t>, h</w:t>
      </w:r>
      <w:r>
        <w:t>owever, as outlined above, it is an offence to emit refrigerant</w:t>
      </w:r>
      <w:r w:rsidRPr="003C63AC">
        <w:t xml:space="preserve">. </w:t>
      </w:r>
    </w:p>
    <w:p w:rsidR="00500FE9" w:rsidRPr="003C63AC" w:rsidRDefault="007D57F0" w:rsidP="00500FE9">
      <w:r>
        <w:t>Despite this, the a</w:t>
      </w:r>
      <w:r w:rsidR="007E0EFD" w:rsidRPr="003C63AC">
        <w:t xml:space="preserve">uto parts and metal recycling companies </w:t>
      </w:r>
      <w:r>
        <w:t>involved in this study perceived that</w:t>
      </w:r>
      <w:r w:rsidR="007E0EFD" w:rsidRPr="003C63AC">
        <w:t xml:space="preserve"> no effective or widespread enforcement of the regulations on these enterprises </w:t>
      </w:r>
      <w:r w:rsidR="003B137A">
        <w:t>is</w:t>
      </w:r>
      <w:r w:rsidR="007E0EFD" w:rsidRPr="003C63AC">
        <w:t xml:space="preserve"> implemented.</w:t>
      </w:r>
    </w:p>
    <w:p w:rsidR="00500FE9" w:rsidRPr="003C63AC" w:rsidRDefault="0030182A" w:rsidP="00500FE9">
      <w:r>
        <w:t xml:space="preserve">To consider the environmental impacts of remnant refrigerant gas in ELVs, this study estimates the quantity of emissions from the fleet of ELVs in Australia and calculates the estimated global warming impact of these emissions in terms of carbon dioxide equivalent. </w:t>
      </w:r>
      <w:r w:rsidR="00500FE9" w:rsidRPr="003C63AC">
        <w:t xml:space="preserve">This </w:t>
      </w:r>
      <w:r>
        <w:t>report</w:t>
      </w:r>
      <w:r w:rsidR="00500FE9" w:rsidRPr="003C63AC">
        <w:t xml:space="preserve"> </w:t>
      </w:r>
      <w:r>
        <w:t xml:space="preserve">studies </w:t>
      </w:r>
      <w:r w:rsidR="00500FE9" w:rsidRPr="003C63AC">
        <w:t>the participants and pathways involved in the disposal of ELVs</w:t>
      </w:r>
      <w:r>
        <w:t xml:space="preserve"> and </w:t>
      </w:r>
      <w:r w:rsidR="00500FE9" w:rsidRPr="003C63AC">
        <w:t>explores how and when residual refrigerant gas is either recovered or released to air.</w:t>
      </w:r>
    </w:p>
    <w:p w:rsidR="00500FE9" w:rsidRPr="003C63AC" w:rsidRDefault="0053008D" w:rsidP="00500FE9">
      <w:r w:rsidRPr="003C63AC">
        <w:t>D</w:t>
      </w:r>
      <w:r w:rsidR="00500FE9" w:rsidRPr="003C63AC">
        <w:t xml:space="preserve">ata </w:t>
      </w:r>
      <w:r w:rsidRPr="003C63AC">
        <w:t>relating to ELVs was found to be</w:t>
      </w:r>
      <w:r w:rsidR="00500FE9" w:rsidRPr="003C63AC">
        <w:t xml:space="preserve"> quite limited. To understand the sources and causes of ELV emissions, and to estimate the environmental impact of them the study has combined </w:t>
      </w:r>
      <w:r w:rsidRPr="003C63AC">
        <w:t xml:space="preserve">what data was available from the Australian Bureau of Statistics (ABS) and some industry data, with </w:t>
      </w:r>
      <w:r w:rsidR="00500FE9" w:rsidRPr="003C63AC">
        <w:t xml:space="preserve">a mix of quantitative, market and social research methods and tools. </w:t>
      </w:r>
    </w:p>
    <w:p w:rsidR="00500FE9" w:rsidRPr="00AD4F11" w:rsidRDefault="00500FE9" w:rsidP="00500FE9">
      <w:r w:rsidRPr="003C63AC">
        <w:t>The starting point of the quantitative methods is a proprietary stock model of all RAC equipment in the economy that has been built up over the course of resea</w:t>
      </w:r>
      <w:r w:rsidR="004A6D54" w:rsidRPr="003C63AC">
        <w:t>rch in this area over the last seven</w:t>
      </w:r>
      <w:r w:rsidRPr="003C63AC">
        <w:t xml:space="preserve"> years. Specifically in relation to passenger and light commercial vehicles this stock model has been built up using data from the ABS of vehicle imports, sales, registrations and retirements, and manufacturer data on the size of the ODS or SGG gas charge in various models of cars.</w:t>
      </w:r>
      <w:r w:rsidRPr="003C63AC">
        <w:rPr>
          <w:rStyle w:val="FootnoteReference"/>
        </w:rPr>
        <w:footnoteReference w:id="2"/>
      </w:r>
      <w:r w:rsidRPr="003C63AC">
        <w:t xml:space="preserve"> The stock model also incorporates leak rates from MAC systems in operation, and compressor failure rates, collision rates, and maintenance recharge rates.</w:t>
      </w:r>
    </w:p>
    <w:p w:rsidR="00500FE9" w:rsidRPr="000F5EF8" w:rsidRDefault="00500FE9" w:rsidP="00500FE9">
      <w:r w:rsidRPr="005728F4">
        <w:t>To understand the source of ELVs, the nature and management of the ELV population</w:t>
      </w:r>
      <w:r w:rsidR="003172B3">
        <w:t xml:space="preserve"> and the residual gas within ELVs</w:t>
      </w:r>
      <w:r w:rsidRPr="005728F4">
        <w:t>, literature searches, site visits and interviews with expert informants and industry stakeholders was combined w</w:t>
      </w:r>
      <w:r w:rsidRPr="000F5EF8">
        <w:t xml:space="preserve">ith the results of an online survey of technicians exploring industry practices and experience. </w:t>
      </w:r>
    </w:p>
    <w:p w:rsidR="000554C9" w:rsidRPr="003C63AC" w:rsidRDefault="000554C9" w:rsidP="000554C9">
      <w:pPr>
        <w:pStyle w:val="Heading1"/>
        <w:numPr>
          <w:ilvl w:val="0"/>
          <w:numId w:val="0"/>
        </w:numPr>
        <w:ind w:left="432"/>
      </w:pPr>
    </w:p>
    <w:p w:rsidR="003C25E3" w:rsidRPr="003C63AC" w:rsidRDefault="003C25E3" w:rsidP="003C25E3">
      <w:pPr>
        <w:rPr>
          <w:lang w:val="en-US"/>
        </w:rPr>
      </w:pPr>
    </w:p>
    <w:p w:rsidR="003C25E3" w:rsidRPr="003C63AC" w:rsidRDefault="003C25E3" w:rsidP="003C25E3">
      <w:pPr>
        <w:rPr>
          <w:lang w:val="en-US"/>
        </w:rPr>
      </w:pPr>
    </w:p>
    <w:p w:rsidR="003C25E3" w:rsidRPr="003C63AC" w:rsidRDefault="003C25E3" w:rsidP="003C25E3">
      <w:pPr>
        <w:rPr>
          <w:lang w:val="en-US"/>
        </w:rPr>
      </w:pPr>
    </w:p>
    <w:p w:rsidR="009D7DD5" w:rsidRPr="003C63AC" w:rsidRDefault="009D7DD5">
      <w:pPr>
        <w:spacing w:before="0"/>
        <w:jc w:val="left"/>
        <w:rPr>
          <w:rFonts w:ascii="Calibri" w:eastAsia="Times New Roman" w:hAnsi="Calibri" w:cs="Times New Roman"/>
          <w:b/>
          <w:bCs/>
          <w:kern w:val="32"/>
          <w:sz w:val="32"/>
          <w:szCs w:val="32"/>
        </w:rPr>
      </w:pPr>
      <w:r w:rsidRPr="003C63AC">
        <w:br w:type="page"/>
      </w:r>
    </w:p>
    <w:p w:rsidR="00E7047D" w:rsidRPr="003C63AC" w:rsidRDefault="00FC5739" w:rsidP="00E7047D">
      <w:pPr>
        <w:pStyle w:val="Heading1"/>
        <w:ind w:left="432"/>
      </w:pPr>
      <w:bookmarkStart w:id="9" w:name="_Toc430778972"/>
      <w:r w:rsidRPr="003C63AC">
        <w:rPr>
          <w:lang w:val="en-AU"/>
        </w:rPr>
        <w:lastRenderedPageBreak/>
        <w:t>The Motor Vehicle Fleet</w:t>
      </w:r>
      <w:bookmarkEnd w:id="9"/>
    </w:p>
    <w:p w:rsidR="00CD0B2D" w:rsidRPr="003C63AC" w:rsidRDefault="00CD0B2D" w:rsidP="00132C47">
      <w:pPr>
        <w:pStyle w:val="Heading2"/>
        <w:ind w:left="567"/>
      </w:pPr>
      <w:bookmarkStart w:id="10" w:name="_Toc430778973"/>
      <w:r w:rsidRPr="003C63AC">
        <w:t>Passenger and Light Commercial Vehicle Fleet, MACs and SGGs</w:t>
      </w:r>
      <w:bookmarkEnd w:id="10"/>
    </w:p>
    <w:p w:rsidR="005E3A58" w:rsidRPr="005728F4" w:rsidRDefault="005E3A58" w:rsidP="005E3A58">
      <w:r w:rsidRPr="003C63AC">
        <w:t xml:space="preserve">In January 2014 the </w:t>
      </w:r>
      <w:r w:rsidR="00863AF4">
        <w:t>ABS</w:t>
      </w:r>
      <w:r w:rsidRPr="003C63AC">
        <w:t xml:space="preserve"> reported there were nearly 16.1 million </w:t>
      </w:r>
      <w:r w:rsidR="00412BEE">
        <w:t>P</w:t>
      </w:r>
      <w:r w:rsidR="008C74F0">
        <w:t>&amp;</w:t>
      </w:r>
      <w:r w:rsidR="00412BEE">
        <w:t>L</w:t>
      </w:r>
      <w:r w:rsidR="008C74F0">
        <w:t>Cs</w:t>
      </w:r>
      <w:r w:rsidRPr="00AD4F11">
        <w:t xml:space="preserve"> in Australia, and 730,000 larger trucks, buses and other road registered vehicles (ABS 9309.0 2014).</w:t>
      </w:r>
    </w:p>
    <w:p w:rsidR="005E3A58" w:rsidRPr="003C63AC" w:rsidRDefault="005E3A58" w:rsidP="005E3A58">
      <w:r w:rsidRPr="000F5EF8">
        <w:t>The total fleet of registered vehicles, including motorcycles, grew on average by</w:t>
      </w:r>
      <w:r w:rsidRPr="004F1732">
        <w:t xml:space="preserve"> 2.4</w:t>
      </w:r>
      <w:r w:rsidR="007D5938" w:rsidRPr="004F1732">
        <w:t xml:space="preserve"> per cent</w:t>
      </w:r>
      <w:r w:rsidRPr="00AD02ED">
        <w:t xml:space="preserve"> per annum between 2008 and 2013 (ABS 9309.0</w:t>
      </w:r>
      <w:r w:rsidR="007F1B79">
        <w:t xml:space="preserve"> 2014</w:t>
      </w:r>
      <w:r w:rsidRPr="00AD02ED">
        <w:t xml:space="preserve">). With no data to suggest that there will be any significant change in this </w:t>
      </w:r>
      <w:r w:rsidR="003C63AC" w:rsidRPr="00920E28">
        <w:t>long-term</w:t>
      </w:r>
      <w:r w:rsidRPr="00920E28">
        <w:t xml:space="preserve"> trend, this value has been used to model the registered vehicle population for the </w:t>
      </w:r>
      <w:r w:rsidR="004A6D54" w:rsidRPr="003C63AC">
        <w:t>five</w:t>
      </w:r>
      <w:r w:rsidRPr="003C63AC">
        <w:t xml:space="preserve"> years into the future.</w:t>
      </w:r>
    </w:p>
    <w:p w:rsidR="005A5562" w:rsidRPr="003C63AC" w:rsidRDefault="005E3A58" w:rsidP="005E3A58">
      <w:r w:rsidRPr="003C63AC">
        <w:t>To help understand the make-up of the population of ELVs it is important to first understand the age of the registered vehicles in the fleet. In 2014 the ABS annual Motor Vehicle Census calculated the average age of all vehicles registered in Australia as being 10 years of age for the fifth consecutive year. For the age distribution of vehicles in the fleet, the census demonstrated that 50</w:t>
      </w:r>
      <w:r w:rsidR="007D5938" w:rsidRPr="003C63AC">
        <w:t xml:space="preserve"> per cent</w:t>
      </w:r>
      <w:r w:rsidRPr="003C63AC">
        <w:t xml:space="preserve"> of vehicles were manufactured after 2003, with the very large majority of vehicles (&gt;95</w:t>
      </w:r>
      <w:r w:rsidR="007D5938" w:rsidRPr="003C63AC">
        <w:t xml:space="preserve"> per cent</w:t>
      </w:r>
      <w:r w:rsidRPr="003C63AC">
        <w:t xml:space="preserve">) manufactured after 1993, </w:t>
      </w:r>
      <w:r w:rsidR="00EE2F50" w:rsidRPr="003C63AC">
        <w:t>with</w:t>
      </w:r>
      <w:r w:rsidRPr="003C63AC">
        <w:t xml:space="preserve"> a long narrow tail </w:t>
      </w:r>
      <w:r w:rsidR="00EE2F50" w:rsidRPr="003C63AC">
        <w:t xml:space="preserve">of older vehicles </w:t>
      </w:r>
      <w:r w:rsidRPr="003C63AC">
        <w:t>spanning a couple of decades prior to that point</w:t>
      </w:r>
      <w:r w:rsidR="00EE2F50" w:rsidRPr="003C63AC">
        <w:t xml:space="preserve"> in time</w:t>
      </w:r>
      <w:r w:rsidRPr="003C63AC">
        <w:t xml:space="preserve">. The vehicle age distribution from 1980 to 2013 is illustrated in </w:t>
      </w:r>
      <w:r w:rsidRPr="003C63AC">
        <w:rPr>
          <w:i/>
        </w:rPr>
        <w:t>Figure 1</w:t>
      </w:r>
      <w:r w:rsidRPr="003C63AC">
        <w:t>. There are another 235,600 vehicles not shown in this chart that would extend</w:t>
      </w:r>
      <w:r w:rsidR="00EE2F50" w:rsidRPr="003C63AC">
        <w:t xml:space="preserve"> the distribution as far back as</w:t>
      </w:r>
      <w:r w:rsidRPr="003C63AC">
        <w:t xml:space="preserve"> the early 1900s.</w:t>
      </w:r>
    </w:p>
    <w:p w:rsidR="005A5562" w:rsidRPr="003C63AC" w:rsidRDefault="005A5562" w:rsidP="005A5562"/>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39"/>
      </w:tblGrid>
      <w:tr w:rsidR="004B3F1D" w:rsidRPr="003C63AC" w:rsidTr="00D3658F">
        <w:tc>
          <w:tcPr>
            <w:tcW w:w="9639" w:type="dxa"/>
            <w:vAlign w:val="center"/>
          </w:tcPr>
          <w:p w:rsidR="004B3F1D" w:rsidRPr="003C63AC" w:rsidRDefault="004B3F1D" w:rsidP="00D3658F">
            <w:pPr>
              <w:spacing w:after="120"/>
              <w:jc w:val="center"/>
              <w:rPr>
                <w:b/>
              </w:rPr>
            </w:pPr>
            <w:r w:rsidRPr="003C63AC">
              <w:rPr>
                <w:b/>
              </w:rPr>
              <w:br w:type="page"/>
              <w:t>Vehicle Age Distribution of Exiting Fleet</w:t>
            </w:r>
            <w:r w:rsidR="00A05B22" w:rsidRPr="003C63AC">
              <w:rPr>
                <w:rStyle w:val="FootnoteReference"/>
                <w:b/>
              </w:rPr>
              <w:footnoteReference w:id="3"/>
            </w:r>
          </w:p>
        </w:tc>
      </w:tr>
      <w:tr w:rsidR="004B3F1D" w:rsidRPr="003C63AC" w:rsidTr="00D3658F">
        <w:tc>
          <w:tcPr>
            <w:tcW w:w="9639" w:type="dxa"/>
            <w:vAlign w:val="center"/>
          </w:tcPr>
          <w:p w:rsidR="004B3F1D" w:rsidRPr="003C63AC" w:rsidRDefault="004B3F1D" w:rsidP="00D3658F">
            <w:pPr>
              <w:spacing w:before="60" w:after="60"/>
              <w:jc w:val="center"/>
              <w:rPr>
                <w:sz w:val="16"/>
                <w:szCs w:val="16"/>
              </w:rPr>
            </w:pPr>
          </w:p>
          <w:p w:rsidR="004B3F1D" w:rsidRPr="003C63AC" w:rsidRDefault="00A05B22" w:rsidP="00D3658F">
            <w:pPr>
              <w:spacing w:before="60" w:after="60"/>
              <w:jc w:val="center"/>
              <w:rPr>
                <w:sz w:val="16"/>
                <w:szCs w:val="16"/>
              </w:rPr>
            </w:pPr>
            <w:r w:rsidRPr="003C63AC">
              <w:rPr>
                <w:noProof/>
                <w:lang w:eastAsia="en-AU"/>
              </w:rPr>
              <w:drawing>
                <wp:inline distT="0" distB="0" distL="0" distR="0">
                  <wp:extent cx="5876290" cy="318389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B3F1D" w:rsidRPr="00AD4F11" w:rsidRDefault="004B3F1D" w:rsidP="00D3658F">
            <w:pPr>
              <w:spacing w:before="60" w:after="60"/>
              <w:jc w:val="center"/>
              <w:rPr>
                <w:sz w:val="16"/>
                <w:szCs w:val="16"/>
              </w:rPr>
            </w:pPr>
          </w:p>
        </w:tc>
      </w:tr>
      <w:tr w:rsidR="004B3F1D" w:rsidRPr="003C63AC" w:rsidTr="00D3658F">
        <w:tc>
          <w:tcPr>
            <w:tcW w:w="9639" w:type="dxa"/>
            <w:vAlign w:val="center"/>
          </w:tcPr>
          <w:p w:rsidR="004B3F1D" w:rsidRPr="003C63AC" w:rsidRDefault="004B3F1D" w:rsidP="00C9194D">
            <w:pPr>
              <w:spacing w:before="60" w:after="60"/>
              <w:rPr>
                <w:i/>
              </w:rPr>
            </w:pPr>
            <w:r w:rsidRPr="003C63AC">
              <w:rPr>
                <w:i/>
                <w:sz w:val="20"/>
              </w:rPr>
              <w:t xml:space="preserve">Figure </w:t>
            </w:r>
            <w:r w:rsidR="00F005B2" w:rsidRPr="003C63AC">
              <w:rPr>
                <w:i/>
                <w:sz w:val="20"/>
              </w:rPr>
              <w:fldChar w:fldCharType="begin"/>
            </w:r>
            <w:r w:rsidRPr="003C63AC">
              <w:rPr>
                <w:i/>
                <w:sz w:val="20"/>
              </w:rPr>
              <w:instrText xml:space="preserve"> SEQ Figure \* ARABIC </w:instrText>
            </w:r>
            <w:r w:rsidR="00F005B2" w:rsidRPr="003C63AC">
              <w:rPr>
                <w:i/>
                <w:sz w:val="20"/>
              </w:rPr>
              <w:fldChar w:fldCharType="separate"/>
            </w:r>
            <w:r w:rsidR="00DE265F">
              <w:rPr>
                <w:i/>
                <w:noProof/>
                <w:sz w:val="20"/>
              </w:rPr>
              <w:t>1</w:t>
            </w:r>
            <w:r w:rsidR="00F005B2" w:rsidRPr="003C63AC">
              <w:rPr>
                <w:i/>
                <w:sz w:val="20"/>
              </w:rPr>
              <w:fldChar w:fldCharType="end"/>
            </w:r>
            <w:r w:rsidRPr="003C63AC">
              <w:rPr>
                <w:i/>
                <w:sz w:val="20"/>
              </w:rPr>
              <w:t xml:space="preserve">: Vehicle age distribution at end of 2013 based on the year of </w:t>
            </w:r>
            <w:r w:rsidR="00C9194D" w:rsidRPr="003C63AC">
              <w:rPr>
                <w:i/>
                <w:sz w:val="20"/>
              </w:rPr>
              <w:t>manufacture</w:t>
            </w:r>
            <w:r w:rsidRPr="003C63AC">
              <w:rPr>
                <w:i/>
                <w:sz w:val="20"/>
              </w:rPr>
              <w:t>.</w:t>
            </w:r>
          </w:p>
        </w:tc>
      </w:tr>
    </w:tbl>
    <w:p w:rsidR="005A5562" w:rsidRPr="003C63AC" w:rsidRDefault="00030A34" w:rsidP="00030A34">
      <w:pPr>
        <w:spacing w:before="0"/>
        <w:rPr>
          <w:sz w:val="20"/>
          <w:szCs w:val="20"/>
        </w:rPr>
      </w:pPr>
      <w:r w:rsidRPr="003C63AC">
        <w:rPr>
          <w:sz w:val="20"/>
          <w:szCs w:val="20"/>
        </w:rPr>
        <w:t>(Source: Motor Vehicle Census 2014, TableBuilder data)</w:t>
      </w:r>
    </w:p>
    <w:p w:rsidR="001F4B50" w:rsidRPr="003C63AC" w:rsidRDefault="001F4B50" w:rsidP="001F4B50">
      <w:r w:rsidRPr="003C63AC">
        <w:t xml:space="preserve">The first MACs installed in the 1970s were largely retrofitted to vehicles where suppliers such as Air International would supply kits for dealer fitted air conditioning in cars like Jaguars, Volvos, HJ Holdens and others. The push for MAC in vehicles in Australia commenced around the mid-1980s when the Commercial Travellers Association and business managers started demanding air conditioning in their vehicles. It was at </w:t>
      </w:r>
      <w:r w:rsidRPr="003C63AC">
        <w:lastRenderedPageBreak/>
        <w:t>this time that the automotive manufacturers started factory fitting MACs. During this period it was often sold as an optional extra, however the penetration of MACs in vehicles was very high (&gt;90</w:t>
      </w:r>
      <w:r w:rsidR="007D5938" w:rsidRPr="003C63AC">
        <w:t xml:space="preserve"> per cent</w:t>
      </w:r>
      <w:r w:rsidRPr="003C63AC">
        <w:t xml:space="preserve">) by the 1990s. By the turn of the century it was a standard feature in passenger vehicles with </w:t>
      </w:r>
      <w:r w:rsidR="003D0D69">
        <w:t xml:space="preserve">almost </w:t>
      </w:r>
      <w:r w:rsidRPr="003C63AC">
        <w:t>100</w:t>
      </w:r>
      <w:r w:rsidR="007D5938" w:rsidRPr="003C63AC">
        <w:t xml:space="preserve"> per cent</w:t>
      </w:r>
      <w:r w:rsidRPr="003C63AC">
        <w:t xml:space="preserve"> of passenger vehicles fitted with MAC, mostly during manufacture. </w:t>
      </w:r>
      <w:r w:rsidR="00412BEE">
        <w:t>A</w:t>
      </w:r>
      <w:r w:rsidRPr="003C63AC">
        <w:t xml:space="preserve"> small portion of retrofits continued to around 2008, such as in the Toyota Hilux. </w:t>
      </w:r>
    </w:p>
    <w:p w:rsidR="001F4B50" w:rsidRPr="000F5EF8" w:rsidRDefault="001F4B50" w:rsidP="001F4B50">
      <w:r w:rsidRPr="003C63AC">
        <w:t xml:space="preserve">Originally, all MACs in Australia were charged with chlorofluorocarbons (CFCs), mainly CFC-12, a gas which </w:t>
      </w:r>
      <w:r w:rsidR="003D0D69">
        <w:t>is</w:t>
      </w:r>
      <w:r w:rsidRPr="003C63AC">
        <w:t xml:space="preserve"> destructive to the ozone layer and </w:t>
      </w:r>
      <w:r w:rsidR="00412BEE">
        <w:t>has</w:t>
      </w:r>
      <w:r w:rsidR="00412BEE" w:rsidRPr="003C63AC">
        <w:t xml:space="preserve"> </w:t>
      </w:r>
      <w:r w:rsidRPr="003C63AC">
        <w:t>an extremely high GWP of 10</w:t>
      </w:r>
      <w:r w:rsidR="003D0D69">
        <w:t>9</w:t>
      </w:r>
      <w:r w:rsidRPr="003C63AC">
        <w:t>00.</w:t>
      </w:r>
      <w:r w:rsidRPr="003C63AC">
        <w:rPr>
          <w:rStyle w:val="FootnoteReference"/>
        </w:rPr>
        <w:footnoteReference w:id="4"/>
      </w:r>
      <w:r w:rsidRPr="003C63AC">
        <w:t xml:space="preserve"> As part of meeting its obligations under the Montreal Protocol</w:t>
      </w:r>
      <w:r w:rsidR="00EE2F50" w:rsidRPr="003C63AC">
        <w:t>,</w:t>
      </w:r>
      <w:r w:rsidRPr="003C63AC">
        <w:t xml:space="preserve"> Australia ceased the import of and manufacture of all CFCs on 1 January 1996</w:t>
      </w:r>
      <w:r w:rsidR="00EE2F50" w:rsidRPr="00AD4F11">
        <w:t>,</w:t>
      </w:r>
      <w:r w:rsidRPr="005728F4">
        <w:t xml:space="preserve"> with the exception of a very small number of internationally agreed essen</w:t>
      </w:r>
      <w:r w:rsidR="00F84CE0">
        <w:t>tial uses. In the lead up to the 1996</w:t>
      </w:r>
      <w:r w:rsidRPr="005728F4">
        <w:t xml:space="preserve"> deadline</w:t>
      </w:r>
      <w:r w:rsidR="008C74F0">
        <w:t>,</w:t>
      </w:r>
      <w:r w:rsidRPr="005728F4">
        <w:t xml:space="preserve"> the majority </w:t>
      </w:r>
      <w:r w:rsidR="00F84CE0">
        <w:t>of local vehicle manufacturers ceased using CFCs at the end of 1993. Similarly</w:t>
      </w:r>
      <w:r w:rsidRPr="005728F4">
        <w:t xml:space="preserve"> imports of vehicles containing CFC-12 ceased at the end of 1993 and were p</w:t>
      </w:r>
      <w:r w:rsidRPr="000F5EF8">
        <w:t xml:space="preserve">art of the fleet by mid-1994. </w:t>
      </w:r>
    </w:p>
    <w:p w:rsidR="001F4B50" w:rsidRPr="003C63AC" w:rsidRDefault="001F4B50" w:rsidP="001F4B50">
      <w:r w:rsidRPr="004F1732">
        <w:t>Around the same time that CFCs were agreed to be phased out, an international push by global vehicle original equipment manufacturers (OEMs) greatly improved MAC design to reduce charge size and losses from leaks. This was the first time that most MAC systems had been re-engineered for decades, and reducing leak</w:t>
      </w:r>
      <w:r w:rsidR="00EE2F50" w:rsidRPr="00AD02ED">
        <w:t xml:space="preserve"> rates</w:t>
      </w:r>
      <w:r w:rsidRPr="00D357AA">
        <w:t xml:space="preserve"> was a major objective. New types of hoses with triple crimp fittings were </w:t>
      </w:r>
      <w:r w:rsidR="003C63AC" w:rsidRPr="00920E28">
        <w:t>introduced;</w:t>
      </w:r>
      <w:r w:rsidRPr="003C63AC">
        <w:t xml:space="preserve"> a reduction in </w:t>
      </w:r>
      <w:r w:rsidR="00EE2F50" w:rsidRPr="003C63AC">
        <w:t xml:space="preserve">average </w:t>
      </w:r>
      <w:r w:rsidRPr="003C63AC">
        <w:t>refrigerant charge size from around 700</w:t>
      </w:r>
      <w:r w:rsidR="00EE2F50" w:rsidRPr="003C63AC">
        <w:t xml:space="preserve"> grams</w:t>
      </w:r>
      <w:r w:rsidRPr="003C63AC">
        <w:t xml:space="preserve"> to 610 grams</w:t>
      </w:r>
      <w:r w:rsidR="00EE2F50" w:rsidRPr="003C63AC">
        <w:t xml:space="preserve"> was achieved</w:t>
      </w:r>
      <w:r w:rsidRPr="003C63AC">
        <w:t xml:space="preserve">, along with other design improvements.    </w:t>
      </w:r>
    </w:p>
    <w:p w:rsidR="001F4B50" w:rsidRPr="003C63AC" w:rsidRDefault="001F4B50" w:rsidP="001F4B50">
      <w:r w:rsidRPr="003C63AC">
        <w:t>Due to the timing of the roll out of MAC</w:t>
      </w:r>
      <w:r w:rsidR="00EE2F50" w:rsidRPr="003C63AC">
        <w:t>s</w:t>
      </w:r>
      <w:r w:rsidRPr="003C63AC">
        <w:t xml:space="preserve"> as a standard feature in passenger vehicles, </w:t>
      </w:r>
      <w:r w:rsidR="00EE2F50" w:rsidRPr="003C63AC">
        <w:t>they</w:t>
      </w:r>
      <w:r w:rsidRPr="003C63AC">
        <w:t xml:space="preserve"> largely skipped the transition from CFCs to Hydrochlorofluorocarbon refrigerants (HCFCs) in the 1990s. The vast majority of operating mobile equipment either transitioned from CFCs directly to hydrofluorocarbons (HFCs - mainly HFC-134a) or were manufactured with HFC-134a as a result of the Montreal Protocol. </w:t>
      </w:r>
    </w:p>
    <w:p w:rsidR="001F4B50" w:rsidRPr="003C63AC" w:rsidRDefault="001F4B50" w:rsidP="001F4B50">
      <w:r w:rsidRPr="003C63AC">
        <w:t>HFC</w:t>
      </w:r>
      <w:r w:rsidR="00412BEE">
        <w:t>-</w:t>
      </w:r>
      <w:r w:rsidRPr="003C63AC">
        <w:t xml:space="preserve">134a is a stable, inert, non-flammable and </w:t>
      </w:r>
      <w:r w:rsidR="003C63AC" w:rsidRPr="003C63AC">
        <w:t>long-lived</w:t>
      </w:r>
      <w:r w:rsidRPr="003C63AC">
        <w:t xml:space="preserve"> gas that has a GWP of 1430 (AR4 GWP-100 Year). The results of a </w:t>
      </w:r>
      <w:r w:rsidR="00412BEE">
        <w:t>RRA</w:t>
      </w:r>
      <w:r w:rsidRPr="003C63AC">
        <w:t xml:space="preserve"> survey confirmed that more than 90</w:t>
      </w:r>
      <w:r w:rsidR="007D5938" w:rsidRPr="003C63AC">
        <w:t xml:space="preserve"> per cent</w:t>
      </w:r>
      <w:r w:rsidRPr="003C63AC">
        <w:t xml:space="preserve"> of all MACs in the survey sample contained HFC-134a, which is consistent with estimates derived from the stock model developed for this study.</w:t>
      </w:r>
      <w:r w:rsidRPr="003C63AC">
        <w:rPr>
          <w:rStyle w:val="FootnoteReference"/>
        </w:rPr>
        <w:footnoteReference w:id="5"/>
      </w:r>
    </w:p>
    <w:p w:rsidR="001F4B50" w:rsidRPr="00920E28" w:rsidRDefault="001F4B50" w:rsidP="001F4B50">
      <w:pPr>
        <w:rPr>
          <w:rFonts w:cs="Cambria"/>
        </w:rPr>
      </w:pPr>
      <w:r w:rsidRPr="00AD4F11">
        <w:t>MAC systems</w:t>
      </w:r>
      <w:r w:rsidRPr="005728F4">
        <w:t xml:space="preserve"> in P&amp;LCs </w:t>
      </w:r>
      <w:r w:rsidR="00CD7879">
        <w:t xml:space="preserve">in the current fleet </w:t>
      </w:r>
      <w:r w:rsidR="006D2834" w:rsidRPr="000F5EF8">
        <w:t xml:space="preserve">typically </w:t>
      </w:r>
      <w:r w:rsidRPr="004F1732">
        <w:t xml:space="preserve">contain </w:t>
      </w:r>
      <w:r w:rsidR="008F74FE">
        <w:t xml:space="preserve">a charge of </w:t>
      </w:r>
      <w:r w:rsidRPr="004F1732">
        <w:t>between 600 grams and 700 grams of refrigerant</w:t>
      </w:r>
      <w:r w:rsidR="00897A71">
        <w:t xml:space="preserve"> with new vehicles containing 610 grams on average and older vehicles retiring with a design based on a critical charge of 700 grams</w:t>
      </w:r>
      <w:r w:rsidR="00D4099E">
        <w:t xml:space="preserve"> (for further information on refrigerant charge definitions refer to glossary)</w:t>
      </w:r>
      <w:r w:rsidRPr="004F1732">
        <w:t>.</w:t>
      </w:r>
      <w:r w:rsidRPr="004F1732">
        <w:rPr>
          <w:rFonts w:cs="Cambria"/>
        </w:rPr>
        <w:t xml:space="preserve"> Across the entire</w:t>
      </w:r>
      <w:r w:rsidRPr="00AD02ED">
        <w:rPr>
          <w:rFonts w:cs="Cambria"/>
        </w:rPr>
        <w:t xml:space="preserve"> fleet of vehicles this equates to a total of an estimated 9,500 tonnes of synthetic refrigerants in MACs. Thus MACs contain the second largest portion of the entire bank of refrigerant gases employed in the Australian economy, comprising approximately 21</w:t>
      </w:r>
      <w:r w:rsidR="007D5938" w:rsidRPr="00D357AA">
        <w:rPr>
          <w:rFonts w:cs="Cambria"/>
        </w:rPr>
        <w:t xml:space="preserve"> </w:t>
      </w:r>
      <w:r w:rsidR="007D5938" w:rsidRPr="00920E28">
        <w:rPr>
          <w:rFonts w:cs="Cambria"/>
        </w:rPr>
        <w:t>per cent</w:t>
      </w:r>
      <w:r w:rsidRPr="00920E28">
        <w:rPr>
          <w:rFonts w:cs="Cambria"/>
        </w:rPr>
        <w:t xml:space="preserve"> of the total in 2013 (DoE 2014a).</w:t>
      </w:r>
    </w:p>
    <w:p w:rsidR="00153297" w:rsidRPr="003C63AC" w:rsidRDefault="00153297" w:rsidP="00CD0B2D">
      <w:pPr>
        <w:rPr>
          <w:rFonts w:cstheme="minorHAnsi"/>
        </w:rPr>
      </w:pPr>
    </w:p>
    <w:p w:rsidR="00153297" w:rsidRPr="003C63AC" w:rsidRDefault="00153297">
      <w:pPr>
        <w:spacing w:before="0"/>
        <w:jc w:val="left"/>
        <w:rPr>
          <w:rFonts w:cstheme="minorHAnsi"/>
        </w:rPr>
      </w:pPr>
    </w:p>
    <w:p w:rsidR="00153297" w:rsidRPr="003C63AC" w:rsidRDefault="00153297">
      <w:pPr>
        <w:spacing w:before="0"/>
        <w:jc w:val="left"/>
        <w:rPr>
          <w:rFonts w:cstheme="minorHAnsi"/>
        </w:rPr>
      </w:pPr>
    </w:p>
    <w:p w:rsidR="00153297" w:rsidRPr="003C63AC" w:rsidRDefault="00153297">
      <w:pPr>
        <w:spacing w:before="0"/>
        <w:jc w:val="left"/>
        <w:rPr>
          <w:rFonts w:cstheme="minorHAnsi"/>
        </w:rPr>
      </w:pPr>
    </w:p>
    <w:p w:rsidR="00153297" w:rsidRPr="003C63AC" w:rsidRDefault="00153297">
      <w:pPr>
        <w:spacing w:before="0"/>
        <w:jc w:val="left"/>
        <w:rPr>
          <w:rFonts w:cstheme="minorHAnsi"/>
        </w:rPr>
      </w:pPr>
    </w:p>
    <w:p w:rsidR="001F4B50" w:rsidRPr="003C63AC" w:rsidRDefault="001F4B50">
      <w:pPr>
        <w:spacing w:before="0"/>
        <w:jc w:val="left"/>
        <w:rPr>
          <w:rFonts w:cstheme="minorHAnsi"/>
        </w:rPr>
      </w:pPr>
    </w:p>
    <w:p w:rsidR="001F4B50" w:rsidRPr="003C63AC" w:rsidRDefault="001F4B50">
      <w:pPr>
        <w:spacing w:before="0"/>
        <w:jc w:val="left"/>
        <w:rPr>
          <w:rFonts w:cstheme="minorHAnsi"/>
        </w:rPr>
      </w:pPr>
    </w:p>
    <w:p w:rsidR="001F4B50" w:rsidRPr="003C63AC" w:rsidRDefault="001F4B50">
      <w:pPr>
        <w:spacing w:before="0"/>
        <w:jc w:val="left"/>
        <w:rPr>
          <w:rFonts w:cstheme="minorHAnsi"/>
        </w:rPr>
      </w:pPr>
    </w:p>
    <w:p w:rsidR="001F4B50" w:rsidRPr="003C63AC" w:rsidRDefault="001F4B50">
      <w:pPr>
        <w:spacing w:before="0"/>
        <w:jc w:val="left"/>
        <w:rPr>
          <w:rFonts w:cstheme="minorHAnsi"/>
        </w:rPr>
      </w:pPr>
    </w:p>
    <w:p w:rsidR="001F4B50" w:rsidRPr="003C63AC" w:rsidRDefault="001F4B50">
      <w:pPr>
        <w:spacing w:before="0"/>
        <w:jc w:val="left"/>
        <w:rPr>
          <w:rFonts w:cstheme="minorHAnsi"/>
        </w:rPr>
      </w:pPr>
    </w:p>
    <w:p w:rsidR="001F4B50" w:rsidRPr="003C63AC" w:rsidRDefault="001F4B50">
      <w:pPr>
        <w:spacing w:before="0"/>
        <w:jc w:val="left"/>
        <w:rPr>
          <w:rFonts w:cstheme="minorHAnsi"/>
        </w:rPr>
      </w:pPr>
    </w:p>
    <w:p w:rsidR="001F4B50" w:rsidRPr="003C63AC" w:rsidRDefault="001F4B50">
      <w:pPr>
        <w:spacing w:before="0"/>
        <w:jc w:val="left"/>
        <w:rPr>
          <w:rFonts w:cstheme="minorHAnsi"/>
        </w:rPr>
      </w:pPr>
    </w:p>
    <w:p w:rsidR="00153297" w:rsidRPr="003C63AC" w:rsidRDefault="00153297">
      <w:pPr>
        <w:spacing w:before="0"/>
        <w:jc w:val="left"/>
        <w:rPr>
          <w:rFonts w:cstheme="minorHAnsi"/>
        </w:rPr>
      </w:pPr>
    </w:p>
    <w:p w:rsidR="00153297" w:rsidRPr="003C63AC" w:rsidRDefault="00153297">
      <w:pPr>
        <w:spacing w:before="0"/>
        <w:jc w:val="left"/>
        <w:rPr>
          <w:rFonts w:cstheme="minorHAnsi"/>
        </w:rPr>
      </w:pPr>
    </w:p>
    <w:p w:rsidR="00153297" w:rsidRPr="003C63AC" w:rsidRDefault="00153297" w:rsidP="00153297"/>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39"/>
      </w:tblGrid>
      <w:tr w:rsidR="00153297" w:rsidRPr="003C63AC" w:rsidTr="00153297">
        <w:tc>
          <w:tcPr>
            <w:tcW w:w="9639" w:type="dxa"/>
            <w:vAlign w:val="center"/>
          </w:tcPr>
          <w:p w:rsidR="00153297" w:rsidRPr="004F1732" w:rsidRDefault="00153297" w:rsidP="00153297">
            <w:pPr>
              <w:spacing w:after="120"/>
              <w:jc w:val="center"/>
              <w:rPr>
                <w:b/>
              </w:rPr>
            </w:pPr>
            <w:r w:rsidRPr="003C63AC">
              <w:rPr>
                <w:b/>
              </w:rPr>
              <w:br w:type="page"/>
              <w:t xml:space="preserve">2013 Bank by major sector </w:t>
            </w:r>
            <w:r w:rsidR="003C63AC" w:rsidRPr="005728F4">
              <w:rPr>
                <w:b/>
              </w:rPr>
              <w:t>(per</w:t>
            </w:r>
            <w:r w:rsidR="007D5938" w:rsidRPr="000F5EF8">
              <w:rPr>
                <w:b/>
              </w:rPr>
              <w:t xml:space="preserve"> cent</w:t>
            </w:r>
            <w:r w:rsidRPr="004F1732">
              <w:rPr>
                <w:b/>
              </w:rPr>
              <w:t xml:space="preserve"> by tonnes)</w:t>
            </w:r>
          </w:p>
        </w:tc>
      </w:tr>
      <w:tr w:rsidR="00153297" w:rsidRPr="003C63AC" w:rsidTr="00153297">
        <w:tc>
          <w:tcPr>
            <w:tcW w:w="9639" w:type="dxa"/>
            <w:vAlign w:val="center"/>
          </w:tcPr>
          <w:p w:rsidR="00153297" w:rsidRPr="003C63AC" w:rsidRDefault="00153297" w:rsidP="00153297">
            <w:pPr>
              <w:spacing w:before="60" w:after="60"/>
              <w:jc w:val="center"/>
              <w:rPr>
                <w:sz w:val="16"/>
                <w:szCs w:val="16"/>
              </w:rPr>
            </w:pPr>
          </w:p>
          <w:p w:rsidR="00153297" w:rsidRPr="003C63AC" w:rsidRDefault="00153297" w:rsidP="00153297">
            <w:pPr>
              <w:spacing w:before="60" w:after="60"/>
              <w:jc w:val="center"/>
              <w:rPr>
                <w:sz w:val="16"/>
                <w:szCs w:val="16"/>
              </w:rPr>
            </w:pPr>
            <w:r w:rsidRPr="003C63AC">
              <w:rPr>
                <w:noProof/>
                <w:lang w:eastAsia="en-AU"/>
              </w:rPr>
              <w:drawing>
                <wp:inline distT="0" distB="0" distL="0" distR="0">
                  <wp:extent cx="4580890" cy="2912533"/>
                  <wp:effectExtent l="0" t="0" r="0" b="889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3297" w:rsidRPr="00AD4F11" w:rsidRDefault="00153297" w:rsidP="00153297">
            <w:pPr>
              <w:spacing w:before="60" w:after="60"/>
              <w:jc w:val="center"/>
              <w:rPr>
                <w:sz w:val="16"/>
                <w:szCs w:val="16"/>
              </w:rPr>
            </w:pPr>
          </w:p>
        </w:tc>
      </w:tr>
      <w:tr w:rsidR="00153297" w:rsidRPr="003C63AC" w:rsidTr="00153297">
        <w:tc>
          <w:tcPr>
            <w:tcW w:w="9639" w:type="dxa"/>
            <w:vAlign w:val="center"/>
          </w:tcPr>
          <w:p w:rsidR="00153297" w:rsidRPr="003C63AC" w:rsidRDefault="00153297" w:rsidP="004A6D54">
            <w:pPr>
              <w:spacing w:before="60" w:after="60"/>
              <w:rPr>
                <w:i/>
              </w:rPr>
            </w:pPr>
            <w:r w:rsidRPr="003C63AC">
              <w:rPr>
                <w:i/>
                <w:sz w:val="20"/>
              </w:rPr>
              <w:t xml:space="preserve">Figure </w:t>
            </w:r>
            <w:r w:rsidR="00F005B2" w:rsidRPr="003C63AC">
              <w:rPr>
                <w:i/>
                <w:sz w:val="20"/>
              </w:rPr>
              <w:fldChar w:fldCharType="begin"/>
            </w:r>
            <w:r w:rsidRPr="003C63AC">
              <w:rPr>
                <w:i/>
                <w:sz w:val="20"/>
              </w:rPr>
              <w:instrText xml:space="preserve"> SEQ Figure \* ARABIC </w:instrText>
            </w:r>
            <w:r w:rsidR="00F005B2" w:rsidRPr="003C63AC">
              <w:rPr>
                <w:i/>
                <w:sz w:val="20"/>
              </w:rPr>
              <w:fldChar w:fldCharType="separate"/>
            </w:r>
            <w:r w:rsidR="00DE265F">
              <w:rPr>
                <w:i/>
                <w:noProof/>
                <w:sz w:val="20"/>
              </w:rPr>
              <w:t>2</w:t>
            </w:r>
            <w:r w:rsidR="00F005B2" w:rsidRPr="003C63AC">
              <w:rPr>
                <w:i/>
                <w:sz w:val="20"/>
              </w:rPr>
              <w:fldChar w:fldCharType="end"/>
            </w:r>
            <w:r w:rsidRPr="003C63AC">
              <w:rPr>
                <w:i/>
                <w:sz w:val="20"/>
              </w:rPr>
              <w:t>: 2013 bank by major sector based on bottom-up analysis of equipment,</w:t>
            </w:r>
            <w:r w:rsidR="007D5938" w:rsidRPr="003C63AC">
              <w:rPr>
                <w:i/>
                <w:sz w:val="20"/>
              </w:rPr>
              <w:t xml:space="preserve"> per cent</w:t>
            </w:r>
            <w:r w:rsidRPr="003C63AC">
              <w:rPr>
                <w:i/>
                <w:sz w:val="20"/>
              </w:rPr>
              <w:t xml:space="preserve"> share by tonnes.</w:t>
            </w:r>
          </w:p>
        </w:tc>
      </w:tr>
    </w:tbl>
    <w:p w:rsidR="00153297" w:rsidRPr="003C63AC" w:rsidRDefault="009E124C" w:rsidP="009E124C">
      <w:pPr>
        <w:spacing w:before="0"/>
        <w:rPr>
          <w:sz w:val="20"/>
          <w:szCs w:val="20"/>
        </w:rPr>
      </w:pPr>
      <w:r w:rsidRPr="003C63AC">
        <w:rPr>
          <w:sz w:val="20"/>
          <w:szCs w:val="20"/>
        </w:rPr>
        <w:t>(Source: DoE 2014a)</w:t>
      </w:r>
    </w:p>
    <w:p w:rsidR="00CD0B2D" w:rsidRPr="003C63AC" w:rsidRDefault="009E124C" w:rsidP="00CD0B2D">
      <w:r w:rsidRPr="003C63AC">
        <w:t>Due to the relatively difficult environment in which MACs have to operate (high vibration, subject to jolts and the hot engine enclosure) compared to stationary equipment, MACs are a large source of emissions to air of refrigerant gas. This is a subject that auto makers and international regulators are well aware of and significant engineering effort and funds have been invested over the years in reducing leak</w:t>
      </w:r>
      <w:r w:rsidR="00EE2F50" w:rsidRPr="003C63AC">
        <w:t>s</w:t>
      </w:r>
      <w:r w:rsidRPr="003C63AC">
        <w:t xml:space="preserve"> from MACs while improving equipment reliability.</w:t>
      </w:r>
    </w:p>
    <w:p w:rsidR="00153297" w:rsidRPr="003C63AC" w:rsidRDefault="00153297" w:rsidP="00CD0B2D"/>
    <w:p w:rsidR="00153297" w:rsidRPr="003C63AC" w:rsidRDefault="00153297" w:rsidP="00153297">
      <w:pPr>
        <w:spacing w:before="0"/>
        <w:jc w:val="left"/>
        <w:rPr>
          <w:b/>
          <w:sz w:val="20"/>
        </w:rPr>
      </w:pPr>
      <w:bookmarkStart w:id="11" w:name="_Toc257360008"/>
      <w:r w:rsidRPr="003C63AC">
        <w:rPr>
          <w:i/>
          <w:szCs w:val="22"/>
        </w:rPr>
        <w:t xml:space="preserve">Table </w:t>
      </w:r>
      <w:r w:rsidR="00F005B2" w:rsidRPr="003C63AC">
        <w:rPr>
          <w:i/>
          <w:szCs w:val="22"/>
        </w:rPr>
        <w:fldChar w:fldCharType="begin"/>
      </w:r>
      <w:r w:rsidRPr="003C63AC">
        <w:rPr>
          <w:i/>
          <w:szCs w:val="22"/>
        </w:rPr>
        <w:instrText xml:space="preserve"> SEQ Table \* ARABIC </w:instrText>
      </w:r>
      <w:r w:rsidR="00F005B2" w:rsidRPr="003C63AC">
        <w:rPr>
          <w:i/>
          <w:szCs w:val="22"/>
        </w:rPr>
        <w:fldChar w:fldCharType="separate"/>
      </w:r>
      <w:r w:rsidR="00DE265F">
        <w:rPr>
          <w:i/>
          <w:noProof/>
          <w:szCs w:val="22"/>
        </w:rPr>
        <w:t>1</w:t>
      </w:r>
      <w:r w:rsidR="00F005B2" w:rsidRPr="003C63AC">
        <w:rPr>
          <w:i/>
          <w:szCs w:val="22"/>
        </w:rPr>
        <w:fldChar w:fldCharType="end"/>
      </w:r>
      <w:r w:rsidRPr="003C63AC">
        <w:rPr>
          <w:i/>
          <w:szCs w:val="22"/>
        </w:rPr>
        <w:t>: Estimates of 2013 gas consumption and refrigerant bank by major sector in tonnes.</w:t>
      </w:r>
      <w:bookmarkEnd w:id="1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25"/>
        <w:gridCol w:w="2721"/>
        <w:gridCol w:w="2693"/>
      </w:tblGrid>
      <w:tr w:rsidR="00CD0B2D" w:rsidRPr="003C63AC" w:rsidTr="00955D3C">
        <w:trPr>
          <w:trHeight w:val="684"/>
        </w:trPr>
        <w:tc>
          <w:tcPr>
            <w:tcW w:w="4225" w:type="dxa"/>
            <w:tcBorders>
              <w:top w:val="single" w:sz="8" w:space="0" w:color="FFFFFF"/>
              <w:left w:val="single" w:sz="8" w:space="0" w:color="auto"/>
              <w:bottom w:val="single" w:sz="8" w:space="0" w:color="FFFFFF"/>
              <w:right w:val="single" w:sz="8" w:space="0" w:color="FFFFFF"/>
            </w:tcBorders>
            <w:shd w:val="clear" w:color="auto" w:fill="000000"/>
            <w:vAlign w:val="center"/>
          </w:tcPr>
          <w:p w:rsidR="00CD0B2D" w:rsidRPr="005728F4" w:rsidRDefault="005D19AA" w:rsidP="005D19AA">
            <w:pPr>
              <w:spacing w:after="120"/>
              <w:ind w:left="284"/>
            </w:pPr>
            <w:r w:rsidRPr="00AD4F11">
              <w:t>Sector/applications</w:t>
            </w:r>
          </w:p>
        </w:tc>
        <w:tc>
          <w:tcPr>
            <w:tcW w:w="2721" w:type="dxa"/>
            <w:tcBorders>
              <w:top w:val="single" w:sz="8" w:space="0" w:color="FFFFFF"/>
              <w:left w:val="single" w:sz="8" w:space="0" w:color="FFFFFF"/>
              <w:bottom w:val="single" w:sz="8" w:space="0" w:color="FFFFFF"/>
              <w:right w:val="single" w:sz="8" w:space="0" w:color="FFFFFF"/>
            </w:tcBorders>
            <w:shd w:val="clear" w:color="auto" w:fill="000000"/>
            <w:vAlign w:val="center"/>
          </w:tcPr>
          <w:p w:rsidR="00CD0B2D" w:rsidRPr="00D357AA" w:rsidRDefault="00CD0B2D" w:rsidP="005D19AA">
            <w:pPr>
              <w:spacing w:before="0"/>
              <w:jc w:val="center"/>
            </w:pPr>
            <w:r w:rsidRPr="000F5EF8">
              <w:t>20</w:t>
            </w:r>
            <w:r w:rsidR="00153297" w:rsidRPr="004F1732">
              <w:t>13</w:t>
            </w:r>
            <w:r w:rsidRPr="004F1732">
              <w:t xml:space="preserve"> </w:t>
            </w:r>
            <w:r w:rsidR="00153297" w:rsidRPr="00AD02ED">
              <w:t xml:space="preserve">total </w:t>
            </w:r>
            <w:r w:rsidRPr="00D357AA">
              <w:t xml:space="preserve">consumption </w:t>
            </w:r>
          </w:p>
          <w:p w:rsidR="00CD0B2D" w:rsidRPr="00920E28" w:rsidRDefault="005D19AA" w:rsidP="005D19AA">
            <w:pPr>
              <w:spacing w:before="0"/>
              <w:jc w:val="center"/>
            </w:pPr>
            <w:r w:rsidRPr="00920E28">
              <w:t>(</w:t>
            </w:r>
            <w:r w:rsidR="00CD0B2D" w:rsidRPr="00920E28">
              <w:t>tonnes)</w:t>
            </w:r>
          </w:p>
        </w:tc>
        <w:tc>
          <w:tcPr>
            <w:tcW w:w="2693" w:type="dxa"/>
            <w:tcBorders>
              <w:top w:val="single" w:sz="8" w:space="0" w:color="FFFFFF"/>
              <w:left w:val="single" w:sz="8" w:space="0" w:color="FFFFFF"/>
              <w:bottom w:val="single" w:sz="8" w:space="0" w:color="FFFFFF"/>
              <w:right w:val="single" w:sz="8" w:space="0" w:color="auto"/>
            </w:tcBorders>
            <w:shd w:val="clear" w:color="auto" w:fill="000000"/>
            <w:vAlign w:val="center"/>
          </w:tcPr>
          <w:p w:rsidR="00CD0B2D" w:rsidRPr="000641CA" w:rsidRDefault="00CD0B2D" w:rsidP="005D19AA">
            <w:pPr>
              <w:spacing w:before="0"/>
              <w:jc w:val="center"/>
            </w:pPr>
            <w:r w:rsidRPr="003C63AC">
              <w:t>201</w:t>
            </w:r>
            <w:r w:rsidR="005D19AA" w:rsidRPr="003C63AC">
              <w:t>3</w:t>
            </w:r>
            <w:r w:rsidRPr="003C63AC">
              <w:t xml:space="preserve"> bank </w:t>
            </w:r>
          </w:p>
          <w:p w:rsidR="00CD0B2D" w:rsidRPr="000641CA" w:rsidRDefault="00CD0B2D" w:rsidP="005D19AA">
            <w:pPr>
              <w:spacing w:before="0"/>
              <w:jc w:val="center"/>
            </w:pPr>
            <w:r w:rsidRPr="003C63AC">
              <w:t>(tonnes)</w:t>
            </w:r>
          </w:p>
        </w:tc>
      </w:tr>
      <w:tr w:rsidR="005D19AA" w:rsidRPr="003C63AC" w:rsidTr="00955D3C">
        <w:trPr>
          <w:trHeight w:val="456"/>
        </w:trPr>
        <w:tc>
          <w:tcPr>
            <w:tcW w:w="4225" w:type="dxa"/>
            <w:tcBorders>
              <w:top w:val="single" w:sz="8" w:space="0" w:color="FFFFFF"/>
            </w:tcBorders>
            <w:vAlign w:val="center"/>
          </w:tcPr>
          <w:p w:rsidR="005D19AA" w:rsidRPr="000641CA" w:rsidRDefault="005D19AA" w:rsidP="005D19AA">
            <w:pPr>
              <w:spacing w:before="60" w:after="60"/>
              <w:ind w:left="284"/>
            </w:pPr>
            <w:r w:rsidRPr="003C63AC">
              <w:t>Domestic refrigeration</w:t>
            </w:r>
          </w:p>
        </w:tc>
        <w:tc>
          <w:tcPr>
            <w:tcW w:w="2721" w:type="dxa"/>
            <w:tcBorders>
              <w:top w:val="single" w:sz="8" w:space="0" w:color="FFFFFF"/>
            </w:tcBorders>
            <w:vAlign w:val="center"/>
          </w:tcPr>
          <w:p w:rsidR="005D19AA" w:rsidRPr="003C63AC" w:rsidRDefault="005D19AA" w:rsidP="005D19AA">
            <w:pPr>
              <w:spacing w:before="60" w:after="60"/>
              <w:jc w:val="center"/>
              <w:rPr>
                <w:sz w:val="20"/>
              </w:rPr>
            </w:pPr>
            <w:r w:rsidRPr="003C63AC">
              <w:rPr>
                <w:szCs w:val="22"/>
              </w:rPr>
              <w:t>25</w:t>
            </w:r>
          </w:p>
        </w:tc>
        <w:tc>
          <w:tcPr>
            <w:tcW w:w="2693" w:type="dxa"/>
            <w:tcBorders>
              <w:top w:val="single" w:sz="8" w:space="0" w:color="FFFFFF"/>
            </w:tcBorders>
            <w:vAlign w:val="center"/>
          </w:tcPr>
          <w:p w:rsidR="005D19AA" w:rsidRPr="003C63AC" w:rsidRDefault="005D19AA" w:rsidP="005D19AA">
            <w:pPr>
              <w:spacing w:before="60" w:after="60"/>
              <w:jc w:val="center"/>
              <w:rPr>
                <w:sz w:val="20"/>
              </w:rPr>
            </w:pPr>
            <w:r w:rsidRPr="003C63AC">
              <w:rPr>
                <w:szCs w:val="22"/>
              </w:rPr>
              <w:t>2,270</w:t>
            </w:r>
          </w:p>
        </w:tc>
      </w:tr>
      <w:tr w:rsidR="005D19AA" w:rsidRPr="003C63AC" w:rsidTr="00955D3C">
        <w:trPr>
          <w:trHeight w:val="456"/>
        </w:trPr>
        <w:tc>
          <w:tcPr>
            <w:tcW w:w="4225" w:type="dxa"/>
            <w:vAlign w:val="center"/>
          </w:tcPr>
          <w:p w:rsidR="005D19AA" w:rsidRPr="000641CA" w:rsidRDefault="005D19AA" w:rsidP="005D19AA">
            <w:pPr>
              <w:spacing w:before="60" w:after="60"/>
              <w:ind w:left="284"/>
            </w:pPr>
            <w:r w:rsidRPr="003C63AC">
              <w:t>Refrigerated Cold Food Chain</w:t>
            </w:r>
          </w:p>
        </w:tc>
        <w:tc>
          <w:tcPr>
            <w:tcW w:w="2721" w:type="dxa"/>
            <w:vAlign w:val="center"/>
          </w:tcPr>
          <w:p w:rsidR="005D19AA" w:rsidRPr="003C63AC" w:rsidRDefault="005D19AA" w:rsidP="005D19AA">
            <w:pPr>
              <w:spacing w:before="60" w:after="60"/>
              <w:jc w:val="center"/>
              <w:rPr>
                <w:sz w:val="20"/>
              </w:rPr>
            </w:pPr>
            <w:r w:rsidRPr="003C63AC">
              <w:rPr>
                <w:szCs w:val="22"/>
              </w:rPr>
              <w:t>1,000</w:t>
            </w:r>
          </w:p>
        </w:tc>
        <w:tc>
          <w:tcPr>
            <w:tcW w:w="2693" w:type="dxa"/>
            <w:vAlign w:val="center"/>
          </w:tcPr>
          <w:p w:rsidR="005D19AA" w:rsidRPr="003C63AC" w:rsidRDefault="005D19AA" w:rsidP="005D19AA">
            <w:pPr>
              <w:spacing w:before="60" w:after="60"/>
              <w:jc w:val="center"/>
              <w:rPr>
                <w:sz w:val="20"/>
              </w:rPr>
            </w:pPr>
            <w:r w:rsidRPr="003C63AC">
              <w:rPr>
                <w:szCs w:val="22"/>
              </w:rPr>
              <w:t>5,070</w:t>
            </w:r>
          </w:p>
        </w:tc>
      </w:tr>
      <w:tr w:rsidR="005D19AA" w:rsidRPr="003C63AC" w:rsidTr="00955D3C">
        <w:trPr>
          <w:trHeight w:val="456"/>
        </w:trPr>
        <w:tc>
          <w:tcPr>
            <w:tcW w:w="4225" w:type="dxa"/>
            <w:vAlign w:val="center"/>
          </w:tcPr>
          <w:p w:rsidR="005D19AA" w:rsidRPr="000641CA" w:rsidRDefault="005D19AA" w:rsidP="005D19AA">
            <w:pPr>
              <w:spacing w:before="60" w:after="60"/>
              <w:ind w:left="284"/>
            </w:pPr>
            <w:r w:rsidRPr="003C63AC">
              <w:t>Stationary air conditioning</w:t>
            </w:r>
          </w:p>
        </w:tc>
        <w:tc>
          <w:tcPr>
            <w:tcW w:w="2721" w:type="dxa"/>
            <w:vAlign w:val="center"/>
          </w:tcPr>
          <w:p w:rsidR="005D19AA" w:rsidRPr="003C63AC" w:rsidRDefault="005D19AA" w:rsidP="005D19AA">
            <w:pPr>
              <w:spacing w:before="60" w:after="60"/>
              <w:jc w:val="center"/>
              <w:rPr>
                <w:sz w:val="20"/>
              </w:rPr>
            </w:pPr>
            <w:r w:rsidRPr="003C63AC">
              <w:rPr>
                <w:szCs w:val="22"/>
              </w:rPr>
              <w:t>1,535 (incl. 200 re-use)</w:t>
            </w:r>
          </w:p>
        </w:tc>
        <w:tc>
          <w:tcPr>
            <w:tcW w:w="2693" w:type="dxa"/>
            <w:vAlign w:val="center"/>
          </w:tcPr>
          <w:p w:rsidR="005D19AA" w:rsidRPr="003C63AC" w:rsidRDefault="005D19AA" w:rsidP="005D19AA">
            <w:pPr>
              <w:spacing w:before="60" w:after="60"/>
              <w:jc w:val="center"/>
              <w:rPr>
                <w:sz w:val="20"/>
              </w:rPr>
            </w:pPr>
            <w:r w:rsidRPr="003C63AC">
              <w:rPr>
                <w:szCs w:val="22"/>
              </w:rPr>
              <w:t>28,680</w:t>
            </w:r>
          </w:p>
        </w:tc>
      </w:tr>
      <w:tr w:rsidR="005D19AA" w:rsidRPr="003C63AC" w:rsidTr="00955D3C">
        <w:trPr>
          <w:trHeight w:val="456"/>
        </w:trPr>
        <w:tc>
          <w:tcPr>
            <w:tcW w:w="4225" w:type="dxa"/>
            <w:vAlign w:val="center"/>
          </w:tcPr>
          <w:p w:rsidR="005D19AA" w:rsidRPr="000641CA" w:rsidRDefault="005D19AA" w:rsidP="005D19AA">
            <w:pPr>
              <w:spacing w:before="60" w:after="60"/>
              <w:ind w:left="284"/>
            </w:pPr>
            <w:r w:rsidRPr="003C63AC">
              <w:t>Mobile air conditioning</w:t>
            </w:r>
          </w:p>
        </w:tc>
        <w:tc>
          <w:tcPr>
            <w:tcW w:w="2721" w:type="dxa"/>
            <w:vAlign w:val="center"/>
          </w:tcPr>
          <w:p w:rsidR="005D19AA" w:rsidRPr="003C63AC" w:rsidRDefault="005D19AA" w:rsidP="005D19AA">
            <w:pPr>
              <w:spacing w:before="60" w:after="60"/>
              <w:jc w:val="center"/>
              <w:rPr>
                <w:sz w:val="20"/>
              </w:rPr>
            </w:pPr>
            <w:r w:rsidRPr="003C63AC">
              <w:rPr>
                <w:szCs w:val="22"/>
              </w:rPr>
              <w:t>1,250</w:t>
            </w:r>
          </w:p>
        </w:tc>
        <w:tc>
          <w:tcPr>
            <w:tcW w:w="2693" w:type="dxa"/>
            <w:vAlign w:val="center"/>
          </w:tcPr>
          <w:p w:rsidR="005D19AA" w:rsidRPr="003C63AC" w:rsidRDefault="005D19AA" w:rsidP="005D19AA">
            <w:pPr>
              <w:spacing w:before="60" w:after="60"/>
              <w:jc w:val="center"/>
              <w:rPr>
                <w:sz w:val="20"/>
              </w:rPr>
            </w:pPr>
            <w:r w:rsidRPr="003C63AC">
              <w:rPr>
                <w:szCs w:val="22"/>
              </w:rPr>
              <w:t>9,515</w:t>
            </w:r>
          </w:p>
        </w:tc>
      </w:tr>
      <w:tr w:rsidR="005D19AA" w:rsidRPr="003C63AC" w:rsidTr="00955D3C">
        <w:trPr>
          <w:trHeight w:val="456"/>
        </w:trPr>
        <w:tc>
          <w:tcPr>
            <w:tcW w:w="4225" w:type="dxa"/>
            <w:vAlign w:val="center"/>
          </w:tcPr>
          <w:p w:rsidR="005D19AA" w:rsidRPr="000641CA" w:rsidRDefault="005D19AA" w:rsidP="005D19AA">
            <w:pPr>
              <w:spacing w:before="60" w:after="60"/>
              <w:ind w:left="284"/>
            </w:pPr>
            <w:r w:rsidRPr="003C63AC">
              <w:t>Foams</w:t>
            </w:r>
          </w:p>
        </w:tc>
        <w:tc>
          <w:tcPr>
            <w:tcW w:w="2721" w:type="dxa"/>
            <w:vAlign w:val="center"/>
          </w:tcPr>
          <w:p w:rsidR="005D19AA" w:rsidRPr="003C63AC" w:rsidRDefault="005D19AA" w:rsidP="005D19AA">
            <w:pPr>
              <w:spacing w:before="60" w:after="60"/>
              <w:jc w:val="center"/>
              <w:rPr>
                <w:sz w:val="20"/>
              </w:rPr>
            </w:pPr>
            <w:r w:rsidRPr="003C63AC">
              <w:rPr>
                <w:szCs w:val="22"/>
              </w:rPr>
              <w:t>200</w:t>
            </w:r>
          </w:p>
        </w:tc>
        <w:tc>
          <w:tcPr>
            <w:tcW w:w="2693" w:type="dxa"/>
            <w:vAlign w:val="center"/>
          </w:tcPr>
          <w:p w:rsidR="005D19AA" w:rsidRPr="003C63AC" w:rsidRDefault="005D19AA" w:rsidP="005D19AA">
            <w:pPr>
              <w:spacing w:before="60" w:after="60"/>
              <w:jc w:val="center"/>
              <w:rPr>
                <w:sz w:val="20"/>
              </w:rPr>
            </w:pPr>
            <w:r w:rsidRPr="003C63AC">
              <w:rPr>
                <w:szCs w:val="22"/>
              </w:rPr>
              <w:t>-</w:t>
            </w:r>
          </w:p>
        </w:tc>
      </w:tr>
      <w:tr w:rsidR="005D19AA" w:rsidRPr="003C63AC" w:rsidTr="00955D3C">
        <w:trPr>
          <w:trHeight w:val="456"/>
        </w:trPr>
        <w:tc>
          <w:tcPr>
            <w:tcW w:w="4225" w:type="dxa"/>
            <w:vAlign w:val="center"/>
          </w:tcPr>
          <w:p w:rsidR="005D19AA" w:rsidRPr="000641CA" w:rsidRDefault="005D19AA" w:rsidP="005D19AA">
            <w:pPr>
              <w:spacing w:before="60" w:after="60"/>
              <w:ind w:left="284"/>
            </w:pPr>
            <w:r w:rsidRPr="003C63AC">
              <w:t>Fire protection</w:t>
            </w:r>
          </w:p>
        </w:tc>
        <w:tc>
          <w:tcPr>
            <w:tcW w:w="2721" w:type="dxa"/>
            <w:vAlign w:val="center"/>
          </w:tcPr>
          <w:p w:rsidR="005D19AA" w:rsidRPr="003C63AC" w:rsidRDefault="005D19AA" w:rsidP="005D19AA">
            <w:pPr>
              <w:spacing w:before="60" w:after="60"/>
              <w:jc w:val="center"/>
              <w:rPr>
                <w:sz w:val="20"/>
              </w:rPr>
            </w:pPr>
            <w:r w:rsidRPr="003C63AC">
              <w:rPr>
                <w:szCs w:val="22"/>
              </w:rPr>
              <w:t>50</w:t>
            </w:r>
          </w:p>
        </w:tc>
        <w:tc>
          <w:tcPr>
            <w:tcW w:w="2693" w:type="dxa"/>
            <w:vAlign w:val="center"/>
          </w:tcPr>
          <w:p w:rsidR="005D19AA" w:rsidRPr="003C63AC" w:rsidRDefault="005D19AA" w:rsidP="005D19AA">
            <w:pPr>
              <w:spacing w:before="60" w:after="60"/>
              <w:jc w:val="center"/>
              <w:rPr>
                <w:sz w:val="20"/>
              </w:rPr>
            </w:pPr>
            <w:r w:rsidRPr="003C63AC">
              <w:rPr>
                <w:szCs w:val="22"/>
              </w:rPr>
              <w:t>-</w:t>
            </w:r>
          </w:p>
        </w:tc>
      </w:tr>
      <w:tr w:rsidR="005D19AA" w:rsidRPr="003C63AC" w:rsidTr="00955D3C">
        <w:trPr>
          <w:trHeight w:val="456"/>
        </w:trPr>
        <w:tc>
          <w:tcPr>
            <w:tcW w:w="4225" w:type="dxa"/>
            <w:vAlign w:val="center"/>
          </w:tcPr>
          <w:p w:rsidR="005D19AA" w:rsidRPr="000641CA" w:rsidRDefault="005D19AA" w:rsidP="005D19AA">
            <w:pPr>
              <w:spacing w:before="60" w:after="60"/>
              <w:ind w:left="284"/>
            </w:pPr>
            <w:r w:rsidRPr="003C63AC">
              <w:t>Aerosols</w:t>
            </w:r>
          </w:p>
        </w:tc>
        <w:tc>
          <w:tcPr>
            <w:tcW w:w="2721" w:type="dxa"/>
            <w:vAlign w:val="center"/>
          </w:tcPr>
          <w:p w:rsidR="005D19AA" w:rsidRPr="003C63AC" w:rsidRDefault="005D19AA" w:rsidP="005D19AA">
            <w:pPr>
              <w:spacing w:before="60" w:after="60"/>
              <w:jc w:val="center"/>
              <w:rPr>
                <w:sz w:val="20"/>
              </w:rPr>
            </w:pPr>
            <w:r w:rsidRPr="003C63AC">
              <w:rPr>
                <w:szCs w:val="22"/>
              </w:rPr>
              <w:t>40</w:t>
            </w:r>
          </w:p>
        </w:tc>
        <w:tc>
          <w:tcPr>
            <w:tcW w:w="2693" w:type="dxa"/>
            <w:vAlign w:val="center"/>
          </w:tcPr>
          <w:p w:rsidR="005D19AA" w:rsidRPr="003C63AC" w:rsidRDefault="005D19AA" w:rsidP="005D19AA">
            <w:pPr>
              <w:spacing w:before="60" w:after="60"/>
              <w:jc w:val="center"/>
              <w:rPr>
                <w:sz w:val="20"/>
              </w:rPr>
            </w:pPr>
            <w:r w:rsidRPr="003C63AC">
              <w:rPr>
                <w:szCs w:val="22"/>
              </w:rPr>
              <w:t>-</w:t>
            </w:r>
          </w:p>
        </w:tc>
      </w:tr>
      <w:tr w:rsidR="005D19AA" w:rsidRPr="003C63AC" w:rsidTr="00955D3C">
        <w:trPr>
          <w:trHeight w:val="456"/>
        </w:trPr>
        <w:tc>
          <w:tcPr>
            <w:tcW w:w="4225" w:type="dxa"/>
            <w:vAlign w:val="center"/>
          </w:tcPr>
          <w:p w:rsidR="005D19AA" w:rsidRPr="000641CA" w:rsidRDefault="005D19AA" w:rsidP="005D19AA">
            <w:pPr>
              <w:spacing w:before="60" w:after="60"/>
              <w:ind w:left="284"/>
            </w:pPr>
            <w:r w:rsidRPr="003C63AC">
              <w:t>Export and other</w:t>
            </w:r>
          </w:p>
        </w:tc>
        <w:tc>
          <w:tcPr>
            <w:tcW w:w="2721" w:type="dxa"/>
            <w:vAlign w:val="center"/>
          </w:tcPr>
          <w:p w:rsidR="005D19AA" w:rsidRPr="003C63AC" w:rsidRDefault="005D19AA" w:rsidP="005D19AA">
            <w:pPr>
              <w:spacing w:before="60" w:after="60"/>
              <w:jc w:val="center"/>
              <w:rPr>
                <w:sz w:val="20"/>
              </w:rPr>
            </w:pPr>
            <w:r w:rsidRPr="003C63AC">
              <w:rPr>
                <w:szCs w:val="22"/>
              </w:rPr>
              <w:t>~90</w:t>
            </w:r>
          </w:p>
        </w:tc>
        <w:tc>
          <w:tcPr>
            <w:tcW w:w="2693" w:type="dxa"/>
            <w:vAlign w:val="center"/>
          </w:tcPr>
          <w:p w:rsidR="005D19AA" w:rsidRPr="003C63AC" w:rsidRDefault="005D19AA" w:rsidP="005D19AA">
            <w:pPr>
              <w:spacing w:before="60" w:after="60"/>
              <w:jc w:val="center"/>
              <w:rPr>
                <w:sz w:val="20"/>
              </w:rPr>
            </w:pPr>
            <w:r w:rsidRPr="003C63AC">
              <w:rPr>
                <w:szCs w:val="22"/>
              </w:rPr>
              <w:t>-</w:t>
            </w:r>
          </w:p>
        </w:tc>
      </w:tr>
      <w:tr w:rsidR="005D19AA" w:rsidRPr="003C63AC" w:rsidTr="00955D3C">
        <w:trPr>
          <w:trHeight w:val="456"/>
        </w:trPr>
        <w:tc>
          <w:tcPr>
            <w:tcW w:w="4225" w:type="dxa"/>
            <w:vAlign w:val="center"/>
          </w:tcPr>
          <w:p w:rsidR="005D19AA" w:rsidRPr="000641CA" w:rsidRDefault="005D19AA" w:rsidP="005D19AA">
            <w:pPr>
              <w:spacing w:before="60" w:after="60"/>
              <w:ind w:left="284"/>
            </w:pPr>
            <w:r w:rsidRPr="003C63AC">
              <w:lastRenderedPageBreak/>
              <w:t>Total</w:t>
            </w:r>
          </w:p>
        </w:tc>
        <w:tc>
          <w:tcPr>
            <w:tcW w:w="2721" w:type="dxa"/>
            <w:vAlign w:val="center"/>
          </w:tcPr>
          <w:p w:rsidR="005D19AA" w:rsidRPr="003C63AC" w:rsidRDefault="005D19AA" w:rsidP="005D19AA">
            <w:pPr>
              <w:spacing w:before="60" w:after="60"/>
              <w:jc w:val="center"/>
              <w:rPr>
                <w:sz w:val="20"/>
              </w:rPr>
            </w:pPr>
            <w:r w:rsidRPr="003C63AC">
              <w:rPr>
                <w:szCs w:val="22"/>
              </w:rPr>
              <w:t>4,190</w:t>
            </w:r>
          </w:p>
        </w:tc>
        <w:tc>
          <w:tcPr>
            <w:tcW w:w="2693" w:type="dxa"/>
            <w:vAlign w:val="center"/>
          </w:tcPr>
          <w:p w:rsidR="005D19AA" w:rsidRPr="003C63AC" w:rsidRDefault="005D19AA" w:rsidP="005D19AA">
            <w:pPr>
              <w:spacing w:before="60" w:after="60"/>
              <w:jc w:val="center"/>
              <w:rPr>
                <w:sz w:val="20"/>
              </w:rPr>
            </w:pPr>
            <w:r w:rsidRPr="003C63AC">
              <w:rPr>
                <w:szCs w:val="22"/>
              </w:rPr>
              <w:t>45,535</w:t>
            </w:r>
          </w:p>
        </w:tc>
      </w:tr>
    </w:tbl>
    <w:p w:rsidR="00CD0B2D" w:rsidRPr="003C63AC" w:rsidRDefault="005D19AA" w:rsidP="005D19AA">
      <w:pPr>
        <w:spacing w:before="0"/>
        <w:rPr>
          <w:sz w:val="20"/>
          <w:szCs w:val="20"/>
          <w:lang w:val="en-US"/>
        </w:rPr>
      </w:pPr>
      <w:r w:rsidRPr="003C63AC">
        <w:rPr>
          <w:sz w:val="20"/>
          <w:szCs w:val="20"/>
          <w:lang w:val="en-US"/>
        </w:rPr>
        <w:t xml:space="preserve">(Source: </w:t>
      </w:r>
      <w:r w:rsidR="00030A34" w:rsidRPr="003C63AC">
        <w:rPr>
          <w:sz w:val="20"/>
          <w:szCs w:val="20"/>
          <w:lang w:val="en-US"/>
        </w:rPr>
        <w:t>DoE 2014a)</w:t>
      </w:r>
    </w:p>
    <w:p w:rsidR="00955D3C" w:rsidRPr="00920E28" w:rsidRDefault="00955D3C" w:rsidP="00955D3C">
      <w:r w:rsidRPr="003C63AC">
        <w:t xml:space="preserve">Of the more than 1,200 tonnes of gas estimated to have been used servicing or manufacturing MACs in 2013, consumption of gas by OEMs in automotive and truck manufacturing was estimated to be 135 tonnes in 2013. </w:t>
      </w:r>
      <w:r w:rsidRPr="00AD4F11">
        <w:t xml:space="preserve">P&amp;LC </w:t>
      </w:r>
      <w:r w:rsidRPr="005728F4">
        <w:t>manufacturing declined from 326,960 in 2006 to 211,429 in 2013, partially due to global competition and the clos</w:t>
      </w:r>
      <w:r w:rsidRPr="000F5EF8">
        <w:t>ure of the Mitsubishi factory in 2008. This decline removed demand of between 50 to 60 tonnes per annum from HFC-134a consumption in Australia. The announced closures of the Ford Motor Company manufacturing operations in Geelong and Broadmeadows in Victori</w:t>
      </w:r>
      <w:r w:rsidRPr="004F1732">
        <w:t xml:space="preserve">a by 2015, the GM Holden manufacturing facilities in Adelaide and </w:t>
      </w:r>
      <w:r w:rsidR="003C63AC" w:rsidRPr="00AD02ED">
        <w:t>Fisherman’s</w:t>
      </w:r>
      <w:r w:rsidRPr="00D357AA">
        <w:t xml:space="preserve"> Bend in Victoria by 2016, and the Toyota manufacturing operations in Victoria by 2017, are expected to further reduce </w:t>
      </w:r>
      <w:r w:rsidR="006A0469">
        <w:t xml:space="preserve">bulk </w:t>
      </w:r>
      <w:r w:rsidRPr="00D357AA">
        <w:t>imports of HFC-134a by around</w:t>
      </w:r>
      <w:r w:rsidRPr="00920E28">
        <w:t xml:space="preserve"> 130 tonnes per annum by the end of 2017 (</w:t>
      </w:r>
      <w:r w:rsidR="00D21B44" w:rsidRPr="00920E28">
        <w:t xml:space="preserve">DoE </w:t>
      </w:r>
      <w:r w:rsidR="00D21B44" w:rsidRPr="00D21B44">
        <w:t>2014a</w:t>
      </w:r>
      <w:r w:rsidRPr="00D21B44">
        <w:t>)</w:t>
      </w:r>
      <w:r w:rsidRPr="00920E28">
        <w:t>.</w:t>
      </w:r>
    </w:p>
    <w:p w:rsidR="00955D3C" w:rsidRPr="003C63AC" w:rsidRDefault="00955D3C" w:rsidP="00955D3C">
      <w:r w:rsidRPr="003C63AC">
        <w:t>Approximately 80 per cent of refrigerant gas consumed in MACs was consumed servicing air conditioning systems in existing vehicles, which have an estimated leak rate of around 10</w:t>
      </w:r>
      <w:r w:rsidR="007D5938" w:rsidRPr="003C63AC">
        <w:t xml:space="preserve"> per cent</w:t>
      </w:r>
      <w:r w:rsidRPr="003C63AC">
        <w:t xml:space="preserve"> per annum. An additional allowance of 1.5 per cent per annum is included for </w:t>
      </w:r>
      <w:r w:rsidR="00412BEE">
        <w:t>P&amp;LCs</w:t>
      </w:r>
      <w:r w:rsidRPr="003C63AC">
        <w:t xml:space="preserve"> to replace gas lost from vehicles that had some form of collision or catastrophic failure (i.e. compressor</w:t>
      </w:r>
      <w:r w:rsidR="00EE2F50" w:rsidRPr="003C63AC">
        <w:t xml:space="preserve"> failure</w:t>
      </w:r>
      <w:r w:rsidRPr="003C63AC">
        <w:t>). This demand to replace lost gas accounted for around 25</w:t>
      </w:r>
      <w:r w:rsidR="007D5938" w:rsidRPr="003C63AC">
        <w:t xml:space="preserve"> per cent</w:t>
      </w:r>
      <w:r w:rsidRPr="003C63AC">
        <w:t xml:space="preserve"> of imports of all bulk gas (i.e. 994 out of 3,990 tonnes which excludes re-use) into Australia in that year.</w:t>
      </w:r>
    </w:p>
    <w:p w:rsidR="00955D3C" w:rsidRPr="003C63AC" w:rsidRDefault="00955D3C" w:rsidP="00955D3C">
      <w:r w:rsidRPr="003C63AC">
        <w:t>If it is assumed that all gas consumed for servicing MACs, or for replacement of gas lost due to mechanical failure, is emitted to air, then the approximately 994 tonnes of gas consumed in servicing in 2013 was equivalent to carbon emissions of 1.4 Mt CO</w:t>
      </w:r>
      <w:r w:rsidRPr="003C63AC">
        <w:rPr>
          <w:vertAlign w:val="subscript"/>
        </w:rPr>
        <w:t>2</w:t>
      </w:r>
      <w:r w:rsidRPr="003C63AC">
        <w:t>e (DoE 2014a). This is roughly equivalent to about 0.25</w:t>
      </w:r>
      <w:r w:rsidR="007D5938" w:rsidRPr="003C63AC">
        <w:t xml:space="preserve"> per cent</w:t>
      </w:r>
      <w:r w:rsidRPr="003C63AC">
        <w:t xml:space="preserve"> of Australia’s total greenhouse gas emissions in 2013.</w:t>
      </w:r>
    </w:p>
    <w:p w:rsidR="00955D3C" w:rsidRPr="003C63AC" w:rsidRDefault="00955D3C" w:rsidP="00955D3C">
      <w:r w:rsidRPr="003C63AC">
        <w:t xml:space="preserve">The synthetic refrigerant gases used in MACs and in the servicing of MACs are subject to the same regulation and licensing controls under the Act as is refrigerant used in all other </w:t>
      </w:r>
      <w:r w:rsidR="00412BEE">
        <w:t>RAC</w:t>
      </w:r>
      <w:r w:rsidRPr="003C63AC">
        <w:t xml:space="preserve"> equipment and applications. The details and requirements for practitioners are described in </w:t>
      </w:r>
      <w:r w:rsidRPr="003C63AC">
        <w:rPr>
          <w:i/>
        </w:rPr>
        <w:t>The Australian automotive code of practice for the control of refrigerant gases during manufacture, installation, servicing or de-commissioning of motor vehicle air conditioners 2008</w:t>
      </w:r>
      <w:r w:rsidR="006D2C2E" w:rsidRPr="003C63AC">
        <w:rPr>
          <w:i/>
        </w:rPr>
        <w:t xml:space="preserve"> </w:t>
      </w:r>
      <w:r w:rsidR="006D2C2E" w:rsidRPr="003C63AC">
        <w:t>(</w:t>
      </w:r>
      <w:r w:rsidR="00EC546B" w:rsidRPr="003C63AC">
        <w:t>DEWHA 2008)</w:t>
      </w:r>
      <w:r w:rsidR="003275F2">
        <w:t xml:space="preserve"> </w:t>
      </w:r>
      <w:r w:rsidR="009F6690">
        <w:t xml:space="preserve">the </w:t>
      </w:r>
      <w:r w:rsidR="008F3C36" w:rsidRPr="007F33CF">
        <w:t xml:space="preserve">Ozone Protection and Synthetic Greenhouse Gas Management </w:t>
      </w:r>
      <w:r w:rsidR="009F6690">
        <w:t>Regulations 1995</w:t>
      </w:r>
      <w:r w:rsidR="009F6690">
        <w:rPr>
          <w:i/>
        </w:rPr>
        <w:t xml:space="preserve"> </w:t>
      </w:r>
      <w:r w:rsidR="003275F2">
        <w:t>and in licensing information issued by the ARC</w:t>
      </w:r>
      <w:r w:rsidRPr="003C63AC">
        <w:t>.</w:t>
      </w:r>
      <w:r w:rsidR="00C57BFF" w:rsidRPr="003C63AC">
        <w:t xml:space="preserve"> </w:t>
      </w:r>
    </w:p>
    <w:p w:rsidR="00CD0B2D" w:rsidRPr="003C63AC" w:rsidRDefault="00C56C86" w:rsidP="00CD0B2D">
      <w:r w:rsidRPr="003C63AC">
        <w:t xml:space="preserve"> </w:t>
      </w:r>
    </w:p>
    <w:p w:rsidR="00F46130" w:rsidRPr="003C63AC" w:rsidRDefault="005D3E65" w:rsidP="00132C47">
      <w:pPr>
        <w:pStyle w:val="Heading2"/>
        <w:ind w:left="567"/>
      </w:pPr>
      <w:bookmarkStart w:id="12" w:name="_Toc430778974"/>
      <w:r w:rsidRPr="003C63AC">
        <w:t>Number of ELVs in Australia</w:t>
      </w:r>
      <w:bookmarkEnd w:id="12"/>
    </w:p>
    <w:p w:rsidR="00B03B36" w:rsidRPr="00AD4F11" w:rsidRDefault="00B03B36" w:rsidP="00B03B36">
      <w:r w:rsidRPr="003C63AC">
        <w:t xml:space="preserve">The starting point for calculating the number of ELVs in Australia is annual data produced by the </w:t>
      </w:r>
      <w:r w:rsidR="00863AF4">
        <w:t>ABS</w:t>
      </w:r>
      <w:r w:rsidRPr="003C63AC">
        <w:t>.</w:t>
      </w:r>
    </w:p>
    <w:p w:rsidR="00B03B36" w:rsidRPr="003C63AC" w:rsidRDefault="00B03B36" w:rsidP="00B03B36">
      <w:r w:rsidRPr="005728F4">
        <w:t>The ABS publishes an annual Motor Vehicle Census that accounts for the number of registered</w:t>
      </w:r>
      <w:r w:rsidRPr="000F5EF8">
        <w:t xml:space="preserve"> vehicles in Australia by type including passenger vehicles, light commercial vehicles, trucks, buses and other registered vehicles (ABS 9309.0 2014). The scope of this study is limited to </w:t>
      </w:r>
      <w:r w:rsidR="00863AF4">
        <w:t xml:space="preserve">P&amp;LCs </w:t>
      </w:r>
      <w:r w:rsidRPr="000F5EF8">
        <w:t>with a gross vehic</w:t>
      </w:r>
      <w:r w:rsidRPr="004F1732">
        <w:t>le mass less than 3.5 tonnes. Therefore, trucks, buses and campervans were omitted from the ABS statistics used.</w:t>
      </w:r>
      <w:r w:rsidRPr="003C63AC">
        <w:rPr>
          <w:rStyle w:val="FootnoteReference"/>
        </w:rPr>
        <w:footnoteReference w:id="6"/>
      </w:r>
    </w:p>
    <w:p w:rsidR="00B03B36" w:rsidRPr="00AD02ED" w:rsidRDefault="00B03B36" w:rsidP="00B03B36">
      <w:r w:rsidRPr="00AD4F11">
        <w:t>The m</w:t>
      </w:r>
      <w:r w:rsidRPr="005728F4">
        <w:t xml:space="preserve">otor vehicle registration statistics in the </w:t>
      </w:r>
      <w:bookmarkStart w:id="13" w:name="OLE_LINK3"/>
      <w:bookmarkStart w:id="14" w:name="OLE_LINK4"/>
      <w:r w:rsidRPr="005728F4">
        <w:t xml:space="preserve">Motor Vehicle </w:t>
      </w:r>
      <w:bookmarkEnd w:id="13"/>
      <w:bookmarkEnd w:id="14"/>
      <w:r w:rsidRPr="005728F4">
        <w:t xml:space="preserve">Census are derived from data provided by </w:t>
      </w:r>
      <w:r w:rsidR="003275F2">
        <w:t>s</w:t>
      </w:r>
      <w:r w:rsidRPr="005728F4">
        <w:t xml:space="preserve">tate and </w:t>
      </w:r>
      <w:r w:rsidR="003275F2">
        <w:t>t</w:t>
      </w:r>
      <w:r w:rsidRPr="005728F4">
        <w:t>erritory motor vehicle regi</w:t>
      </w:r>
      <w:r w:rsidRPr="000F5EF8">
        <w:t xml:space="preserve">stration authorities and assume a </w:t>
      </w:r>
      <w:r w:rsidR="003C63AC" w:rsidRPr="004F1732">
        <w:t>one-month</w:t>
      </w:r>
      <w:r w:rsidRPr="00AD02ED">
        <w:t xml:space="preserve"> period of grace with renewals to minimise anomalies due to late payments. There are some cars that are re-registered after this period however the number is statistically insignificant.</w:t>
      </w:r>
    </w:p>
    <w:p w:rsidR="00B03B36" w:rsidRPr="003C63AC" w:rsidRDefault="00B03B36" w:rsidP="00B03B36">
      <w:r w:rsidRPr="00D357AA">
        <w:t>The registration</w:t>
      </w:r>
      <w:r w:rsidRPr="00920E28">
        <w:t xml:space="preserve"> data from the Motor Vehicle Census, combined with new sales data from the Federated Chamber of Automotive Industr</w:t>
      </w:r>
      <w:r w:rsidR="003275F2">
        <w:t>ies</w:t>
      </w:r>
      <w:r w:rsidRPr="00920E28">
        <w:t xml:space="preserve"> known as VFACTS, is used to calculate an attrition rate for vehicles. The attrition rate (also known as the motor vehicle retirement rate) r</w:t>
      </w:r>
      <w:r w:rsidRPr="003C63AC">
        <w:t xml:space="preserve">epresents the estimated number of motor vehicles taken off the register since the previous census. </w:t>
      </w:r>
      <w:r w:rsidRPr="003C63AC">
        <w:rPr>
          <w:i/>
        </w:rPr>
        <w:t>Figure 3</w:t>
      </w:r>
      <w:r w:rsidRPr="003C63AC">
        <w:t xml:space="preserve"> provides a trend of ELVs by </w:t>
      </w:r>
      <w:r w:rsidR="003275F2">
        <w:t>s</w:t>
      </w:r>
      <w:r w:rsidRPr="003C63AC">
        <w:t>tate/</w:t>
      </w:r>
      <w:r w:rsidR="003275F2">
        <w:t>t</w:t>
      </w:r>
      <w:r w:rsidRPr="003C63AC">
        <w:t xml:space="preserve">erritory over the last </w:t>
      </w:r>
      <w:r w:rsidR="004A6D54" w:rsidRPr="003C63AC">
        <w:t xml:space="preserve">five </w:t>
      </w:r>
      <w:r w:rsidRPr="003C63AC">
        <w:t>years. The total number has grown from around 600,000 in 2008 to roughly 680,000 in 2012 and 2013. This is an average of almost 630,000 ELVs per annum and equates to approximately 4</w:t>
      </w:r>
      <w:r w:rsidR="007D5938" w:rsidRPr="003C63AC">
        <w:t xml:space="preserve"> per cent</w:t>
      </w:r>
      <w:r w:rsidRPr="003C63AC">
        <w:t xml:space="preserve"> of the registered fleet of vehicles retiring per annum. </w:t>
      </w:r>
    </w:p>
    <w:p w:rsidR="00B03B36" w:rsidRPr="003C63AC" w:rsidRDefault="00B03B36" w:rsidP="00B03B36">
      <w:r w:rsidRPr="003C63AC">
        <w:lastRenderedPageBreak/>
        <w:t xml:space="preserve">Not all of the vehicles that are retired and taken off the registration database automatically become ELVs. </w:t>
      </w:r>
      <w:r w:rsidR="003275F2">
        <w:t>S</w:t>
      </w:r>
      <w:r w:rsidRPr="003C63AC">
        <w:t xml:space="preserve">ome may be registered again at a later date when an owner might have repaired them, refurbished them or sold them on to a new owner after a period of not being used. To better understand the relationship between the vehicle fleet and the population of ELVs, the Expert Group developed a model of vehicle retirement rates known as the ‘scrapping curve’ that is described in detail in </w:t>
      </w:r>
      <w:r w:rsidRPr="003C63AC">
        <w:rPr>
          <w:i/>
        </w:rPr>
        <w:t>Appendix A</w:t>
      </w:r>
      <w:r w:rsidRPr="003C63AC">
        <w:t>. Using the data from the ABS Motor Vehicle Census and data on the age distribution of the fleet, the Expert Group</w:t>
      </w:r>
      <w:r w:rsidR="00EC546B" w:rsidRPr="003C63AC">
        <w:t xml:space="preserve"> </w:t>
      </w:r>
      <w:r w:rsidRPr="003C63AC">
        <w:t xml:space="preserve">ELV Model calculates that in 2013 </w:t>
      </w:r>
      <w:r w:rsidR="00D25133" w:rsidRPr="00412BEE">
        <w:t>658,000</w:t>
      </w:r>
      <w:r w:rsidRPr="003C63AC">
        <w:t xml:space="preserve"> vehicles entered the population of ELVs. For the purpose of this analysis we have focussed on this 2013 population of ELVs.</w:t>
      </w:r>
    </w:p>
    <w:p w:rsidR="00B03B36" w:rsidRPr="003C63AC" w:rsidRDefault="00B03B36" w:rsidP="00B03B36">
      <w:r w:rsidRPr="003C63AC">
        <w:t>This estimate does not account for a relatively small number of vehicles that might simply be unregistered vehicles (i.e. law breakers). It also does not include the few thousands of vehicles that for various reasons are not included in the ABS data such as those registered by the defence forces, consular vehicles and vehicles not registered for road use (quad bikes, tractors, etc.), or vintage cars (different type of registration). The penetration of MAC in these latter classes of vehicles would be low.</w:t>
      </w:r>
    </w:p>
    <w:p w:rsidR="00B03B36" w:rsidRPr="003C63AC" w:rsidRDefault="00B03B36" w:rsidP="00B03B36">
      <w:r w:rsidRPr="003C63AC">
        <w:rPr>
          <w:i/>
        </w:rPr>
        <w:t>Figure 4</w:t>
      </w:r>
      <w:r w:rsidRPr="003C63AC">
        <w:t xml:space="preserve"> shows the average dissection of ELVs by </w:t>
      </w:r>
      <w:r w:rsidR="007F1B79">
        <w:t>s</w:t>
      </w:r>
      <w:r w:rsidRPr="003C63AC">
        <w:t>tate/</w:t>
      </w:r>
      <w:r w:rsidR="007F1B79">
        <w:t>t</w:t>
      </w:r>
      <w:r w:rsidRPr="003C63AC">
        <w:t xml:space="preserve">erritory over the last </w:t>
      </w:r>
      <w:r w:rsidR="004A6D54" w:rsidRPr="003C63AC">
        <w:t xml:space="preserve">six </w:t>
      </w:r>
      <w:r w:rsidRPr="003C63AC">
        <w:t>years with N</w:t>
      </w:r>
      <w:r w:rsidR="00412BEE">
        <w:t xml:space="preserve">ew </w:t>
      </w:r>
      <w:r w:rsidRPr="003C63AC">
        <w:t>S</w:t>
      </w:r>
      <w:r w:rsidR="00412BEE">
        <w:t xml:space="preserve">outh </w:t>
      </w:r>
      <w:r w:rsidRPr="003C63AC">
        <w:t>W</w:t>
      </w:r>
      <w:r w:rsidR="00412BEE">
        <w:t>ales</w:t>
      </w:r>
      <w:r w:rsidR="006070B4">
        <w:t xml:space="preserve"> (NSW)</w:t>
      </w:r>
      <w:r w:rsidRPr="003C63AC">
        <w:t>, Vic</w:t>
      </w:r>
      <w:r w:rsidR="00412BEE">
        <w:t>toria</w:t>
      </w:r>
      <w:r w:rsidRPr="003C63AC">
        <w:t xml:space="preserve"> and Q</w:t>
      </w:r>
      <w:r w:rsidR="00412BEE">
        <w:t>ueensland</w:t>
      </w:r>
      <w:r w:rsidRPr="003C63AC">
        <w:t xml:space="preserve"> accounting for more than 80</w:t>
      </w:r>
      <w:r w:rsidR="007D5938" w:rsidRPr="003C63AC">
        <w:t xml:space="preserve"> per cent</w:t>
      </w:r>
      <w:r w:rsidRPr="003C63AC">
        <w:t xml:space="preserve"> of P&amp;LC vehicles retiring.</w:t>
      </w:r>
    </w:p>
    <w:p w:rsidR="004633B7" w:rsidRPr="003C63AC" w:rsidRDefault="004633B7">
      <w:pPr>
        <w:spacing w:before="0"/>
        <w:jc w:val="left"/>
        <w:rPr>
          <w:rFonts w:cs="Times New Roman"/>
        </w:rPr>
      </w:pPr>
      <w:r w:rsidRPr="003C63AC">
        <w:rPr>
          <w:rFonts w:cs="Times New Roman"/>
        </w:rPr>
        <w:br w:type="page"/>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39"/>
      </w:tblGrid>
      <w:tr w:rsidR="00F46130" w:rsidRPr="003C63AC" w:rsidTr="009F065E">
        <w:tc>
          <w:tcPr>
            <w:tcW w:w="9639" w:type="dxa"/>
            <w:vAlign w:val="center"/>
          </w:tcPr>
          <w:p w:rsidR="00F46130" w:rsidRPr="003C63AC" w:rsidRDefault="00F46130" w:rsidP="004A6D54">
            <w:pPr>
              <w:spacing w:after="120"/>
              <w:jc w:val="center"/>
              <w:rPr>
                <w:b/>
              </w:rPr>
            </w:pPr>
            <w:r w:rsidRPr="003C63AC">
              <w:rPr>
                <w:b/>
              </w:rPr>
              <w:lastRenderedPageBreak/>
              <w:br w:type="page"/>
              <w:t>Number of ELVs in Australia by</w:t>
            </w:r>
            <w:r w:rsidR="004C3916" w:rsidRPr="003C63AC">
              <w:rPr>
                <w:b/>
              </w:rPr>
              <w:t xml:space="preserve"> State/Territory over the last </w:t>
            </w:r>
            <w:r w:rsidR="004A6D54" w:rsidRPr="003C63AC">
              <w:rPr>
                <w:b/>
              </w:rPr>
              <w:t xml:space="preserve">six </w:t>
            </w:r>
            <w:r w:rsidRPr="003C63AC">
              <w:rPr>
                <w:b/>
              </w:rPr>
              <w:t>years</w:t>
            </w:r>
          </w:p>
        </w:tc>
      </w:tr>
      <w:tr w:rsidR="00F46130" w:rsidRPr="003C63AC" w:rsidTr="009F065E">
        <w:tc>
          <w:tcPr>
            <w:tcW w:w="9639" w:type="dxa"/>
            <w:vAlign w:val="center"/>
          </w:tcPr>
          <w:p w:rsidR="00F46130" w:rsidRPr="003C63AC" w:rsidRDefault="00F46130" w:rsidP="009F065E">
            <w:pPr>
              <w:spacing w:before="60" w:after="60"/>
              <w:jc w:val="center"/>
              <w:rPr>
                <w:sz w:val="16"/>
                <w:szCs w:val="16"/>
              </w:rPr>
            </w:pPr>
          </w:p>
          <w:p w:rsidR="00F46130" w:rsidRPr="003C63AC" w:rsidRDefault="009F065E" w:rsidP="009F065E">
            <w:pPr>
              <w:spacing w:before="60" w:after="60"/>
              <w:jc w:val="center"/>
              <w:rPr>
                <w:sz w:val="16"/>
                <w:szCs w:val="16"/>
              </w:rPr>
            </w:pPr>
            <w:r w:rsidRPr="003C63AC">
              <w:rPr>
                <w:noProof/>
                <w:lang w:eastAsia="en-AU"/>
              </w:rPr>
              <w:drawing>
                <wp:inline distT="0" distB="0" distL="0" distR="0">
                  <wp:extent cx="5960110" cy="2726055"/>
                  <wp:effectExtent l="0" t="0" r="889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46130" w:rsidRPr="003C63AC" w:rsidRDefault="00F46130" w:rsidP="009F065E">
            <w:pPr>
              <w:spacing w:before="60" w:after="60"/>
              <w:jc w:val="center"/>
              <w:rPr>
                <w:sz w:val="16"/>
                <w:szCs w:val="16"/>
              </w:rPr>
            </w:pPr>
          </w:p>
        </w:tc>
      </w:tr>
      <w:tr w:rsidR="00F46130" w:rsidRPr="003C63AC" w:rsidTr="009F065E">
        <w:tc>
          <w:tcPr>
            <w:tcW w:w="9639" w:type="dxa"/>
            <w:vAlign w:val="center"/>
          </w:tcPr>
          <w:p w:rsidR="00F46130" w:rsidRPr="003C63AC" w:rsidRDefault="00911D03" w:rsidP="00F46130">
            <w:pPr>
              <w:spacing w:before="60" w:after="60"/>
              <w:rPr>
                <w:i/>
              </w:rPr>
            </w:pPr>
            <w:r w:rsidRPr="003C63AC">
              <w:rPr>
                <w:i/>
                <w:sz w:val="20"/>
              </w:rPr>
              <w:t xml:space="preserve">Figure </w:t>
            </w:r>
            <w:r w:rsidR="00F005B2" w:rsidRPr="003C63AC">
              <w:rPr>
                <w:i/>
                <w:sz w:val="20"/>
              </w:rPr>
              <w:fldChar w:fldCharType="begin"/>
            </w:r>
            <w:r w:rsidRPr="003C63AC">
              <w:rPr>
                <w:i/>
                <w:sz w:val="20"/>
              </w:rPr>
              <w:instrText xml:space="preserve"> SEQ Figure \* ARABIC </w:instrText>
            </w:r>
            <w:r w:rsidR="00F005B2" w:rsidRPr="003C63AC">
              <w:rPr>
                <w:i/>
                <w:sz w:val="20"/>
              </w:rPr>
              <w:fldChar w:fldCharType="separate"/>
            </w:r>
            <w:r w:rsidR="00DE265F">
              <w:rPr>
                <w:i/>
                <w:noProof/>
                <w:sz w:val="20"/>
              </w:rPr>
              <w:t>3</w:t>
            </w:r>
            <w:r w:rsidR="00F005B2" w:rsidRPr="003C63AC">
              <w:rPr>
                <w:i/>
                <w:sz w:val="20"/>
              </w:rPr>
              <w:fldChar w:fldCharType="end"/>
            </w:r>
            <w:r w:rsidR="00F46130" w:rsidRPr="003C63AC">
              <w:rPr>
                <w:i/>
                <w:sz w:val="20"/>
              </w:rPr>
              <w:t>: Number of ELVs by State/Territory from 2008 to 2013 based on ABS attrition rate.</w:t>
            </w:r>
          </w:p>
        </w:tc>
      </w:tr>
      <w:tr w:rsidR="009F065E" w:rsidRPr="003C63AC" w:rsidTr="009F065E">
        <w:tc>
          <w:tcPr>
            <w:tcW w:w="9639" w:type="dxa"/>
            <w:tcBorders>
              <w:top w:val="single" w:sz="4" w:space="0" w:color="000000"/>
              <w:left w:val="single" w:sz="4" w:space="0" w:color="000000"/>
              <w:bottom w:val="single" w:sz="4" w:space="0" w:color="000000"/>
              <w:right w:val="single" w:sz="4" w:space="0" w:color="000000"/>
            </w:tcBorders>
            <w:vAlign w:val="center"/>
          </w:tcPr>
          <w:p w:rsidR="009F065E" w:rsidRPr="003C63AC" w:rsidRDefault="009F065E" w:rsidP="009F065E">
            <w:pPr>
              <w:spacing w:before="60" w:after="60"/>
              <w:jc w:val="center"/>
              <w:rPr>
                <w:sz w:val="16"/>
                <w:szCs w:val="16"/>
              </w:rPr>
            </w:pPr>
          </w:p>
          <w:p w:rsidR="009F065E" w:rsidRPr="003C63AC" w:rsidRDefault="009F065E" w:rsidP="009F065E">
            <w:pPr>
              <w:spacing w:before="60" w:after="60"/>
              <w:jc w:val="center"/>
              <w:rPr>
                <w:sz w:val="16"/>
                <w:szCs w:val="16"/>
              </w:rPr>
            </w:pPr>
            <w:r w:rsidRPr="003C63AC">
              <w:rPr>
                <w:noProof/>
                <w:lang w:eastAsia="en-AU"/>
              </w:rPr>
              <w:drawing>
                <wp:inline distT="0" distB="0" distL="0" distR="0">
                  <wp:extent cx="5698490" cy="32258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F065E" w:rsidRPr="003C63AC" w:rsidRDefault="009F065E" w:rsidP="009F065E">
            <w:pPr>
              <w:spacing w:before="60" w:after="60"/>
              <w:jc w:val="center"/>
              <w:rPr>
                <w:sz w:val="16"/>
                <w:szCs w:val="16"/>
              </w:rPr>
            </w:pPr>
          </w:p>
        </w:tc>
      </w:tr>
      <w:tr w:rsidR="009F065E" w:rsidRPr="003C63AC" w:rsidTr="009F065E">
        <w:tc>
          <w:tcPr>
            <w:tcW w:w="9639" w:type="dxa"/>
            <w:tcBorders>
              <w:top w:val="single" w:sz="4" w:space="0" w:color="000000"/>
              <w:left w:val="single" w:sz="4" w:space="0" w:color="000000"/>
              <w:bottom w:val="single" w:sz="4" w:space="0" w:color="000000"/>
              <w:right w:val="single" w:sz="4" w:space="0" w:color="000000"/>
            </w:tcBorders>
            <w:vAlign w:val="center"/>
          </w:tcPr>
          <w:p w:rsidR="009F065E" w:rsidRPr="003C63AC" w:rsidRDefault="00F92D4C" w:rsidP="009F065E">
            <w:pPr>
              <w:spacing w:before="60" w:after="60"/>
              <w:rPr>
                <w:i/>
                <w:sz w:val="20"/>
              </w:rPr>
            </w:pPr>
            <w:r w:rsidRPr="003C63AC">
              <w:rPr>
                <w:i/>
                <w:sz w:val="20"/>
              </w:rPr>
              <w:t xml:space="preserve">Figure </w:t>
            </w:r>
            <w:r w:rsidR="00F005B2" w:rsidRPr="003C63AC">
              <w:rPr>
                <w:i/>
                <w:sz w:val="20"/>
              </w:rPr>
              <w:fldChar w:fldCharType="begin"/>
            </w:r>
            <w:r w:rsidRPr="003C63AC">
              <w:rPr>
                <w:i/>
                <w:sz w:val="20"/>
              </w:rPr>
              <w:instrText xml:space="preserve"> SEQ Figure \* ARABIC </w:instrText>
            </w:r>
            <w:r w:rsidR="00F005B2" w:rsidRPr="003C63AC">
              <w:rPr>
                <w:i/>
                <w:sz w:val="20"/>
              </w:rPr>
              <w:fldChar w:fldCharType="separate"/>
            </w:r>
            <w:r w:rsidR="00DE265F">
              <w:rPr>
                <w:i/>
                <w:noProof/>
                <w:sz w:val="20"/>
              </w:rPr>
              <w:t>4</w:t>
            </w:r>
            <w:r w:rsidR="00F005B2" w:rsidRPr="003C63AC">
              <w:rPr>
                <w:i/>
                <w:sz w:val="20"/>
              </w:rPr>
              <w:fldChar w:fldCharType="end"/>
            </w:r>
            <w:r w:rsidR="009F065E" w:rsidRPr="003C63AC">
              <w:rPr>
                <w:i/>
                <w:sz w:val="20"/>
              </w:rPr>
              <w:t>: Proportion of ELVs by State/Territory from 2008 to 2013 based on ABS attrition rate.</w:t>
            </w:r>
          </w:p>
        </w:tc>
      </w:tr>
    </w:tbl>
    <w:p w:rsidR="005D3E65" w:rsidRPr="003C63AC" w:rsidRDefault="005D3E65">
      <w:pPr>
        <w:spacing w:before="0"/>
        <w:jc w:val="left"/>
      </w:pPr>
    </w:p>
    <w:p w:rsidR="004633B7" w:rsidRPr="003C63AC" w:rsidRDefault="004633B7">
      <w:pPr>
        <w:spacing w:before="0"/>
        <w:jc w:val="left"/>
        <w:rPr>
          <w:rFonts w:ascii="Calibri" w:eastAsia="Times New Roman" w:hAnsi="Calibri" w:cs="Times New Roman"/>
          <w:b/>
          <w:bCs/>
          <w:i/>
          <w:iCs/>
          <w:sz w:val="28"/>
          <w:szCs w:val="28"/>
          <w:lang w:val="en-US"/>
        </w:rPr>
      </w:pPr>
      <w:r w:rsidRPr="003C63AC">
        <w:br w:type="page"/>
      </w:r>
    </w:p>
    <w:p w:rsidR="00A031DD" w:rsidRPr="003C63AC" w:rsidRDefault="00A031DD" w:rsidP="00A031DD">
      <w:pPr>
        <w:pStyle w:val="Heading2"/>
        <w:ind w:left="567"/>
      </w:pPr>
      <w:bookmarkStart w:id="15" w:name="_Toc430778975"/>
      <w:r w:rsidRPr="003C63AC">
        <w:lastRenderedPageBreak/>
        <w:t>ELV Feedstock</w:t>
      </w:r>
      <w:bookmarkEnd w:id="15"/>
    </w:p>
    <w:p w:rsidR="00C57BFF" w:rsidRPr="003C63AC" w:rsidRDefault="00C57BFF" w:rsidP="00C57BFF">
      <w:pPr>
        <w:rPr>
          <w:lang w:val="en-US"/>
        </w:rPr>
      </w:pPr>
      <w:r w:rsidRPr="003C63AC">
        <w:rPr>
          <w:lang w:val="en-US"/>
        </w:rPr>
        <w:t xml:space="preserve">Vehicles are taken off the road for a number of reasons. Some are stolen, either by professional thieves seeking to make money out of resale of the vehicle, or opportunistically for joy rides, to commit another crime, or just by a petty criminal needing to get somewhere. </w:t>
      </w:r>
    </w:p>
    <w:p w:rsidR="00C57BFF" w:rsidRPr="003C63AC" w:rsidRDefault="00C57BFF" w:rsidP="00C57BFF">
      <w:pPr>
        <w:rPr>
          <w:lang w:val="en-US"/>
        </w:rPr>
      </w:pPr>
      <w:r w:rsidRPr="003C63AC">
        <w:rPr>
          <w:lang w:val="en-US"/>
        </w:rPr>
        <w:t>Many are not re-registered because they suffer damage in a collision, or an event such as a hail, flood or fire, that makes them uneconomic to repair. A large number simply get old and suffer mechanical problems that are</w:t>
      </w:r>
      <w:r w:rsidR="00794775">
        <w:rPr>
          <w:lang w:val="en-US"/>
        </w:rPr>
        <w:t xml:space="preserve"> uneconomic or</w:t>
      </w:r>
      <w:r w:rsidRPr="003C63AC">
        <w:rPr>
          <w:lang w:val="en-US"/>
        </w:rPr>
        <w:t xml:space="preserve"> beyond the means of the owner to repair. </w:t>
      </w:r>
    </w:p>
    <w:p w:rsidR="00DD5844" w:rsidRPr="003C63AC" w:rsidRDefault="00DD5844" w:rsidP="00DD5844">
      <w:pPr>
        <w:rPr>
          <w:lang w:val="en-US"/>
        </w:rPr>
      </w:pPr>
      <w:r w:rsidRPr="003C63AC">
        <w:rPr>
          <w:lang w:val="en-US"/>
        </w:rPr>
        <w:t>Understanding t</w:t>
      </w:r>
      <w:r w:rsidR="00C57BFF" w:rsidRPr="003C63AC">
        <w:rPr>
          <w:lang w:val="en-US"/>
        </w:rPr>
        <w:t xml:space="preserve">he factors that cause a vehicle to become an ELV </w:t>
      </w:r>
      <w:r w:rsidR="00C97233">
        <w:rPr>
          <w:lang w:val="en-US"/>
        </w:rPr>
        <w:t>is</w:t>
      </w:r>
      <w:r w:rsidR="00C97233" w:rsidRPr="003C63AC">
        <w:rPr>
          <w:lang w:val="en-US"/>
        </w:rPr>
        <w:t xml:space="preserve"> </w:t>
      </w:r>
      <w:r w:rsidR="00C57BFF" w:rsidRPr="003C63AC">
        <w:rPr>
          <w:lang w:val="en-US"/>
        </w:rPr>
        <w:t xml:space="preserve">important, as some of these factors directly influence the likely residual refrigerant charge, and </w:t>
      </w:r>
      <w:r w:rsidR="00C97233">
        <w:rPr>
          <w:lang w:val="en-US"/>
        </w:rPr>
        <w:t xml:space="preserve">impact </w:t>
      </w:r>
      <w:r w:rsidR="00C57BFF" w:rsidRPr="003C63AC">
        <w:rPr>
          <w:lang w:val="en-US"/>
        </w:rPr>
        <w:t xml:space="preserve">on how the ELV is managed on its way to disposal. </w:t>
      </w:r>
      <w:r w:rsidRPr="003C63AC">
        <w:rPr>
          <w:lang w:val="en-US"/>
        </w:rPr>
        <w:t>A model of ELV feedstock was developed using all available data and reasoned deductions to understand the likelihood of ELVs retaining a refrigerant charge. Because these estimates are based on limited data, deductions and reasoned assumptions, the process of defining the various elements and characteristics of the ELV feedstock is set out in some detail below.</w:t>
      </w:r>
    </w:p>
    <w:p w:rsidR="00DD5844" w:rsidRPr="003C63AC" w:rsidRDefault="00DD5844" w:rsidP="003A11DE">
      <w:pPr>
        <w:rPr>
          <w:lang w:val="en-US"/>
        </w:rPr>
      </w:pPr>
      <w:r w:rsidRPr="003C63AC">
        <w:rPr>
          <w:lang w:val="en-US"/>
        </w:rPr>
        <w:t>Insurance statistics provide some insight into the source of ELVs</w:t>
      </w:r>
      <w:r w:rsidR="00AD5AFE">
        <w:rPr>
          <w:lang w:val="en-US"/>
        </w:rPr>
        <w:t xml:space="preserve"> and their disposal pathways</w:t>
      </w:r>
      <w:r w:rsidRPr="003C63AC">
        <w:rPr>
          <w:lang w:val="en-US"/>
        </w:rPr>
        <w:t xml:space="preserve">. If a vehicle is comprehensively insured when it suffers significant damage, the insurer will generally have the vehicle assessed to determine if it can be repaired. If a vehicle is deemed uneconomic to repair by the insurer it is classified as a ‘statutory write-off’ (SWO), and its details are entered into </w:t>
      </w:r>
      <w:r w:rsidRPr="003C63AC">
        <w:rPr>
          <w:color w:val="222222"/>
        </w:rPr>
        <w:t xml:space="preserve">the </w:t>
      </w:r>
      <w:r w:rsidRPr="003C63AC">
        <w:rPr>
          <w:lang w:val="en-US"/>
        </w:rPr>
        <w:t>National Exchange of Vehicle and Driver Information System</w:t>
      </w:r>
      <w:r w:rsidRPr="003C63AC">
        <w:rPr>
          <w:color w:val="222222"/>
        </w:rPr>
        <w:t xml:space="preserve"> (</w:t>
      </w:r>
      <w:r w:rsidRPr="003C63AC">
        <w:rPr>
          <w:bCs/>
          <w:color w:val="222222"/>
        </w:rPr>
        <w:t>NEVDIS)</w:t>
      </w:r>
      <w:r w:rsidRPr="003C63AC">
        <w:rPr>
          <w:lang w:val="en-US"/>
        </w:rPr>
        <w:t xml:space="preserve"> database</w:t>
      </w:r>
      <w:r w:rsidRPr="003C63AC">
        <w:rPr>
          <w:rStyle w:val="FootnoteReference"/>
          <w:lang w:val="en-US"/>
        </w:rPr>
        <w:footnoteReference w:id="7"/>
      </w:r>
      <w:r w:rsidRPr="003C63AC">
        <w:rPr>
          <w:lang w:val="en-US"/>
        </w:rPr>
        <w:t xml:space="preserve"> ensuring that the vehicle can never be re-registered. </w:t>
      </w:r>
    </w:p>
    <w:p w:rsidR="003A11DE" w:rsidRPr="003C63AC" w:rsidRDefault="003A11DE" w:rsidP="003A11DE">
      <w:pPr>
        <w:rPr>
          <w:lang w:val="en-US"/>
        </w:rPr>
      </w:pPr>
      <w:r w:rsidRPr="003C63AC">
        <w:rPr>
          <w:lang w:val="en-US"/>
        </w:rPr>
        <w:t xml:space="preserve">NEVDIS is the national database of Australian driver and </w:t>
      </w:r>
      <w:r w:rsidR="00455FD8" w:rsidRPr="003C63AC">
        <w:rPr>
          <w:lang w:val="en-US"/>
        </w:rPr>
        <w:t xml:space="preserve">vehicle information. State and </w:t>
      </w:r>
      <w:r w:rsidR="003275F2">
        <w:rPr>
          <w:lang w:val="en-US"/>
        </w:rPr>
        <w:t>t</w:t>
      </w:r>
      <w:r w:rsidRPr="003C63AC">
        <w:rPr>
          <w:lang w:val="en-US"/>
        </w:rPr>
        <w:t xml:space="preserve">erritory road agencies are the source of NEVDIS data </w:t>
      </w:r>
      <w:r w:rsidR="00C97233">
        <w:rPr>
          <w:lang w:val="en-US"/>
        </w:rPr>
        <w:t>which</w:t>
      </w:r>
      <w:r w:rsidRPr="003C63AC">
        <w:rPr>
          <w:lang w:val="en-US"/>
        </w:rPr>
        <w:t xml:space="preserve"> includes detailed information such as the national Vehicle Identification Number (VIN) database and the national Written Off Vehicle Register (WOVR). The NEVDIS data on stolen vehicles</w:t>
      </w:r>
      <w:r w:rsidR="00C97233">
        <w:rPr>
          <w:lang w:val="en-US"/>
        </w:rPr>
        <w:t xml:space="preserve"> and</w:t>
      </w:r>
      <w:r w:rsidRPr="003C63AC">
        <w:rPr>
          <w:lang w:val="en-US"/>
        </w:rPr>
        <w:t xml:space="preserve"> insurance write offs </w:t>
      </w:r>
      <w:r w:rsidR="00C57BFF" w:rsidRPr="003C63AC">
        <w:rPr>
          <w:lang w:val="en-US"/>
        </w:rPr>
        <w:t>provides some insight into the origins of some of</w:t>
      </w:r>
      <w:r w:rsidR="00EC546B" w:rsidRPr="003C63AC">
        <w:rPr>
          <w:lang w:val="en-US"/>
        </w:rPr>
        <w:t xml:space="preserve"> </w:t>
      </w:r>
      <w:r w:rsidRPr="003C63AC">
        <w:rPr>
          <w:lang w:val="en-US"/>
        </w:rPr>
        <w:t>the ELV feedstock.</w:t>
      </w:r>
      <w:r w:rsidR="00C57BFF" w:rsidRPr="003C63AC">
        <w:rPr>
          <w:lang w:val="en-US"/>
        </w:rPr>
        <w:t xml:space="preserve"> </w:t>
      </w:r>
    </w:p>
    <w:p w:rsidR="003A11DE" w:rsidRPr="003C63AC" w:rsidRDefault="00DD5844" w:rsidP="003A11DE">
      <w:pPr>
        <w:rPr>
          <w:lang w:val="en-US"/>
        </w:rPr>
      </w:pPr>
      <w:r w:rsidRPr="003C63AC">
        <w:rPr>
          <w:lang w:val="en-US"/>
        </w:rPr>
        <w:t xml:space="preserve">In 2013, </w:t>
      </w:r>
      <w:r w:rsidR="003A11DE" w:rsidRPr="003C63AC">
        <w:rPr>
          <w:lang w:val="en-US"/>
        </w:rPr>
        <w:t>87,703 vehicles were classified as SWOs, contributing 13.3</w:t>
      </w:r>
      <w:r w:rsidR="007D5938" w:rsidRPr="003C63AC">
        <w:rPr>
          <w:lang w:val="en-US"/>
        </w:rPr>
        <w:t xml:space="preserve"> per cent</w:t>
      </w:r>
      <w:r w:rsidR="003A11DE" w:rsidRPr="003C63AC">
        <w:rPr>
          <w:lang w:val="en-US"/>
        </w:rPr>
        <w:t xml:space="preserve"> of the 2013 population of 658,000 ELVs</w:t>
      </w:r>
      <w:r w:rsidR="00FD71C8">
        <w:rPr>
          <w:lang w:val="en-US"/>
        </w:rPr>
        <w:t xml:space="preserve"> (see </w:t>
      </w:r>
      <w:r w:rsidR="00FD71C8" w:rsidRPr="00483897">
        <w:rPr>
          <w:i/>
          <w:lang w:val="en-US"/>
        </w:rPr>
        <w:t>Table 2</w:t>
      </w:r>
      <w:r w:rsidR="00FD71C8">
        <w:rPr>
          <w:lang w:val="en-US"/>
        </w:rPr>
        <w:t>)</w:t>
      </w:r>
      <w:r w:rsidR="003A11DE" w:rsidRPr="003C63AC">
        <w:rPr>
          <w:lang w:val="en-US"/>
        </w:rPr>
        <w:t>.A further 43,640 vehicles were classified as repairable write offs (RWOs) in 2013 by insurance assessors. In other words</w:t>
      </w:r>
      <w:r w:rsidR="00E558F3">
        <w:rPr>
          <w:lang w:val="en-US"/>
        </w:rPr>
        <w:t>,</w:t>
      </w:r>
      <w:r w:rsidR="003A11DE" w:rsidRPr="003C63AC">
        <w:rPr>
          <w:lang w:val="en-US"/>
        </w:rPr>
        <w:t xml:space="preserve"> the vehicle could technically be repaired and there was no damage that was so severe to the structural integrity of the vehicle that it could not potentially be repaired and re-registered. However, from an economic point of view the insurance assessor judged that it would be cheaper for the insurance company to pay out the claim than to meet the cost of repairs. </w:t>
      </w:r>
    </w:p>
    <w:p w:rsidR="003A11DE" w:rsidRPr="003C63AC" w:rsidRDefault="003A11DE" w:rsidP="003A11DE">
      <w:pPr>
        <w:rPr>
          <w:lang w:val="en-US"/>
        </w:rPr>
      </w:pPr>
      <w:r w:rsidRPr="003C63AC">
        <w:rPr>
          <w:lang w:val="en-US"/>
        </w:rPr>
        <w:t xml:space="preserve">In this case the vehicles are generally treated in the same manner as SWOs and sent to auction by the insurer where it is assumed, due to the high cost of repairing them, that the majority would have been purchased for dismantling and recycling of parts and scrap metal. Some however are purchased, repaired and re-registered. </w:t>
      </w:r>
    </w:p>
    <w:p w:rsidR="003A11DE" w:rsidRPr="003C63AC" w:rsidRDefault="003A11DE" w:rsidP="003A11DE">
      <w:pPr>
        <w:rPr>
          <w:lang w:val="en-US"/>
        </w:rPr>
      </w:pPr>
      <w:r w:rsidRPr="003C63AC">
        <w:rPr>
          <w:lang w:val="en-US"/>
        </w:rPr>
        <w:t>For instance a 2009 report by the NSW Roads and Traffic Authority (NSW RTA 2009) indicates that about 40</w:t>
      </w:r>
      <w:r w:rsidR="007D5938" w:rsidRPr="003C63AC">
        <w:rPr>
          <w:lang w:val="en-US"/>
        </w:rPr>
        <w:t xml:space="preserve"> per cent</w:t>
      </w:r>
      <w:r w:rsidRPr="003C63AC">
        <w:rPr>
          <w:lang w:val="en-US"/>
        </w:rPr>
        <w:t xml:space="preserve"> of RWOs get presented for re-registration. In recent years, many RWOs have been the result of hail damage, and the decision to write them off is partly made because the repair industry simply does not have the capacity to deal with them in a reasonable time frame. Many of these </w:t>
      </w:r>
      <w:r w:rsidR="003C63AC" w:rsidRPr="003C63AC">
        <w:t>hail-damaged</w:t>
      </w:r>
      <w:r w:rsidRPr="003C63AC">
        <w:rPr>
          <w:lang w:val="en-US"/>
        </w:rPr>
        <w:t xml:space="preserve"> vehicles have been purchased and repaired in time, and many would have been able to be registered immediately.</w:t>
      </w:r>
      <w:r w:rsidR="008477D9">
        <w:rPr>
          <w:lang w:val="en-US"/>
        </w:rPr>
        <w:t xml:space="preserve"> </w:t>
      </w:r>
    </w:p>
    <w:p w:rsidR="003A11DE" w:rsidRPr="003C63AC" w:rsidRDefault="003A11DE" w:rsidP="003A11DE">
      <w:pPr>
        <w:rPr>
          <w:lang w:val="en-US"/>
        </w:rPr>
      </w:pPr>
      <w:r w:rsidRPr="003C63AC">
        <w:rPr>
          <w:lang w:val="en-US"/>
        </w:rPr>
        <w:t>Assuming that this rate of hail damaged vehicles being repaired and presented for registration is consistent across Australia and therefore that as much as 60</w:t>
      </w:r>
      <w:r w:rsidR="009D1919" w:rsidRPr="003C63AC">
        <w:rPr>
          <w:lang w:val="en-US"/>
        </w:rPr>
        <w:t xml:space="preserve"> per cent</w:t>
      </w:r>
      <w:r w:rsidRPr="003C63AC">
        <w:rPr>
          <w:lang w:val="en-US"/>
        </w:rPr>
        <w:t xml:space="preserve"> of RWOs also become ELVs, these vehicles contributed another 26,184 ELVs to the 2013 population, or another 4</w:t>
      </w:r>
      <w:r w:rsidR="009D1919" w:rsidRPr="003C63AC">
        <w:rPr>
          <w:lang w:val="en-US"/>
        </w:rPr>
        <w:t xml:space="preserve"> per cent</w:t>
      </w:r>
      <w:r w:rsidRPr="003C63AC">
        <w:rPr>
          <w:lang w:val="en-US"/>
        </w:rPr>
        <w:t xml:space="preserve"> of the total</w:t>
      </w:r>
      <w:r w:rsidR="00FD71C8">
        <w:rPr>
          <w:lang w:val="en-US"/>
        </w:rPr>
        <w:t xml:space="preserve"> (see </w:t>
      </w:r>
      <w:r w:rsidR="00FD71C8" w:rsidRPr="00483897">
        <w:rPr>
          <w:i/>
          <w:lang w:val="en-US"/>
        </w:rPr>
        <w:t>Table 2</w:t>
      </w:r>
      <w:r w:rsidR="00FD71C8">
        <w:rPr>
          <w:lang w:val="en-US"/>
        </w:rPr>
        <w:t>)</w:t>
      </w:r>
      <w:r w:rsidRPr="003C63AC">
        <w:rPr>
          <w:lang w:val="en-US"/>
        </w:rPr>
        <w:t>.</w:t>
      </w:r>
    </w:p>
    <w:p w:rsidR="003A11DE" w:rsidRPr="003C63AC" w:rsidRDefault="003A11DE" w:rsidP="003A11DE">
      <w:pPr>
        <w:rPr>
          <w:lang w:val="en-US"/>
        </w:rPr>
      </w:pPr>
      <w:r w:rsidRPr="003C63AC">
        <w:rPr>
          <w:lang w:val="en-US"/>
        </w:rPr>
        <w:t>Some vehicles are stolen and never recovered</w:t>
      </w:r>
      <w:r w:rsidR="00DD5844" w:rsidRPr="003C63AC">
        <w:rPr>
          <w:lang w:val="en-US"/>
        </w:rPr>
        <w:t xml:space="preserve">. These are known as </w:t>
      </w:r>
      <w:r w:rsidRPr="003C63AC">
        <w:rPr>
          <w:lang w:val="en-US"/>
        </w:rPr>
        <w:t xml:space="preserve">SNR vehicles. The National Motor Vehicle Theft Reduction Council (NMVTRC) reported </w:t>
      </w:r>
      <w:r w:rsidR="00F36AF8" w:rsidRPr="003C63AC">
        <w:rPr>
          <w:lang w:val="en-US"/>
        </w:rPr>
        <w:t>10,418</w:t>
      </w:r>
      <w:r w:rsidRPr="003C63AC">
        <w:rPr>
          <w:lang w:val="en-US"/>
        </w:rPr>
        <w:t xml:space="preserve"> SNR vehicles in 201</w:t>
      </w:r>
      <w:r w:rsidR="00F36AF8" w:rsidRPr="003C63AC">
        <w:rPr>
          <w:lang w:val="en-US"/>
        </w:rPr>
        <w:t>3</w:t>
      </w:r>
      <w:r w:rsidRPr="003C63AC">
        <w:rPr>
          <w:lang w:val="en-US"/>
        </w:rPr>
        <w:t xml:space="preserve">. These </w:t>
      </w:r>
      <w:r w:rsidR="00D97405">
        <w:rPr>
          <w:lang w:val="en-US"/>
        </w:rPr>
        <w:t>can be considered as ELVs as they</w:t>
      </w:r>
      <w:r w:rsidR="00D97405" w:rsidRPr="003C63AC">
        <w:rPr>
          <w:lang w:val="en-US"/>
        </w:rPr>
        <w:t xml:space="preserve"> </w:t>
      </w:r>
      <w:r w:rsidRPr="003C63AC">
        <w:rPr>
          <w:lang w:val="en-US"/>
        </w:rPr>
        <w:t>essentially disappear into criminal enterprises</w:t>
      </w:r>
      <w:r w:rsidR="00B3775F">
        <w:rPr>
          <w:lang w:val="en-US"/>
        </w:rPr>
        <w:t xml:space="preserve"> where the vast majority of them are stripped for valuable parts and the engine blocks and chassis sold for scrap metal</w:t>
      </w:r>
      <w:r w:rsidRPr="003C63AC">
        <w:rPr>
          <w:lang w:val="en-US"/>
        </w:rPr>
        <w:t>. That is equivalent to another 1.</w:t>
      </w:r>
      <w:r w:rsidR="00F36AF8" w:rsidRPr="003C63AC">
        <w:rPr>
          <w:lang w:val="en-US"/>
        </w:rPr>
        <w:t>6</w:t>
      </w:r>
      <w:r w:rsidR="009D1919" w:rsidRPr="003C63AC">
        <w:rPr>
          <w:lang w:val="en-US"/>
        </w:rPr>
        <w:t xml:space="preserve"> per cent</w:t>
      </w:r>
      <w:r w:rsidRPr="003C63AC">
        <w:rPr>
          <w:lang w:val="en-US"/>
        </w:rPr>
        <w:t xml:space="preserve"> of the 2013 ELV population</w:t>
      </w:r>
      <w:r w:rsidR="00FD71C8">
        <w:rPr>
          <w:lang w:val="en-US"/>
        </w:rPr>
        <w:t xml:space="preserve"> (see </w:t>
      </w:r>
      <w:r w:rsidR="00FD71C8" w:rsidRPr="00483897">
        <w:rPr>
          <w:i/>
          <w:lang w:val="en-US"/>
        </w:rPr>
        <w:t>Table 2</w:t>
      </w:r>
      <w:r w:rsidR="00FD71C8">
        <w:rPr>
          <w:lang w:val="en-US"/>
        </w:rPr>
        <w:t>)</w:t>
      </w:r>
      <w:r w:rsidRPr="003C63AC">
        <w:rPr>
          <w:lang w:val="en-US"/>
        </w:rPr>
        <w:t xml:space="preserve">. </w:t>
      </w:r>
    </w:p>
    <w:p w:rsidR="003A11DE" w:rsidRPr="003C63AC" w:rsidRDefault="003A11DE" w:rsidP="003A11DE">
      <w:pPr>
        <w:rPr>
          <w:lang w:val="en-US"/>
        </w:rPr>
      </w:pPr>
      <w:r w:rsidRPr="003C63AC">
        <w:rPr>
          <w:lang w:val="en-US"/>
        </w:rPr>
        <w:lastRenderedPageBreak/>
        <w:t>Thus written off vehicles and SNR vehicles together may have contributed as many as 12</w:t>
      </w:r>
      <w:r w:rsidR="00F36AF8" w:rsidRPr="003C63AC">
        <w:rPr>
          <w:lang w:val="en-US"/>
        </w:rPr>
        <w:t>4,305</w:t>
      </w:r>
      <w:r w:rsidRPr="003C63AC">
        <w:rPr>
          <w:lang w:val="en-US"/>
        </w:rPr>
        <w:t xml:space="preserve"> vehicles to the 2013 ELV population, or around 19</w:t>
      </w:r>
      <w:r w:rsidR="009D1919" w:rsidRPr="003C63AC">
        <w:rPr>
          <w:lang w:val="en-US"/>
        </w:rPr>
        <w:t xml:space="preserve"> per cent</w:t>
      </w:r>
      <w:r w:rsidR="00FD71C8">
        <w:rPr>
          <w:lang w:val="en-US"/>
        </w:rPr>
        <w:t xml:space="preserve"> (see </w:t>
      </w:r>
      <w:r w:rsidR="00FD71C8" w:rsidRPr="00483897">
        <w:rPr>
          <w:i/>
          <w:lang w:val="en-US"/>
        </w:rPr>
        <w:t>Table 2</w:t>
      </w:r>
      <w:r w:rsidR="00FD71C8">
        <w:rPr>
          <w:lang w:val="en-US"/>
        </w:rPr>
        <w:t>)</w:t>
      </w:r>
      <w:r w:rsidRPr="003C63AC">
        <w:rPr>
          <w:lang w:val="en-US"/>
        </w:rPr>
        <w:t>.</w:t>
      </w:r>
    </w:p>
    <w:p w:rsidR="003A11DE" w:rsidRPr="003C63AC" w:rsidRDefault="003A11DE" w:rsidP="003A11DE">
      <w:pPr>
        <w:rPr>
          <w:lang w:val="en-US"/>
        </w:rPr>
      </w:pPr>
      <w:r w:rsidRPr="003C63AC">
        <w:rPr>
          <w:lang w:val="en-US"/>
        </w:rPr>
        <w:t>A further 37,449 vehicles were reported stolen but recovered either intact or subject t</w:t>
      </w:r>
      <w:r w:rsidR="00455FD8" w:rsidRPr="003C63AC">
        <w:rPr>
          <w:lang w:val="en-US"/>
        </w:rPr>
        <w:t xml:space="preserve">o malicious damage. The NMVTRC </w:t>
      </w:r>
      <w:r w:rsidR="00D97405">
        <w:rPr>
          <w:lang w:val="en-US"/>
        </w:rPr>
        <w:t>s</w:t>
      </w:r>
      <w:r w:rsidRPr="003C63AC">
        <w:rPr>
          <w:lang w:val="en-US"/>
        </w:rPr>
        <w:t>tates that an unknown, but assumed to be small, number of this last category of stolen vehicle were recovered in a substantially stripped condition.</w:t>
      </w:r>
    </w:p>
    <w:p w:rsidR="003A11DE" w:rsidRPr="003C63AC" w:rsidRDefault="003A11DE" w:rsidP="003A11DE">
      <w:pPr>
        <w:rPr>
          <w:lang w:val="en-US"/>
        </w:rPr>
      </w:pPr>
      <w:r w:rsidRPr="003C63AC">
        <w:rPr>
          <w:lang w:val="en-US"/>
        </w:rPr>
        <w:t xml:space="preserve">There is almost certainly some double counting of this category of stolen but recovered vehicles, and statutory write-offs </w:t>
      </w:r>
      <w:r w:rsidR="001626D9">
        <w:rPr>
          <w:lang w:val="en-US"/>
        </w:rPr>
        <w:t xml:space="preserve">(SWOs) </w:t>
      </w:r>
      <w:r w:rsidRPr="003C63AC">
        <w:rPr>
          <w:lang w:val="en-US"/>
        </w:rPr>
        <w:t>reported by insurers. However</w:t>
      </w:r>
      <w:r w:rsidR="00A504C7">
        <w:rPr>
          <w:lang w:val="en-US"/>
        </w:rPr>
        <w:t>,</w:t>
      </w:r>
      <w:r w:rsidRPr="003C63AC">
        <w:rPr>
          <w:lang w:val="en-US"/>
        </w:rPr>
        <w:t xml:space="preserve"> it might not be that large an overlap. The NMVTRC data shows that more than 60</w:t>
      </w:r>
      <w:r w:rsidR="009D1919" w:rsidRPr="003C63AC">
        <w:rPr>
          <w:lang w:val="en-US"/>
        </w:rPr>
        <w:t xml:space="preserve"> per cent</w:t>
      </w:r>
      <w:r w:rsidRPr="003C63AC">
        <w:rPr>
          <w:lang w:val="en-US"/>
        </w:rPr>
        <w:t xml:space="preserve"> of vehicles that are stolen and recovered are more than 10 years old. Several reasons were identified for thieves’ preferences for older vehicles including their being easier to break into, being easier to dispose of and being less likely to have anti-theft devices and tracking systems. </w:t>
      </w:r>
    </w:p>
    <w:p w:rsidR="003A11DE" w:rsidRPr="003C63AC" w:rsidRDefault="003A11DE" w:rsidP="003A11DE">
      <w:pPr>
        <w:rPr>
          <w:lang w:val="en-US"/>
        </w:rPr>
      </w:pPr>
      <w:r w:rsidRPr="003C63AC">
        <w:rPr>
          <w:lang w:val="en-US"/>
        </w:rPr>
        <w:t>Older vehicles are also less likely to be financed and less likely to be insured, and therefore</w:t>
      </w:r>
      <w:r w:rsidR="00A504C7">
        <w:rPr>
          <w:lang w:val="en-US"/>
        </w:rPr>
        <w:t>,</w:t>
      </w:r>
      <w:r w:rsidRPr="003C63AC">
        <w:rPr>
          <w:lang w:val="en-US"/>
        </w:rPr>
        <w:t xml:space="preserve"> less likely to be assess</w:t>
      </w:r>
      <w:r w:rsidR="001626D9">
        <w:rPr>
          <w:lang w:val="en-US"/>
        </w:rPr>
        <w:t>ed and classified as a SWO</w:t>
      </w:r>
      <w:r w:rsidRPr="003C63AC">
        <w:rPr>
          <w:lang w:val="en-US"/>
        </w:rPr>
        <w:t xml:space="preserve"> by an insurance assessor following a theft and recovery. </w:t>
      </w:r>
      <w:r w:rsidR="001626D9">
        <w:rPr>
          <w:lang w:val="en-US"/>
        </w:rPr>
        <w:t>However</w:t>
      </w:r>
      <w:r w:rsidR="000011ED">
        <w:rPr>
          <w:lang w:val="en-US"/>
        </w:rPr>
        <w:t>,</w:t>
      </w:r>
      <w:r w:rsidR="001626D9">
        <w:rPr>
          <w:lang w:val="en-US"/>
        </w:rPr>
        <w:t xml:space="preserve"> to avoid the possibility of double counting</w:t>
      </w:r>
      <w:r w:rsidR="000011ED">
        <w:rPr>
          <w:lang w:val="en-US"/>
        </w:rPr>
        <w:t>,</w:t>
      </w:r>
      <w:r w:rsidR="001626D9">
        <w:rPr>
          <w:lang w:val="en-US"/>
        </w:rPr>
        <w:t xml:space="preserve"> an allowance has been made for some proportion of stolen and recovered vehicles to already have been captured in the insurance industry statistics as SWOs.</w:t>
      </w:r>
    </w:p>
    <w:p w:rsidR="001626D9" w:rsidRDefault="001626D9" w:rsidP="003A11DE">
      <w:pPr>
        <w:rPr>
          <w:lang w:val="en-US"/>
        </w:rPr>
      </w:pPr>
      <w:r>
        <w:rPr>
          <w:lang w:val="en-US"/>
        </w:rPr>
        <w:t>Firstly we have assumed that</w:t>
      </w:r>
      <w:r w:rsidR="003A11DE" w:rsidRPr="003C63AC">
        <w:rPr>
          <w:lang w:val="en-US"/>
        </w:rPr>
        <w:t xml:space="preserve"> 30</w:t>
      </w:r>
      <w:r w:rsidR="009D1919" w:rsidRPr="003C63AC">
        <w:rPr>
          <w:lang w:val="en-US"/>
        </w:rPr>
        <w:t xml:space="preserve"> per cent</w:t>
      </w:r>
      <w:r w:rsidR="003A11DE" w:rsidRPr="003C63AC">
        <w:rPr>
          <w:lang w:val="en-US"/>
        </w:rPr>
        <w:t xml:space="preserve"> of all stolen and recovered vehicles were so damaged or stripped during the theft</w:t>
      </w:r>
      <w:r>
        <w:rPr>
          <w:lang w:val="en-US"/>
        </w:rPr>
        <w:t xml:space="preserve"> that they became ELVs (11,234). We further assume that </w:t>
      </w:r>
      <w:r w:rsidR="003A11DE" w:rsidRPr="003C63AC">
        <w:rPr>
          <w:lang w:val="en-US"/>
        </w:rPr>
        <w:t>one fifth of those vehicles were new enough</w:t>
      </w:r>
      <w:r>
        <w:rPr>
          <w:lang w:val="en-US"/>
        </w:rPr>
        <w:t>,</w:t>
      </w:r>
      <w:r w:rsidR="003A11DE" w:rsidRPr="003C63AC">
        <w:rPr>
          <w:lang w:val="en-US"/>
        </w:rPr>
        <w:t xml:space="preserve"> or valued enough by their owners</w:t>
      </w:r>
      <w:r>
        <w:rPr>
          <w:lang w:val="en-US"/>
        </w:rPr>
        <w:t>,</w:t>
      </w:r>
      <w:r w:rsidR="003A11DE" w:rsidRPr="003C63AC">
        <w:rPr>
          <w:lang w:val="en-US"/>
        </w:rPr>
        <w:t xml:space="preserve"> to have been insured and therefore classified as SWOs after recovery (2,246) and cou</w:t>
      </w:r>
      <w:r>
        <w:rPr>
          <w:lang w:val="en-US"/>
        </w:rPr>
        <w:t xml:space="preserve">nted in the SWO figures above. </w:t>
      </w:r>
    </w:p>
    <w:p w:rsidR="001626D9" w:rsidRDefault="001626D9" w:rsidP="003A11DE">
      <w:pPr>
        <w:rPr>
          <w:lang w:val="en-US"/>
        </w:rPr>
      </w:pPr>
      <w:r>
        <w:rPr>
          <w:lang w:val="en-US"/>
        </w:rPr>
        <w:t>Thus deducting these SWOs from the stolen and recovered vehicles that have become ELVs, this source still only provides an</w:t>
      </w:r>
      <w:r w:rsidR="003A11DE" w:rsidRPr="003C63AC">
        <w:rPr>
          <w:lang w:val="en-US"/>
        </w:rPr>
        <w:t xml:space="preserve"> additional 8,988 ELVs</w:t>
      </w:r>
      <w:r w:rsidR="00614F45">
        <w:rPr>
          <w:lang w:val="en-US"/>
        </w:rPr>
        <w:t xml:space="preserve"> (~1.4</w:t>
      </w:r>
      <w:r w:rsidR="0032566B">
        <w:rPr>
          <w:lang w:val="en-US"/>
        </w:rPr>
        <w:t xml:space="preserve"> per cent</w:t>
      </w:r>
      <w:r w:rsidR="00FD71C8">
        <w:rPr>
          <w:lang w:val="en-US"/>
        </w:rPr>
        <w:t xml:space="preserve"> of total ELVs)</w:t>
      </w:r>
      <w:r>
        <w:rPr>
          <w:lang w:val="en-US"/>
        </w:rPr>
        <w:t>. C</w:t>
      </w:r>
      <w:r w:rsidR="003A11DE" w:rsidRPr="003C63AC">
        <w:rPr>
          <w:lang w:val="en-US"/>
        </w:rPr>
        <w:t xml:space="preserve">ombined with all SWOs, and with all SNR vehicles, </w:t>
      </w:r>
      <w:r w:rsidR="000C03DD">
        <w:rPr>
          <w:lang w:val="en-US"/>
        </w:rPr>
        <w:t xml:space="preserve">this </w:t>
      </w:r>
      <w:r w:rsidR="003A11DE" w:rsidRPr="003C63AC">
        <w:rPr>
          <w:lang w:val="en-US"/>
        </w:rPr>
        <w:t>result</w:t>
      </w:r>
      <w:r w:rsidR="000C03DD">
        <w:rPr>
          <w:lang w:val="en-US"/>
        </w:rPr>
        <w:t>s</w:t>
      </w:r>
      <w:r w:rsidR="003A11DE" w:rsidRPr="003C63AC">
        <w:rPr>
          <w:lang w:val="en-US"/>
        </w:rPr>
        <w:t xml:space="preserve"> in 13</w:t>
      </w:r>
      <w:r w:rsidR="00F36AF8" w:rsidRPr="003C63AC">
        <w:rPr>
          <w:lang w:val="en-US"/>
        </w:rPr>
        <w:t>3,293</w:t>
      </w:r>
      <w:r w:rsidR="003A11DE" w:rsidRPr="003C63AC">
        <w:rPr>
          <w:lang w:val="en-US"/>
        </w:rPr>
        <w:t xml:space="preserve"> ELVs</w:t>
      </w:r>
      <w:r w:rsidR="000C03DD">
        <w:rPr>
          <w:lang w:val="en-US"/>
        </w:rPr>
        <w:t xml:space="preserve"> which represents </w:t>
      </w:r>
      <w:r w:rsidR="00D13FB4">
        <w:rPr>
          <w:lang w:val="en-US"/>
        </w:rPr>
        <w:t>Twenty</w:t>
      </w:r>
      <w:r w:rsidR="00D13FB4" w:rsidRPr="003C63AC">
        <w:rPr>
          <w:lang w:val="en-US"/>
        </w:rPr>
        <w:t xml:space="preserve"> percent</w:t>
      </w:r>
      <w:r w:rsidR="003A11DE" w:rsidRPr="003C63AC">
        <w:rPr>
          <w:lang w:val="en-US"/>
        </w:rPr>
        <w:t xml:space="preserve"> of the 2013 population of ELVs. </w:t>
      </w:r>
    </w:p>
    <w:p w:rsidR="00A83032" w:rsidRDefault="003A11DE" w:rsidP="003A11DE">
      <w:pPr>
        <w:rPr>
          <w:lang w:val="en-US"/>
        </w:rPr>
      </w:pPr>
      <w:r w:rsidRPr="003C63AC">
        <w:rPr>
          <w:lang w:val="en-US"/>
        </w:rPr>
        <w:t>Many other vehicles become ELVs after being damaged in collisions or events that are not insured</w:t>
      </w:r>
      <w:r w:rsidR="001626D9">
        <w:rPr>
          <w:lang w:val="en-US"/>
        </w:rPr>
        <w:t xml:space="preserve">, and that </w:t>
      </w:r>
      <w:r w:rsidR="00337717">
        <w:rPr>
          <w:lang w:val="en-US"/>
        </w:rPr>
        <w:t xml:space="preserve">also </w:t>
      </w:r>
      <w:r w:rsidR="001626D9">
        <w:rPr>
          <w:lang w:val="en-US"/>
        </w:rPr>
        <w:t>do not involve theft or other criminal activity</w:t>
      </w:r>
      <w:r w:rsidR="000C03DD">
        <w:rPr>
          <w:lang w:val="en-US"/>
        </w:rPr>
        <w:t xml:space="preserve">. In these situations, </w:t>
      </w:r>
      <w:r w:rsidRPr="003C63AC">
        <w:rPr>
          <w:lang w:val="en-US"/>
        </w:rPr>
        <w:t>the damaged vehicle is not</w:t>
      </w:r>
      <w:r w:rsidR="001626D9">
        <w:rPr>
          <w:lang w:val="en-US"/>
        </w:rPr>
        <w:t xml:space="preserve"> reported to police or</w:t>
      </w:r>
      <w:r w:rsidRPr="003C63AC">
        <w:rPr>
          <w:lang w:val="en-US"/>
        </w:rPr>
        <w:t xml:space="preserve"> inspected</w:t>
      </w:r>
      <w:r w:rsidR="001626D9">
        <w:rPr>
          <w:lang w:val="en-US"/>
        </w:rPr>
        <w:t xml:space="preserve"> by an insurance assessor</w:t>
      </w:r>
      <w:r w:rsidRPr="003C63AC">
        <w:rPr>
          <w:lang w:val="en-US"/>
        </w:rPr>
        <w:t xml:space="preserve">. </w:t>
      </w:r>
    </w:p>
    <w:p w:rsidR="003A11DE" w:rsidRPr="003C63AC" w:rsidRDefault="003A11DE" w:rsidP="003A11DE">
      <w:pPr>
        <w:rPr>
          <w:lang w:val="en-US"/>
        </w:rPr>
      </w:pPr>
      <w:r w:rsidRPr="003C63AC">
        <w:rPr>
          <w:lang w:val="en-US"/>
        </w:rPr>
        <w:t>However, other than in NSW, road accident statistics</w:t>
      </w:r>
      <w:r w:rsidR="00A83032">
        <w:rPr>
          <w:lang w:val="en-US"/>
        </w:rPr>
        <w:t xml:space="preserve"> in all other </w:t>
      </w:r>
      <w:r w:rsidR="00027A31">
        <w:rPr>
          <w:lang w:val="en-US"/>
        </w:rPr>
        <w:t>s</w:t>
      </w:r>
      <w:r w:rsidR="00A83032">
        <w:rPr>
          <w:lang w:val="en-US"/>
        </w:rPr>
        <w:t>tates</w:t>
      </w:r>
      <w:r w:rsidRPr="003C63AC">
        <w:rPr>
          <w:lang w:val="en-US"/>
        </w:rPr>
        <w:t xml:space="preserve"> are only collated if a death or injury was involved. The NSW Department of Transport publishes data for </w:t>
      </w:r>
      <w:r w:rsidRPr="003C63AC">
        <w:rPr>
          <w:i/>
          <w:lang w:val="en-US"/>
        </w:rPr>
        <w:t>all</w:t>
      </w:r>
      <w:r w:rsidRPr="003C63AC">
        <w:rPr>
          <w:lang w:val="en-US"/>
        </w:rPr>
        <w:t xml:space="preserve"> recorded road accidents. In 2012 they reported a total of 41,520 ‘crashes’ involving a total of 68,984 P&amp;LCs. A total of 18,446 of these crashes were severe enough to involve injury or deaths (18,110 injuries, 336 deaths) involving 26,850 P&amp;LCs. If we assume that the rate of vehicle accidents is evenly distributed across the entire national fleet of vehicles, and noting that NSW has about 30</w:t>
      </w:r>
      <w:r w:rsidR="009D1919" w:rsidRPr="003C63AC">
        <w:rPr>
          <w:lang w:val="en-US"/>
        </w:rPr>
        <w:t xml:space="preserve"> per cent</w:t>
      </w:r>
      <w:r w:rsidRPr="003C63AC">
        <w:rPr>
          <w:lang w:val="en-US"/>
        </w:rPr>
        <w:t xml:space="preserve"> of all registered vehicles, we could estimate that there were a total of some 230,000 vehicles involved in accidents on Australian roads in that year. For the sake of the argument we will assume that a similar number of vehicles were damaged in collisions on Australia roads in 2013.</w:t>
      </w:r>
    </w:p>
    <w:p w:rsidR="003A11DE" w:rsidRPr="003C63AC" w:rsidRDefault="003A11DE" w:rsidP="003A11DE">
      <w:pPr>
        <w:rPr>
          <w:lang w:val="en-US"/>
        </w:rPr>
      </w:pPr>
      <w:r w:rsidRPr="003C63AC">
        <w:rPr>
          <w:lang w:val="en-US"/>
        </w:rPr>
        <w:t>Assuming that 90</w:t>
      </w:r>
      <w:r w:rsidR="009D1919" w:rsidRPr="003C63AC">
        <w:rPr>
          <w:lang w:val="en-US"/>
        </w:rPr>
        <w:t xml:space="preserve"> per cent</w:t>
      </w:r>
      <w:r w:rsidRPr="003C63AC">
        <w:rPr>
          <w:lang w:val="en-US"/>
        </w:rPr>
        <w:t xml:space="preserve"> of the 87,703 SWOs </w:t>
      </w:r>
      <w:r w:rsidR="00083AED">
        <w:rPr>
          <w:lang w:val="en-US"/>
        </w:rPr>
        <w:t xml:space="preserve">in 2013 </w:t>
      </w:r>
      <w:r w:rsidRPr="003C63AC">
        <w:rPr>
          <w:lang w:val="en-US"/>
        </w:rPr>
        <w:t xml:space="preserve">were written off as the result of collisions – that is 78,932 vehicles – which have to be deducted from our national estimate of a total of around 230,000 collision damaged vehicles, we arrive at an estimate of 151,067 uninsured vehicles involved in collisions during 2013.  </w:t>
      </w:r>
      <w:r w:rsidR="008661D3">
        <w:rPr>
          <w:lang w:val="en-US"/>
        </w:rPr>
        <w:t>I</w:t>
      </w:r>
      <w:r w:rsidRPr="003C63AC">
        <w:rPr>
          <w:lang w:val="en-US"/>
        </w:rPr>
        <w:t>f half of those uninsured vehicles were damaged beyond repair and became ELVs, they contribute only another 75,533 vehicles to the 2013 ELV population</w:t>
      </w:r>
      <w:r w:rsidR="00FD71C8">
        <w:rPr>
          <w:lang w:val="en-US"/>
        </w:rPr>
        <w:t xml:space="preserve"> </w:t>
      </w:r>
      <w:r w:rsidR="0032566B">
        <w:rPr>
          <w:lang w:val="en-US"/>
        </w:rPr>
        <w:t>(</w:t>
      </w:r>
      <w:r w:rsidR="00FD71C8">
        <w:rPr>
          <w:lang w:val="en-US"/>
        </w:rPr>
        <w:t>~11.5</w:t>
      </w:r>
      <w:r w:rsidR="0032566B">
        <w:rPr>
          <w:lang w:val="en-US"/>
        </w:rPr>
        <w:t xml:space="preserve"> per cent of total ELVs, see </w:t>
      </w:r>
      <w:r w:rsidR="0032566B" w:rsidRPr="00483897">
        <w:rPr>
          <w:i/>
          <w:lang w:val="en-US"/>
        </w:rPr>
        <w:t>Table 2</w:t>
      </w:r>
      <w:r w:rsidR="0032566B">
        <w:rPr>
          <w:lang w:val="en-US"/>
        </w:rPr>
        <w:t>)</w:t>
      </w:r>
      <w:r w:rsidRPr="003C63AC">
        <w:rPr>
          <w:lang w:val="en-US"/>
        </w:rPr>
        <w:t xml:space="preserve">. </w:t>
      </w:r>
    </w:p>
    <w:p w:rsidR="003A11DE" w:rsidRPr="003C63AC" w:rsidRDefault="003A11DE" w:rsidP="003A11DE">
      <w:pPr>
        <w:rPr>
          <w:lang w:val="en-US"/>
        </w:rPr>
      </w:pPr>
      <w:r w:rsidRPr="003C63AC">
        <w:rPr>
          <w:lang w:val="en-US"/>
        </w:rPr>
        <w:t xml:space="preserve">Thus accounting for all stolen vehicles, either not recovered or recovered </w:t>
      </w:r>
      <w:r w:rsidR="008A7766" w:rsidRPr="003C63AC">
        <w:rPr>
          <w:lang w:val="en-US"/>
        </w:rPr>
        <w:t xml:space="preserve">but </w:t>
      </w:r>
      <w:r w:rsidRPr="003C63AC">
        <w:rPr>
          <w:lang w:val="en-US"/>
        </w:rPr>
        <w:t>damaged, all vehicles written o</w:t>
      </w:r>
      <w:r w:rsidR="00E327DE">
        <w:rPr>
          <w:lang w:val="en-US"/>
        </w:rPr>
        <w:t>f</w:t>
      </w:r>
      <w:r w:rsidRPr="003C63AC">
        <w:rPr>
          <w:lang w:val="en-US"/>
        </w:rPr>
        <w:t>f and not repaired following insurance assessments and all other vehicles damaged beyond repair in collisions</w:t>
      </w:r>
      <w:r w:rsidR="00A83032">
        <w:rPr>
          <w:lang w:val="en-US"/>
        </w:rPr>
        <w:t>,</w:t>
      </w:r>
      <w:r w:rsidR="00BE17B1">
        <w:rPr>
          <w:lang w:val="en-US"/>
        </w:rPr>
        <w:t xml:space="preserve"> </w:t>
      </w:r>
      <w:r w:rsidRPr="003C63AC">
        <w:rPr>
          <w:lang w:val="en-US"/>
        </w:rPr>
        <w:t>brings us to a</w:t>
      </w:r>
      <w:r w:rsidR="008661D3">
        <w:rPr>
          <w:lang w:val="en-US"/>
        </w:rPr>
        <w:t>n estimated</w:t>
      </w:r>
      <w:r w:rsidRPr="003C63AC">
        <w:rPr>
          <w:lang w:val="en-US"/>
        </w:rPr>
        <w:t xml:space="preserve"> total </w:t>
      </w:r>
      <w:r w:rsidR="00BE17B1" w:rsidRPr="003C63AC">
        <w:rPr>
          <w:lang w:val="en-US"/>
        </w:rPr>
        <w:t xml:space="preserve">of 208,826 ELVs </w:t>
      </w:r>
      <w:r w:rsidRPr="003C63AC">
        <w:rPr>
          <w:lang w:val="en-US"/>
        </w:rPr>
        <w:t>from</w:t>
      </w:r>
      <w:r w:rsidR="00AD156C" w:rsidRPr="003C63AC">
        <w:rPr>
          <w:lang w:val="en-US"/>
        </w:rPr>
        <w:t xml:space="preserve"> </w:t>
      </w:r>
      <w:r w:rsidRPr="003C63AC">
        <w:rPr>
          <w:lang w:val="en-US"/>
        </w:rPr>
        <w:t xml:space="preserve">all identified sources. </w:t>
      </w:r>
      <w:r w:rsidR="00EB7931" w:rsidRPr="003C63AC">
        <w:rPr>
          <w:lang w:val="en-US"/>
        </w:rPr>
        <w:t>To be safe</w:t>
      </w:r>
      <w:r w:rsidR="00BE17B1">
        <w:rPr>
          <w:lang w:val="en-US"/>
        </w:rPr>
        <w:t>,</w:t>
      </w:r>
      <w:r w:rsidR="00EB7931" w:rsidRPr="003C63AC">
        <w:rPr>
          <w:lang w:val="en-US"/>
        </w:rPr>
        <w:t xml:space="preserve"> a</w:t>
      </w:r>
      <w:r w:rsidRPr="003C63AC">
        <w:rPr>
          <w:lang w:val="en-US"/>
        </w:rPr>
        <w:t xml:space="preserve"> further</w:t>
      </w:r>
      <w:r w:rsidR="00AD156C" w:rsidRPr="003C63AC">
        <w:rPr>
          <w:lang w:val="en-US"/>
        </w:rPr>
        <w:t xml:space="preserve"> 10,000 to 11,000</w:t>
      </w:r>
      <w:r w:rsidRPr="003C63AC">
        <w:rPr>
          <w:lang w:val="en-US"/>
        </w:rPr>
        <w:t xml:space="preserve"> might be added that are uninsured and damaged beyond </w:t>
      </w:r>
      <w:r w:rsidR="00F36AF8" w:rsidRPr="003C63AC">
        <w:rPr>
          <w:lang w:val="en-US"/>
        </w:rPr>
        <w:t xml:space="preserve">economic </w:t>
      </w:r>
      <w:r w:rsidRPr="003C63AC">
        <w:rPr>
          <w:lang w:val="en-US"/>
        </w:rPr>
        <w:t>repair as a result of some</w:t>
      </w:r>
      <w:r w:rsidR="008A7766" w:rsidRPr="003C63AC">
        <w:rPr>
          <w:lang w:val="en-US"/>
        </w:rPr>
        <w:t xml:space="preserve"> other event</w:t>
      </w:r>
      <w:r w:rsidRPr="003C63AC">
        <w:rPr>
          <w:lang w:val="en-US"/>
        </w:rPr>
        <w:t xml:space="preserve">, such as </w:t>
      </w:r>
      <w:r w:rsidR="00F36AF8" w:rsidRPr="003C63AC">
        <w:rPr>
          <w:lang w:val="en-US"/>
        </w:rPr>
        <w:t xml:space="preserve">fire, </w:t>
      </w:r>
      <w:r w:rsidRPr="003C63AC">
        <w:rPr>
          <w:lang w:val="en-US"/>
        </w:rPr>
        <w:t xml:space="preserve">flooding, </w:t>
      </w:r>
      <w:r w:rsidR="008A7766" w:rsidRPr="003C63AC">
        <w:rPr>
          <w:lang w:val="en-US"/>
        </w:rPr>
        <w:t xml:space="preserve">vandalism </w:t>
      </w:r>
      <w:r w:rsidRPr="003C63AC">
        <w:rPr>
          <w:lang w:val="en-US"/>
        </w:rPr>
        <w:t xml:space="preserve">or hail, and we could say that total damaged or stolen vehicle contributions to 2013 ELVs is </w:t>
      </w:r>
      <w:r w:rsidR="00EB7931" w:rsidRPr="003C63AC">
        <w:rPr>
          <w:lang w:val="en-US"/>
        </w:rPr>
        <w:t>around</w:t>
      </w:r>
      <w:r w:rsidRPr="003C63AC">
        <w:rPr>
          <w:lang w:val="en-US"/>
        </w:rPr>
        <w:t xml:space="preserve"> 220,000 vehicles</w:t>
      </w:r>
      <w:r w:rsidR="00EB7931" w:rsidRPr="003C63AC">
        <w:rPr>
          <w:lang w:val="en-US"/>
        </w:rPr>
        <w:t>,</w:t>
      </w:r>
      <w:r w:rsidRPr="003C63AC">
        <w:rPr>
          <w:lang w:val="en-US"/>
        </w:rPr>
        <w:t xml:space="preserve"> or approximately 33.4</w:t>
      </w:r>
      <w:r w:rsidR="009D1919" w:rsidRPr="003C63AC">
        <w:rPr>
          <w:lang w:val="en-US"/>
        </w:rPr>
        <w:t xml:space="preserve"> per cent</w:t>
      </w:r>
      <w:r w:rsidRPr="003C63AC">
        <w:rPr>
          <w:lang w:val="en-US"/>
        </w:rPr>
        <w:t xml:space="preserve"> of the total ELVs in that year.</w:t>
      </w:r>
    </w:p>
    <w:p w:rsidR="003A11DE" w:rsidRPr="003C63AC" w:rsidRDefault="003A11DE" w:rsidP="003A11DE">
      <w:pPr>
        <w:rPr>
          <w:lang w:val="en-US"/>
        </w:rPr>
      </w:pPr>
      <w:r w:rsidRPr="003C63AC">
        <w:rPr>
          <w:lang w:val="en-US"/>
        </w:rPr>
        <w:t>We must therefore assume that the balance of ELVs, the other 66.6</w:t>
      </w:r>
      <w:r w:rsidR="009D1919" w:rsidRPr="003C63AC">
        <w:rPr>
          <w:lang w:val="en-US"/>
        </w:rPr>
        <w:t xml:space="preserve"> per cent</w:t>
      </w:r>
      <w:r w:rsidRPr="003C63AC">
        <w:rPr>
          <w:lang w:val="en-US"/>
        </w:rPr>
        <w:t>, or approximately 4</w:t>
      </w:r>
      <w:r w:rsidR="008A7766" w:rsidRPr="003C63AC">
        <w:rPr>
          <w:lang w:val="en-US"/>
        </w:rPr>
        <w:t>3</w:t>
      </w:r>
      <w:r w:rsidRPr="003C63AC">
        <w:rPr>
          <w:lang w:val="en-US"/>
        </w:rPr>
        <w:t>8,</w:t>
      </w:r>
      <w:r w:rsidR="008A7766" w:rsidRPr="003C63AC">
        <w:rPr>
          <w:lang w:val="en-US"/>
        </w:rPr>
        <w:t>0</w:t>
      </w:r>
      <w:r w:rsidRPr="003C63AC">
        <w:rPr>
          <w:lang w:val="en-US"/>
        </w:rPr>
        <w:t xml:space="preserve">00 ELVs in 2013, suffered some combination of mechanical failures or cumulative wear and tear that rendered them </w:t>
      </w:r>
      <w:r w:rsidRPr="003C63AC">
        <w:rPr>
          <w:lang w:val="en-US"/>
        </w:rPr>
        <w:lastRenderedPageBreak/>
        <w:t>uneconomic for private owners to repair. They simply g</w:t>
      </w:r>
      <w:r w:rsidR="00EB7931" w:rsidRPr="003C63AC">
        <w:rPr>
          <w:lang w:val="en-US"/>
        </w:rPr>
        <w:t>o</w:t>
      </w:r>
      <w:r w:rsidRPr="003C63AC">
        <w:rPr>
          <w:lang w:val="en-US"/>
        </w:rPr>
        <w:t xml:space="preserve">t too old and run down to bother with registering again. </w:t>
      </w:r>
    </w:p>
    <w:p w:rsidR="003A11DE" w:rsidRPr="003C63AC" w:rsidRDefault="003A11DE" w:rsidP="003A11DE">
      <w:pPr>
        <w:rPr>
          <w:lang w:val="en-US"/>
        </w:rPr>
      </w:pPr>
      <w:r w:rsidRPr="003C63AC">
        <w:rPr>
          <w:lang w:val="en-US"/>
        </w:rPr>
        <w:t xml:space="preserve">This assumption is supported by feedback from the operators of large </w:t>
      </w:r>
      <w:r w:rsidR="006B7262" w:rsidRPr="003C63AC">
        <w:rPr>
          <w:lang w:val="en-US"/>
        </w:rPr>
        <w:t>auto-part</w:t>
      </w:r>
      <w:r w:rsidRPr="003C63AC">
        <w:rPr>
          <w:lang w:val="en-US"/>
        </w:rPr>
        <w:t>s recycling businesses who confirm that the majority of the vehicles they receive come direct from the public, from second hand dealers who accepted an old vehicle as a trade in, or via tow truck operators who collect them from the public.</w:t>
      </w:r>
    </w:p>
    <w:p w:rsidR="003A11DE" w:rsidRPr="003C63AC" w:rsidRDefault="003A11DE" w:rsidP="003A11DE">
      <w:r w:rsidRPr="003C63AC">
        <w:rPr>
          <w:lang w:val="en-US"/>
        </w:rPr>
        <w:t xml:space="preserve">What this means is that the majority of ELVs have not suffered any major collision damage when they become ELVs, an important factor when estimating the likely remnant refrigerant charge. A summary of the estimated sources of ELVs is provided in </w:t>
      </w:r>
      <w:r w:rsidRPr="003C63AC">
        <w:rPr>
          <w:i/>
          <w:lang w:val="en-US"/>
        </w:rPr>
        <w:t>Table 2</w:t>
      </w:r>
      <w:r w:rsidRPr="003C63AC">
        <w:rPr>
          <w:lang w:val="en-US"/>
        </w:rPr>
        <w:t xml:space="preserve"> below.</w:t>
      </w:r>
    </w:p>
    <w:p w:rsidR="002961C6" w:rsidRPr="003C63AC" w:rsidRDefault="002961C6" w:rsidP="00A031DD">
      <w:pPr>
        <w:rPr>
          <w:lang w:val="en-US"/>
        </w:rPr>
      </w:pPr>
    </w:p>
    <w:p w:rsidR="00A031DD" w:rsidRPr="003C63AC" w:rsidRDefault="002961C6" w:rsidP="00A031DD">
      <w:pPr>
        <w:rPr>
          <w:i/>
          <w:szCs w:val="22"/>
        </w:rPr>
      </w:pPr>
      <w:r w:rsidRPr="003C63AC">
        <w:rPr>
          <w:i/>
          <w:szCs w:val="22"/>
        </w:rPr>
        <w:t xml:space="preserve">Table </w:t>
      </w:r>
      <w:r w:rsidR="00F005B2" w:rsidRPr="003C63AC">
        <w:rPr>
          <w:i/>
          <w:szCs w:val="22"/>
        </w:rPr>
        <w:fldChar w:fldCharType="begin"/>
      </w:r>
      <w:r w:rsidRPr="003C63AC">
        <w:rPr>
          <w:i/>
          <w:szCs w:val="22"/>
        </w:rPr>
        <w:instrText xml:space="preserve"> SEQ Table \* ARABIC </w:instrText>
      </w:r>
      <w:r w:rsidR="00F005B2" w:rsidRPr="003C63AC">
        <w:rPr>
          <w:i/>
          <w:szCs w:val="22"/>
        </w:rPr>
        <w:fldChar w:fldCharType="separate"/>
      </w:r>
      <w:r w:rsidR="00DE265F">
        <w:rPr>
          <w:i/>
          <w:noProof/>
          <w:szCs w:val="22"/>
        </w:rPr>
        <w:t>2</w:t>
      </w:r>
      <w:r w:rsidR="00F005B2" w:rsidRPr="003C63AC">
        <w:rPr>
          <w:i/>
          <w:szCs w:val="22"/>
        </w:rPr>
        <w:fldChar w:fldCharType="end"/>
      </w:r>
      <w:r w:rsidRPr="003C63AC">
        <w:rPr>
          <w:i/>
          <w:szCs w:val="22"/>
        </w:rPr>
        <w:t xml:space="preserve">: </w:t>
      </w:r>
      <w:r w:rsidR="0032566B">
        <w:rPr>
          <w:i/>
          <w:szCs w:val="22"/>
        </w:rPr>
        <w:t xml:space="preserve">Estimates of </w:t>
      </w:r>
      <w:r w:rsidRPr="003C63AC">
        <w:rPr>
          <w:i/>
          <w:szCs w:val="22"/>
        </w:rPr>
        <w:t xml:space="preserve">Sources of </w:t>
      </w:r>
      <w:r w:rsidR="00AC167C" w:rsidRPr="003C63AC">
        <w:rPr>
          <w:i/>
          <w:szCs w:val="22"/>
        </w:rPr>
        <w:t>ELVs</w:t>
      </w:r>
      <w:r w:rsidRPr="003C63AC">
        <w:rPr>
          <w:i/>
          <w:szCs w:val="22"/>
        </w:rPr>
        <w:t xml:space="preserve"> in 2013.</w:t>
      </w:r>
    </w:p>
    <w:tbl>
      <w:tblPr>
        <w:tblW w:w="9654" w:type="dxa"/>
        <w:tblInd w:w="93" w:type="dxa"/>
        <w:tblLook w:val="04A0" w:firstRow="1" w:lastRow="0" w:firstColumn="1" w:lastColumn="0" w:noHBand="0" w:noVBand="1"/>
      </w:tblPr>
      <w:tblGrid>
        <w:gridCol w:w="5007"/>
        <w:gridCol w:w="1394"/>
        <w:gridCol w:w="1542"/>
        <w:gridCol w:w="1711"/>
      </w:tblGrid>
      <w:tr w:rsidR="00337717" w:rsidRPr="0032566B" w:rsidTr="00E822B9">
        <w:trPr>
          <w:trHeight w:val="660"/>
        </w:trPr>
        <w:tc>
          <w:tcPr>
            <w:tcW w:w="5007" w:type="dxa"/>
            <w:tcBorders>
              <w:top w:val="single" w:sz="8" w:space="0" w:color="000000"/>
              <w:left w:val="single" w:sz="8" w:space="0" w:color="000000"/>
              <w:bottom w:val="single" w:sz="8" w:space="0" w:color="000000"/>
              <w:right w:val="single" w:sz="8" w:space="0" w:color="FFFFFF" w:themeColor="background1"/>
            </w:tcBorders>
            <w:shd w:val="clear" w:color="000000" w:fill="0C0C0C"/>
            <w:vAlign w:val="center"/>
            <w:hideMark/>
          </w:tcPr>
          <w:p w:rsidR="00337717" w:rsidRPr="0032566B" w:rsidRDefault="00337717" w:rsidP="000B0EFE">
            <w:pPr>
              <w:spacing w:after="120"/>
              <w:rPr>
                <w:rFonts w:eastAsia="Times New Roman" w:cs="Times New Roman"/>
                <w:color w:val="FFFFFF"/>
                <w:szCs w:val="22"/>
                <w:lang w:eastAsia="en-AU"/>
              </w:rPr>
            </w:pPr>
            <w:r w:rsidRPr="0032566B">
              <w:rPr>
                <w:rFonts w:eastAsia="Times New Roman" w:cs="Times New Roman"/>
                <w:color w:val="FFFFFF"/>
                <w:szCs w:val="22"/>
                <w:lang w:val="en-US" w:eastAsia="en-AU"/>
              </w:rPr>
              <w:t>Sources of ELVs</w:t>
            </w:r>
            <w:r>
              <w:rPr>
                <w:rFonts w:eastAsia="Times New Roman" w:cs="Times New Roman"/>
                <w:color w:val="FFFFFF"/>
                <w:szCs w:val="22"/>
                <w:lang w:val="en-US" w:eastAsia="en-AU"/>
              </w:rPr>
              <w:t xml:space="preserve">: </w:t>
            </w:r>
            <w:r w:rsidRPr="0032566B">
              <w:rPr>
                <w:rFonts w:eastAsia="Times New Roman" w:cs="Times New Roman"/>
                <w:color w:val="FFFFFF"/>
                <w:szCs w:val="22"/>
                <w:lang w:val="en-US" w:eastAsia="en-AU"/>
              </w:rPr>
              <w:t>2013</w:t>
            </w:r>
          </w:p>
        </w:tc>
        <w:tc>
          <w:tcPr>
            <w:tcW w:w="1394" w:type="dxa"/>
            <w:tcBorders>
              <w:top w:val="single" w:sz="8" w:space="0" w:color="000000"/>
              <w:left w:val="single" w:sz="8" w:space="0" w:color="FFFFFF" w:themeColor="background1"/>
              <w:bottom w:val="single" w:sz="8" w:space="0" w:color="000000"/>
              <w:right w:val="single" w:sz="8" w:space="0" w:color="FFFFFF" w:themeColor="background1"/>
            </w:tcBorders>
            <w:shd w:val="clear" w:color="000000" w:fill="0C0C0C"/>
          </w:tcPr>
          <w:p w:rsidR="00337717" w:rsidRPr="0032566B" w:rsidRDefault="000B0EFE" w:rsidP="00CA671F">
            <w:pPr>
              <w:spacing w:after="120"/>
              <w:jc w:val="center"/>
              <w:rPr>
                <w:rFonts w:eastAsia="Times New Roman" w:cs="Times New Roman"/>
                <w:color w:val="FFFFFF"/>
                <w:szCs w:val="22"/>
                <w:lang w:eastAsia="en-AU"/>
              </w:rPr>
            </w:pPr>
            <w:r>
              <w:rPr>
                <w:rFonts w:eastAsia="Times New Roman" w:cs="Times New Roman"/>
                <w:color w:val="FFFFFF"/>
                <w:szCs w:val="22"/>
                <w:lang w:eastAsia="en-AU"/>
              </w:rPr>
              <w:t>P</w:t>
            </w:r>
            <w:r w:rsidR="00337717">
              <w:rPr>
                <w:rFonts w:eastAsia="Times New Roman" w:cs="Times New Roman"/>
                <w:color w:val="FFFFFF"/>
                <w:szCs w:val="22"/>
                <w:lang w:eastAsia="en-AU"/>
              </w:rPr>
              <w:t xml:space="preserve">ercentage </w:t>
            </w:r>
            <w:r>
              <w:rPr>
                <w:rFonts w:eastAsia="Times New Roman" w:cs="Times New Roman"/>
                <w:color w:val="FFFFFF"/>
                <w:szCs w:val="22"/>
                <w:lang w:eastAsia="en-AU"/>
              </w:rPr>
              <w:t xml:space="preserve">of vehicles </w:t>
            </w:r>
            <w:r w:rsidR="00337717">
              <w:rPr>
                <w:rFonts w:eastAsia="Times New Roman" w:cs="Times New Roman"/>
                <w:color w:val="FFFFFF"/>
                <w:szCs w:val="22"/>
                <w:lang w:eastAsia="en-AU"/>
              </w:rPr>
              <w:t>from this source that become ELVs</w:t>
            </w:r>
          </w:p>
        </w:tc>
        <w:tc>
          <w:tcPr>
            <w:tcW w:w="1542" w:type="dxa"/>
            <w:tcBorders>
              <w:top w:val="single" w:sz="8" w:space="0" w:color="000000"/>
              <w:left w:val="single" w:sz="8" w:space="0" w:color="FFFFFF" w:themeColor="background1"/>
              <w:bottom w:val="single" w:sz="8" w:space="0" w:color="000000"/>
              <w:right w:val="single" w:sz="8" w:space="0" w:color="FFFFFF" w:themeColor="background1"/>
            </w:tcBorders>
            <w:shd w:val="clear" w:color="000000" w:fill="0C0C0C"/>
            <w:vAlign w:val="center"/>
            <w:hideMark/>
          </w:tcPr>
          <w:p w:rsidR="00337717" w:rsidRPr="0032566B" w:rsidRDefault="00337717" w:rsidP="00CA671F">
            <w:pPr>
              <w:spacing w:after="120"/>
              <w:jc w:val="center"/>
              <w:rPr>
                <w:rFonts w:eastAsia="Times New Roman" w:cs="Times New Roman"/>
                <w:color w:val="FFFFFF"/>
                <w:szCs w:val="22"/>
                <w:lang w:eastAsia="en-AU"/>
              </w:rPr>
            </w:pPr>
            <w:r w:rsidRPr="0032566B">
              <w:rPr>
                <w:rFonts w:eastAsia="Times New Roman" w:cs="Times New Roman"/>
                <w:color w:val="FFFFFF"/>
                <w:szCs w:val="22"/>
                <w:lang w:eastAsia="en-AU"/>
              </w:rPr>
              <w:t>Number of ELVs from this Source</w:t>
            </w:r>
          </w:p>
        </w:tc>
        <w:tc>
          <w:tcPr>
            <w:tcW w:w="1711" w:type="dxa"/>
            <w:tcBorders>
              <w:top w:val="single" w:sz="8" w:space="0" w:color="000000"/>
              <w:left w:val="single" w:sz="8" w:space="0" w:color="FFFFFF" w:themeColor="background1"/>
              <w:bottom w:val="single" w:sz="8" w:space="0" w:color="000000"/>
              <w:right w:val="single" w:sz="8" w:space="0" w:color="000000"/>
            </w:tcBorders>
            <w:shd w:val="clear" w:color="000000" w:fill="0C0C0C"/>
            <w:vAlign w:val="center"/>
            <w:hideMark/>
          </w:tcPr>
          <w:p w:rsidR="00337717" w:rsidRPr="0032566B" w:rsidRDefault="00337717" w:rsidP="00CA671F">
            <w:pPr>
              <w:spacing w:after="120"/>
              <w:jc w:val="center"/>
              <w:rPr>
                <w:rFonts w:eastAsia="Times New Roman" w:cs="Times New Roman"/>
                <w:color w:val="FFFFFF"/>
                <w:szCs w:val="22"/>
                <w:lang w:eastAsia="en-AU"/>
              </w:rPr>
            </w:pPr>
            <w:r w:rsidRPr="0032566B">
              <w:rPr>
                <w:rFonts w:eastAsia="Times New Roman" w:cs="Times New Roman"/>
                <w:color w:val="FFFFFF"/>
                <w:szCs w:val="22"/>
                <w:lang w:val="en-US" w:eastAsia="en-AU"/>
              </w:rPr>
              <w:t>Proportion of total ELVs from this Source</w:t>
            </w:r>
          </w:p>
        </w:tc>
      </w:tr>
      <w:tr w:rsidR="00337717" w:rsidRPr="0032566B" w:rsidTr="00E822B9">
        <w:trPr>
          <w:trHeight w:val="615"/>
        </w:trPr>
        <w:tc>
          <w:tcPr>
            <w:tcW w:w="5007" w:type="dxa"/>
            <w:tcBorders>
              <w:top w:val="nil"/>
              <w:left w:val="single" w:sz="8" w:space="0" w:color="000000"/>
              <w:bottom w:val="single" w:sz="8" w:space="0" w:color="000000"/>
              <w:right w:val="single" w:sz="8" w:space="0" w:color="000000"/>
            </w:tcBorders>
            <w:shd w:val="clear" w:color="auto" w:fill="auto"/>
            <w:vAlign w:val="center"/>
            <w:hideMark/>
          </w:tcPr>
          <w:p w:rsidR="00337717" w:rsidRPr="0032566B" w:rsidRDefault="00337717" w:rsidP="00CA671F">
            <w:pPr>
              <w:spacing w:after="120"/>
              <w:rPr>
                <w:rFonts w:eastAsia="Times New Roman" w:cs="Times New Roman"/>
                <w:color w:val="000000"/>
                <w:szCs w:val="22"/>
                <w:lang w:eastAsia="en-AU"/>
              </w:rPr>
            </w:pPr>
            <w:r w:rsidRPr="0032566B">
              <w:rPr>
                <w:rFonts w:eastAsia="Times New Roman" w:cs="Times New Roman"/>
                <w:color w:val="000000"/>
                <w:szCs w:val="22"/>
                <w:lang w:val="en-US" w:eastAsia="en-AU"/>
              </w:rPr>
              <w:t>Statutory Write Offs (damaged in collision or event)</w:t>
            </w:r>
          </w:p>
        </w:tc>
        <w:tc>
          <w:tcPr>
            <w:tcW w:w="1394" w:type="dxa"/>
            <w:tcBorders>
              <w:top w:val="single" w:sz="8" w:space="0" w:color="000000"/>
              <w:left w:val="nil"/>
              <w:bottom w:val="single" w:sz="8" w:space="0" w:color="000000"/>
              <w:right w:val="single" w:sz="8" w:space="0" w:color="000000"/>
            </w:tcBorders>
            <w:vAlign w:val="center"/>
          </w:tcPr>
          <w:p w:rsidR="00337717" w:rsidRPr="0032566B" w:rsidRDefault="000B0EFE" w:rsidP="00CA671F">
            <w:pPr>
              <w:spacing w:after="120"/>
              <w:jc w:val="center"/>
              <w:rPr>
                <w:rFonts w:eastAsia="Times New Roman" w:cs="Times New Roman"/>
                <w:color w:val="000000"/>
                <w:szCs w:val="22"/>
                <w:lang w:val="en-US" w:eastAsia="en-AU"/>
              </w:rPr>
            </w:pPr>
            <w:r>
              <w:rPr>
                <w:rFonts w:eastAsia="Times New Roman" w:cs="Times New Roman"/>
                <w:color w:val="000000"/>
                <w:szCs w:val="22"/>
                <w:lang w:val="en-US" w:eastAsia="en-AU"/>
              </w:rPr>
              <w:t>100%</w:t>
            </w:r>
          </w:p>
        </w:tc>
        <w:tc>
          <w:tcPr>
            <w:tcW w:w="1542" w:type="dxa"/>
            <w:tcBorders>
              <w:top w:val="nil"/>
              <w:left w:val="single" w:sz="8" w:space="0" w:color="000000"/>
              <w:bottom w:val="single" w:sz="8" w:space="0" w:color="000000"/>
              <w:right w:val="single" w:sz="8" w:space="0" w:color="000000"/>
            </w:tcBorders>
            <w:shd w:val="clear" w:color="auto" w:fill="auto"/>
            <w:vAlign w:val="center"/>
            <w:hideMark/>
          </w:tcPr>
          <w:p w:rsidR="00337717" w:rsidRPr="0032566B" w:rsidRDefault="00337717" w:rsidP="00CA671F">
            <w:pPr>
              <w:spacing w:after="120"/>
              <w:jc w:val="center"/>
              <w:rPr>
                <w:rFonts w:eastAsia="Times New Roman" w:cs="Times New Roman"/>
                <w:color w:val="000000"/>
                <w:szCs w:val="22"/>
                <w:lang w:eastAsia="en-AU"/>
              </w:rPr>
            </w:pPr>
            <w:r w:rsidRPr="0032566B">
              <w:rPr>
                <w:rFonts w:eastAsia="Times New Roman" w:cs="Times New Roman"/>
                <w:color w:val="000000"/>
                <w:szCs w:val="22"/>
                <w:lang w:val="en-US" w:eastAsia="en-AU"/>
              </w:rPr>
              <w:t>87,703</w:t>
            </w:r>
          </w:p>
        </w:tc>
        <w:tc>
          <w:tcPr>
            <w:tcW w:w="1711" w:type="dxa"/>
            <w:tcBorders>
              <w:top w:val="nil"/>
              <w:left w:val="nil"/>
              <w:bottom w:val="single" w:sz="8" w:space="0" w:color="000000"/>
              <w:right w:val="single" w:sz="8" w:space="0" w:color="000000"/>
            </w:tcBorders>
            <w:shd w:val="clear" w:color="auto" w:fill="auto"/>
            <w:vAlign w:val="center"/>
            <w:hideMark/>
          </w:tcPr>
          <w:p w:rsidR="00337717" w:rsidRPr="0032566B" w:rsidRDefault="00337717" w:rsidP="00CA671F">
            <w:pPr>
              <w:spacing w:after="120"/>
              <w:jc w:val="center"/>
              <w:rPr>
                <w:rFonts w:eastAsia="Times New Roman" w:cs="Times New Roman"/>
                <w:color w:val="000000"/>
                <w:szCs w:val="22"/>
                <w:lang w:eastAsia="en-AU"/>
              </w:rPr>
            </w:pPr>
            <w:r w:rsidRPr="0032566B">
              <w:rPr>
                <w:rFonts w:eastAsia="Times New Roman" w:cs="Times New Roman"/>
                <w:color w:val="000000"/>
                <w:szCs w:val="22"/>
                <w:lang w:val="en-US" w:eastAsia="en-AU"/>
              </w:rPr>
              <w:t>13.30%</w:t>
            </w:r>
          </w:p>
        </w:tc>
      </w:tr>
      <w:tr w:rsidR="00337717" w:rsidRPr="0032566B" w:rsidTr="00E822B9">
        <w:trPr>
          <w:trHeight w:val="615"/>
        </w:trPr>
        <w:tc>
          <w:tcPr>
            <w:tcW w:w="5007" w:type="dxa"/>
            <w:tcBorders>
              <w:top w:val="nil"/>
              <w:left w:val="single" w:sz="8" w:space="0" w:color="000000"/>
              <w:bottom w:val="single" w:sz="8" w:space="0" w:color="000000"/>
              <w:right w:val="single" w:sz="8" w:space="0" w:color="000000"/>
            </w:tcBorders>
            <w:shd w:val="clear" w:color="auto" w:fill="auto"/>
            <w:vAlign w:val="center"/>
            <w:hideMark/>
          </w:tcPr>
          <w:p w:rsidR="00337717" w:rsidRPr="0032566B" w:rsidRDefault="00337717" w:rsidP="00CA671F">
            <w:pPr>
              <w:spacing w:after="120"/>
              <w:rPr>
                <w:rFonts w:eastAsia="Times New Roman" w:cs="Times New Roman"/>
                <w:color w:val="000000"/>
                <w:szCs w:val="22"/>
                <w:lang w:eastAsia="en-AU"/>
              </w:rPr>
            </w:pPr>
            <w:r w:rsidRPr="0032566B">
              <w:rPr>
                <w:rFonts w:eastAsia="Times New Roman" w:cs="Times New Roman"/>
                <w:color w:val="000000"/>
                <w:szCs w:val="22"/>
                <w:lang w:val="en-US" w:eastAsia="en-AU"/>
              </w:rPr>
              <w:t>Repairable Write Offs processed as ELVs and are stripped and recycled</w:t>
            </w:r>
          </w:p>
        </w:tc>
        <w:tc>
          <w:tcPr>
            <w:tcW w:w="1394" w:type="dxa"/>
            <w:tcBorders>
              <w:top w:val="single" w:sz="8" w:space="0" w:color="000000"/>
              <w:left w:val="nil"/>
              <w:bottom w:val="single" w:sz="8" w:space="0" w:color="000000"/>
              <w:right w:val="single" w:sz="8" w:space="0" w:color="000000"/>
            </w:tcBorders>
            <w:vAlign w:val="center"/>
          </w:tcPr>
          <w:p w:rsidR="00337717" w:rsidRPr="0032566B" w:rsidRDefault="000B0EFE" w:rsidP="00CA671F">
            <w:pPr>
              <w:spacing w:after="120"/>
              <w:jc w:val="center"/>
              <w:rPr>
                <w:rFonts w:eastAsia="Times New Roman" w:cs="Times New Roman"/>
                <w:color w:val="000000"/>
                <w:szCs w:val="22"/>
                <w:lang w:val="en-US" w:eastAsia="en-AU"/>
              </w:rPr>
            </w:pPr>
            <w:r>
              <w:rPr>
                <w:rFonts w:eastAsia="Times New Roman" w:cs="Times New Roman"/>
                <w:color w:val="000000"/>
                <w:szCs w:val="22"/>
                <w:lang w:val="en-US" w:eastAsia="en-AU"/>
              </w:rPr>
              <w:t>60%</w:t>
            </w:r>
          </w:p>
        </w:tc>
        <w:tc>
          <w:tcPr>
            <w:tcW w:w="1542" w:type="dxa"/>
            <w:tcBorders>
              <w:top w:val="nil"/>
              <w:left w:val="single" w:sz="8" w:space="0" w:color="000000"/>
              <w:bottom w:val="single" w:sz="8" w:space="0" w:color="000000"/>
              <w:right w:val="single" w:sz="8" w:space="0" w:color="000000"/>
            </w:tcBorders>
            <w:shd w:val="clear" w:color="auto" w:fill="auto"/>
            <w:vAlign w:val="center"/>
            <w:hideMark/>
          </w:tcPr>
          <w:p w:rsidR="00337717" w:rsidRPr="0032566B" w:rsidRDefault="00337717" w:rsidP="00CA671F">
            <w:pPr>
              <w:spacing w:after="120"/>
              <w:jc w:val="center"/>
              <w:rPr>
                <w:rFonts w:eastAsia="Times New Roman" w:cs="Times New Roman"/>
                <w:color w:val="000000"/>
                <w:szCs w:val="22"/>
                <w:lang w:eastAsia="en-AU"/>
              </w:rPr>
            </w:pPr>
            <w:r w:rsidRPr="0032566B">
              <w:rPr>
                <w:rFonts w:eastAsia="Times New Roman" w:cs="Times New Roman"/>
                <w:color w:val="000000"/>
                <w:szCs w:val="22"/>
                <w:lang w:val="en-US" w:eastAsia="en-AU"/>
              </w:rPr>
              <w:t>26,184</w:t>
            </w:r>
          </w:p>
        </w:tc>
        <w:tc>
          <w:tcPr>
            <w:tcW w:w="1711" w:type="dxa"/>
            <w:tcBorders>
              <w:top w:val="nil"/>
              <w:left w:val="nil"/>
              <w:bottom w:val="single" w:sz="8" w:space="0" w:color="000000"/>
              <w:right w:val="single" w:sz="8" w:space="0" w:color="000000"/>
            </w:tcBorders>
            <w:shd w:val="clear" w:color="auto" w:fill="auto"/>
            <w:vAlign w:val="center"/>
            <w:hideMark/>
          </w:tcPr>
          <w:p w:rsidR="00337717" w:rsidRPr="0032566B" w:rsidRDefault="00337717" w:rsidP="00CA671F">
            <w:pPr>
              <w:spacing w:after="120"/>
              <w:jc w:val="center"/>
              <w:rPr>
                <w:rFonts w:eastAsia="Times New Roman" w:cs="Times New Roman"/>
                <w:color w:val="000000"/>
                <w:szCs w:val="22"/>
                <w:lang w:eastAsia="en-AU"/>
              </w:rPr>
            </w:pPr>
            <w:r w:rsidRPr="0032566B">
              <w:rPr>
                <w:rFonts w:eastAsia="Times New Roman" w:cs="Times New Roman"/>
                <w:color w:val="000000"/>
                <w:szCs w:val="22"/>
                <w:lang w:val="en-US" w:eastAsia="en-AU"/>
              </w:rPr>
              <w:t>4.00%</w:t>
            </w:r>
          </w:p>
        </w:tc>
      </w:tr>
      <w:tr w:rsidR="00337717" w:rsidRPr="0032566B" w:rsidTr="00E822B9">
        <w:trPr>
          <w:trHeight w:val="615"/>
        </w:trPr>
        <w:tc>
          <w:tcPr>
            <w:tcW w:w="5007" w:type="dxa"/>
            <w:tcBorders>
              <w:top w:val="nil"/>
              <w:left w:val="single" w:sz="8" w:space="0" w:color="000000"/>
              <w:bottom w:val="single" w:sz="8" w:space="0" w:color="000000"/>
              <w:right w:val="single" w:sz="8" w:space="0" w:color="000000"/>
            </w:tcBorders>
            <w:shd w:val="clear" w:color="auto" w:fill="auto"/>
            <w:vAlign w:val="center"/>
            <w:hideMark/>
          </w:tcPr>
          <w:p w:rsidR="00337717" w:rsidRPr="0032566B" w:rsidRDefault="00337717" w:rsidP="00CA671F">
            <w:pPr>
              <w:spacing w:after="120"/>
              <w:rPr>
                <w:rFonts w:eastAsia="Times New Roman" w:cs="Times New Roman"/>
                <w:color w:val="000000"/>
                <w:szCs w:val="22"/>
                <w:lang w:eastAsia="en-AU"/>
              </w:rPr>
            </w:pPr>
            <w:r w:rsidRPr="0032566B">
              <w:rPr>
                <w:rFonts w:eastAsia="Times New Roman" w:cs="Times New Roman"/>
                <w:color w:val="000000"/>
                <w:szCs w:val="22"/>
                <w:lang w:val="en-US" w:eastAsia="en-AU"/>
              </w:rPr>
              <w:t>Stolen Not Recovered Vehicles (theft for profit)</w:t>
            </w:r>
          </w:p>
        </w:tc>
        <w:tc>
          <w:tcPr>
            <w:tcW w:w="1394" w:type="dxa"/>
            <w:tcBorders>
              <w:top w:val="single" w:sz="8" w:space="0" w:color="000000"/>
              <w:left w:val="nil"/>
              <w:bottom w:val="single" w:sz="8" w:space="0" w:color="000000"/>
              <w:right w:val="single" w:sz="8" w:space="0" w:color="000000"/>
            </w:tcBorders>
            <w:vAlign w:val="center"/>
          </w:tcPr>
          <w:p w:rsidR="00337717" w:rsidRPr="0032566B" w:rsidRDefault="000B0EFE" w:rsidP="00CA671F">
            <w:pPr>
              <w:spacing w:after="120"/>
              <w:jc w:val="center"/>
              <w:rPr>
                <w:rFonts w:eastAsia="Times New Roman" w:cs="Times New Roman"/>
                <w:color w:val="000000"/>
                <w:szCs w:val="22"/>
                <w:lang w:val="en-US" w:eastAsia="en-AU"/>
              </w:rPr>
            </w:pPr>
            <w:r>
              <w:rPr>
                <w:rFonts w:eastAsia="Times New Roman" w:cs="Times New Roman"/>
                <w:color w:val="000000"/>
                <w:szCs w:val="22"/>
                <w:lang w:val="en-US" w:eastAsia="en-AU"/>
              </w:rPr>
              <w:t>100%</w:t>
            </w:r>
          </w:p>
        </w:tc>
        <w:tc>
          <w:tcPr>
            <w:tcW w:w="1542" w:type="dxa"/>
            <w:tcBorders>
              <w:top w:val="nil"/>
              <w:left w:val="single" w:sz="8" w:space="0" w:color="000000"/>
              <w:bottom w:val="single" w:sz="8" w:space="0" w:color="000000"/>
              <w:right w:val="single" w:sz="8" w:space="0" w:color="000000"/>
            </w:tcBorders>
            <w:shd w:val="clear" w:color="auto" w:fill="auto"/>
            <w:vAlign w:val="center"/>
            <w:hideMark/>
          </w:tcPr>
          <w:p w:rsidR="00337717" w:rsidRPr="0032566B" w:rsidRDefault="00337717" w:rsidP="00CA671F">
            <w:pPr>
              <w:spacing w:after="120"/>
              <w:jc w:val="center"/>
              <w:rPr>
                <w:rFonts w:eastAsia="Times New Roman" w:cs="Times New Roman"/>
                <w:color w:val="000000"/>
                <w:szCs w:val="22"/>
                <w:lang w:eastAsia="en-AU"/>
              </w:rPr>
            </w:pPr>
            <w:r w:rsidRPr="0032566B">
              <w:rPr>
                <w:rFonts w:eastAsia="Times New Roman" w:cs="Times New Roman"/>
                <w:color w:val="000000"/>
                <w:szCs w:val="22"/>
                <w:lang w:val="en-US" w:eastAsia="en-AU"/>
              </w:rPr>
              <w:t>12,070</w:t>
            </w:r>
          </w:p>
        </w:tc>
        <w:tc>
          <w:tcPr>
            <w:tcW w:w="1711" w:type="dxa"/>
            <w:tcBorders>
              <w:top w:val="nil"/>
              <w:left w:val="nil"/>
              <w:bottom w:val="single" w:sz="8" w:space="0" w:color="000000"/>
              <w:right w:val="single" w:sz="8" w:space="0" w:color="000000"/>
            </w:tcBorders>
            <w:shd w:val="clear" w:color="auto" w:fill="auto"/>
            <w:vAlign w:val="center"/>
            <w:hideMark/>
          </w:tcPr>
          <w:p w:rsidR="00337717" w:rsidRPr="0032566B" w:rsidRDefault="00337717" w:rsidP="00CA671F">
            <w:pPr>
              <w:spacing w:after="120"/>
              <w:jc w:val="center"/>
              <w:rPr>
                <w:rFonts w:eastAsia="Times New Roman" w:cs="Times New Roman"/>
                <w:color w:val="000000"/>
                <w:szCs w:val="22"/>
                <w:lang w:eastAsia="en-AU"/>
              </w:rPr>
            </w:pPr>
            <w:r w:rsidRPr="0032566B">
              <w:rPr>
                <w:rFonts w:eastAsia="Times New Roman" w:cs="Times New Roman"/>
                <w:color w:val="000000"/>
                <w:szCs w:val="22"/>
                <w:lang w:val="en-US" w:eastAsia="en-AU"/>
              </w:rPr>
              <w:t>1.80%</w:t>
            </w:r>
          </w:p>
        </w:tc>
      </w:tr>
      <w:tr w:rsidR="00337717" w:rsidRPr="0032566B" w:rsidTr="00E822B9">
        <w:trPr>
          <w:trHeight w:val="615"/>
        </w:trPr>
        <w:tc>
          <w:tcPr>
            <w:tcW w:w="5007" w:type="dxa"/>
            <w:tcBorders>
              <w:top w:val="nil"/>
              <w:left w:val="single" w:sz="8" w:space="0" w:color="000000"/>
              <w:bottom w:val="single" w:sz="8" w:space="0" w:color="000000"/>
              <w:right w:val="single" w:sz="8" w:space="0" w:color="000000"/>
            </w:tcBorders>
            <w:shd w:val="clear" w:color="auto" w:fill="auto"/>
            <w:vAlign w:val="center"/>
            <w:hideMark/>
          </w:tcPr>
          <w:p w:rsidR="00337717" w:rsidRPr="0032566B" w:rsidRDefault="00337717" w:rsidP="000B0EFE">
            <w:pPr>
              <w:spacing w:after="120"/>
              <w:rPr>
                <w:rFonts w:eastAsia="Times New Roman" w:cs="Times New Roman"/>
                <w:color w:val="000000"/>
                <w:szCs w:val="22"/>
                <w:lang w:eastAsia="en-AU"/>
              </w:rPr>
            </w:pPr>
            <w:r w:rsidRPr="0032566B">
              <w:rPr>
                <w:rFonts w:eastAsia="Times New Roman" w:cs="Times New Roman"/>
                <w:color w:val="000000"/>
                <w:szCs w:val="22"/>
                <w:lang w:val="en-US" w:eastAsia="en-AU"/>
              </w:rPr>
              <w:t xml:space="preserve">Stolen Short Term and Recovered </w:t>
            </w:r>
            <w:r w:rsidR="00083AED">
              <w:rPr>
                <w:rFonts w:eastAsia="Times New Roman" w:cs="Times New Roman"/>
                <w:color w:val="000000"/>
                <w:szCs w:val="22"/>
                <w:lang w:val="en-US" w:eastAsia="en-AU"/>
              </w:rPr>
              <w:t>but</w:t>
            </w:r>
            <w:r w:rsidRPr="0032566B">
              <w:rPr>
                <w:rFonts w:eastAsia="Times New Roman" w:cs="Times New Roman"/>
                <w:color w:val="000000"/>
                <w:szCs w:val="22"/>
                <w:lang w:val="en-US" w:eastAsia="en-AU"/>
              </w:rPr>
              <w:t xml:space="preserve"> </w:t>
            </w:r>
            <w:r>
              <w:rPr>
                <w:rFonts w:eastAsia="Times New Roman" w:cs="Times New Roman"/>
                <w:color w:val="000000"/>
                <w:szCs w:val="22"/>
                <w:lang w:val="en-US" w:eastAsia="en-AU"/>
              </w:rPr>
              <w:t>D</w:t>
            </w:r>
            <w:r w:rsidRPr="0032566B">
              <w:rPr>
                <w:rFonts w:eastAsia="Times New Roman" w:cs="Times New Roman"/>
                <w:color w:val="000000"/>
                <w:szCs w:val="22"/>
                <w:lang w:val="en-US" w:eastAsia="en-AU"/>
              </w:rPr>
              <w:t xml:space="preserve">amaged </w:t>
            </w:r>
            <w:r w:rsidR="00083AED">
              <w:rPr>
                <w:rFonts w:eastAsia="Times New Roman" w:cs="Times New Roman"/>
                <w:color w:val="000000"/>
                <w:szCs w:val="22"/>
                <w:lang w:val="en-US" w:eastAsia="en-AU"/>
              </w:rPr>
              <w:t xml:space="preserve">beyond repair </w:t>
            </w:r>
          </w:p>
        </w:tc>
        <w:tc>
          <w:tcPr>
            <w:tcW w:w="1394" w:type="dxa"/>
            <w:tcBorders>
              <w:top w:val="single" w:sz="8" w:space="0" w:color="000000"/>
              <w:left w:val="nil"/>
              <w:bottom w:val="single" w:sz="8" w:space="0" w:color="000000"/>
              <w:right w:val="single" w:sz="8" w:space="0" w:color="000000"/>
            </w:tcBorders>
            <w:vAlign w:val="center"/>
          </w:tcPr>
          <w:p w:rsidR="00337717" w:rsidRPr="0032566B" w:rsidRDefault="000B0EFE" w:rsidP="00CA671F">
            <w:pPr>
              <w:spacing w:after="120"/>
              <w:jc w:val="center"/>
              <w:rPr>
                <w:rFonts w:eastAsia="Times New Roman" w:cs="Times New Roman"/>
                <w:color w:val="000000"/>
                <w:szCs w:val="22"/>
                <w:lang w:val="en-US" w:eastAsia="en-AU"/>
              </w:rPr>
            </w:pPr>
            <w:r>
              <w:rPr>
                <w:rFonts w:eastAsia="Times New Roman" w:cs="Times New Roman"/>
                <w:color w:val="000000"/>
                <w:szCs w:val="22"/>
                <w:lang w:val="en-US" w:eastAsia="en-AU"/>
              </w:rPr>
              <w:t>24%</w:t>
            </w:r>
          </w:p>
        </w:tc>
        <w:tc>
          <w:tcPr>
            <w:tcW w:w="1542" w:type="dxa"/>
            <w:tcBorders>
              <w:top w:val="nil"/>
              <w:left w:val="single" w:sz="8" w:space="0" w:color="000000"/>
              <w:bottom w:val="single" w:sz="8" w:space="0" w:color="000000"/>
              <w:right w:val="single" w:sz="8" w:space="0" w:color="000000"/>
            </w:tcBorders>
            <w:shd w:val="clear" w:color="auto" w:fill="auto"/>
            <w:vAlign w:val="center"/>
            <w:hideMark/>
          </w:tcPr>
          <w:p w:rsidR="00337717" w:rsidRPr="0032566B" w:rsidRDefault="00337717" w:rsidP="00CA671F">
            <w:pPr>
              <w:spacing w:after="120"/>
              <w:jc w:val="center"/>
              <w:rPr>
                <w:rFonts w:eastAsia="Times New Roman" w:cs="Times New Roman"/>
                <w:color w:val="000000"/>
                <w:szCs w:val="22"/>
                <w:lang w:eastAsia="en-AU"/>
              </w:rPr>
            </w:pPr>
            <w:r w:rsidRPr="0032566B">
              <w:rPr>
                <w:rFonts w:eastAsia="Times New Roman" w:cs="Times New Roman"/>
                <w:color w:val="000000"/>
                <w:szCs w:val="22"/>
                <w:lang w:val="en-US" w:eastAsia="en-AU"/>
              </w:rPr>
              <w:t>8,988</w:t>
            </w:r>
          </w:p>
        </w:tc>
        <w:tc>
          <w:tcPr>
            <w:tcW w:w="1711" w:type="dxa"/>
            <w:tcBorders>
              <w:top w:val="nil"/>
              <w:left w:val="nil"/>
              <w:bottom w:val="single" w:sz="8" w:space="0" w:color="000000"/>
              <w:right w:val="single" w:sz="8" w:space="0" w:color="000000"/>
            </w:tcBorders>
            <w:shd w:val="clear" w:color="auto" w:fill="auto"/>
            <w:vAlign w:val="center"/>
            <w:hideMark/>
          </w:tcPr>
          <w:p w:rsidR="00337717" w:rsidRPr="0032566B" w:rsidRDefault="00337717" w:rsidP="00CA671F">
            <w:pPr>
              <w:spacing w:after="120"/>
              <w:jc w:val="center"/>
              <w:rPr>
                <w:rFonts w:eastAsia="Times New Roman" w:cs="Times New Roman"/>
                <w:color w:val="000000"/>
                <w:szCs w:val="22"/>
                <w:lang w:eastAsia="en-AU"/>
              </w:rPr>
            </w:pPr>
            <w:r w:rsidRPr="0032566B">
              <w:rPr>
                <w:rFonts w:eastAsia="Times New Roman" w:cs="Times New Roman"/>
                <w:color w:val="000000"/>
                <w:szCs w:val="22"/>
                <w:lang w:val="en-US" w:eastAsia="en-AU"/>
              </w:rPr>
              <w:t>1.40%</w:t>
            </w:r>
          </w:p>
        </w:tc>
      </w:tr>
      <w:tr w:rsidR="00337717" w:rsidRPr="0032566B" w:rsidTr="00E822B9">
        <w:trPr>
          <w:trHeight w:val="915"/>
        </w:trPr>
        <w:tc>
          <w:tcPr>
            <w:tcW w:w="5007" w:type="dxa"/>
            <w:tcBorders>
              <w:top w:val="nil"/>
              <w:left w:val="single" w:sz="8" w:space="0" w:color="000000"/>
              <w:bottom w:val="single" w:sz="8" w:space="0" w:color="000000"/>
              <w:right w:val="single" w:sz="8" w:space="0" w:color="000000"/>
            </w:tcBorders>
            <w:shd w:val="clear" w:color="auto" w:fill="auto"/>
            <w:vAlign w:val="center"/>
            <w:hideMark/>
          </w:tcPr>
          <w:p w:rsidR="00337717" w:rsidRPr="0032566B" w:rsidRDefault="00337717" w:rsidP="00083AED">
            <w:pPr>
              <w:spacing w:after="120"/>
              <w:rPr>
                <w:rFonts w:eastAsia="Times New Roman" w:cs="Times New Roman"/>
                <w:color w:val="000000"/>
                <w:szCs w:val="22"/>
                <w:lang w:eastAsia="en-AU"/>
              </w:rPr>
            </w:pPr>
            <w:r>
              <w:rPr>
                <w:rFonts w:eastAsia="Times New Roman" w:cs="Times New Roman"/>
                <w:color w:val="000000"/>
                <w:szCs w:val="22"/>
                <w:lang w:val="en-US" w:eastAsia="en-AU"/>
              </w:rPr>
              <w:t xml:space="preserve">Vehicles that are </w:t>
            </w:r>
            <w:r w:rsidRPr="0032566B">
              <w:rPr>
                <w:rFonts w:eastAsia="Times New Roman" w:cs="Times New Roman"/>
                <w:color w:val="000000"/>
                <w:szCs w:val="22"/>
                <w:lang w:val="en-US" w:eastAsia="en-AU"/>
              </w:rPr>
              <w:t xml:space="preserve">Uninsured and Damaged in Collision </w:t>
            </w:r>
          </w:p>
        </w:tc>
        <w:tc>
          <w:tcPr>
            <w:tcW w:w="1394" w:type="dxa"/>
            <w:tcBorders>
              <w:top w:val="single" w:sz="8" w:space="0" w:color="000000"/>
              <w:left w:val="nil"/>
              <w:bottom w:val="single" w:sz="8" w:space="0" w:color="000000"/>
              <w:right w:val="single" w:sz="8" w:space="0" w:color="000000"/>
            </w:tcBorders>
            <w:vAlign w:val="center"/>
          </w:tcPr>
          <w:p w:rsidR="00337717" w:rsidRPr="0032566B" w:rsidRDefault="000B0EFE" w:rsidP="00CA671F">
            <w:pPr>
              <w:spacing w:after="120"/>
              <w:jc w:val="center"/>
              <w:rPr>
                <w:rFonts w:eastAsia="Times New Roman" w:cs="Times New Roman"/>
                <w:color w:val="000000"/>
                <w:szCs w:val="22"/>
                <w:lang w:val="en-US" w:eastAsia="en-AU"/>
              </w:rPr>
            </w:pPr>
            <w:r>
              <w:rPr>
                <w:rFonts w:eastAsia="Times New Roman" w:cs="Times New Roman"/>
                <w:color w:val="000000"/>
                <w:szCs w:val="22"/>
                <w:lang w:val="en-US" w:eastAsia="en-AU"/>
              </w:rPr>
              <w:t>33%</w:t>
            </w:r>
          </w:p>
        </w:tc>
        <w:tc>
          <w:tcPr>
            <w:tcW w:w="1542" w:type="dxa"/>
            <w:tcBorders>
              <w:top w:val="nil"/>
              <w:left w:val="single" w:sz="8" w:space="0" w:color="000000"/>
              <w:bottom w:val="single" w:sz="8" w:space="0" w:color="000000"/>
              <w:right w:val="single" w:sz="8" w:space="0" w:color="000000"/>
            </w:tcBorders>
            <w:shd w:val="clear" w:color="auto" w:fill="auto"/>
            <w:vAlign w:val="center"/>
            <w:hideMark/>
          </w:tcPr>
          <w:p w:rsidR="00337717" w:rsidRPr="0032566B" w:rsidRDefault="00337717" w:rsidP="00CA671F">
            <w:pPr>
              <w:spacing w:after="120"/>
              <w:jc w:val="center"/>
              <w:rPr>
                <w:rFonts w:eastAsia="Times New Roman" w:cs="Times New Roman"/>
                <w:color w:val="000000"/>
                <w:szCs w:val="22"/>
                <w:lang w:eastAsia="en-AU"/>
              </w:rPr>
            </w:pPr>
            <w:r w:rsidRPr="0032566B">
              <w:rPr>
                <w:rFonts w:eastAsia="Times New Roman" w:cs="Times New Roman"/>
                <w:color w:val="000000"/>
                <w:szCs w:val="22"/>
                <w:lang w:val="en-US" w:eastAsia="en-AU"/>
              </w:rPr>
              <w:t>75,533</w:t>
            </w:r>
          </w:p>
        </w:tc>
        <w:tc>
          <w:tcPr>
            <w:tcW w:w="1711" w:type="dxa"/>
            <w:tcBorders>
              <w:top w:val="nil"/>
              <w:left w:val="nil"/>
              <w:bottom w:val="single" w:sz="8" w:space="0" w:color="000000"/>
              <w:right w:val="single" w:sz="8" w:space="0" w:color="000000"/>
            </w:tcBorders>
            <w:shd w:val="clear" w:color="auto" w:fill="auto"/>
            <w:vAlign w:val="center"/>
            <w:hideMark/>
          </w:tcPr>
          <w:p w:rsidR="00337717" w:rsidRPr="0032566B" w:rsidRDefault="00337717" w:rsidP="00CA671F">
            <w:pPr>
              <w:spacing w:after="120"/>
              <w:jc w:val="center"/>
              <w:rPr>
                <w:rFonts w:eastAsia="Times New Roman" w:cs="Times New Roman"/>
                <w:color w:val="000000"/>
                <w:szCs w:val="22"/>
                <w:lang w:eastAsia="en-AU"/>
              </w:rPr>
            </w:pPr>
            <w:r w:rsidRPr="0032566B">
              <w:rPr>
                <w:rFonts w:eastAsia="Times New Roman" w:cs="Times New Roman"/>
                <w:color w:val="000000"/>
                <w:szCs w:val="22"/>
                <w:lang w:val="en-US" w:eastAsia="en-AU"/>
              </w:rPr>
              <w:t>11.50%</w:t>
            </w:r>
          </w:p>
        </w:tc>
      </w:tr>
      <w:tr w:rsidR="00337717" w:rsidRPr="0032566B" w:rsidTr="00E822B9">
        <w:trPr>
          <w:trHeight w:val="615"/>
        </w:trPr>
        <w:tc>
          <w:tcPr>
            <w:tcW w:w="5007" w:type="dxa"/>
            <w:tcBorders>
              <w:top w:val="nil"/>
              <w:left w:val="single" w:sz="8" w:space="0" w:color="000000"/>
              <w:bottom w:val="single" w:sz="8" w:space="0" w:color="000000"/>
              <w:right w:val="single" w:sz="8" w:space="0" w:color="000000"/>
            </w:tcBorders>
            <w:shd w:val="clear" w:color="auto" w:fill="auto"/>
            <w:vAlign w:val="center"/>
            <w:hideMark/>
          </w:tcPr>
          <w:p w:rsidR="00337717" w:rsidRPr="0032566B" w:rsidRDefault="00337717" w:rsidP="0060685D">
            <w:pPr>
              <w:spacing w:after="120"/>
              <w:rPr>
                <w:rFonts w:eastAsia="Times New Roman" w:cs="Times New Roman"/>
                <w:color w:val="000000"/>
                <w:szCs w:val="22"/>
                <w:lang w:eastAsia="en-AU"/>
              </w:rPr>
            </w:pPr>
            <w:r w:rsidRPr="0032566B">
              <w:rPr>
                <w:rFonts w:eastAsia="Times New Roman" w:cs="Times New Roman"/>
                <w:color w:val="000000"/>
                <w:szCs w:val="22"/>
                <w:lang w:val="en-US" w:eastAsia="en-AU"/>
              </w:rPr>
              <w:t>Uninsured Vehi</w:t>
            </w:r>
            <w:r>
              <w:rPr>
                <w:rFonts w:eastAsia="Times New Roman" w:cs="Times New Roman"/>
                <w:color w:val="000000"/>
                <w:szCs w:val="22"/>
                <w:lang w:val="en-US" w:eastAsia="en-AU"/>
              </w:rPr>
              <w:t>c</w:t>
            </w:r>
            <w:r w:rsidRPr="0032566B">
              <w:rPr>
                <w:rFonts w:eastAsia="Times New Roman" w:cs="Times New Roman"/>
                <w:color w:val="000000"/>
                <w:szCs w:val="22"/>
                <w:lang w:val="en-US" w:eastAsia="en-AU"/>
              </w:rPr>
              <w:t xml:space="preserve">les Damaged </w:t>
            </w:r>
            <w:r w:rsidR="00083AED">
              <w:rPr>
                <w:rFonts w:eastAsia="Times New Roman" w:cs="Times New Roman"/>
                <w:color w:val="000000"/>
                <w:szCs w:val="22"/>
                <w:lang w:val="en-US" w:eastAsia="en-AU"/>
              </w:rPr>
              <w:t xml:space="preserve">beyond repair </w:t>
            </w:r>
            <w:r w:rsidRPr="0032566B">
              <w:rPr>
                <w:rFonts w:eastAsia="Times New Roman" w:cs="Times New Roman"/>
                <w:color w:val="000000"/>
                <w:szCs w:val="22"/>
                <w:lang w:val="en-US" w:eastAsia="en-AU"/>
              </w:rPr>
              <w:t xml:space="preserve">in non-collision Event </w:t>
            </w:r>
          </w:p>
        </w:tc>
        <w:tc>
          <w:tcPr>
            <w:tcW w:w="1394" w:type="dxa"/>
            <w:tcBorders>
              <w:top w:val="single" w:sz="8" w:space="0" w:color="000000"/>
              <w:left w:val="nil"/>
              <w:bottom w:val="single" w:sz="8" w:space="0" w:color="000000"/>
              <w:right w:val="single" w:sz="8" w:space="0" w:color="000000"/>
            </w:tcBorders>
            <w:vAlign w:val="center"/>
          </w:tcPr>
          <w:p w:rsidR="00337717" w:rsidRPr="0032566B" w:rsidRDefault="00CF4761" w:rsidP="00CA671F">
            <w:pPr>
              <w:spacing w:after="120"/>
              <w:jc w:val="center"/>
              <w:rPr>
                <w:rFonts w:eastAsia="Times New Roman" w:cs="Times New Roman"/>
                <w:color w:val="000000"/>
                <w:szCs w:val="22"/>
                <w:lang w:val="en-US" w:eastAsia="en-AU"/>
              </w:rPr>
            </w:pPr>
            <w:r>
              <w:rPr>
                <w:rFonts w:eastAsia="Times New Roman" w:cs="Times New Roman"/>
                <w:color w:val="000000"/>
                <w:szCs w:val="22"/>
                <w:lang w:val="en-US" w:eastAsia="en-AU"/>
              </w:rPr>
              <w:t>Estimate</w:t>
            </w:r>
          </w:p>
        </w:tc>
        <w:tc>
          <w:tcPr>
            <w:tcW w:w="1542" w:type="dxa"/>
            <w:tcBorders>
              <w:top w:val="nil"/>
              <w:left w:val="single" w:sz="8" w:space="0" w:color="000000"/>
              <w:bottom w:val="single" w:sz="8" w:space="0" w:color="000000"/>
              <w:right w:val="single" w:sz="8" w:space="0" w:color="000000"/>
            </w:tcBorders>
            <w:shd w:val="clear" w:color="auto" w:fill="auto"/>
            <w:vAlign w:val="center"/>
            <w:hideMark/>
          </w:tcPr>
          <w:p w:rsidR="00337717" w:rsidRPr="0032566B" w:rsidRDefault="00E822B9" w:rsidP="00CA671F">
            <w:pPr>
              <w:spacing w:after="120"/>
              <w:jc w:val="center"/>
              <w:rPr>
                <w:rFonts w:eastAsia="Times New Roman" w:cs="Times New Roman"/>
                <w:color w:val="000000"/>
                <w:szCs w:val="22"/>
                <w:lang w:eastAsia="en-AU"/>
              </w:rPr>
            </w:pPr>
            <w:r>
              <w:rPr>
                <w:rFonts w:eastAsia="Times New Roman" w:cs="Times New Roman"/>
                <w:color w:val="000000"/>
                <w:szCs w:val="22"/>
                <w:lang w:val="en-US" w:eastAsia="en-AU"/>
              </w:rPr>
              <w:t>~</w:t>
            </w:r>
            <w:r w:rsidR="00083AED">
              <w:rPr>
                <w:rFonts w:eastAsia="Times New Roman" w:cs="Times New Roman"/>
                <w:color w:val="000000"/>
                <w:szCs w:val="22"/>
                <w:lang w:val="en-US" w:eastAsia="en-AU"/>
              </w:rPr>
              <w:t>10,000</w:t>
            </w:r>
            <w:r>
              <w:rPr>
                <w:rStyle w:val="FootnoteReference"/>
                <w:rFonts w:eastAsia="Times New Roman" w:cs="Times New Roman"/>
                <w:color w:val="000000"/>
                <w:szCs w:val="22"/>
                <w:lang w:val="en-US" w:eastAsia="en-AU"/>
              </w:rPr>
              <w:footnoteReference w:id="8"/>
            </w:r>
          </w:p>
        </w:tc>
        <w:tc>
          <w:tcPr>
            <w:tcW w:w="1711" w:type="dxa"/>
            <w:tcBorders>
              <w:top w:val="nil"/>
              <w:left w:val="nil"/>
              <w:bottom w:val="single" w:sz="8" w:space="0" w:color="000000"/>
              <w:right w:val="single" w:sz="8" w:space="0" w:color="000000"/>
            </w:tcBorders>
            <w:shd w:val="clear" w:color="auto" w:fill="auto"/>
            <w:vAlign w:val="center"/>
            <w:hideMark/>
          </w:tcPr>
          <w:p w:rsidR="00337717" w:rsidRPr="0032566B" w:rsidRDefault="00337717" w:rsidP="00CA671F">
            <w:pPr>
              <w:spacing w:after="120"/>
              <w:jc w:val="center"/>
              <w:rPr>
                <w:rFonts w:eastAsia="Times New Roman" w:cs="Times New Roman"/>
                <w:color w:val="000000"/>
                <w:szCs w:val="22"/>
                <w:lang w:eastAsia="en-AU"/>
              </w:rPr>
            </w:pPr>
            <w:r w:rsidRPr="0032566B">
              <w:rPr>
                <w:rFonts w:eastAsia="Times New Roman" w:cs="Times New Roman"/>
                <w:color w:val="000000"/>
                <w:szCs w:val="22"/>
                <w:lang w:val="en-US" w:eastAsia="en-AU"/>
              </w:rPr>
              <w:t>1.50%</w:t>
            </w:r>
          </w:p>
        </w:tc>
      </w:tr>
      <w:tr w:rsidR="00337717" w:rsidRPr="0032566B" w:rsidTr="00E822B9">
        <w:trPr>
          <w:trHeight w:val="615"/>
        </w:trPr>
        <w:tc>
          <w:tcPr>
            <w:tcW w:w="5007" w:type="dxa"/>
            <w:tcBorders>
              <w:top w:val="nil"/>
              <w:left w:val="single" w:sz="8" w:space="0" w:color="000000"/>
              <w:bottom w:val="single" w:sz="8" w:space="0" w:color="000000"/>
              <w:right w:val="single" w:sz="8" w:space="0" w:color="000000"/>
            </w:tcBorders>
            <w:shd w:val="clear" w:color="auto" w:fill="auto"/>
            <w:vAlign w:val="center"/>
            <w:hideMark/>
          </w:tcPr>
          <w:p w:rsidR="00337717" w:rsidRPr="0032566B" w:rsidRDefault="0060685D" w:rsidP="00CA671F">
            <w:pPr>
              <w:spacing w:after="120"/>
              <w:rPr>
                <w:rFonts w:eastAsia="Times New Roman" w:cs="Times New Roman"/>
                <w:color w:val="000000"/>
                <w:szCs w:val="22"/>
                <w:lang w:eastAsia="en-AU"/>
              </w:rPr>
            </w:pPr>
            <w:r>
              <w:rPr>
                <w:rFonts w:eastAsia="Times New Roman" w:cs="Times New Roman"/>
                <w:color w:val="000000"/>
                <w:szCs w:val="22"/>
                <w:lang w:val="en-US" w:eastAsia="en-AU"/>
              </w:rPr>
              <w:t>Retired vehicles (</w:t>
            </w:r>
            <w:r w:rsidR="00337717" w:rsidRPr="0032566B">
              <w:rPr>
                <w:rFonts w:eastAsia="Times New Roman" w:cs="Times New Roman"/>
                <w:color w:val="000000"/>
                <w:szCs w:val="22"/>
                <w:lang w:val="en-US" w:eastAsia="en-AU"/>
              </w:rPr>
              <w:t xml:space="preserve">ELVs that were Uneconomic to Register and/or More Economic to </w:t>
            </w:r>
            <w:r w:rsidR="00917722">
              <w:rPr>
                <w:rFonts w:eastAsia="Times New Roman" w:cs="Times New Roman"/>
                <w:color w:val="000000"/>
                <w:szCs w:val="22"/>
                <w:lang w:val="en-US" w:eastAsia="en-AU"/>
              </w:rPr>
              <w:t>dispose of/r</w:t>
            </w:r>
            <w:r w:rsidR="00337717" w:rsidRPr="0032566B">
              <w:rPr>
                <w:rFonts w:eastAsia="Times New Roman" w:cs="Times New Roman"/>
                <w:color w:val="000000"/>
                <w:szCs w:val="22"/>
                <w:lang w:val="en-US" w:eastAsia="en-AU"/>
              </w:rPr>
              <w:t>ecycle</w:t>
            </w:r>
            <w:r>
              <w:rPr>
                <w:rFonts w:eastAsia="Times New Roman" w:cs="Times New Roman"/>
                <w:color w:val="000000"/>
                <w:szCs w:val="22"/>
                <w:lang w:val="en-US" w:eastAsia="en-AU"/>
              </w:rPr>
              <w:t>)</w:t>
            </w:r>
          </w:p>
        </w:tc>
        <w:tc>
          <w:tcPr>
            <w:tcW w:w="1394" w:type="dxa"/>
            <w:tcBorders>
              <w:top w:val="single" w:sz="8" w:space="0" w:color="000000"/>
              <w:left w:val="nil"/>
              <w:bottom w:val="single" w:sz="8" w:space="0" w:color="000000"/>
              <w:right w:val="single" w:sz="8" w:space="0" w:color="000000"/>
            </w:tcBorders>
            <w:vAlign w:val="center"/>
          </w:tcPr>
          <w:p w:rsidR="00337717" w:rsidRPr="0032566B" w:rsidRDefault="00CF4761" w:rsidP="00CA671F">
            <w:pPr>
              <w:spacing w:after="120"/>
              <w:jc w:val="center"/>
              <w:rPr>
                <w:rFonts w:eastAsia="Times New Roman" w:cs="Times New Roman"/>
                <w:color w:val="000000"/>
                <w:szCs w:val="22"/>
                <w:lang w:val="en-US" w:eastAsia="en-AU"/>
              </w:rPr>
            </w:pPr>
            <w:r>
              <w:rPr>
                <w:rFonts w:eastAsia="Times New Roman" w:cs="Times New Roman"/>
                <w:color w:val="000000"/>
                <w:szCs w:val="22"/>
                <w:lang w:val="en-US" w:eastAsia="en-AU"/>
              </w:rPr>
              <w:t>Estimate</w:t>
            </w:r>
          </w:p>
        </w:tc>
        <w:tc>
          <w:tcPr>
            <w:tcW w:w="1542" w:type="dxa"/>
            <w:tcBorders>
              <w:top w:val="nil"/>
              <w:left w:val="single" w:sz="8" w:space="0" w:color="000000"/>
              <w:bottom w:val="single" w:sz="8" w:space="0" w:color="000000"/>
              <w:right w:val="single" w:sz="8" w:space="0" w:color="000000"/>
            </w:tcBorders>
            <w:shd w:val="clear" w:color="auto" w:fill="auto"/>
            <w:vAlign w:val="center"/>
            <w:hideMark/>
          </w:tcPr>
          <w:p w:rsidR="00337717" w:rsidRPr="0032566B" w:rsidRDefault="00083AED" w:rsidP="00CA671F">
            <w:pPr>
              <w:spacing w:after="120"/>
              <w:jc w:val="center"/>
              <w:rPr>
                <w:rFonts w:eastAsia="Times New Roman" w:cs="Times New Roman"/>
                <w:color w:val="000000"/>
                <w:szCs w:val="22"/>
                <w:lang w:eastAsia="en-AU"/>
              </w:rPr>
            </w:pPr>
            <w:r>
              <w:rPr>
                <w:rFonts w:eastAsia="Times New Roman" w:cs="Times New Roman"/>
                <w:color w:val="000000"/>
                <w:szCs w:val="22"/>
                <w:lang w:val="en-US" w:eastAsia="en-AU"/>
              </w:rPr>
              <w:t>~</w:t>
            </w:r>
            <w:r w:rsidR="00337717" w:rsidRPr="0032566B">
              <w:rPr>
                <w:rFonts w:eastAsia="Times New Roman" w:cs="Times New Roman"/>
                <w:color w:val="000000"/>
                <w:szCs w:val="22"/>
                <w:lang w:val="en-US" w:eastAsia="en-AU"/>
              </w:rPr>
              <w:t>438,000</w:t>
            </w:r>
          </w:p>
        </w:tc>
        <w:tc>
          <w:tcPr>
            <w:tcW w:w="1711" w:type="dxa"/>
            <w:tcBorders>
              <w:top w:val="nil"/>
              <w:left w:val="nil"/>
              <w:bottom w:val="single" w:sz="8" w:space="0" w:color="000000"/>
              <w:right w:val="single" w:sz="8" w:space="0" w:color="000000"/>
            </w:tcBorders>
            <w:shd w:val="clear" w:color="auto" w:fill="auto"/>
            <w:vAlign w:val="center"/>
            <w:hideMark/>
          </w:tcPr>
          <w:p w:rsidR="00337717" w:rsidRPr="0032566B" w:rsidRDefault="00337717" w:rsidP="00CA671F">
            <w:pPr>
              <w:spacing w:after="120"/>
              <w:jc w:val="center"/>
              <w:rPr>
                <w:rFonts w:eastAsia="Times New Roman" w:cs="Times New Roman"/>
                <w:color w:val="000000"/>
                <w:szCs w:val="22"/>
                <w:lang w:eastAsia="en-AU"/>
              </w:rPr>
            </w:pPr>
            <w:r w:rsidRPr="0032566B">
              <w:rPr>
                <w:rFonts w:eastAsia="Times New Roman" w:cs="Times New Roman"/>
                <w:color w:val="000000"/>
                <w:szCs w:val="22"/>
                <w:lang w:val="en-US" w:eastAsia="en-AU"/>
              </w:rPr>
              <w:t>66.60%</w:t>
            </w:r>
          </w:p>
        </w:tc>
      </w:tr>
      <w:tr w:rsidR="00337717" w:rsidRPr="0032566B" w:rsidTr="00E822B9">
        <w:trPr>
          <w:trHeight w:val="315"/>
        </w:trPr>
        <w:tc>
          <w:tcPr>
            <w:tcW w:w="5007" w:type="dxa"/>
            <w:tcBorders>
              <w:top w:val="nil"/>
              <w:left w:val="single" w:sz="8" w:space="0" w:color="000000"/>
              <w:bottom w:val="single" w:sz="8" w:space="0" w:color="000000"/>
              <w:right w:val="single" w:sz="8" w:space="0" w:color="000000"/>
            </w:tcBorders>
            <w:shd w:val="clear" w:color="auto" w:fill="auto"/>
            <w:vAlign w:val="center"/>
            <w:hideMark/>
          </w:tcPr>
          <w:p w:rsidR="00337717" w:rsidRPr="0032566B" w:rsidRDefault="00337717" w:rsidP="00CA671F">
            <w:pPr>
              <w:spacing w:after="120"/>
              <w:rPr>
                <w:rFonts w:eastAsia="Times New Roman" w:cs="Times New Roman"/>
                <w:color w:val="000000"/>
                <w:szCs w:val="22"/>
                <w:lang w:eastAsia="en-AU"/>
              </w:rPr>
            </w:pPr>
            <w:r w:rsidRPr="0032566B">
              <w:rPr>
                <w:rFonts w:eastAsia="Times New Roman" w:cs="Times New Roman"/>
                <w:color w:val="000000"/>
                <w:szCs w:val="22"/>
                <w:lang w:val="en-US" w:eastAsia="en-AU"/>
              </w:rPr>
              <w:t>Total</w:t>
            </w:r>
          </w:p>
        </w:tc>
        <w:tc>
          <w:tcPr>
            <w:tcW w:w="1394" w:type="dxa"/>
            <w:tcBorders>
              <w:top w:val="single" w:sz="8" w:space="0" w:color="000000"/>
              <w:left w:val="nil"/>
              <w:bottom w:val="single" w:sz="8" w:space="0" w:color="000000"/>
              <w:right w:val="single" w:sz="8" w:space="0" w:color="000000"/>
            </w:tcBorders>
            <w:vAlign w:val="center"/>
          </w:tcPr>
          <w:p w:rsidR="00337717" w:rsidRPr="0032566B" w:rsidRDefault="0060685D" w:rsidP="00CA671F">
            <w:pPr>
              <w:spacing w:after="120"/>
              <w:jc w:val="center"/>
              <w:rPr>
                <w:rFonts w:eastAsia="Times New Roman" w:cs="Times New Roman"/>
                <w:color w:val="000000"/>
                <w:szCs w:val="22"/>
                <w:lang w:val="en-US" w:eastAsia="en-AU"/>
              </w:rPr>
            </w:pPr>
            <w:r>
              <w:rPr>
                <w:rFonts w:eastAsia="Times New Roman" w:cs="Times New Roman"/>
                <w:color w:val="000000"/>
                <w:szCs w:val="22"/>
                <w:lang w:val="en-US" w:eastAsia="en-AU"/>
              </w:rPr>
              <w:t>-</w:t>
            </w:r>
          </w:p>
        </w:tc>
        <w:tc>
          <w:tcPr>
            <w:tcW w:w="1542" w:type="dxa"/>
            <w:tcBorders>
              <w:top w:val="nil"/>
              <w:left w:val="single" w:sz="8" w:space="0" w:color="000000"/>
              <w:bottom w:val="single" w:sz="8" w:space="0" w:color="000000"/>
              <w:right w:val="single" w:sz="8" w:space="0" w:color="000000"/>
            </w:tcBorders>
            <w:shd w:val="clear" w:color="auto" w:fill="auto"/>
            <w:vAlign w:val="center"/>
            <w:hideMark/>
          </w:tcPr>
          <w:p w:rsidR="00337717" w:rsidRPr="0032566B" w:rsidRDefault="00337717" w:rsidP="00CA671F">
            <w:pPr>
              <w:spacing w:after="120"/>
              <w:jc w:val="center"/>
              <w:rPr>
                <w:rFonts w:eastAsia="Times New Roman" w:cs="Times New Roman"/>
                <w:color w:val="000000"/>
                <w:szCs w:val="22"/>
                <w:lang w:eastAsia="en-AU"/>
              </w:rPr>
            </w:pPr>
            <w:r w:rsidRPr="0032566B">
              <w:rPr>
                <w:rFonts w:eastAsia="Times New Roman" w:cs="Times New Roman"/>
                <w:color w:val="000000"/>
                <w:szCs w:val="22"/>
                <w:lang w:val="en-US" w:eastAsia="en-AU"/>
              </w:rPr>
              <w:t>658,000</w:t>
            </w:r>
          </w:p>
        </w:tc>
        <w:tc>
          <w:tcPr>
            <w:tcW w:w="1711" w:type="dxa"/>
            <w:tcBorders>
              <w:top w:val="nil"/>
              <w:left w:val="nil"/>
              <w:bottom w:val="single" w:sz="8" w:space="0" w:color="000000"/>
              <w:right w:val="single" w:sz="8" w:space="0" w:color="000000"/>
            </w:tcBorders>
            <w:shd w:val="clear" w:color="auto" w:fill="auto"/>
            <w:vAlign w:val="center"/>
            <w:hideMark/>
          </w:tcPr>
          <w:p w:rsidR="00337717" w:rsidRPr="0032566B" w:rsidRDefault="00337717" w:rsidP="00CA671F">
            <w:pPr>
              <w:spacing w:after="120"/>
              <w:jc w:val="center"/>
              <w:rPr>
                <w:rFonts w:eastAsia="Times New Roman" w:cs="Times New Roman"/>
                <w:color w:val="000000"/>
                <w:szCs w:val="22"/>
                <w:lang w:eastAsia="en-AU"/>
              </w:rPr>
            </w:pPr>
            <w:r w:rsidRPr="0032566B">
              <w:rPr>
                <w:rFonts w:eastAsia="Times New Roman" w:cs="Times New Roman"/>
                <w:color w:val="000000"/>
                <w:szCs w:val="22"/>
                <w:lang w:val="en-US" w:eastAsia="en-AU"/>
              </w:rPr>
              <w:t>100%</w:t>
            </w:r>
          </w:p>
        </w:tc>
      </w:tr>
    </w:tbl>
    <w:p w:rsidR="00A031DD" w:rsidRPr="003C63AC" w:rsidRDefault="00A031DD" w:rsidP="00A031DD"/>
    <w:p w:rsidR="003A11DE" w:rsidRPr="003C63AC" w:rsidRDefault="003A11DE" w:rsidP="003A11DE">
      <w:r w:rsidRPr="003C63AC">
        <w:t xml:space="preserve">The ELV population then could be split up into two broad categories, one third having suffered some damage, and two thirds having retired without significant damage. This last category of vehicles, the 438,000 that were not re-registered in 2013 but without being damaged, has implications for the volume of residual refrigerant gases in ELVs because this large majority of ELVs that has suffered no damage is likely to have an intact compressor in any MAC installed, thus being likely to retain some of the refrigerant charge as compared to vehicles that have been damaged. </w:t>
      </w:r>
    </w:p>
    <w:p w:rsidR="003A11DE" w:rsidRPr="003C63AC" w:rsidRDefault="003A11DE" w:rsidP="003A11DE">
      <w:r w:rsidRPr="003C63AC">
        <w:t xml:space="preserve">This population of effectively functional ELVs and their age also has implications for the mix of gases in the pool of residual refrigerant found in ELVs. An analysis of ABS data on the Australian motor vehicle fleet </w:t>
      </w:r>
      <w:r w:rsidRPr="003C63AC">
        <w:lastRenderedPageBreak/>
        <w:t>revealed that, while the average age of all vehicles is 10 years, the average age at retirement is 19 years. Thus</w:t>
      </w:r>
      <w:r w:rsidR="00E327DE">
        <w:t>,</w:t>
      </w:r>
      <w:r w:rsidRPr="003C63AC">
        <w:t xml:space="preserve"> the average age of vehicles that became ELVs in 2013 meant that many of the</w:t>
      </w:r>
      <w:r w:rsidR="008A7766" w:rsidRPr="003C63AC">
        <w:t xml:space="preserve">m </w:t>
      </w:r>
      <w:r w:rsidRPr="003C63AC">
        <w:t xml:space="preserve">were manufactured in 1994, or earlier than that, at a time when any vehicle fitted with air conditioning had a compressor charged with CFCs. This issue is discussed further in </w:t>
      </w:r>
      <w:r w:rsidRPr="003C63AC">
        <w:rPr>
          <w:i/>
        </w:rPr>
        <w:t xml:space="preserve">Section </w:t>
      </w:r>
      <w:r w:rsidR="00224415" w:rsidRPr="003C63AC">
        <w:rPr>
          <w:i/>
        </w:rPr>
        <w:t>3.5 Total Residual Refrigerant in ELVs</w:t>
      </w:r>
      <w:r w:rsidRPr="003C63AC">
        <w:t>.</w:t>
      </w:r>
    </w:p>
    <w:p w:rsidR="003A11DE" w:rsidRDefault="003A11DE" w:rsidP="003A11DE">
      <w:r w:rsidRPr="003C63AC">
        <w:t xml:space="preserve">The process that results in a vehicle being retired and ultimately scrapped is illustrated in </w:t>
      </w:r>
      <w:r w:rsidRPr="003C63AC">
        <w:rPr>
          <w:i/>
        </w:rPr>
        <w:t>Figure 5</w:t>
      </w:r>
      <w:r w:rsidRPr="003C63AC">
        <w:t>, on the following page. This conceptual view of the decision-making process is useful for considering points at which intervention into the process might be most effective.</w:t>
      </w:r>
    </w:p>
    <w:p w:rsidR="00CA671F" w:rsidRPr="003C63AC" w:rsidRDefault="00CA671F" w:rsidP="003A11DE"/>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39"/>
      </w:tblGrid>
      <w:tr w:rsidR="00F02D9D" w:rsidRPr="003C63AC" w:rsidTr="001C0546">
        <w:tc>
          <w:tcPr>
            <w:tcW w:w="9639" w:type="dxa"/>
            <w:vAlign w:val="center"/>
          </w:tcPr>
          <w:p w:rsidR="00F02D9D" w:rsidRPr="003C63AC" w:rsidRDefault="00F02D9D" w:rsidP="001C0546">
            <w:pPr>
              <w:spacing w:after="120"/>
              <w:jc w:val="center"/>
              <w:rPr>
                <w:b/>
              </w:rPr>
            </w:pPr>
            <w:r w:rsidRPr="003C63AC">
              <w:rPr>
                <w:b/>
              </w:rPr>
              <w:br w:type="page"/>
              <w:t>ELV Decision tree</w:t>
            </w:r>
          </w:p>
        </w:tc>
      </w:tr>
      <w:tr w:rsidR="00F02D9D" w:rsidRPr="003C63AC" w:rsidTr="001C0546">
        <w:tc>
          <w:tcPr>
            <w:tcW w:w="9639" w:type="dxa"/>
            <w:vAlign w:val="center"/>
          </w:tcPr>
          <w:p w:rsidR="00F02D9D" w:rsidRPr="003C63AC" w:rsidRDefault="00F02D9D" w:rsidP="001C0546">
            <w:pPr>
              <w:spacing w:before="60" w:after="60"/>
              <w:jc w:val="center"/>
              <w:rPr>
                <w:sz w:val="16"/>
                <w:szCs w:val="16"/>
              </w:rPr>
            </w:pPr>
          </w:p>
          <w:p w:rsidR="00F02D9D" w:rsidRPr="003C63AC" w:rsidRDefault="005C6A24" w:rsidP="001C0546">
            <w:pPr>
              <w:spacing w:before="60" w:after="60"/>
              <w:jc w:val="center"/>
              <w:rPr>
                <w:sz w:val="16"/>
                <w:szCs w:val="16"/>
              </w:rPr>
            </w:pPr>
            <w:r>
              <w:rPr>
                <w:noProof/>
                <w:sz w:val="16"/>
                <w:szCs w:val="16"/>
                <w:lang w:eastAsia="en-AU"/>
              </w:rPr>
              <mc:AlternateContent>
                <mc:Choice Requires="wpg">
                  <w:drawing>
                    <wp:inline distT="0" distB="0" distL="0" distR="0">
                      <wp:extent cx="3612515" cy="4806950"/>
                      <wp:effectExtent l="13335" t="13335" r="12700" b="18415"/>
                      <wp:docPr id="24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2515" cy="4806950"/>
                                <a:chOff x="0" y="0"/>
                                <a:chExt cx="36127" cy="48071"/>
                              </a:xfrm>
                            </wpg:grpSpPr>
                            <wps:wsp>
                              <wps:cNvPr id="244" name="Rectangle 11"/>
                              <wps:cNvSpPr>
                                <a:spLocks noChangeArrowheads="1"/>
                              </wps:cNvSpPr>
                              <wps:spPr bwMode="auto">
                                <a:xfrm>
                                  <a:off x="0" y="0"/>
                                  <a:ext cx="36000" cy="432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7D6AC3" w:rsidRDefault="007D6AC3" w:rsidP="00F02D9D">
                                    <w:pPr>
                                      <w:pStyle w:val="NormalWeb"/>
                                      <w:spacing w:before="0" w:beforeAutospacing="0" w:after="0" w:afterAutospacing="0"/>
                                      <w:jc w:val="center"/>
                                    </w:pPr>
                                    <w:r>
                                      <w:rPr>
                                        <w:rFonts w:asciiTheme="minorHAnsi" w:hAnsi="Cambria" w:cstheme="minorBidi"/>
                                        <w:color w:val="000000"/>
                                        <w:kern w:val="24"/>
                                        <w:sz w:val="16"/>
                                        <w:szCs w:val="16"/>
                                      </w:rPr>
                                      <w:t>Vehicle in use                                                                                                                Ownership (Domestic and commercial)</w:t>
                                    </w:r>
                                  </w:p>
                                </w:txbxContent>
                              </wps:txbx>
                              <wps:bodyPr rot="0" vert="horz" wrap="square" lIns="91440" tIns="45720" rIns="91440" bIns="45720" anchor="ctr" anchorCtr="0" upright="1">
                                <a:noAutofit/>
                              </wps:bodyPr>
                            </wps:wsp>
                            <wps:wsp>
                              <wps:cNvPr id="245" name="Rectangle 15"/>
                              <wps:cNvSpPr>
                                <a:spLocks noChangeArrowheads="1"/>
                              </wps:cNvSpPr>
                              <wps:spPr bwMode="auto">
                                <a:xfrm>
                                  <a:off x="7385" y="37338"/>
                                  <a:ext cx="21600" cy="432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7D6AC3" w:rsidRDefault="007D6AC3" w:rsidP="00F02D9D">
                                    <w:pPr>
                                      <w:pStyle w:val="NormalWeb"/>
                                      <w:spacing w:before="0" w:beforeAutospacing="0" w:after="0" w:afterAutospacing="0"/>
                                      <w:jc w:val="center"/>
                                    </w:pPr>
                                    <w:r>
                                      <w:rPr>
                                        <w:rFonts w:asciiTheme="minorHAnsi" w:hAnsi="Cambria" w:cstheme="minorBidi"/>
                                        <w:color w:val="000000"/>
                                        <w:kern w:val="24"/>
                                        <w:sz w:val="16"/>
                                        <w:szCs w:val="16"/>
                                      </w:rPr>
                                      <w:t>Sell/abandon decision</w:t>
                                    </w:r>
                                  </w:p>
                                </w:txbxContent>
                              </wps:txbx>
                              <wps:bodyPr rot="0" vert="horz" wrap="square" lIns="91440" tIns="45720" rIns="91440" bIns="45720" anchor="ctr" anchorCtr="0" upright="1">
                                <a:noAutofit/>
                              </wps:bodyPr>
                            </wps:wsp>
                            <wps:wsp>
                              <wps:cNvPr id="246" name="Diamond 16"/>
                              <wps:cNvSpPr>
                                <a:spLocks noChangeArrowheads="1"/>
                              </wps:cNvSpPr>
                              <wps:spPr bwMode="auto">
                                <a:xfrm>
                                  <a:off x="2998" y="18994"/>
                                  <a:ext cx="8223" cy="8223"/>
                                </a:xfrm>
                                <a:prstGeom prst="diamond">
                                  <a:avLst/>
                                </a:prstGeom>
                                <a:noFill/>
                                <a:ln w="9525">
                                  <a:solidFill>
                                    <a:schemeClr val="accent1">
                                      <a:lumMod val="95000"/>
                                      <a:lumOff val="0"/>
                                    </a:schemeClr>
                                  </a:solidFill>
                                  <a:miter lim="800000"/>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txbx>
                                <w:txbxContent>
                                  <w:p w:rsidR="007D6AC3" w:rsidRDefault="007D6AC3" w:rsidP="00F02D9D">
                                    <w:pPr>
                                      <w:rPr>
                                        <w:rFonts w:eastAsia="Times New Roman" w:cs="Times New Roman"/>
                                      </w:rPr>
                                    </w:pPr>
                                  </w:p>
                                </w:txbxContent>
                              </wps:txbx>
                              <wps:bodyPr rot="0" vert="horz" wrap="square" lIns="91440" tIns="45720" rIns="91440" bIns="45720" anchor="ctr" anchorCtr="0" upright="1">
                                <a:noAutofit/>
                              </wps:bodyPr>
                            </wps:wsp>
                            <wps:wsp>
                              <wps:cNvPr id="247" name="Text Box 19"/>
                              <wps:cNvSpPr txBox="1">
                                <a:spLocks noChangeArrowheads="1"/>
                              </wps:cNvSpPr>
                              <wps:spPr bwMode="auto">
                                <a:xfrm>
                                  <a:off x="3611" y="21480"/>
                                  <a:ext cx="6922"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AC3" w:rsidRDefault="007D6AC3" w:rsidP="00F02D9D">
                                    <w:pPr>
                                      <w:pStyle w:val="NormalWeb"/>
                                      <w:spacing w:before="0" w:beforeAutospacing="0" w:after="0" w:afterAutospacing="0"/>
                                      <w:jc w:val="center"/>
                                    </w:pPr>
                                    <w:r>
                                      <w:rPr>
                                        <w:rFonts w:asciiTheme="minorHAnsi" w:hAnsi="Cambria" w:cstheme="minorBidi"/>
                                        <w:color w:val="000000" w:themeColor="text1"/>
                                        <w:kern w:val="24"/>
                                        <w:sz w:val="16"/>
                                        <w:szCs w:val="16"/>
                                      </w:rPr>
                                      <w:t>Statutory write off?</w:t>
                                    </w:r>
                                  </w:p>
                                </w:txbxContent>
                              </wps:txbx>
                              <wps:bodyPr rot="0" vert="horz" wrap="square" lIns="91440" tIns="45720" rIns="91440" bIns="45720" anchor="t" anchorCtr="0" upright="1">
                                <a:spAutoFit/>
                              </wps:bodyPr>
                            </wps:wsp>
                            <wps:wsp>
                              <wps:cNvPr id="248" name="Diamond 25"/>
                              <wps:cNvSpPr>
                                <a:spLocks noChangeArrowheads="1"/>
                              </wps:cNvSpPr>
                              <wps:spPr bwMode="auto">
                                <a:xfrm>
                                  <a:off x="2918" y="7882"/>
                                  <a:ext cx="8224" cy="8239"/>
                                </a:xfrm>
                                <a:prstGeom prst="diamond">
                                  <a:avLst/>
                                </a:prstGeom>
                                <a:noFill/>
                                <a:ln w="9525">
                                  <a:solidFill>
                                    <a:schemeClr val="accent1">
                                      <a:lumMod val="95000"/>
                                      <a:lumOff val="0"/>
                                    </a:schemeClr>
                                  </a:solidFill>
                                  <a:miter lim="800000"/>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txbx>
                                <w:txbxContent>
                                  <w:p w:rsidR="007D6AC3" w:rsidRDefault="007D6AC3" w:rsidP="00F02D9D">
                                    <w:pPr>
                                      <w:rPr>
                                        <w:rFonts w:eastAsia="Times New Roman" w:cs="Times New Roman"/>
                                      </w:rPr>
                                    </w:pPr>
                                  </w:p>
                                </w:txbxContent>
                              </wps:txbx>
                              <wps:bodyPr rot="0" vert="horz" wrap="square" lIns="91440" tIns="45720" rIns="91440" bIns="45720" anchor="ctr" anchorCtr="0" upright="1">
                                <a:noAutofit/>
                              </wps:bodyPr>
                            </wps:wsp>
                            <wps:wsp>
                              <wps:cNvPr id="249" name="Text Box 27"/>
                              <wps:cNvSpPr txBox="1">
                                <a:spLocks noChangeArrowheads="1"/>
                              </wps:cNvSpPr>
                              <wps:spPr bwMode="auto">
                                <a:xfrm>
                                  <a:off x="3254" y="9565"/>
                                  <a:ext cx="7728" cy="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AC3" w:rsidRDefault="007D6AC3" w:rsidP="00F02D9D">
                                    <w:pPr>
                                      <w:pStyle w:val="NormalWeb"/>
                                      <w:spacing w:before="0" w:beforeAutospacing="0" w:after="0" w:afterAutospacing="0"/>
                                      <w:jc w:val="center"/>
                                    </w:pPr>
                                    <w:r>
                                      <w:rPr>
                                        <w:rFonts w:asciiTheme="minorHAnsi" w:hAnsi="Cambria" w:cstheme="minorBidi"/>
                                        <w:color w:val="000000" w:themeColor="text1"/>
                                        <w:kern w:val="24"/>
                                        <w:sz w:val="16"/>
                                        <w:szCs w:val="16"/>
                                      </w:rPr>
                                      <w:t>Smash          Vehicle insured?</w:t>
                                    </w:r>
                                  </w:p>
                                </w:txbxContent>
                              </wps:txbx>
                              <wps:bodyPr rot="0" vert="horz" wrap="square" lIns="91440" tIns="45720" rIns="91440" bIns="45720" anchor="t" anchorCtr="0" upright="1">
                                <a:spAutoFit/>
                              </wps:bodyPr>
                            </wps:wsp>
                            <wps:wsp>
                              <wps:cNvPr id="250" name="Text Box 28"/>
                              <wps:cNvSpPr txBox="1">
                                <a:spLocks noChangeArrowheads="1"/>
                              </wps:cNvSpPr>
                              <wps:spPr bwMode="auto">
                                <a:xfrm>
                                  <a:off x="7866" y="15908"/>
                                  <a:ext cx="4191" cy="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AC3" w:rsidRDefault="007D6AC3" w:rsidP="00F02D9D">
                                    <w:pPr>
                                      <w:pStyle w:val="NormalWeb"/>
                                      <w:spacing w:before="0" w:beforeAutospacing="0" w:after="0" w:afterAutospacing="0"/>
                                    </w:pPr>
                                    <w:r>
                                      <w:rPr>
                                        <w:rFonts w:asciiTheme="minorHAnsi" w:hAnsi="Cambria" w:cstheme="minorBidi"/>
                                        <w:color w:val="000000" w:themeColor="text1"/>
                                        <w:kern w:val="24"/>
                                        <w:sz w:val="16"/>
                                        <w:szCs w:val="16"/>
                                      </w:rPr>
                                      <w:t>Yes</w:t>
                                    </w:r>
                                  </w:p>
                                </w:txbxContent>
                              </wps:txbx>
                              <wps:bodyPr rot="0" vert="horz" wrap="square" lIns="91440" tIns="45720" rIns="91440" bIns="45720" anchor="t" anchorCtr="0" upright="1">
                                <a:spAutoFit/>
                              </wps:bodyPr>
                            </wps:wsp>
                            <wps:wsp>
                              <wps:cNvPr id="251" name="Straight Arrow Connector 29"/>
                              <wps:cNvCnPr>
                                <a:cxnSpLocks noChangeShapeType="1"/>
                              </wps:cNvCnPr>
                              <wps:spPr bwMode="auto">
                                <a:xfrm rot="16200000" flipV="1">
                                  <a:off x="5638" y="17522"/>
                                  <a:ext cx="2880" cy="0"/>
                                </a:xfrm>
                                <a:prstGeom prst="straightConnector1">
                                  <a:avLst/>
                                </a:prstGeom>
                                <a:noFill/>
                                <a:ln w="9525">
                                  <a:solidFill>
                                    <a:srgbClr val="000000"/>
                                  </a:solidFill>
                                  <a:round/>
                                  <a:headEnd type="triangle" w="med" len="med"/>
                                  <a:tailEnd type="none" w="med" len="sm"/>
                                </a:ln>
                                <a:extLst>
                                  <a:ext uri="{909E8E84-426E-40DD-AFC4-6F175D3DCCD1}">
                                    <a14:hiddenFill xmlns:a14="http://schemas.microsoft.com/office/drawing/2010/main">
                                      <a:noFill/>
                                    </a14:hiddenFill>
                                  </a:ext>
                                </a:extLst>
                              </wps:spPr>
                              <wps:bodyPr/>
                            </wps:wsp>
                            <wps:wsp>
                              <wps:cNvPr id="252" name="Straight Arrow Connector 30"/>
                              <wps:cNvCnPr>
                                <a:cxnSpLocks noChangeShapeType="1"/>
                              </wps:cNvCnPr>
                              <wps:spPr bwMode="auto">
                                <a:xfrm rot="10800000">
                                  <a:off x="11142" y="12009"/>
                                  <a:ext cx="2730" cy="0"/>
                                </a:xfrm>
                                <a:prstGeom prst="straightConnector1">
                                  <a:avLst/>
                                </a:prstGeom>
                                <a:noFill/>
                                <a:ln w="9525">
                                  <a:solidFill>
                                    <a:srgbClr val="000000"/>
                                  </a:solidFill>
                                  <a:round/>
                                  <a:headEnd type="triangle" w="med" len="sm"/>
                                  <a:tailEnd type="none" w="med" len="sm"/>
                                </a:ln>
                                <a:extLst>
                                  <a:ext uri="{909E8E84-426E-40DD-AFC4-6F175D3DCCD1}">
                                    <a14:hiddenFill xmlns:a14="http://schemas.microsoft.com/office/drawing/2010/main">
                                      <a:noFill/>
                                    </a14:hiddenFill>
                                  </a:ext>
                                </a:extLst>
                              </wps:spPr>
                              <wps:bodyPr/>
                            </wps:wsp>
                            <wps:wsp>
                              <wps:cNvPr id="253" name="Text Box 31"/>
                              <wps:cNvSpPr txBox="1">
                                <a:spLocks noChangeArrowheads="1"/>
                              </wps:cNvSpPr>
                              <wps:spPr bwMode="auto">
                                <a:xfrm>
                                  <a:off x="10792" y="9787"/>
                                  <a:ext cx="3144" cy="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AC3" w:rsidRDefault="007D6AC3" w:rsidP="00F02D9D">
                                    <w:pPr>
                                      <w:pStyle w:val="NormalWeb"/>
                                      <w:spacing w:before="0" w:beforeAutospacing="0" w:after="0" w:afterAutospacing="0"/>
                                    </w:pPr>
                                    <w:r>
                                      <w:rPr>
                                        <w:rFonts w:asciiTheme="minorHAnsi" w:hAnsi="Cambria" w:cstheme="minorBidi"/>
                                        <w:color w:val="000000" w:themeColor="text1"/>
                                        <w:kern w:val="24"/>
                                        <w:sz w:val="16"/>
                                        <w:szCs w:val="16"/>
                                      </w:rPr>
                                      <w:t>No</w:t>
                                    </w:r>
                                  </w:p>
                                </w:txbxContent>
                              </wps:txbx>
                              <wps:bodyPr rot="0" vert="horz" wrap="square" lIns="91440" tIns="45720" rIns="91440" bIns="45720" anchor="t" anchorCtr="0" upright="1">
                                <a:spAutoFit/>
                              </wps:bodyPr>
                            </wps:wsp>
                            <wps:wsp>
                              <wps:cNvPr id="254" name="Diamond 32"/>
                              <wps:cNvSpPr>
                                <a:spLocks noChangeArrowheads="1"/>
                              </wps:cNvSpPr>
                              <wps:spPr bwMode="auto">
                                <a:xfrm>
                                  <a:off x="13920" y="18994"/>
                                  <a:ext cx="8223" cy="8223"/>
                                </a:xfrm>
                                <a:prstGeom prst="diamond">
                                  <a:avLst/>
                                </a:prstGeom>
                                <a:noFill/>
                                <a:ln w="9525">
                                  <a:solidFill>
                                    <a:schemeClr val="accent1">
                                      <a:lumMod val="95000"/>
                                      <a:lumOff val="0"/>
                                    </a:schemeClr>
                                  </a:solidFill>
                                  <a:miter lim="800000"/>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txbx>
                                <w:txbxContent>
                                  <w:p w:rsidR="007D6AC3" w:rsidRDefault="007D6AC3" w:rsidP="00F02D9D">
                                    <w:pPr>
                                      <w:rPr>
                                        <w:rFonts w:eastAsia="Times New Roman" w:cs="Times New Roman"/>
                                      </w:rPr>
                                    </w:pPr>
                                  </w:p>
                                </w:txbxContent>
                              </wps:txbx>
                              <wps:bodyPr rot="0" vert="horz" wrap="square" lIns="91440" tIns="45720" rIns="91440" bIns="45720" anchor="ctr" anchorCtr="0" upright="1">
                                <a:noAutofit/>
                              </wps:bodyPr>
                            </wps:wsp>
                            <wps:wsp>
                              <wps:cNvPr id="255" name="Text Box 34"/>
                              <wps:cNvSpPr txBox="1">
                                <a:spLocks noChangeArrowheads="1"/>
                              </wps:cNvSpPr>
                              <wps:spPr bwMode="auto">
                                <a:xfrm>
                                  <a:off x="14533" y="21480"/>
                                  <a:ext cx="6921"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AC3" w:rsidRDefault="007D6AC3" w:rsidP="00F02D9D">
                                    <w:pPr>
                                      <w:pStyle w:val="NormalWeb"/>
                                      <w:spacing w:before="0" w:beforeAutospacing="0" w:after="0" w:afterAutospacing="0"/>
                                      <w:jc w:val="center"/>
                                    </w:pPr>
                                    <w:r>
                                      <w:rPr>
                                        <w:rFonts w:asciiTheme="minorHAnsi" w:hAnsi="Cambria" w:cstheme="minorBidi"/>
                                        <w:color w:val="000000" w:themeColor="text1"/>
                                        <w:kern w:val="24"/>
                                        <w:sz w:val="16"/>
                                        <w:szCs w:val="16"/>
                                      </w:rPr>
                                      <w:t>Retirement decision?</w:t>
                                    </w:r>
                                  </w:p>
                                </w:txbxContent>
                              </wps:txbx>
                              <wps:bodyPr rot="0" vert="horz" wrap="square" lIns="91440" tIns="45720" rIns="91440" bIns="45720" anchor="t" anchorCtr="0" upright="1">
                                <a:spAutoFit/>
                              </wps:bodyPr>
                            </wps:wsp>
                            <wps:wsp>
                              <wps:cNvPr id="256" name="Diamond 36"/>
                              <wps:cNvSpPr>
                                <a:spLocks noChangeArrowheads="1"/>
                              </wps:cNvSpPr>
                              <wps:spPr bwMode="auto">
                                <a:xfrm>
                                  <a:off x="13840" y="7882"/>
                                  <a:ext cx="8224" cy="8239"/>
                                </a:xfrm>
                                <a:prstGeom prst="diamond">
                                  <a:avLst/>
                                </a:prstGeom>
                                <a:noFill/>
                                <a:ln w="9525">
                                  <a:solidFill>
                                    <a:schemeClr val="accent1">
                                      <a:lumMod val="95000"/>
                                      <a:lumOff val="0"/>
                                    </a:schemeClr>
                                  </a:solidFill>
                                  <a:miter lim="800000"/>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txbx>
                                <w:txbxContent>
                                  <w:p w:rsidR="007D6AC3" w:rsidRDefault="007D6AC3" w:rsidP="00F02D9D">
                                    <w:pPr>
                                      <w:rPr>
                                        <w:rFonts w:eastAsia="Times New Roman" w:cs="Times New Roman"/>
                                      </w:rPr>
                                    </w:pPr>
                                  </w:p>
                                </w:txbxContent>
                              </wps:txbx>
                              <wps:bodyPr rot="0" vert="horz" wrap="square" lIns="91440" tIns="45720" rIns="91440" bIns="45720" anchor="ctr" anchorCtr="0" upright="1">
                                <a:noAutofit/>
                              </wps:bodyPr>
                            </wps:wsp>
                            <wps:wsp>
                              <wps:cNvPr id="257" name="Text Box 37"/>
                              <wps:cNvSpPr txBox="1">
                                <a:spLocks noChangeArrowheads="1"/>
                              </wps:cNvSpPr>
                              <wps:spPr bwMode="auto">
                                <a:xfrm>
                                  <a:off x="14517" y="10114"/>
                                  <a:ext cx="6921"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AC3" w:rsidRDefault="007D6AC3" w:rsidP="00F02D9D">
                                    <w:pPr>
                                      <w:pStyle w:val="NormalWeb"/>
                                      <w:spacing w:before="0" w:beforeAutospacing="0" w:after="0" w:afterAutospacing="0"/>
                                      <w:jc w:val="center"/>
                                    </w:pPr>
                                    <w:r>
                                      <w:rPr>
                                        <w:rFonts w:asciiTheme="minorHAnsi" w:hAnsi="Cambria" w:cstheme="minorBidi"/>
                                        <w:color w:val="000000" w:themeColor="text1"/>
                                        <w:kern w:val="24"/>
                                        <w:sz w:val="16"/>
                                        <w:szCs w:val="16"/>
                                      </w:rPr>
                                      <w:t>Economic to repair?</w:t>
                                    </w:r>
                                  </w:p>
                                </w:txbxContent>
                              </wps:txbx>
                              <wps:bodyPr rot="0" vert="horz" wrap="square" lIns="91440" tIns="45720" rIns="91440" bIns="45720" anchor="t" anchorCtr="0" upright="1">
                                <a:spAutoFit/>
                              </wps:bodyPr>
                            </wps:wsp>
                            <wps:wsp>
                              <wps:cNvPr id="258" name="Straight Arrow Connector 38"/>
                              <wps:cNvCnPr>
                                <a:cxnSpLocks noChangeShapeType="1"/>
                              </wps:cNvCnPr>
                              <wps:spPr bwMode="auto">
                                <a:xfrm rot="16200000" flipV="1">
                                  <a:off x="16560" y="17522"/>
                                  <a:ext cx="2880" cy="0"/>
                                </a:xfrm>
                                <a:prstGeom prst="straightConnector1">
                                  <a:avLst/>
                                </a:prstGeom>
                                <a:noFill/>
                                <a:ln w="9525">
                                  <a:solidFill>
                                    <a:srgbClr val="000000"/>
                                  </a:solidFill>
                                  <a:round/>
                                  <a:headEnd type="triangle" w="med" len="med"/>
                                  <a:tailEnd type="none" w="med" len="sm"/>
                                </a:ln>
                                <a:extLst>
                                  <a:ext uri="{909E8E84-426E-40DD-AFC4-6F175D3DCCD1}">
                                    <a14:hiddenFill xmlns:a14="http://schemas.microsoft.com/office/drawing/2010/main">
                                      <a:noFill/>
                                    </a14:hiddenFill>
                                  </a:ext>
                                </a:extLst>
                              </wps:spPr>
                              <wps:bodyPr/>
                            </wps:wsp>
                            <wps:wsp>
                              <wps:cNvPr id="259" name="Straight Arrow Connector 39"/>
                              <wps:cNvCnPr>
                                <a:cxnSpLocks noChangeShapeType="1"/>
                              </wps:cNvCnPr>
                              <wps:spPr bwMode="auto">
                                <a:xfrm rot="10800000">
                                  <a:off x="22064" y="12009"/>
                                  <a:ext cx="2730" cy="0"/>
                                </a:xfrm>
                                <a:prstGeom prst="straightConnector1">
                                  <a:avLst/>
                                </a:prstGeom>
                                <a:noFill/>
                                <a:ln w="9525">
                                  <a:solidFill>
                                    <a:schemeClr val="tx1">
                                      <a:lumMod val="100000"/>
                                      <a:lumOff val="0"/>
                                    </a:schemeClr>
                                  </a:solidFill>
                                  <a:round/>
                                  <a:headEnd type="none" w="med" len="sm"/>
                                  <a:tailEnd type="triangle" w="med" len="sm"/>
                                </a:ln>
                                <a:extLst>
                                  <a:ext uri="{909E8E84-426E-40DD-AFC4-6F175D3DCCD1}">
                                    <a14:hiddenFill xmlns:a14="http://schemas.microsoft.com/office/drawing/2010/main">
                                      <a:noFill/>
                                    </a14:hiddenFill>
                                  </a:ext>
                                </a:extLst>
                              </wps:spPr>
                              <wps:bodyPr/>
                            </wps:wsp>
                            <wps:wsp>
                              <wps:cNvPr id="260" name="Straight Arrow Connector 40"/>
                              <wps:cNvCnPr>
                                <a:cxnSpLocks noChangeShapeType="1"/>
                              </wps:cNvCnPr>
                              <wps:spPr bwMode="auto">
                                <a:xfrm rot="10800000">
                                  <a:off x="11205" y="23137"/>
                                  <a:ext cx="2730" cy="0"/>
                                </a:xfrm>
                                <a:prstGeom prst="straightConnector1">
                                  <a:avLst/>
                                </a:prstGeom>
                                <a:noFill/>
                                <a:ln w="9525">
                                  <a:solidFill>
                                    <a:srgbClr val="000000"/>
                                  </a:solidFill>
                                  <a:round/>
                                  <a:headEnd type="triangle" w="med" len="sm"/>
                                  <a:tailEnd type="none" w="med" len="sm"/>
                                </a:ln>
                                <a:extLst>
                                  <a:ext uri="{909E8E84-426E-40DD-AFC4-6F175D3DCCD1}">
                                    <a14:hiddenFill xmlns:a14="http://schemas.microsoft.com/office/drawing/2010/main">
                                      <a:noFill/>
                                    </a14:hiddenFill>
                                  </a:ext>
                                </a:extLst>
                              </wps:spPr>
                              <wps:bodyPr/>
                            </wps:wsp>
                            <wps:wsp>
                              <wps:cNvPr id="261" name="Diamond 41"/>
                              <wps:cNvSpPr>
                                <a:spLocks noChangeArrowheads="1"/>
                              </wps:cNvSpPr>
                              <wps:spPr bwMode="auto">
                                <a:xfrm>
                                  <a:off x="24826" y="7882"/>
                                  <a:ext cx="8223" cy="8239"/>
                                </a:xfrm>
                                <a:prstGeom prst="diamond">
                                  <a:avLst/>
                                </a:prstGeom>
                                <a:noFill/>
                                <a:ln w="9525">
                                  <a:solidFill>
                                    <a:schemeClr val="accent1">
                                      <a:lumMod val="95000"/>
                                      <a:lumOff val="0"/>
                                    </a:schemeClr>
                                  </a:solidFill>
                                  <a:miter lim="800000"/>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txbx>
                                <w:txbxContent>
                                  <w:p w:rsidR="007D6AC3" w:rsidRDefault="007D6AC3" w:rsidP="00F02D9D">
                                    <w:pPr>
                                      <w:rPr>
                                        <w:rFonts w:eastAsia="Times New Roman" w:cs="Times New Roman"/>
                                      </w:rPr>
                                    </w:pPr>
                                  </w:p>
                                </w:txbxContent>
                              </wps:txbx>
                              <wps:bodyPr rot="0" vert="horz" wrap="square" lIns="91440" tIns="45720" rIns="91440" bIns="45720" anchor="ctr" anchorCtr="0" upright="1">
                                <a:noAutofit/>
                              </wps:bodyPr>
                            </wps:wsp>
                            <wps:wsp>
                              <wps:cNvPr id="262" name="Text Box 43"/>
                              <wps:cNvSpPr txBox="1">
                                <a:spLocks noChangeArrowheads="1"/>
                              </wps:cNvSpPr>
                              <wps:spPr bwMode="auto">
                                <a:xfrm>
                                  <a:off x="25523" y="10768"/>
                                  <a:ext cx="6921" cy="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AC3" w:rsidRDefault="007D6AC3" w:rsidP="00F02D9D">
                                    <w:pPr>
                                      <w:pStyle w:val="NormalWeb"/>
                                      <w:spacing w:before="0" w:beforeAutospacing="0" w:after="0" w:afterAutospacing="0"/>
                                      <w:jc w:val="center"/>
                                    </w:pPr>
                                    <w:r>
                                      <w:rPr>
                                        <w:rFonts w:asciiTheme="minorHAnsi" w:hAnsi="Cambria" w:cstheme="minorBidi"/>
                                        <w:color w:val="000000" w:themeColor="text1"/>
                                        <w:kern w:val="24"/>
                                        <w:sz w:val="16"/>
                                        <w:szCs w:val="16"/>
                                      </w:rPr>
                                      <w:t>Breakdown</w:t>
                                    </w:r>
                                  </w:p>
                                </w:txbxContent>
                              </wps:txbx>
                              <wps:bodyPr rot="0" vert="horz" wrap="square" lIns="91440" tIns="45720" rIns="91440" bIns="45720" anchor="t" anchorCtr="0" upright="1">
                                <a:spAutoFit/>
                              </wps:bodyPr>
                            </wps:wsp>
                            <wps:wsp>
                              <wps:cNvPr id="263" name="Straight Arrow Connector 44"/>
                              <wps:cNvCnPr>
                                <a:cxnSpLocks noChangeShapeType="1"/>
                              </wps:cNvCnPr>
                              <wps:spPr bwMode="auto">
                                <a:xfrm rot="16200000" flipV="1">
                                  <a:off x="27185" y="6082"/>
                                  <a:ext cx="3600" cy="0"/>
                                </a:xfrm>
                                <a:prstGeom prst="straightConnector1">
                                  <a:avLst/>
                                </a:prstGeom>
                                <a:noFill/>
                                <a:ln w="9525">
                                  <a:solidFill>
                                    <a:srgbClr val="000000"/>
                                  </a:solidFill>
                                  <a:round/>
                                  <a:headEnd type="triangle" w="med" len="med"/>
                                  <a:tailEnd type="none" w="med" len="sm"/>
                                </a:ln>
                                <a:extLst>
                                  <a:ext uri="{909E8E84-426E-40DD-AFC4-6F175D3DCCD1}">
                                    <a14:hiddenFill xmlns:a14="http://schemas.microsoft.com/office/drawing/2010/main">
                                      <a:noFill/>
                                    </a14:hiddenFill>
                                  </a:ext>
                                </a:extLst>
                              </wps:spPr>
                              <wps:bodyPr/>
                            </wps:wsp>
                            <wps:wsp>
                              <wps:cNvPr id="264" name="Straight Arrow Connector 45"/>
                              <wps:cNvCnPr>
                                <a:cxnSpLocks noChangeShapeType="1"/>
                              </wps:cNvCnPr>
                              <wps:spPr bwMode="auto">
                                <a:xfrm rot="16200000" flipV="1">
                                  <a:off x="16136" y="6082"/>
                                  <a:ext cx="3600" cy="0"/>
                                </a:xfrm>
                                <a:prstGeom prst="straightConnector1">
                                  <a:avLst/>
                                </a:prstGeom>
                                <a:noFill/>
                                <a:ln w="9525">
                                  <a:solidFill>
                                    <a:srgbClr val="000000"/>
                                  </a:solidFill>
                                  <a:round/>
                                  <a:headEnd type="triangle" w="med" len="med"/>
                                  <a:tailEnd type="none" w="med" len="sm"/>
                                </a:ln>
                                <a:extLst>
                                  <a:ext uri="{909E8E84-426E-40DD-AFC4-6F175D3DCCD1}">
                                    <a14:hiddenFill xmlns:a14="http://schemas.microsoft.com/office/drawing/2010/main">
                                      <a:noFill/>
                                    </a14:hiddenFill>
                                  </a:ext>
                                </a:extLst>
                              </wps:spPr>
                              <wps:bodyPr/>
                            </wps:wsp>
                            <wps:wsp>
                              <wps:cNvPr id="265" name="Straight Arrow Connector 46"/>
                              <wps:cNvCnPr>
                                <a:cxnSpLocks noChangeShapeType="1"/>
                              </wps:cNvCnPr>
                              <wps:spPr bwMode="auto">
                                <a:xfrm rot="16200000" flipV="1">
                                  <a:off x="5214" y="6082"/>
                                  <a:ext cx="3600" cy="0"/>
                                </a:xfrm>
                                <a:prstGeom prst="straightConnector1">
                                  <a:avLst/>
                                </a:prstGeom>
                                <a:noFill/>
                                <a:ln w="9525">
                                  <a:solidFill>
                                    <a:srgbClr val="000000"/>
                                  </a:solidFill>
                                  <a:round/>
                                  <a:headEnd type="triangle" w="med" len="med"/>
                                  <a:tailEnd type="none" w="med" len="sm"/>
                                </a:ln>
                                <a:extLst>
                                  <a:ext uri="{909E8E84-426E-40DD-AFC4-6F175D3DCCD1}">
                                    <a14:hiddenFill xmlns:a14="http://schemas.microsoft.com/office/drawing/2010/main">
                                      <a:noFill/>
                                    </a14:hiddenFill>
                                  </a:ext>
                                </a:extLst>
                              </wps:spPr>
                              <wps:bodyPr/>
                            </wps:wsp>
                            <wps:wsp>
                              <wps:cNvPr id="266" name="Elbow Connector 47"/>
                              <wps:cNvCnPr>
                                <a:cxnSpLocks noChangeShapeType="1"/>
                              </wps:cNvCnPr>
                              <wps:spPr bwMode="auto">
                                <a:xfrm flipV="1">
                                  <a:off x="22143" y="4262"/>
                                  <a:ext cx="12176" cy="18844"/>
                                </a:xfrm>
                                <a:prstGeom prst="bentConnector2">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267" name="Rectangle 48"/>
                              <wps:cNvSpPr>
                                <a:spLocks noChangeArrowheads="1"/>
                              </wps:cNvSpPr>
                              <wps:spPr bwMode="auto">
                                <a:xfrm>
                                  <a:off x="127" y="30861"/>
                                  <a:ext cx="36000" cy="432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7D6AC3" w:rsidRDefault="007D6AC3" w:rsidP="00F02D9D">
                                    <w:pPr>
                                      <w:pStyle w:val="NormalWeb"/>
                                      <w:spacing w:before="0" w:beforeAutospacing="0" w:after="0" w:afterAutospacing="0"/>
                                      <w:jc w:val="center"/>
                                    </w:pPr>
                                    <w:r>
                                      <w:rPr>
                                        <w:rFonts w:asciiTheme="minorHAnsi" w:hAnsi="Cambria" w:cstheme="minorBidi"/>
                                        <w:color w:val="000000"/>
                                        <w:kern w:val="24"/>
                                        <w:sz w:val="16"/>
                                        <w:szCs w:val="16"/>
                                      </w:rPr>
                                      <w:t>ELV decision by owner                                                                                               (Domestic, commercial or insurance company)</w:t>
                                    </w:r>
                                  </w:p>
                                </w:txbxContent>
                              </wps:txbx>
                              <wps:bodyPr rot="0" vert="horz" wrap="square" lIns="91440" tIns="45720" rIns="91440" bIns="45720" anchor="ctr" anchorCtr="0" upright="1">
                                <a:noAutofit/>
                              </wps:bodyPr>
                            </wps:wsp>
                            <wps:wsp>
                              <wps:cNvPr id="268" name="Straight Arrow Connector 49"/>
                              <wps:cNvCnPr>
                                <a:cxnSpLocks noChangeShapeType="1"/>
                              </wps:cNvCnPr>
                              <wps:spPr bwMode="auto">
                                <a:xfrm rot="16200000" flipV="1">
                                  <a:off x="16200" y="29061"/>
                                  <a:ext cx="3600" cy="0"/>
                                </a:xfrm>
                                <a:prstGeom prst="straightConnector1">
                                  <a:avLst/>
                                </a:prstGeom>
                                <a:noFill/>
                                <a:ln w="9525">
                                  <a:solidFill>
                                    <a:srgbClr val="000000"/>
                                  </a:solidFill>
                                  <a:round/>
                                  <a:headEnd type="triangle" w="med" len="med"/>
                                  <a:tailEnd type="none" w="med" len="sm"/>
                                </a:ln>
                                <a:extLst>
                                  <a:ext uri="{909E8E84-426E-40DD-AFC4-6F175D3DCCD1}">
                                    <a14:hiddenFill xmlns:a14="http://schemas.microsoft.com/office/drawing/2010/main">
                                      <a:noFill/>
                                    </a14:hiddenFill>
                                  </a:ext>
                                </a:extLst>
                              </wps:spPr>
                              <wps:bodyPr/>
                            </wps:wsp>
                            <wps:wsp>
                              <wps:cNvPr id="269" name="Straight Arrow Connector 50"/>
                              <wps:cNvCnPr>
                                <a:cxnSpLocks noChangeShapeType="1"/>
                              </wps:cNvCnPr>
                              <wps:spPr bwMode="auto">
                                <a:xfrm rot="16200000" flipV="1">
                                  <a:off x="5278" y="29061"/>
                                  <a:ext cx="3600" cy="0"/>
                                </a:xfrm>
                                <a:prstGeom prst="straightConnector1">
                                  <a:avLst/>
                                </a:prstGeom>
                                <a:noFill/>
                                <a:ln w="9525">
                                  <a:solidFill>
                                    <a:srgbClr val="000000"/>
                                  </a:solidFill>
                                  <a:round/>
                                  <a:headEnd type="triangle" w="med" len="med"/>
                                  <a:tailEnd type="none" w="med" len="sm"/>
                                </a:ln>
                                <a:extLst>
                                  <a:ext uri="{909E8E84-426E-40DD-AFC4-6F175D3DCCD1}">
                                    <a14:hiddenFill xmlns:a14="http://schemas.microsoft.com/office/drawing/2010/main">
                                      <a:noFill/>
                                    </a14:hiddenFill>
                                  </a:ext>
                                </a:extLst>
                              </wps:spPr>
                              <wps:bodyPr/>
                            </wps:wsp>
                            <wps:wsp>
                              <wps:cNvPr id="270" name="Rectangle 51"/>
                              <wps:cNvSpPr>
                                <a:spLocks noChangeArrowheads="1"/>
                              </wps:cNvSpPr>
                              <wps:spPr bwMode="auto">
                                <a:xfrm>
                                  <a:off x="7385" y="43751"/>
                                  <a:ext cx="21600" cy="432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7D6AC3" w:rsidRDefault="007D6AC3" w:rsidP="00F02D9D">
                                    <w:pPr>
                                      <w:pStyle w:val="NormalWeb"/>
                                      <w:spacing w:before="0" w:beforeAutospacing="0" w:after="0" w:afterAutospacing="0"/>
                                      <w:jc w:val="center"/>
                                    </w:pPr>
                                    <w:r>
                                      <w:rPr>
                                        <w:rFonts w:asciiTheme="minorHAnsi" w:hAnsi="Cambria" w:cstheme="minorBidi"/>
                                        <w:color w:val="000000"/>
                                        <w:kern w:val="24"/>
                                        <w:sz w:val="16"/>
                                        <w:szCs w:val="16"/>
                                      </w:rPr>
                                      <w:t>Reverse Supply Chain Feedstock                                         Dismantle/shred/crush/re-birth?</w:t>
                                    </w:r>
                                  </w:p>
                                </w:txbxContent>
                              </wps:txbx>
                              <wps:bodyPr rot="0" vert="horz" wrap="square" lIns="91440" tIns="45720" rIns="91440" bIns="45720" anchor="ctr" anchorCtr="0" upright="1">
                                <a:noAutofit/>
                              </wps:bodyPr>
                            </wps:wsp>
                            <wps:wsp>
                              <wps:cNvPr id="271" name="Straight Arrow Connector 52"/>
                              <wps:cNvCnPr>
                                <a:cxnSpLocks noChangeShapeType="1"/>
                              </wps:cNvCnPr>
                              <wps:spPr bwMode="auto">
                                <a:xfrm rot="16200000" flipV="1">
                                  <a:off x="16992" y="36238"/>
                                  <a:ext cx="2016" cy="0"/>
                                </a:xfrm>
                                <a:prstGeom prst="straightConnector1">
                                  <a:avLst/>
                                </a:prstGeom>
                                <a:noFill/>
                                <a:ln w="9525">
                                  <a:solidFill>
                                    <a:srgbClr val="000000"/>
                                  </a:solidFill>
                                  <a:round/>
                                  <a:headEnd type="triangle" w="med" len="med"/>
                                  <a:tailEnd type="none" w="med" len="sm"/>
                                </a:ln>
                                <a:extLst>
                                  <a:ext uri="{909E8E84-426E-40DD-AFC4-6F175D3DCCD1}">
                                    <a14:hiddenFill xmlns:a14="http://schemas.microsoft.com/office/drawing/2010/main">
                                      <a:noFill/>
                                    </a14:hiddenFill>
                                  </a:ext>
                                </a:extLst>
                              </wps:spPr>
                              <wps:bodyPr/>
                            </wps:wsp>
                            <wps:wsp>
                              <wps:cNvPr id="272" name="Straight Arrow Connector 53"/>
                              <wps:cNvCnPr>
                                <a:cxnSpLocks noChangeShapeType="1"/>
                              </wps:cNvCnPr>
                              <wps:spPr bwMode="auto">
                                <a:xfrm rot="16200000" flipV="1">
                                  <a:off x="16928" y="42714"/>
                                  <a:ext cx="2016" cy="0"/>
                                </a:xfrm>
                                <a:prstGeom prst="straightConnector1">
                                  <a:avLst/>
                                </a:prstGeom>
                                <a:noFill/>
                                <a:ln w="9525">
                                  <a:solidFill>
                                    <a:srgbClr val="000000"/>
                                  </a:solidFill>
                                  <a:round/>
                                  <a:headEnd type="triangle" w="med" len="med"/>
                                  <a:tailEnd type="none" w="med" len="sm"/>
                                </a:ln>
                                <a:extLst>
                                  <a:ext uri="{909E8E84-426E-40DD-AFC4-6F175D3DCCD1}">
                                    <a14:hiddenFill xmlns:a14="http://schemas.microsoft.com/office/drawing/2010/main">
                                      <a:noFill/>
                                    </a14:hiddenFill>
                                  </a:ext>
                                </a:extLst>
                              </wps:spPr>
                              <wps:bodyPr/>
                            </wps:wsp>
                            <wps:wsp>
                              <wps:cNvPr id="273" name="Text Box 54"/>
                              <wps:cNvSpPr txBox="1">
                                <a:spLocks noChangeArrowheads="1"/>
                              </wps:cNvSpPr>
                              <wps:spPr bwMode="auto">
                                <a:xfrm>
                                  <a:off x="22333" y="20357"/>
                                  <a:ext cx="4442" cy="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AC3" w:rsidRDefault="007D6AC3" w:rsidP="00F02D9D">
                                    <w:pPr>
                                      <w:pStyle w:val="NormalWeb"/>
                                      <w:spacing w:before="0" w:beforeAutospacing="0" w:after="0" w:afterAutospacing="0"/>
                                    </w:pPr>
                                    <w:r>
                                      <w:rPr>
                                        <w:rFonts w:asciiTheme="minorHAnsi" w:hAnsi="Cambria" w:cstheme="minorBidi"/>
                                        <w:color w:val="000000" w:themeColor="text1"/>
                                        <w:kern w:val="24"/>
                                        <w:sz w:val="16"/>
                                        <w:szCs w:val="16"/>
                                      </w:rPr>
                                      <w:t>Yes</w:t>
                                    </w:r>
                                  </w:p>
                                </w:txbxContent>
                              </wps:txbx>
                              <wps:bodyPr rot="0" vert="horz" wrap="square" lIns="91440" tIns="45720" rIns="91440" bIns="45720" anchor="t" anchorCtr="0" upright="1">
                                <a:spAutoFit/>
                              </wps:bodyPr>
                            </wps:wsp>
                            <wps:wsp>
                              <wps:cNvPr id="274" name="Text Box 55"/>
                              <wps:cNvSpPr txBox="1">
                                <a:spLocks noChangeArrowheads="1"/>
                              </wps:cNvSpPr>
                              <wps:spPr bwMode="auto">
                                <a:xfrm>
                                  <a:off x="18920" y="27386"/>
                                  <a:ext cx="3144" cy="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AC3" w:rsidRDefault="007D6AC3" w:rsidP="00F02D9D">
                                    <w:pPr>
                                      <w:pStyle w:val="NormalWeb"/>
                                      <w:spacing w:before="0" w:beforeAutospacing="0" w:after="0" w:afterAutospacing="0"/>
                                    </w:pPr>
                                    <w:r>
                                      <w:rPr>
                                        <w:rFonts w:asciiTheme="minorHAnsi" w:hAnsi="Cambria" w:cstheme="minorBidi"/>
                                        <w:color w:val="000000" w:themeColor="text1"/>
                                        <w:kern w:val="24"/>
                                        <w:sz w:val="16"/>
                                        <w:szCs w:val="16"/>
                                      </w:rPr>
                                      <w:t>No</w:t>
                                    </w:r>
                                  </w:p>
                                </w:txbxContent>
                              </wps:txbx>
                              <wps:bodyPr rot="0" vert="horz" wrap="square" lIns="91440" tIns="45720" rIns="91440" bIns="45720" anchor="t" anchorCtr="0" upright="1">
                                <a:spAutoFit/>
                              </wps:bodyPr>
                            </wps:wsp>
                            <wps:wsp>
                              <wps:cNvPr id="275" name="Text Box 56"/>
                              <wps:cNvSpPr txBox="1">
                                <a:spLocks noChangeArrowheads="1"/>
                              </wps:cNvSpPr>
                              <wps:spPr bwMode="auto">
                                <a:xfrm>
                                  <a:off x="8554" y="27217"/>
                                  <a:ext cx="4704"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AC3" w:rsidRDefault="007D6AC3" w:rsidP="00F02D9D">
                                    <w:pPr>
                                      <w:pStyle w:val="NormalWeb"/>
                                      <w:spacing w:before="0" w:beforeAutospacing="0" w:after="0" w:afterAutospacing="0"/>
                                    </w:pPr>
                                    <w:r>
                                      <w:rPr>
                                        <w:rFonts w:asciiTheme="minorHAnsi" w:hAnsi="Cambria" w:cstheme="minorBidi"/>
                                        <w:color w:val="000000" w:themeColor="text1"/>
                                        <w:kern w:val="24"/>
                                        <w:sz w:val="16"/>
                                        <w:szCs w:val="16"/>
                                      </w:rPr>
                                      <w:t>Yes</w:t>
                                    </w:r>
                                  </w:p>
                                </w:txbxContent>
                              </wps:txbx>
                              <wps:bodyPr rot="0" vert="horz" wrap="square" lIns="91440" tIns="45720" rIns="91440" bIns="45720" anchor="t" anchorCtr="0" upright="1">
                                <a:spAutoFit/>
                              </wps:bodyPr>
                            </wps:wsp>
                            <wps:wsp>
                              <wps:cNvPr id="276" name="Text Box 57"/>
                              <wps:cNvSpPr txBox="1">
                                <a:spLocks noChangeArrowheads="1"/>
                              </wps:cNvSpPr>
                              <wps:spPr bwMode="auto">
                                <a:xfrm>
                                  <a:off x="10696" y="20321"/>
                                  <a:ext cx="3144" cy="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AC3" w:rsidRDefault="007D6AC3" w:rsidP="00F02D9D">
                                    <w:pPr>
                                      <w:pStyle w:val="NormalWeb"/>
                                      <w:spacing w:before="0" w:beforeAutospacing="0" w:after="0" w:afterAutospacing="0"/>
                                    </w:pPr>
                                    <w:r>
                                      <w:rPr>
                                        <w:rFonts w:asciiTheme="minorHAnsi" w:hAnsi="Cambria" w:cstheme="minorBidi"/>
                                        <w:color w:val="000000" w:themeColor="text1"/>
                                        <w:kern w:val="24"/>
                                        <w:sz w:val="16"/>
                                        <w:szCs w:val="16"/>
                                      </w:rPr>
                                      <w:t>No</w:t>
                                    </w:r>
                                  </w:p>
                                </w:txbxContent>
                              </wps:txbx>
                              <wps:bodyPr rot="0" vert="horz" wrap="square" lIns="91440" tIns="45720" rIns="91440" bIns="45720" anchor="t" anchorCtr="0" upright="1">
                                <a:spAutoFit/>
                              </wps:bodyPr>
                            </wps:wsp>
                          </wpg:wgp>
                        </a:graphicData>
                      </a:graphic>
                    </wp:inline>
                  </w:drawing>
                </mc:Choice>
                <mc:Fallback>
                  <w:pict>
                    <v:group id="Group 4" o:spid="_x0000_s1028" style="width:284.45pt;height:378.5pt;mso-position-horizontal-relative:char;mso-position-vertical-relative:line" coordsize="36127,48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">
                      <v:rect id="Rectangle 11" o:spid="_x0000_s1029" style="position:absolute;width:3600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j2ccA&#10;AADcAAAADwAAAGRycy9kb3ducmV2LnhtbESPQWvCQBSE74L/YXmFXkQ3lSAldROCRZAWpEZBj4/s&#10;axKafRuyW03667tCocdhZr5h1tlgWnGl3jWWFTwtIhDEpdUNVwpOx+38GYTzyBpby6RgJAdZOp2s&#10;MdH2xge6Fr4SAcIuQQW1910ipStrMugWtiMO3qftDfog+0rqHm8Bblq5jKKVNNhwWKixo01N5Vfx&#10;bRRsx3y3eiv275fDWWL+0R1//OxVqceHIX8B4Wnw/+G/9k4rWMYx3M+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sI9nHAAAA3AAAAA8AAAAAAAAAAAAAAAAAmAIAAGRy&#10;cy9kb3ducmV2LnhtbFBLBQYAAAAABAAEAPUAAACMAwAAAAA=&#10;" fillcolor="#e5eeff" strokecolor="#4579b8 [3044]">
                        <v:fill color2="#a3c4ff" rotate="t" colors="0 #e5eeff;42598f #bfd5ff;1 #a3c4ff" focus="100%" type="gradient"/>
                        <v:shadow on="t" opacity="24903f" origin=",.5" offset="0,.55556mm"/>
                        <v:textbox>
                          <w:txbxContent>
                            <w:p w:rsidR="007D6AC3" w:rsidRDefault="007D6AC3" w:rsidP="00F02D9D">
                              <w:pPr>
                                <w:pStyle w:val="NormalWeb"/>
                                <w:spacing w:before="0" w:beforeAutospacing="0" w:after="0" w:afterAutospacing="0"/>
                                <w:jc w:val="center"/>
                              </w:pPr>
                              <w:r>
                                <w:rPr>
                                  <w:rFonts w:asciiTheme="minorHAnsi" w:hAnsi="Cambria" w:cstheme="minorBidi"/>
                                  <w:color w:val="000000"/>
                                  <w:kern w:val="24"/>
                                  <w:sz w:val="16"/>
                                  <w:szCs w:val="16"/>
                                </w:rPr>
                                <w:t>Vehicle in use                                                                                                                Ownership (Domestic and commercial)</w:t>
                              </w:r>
                            </w:p>
                          </w:txbxContent>
                        </v:textbox>
                      </v:rect>
                      <v:rect id="Rectangle 15" o:spid="_x0000_s1030" style="position:absolute;left:7385;top:37338;width:2160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CGQsYA&#10;AADcAAAADwAAAGRycy9kb3ducmV2LnhtbESPQWvCQBSE74L/YXmCF9GNYkVSVwmKIC0UjYI9PrLP&#10;JJh9G7Jbjf76bqHgcZiZb5jFqjWVuFHjSssKxqMIBHFmdcm5gtNxO5yDcB5ZY2WZFDzIwWrZ7Sww&#10;1vbOB7qlPhcBwi5GBYX3dSylywoy6Ea2Jg7exTYGfZBNLnWD9wA3lZxE0UwaLDksFFjTuqDsmv4Y&#10;BdtHspt9pF+f34ezxGRfH59+sFGq32uTdxCeWv8K/7d3WsFk+gZ/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CGQsYAAADcAAAADwAAAAAAAAAAAAAAAACYAgAAZHJz&#10;L2Rvd25yZXYueG1sUEsFBgAAAAAEAAQA9QAAAIsDAAAAAA==&#10;" fillcolor="#e5eeff" strokecolor="#4579b8 [3044]">
                        <v:fill color2="#a3c4ff" rotate="t" colors="0 #e5eeff;42598f #bfd5ff;1 #a3c4ff" focus="100%" type="gradient"/>
                        <v:shadow on="t" opacity="24903f" origin=",.5" offset="0,.55556mm"/>
                        <v:textbox>
                          <w:txbxContent>
                            <w:p w:rsidR="007D6AC3" w:rsidRDefault="007D6AC3" w:rsidP="00F02D9D">
                              <w:pPr>
                                <w:pStyle w:val="NormalWeb"/>
                                <w:spacing w:before="0" w:beforeAutospacing="0" w:after="0" w:afterAutospacing="0"/>
                                <w:jc w:val="center"/>
                              </w:pPr>
                              <w:r>
                                <w:rPr>
                                  <w:rFonts w:asciiTheme="minorHAnsi" w:hAnsi="Cambria" w:cstheme="minorBidi"/>
                                  <w:color w:val="000000"/>
                                  <w:kern w:val="24"/>
                                  <w:sz w:val="16"/>
                                  <w:szCs w:val="16"/>
                                </w:rPr>
                                <w:t>Sell/abandon decision</w:t>
                              </w:r>
                            </w:p>
                          </w:txbxContent>
                        </v:textbox>
                      </v:rect>
                      <v:shapetype id="_x0000_t4" coordsize="21600,21600" o:spt="4" path="m10800,l,10800,10800,21600,21600,10800xe">
                        <v:stroke joinstyle="miter"/>
                        <v:path gradientshapeok="t" o:connecttype="rect" textboxrect="5400,5400,16200,16200"/>
                      </v:shapetype>
                      <v:shape id="Diamond 16" o:spid="_x0000_s1031" type="#_x0000_t4" style="position:absolute;left:2998;top:18994;width:8223;height:8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nIMMA&#10;AADcAAAADwAAAGRycy9kb3ducmV2LnhtbESP3YrCMBSE74V9h3AW9k5Ty1KkaxQRVkQQ/Fno7bE5&#10;tsXmpCRZrW9vBMHLYWa+Yabz3rTiSs43lhWMRwkI4tLqhisFf8ff4QSED8gaW8uk4E4e5rOPwRRz&#10;bW+8p+shVCJC2OeooA6hy6X0ZU0G/ch2xNE7W2cwROkqqR3eIty0Mk2STBpsOC7U2NGypvJy+DcK&#10;MrnxobnvtmnniuKUrVYTuUuV+vrsFz8gAvXhHX6111pB+p3B80w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qnIMMAAADcAAAADwAAAAAAAAAAAAAAAACYAgAAZHJzL2Rv&#10;d25yZXYueG1sUEsFBgAAAAAEAAQA9QAAAIgDAAAAAA==&#10;" filled="f" strokecolor="#4579b8 [3044]">
                        <v:shadow on="t" opacity="24903f" origin=",.5" offset="0,.55556mm"/>
                        <v:textbox>
                          <w:txbxContent>
                            <w:p w:rsidR="007D6AC3" w:rsidRDefault="007D6AC3" w:rsidP="00F02D9D">
                              <w:pPr>
                                <w:rPr>
                                  <w:rFonts w:eastAsia="Times New Roman" w:cs="Times New Roman"/>
                                </w:rPr>
                              </w:pPr>
                            </w:p>
                          </w:txbxContent>
                        </v:textbox>
                      </v:shape>
                      <v:shape id="Text Box 19" o:spid="_x0000_s1032" type="#_x0000_t202" style="position:absolute;left:3611;top:21480;width:6922;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yMcMA&#10;AADcAAAADwAAAGRycy9kb3ducmV2LnhtbESPQWvCQBSE7wX/w/IEb3Wj2Faiq4hV8NBLbbw/ss9s&#10;MPs2ZF9N/PfdQqHHYWa+YdbbwTfqTl2sAxuYTTNQxGWwNVcGiq/j8xJUFGSLTWAy8KAI283oaY25&#10;DT1/0v0slUoQjjkacCJtrnUsHXmM09ASJ+8aOo+SZFdp22Gf4L7R8yx71R5rTgsOW9o7Km/nb29A&#10;xO5mj+Lg4+kyfLz3LitfsDBmMh52K1BCg/yH/9ona2C+eIP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LyMcMAAADcAAAADwAAAAAAAAAAAAAAAACYAgAAZHJzL2Rv&#10;d25yZXYueG1sUEsFBgAAAAAEAAQA9QAAAIgDAAAAAA==&#10;" filled="f" stroked="f">
                        <v:textbox style="mso-fit-shape-to-text:t">
                          <w:txbxContent>
                            <w:p w:rsidR="007D6AC3" w:rsidRDefault="007D6AC3" w:rsidP="00F02D9D">
                              <w:pPr>
                                <w:pStyle w:val="NormalWeb"/>
                                <w:spacing w:before="0" w:beforeAutospacing="0" w:after="0" w:afterAutospacing="0"/>
                                <w:jc w:val="center"/>
                              </w:pPr>
                              <w:r>
                                <w:rPr>
                                  <w:rFonts w:asciiTheme="minorHAnsi" w:hAnsi="Cambria" w:cstheme="minorBidi"/>
                                  <w:color w:val="000000" w:themeColor="text1"/>
                                  <w:kern w:val="24"/>
                                  <w:sz w:val="16"/>
                                  <w:szCs w:val="16"/>
                                </w:rPr>
                                <w:t>Statutory write off?</w:t>
                              </w:r>
                            </w:p>
                          </w:txbxContent>
                        </v:textbox>
                      </v:shape>
                      <v:shape id="Diamond 25" o:spid="_x0000_s1033" type="#_x0000_t4" style="position:absolute;left:2918;top:7882;width:8224;height:8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WycEA&#10;AADcAAAADwAAAGRycy9kb3ducmV2LnhtbERPXWvCMBR9H/gfwhX2NlOLFKlNRQRlCIPODXy9Nte2&#10;2NyUJNP23y8Pgz0eznexHU0vHuR8Z1nBcpGAIK6t7rhR8P11eFuD8AFZY2+ZFEzkYVvOXgrMtX3y&#10;Jz3OoRExhH2OCtoQhlxKX7dk0C/sQBy5m3UGQ4SukdrhM4abXqZJkkmDHceGFgfat1Tfzz9GQSZP&#10;PnRT9ZEO7nK5ZsfjWlapUq/zcbcBEWgM/+I/97tWkK7i2ngmHgF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plsnBAAAA3AAAAA8AAAAAAAAAAAAAAAAAmAIAAGRycy9kb3du&#10;cmV2LnhtbFBLBQYAAAAABAAEAPUAAACGAwAAAAA=&#10;" filled="f" strokecolor="#4579b8 [3044]">
                        <v:shadow on="t" opacity="24903f" origin=",.5" offset="0,.55556mm"/>
                        <v:textbox>
                          <w:txbxContent>
                            <w:p w:rsidR="007D6AC3" w:rsidRDefault="007D6AC3" w:rsidP="00F02D9D">
                              <w:pPr>
                                <w:rPr>
                                  <w:rFonts w:eastAsia="Times New Roman" w:cs="Times New Roman"/>
                                </w:rPr>
                              </w:pPr>
                            </w:p>
                          </w:txbxContent>
                        </v:textbox>
                      </v:shape>
                      <v:shape id="Text Box 27" o:spid="_x0000_s1034" type="#_x0000_t202" style="position:absolute;left:3254;top:9565;width:7728;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D2MMA&#10;AADcAAAADwAAAGRycy9kb3ducmV2LnhtbESPQWvCQBSE7wX/w/IEb3Wj2FKjq4hV8NBLbbw/ss9s&#10;MPs2ZF9N/PfdQqHHYWa+YdbbwTfqTl2sAxuYTTNQxGWwNVcGiq/j8xuoKMgWm8Bk4EERtpvR0xpz&#10;G3r+pPtZKpUgHHM04ETaXOtYOvIYp6ElTt41dB4lya7StsM+wX2j51n2qj3WnBYctrR3VN7O396A&#10;iN3NHsXBx9Nl+HjvXVa+YGHMZDzsVqCEBvkP/7VP1sB8sY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HD2MMAAADcAAAADwAAAAAAAAAAAAAAAACYAgAAZHJzL2Rv&#10;d25yZXYueG1sUEsFBgAAAAAEAAQA9QAAAIgDAAAAAA==&#10;" filled="f" stroked="f">
                        <v:textbox style="mso-fit-shape-to-text:t">
                          <w:txbxContent>
                            <w:p w:rsidR="007D6AC3" w:rsidRDefault="007D6AC3" w:rsidP="00F02D9D">
                              <w:pPr>
                                <w:pStyle w:val="NormalWeb"/>
                                <w:spacing w:before="0" w:beforeAutospacing="0" w:after="0" w:afterAutospacing="0"/>
                                <w:jc w:val="center"/>
                              </w:pPr>
                              <w:r>
                                <w:rPr>
                                  <w:rFonts w:asciiTheme="minorHAnsi" w:hAnsi="Cambria" w:cstheme="minorBidi"/>
                                  <w:color w:val="000000" w:themeColor="text1"/>
                                  <w:kern w:val="24"/>
                                  <w:sz w:val="16"/>
                                  <w:szCs w:val="16"/>
                                </w:rPr>
                                <w:t>Smash          Vehicle insured?</w:t>
                              </w:r>
                            </w:p>
                          </w:txbxContent>
                        </v:textbox>
                      </v:shape>
                      <v:shape id="Text Box 28" o:spid="_x0000_s1035" type="#_x0000_t202" style="position:absolute;left:7866;top:15908;width:4191;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8mL4A&#10;AADcAAAADwAAAGRycy9kb3ducmV2LnhtbERPTYvCMBC9C/6HMII3TRVclq5RRFfw4GXd7n1oxqbY&#10;TEoza+u/NwfB4+N9r7eDb9SdulgHNrCYZ6CIy2BrrgwUv8fZJ6goyBabwGTgQRG2m/FojbkNPf/Q&#10;/SKVSiEcczTgRNpc61g68hjnoSVO3DV0HiXBrtK2wz6F+0Yvs+xDe6w5NThsae+ovF3+vQERu1s8&#10;im8fT3/D+dC7rFxhYcx0Muy+QAkN8ha/3CdrYLlK8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C/Ji+AAAA3AAAAA8AAAAAAAAAAAAAAAAAmAIAAGRycy9kb3ducmV2&#10;LnhtbFBLBQYAAAAABAAEAPUAAACDAwAAAAA=&#10;" filled="f" stroked="f">
                        <v:textbox style="mso-fit-shape-to-text:t">
                          <w:txbxContent>
                            <w:p w:rsidR="007D6AC3" w:rsidRDefault="007D6AC3" w:rsidP="00F02D9D">
                              <w:pPr>
                                <w:pStyle w:val="NormalWeb"/>
                                <w:spacing w:before="0" w:beforeAutospacing="0" w:after="0" w:afterAutospacing="0"/>
                              </w:pPr>
                              <w:r>
                                <w:rPr>
                                  <w:rFonts w:asciiTheme="minorHAnsi" w:hAnsi="Cambria" w:cstheme="minorBidi"/>
                                  <w:color w:val="000000" w:themeColor="text1"/>
                                  <w:kern w:val="24"/>
                                  <w:sz w:val="16"/>
                                  <w:szCs w:val="16"/>
                                </w:rPr>
                                <w:t>Yes</w:t>
                              </w:r>
                            </w:p>
                          </w:txbxContent>
                        </v:textbox>
                      </v:shape>
                      <v:shapetype id="_x0000_t32" coordsize="21600,21600" o:spt="32" o:oned="t" path="m,l21600,21600e" filled="f">
                        <v:path arrowok="t" fillok="f" o:connecttype="none"/>
                        <o:lock v:ext="edit" shapetype="t"/>
                      </v:shapetype>
                      <v:shape id="Straight Arrow Connector 29" o:spid="_x0000_s1036" type="#_x0000_t32" style="position:absolute;left:5638;top:17522;width:2880;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DscMAAADcAAAADwAAAGRycy9kb3ducmV2LnhtbESPQYvCMBSE74L/ITzB25oqKGs1igqC&#10;CB5WRTw+mmdbbV5qE2v99xtB8DjMzDfMdN6YQtRUudyygn4vAkGcWJ1zquB4WP/8gnAeWWNhmRS8&#10;yMF81m5NMdb2yX9U730qAoRdjAoy78tYSpdkZND1bEkcvIutDPogq1TqCp8Bbgo5iKKRNJhzWMiw&#10;pFVGyW3/MArsdVt4fbrx2BxHr/NueW8u9V2pbqdZTEB4avw3/GlvtILBsA/vM+EI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pA7HDAAAA3AAAAA8AAAAAAAAAAAAA&#10;AAAAoQIAAGRycy9kb3ducmV2LnhtbFBLBQYAAAAABAAEAPkAAACRAwAAAAA=&#10;">
                        <v:stroke startarrow="block" endarrowlength="short"/>
                      </v:shape>
                      <v:shape id="Straight Arrow Connector 30" o:spid="_x0000_s1037" type="#_x0000_t32" style="position:absolute;left:11142;top:12009;width:273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Lw8UAAADcAAAADwAAAGRycy9kb3ducmV2LnhtbESP3WrCQBCF7wu+wzKCN1I3BlokukoR&#10;JYVetGofYMiO2dDsbMyu+enTdwuFXh7Oz8fZ7AZbi45aXzlWsFwkIIgLpysuFXxejo8rED4ga6wd&#10;k4KRPOy2k4cNZtr1fKLuHEoRR9hnqMCE0GRS+sKQRb9wDXH0rq61GKJsS6lb7OO4rWWaJM/SYsWR&#10;YLChvaHi63y3kZuX3/Nx37zdPt4PuV66OzozV2o2HV7WIAIN4T/8137VCtKnFH7Px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Lw8UAAADcAAAADwAAAAAAAAAA&#10;AAAAAAChAgAAZHJzL2Rvd25yZXYueG1sUEsFBgAAAAAEAAQA+QAAAJMDAAAAAA==&#10;">
                        <v:stroke startarrow="block" startarrowlength="short" endarrowlength="short"/>
                      </v:shape>
                      <v:shape id="Text Box 31" o:spid="_x0000_s1038" type="#_x0000_t202" style="position:absolute;left:10792;top:9787;width:314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i78MA&#10;AADcAAAADwAAAGRycy9kb3ducmV2LnhtbESPT2vCQBTE7wW/w/IEb3WjYinRVcQ/4KGX2nh/ZF+z&#10;odm3Ifs08du7hUKPw8z8hllvB9+oO3WxDmxgNs1AEZfB1lwZKL5Or++goiBbbAKTgQdF2G5GL2vM&#10;bej5k+4XqVSCcMzRgBNpc61j6chjnIaWOHnfofMoSXaVth32Ce4bPc+yN+2x5rTgsKW9o/LncvMG&#10;ROxu9iiOPp6vw8ehd1m5xMKYyXjYrUAJDfIf/mufrYH5cg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Bi78MAAADcAAAADwAAAAAAAAAAAAAAAACYAgAAZHJzL2Rv&#10;d25yZXYueG1sUEsFBgAAAAAEAAQA9QAAAIgDAAAAAA==&#10;" filled="f" stroked="f">
                        <v:textbox style="mso-fit-shape-to-text:t">
                          <w:txbxContent>
                            <w:p w:rsidR="007D6AC3" w:rsidRDefault="007D6AC3" w:rsidP="00F02D9D">
                              <w:pPr>
                                <w:pStyle w:val="NormalWeb"/>
                                <w:spacing w:before="0" w:beforeAutospacing="0" w:after="0" w:afterAutospacing="0"/>
                              </w:pPr>
                              <w:r>
                                <w:rPr>
                                  <w:rFonts w:asciiTheme="minorHAnsi" w:hAnsi="Cambria" w:cstheme="minorBidi"/>
                                  <w:color w:val="000000" w:themeColor="text1"/>
                                  <w:kern w:val="24"/>
                                  <w:sz w:val="16"/>
                                  <w:szCs w:val="16"/>
                                </w:rPr>
                                <w:t>No</w:t>
                              </w:r>
                            </w:p>
                          </w:txbxContent>
                        </v:textbox>
                      </v:shape>
                      <v:shape id="Diamond 32" o:spid="_x0000_s1039" type="#_x0000_t4" style="position:absolute;left:13920;top:18994;width:8223;height:8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KEcMA&#10;AADcAAAADwAAAGRycy9kb3ducmV2LnhtbESP3YrCMBSE74V9h3AWvNN0ixbpGmVZWBFB8A+8Pdsc&#10;22JzUpKo9e2NIHg5zMw3zHTemUZcyfnasoKvYQKCuLC65lLBYf83mIDwAVljY5kU3MnDfPbRm2Ku&#10;7Y23dN2FUkQI+xwVVCG0uZS+qMigH9qWOHon6wyGKF0ptcNbhJtGpkmSSYM1x4UKW/qtqDjvLkZB&#10;Jlc+1PfNOm3d8fifLRYTuUmV6n92P98gAnXhHX61l1pBOh7B80w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0KEcMAAADcAAAADwAAAAAAAAAAAAAAAACYAgAAZHJzL2Rv&#10;d25yZXYueG1sUEsFBgAAAAAEAAQA9QAAAIgDAAAAAA==&#10;" filled="f" strokecolor="#4579b8 [3044]">
                        <v:shadow on="t" opacity="24903f" origin=",.5" offset="0,.55556mm"/>
                        <v:textbox>
                          <w:txbxContent>
                            <w:p w:rsidR="007D6AC3" w:rsidRDefault="007D6AC3" w:rsidP="00F02D9D">
                              <w:pPr>
                                <w:rPr>
                                  <w:rFonts w:eastAsia="Times New Roman" w:cs="Times New Roman"/>
                                </w:rPr>
                              </w:pPr>
                            </w:p>
                          </w:txbxContent>
                        </v:textbox>
                      </v:shape>
                      <v:shape id="Text Box 34" o:spid="_x0000_s1040" type="#_x0000_t202" style="position:absolute;left:14533;top:21480;width:6921;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fAMIA&#10;AADcAAAADwAAAGRycy9kb3ducmV2LnhtbESPQWvCQBSE74X+h+UVeqsbhRRJXUWsggcv1Xh/ZF+z&#10;wezbkH018d93BcHjMDPfMIvV6Ft1pT42gQ1MJxko4irYhmsD5Wn3MQcVBdliG5gM3CjCavn6ssDC&#10;hoF/6HqUWiUIxwINOJGu0DpWjjzGSeiIk/cbeo+SZF9r2+OQ4L7Vsyz71B4bTgsOO9o4qi7HP29A&#10;xK6nt3Lr4/48Hr4Hl1U5lsa8v43rL1BCozzDj/beGpjlOdzPpC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V8AwgAAANwAAAAPAAAAAAAAAAAAAAAAAJgCAABkcnMvZG93&#10;bnJldi54bWxQSwUGAAAAAAQABAD1AAAAhwMAAAAA&#10;" filled="f" stroked="f">
                        <v:textbox style="mso-fit-shape-to-text:t">
                          <w:txbxContent>
                            <w:p w:rsidR="007D6AC3" w:rsidRDefault="007D6AC3" w:rsidP="00F02D9D">
                              <w:pPr>
                                <w:pStyle w:val="NormalWeb"/>
                                <w:spacing w:before="0" w:beforeAutospacing="0" w:after="0" w:afterAutospacing="0"/>
                                <w:jc w:val="center"/>
                              </w:pPr>
                              <w:r>
                                <w:rPr>
                                  <w:rFonts w:asciiTheme="minorHAnsi" w:hAnsi="Cambria" w:cstheme="minorBidi"/>
                                  <w:color w:val="000000" w:themeColor="text1"/>
                                  <w:kern w:val="24"/>
                                  <w:sz w:val="16"/>
                                  <w:szCs w:val="16"/>
                                </w:rPr>
                                <w:t>Retirement decision?</w:t>
                              </w:r>
                            </w:p>
                          </w:txbxContent>
                        </v:textbox>
                      </v:shape>
                      <v:shape id="Diamond 36" o:spid="_x0000_s1041" type="#_x0000_t4" style="position:absolute;left:13840;top:7882;width:8224;height:8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Mx/cMA&#10;AADcAAAADwAAAGRycy9kb3ducmV2LnhtbESP3YrCMBSE74V9h3AW9k5TC1ukaxQRVkQQ/Fno7bE5&#10;tsXmpCRZrW9vBMHLYWa+Yabz3rTiSs43lhWMRwkI4tLqhisFf8ff4QSED8gaW8uk4E4e5rOPwRRz&#10;bW+8p+shVCJC2OeooA6hy6X0ZU0G/ch2xNE7W2cwROkqqR3eIty0Mk2STBpsOC7U2NGypvJy+DcK&#10;MrnxobnvtmnniuKUrVYTuUuV+vrsFz8gAvXhHX6111pB+p3B80w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Mx/cMAAADcAAAADwAAAAAAAAAAAAAAAACYAgAAZHJzL2Rv&#10;d25yZXYueG1sUEsFBgAAAAAEAAQA9QAAAIgDAAAAAA==&#10;" filled="f" strokecolor="#4579b8 [3044]">
                        <v:shadow on="t" opacity="24903f" origin=",.5" offset="0,.55556mm"/>
                        <v:textbox>
                          <w:txbxContent>
                            <w:p w:rsidR="007D6AC3" w:rsidRDefault="007D6AC3" w:rsidP="00F02D9D">
                              <w:pPr>
                                <w:rPr>
                                  <w:rFonts w:eastAsia="Times New Roman" w:cs="Times New Roman"/>
                                </w:rPr>
                              </w:pPr>
                            </w:p>
                          </w:txbxContent>
                        </v:textbox>
                      </v:shape>
                      <v:shape id="Text Box 37" o:spid="_x0000_s1042" type="#_x0000_t202" style="position:absolute;left:14517;top:10114;width:6921;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tk7MMA&#10;AADcAAAADwAAAGRycy9kb3ducmV2LnhtbESPT2vCQBTE7wW/w/IEb3WjYFuiq4h/wEMvtfH+yL5m&#10;Q7NvQ/Zp4rd3hUKPw8z8hlltBt+oG3WxDmxgNs1AEZfB1lwZKL6Prx+goiBbbAKTgTtF2KxHLyvM&#10;bej5i25nqVSCcMzRgBNpc61j6chjnIaWOHk/ofMoSXaVth32Ce4bPc+yN+2x5rTgsKWdo/L3fPUG&#10;ROx2di8OPp4uw+e+d1m5wMKYyXjYLkEJDfIf/mufrIH54h2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tk7MMAAADcAAAADwAAAAAAAAAAAAAAAACYAgAAZHJzL2Rv&#10;d25yZXYueG1sUEsFBgAAAAAEAAQA9QAAAIgDAAAAAA==&#10;" filled="f" stroked="f">
                        <v:textbox style="mso-fit-shape-to-text:t">
                          <w:txbxContent>
                            <w:p w:rsidR="007D6AC3" w:rsidRDefault="007D6AC3" w:rsidP="00F02D9D">
                              <w:pPr>
                                <w:pStyle w:val="NormalWeb"/>
                                <w:spacing w:before="0" w:beforeAutospacing="0" w:after="0" w:afterAutospacing="0"/>
                                <w:jc w:val="center"/>
                              </w:pPr>
                              <w:r>
                                <w:rPr>
                                  <w:rFonts w:asciiTheme="minorHAnsi" w:hAnsi="Cambria" w:cstheme="minorBidi"/>
                                  <w:color w:val="000000" w:themeColor="text1"/>
                                  <w:kern w:val="24"/>
                                  <w:sz w:val="16"/>
                                  <w:szCs w:val="16"/>
                                </w:rPr>
                                <w:t>Economic to repair?</w:t>
                              </w:r>
                            </w:p>
                          </w:txbxContent>
                        </v:textbox>
                      </v:shape>
                      <v:shape id="Straight Arrow Connector 38" o:spid="_x0000_s1043" type="#_x0000_t32" style="position:absolute;left:16560;top:17522;width:2880;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OqLMAAAADcAAAADwAAAGRycy9kb3ducmV2LnhtbERPTYvCMBC9C/6HMII3TVdQtGuUVRBE&#10;8KAW8Tg0Y9u1mdQm1vrvzUHw+Hjf82VrStFQ7QrLCn6GEQji1OqCMwXJaTOYgnAeWWNpmRS8yMFy&#10;0e3MMdb2yQdqjj4TIYRdjApy76tYSpfmZNANbUUcuKutDfoA60zqGp8h3JRyFEUTabDg0JBjReuc&#10;0tvxYRTY/13p9fnGM5NMXpf96t5em7tS/V779wvCU+u/4o97qxWMxmFtOBOOgF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cTqizAAAAA3AAAAA8AAAAAAAAAAAAAAAAA&#10;oQIAAGRycy9kb3ducmV2LnhtbFBLBQYAAAAABAAEAPkAAACOAwAAAAA=&#10;">
                        <v:stroke startarrow="block" endarrowlength="short"/>
                      </v:shape>
                      <v:shape id="Straight Arrow Connector 39" o:spid="_x0000_s1044" type="#_x0000_t32" style="position:absolute;left:22064;top:12009;width:273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7zE8UAAADcAAAADwAAAGRycy9kb3ducmV2LnhtbESPQWvCQBSE74L/YXlCL1I3FZWauhER&#10;LF4qNIrn1+wzCcm+TbMbTfvru4LQ4zAz3zCrdW9qcaXWlZYVvEwiEMSZ1SXnCk7H3fMrCOeRNdaW&#10;ScEPOVgnw8EKY21v/EnX1OciQNjFqKDwvomldFlBBt3ENsTBu9jWoA+yzaVu8RbgppbTKFpIgyWH&#10;hQIb2haUVWlnFDTyezxLz93XR1RL/av14VS9d0o9jfrNGwhPvf8PP9p7rWA6X8L9TDgCM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7zE8UAAADcAAAADwAAAAAAAAAA&#10;AAAAAAChAgAAZHJzL2Rvd25yZXYueG1sUEsFBgAAAAAEAAQA+QAAAJMDAAAAAA==&#10;" strokecolor="black [3213]">
                        <v:stroke startarrowlength="short" endarrow="block" endarrowlength="short"/>
                      </v:shape>
                      <v:shape id="Straight Arrow Connector 40" o:spid="_x0000_s1045" type="#_x0000_t32" style="position:absolute;left:11205;top:23137;width:273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x6ksEAAADcAAAADwAAAGRycy9kb3ducmV2LnhtbERPzWoCMRC+F3yHMEIvolk9SFmNIqJY&#10;6KFq+wDDZtwsbibrJurap+8cBI8f3/982fla3aiNVWAD41EGirgItuLSwO/PdvgBKiZki3VgMvCg&#10;CMtF722OuQ13PtDtmEolIRxzNOBSanKtY+HIYxyFhli4U2g9JoFtqW2Ldwn3tZ5k2VR7rFgaHDa0&#10;dlScj1cvvbvyb/BYN1+X/fdmZ8fhisENjHnvd6sZqERdeomf7k9rYDKV+XJGjoB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DHqSwQAAANwAAAAPAAAAAAAAAAAAAAAA&#10;AKECAABkcnMvZG93bnJldi54bWxQSwUGAAAAAAQABAD5AAAAjwMAAAAA&#10;">
                        <v:stroke startarrow="block" startarrowlength="short" endarrowlength="short"/>
                      </v:shape>
                      <v:shape id="Diamond 41" o:spid="_x0000_s1046" type="#_x0000_t4" style="position:absolute;left:24826;top:7882;width:8223;height:8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jNMQA&#10;AADcAAAADwAAAGRycy9kb3ducmV2LnhtbESPwWrDMBBE74X+g9hCb41sH4xxo5gQaCiBgpsEct1a&#10;W9vUWhlJie2/rwqFHIeZecOsq9kM4kbO95YVpKsEBHFjdc+tgvPp7aUA4QOyxsEyKVjIQ7V5fFhj&#10;qe3En3Q7hlZECPsSFXQhjKWUvunIoF/ZkTh639YZDFG6VmqHU4SbQWZJkkuDPceFDkfaddT8HK9G&#10;QS4PPvRL/ZGN7nL5yvf7QtaZUs9P8/YVRKA53MP/7XetIMtT+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mYzTEAAAA3AAAAA8AAAAAAAAAAAAAAAAAmAIAAGRycy9k&#10;b3ducmV2LnhtbFBLBQYAAAAABAAEAPUAAACJAwAAAAA=&#10;" filled="f" strokecolor="#4579b8 [3044]">
                        <v:shadow on="t" opacity="24903f" origin=",.5" offset="0,.55556mm"/>
                        <v:textbox>
                          <w:txbxContent>
                            <w:p w:rsidR="007D6AC3" w:rsidRDefault="007D6AC3" w:rsidP="00F02D9D">
                              <w:pPr>
                                <w:rPr>
                                  <w:rFonts w:eastAsia="Times New Roman" w:cs="Times New Roman"/>
                                </w:rPr>
                              </w:pPr>
                            </w:p>
                          </w:txbxContent>
                        </v:textbox>
                      </v:shape>
                      <v:shape id="Text Box 43" o:spid="_x0000_s1047" type="#_x0000_t202" style="position:absolute;left:25523;top:10768;width:6921;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NycIA&#10;AADcAAAADwAAAGRycy9kb3ducmV2LnhtbESPQWvCQBSE70L/w/IK3nRjQCmpq4htwYOX2nh/ZF+z&#10;wezbkH018d+7gtDjMDPfMOvt6Ft1pT42gQ0s5hko4irYhmsD5c/X7A1UFGSLbWAycKMI283LZI2F&#10;DQN/0/UktUoQjgUacCJdoXWsHHmM89ARJ+839B4lyb7WtschwX2r8yxbaY8NpwWHHe0dVZfTnzcg&#10;YneLW/np4+E8Hj8Gl1VLLI2Zvo67d1BCo/yHn+2DNZCvcnicS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A3JwgAAANwAAAAPAAAAAAAAAAAAAAAAAJgCAABkcnMvZG93&#10;bnJldi54bWxQSwUGAAAAAAQABAD1AAAAhwMAAAAA&#10;" filled="f" stroked="f">
                        <v:textbox style="mso-fit-shape-to-text:t">
                          <w:txbxContent>
                            <w:p w:rsidR="007D6AC3" w:rsidRDefault="007D6AC3" w:rsidP="00F02D9D">
                              <w:pPr>
                                <w:pStyle w:val="NormalWeb"/>
                                <w:spacing w:before="0" w:beforeAutospacing="0" w:after="0" w:afterAutospacing="0"/>
                                <w:jc w:val="center"/>
                              </w:pPr>
                              <w:r>
                                <w:rPr>
                                  <w:rFonts w:asciiTheme="minorHAnsi" w:hAnsi="Cambria" w:cstheme="minorBidi"/>
                                  <w:color w:val="000000" w:themeColor="text1"/>
                                  <w:kern w:val="24"/>
                                  <w:sz w:val="16"/>
                                  <w:szCs w:val="16"/>
                                </w:rPr>
                                <w:t>Breakdown</w:t>
                              </w:r>
                            </w:p>
                          </w:txbxContent>
                        </v:textbox>
                      </v:shape>
                      <v:shape id="Straight Arrow Connector 44" o:spid="_x0000_s1048" type="#_x0000_t32" style="position:absolute;left:27185;top:6082;width:3600;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vy4MUAAADcAAAADwAAAGRycy9kb3ducmV2LnhtbESPT2vCQBTE74LfYXlCb3WjhVBT11AL&#10;hSJ4qIr0+Mg+kzTZtzG7zZ9v3xUEj8PM/IZZp4OpRUetKy0rWMwjEMSZ1SXnCk7Hz+dXEM4ja6wt&#10;k4KRHKSb6WSNibY9f1N38LkIEHYJKii8bxIpXVaQQTe3DXHwLrY16INsc6lb7APc1HIZRbE0WHJY&#10;KLChj4Ky6vBnFNjfXe31ueKVOcXjz357HS7dVamn2fD+BsLT4B/he/tLK1jGL3A7E46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vy4MUAAADcAAAADwAAAAAAAAAA&#10;AAAAAAChAgAAZHJzL2Rvd25yZXYueG1sUEsFBgAAAAAEAAQA+QAAAJMDAAAAAA==&#10;">
                        <v:stroke startarrow="block" endarrowlength="short"/>
                      </v:shape>
                      <v:shape id="Straight Arrow Connector 45" o:spid="_x0000_s1049" type="#_x0000_t32" style="position:absolute;left:16136;top:6082;width:3600;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qlMUAAADcAAAADwAAAGRycy9kb3ducmV2LnhtbESPT2vCQBTE74LfYXlCb3WjlFBT11AL&#10;hSJ4qIr0+Mg+kzTZtzG7zZ9v3xUEj8PM/IZZp4OpRUetKy0rWMwjEMSZ1SXnCk7Hz+dXEM4ja6wt&#10;k4KRHKSb6WSNibY9f1N38LkIEHYJKii8bxIpXVaQQTe3DXHwLrY16INsc6lb7APc1HIZRbE0WHJY&#10;KLChj4Ky6vBnFNjfXe31ueKVOcXjz357HS7dVamn2fD+BsLT4B/he/tLK1jGL3A7E46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JqlMUAAADcAAAADwAAAAAAAAAA&#10;AAAAAAChAgAAZHJzL2Rvd25yZXYueG1sUEsFBgAAAAAEAAQA+QAAAJMDAAAAAA==&#10;">
                        <v:stroke startarrow="block" endarrowlength="short"/>
                      </v:shape>
                      <v:shape id="Straight Arrow Connector 46" o:spid="_x0000_s1050" type="#_x0000_t32" style="position:absolute;left:5214;top:6082;width:3600;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7PD8UAAADcAAAADwAAAGRycy9kb3ducmV2LnhtbESPT2vCQBTE74LfYXlCb3Wj0FBT11AL&#10;hSJ4qIr0+Mg+kzTZtzG7zZ9v3xUEj8PM/IZZp4OpRUetKy0rWMwjEMSZ1SXnCk7Hz+dXEM4ja6wt&#10;k4KRHKSb6WSNibY9f1N38LkIEHYJKii8bxIpXVaQQTe3DXHwLrY16INsc6lb7APc1HIZRbE0WHJY&#10;KLChj4Ky6vBnFNjfXe31ueKVOcXjz357HS7dVamn2fD+BsLT4B/he/tLK1jGL3A7E46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7PD8UAAADcAAAADwAAAAAAAAAA&#10;AAAAAAChAgAAZHJzL2Rvd25yZXYueG1sUEsFBgAAAAAEAAQA+QAAAJMDAAAAAA==&#10;">
                        <v:stroke startarrow="block" endarrowlength="short"/>
                      </v:shape>
                      <v:shapetype id="_x0000_t33" coordsize="21600,21600" o:spt="33" o:oned="t" path="m,l21600,r,21600e" filled="f">
                        <v:stroke joinstyle="miter"/>
                        <v:path arrowok="t" fillok="f" o:connecttype="none"/>
                        <o:lock v:ext="edit" shapetype="t"/>
                      </v:shapetype>
                      <v:shape id="Elbow Connector 47" o:spid="_x0000_s1051" type="#_x0000_t33" style="position:absolute;left:22143;top:4262;width:12176;height:1884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fhUsEAAADcAAAADwAAAGRycy9kb3ducmV2LnhtbESPwW7CMBBE75X6D9ZW4laccoggxaDS&#10;CsEVwwes4m0cEa9T2yXh7zESEsfRzLzRLNej68SFQmw9K/iYFiCIa29abhScjtv3OYiYkA12nknB&#10;lSKsV68vS6yMH/hAF50akSEcK1RgU+orKWNtyWGc+p44e78+OExZhkaagEOGu07OiqKUDlvOCxZ7&#10;+rZUn/W/U6DP5YHqhY7bsPm7/vCwaXfaKjV5G78+QSQa0zP8aO+NgllZwv1MPgJyd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FSwQAAANwAAAAPAAAAAAAAAAAAAAAA&#10;AKECAABkcnMvZG93bnJldi54bWxQSwUGAAAAAAQABAD5AAAAjwMAAAAA&#10;">
                        <v:stroke endarrow="block" endarrowlength="short" joinstyle="round"/>
                      </v:shape>
                      <v:rect id="Rectangle 48" o:spid="_x0000_s1052" style="position:absolute;left:127;top:30861;width:3600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hzsYA&#10;AADcAAAADwAAAGRycy9kb3ducmV2LnhtbESPQWvCQBSE70L/w/IKvYhu6iGV1FWCIkgLoolgj4/s&#10;Mwlm34bsVmN/vSsUPA4z8w0zW/SmERfqXG1Zwfs4AkFcWF1zqeCQr0dTEM4ja2wsk4IbOVjMXwYz&#10;TLS98p4umS9FgLBLUEHlfZtI6YqKDLqxbYmDd7KdQR9kV0rd4TXATSMnURRLgzWHhQpbWlZUnLNf&#10;o2B9SzfxV7b9/tkfJaa7Nv/zw5VSb699+gnCU++f4f/2RiuYxB/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vhzsYAAADcAAAADwAAAAAAAAAAAAAAAACYAgAAZHJz&#10;L2Rvd25yZXYueG1sUEsFBgAAAAAEAAQA9QAAAIsDAAAAAA==&#10;" fillcolor="#e5eeff" strokecolor="#4579b8 [3044]">
                        <v:fill color2="#a3c4ff" rotate="t" colors="0 #e5eeff;42598f #bfd5ff;1 #a3c4ff" focus="100%" type="gradient"/>
                        <v:shadow on="t" opacity="24903f" origin=",.5" offset="0,.55556mm"/>
                        <v:textbox>
                          <w:txbxContent>
                            <w:p w:rsidR="007D6AC3" w:rsidRDefault="007D6AC3" w:rsidP="00F02D9D">
                              <w:pPr>
                                <w:pStyle w:val="NormalWeb"/>
                                <w:spacing w:before="0" w:beforeAutospacing="0" w:after="0" w:afterAutospacing="0"/>
                                <w:jc w:val="center"/>
                              </w:pPr>
                              <w:r>
                                <w:rPr>
                                  <w:rFonts w:asciiTheme="minorHAnsi" w:hAnsi="Cambria" w:cstheme="minorBidi"/>
                                  <w:color w:val="000000"/>
                                  <w:kern w:val="24"/>
                                  <w:sz w:val="16"/>
                                  <w:szCs w:val="16"/>
                                </w:rPr>
                                <w:t>ELV decision by owner                                                                                               (Domestic, commercial or insurance company)</w:t>
                              </w:r>
                            </w:p>
                          </w:txbxContent>
                        </v:textbox>
                      </v:rect>
                      <v:shape id="Straight Arrow Connector 49" o:spid="_x0000_s1053" type="#_x0000_t32" style="position:absolute;left:16200;top:29061;width:3600;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9gkb8AAADcAAAADwAAAGRycy9kb3ducmV2LnhtbERPy6rCMBDdC/5DGMGdproo12oUFQQR&#10;XFwVcTk0Y1ttJrWJtf69WQguD+c9W7SmFA3VrrCsYDSMQBCnVhecKTgdN4M/EM4jaywtk4I3OVjM&#10;u50ZJtq++J+ag89ECGGXoILc+yqR0qU5GXRDWxEH7mprgz7AOpO6xlcIN6UcR1EsDRYcGnKsaJ1T&#10;ej88jQJ725Ven+88Maf4fdmvHu21eSjV77XLKQhPrf+Jv+6tVjCOw9pwJhwBO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X9gkb8AAADcAAAADwAAAAAAAAAAAAAAAACh&#10;AgAAZHJzL2Rvd25yZXYueG1sUEsFBgAAAAAEAAQA+QAAAI0DAAAAAA==&#10;">
                        <v:stroke startarrow="block" endarrowlength="short"/>
                      </v:shape>
                      <v:shape id="Straight Arrow Connector 50" o:spid="_x0000_s1054" type="#_x0000_t32" style="position:absolute;left:5278;top:29061;width:3600;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PFCsQAAADcAAAADwAAAGRycy9kb3ducmV2LnhtbESPQYvCMBSE74L/ITzBm6Z6KGs1LSoI&#10;i7CHVRGPj+bZVpuX2mRr/febhQWPw8x8w6yy3tSio9ZVlhXMphEI4tzqigsFp+Nu8gHCeWSNtWVS&#10;8CIHWTocrDDR9snf1B18IQKEXYIKSu+bREqXl2TQTW1DHLyrbQ36INtC6hafAW5qOY+iWBqsOCyU&#10;2NC2pPx++DEK7G1fe32+88Kc4tfla/Por91DqfGoXy9BeOr9O/zf/tQK5vEC/s6EIy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M8UKxAAAANwAAAAPAAAAAAAAAAAA&#10;AAAAAKECAABkcnMvZG93bnJldi54bWxQSwUGAAAAAAQABAD5AAAAkgMAAAAA&#10;">
                        <v:stroke startarrow="block" endarrowlength="short"/>
                      </v:shape>
                      <v:rect id="Rectangle 51" o:spid="_x0000_s1055" style="position:absolute;left:7385;top:43751;width:2160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vZ8QA&#10;AADcAAAADwAAAGRycy9kb3ducmV2LnhtbERPTWvCQBC9C/6HZYRexGzqwZY0qwSLIApSo9Aeh+w0&#10;CWZnQ3Zrkv767kHo8fG+081gGnGnztWWFTxHMQjiwuqaSwXXy27xCsJ5ZI2NZVIwkoPNejpJMdG2&#10;5zPdc1+KEMIuQQWV920ipSsqMugi2xIH7tt2Bn2AXSl1h30IN41cxvFKGqw5NFTY0rai4pb/GAW7&#10;MduvDvnp+HX+lJh9tJdfP39X6mk2ZG8gPA3+X/xw77WC5UuYH86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772fEAAAA3AAAAA8AAAAAAAAAAAAAAAAAmAIAAGRycy9k&#10;b3ducmV2LnhtbFBLBQYAAAAABAAEAPUAAACJAwAAAAA=&#10;" fillcolor="#e5eeff" strokecolor="#4579b8 [3044]">
                        <v:fill color2="#a3c4ff" rotate="t" colors="0 #e5eeff;42598f #bfd5ff;1 #a3c4ff" focus="100%" type="gradient"/>
                        <v:shadow on="t" opacity="24903f" origin=",.5" offset="0,.55556mm"/>
                        <v:textbox>
                          <w:txbxContent>
                            <w:p w:rsidR="007D6AC3" w:rsidRDefault="007D6AC3" w:rsidP="00F02D9D">
                              <w:pPr>
                                <w:pStyle w:val="NormalWeb"/>
                                <w:spacing w:before="0" w:beforeAutospacing="0" w:after="0" w:afterAutospacing="0"/>
                                <w:jc w:val="center"/>
                              </w:pPr>
                              <w:r>
                                <w:rPr>
                                  <w:rFonts w:asciiTheme="minorHAnsi" w:hAnsi="Cambria" w:cstheme="minorBidi"/>
                                  <w:color w:val="000000"/>
                                  <w:kern w:val="24"/>
                                  <w:sz w:val="16"/>
                                  <w:szCs w:val="16"/>
                                </w:rPr>
                                <w:t>Reverse Supply Chain Feedstock                                         Dismantle/shred/crush/re-birth?</w:t>
                              </w:r>
                            </w:p>
                          </w:txbxContent>
                        </v:textbox>
                      </v:rect>
                      <v:shape id="Straight Arrow Connector 52" o:spid="_x0000_s1056" type="#_x0000_t32" style="position:absolute;left:16992;top:36238;width:2016;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f0cQAAADcAAAADwAAAGRycy9kb3ducmV2LnhtbESPT4vCMBTE7wt+h/CEvWmqB1eraVFB&#10;WBb24B/E46N5ttXmpTbZWr+9EYQ9DjPzG2aRdqYSLTWutKxgNIxAEGdWl5wrOOw3gykI55E1VpZJ&#10;wYMcpEnvY4GxtnfeUrvzuQgQdjEqKLyvYyldVpBBN7Q1cfDOtjHog2xyqRu8B7ip5DiKJtJgyWGh&#10;wJrWBWXX3Z9RYC8/ldfHK8/MYfI4/a5u3bm9KfXZ75ZzEJ46/x9+t7+1gvHXCF5nwhGQy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F/RxAAAANwAAAAPAAAAAAAAAAAA&#10;AAAAAKECAABkcnMvZG93bnJldi54bWxQSwUGAAAAAAQABAD5AAAAkgMAAAAA&#10;">
                        <v:stroke startarrow="block" endarrowlength="short"/>
                      </v:shape>
                      <v:shape id="Straight Arrow Connector 53" o:spid="_x0000_s1057" type="#_x0000_t32" style="position:absolute;left:16928;top:42714;width:2016;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BpsYAAADcAAAADwAAAGRycy9kb3ducmV2LnhtbESPS2vDMBCE74X8B7GB3BI5PripGyU0&#10;gUAJ9JAHpcfF2thurJVtqX78+6hQ6HGYmW+Y9XYwleiodaVlBctFBII4s7rkXMH1cpivQDiPrLGy&#10;TApGcrDdTJ7WmGrb84m6s89FgLBLUUHhfZ1K6bKCDLqFrYmDd7OtQR9km0vdYh/gppJxFCXSYMlh&#10;ocCa9gVl9/OPUWC/j5XXn3d+Mddk/PrYNcOta5SaTYe3VxCeBv8f/mu/awXxcwy/Z8IRkJ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OwabGAAAA3AAAAA8AAAAAAAAA&#10;AAAAAAAAoQIAAGRycy9kb3ducmV2LnhtbFBLBQYAAAAABAAEAPkAAACUAwAAAAA=&#10;">
                        <v:stroke startarrow="block" endarrowlength="short"/>
                      </v:shape>
                      <v:shape id="Text Box 54" o:spid="_x0000_s1058" type="#_x0000_t202" style="position:absolute;left:22333;top:20357;width:4442;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U+j8MA&#10;AADcAAAADwAAAGRycy9kb3ducmV2LnhtbESPQWvCQBSE7wX/w/IEb3Wj0laiq4hV8NBLbbw/ss9s&#10;MPs2ZF9N/PfdQqHHYWa+YdbbwTfqTl2sAxuYTTNQxGWwNVcGiq/j8xJUFGSLTWAy8KAI283oaY25&#10;DT1/0v0slUoQjjkacCJtrnUsHXmM09ASJ+8aOo+SZFdp22Gf4L7R8yx71R5rTgsOW9o7Km/nb29A&#10;xO5mj+Lg4+kyfLz3LitfsDBmMh52K1BCg/yH/9ona2D+t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U+j8MAAADcAAAADwAAAAAAAAAAAAAAAACYAgAAZHJzL2Rv&#10;d25yZXYueG1sUEsFBgAAAAAEAAQA9QAAAIgDAAAAAA==&#10;" filled="f" stroked="f">
                        <v:textbox style="mso-fit-shape-to-text:t">
                          <w:txbxContent>
                            <w:p w:rsidR="007D6AC3" w:rsidRDefault="007D6AC3" w:rsidP="00F02D9D">
                              <w:pPr>
                                <w:pStyle w:val="NormalWeb"/>
                                <w:spacing w:before="0" w:beforeAutospacing="0" w:after="0" w:afterAutospacing="0"/>
                              </w:pPr>
                              <w:r>
                                <w:rPr>
                                  <w:rFonts w:asciiTheme="minorHAnsi" w:hAnsi="Cambria" w:cstheme="minorBidi"/>
                                  <w:color w:val="000000" w:themeColor="text1"/>
                                  <w:kern w:val="24"/>
                                  <w:sz w:val="16"/>
                                  <w:szCs w:val="16"/>
                                </w:rPr>
                                <w:t>Yes</w:t>
                              </w:r>
                            </w:p>
                          </w:txbxContent>
                        </v:textbox>
                      </v:shape>
                      <v:shape id="Text Box 55" o:spid="_x0000_s1059" type="#_x0000_t202" style="position:absolute;left:18920;top:27386;width:314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m+8MA&#10;AADcAAAADwAAAGRycy9kb3ducmV2LnhtbESPQWvCQBSE7wX/w/IEb3Wj2Faiq4hV8NBLbbw/ss9s&#10;MPs2ZF9N/PfdQqHHYWa+YdbbwTfqTl2sAxuYTTNQxGWwNVcGiq/j8xJUFGSLTWAy8KAI283oaY25&#10;DT1/0v0slUoQjjkacCJtrnUsHXmM09ASJ+8aOo+SZFdp22Gf4L7R8yx71R5rTgsOW9o7Km/nb29A&#10;xO5mj+Lg4+kyfLz3LitfsDBmMh52K1BCg/yH/9ona2D+t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ym+8MAAADcAAAADwAAAAAAAAAAAAAAAACYAgAAZHJzL2Rv&#10;d25yZXYueG1sUEsFBgAAAAAEAAQA9QAAAIgDAAAAAA==&#10;" filled="f" stroked="f">
                        <v:textbox style="mso-fit-shape-to-text:t">
                          <w:txbxContent>
                            <w:p w:rsidR="007D6AC3" w:rsidRDefault="007D6AC3" w:rsidP="00F02D9D">
                              <w:pPr>
                                <w:pStyle w:val="NormalWeb"/>
                                <w:spacing w:before="0" w:beforeAutospacing="0" w:after="0" w:afterAutospacing="0"/>
                              </w:pPr>
                              <w:r>
                                <w:rPr>
                                  <w:rFonts w:asciiTheme="minorHAnsi" w:hAnsi="Cambria" w:cstheme="minorBidi"/>
                                  <w:color w:val="000000" w:themeColor="text1"/>
                                  <w:kern w:val="24"/>
                                  <w:sz w:val="16"/>
                                  <w:szCs w:val="16"/>
                                </w:rPr>
                                <w:t>No</w:t>
                              </w:r>
                            </w:p>
                          </w:txbxContent>
                        </v:textbox>
                      </v:shape>
                      <v:shape id="Text Box 56" o:spid="_x0000_s1060" type="#_x0000_t202" style="position:absolute;left:8554;top:27217;width:470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DYMMA&#10;AADcAAAADwAAAGRycy9kb3ducmV2LnhtbESPT2vCQBTE7wW/w/IEb3WjYFuiq4h/wEMvtfH+yL5m&#10;Q7NvQ/Zp4rd3hUKPw8z8hlltBt+oG3WxDmxgNs1AEZfB1lwZKL6Prx+goiBbbAKTgTtF2KxHLyvM&#10;bej5i25nqVSCcMzRgBNpc61j6chjnIaWOHk/ofMoSXaVth32Ce4bPc+yN+2x5rTgsKWdo/L3fPUG&#10;ROx2di8OPp4uw+e+d1m5wMKYyXjYLkEJDfIf/mufrIH5+w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ADYMMAAADcAAAADwAAAAAAAAAAAAAAAACYAgAAZHJzL2Rv&#10;d25yZXYueG1sUEsFBgAAAAAEAAQA9QAAAIgDAAAAAA==&#10;" filled="f" stroked="f">
                        <v:textbox style="mso-fit-shape-to-text:t">
                          <w:txbxContent>
                            <w:p w:rsidR="007D6AC3" w:rsidRDefault="007D6AC3" w:rsidP="00F02D9D">
                              <w:pPr>
                                <w:pStyle w:val="NormalWeb"/>
                                <w:spacing w:before="0" w:beforeAutospacing="0" w:after="0" w:afterAutospacing="0"/>
                              </w:pPr>
                              <w:r>
                                <w:rPr>
                                  <w:rFonts w:asciiTheme="minorHAnsi" w:hAnsi="Cambria" w:cstheme="minorBidi"/>
                                  <w:color w:val="000000" w:themeColor="text1"/>
                                  <w:kern w:val="24"/>
                                  <w:sz w:val="16"/>
                                  <w:szCs w:val="16"/>
                                </w:rPr>
                                <w:t>Yes</w:t>
                              </w:r>
                            </w:p>
                          </w:txbxContent>
                        </v:textbox>
                      </v:shape>
                      <v:shape id="Text Box 57" o:spid="_x0000_s1061" type="#_x0000_t202" style="position:absolute;left:10696;top:20321;width:3144;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F8MA&#10;AADcAAAADwAAAGRycy9kb3ducmV2LnhtbESPT2vCQBTE7wW/w/IEb3WjoC3RVcQ/4KGX2nh/ZF+z&#10;odm3Ifs08du7hUKPw8z8hllvB9+oO3WxDmxgNs1AEZfB1lwZKL5Or++goiBbbAKTgQdF2G5GL2vM&#10;bej5k+4XqVSCcMzRgBNpc61j6chjnIaWOHnfofMoSXaVth32Ce4bPc+ypfZYc1pw2NLeUflzuXkD&#10;InY3exRHH8/X4ePQu6xcYGHMZDzsVqCEBvkP/7XP1sD8bQm/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dF8MAAADcAAAADwAAAAAAAAAAAAAAAACYAgAAZHJzL2Rv&#10;d25yZXYueG1sUEsFBgAAAAAEAAQA9QAAAIgDAAAAAA==&#10;" filled="f" stroked="f">
                        <v:textbox style="mso-fit-shape-to-text:t">
                          <w:txbxContent>
                            <w:p w:rsidR="007D6AC3" w:rsidRDefault="007D6AC3" w:rsidP="00F02D9D">
                              <w:pPr>
                                <w:pStyle w:val="NormalWeb"/>
                                <w:spacing w:before="0" w:beforeAutospacing="0" w:after="0" w:afterAutospacing="0"/>
                              </w:pPr>
                              <w:r>
                                <w:rPr>
                                  <w:rFonts w:asciiTheme="minorHAnsi" w:hAnsi="Cambria" w:cstheme="minorBidi"/>
                                  <w:color w:val="000000" w:themeColor="text1"/>
                                  <w:kern w:val="24"/>
                                  <w:sz w:val="16"/>
                                  <w:szCs w:val="16"/>
                                </w:rPr>
                                <w:t>No</w:t>
                              </w:r>
                            </w:p>
                          </w:txbxContent>
                        </v:textbox>
                      </v:shape>
                      <w10:anchorlock/>
                    </v:group>
                  </w:pict>
                </mc:Fallback>
              </mc:AlternateContent>
            </w:r>
          </w:p>
          <w:p w:rsidR="00F02D9D" w:rsidRPr="003C63AC" w:rsidRDefault="00F02D9D" w:rsidP="001C0546">
            <w:pPr>
              <w:spacing w:before="60" w:after="60"/>
              <w:jc w:val="center"/>
              <w:rPr>
                <w:sz w:val="16"/>
                <w:szCs w:val="16"/>
              </w:rPr>
            </w:pPr>
          </w:p>
        </w:tc>
      </w:tr>
      <w:tr w:rsidR="00F02D9D" w:rsidRPr="003C63AC" w:rsidTr="001C0546">
        <w:tc>
          <w:tcPr>
            <w:tcW w:w="9639" w:type="dxa"/>
            <w:vAlign w:val="center"/>
          </w:tcPr>
          <w:p w:rsidR="00F02D9D" w:rsidRPr="003C63AC" w:rsidRDefault="003A11DE" w:rsidP="001C0546">
            <w:pPr>
              <w:spacing w:before="60" w:after="60"/>
              <w:rPr>
                <w:i/>
              </w:rPr>
            </w:pPr>
            <w:r w:rsidRPr="003C63AC">
              <w:rPr>
                <w:i/>
                <w:sz w:val="20"/>
              </w:rPr>
              <w:t xml:space="preserve">Figure </w:t>
            </w:r>
            <w:r w:rsidR="00F005B2" w:rsidRPr="003C63AC">
              <w:rPr>
                <w:i/>
                <w:sz w:val="20"/>
              </w:rPr>
              <w:fldChar w:fldCharType="begin"/>
            </w:r>
            <w:r w:rsidRPr="003C63AC">
              <w:rPr>
                <w:i/>
                <w:sz w:val="20"/>
              </w:rPr>
              <w:instrText xml:space="preserve"> SEQ Figure \* ARABIC </w:instrText>
            </w:r>
            <w:r w:rsidR="00F005B2" w:rsidRPr="003C63AC">
              <w:rPr>
                <w:i/>
                <w:sz w:val="20"/>
              </w:rPr>
              <w:fldChar w:fldCharType="separate"/>
            </w:r>
            <w:r w:rsidR="00DE265F">
              <w:rPr>
                <w:i/>
                <w:noProof/>
                <w:sz w:val="20"/>
              </w:rPr>
              <w:t>5</w:t>
            </w:r>
            <w:r w:rsidR="00F005B2" w:rsidRPr="003C63AC">
              <w:rPr>
                <w:i/>
                <w:sz w:val="20"/>
              </w:rPr>
              <w:fldChar w:fldCharType="end"/>
            </w:r>
            <w:r w:rsidR="00F02D9D" w:rsidRPr="003C63AC">
              <w:rPr>
                <w:i/>
                <w:sz w:val="20"/>
              </w:rPr>
              <w:t>: ELV Decision tree from original ownership to final disposal and treatment.</w:t>
            </w:r>
          </w:p>
        </w:tc>
      </w:tr>
    </w:tbl>
    <w:p w:rsidR="00F02D9D" w:rsidRPr="003C63AC" w:rsidRDefault="00F02D9D" w:rsidP="00A031DD"/>
    <w:p w:rsidR="00B748F9" w:rsidRPr="003C63AC" w:rsidRDefault="00B748F9" w:rsidP="00B748F9">
      <w:pPr>
        <w:pStyle w:val="Heading2"/>
        <w:ind w:left="567"/>
      </w:pPr>
      <w:bookmarkStart w:id="16" w:name="_Toc430778976"/>
      <w:r w:rsidRPr="003C63AC">
        <w:t xml:space="preserve">Average </w:t>
      </w:r>
      <w:r w:rsidR="00037150" w:rsidRPr="003C63AC">
        <w:t xml:space="preserve">refrigerant </w:t>
      </w:r>
      <w:r w:rsidRPr="003C63AC">
        <w:t>charge of ELVs</w:t>
      </w:r>
      <w:bookmarkEnd w:id="16"/>
    </w:p>
    <w:p w:rsidR="00FA6FFA" w:rsidRPr="00AD4F11" w:rsidRDefault="00FA6FFA" w:rsidP="00FA6FFA">
      <w:r w:rsidRPr="003C63AC">
        <w:t>For the purpose of estimating the average charge of refrigerant in ELVs, vehicles that have entered the ELV population as the result of some damaging event, and those that have simply been retired from service</w:t>
      </w:r>
      <w:r w:rsidR="006E29B1">
        <w:t>,</w:t>
      </w:r>
      <w:r w:rsidRPr="003C63AC">
        <w:t xml:space="preserve"> are treated differently.</w:t>
      </w:r>
    </w:p>
    <w:p w:rsidR="008A7766" w:rsidRPr="003C63AC" w:rsidRDefault="00FA6FFA" w:rsidP="00FA6FFA">
      <w:r w:rsidRPr="005728F4">
        <w:t>The average residual charge of refrigerant gas in MACs found in ELVs in Australia t</w:t>
      </w:r>
      <w:r w:rsidRPr="000F5EF8">
        <w:t>hat have been sent to auction</w:t>
      </w:r>
      <w:r w:rsidR="008A7766" w:rsidRPr="004F1732">
        <w:t>,</w:t>
      </w:r>
      <w:r w:rsidRPr="004F1732">
        <w:t xml:space="preserve"> after being written off by an insurance assessor</w:t>
      </w:r>
      <w:r w:rsidR="008A7766" w:rsidRPr="00AD02ED">
        <w:t>,</w:t>
      </w:r>
      <w:r w:rsidRPr="00D357AA">
        <w:t xml:space="preserve"> is estimated to be 230 grams. This value is based on a large sample of 28,706 ELVs tested by RRA in </w:t>
      </w:r>
      <w:r w:rsidR="00761CBF">
        <w:t>auction</w:t>
      </w:r>
      <w:r w:rsidR="00761CBF" w:rsidRPr="00D357AA">
        <w:t xml:space="preserve"> </w:t>
      </w:r>
      <w:r w:rsidRPr="00D357AA">
        <w:t xml:space="preserve">yards during a </w:t>
      </w:r>
      <w:r w:rsidR="003C63AC" w:rsidRPr="00920E28">
        <w:t>fifteen-month</w:t>
      </w:r>
      <w:r w:rsidRPr="003C63AC">
        <w:t xml:space="preserve"> campaign between November 2009 and March 2011. The RRA program recovered gas from vehicles in the salvage yard section of auction houses in Sydney and the NSW central coast. </w:t>
      </w:r>
    </w:p>
    <w:p w:rsidR="00FA6FFA" w:rsidRPr="003C63AC" w:rsidRDefault="00FA6FFA" w:rsidP="00FA6FFA">
      <w:r w:rsidRPr="003C63AC">
        <w:t xml:space="preserve">It is logical to assume that very few uninsured or older vehicles would be assigned to auction after damage in a collision by a private owner. The value of a vehicle that was not worth insuring would generally not be high in the first place, and auction fees </w:t>
      </w:r>
      <w:r w:rsidR="008A7766" w:rsidRPr="003C63AC">
        <w:t xml:space="preserve">quickly outweigh the potential returns </w:t>
      </w:r>
      <w:r w:rsidRPr="003C63AC">
        <w:t xml:space="preserve">when the value of a damaged vehicle is low. </w:t>
      </w:r>
    </w:p>
    <w:p w:rsidR="00FA6FFA" w:rsidRPr="003C63AC" w:rsidRDefault="00FA6FFA" w:rsidP="00FA6FFA">
      <w:r w:rsidRPr="003C63AC">
        <w:t xml:space="preserve">Thus the overwhelming majority </w:t>
      </w:r>
      <w:r w:rsidR="00EC546B" w:rsidRPr="003C63AC">
        <w:t>of damaged</w:t>
      </w:r>
      <w:r w:rsidR="008A7766" w:rsidRPr="003C63AC">
        <w:t xml:space="preserve"> </w:t>
      </w:r>
      <w:r w:rsidRPr="003C63AC">
        <w:t xml:space="preserve">vehicles </w:t>
      </w:r>
      <w:r w:rsidR="008A7766" w:rsidRPr="003C63AC">
        <w:t xml:space="preserve">sold at auction </w:t>
      </w:r>
      <w:r w:rsidRPr="003C63AC">
        <w:t xml:space="preserve">were almost certainly vehicles that had been consigned by insurance companies. </w:t>
      </w:r>
    </w:p>
    <w:p w:rsidR="00CF4761" w:rsidRDefault="00FA6FFA" w:rsidP="00FA6FFA">
      <w:r w:rsidRPr="003C63AC">
        <w:t>Under the RRA testing program, the average charge of cars that were found to have any refrigerant gas at all was 5</w:t>
      </w:r>
      <w:r w:rsidR="00EA1E4D">
        <w:t>50</w:t>
      </w:r>
      <w:r w:rsidRPr="003C63AC">
        <w:t xml:space="preserve"> grams</w:t>
      </w:r>
      <w:r w:rsidR="00747E07">
        <w:t xml:space="preserve">. Given the </w:t>
      </w:r>
      <w:r w:rsidR="00CF4761">
        <w:t xml:space="preserve">average range of </w:t>
      </w:r>
      <w:r w:rsidR="00747E07">
        <w:t>600 to 700 gram</w:t>
      </w:r>
      <w:r w:rsidR="00EA33C1">
        <w:t>s</w:t>
      </w:r>
      <w:r w:rsidR="00747E07">
        <w:t xml:space="preserve"> </w:t>
      </w:r>
      <w:r w:rsidR="003D4997">
        <w:t xml:space="preserve">refrigerant </w:t>
      </w:r>
      <w:r w:rsidR="00747E07">
        <w:t>charge size of vehicles in the current fleet</w:t>
      </w:r>
      <w:r w:rsidRPr="003C63AC">
        <w:t xml:space="preserve">, </w:t>
      </w:r>
      <w:r w:rsidR="00747E07">
        <w:t xml:space="preserve">this </w:t>
      </w:r>
      <w:r w:rsidRPr="003C63AC">
        <w:t>indicat</w:t>
      </w:r>
      <w:r w:rsidR="00747E07">
        <w:t xml:space="preserve">es </w:t>
      </w:r>
      <w:r w:rsidRPr="003C63AC">
        <w:t xml:space="preserve">that many of the MACs in those vehicles were </w:t>
      </w:r>
      <w:r w:rsidR="00AD608A">
        <w:t>near to</w:t>
      </w:r>
      <w:r w:rsidRPr="003C63AC">
        <w:t xml:space="preserve"> fully charged.</w:t>
      </w:r>
    </w:p>
    <w:p w:rsidR="00CF4761" w:rsidRDefault="00CF4761" w:rsidP="00CF4761">
      <w:pPr>
        <w:pStyle w:val="FootnoteText"/>
      </w:pPr>
    </w:p>
    <w:p w:rsidR="00CF4761" w:rsidRPr="00CF4761" w:rsidRDefault="00CF4761" w:rsidP="003F0A19">
      <w:pPr>
        <w:pStyle w:val="FootnoteText"/>
      </w:pPr>
      <w:r w:rsidRPr="00CF4761">
        <w:rPr>
          <w:rFonts w:ascii="Times New Roman" w:hAnsi="Times New Roman"/>
          <w:i w:val="0"/>
          <w:sz w:val="22"/>
        </w:rPr>
        <w:t>Th</w:t>
      </w:r>
      <w:r>
        <w:rPr>
          <w:rFonts w:ascii="Times New Roman" w:hAnsi="Times New Roman"/>
          <w:i w:val="0"/>
          <w:sz w:val="22"/>
        </w:rPr>
        <w:t xml:space="preserve">is result was somewhat surprising as there was an expectation that ELVs might generally be found to have a smaller proportion of the working charge remaining. </w:t>
      </w:r>
      <w:r w:rsidRPr="00CF4761">
        <w:rPr>
          <w:rFonts w:ascii="Times New Roman" w:hAnsi="Times New Roman"/>
          <w:i w:val="0"/>
          <w:sz w:val="22"/>
        </w:rPr>
        <w:t xml:space="preserve"> </w:t>
      </w:r>
      <w:r>
        <w:rPr>
          <w:rFonts w:ascii="Times New Roman" w:hAnsi="Times New Roman"/>
          <w:i w:val="0"/>
          <w:sz w:val="22"/>
        </w:rPr>
        <w:t>A</w:t>
      </w:r>
      <w:r w:rsidRPr="00CF4761">
        <w:rPr>
          <w:rFonts w:ascii="Times New Roman" w:hAnsi="Times New Roman"/>
          <w:i w:val="0"/>
          <w:sz w:val="22"/>
        </w:rPr>
        <w:t xml:space="preserve">verage charge of vehicles imported over the last seven years </w:t>
      </w:r>
      <w:r w:rsidRPr="003F0A19">
        <w:rPr>
          <w:rFonts w:ascii="Times New Roman" w:hAnsi="Times New Roman"/>
          <w:i w:val="0"/>
          <w:sz w:val="22"/>
        </w:rPr>
        <w:t>was 610 grams (</w:t>
      </w:r>
      <w:r w:rsidRPr="00CF4761">
        <w:rPr>
          <w:rFonts w:ascii="Times New Roman" w:hAnsi="Times New Roman"/>
          <w:i w:val="0"/>
          <w:sz w:val="22"/>
        </w:rPr>
        <w:t>calculated from DoE pre-charged import data from more than 5 million vehicles), however older vehicles in the fl</w:t>
      </w:r>
      <w:r w:rsidRPr="003F0A19">
        <w:rPr>
          <w:rFonts w:ascii="Times New Roman" w:hAnsi="Times New Roman"/>
          <w:i w:val="0"/>
          <w:sz w:val="22"/>
        </w:rPr>
        <w:t xml:space="preserve">eet manufactured in the 1990s </w:t>
      </w:r>
      <w:r>
        <w:rPr>
          <w:rFonts w:ascii="Times New Roman" w:hAnsi="Times New Roman"/>
          <w:i w:val="0"/>
          <w:sz w:val="22"/>
        </w:rPr>
        <w:t>and</w:t>
      </w:r>
      <w:r w:rsidRPr="00CF4761">
        <w:rPr>
          <w:rFonts w:ascii="Times New Roman" w:hAnsi="Times New Roman"/>
          <w:i w:val="0"/>
          <w:sz w:val="22"/>
        </w:rPr>
        <w:t xml:space="preserve"> before would typically have charges of </w:t>
      </w:r>
      <w:r>
        <w:rPr>
          <w:rFonts w:ascii="Times New Roman" w:hAnsi="Times New Roman"/>
          <w:i w:val="0"/>
          <w:sz w:val="22"/>
        </w:rPr>
        <w:t xml:space="preserve">ranging from </w:t>
      </w:r>
      <w:r w:rsidRPr="00CF4761">
        <w:rPr>
          <w:rFonts w:ascii="Times New Roman" w:hAnsi="Times New Roman"/>
          <w:i w:val="0"/>
          <w:sz w:val="22"/>
        </w:rPr>
        <w:t xml:space="preserve">700 grams </w:t>
      </w:r>
      <w:r>
        <w:rPr>
          <w:rFonts w:ascii="Times New Roman" w:hAnsi="Times New Roman"/>
          <w:i w:val="0"/>
          <w:sz w:val="22"/>
        </w:rPr>
        <w:t>up to as much as a kilogram. Given that the data source was reliable and the method of collection was sound, it has to be accepted that ELVs with any charge left in them, will commonly have the majority of the working charge still in place</w:t>
      </w:r>
      <w:r w:rsidRPr="00CF4761">
        <w:rPr>
          <w:rFonts w:ascii="Times New Roman" w:hAnsi="Times New Roman"/>
          <w:i w:val="0"/>
          <w:sz w:val="22"/>
        </w:rPr>
        <w:t>.</w:t>
      </w:r>
    </w:p>
    <w:p w:rsidR="00920021" w:rsidRPr="003C63AC" w:rsidRDefault="00FA6FFA" w:rsidP="00FA6FFA">
      <w:r w:rsidRPr="003C63AC">
        <w:t>However, 5</w:t>
      </w:r>
      <w:r w:rsidR="00EA1E4D">
        <w:t>8</w:t>
      </w:r>
      <w:r w:rsidR="009D1919" w:rsidRPr="003C63AC">
        <w:t xml:space="preserve"> per cent</w:t>
      </w:r>
      <w:r w:rsidRPr="003C63AC">
        <w:t xml:space="preserve"> of all the salvage cars tested (16,765) had no residual charge at all. This is almost certainly as a result of this population of ELVs suffering damage caused by a </w:t>
      </w:r>
      <w:r w:rsidR="003C63AC" w:rsidRPr="003C63AC">
        <w:t>front-end</w:t>
      </w:r>
      <w:r w:rsidRPr="003C63AC">
        <w:t xml:space="preserve"> collision, the event that has resulted in the vehicle being written off.</w:t>
      </w:r>
    </w:p>
    <w:p w:rsidR="00AC167C" w:rsidRPr="003C63AC" w:rsidRDefault="00AC167C" w:rsidP="00FA7D86">
      <w:pPr>
        <w:spacing w:before="0"/>
        <w:jc w:val="left"/>
      </w:pPr>
    </w:p>
    <w:p w:rsidR="00FA7D86" w:rsidRPr="003C63AC" w:rsidRDefault="0071696C" w:rsidP="0071696C">
      <w:pPr>
        <w:rPr>
          <w:i/>
          <w:szCs w:val="22"/>
        </w:rPr>
      </w:pPr>
      <w:r w:rsidRPr="003C63AC">
        <w:rPr>
          <w:i/>
          <w:szCs w:val="22"/>
        </w:rPr>
        <w:t xml:space="preserve">Table </w:t>
      </w:r>
      <w:r w:rsidR="00F005B2" w:rsidRPr="003C63AC">
        <w:rPr>
          <w:i/>
          <w:szCs w:val="22"/>
        </w:rPr>
        <w:fldChar w:fldCharType="begin"/>
      </w:r>
      <w:r w:rsidRPr="003C63AC">
        <w:rPr>
          <w:i/>
          <w:szCs w:val="22"/>
        </w:rPr>
        <w:instrText xml:space="preserve"> SEQ Table \* ARABIC </w:instrText>
      </w:r>
      <w:r w:rsidR="00F005B2" w:rsidRPr="003C63AC">
        <w:rPr>
          <w:i/>
          <w:szCs w:val="22"/>
        </w:rPr>
        <w:fldChar w:fldCharType="separate"/>
      </w:r>
      <w:r w:rsidR="00DE265F">
        <w:rPr>
          <w:i/>
          <w:noProof/>
          <w:szCs w:val="22"/>
        </w:rPr>
        <w:t>3</w:t>
      </w:r>
      <w:r w:rsidR="00F005B2" w:rsidRPr="003C63AC">
        <w:rPr>
          <w:i/>
          <w:szCs w:val="22"/>
        </w:rPr>
        <w:fldChar w:fldCharType="end"/>
      </w:r>
      <w:r w:rsidRPr="003C63AC">
        <w:rPr>
          <w:i/>
          <w:szCs w:val="22"/>
        </w:rPr>
        <w:t xml:space="preserve">: Auction House Salvage Yard Refrigerant Recoveries from </w:t>
      </w:r>
      <w:r w:rsidR="00424B06" w:rsidRPr="003C63AC">
        <w:rPr>
          <w:i/>
          <w:szCs w:val="22"/>
        </w:rPr>
        <w:t xml:space="preserve">RRA Testing Program </w:t>
      </w:r>
      <w:r w:rsidRPr="003C63AC">
        <w:rPr>
          <w:i/>
          <w:szCs w:val="22"/>
        </w:rPr>
        <w:t>2009 to 2011.</w:t>
      </w:r>
    </w:p>
    <w:tbl>
      <w:tblPr>
        <w:tblW w:w="9654" w:type="dxa"/>
        <w:tblInd w:w="93" w:type="dxa"/>
        <w:tblLayout w:type="fixed"/>
        <w:tblLook w:val="04A0" w:firstRow="1" w:lastRow="0" w:firstColumn="1" w:lastColumn="0" w:noHBand="0" w:noVBand="1"/>
      </w:tblPr>
      <w:tblGrid>
        <w:gridCol w:w="1380"/>
        <w:gridCol w:w="1379"/>
        <w:gridCol w:w="1379"/>
        <w:gridCol w:w="1379"/>
        <w:gridCol w:w="1379"/>
        <w:gridCol w:w="1379"/>
        <w:gridCol w:w="1379"/>
      </w:tblGrid>
      <w:tr w:rsidR="002F5A72" w:rsidRPr="003C63AC" w:rsidTr="00E227BC">
        <w:trPr>
          <w:trHeight w:val="300"/>
        </w:trPr>
        <w:tc>
          <w:tcPr>
            <w:tcW w:w="3686" w:type="dxa"/>
            <w:gridSpan w:val="3"/>
            <w:tcBorders>
              <w:top w:val="single" w:sz="4" w:space="0" w:color="auto"/>
              <w:left w:val="single" w:sz="4" w:space="0" w:color="auto"/>
              <w:bottom w:val="single" w:sz="4" w:space="0" w:color="FFFFFF" w:themeColor="background1"/>
              <w:right w:val="single" w:sz="4" w:space="0" w:color="FFFFFF" w:themeColor="background1"/>
            </w:tcBorders>
            <w:shd w:val="clear" w:color="auto" w:fill="0C0C0C"/>
            <w:noWrap/>
            <w:vAlign w:val="center"/>
            <w:hideMark/>
          </w:tcPr>
          <w:p w:rsidR="002F5A72" w:rsidRPr="000F5EF8" w:rsidRDefault="002F5A72" w:rsidP="0071696C">
            <w:pPr>
              <w:spacing w:after="120"/>
              <w:jc w:val="center"/>
              <w:rPr>
                <w:rFonts w:eastAsia="Times New Roman" w:cs="Times New Roman"/>
                <w:color w:val="FFFFFF" w:themeColor="background1"/>
                <w:szCs w:val="22"/>
                <w:lang w:eastAsia="en-AU"/>
              </w:rPr>
            </w:pPr>
            <w:r w:rsidRPr="000F5EF8">
              <w:rPr>
                <w:rFonts w:eastAsia="Times New Roman" w:cs="Times New Roman"/>
                <w:color w:val="FFFFFF" w:themeColor="background1"/>
                <w:szCs w:val="22"/>
                <w:lang w:eastAsia="en-AU"/>
              </w:rPr>
              <w:lastRenderedPageBreak/>
              <w:t xml:space="preserve">Number of vehicles </w:t>
            </w:r>
            <w:r>
              <w:rPr>
                <w:rFonts w:eastAsia="Times New Roman" w:cs="Times New Roman"/>
                <w:color w:val="FFFFFF" w:themeColor="background1"/>
                <w:szCs w:val="22"/>
                <w:lang w:eastAsia="en-AU"/>
              </w:rPr>
              <w:t xml:space="preserve">tested </w:t>
            </w:r>
            <w:r w:rsidRPr="000F5EF8">
              <w:rPr>
                <w:rFonts w:eastAsia="Times New Roman" w:cs="Times New Roman"/>
                <w:color w:val="FFFFFF" w:themeColor="background1"/>
                <w:szCs w:val="22"/>
                <w:lang w:eastAsia="en-AU"/>
              </w:rPr>
              <w:t>with:</w:t>
            </w:r>
          </w:p>
        </w:tc>
        <w:tc>
          <w:tcPr>
            <w:tcW w:w="3686"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C0C0C"/>
            <w:hideMark/>
          </w:tcPr>
          <w:p w:rsidR="002F5A72" w:rsidRPr="00920E28" w:rsidRDefault="002F5A72" w:rsidP="00E227BC">
            <w:pPr>
              <w:spacing w:after="120"/>
              <w:jc w:val="center"/>
              <w:rPr>
                <w:rFonts w:eastAsia="Times New Roman" w:cs="Times New Roman"/>
                <w:color w:val="FFFFFF" w:themeColor="background1"/>
                <w:szCs w:val="22"/>
                <w:lang w:eastAsia="en-AU"/>
              </w:rPr>
            </w:pPr>
            <w:r w:rsidRPr="00AD02ED">
              <w:rPr>
                <w:rFonts w:eastAsia="Times New Roman" w:cs="Times New Roman"/>
                <w:color w:val="FFFFFF" w:themeColor="background1"/>
                <w:szCs w:val="22"/>
                <w:lang w:eastAsia="en-AU"/>
              </w:rPr>
              <w:t>Sum of vehicles</w:t>
            </w:r>
            <w:r w:rsidRPr="00D357AA">
              <w:rPr>
                <w:rFonts w:eastAsia="Times New Roman" w:cs="Times New Roman"/>
                <w:color w:val="FFFFFF" w:themeColor="background1"/>
                <w:szCs w:val="22"/>
                <w:lang w:eastAsia="en-AU"/>
              </w:rPr>
              <w:t xml:space="preserve"> tested</w:t>
            </w:r>
          </w:p>
        </w:tc>
        <w:tc>
          <w:tcPr>
            <w:tcW w:w="3686" w:type="dxa"/>
            <w:vMerge w:val="restart"/>
            <w:tcBorders>
              <w:top w:val="single" w:sz="4" w:space="0" w:color="auto"/>
              <w:left w:val="single" w:sz="4" w:space="0" w:color="FFFFFF" w:themeColor="background1"/>
              <w:right w:val="single" w:sz="4" w:space="0" w:color="FFFFFF" w:themeColor="background1"/>
            </w:tcBorders>
            <w:shd w:val="clear" w:color="auto" w:fill="0C0C0C"/>
          </w:tcPr>
          <w:p w:rsidR="002F5A72" w:rsidRPr="003C63AC" w:rsidRDefault="002F5A72" w:rsidP="00E227BC">
            <w:pPr>
              <w:spacing w:after="120"/>
              <w:jc w:val="center"/>
              <w:rPr>
                <w:rFonts w:eastAsia="Times New Roman" w:cs="Times New Roman"/>
                <w:color w:val="FFFFFF" w:themeColor="background1"/>
                <w:szCs w:val="22"/>
                <w:lang w:eastAsia="en-AU"/>
              </w:rPr>
            </w:pPr>
            <w:r w:rsidRPr="00AD4F11">
              <w:rPr>
                <w:rFonts w:eastAsia="Times New Roman" w:cs="Times New Roman"/>
                <w:color w:val="FFFFFF" w:themeColor="background1"/>
                <w:szCs w:val="22"/>
                <w:lang w:eastAsia="en-AU"/>
              </w:rPr>
              <w:t>Total refrigerant recovered  (kilograms)</w:t>
            </w:r>
          </w:p>
        </w:tc>
        <w:tc>
          <w:tcPr>
            <w:tcW w:w="3686"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C0C0C"/>
            <w:hideMark/>
          </w:tcPr>
          <w:p w:rsidR="002F5A72" w:rsidRPr="003C63AC" w:rsidRDefault="002F5A72" w:rsidP="00E227BC">
            <w:pPr>
              <w:spacing w:after="120"/>
              <w:jc w:val="center"/>
              <w:rPr>
                <w:rFonts w:eastAsia="Times New Roman" w:cs="Times New Roman"/>
                <w:color w:val="FFFFFF" w:themeColor="background1"/>
                <w:szCs w:val="22"/>
                <w:lang w:eastAsia="en-AU"/>
              </w:rPr>
            </w:pPr>
            <w:r w:rsidRPr="003C63AC">
              <w:rPr>
                <w:rFonts w:eastAsia="Times New Roman" w:cs="Times New Roman"/>
                <w:color w:val="FFFFFF" w:themeColor="background1"/>
                <w:szCs w:val="22"/>
                <w:lang w:eastAsia="en-AU"/>
              </w:rPr>
              <w:t xml:space="preserve">Average charge per vehicle </w:t>
            </w:r>
            <w:r>
              <w:rPr>
                <w:rFonts w:eastAsia="Times New Roman" w:cs="Times New Roman"/>
                <w:color w:val="FFFFFF" w:themeColor="background1"/>
                <w:szCs w:val="22"/>
                <w:lang w:eastAsia="en-AU"/>
              </w:rPr>
              <w:t xml:space="preserve">with gas          </w:t>
            </w:r>
            <w:r w:rsidRPr="003C63AC">
              <w:rPr>
                <w:rFonts w:eastAsia="Times New Roman" w:cs="Times New Roman"/>
                <w:color w:val="FFFFFF" w:themeColor="background1"/>
                <w:szCs w:val="22"/>
                <w:lang w:eastAsia="en-AU"/>
              </w:rPr>
              <w:t>(grams)</w:t>
            </w:r>
          </w:p>
        </w:tc>
        <w:tc>
          <w:tcPr>
            <w:tcW w:w="3686" w:type="dxa"/>
            <w:vMerge w:val="restart"/>
            <w:tcBorders>
              <w:top w:val="single" w:sz="4" w:space="0" w:color="auto"/>
              <w:left w:val="single" w:sz="4" w:space="0" w:color="FFFFFF" w:themeColor="background1"/>
              <w:bottom w:val="single" w:sz="4" w:space="0" w:color="FFFFFF" w:themeColor="background1"/>
            </w:tcBorders>
            <w:shd w:val="clear" w:color="auto" w:fill="0C0C0C"/>
            <w:hideMark/>
          </w:tcPr>
          <w:p w:rsidR="002F5A72" w:rsidRPr="003C63AC" w:rsidRDefault="002F5A72" w:rsidP="00E227BC">
            <w:pPr>
              <w:spacing w:after="120"/>
              <w:jc w:val="center"/>
              <w:rPr>
                <w:rFonts w:eastAsia="Times New Roman" w:cs="Times New Roman"/>
                <w:color w:val="FFFFFF" w:themeColor="background1"/>
                <w:szCs w:val="22"/>
                <w:lang w:eastAsia="en-AU"/>
              </w:rPr>
            </w:pPr>
            <w:r w:rsidRPr="003C63AC">
              <w:rPr>
                <w:rFonts w:eastAsia="Times New Roman" w:cs="Times New Roman"/>
                <w:color w:val="FFFFFF" w:themeColor="background1"/>
                <w:szCs w:val="22"/>
                <w:lang w:eastAsia="en-AU"/>
              </w:rPr>
              <w:t xml:space="preserve">Average charge per vehicle </w:t>
            </w:r>
            <w:r>
              <w:rPr>
                <w:rFonts w:eastAsia="Times New Roman" w:cs="Times New Roman"/>
                <w:color w:val="FFFFFF" w:themeColor="background1"/>
                <w:szCs w:val="22"/>
                <w:lang w:eastAsia="en-AU"/>
              </w:rPr>
              <w:t xml:space="preserve">across all vehicles </w:t>
            </w:r>
            <w:r w:rsidRPr="003C63AC">
              <w:rPr>
                <w:rFonts w:eastAsia="Times New Roman" w:cs="Times New Roman"/>
                <w:color w:val="FFFFFF" w:themeColor="background1"/>
                <w:szCs w:val="22"/>
                <w:lang w:eastAsia="en-AU"/>
              </w:rPr>
              <w:t>(grams)</w:t>
            </w:r>
          </w:p>
        </w:tc>
      </w:tr>
      <w:tr w:rsidR="002F5A72" w:rsidRPr="003C63AC" w:rsidTr="00E227BC">
        <w:trPr>
          <w:trHeight w:val="615"/>
        </w:trPr>
        <w:tc>
          <w:tcPr>
            <w:tcW w:w="3686" w:type="dxa"/>
            <w:tcBorders>
              <w:top w:val="single" w:sz="4" w:space="0" w:color="FFFFFF" w:themeColor="background1"/>
              <w:left w:val="single" w:sz="4" w:space="0" w:color="auto"/>
              <w:bottom w:val="single" w:sz="4" w:space="0" w:color="auto"/>
              <w:right w:val="single" w:sz="4" w:space="0" w:color="FFFFFF" w:themeColor="background1"/>
            </w:tcBorders>
            <w:shd w:val="clear" w:color="auto" w:fill="0C0C0C"/>
            <w:noWrap/>
            <w:vAlign w:val="center"/>
            <w:hideMark/>
          </w:tcPr>
          <w:p w:rsidR="002F5A72" w:rsidRPr="003C63AC" w:rsidRDefault="002F5A72" w:rsidP="0071696C">
            <w:pPr>
              <w:spacing w:after="120"/>
              <w:jc w:val="center"/>
              <w:rPr>
                <w:rFonts w:eastAsia="Times New Roman" w:cs="Times New Roman"/>
                <w:color w:val="FFFFFF" w:themeColor="background1"/>
                <w:szCs w:val="22"/>
                <w:lang w:eastAsia="en-AU"/>
              </w:rPr>
            </w:pPr>
            <w:r w:rsidRPr="003C63AC">
              <w:rPr>
                <w:rFonts w:eastAsia="Times New Roman" w:cs="Times New Roman"/>
                <w:color w:val="FFFFFF" w:themeColor="background1"/>
                <w:szCs w:val="22"/>
                <w:lang w:eastAsia="en-AU"/>
              </w:rPr>
              <w:t>CFC- 12</w:t>
            </w:r>
          </w:p>
        </w:tc>
        <w:tc>
          <w:tcPr>
            <w:tcW w:w="36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C0C0C"/>
            <w:noWrap/>
            <w:vAlign w:val="center"/>
            <w:hideMark/>
          </w:tcPr>
          <w:p w:rsidR="002F5A72" w:rsidRPr="003C63AC" w:rsidRDefault="002F5A72" w:rsidP="0071696C">
            <w:pPr>
              <w:spacing w:after="120"/>
              <w:jc w:val="center"/>
              <w:rPr>
                <w:rFonts w:eastAsia="Times New Roman" w:cs="Times New Roman"/>
                <w:color w:val="FFFFFF" w:themeColor="background1"/>
                <w:szCs w:val="22"/>
                <w:lang w:eastAsia="en-AU"/>
              </w:rPr>
            </w:pPr>
            <w:r w:rsidRPr="003C63AC">
              <w:rPr>
                <w:rFonts w:eastAsia="Times New Roman" w:cs="Times New Roman"/>
                <w:color w:val="FFFFFF" w:themeColor="background1"/>
                <w:szCs w:val="22"/>
                <w:lang w:eastAsia="en-AU"/>
              </w:rPr>
              <w:t>HFC-134a</w:t>
            </w:r>
          </w:p>
        </w:tc>
        <w:tc>
          <w:tcPr>
            <w:tcW w:w="36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C0C0C"/>
            <w:noWrap/>
            <w:vAlign w:val="center"/>
            <w:hideMark/>
          </w:tcPr>
          <w:p w:rsidR="002F5A72" w:rsidRPr="003C63AC" w:rsidRDefault="002F5A72" w:rsidP="0071696C">
            <w:pPr>
              <w:spacing w:after="120"/>
              <w:jc w:val="center"/>
              <w:rPr>
                <w:rFonts w:eastAsia="Times New Roman" w:cs="Times New Roman"/>
                <w:color w:val="FFFFFF" w:themeColor="background1"/>
                <w:szCs w:val="22"/>
                <w:lang w:eastAsia="en-AU"/>
              </w:rPr>
            </w:pPr>
            <w:r w:rsidRPr="003C63AC">
              <w:rPr>
                <w:rFonts w:eastAsia="Times New Roman" w:cs="Times New Roman"/>
                <w:color w:val="FFFFFF" w:themeColor="background1"/>
                <w:szCs w:val="22"/>
                <w:lang w:eastAsia="en-AU"/>
              </w:rPr>
              <w:t>No charge</w:t>
            </w:r>
          </w:p>
        </w:tc>
        <w:tc>
          <w:tcPr>
            <w:tcW w:w="3686" w:type="dxa"/>
            <w:vMerge/>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0C0C0C"/>
            <w:hideMark/>
          </w:tcPr>
          <w:p w:rsidR="002F5A72" w:rsidRPr="003C63AC" w:rsidRDefault="002F5A72" w:rsidP="00E227BC">
            <w:pPr>
              <w:spacing w:after="120"/>
              <w:jc w:val="center"/>
              <w:rPr>
                <w:rFonts w:eastAsia="Times New Roman" w:cs="Times New Roman"/>
                <w:color w:val="FFFFFF" w:themeColor="background1"/>
                <w:szCs w:val="22"/>
                <w:lang w:eastAsia="en-AU"/>
              </w:rPr>
            </w:pPr>
          </w:p>
        </w:tc>
        <w:tc>
          <w:tcPr>
            <w:tcW w:w="3686" w:type="dxa"/>
            <w:vMerge/>
            <w:tcBorders>
              <w:left w:val="single" w:sz="4" w:space="0" w:color="FFFFFF" w:themeColor="background1"/>
              <w:bottom w:val="single" w:sz="4" w:space="0" w:color="000000"/>
              <w:right w:val="single" w:sz="4" w:space="0" w:color="FFFFFF" w:themeColor="background1"/>
            </w:tcBorders>
            <w:shd w:val="clear" w:color="auto" w:fill="0C0C0C"/>
          </w:tcPr>
          <w:p w:rsidR="002F5A72" w:rsidRPr="003C63AC" w:rsidRDefault="002F5A72" w:rsidP="00E227BC">
            <w:pPr>
              <w:spacing w:after="120"/>
              <w:jc w:val="center"/>
              <w:rPr>
                <w:rFonts w:eastAsia="Times New Roman" w:cs="Times New Roman"/>
                <w:color w:val="FFFFFF" w:themeColor="background1"/>
                <w:szCs w:val="22"/>
                <w:lang w:eastAsia="en-AU"/>
              </w:rPr>
            </w:pPr>
          </w:p>
        </w:tc>
        <w:tc>
          <w:tcPr>
            <w:tcW w:w="3686" w:type="dxa"/>
            <w:vMerge/>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0C0C0C"/>
            <w:hideMark/>
          </w:tcPr>
          <w:p w:rsidR="002F5A72" w:rsidRPr="003C63AC" w:rsidRDefault="002F5A72" w:rsidP="00E227BC">
            <w:pPr>
              <w:spacing w:after="120"/>
              <w:jc w:val="center"/>
              <w:rPr>
                <w:rFonts w:eastAsia="Times New Roman" w:cs="Times New Roman"/>
                <w:color w:val="FFFFFF" w:themeColor="background1"/>
                <w:szCs w:val="22"/>
                <w:lang w:eastAsia="en-AU"/>
              </w:rPr>
            </w:pPr>
          </w:p>
        </w:tc>
        <w:tc>
          <w:tcPr>
            <w:tcW w:w="3686" w:type="dxa"/>
            <w:vMerge/>
            <w:tcBorders>
              <w:top w:val="single" w:sz="4" w:space="0" w:color="FFFFFF" w:themeColor="background1"/>
              <w:left w:val="single" w:sz="4" w:space="0" w:color="FFFFFF" w:themeColor="background1"/>
              <w:bottom w:val="single" w:sz="4" w:space="0" w:color="000000"/>
            </w:tcBorders>
            <w:shd w:val="clear" w:color="auto" w:fill="0C0C0C"/>
            <w:hideMark/>
          </w:tcPr>
          <w:p w:rsidR="002F5A72" w:rsidRPr="003C63AC" w:rsidRDefault="002F5A72" w:rsidP="00E227BC">
            <w:pPr>
              <w:spacing w:after="120"/>
              <w:jc w:val="center"/>
              <w:rPr>
                <w:rFonts w:eastAsia="Times New Roman" w:cs="Times New Roman"/>
                <w:color w:val="FFFFFF" w:themeColor="background1"/>
                <w:szCs w:val="22"/>
                <w:lang w:eastAsia="en-AU"/>
              </w:rPr>
            </w:pPr>
          </w:p>
        </w:tc>
      </w:tr>
      <w:tr w:rsidR="002F5A72" w:rsidRPr="003C63AC" w:rsidTr="00E227BC">
        <w:trPr>
          <w:trHeight w:val="851"/>
        </w:trPr>
        <w:tc>
          <w:tcPr>
            <w:tcW w:w="3686" w:type="dxa"/>
            <w:tcBorders>
              <w:top w:val="single" w:sz="4" w:space="0" w:color="auto"/>
              <w:left w:val="single" w:sz="4" w:space="0" w:color="auto"/>
              <w:bottom w:val="single" w:sz="4" w:space="0" w:color="auto"/>
              <w:right w:val="nil"/>
            </w:tcBorders>
            <w:shd w:val="clear" w:color="auto" w:fill="auto"/>
            <w:noWrap/>
            <w:vAlign w:val="center"/>
            <w:hideMark/>
          </w:tcPr>
          <w:p w:rsidR="002F5A72" w:rsidRPr="003C63AC" w:rsidRDefault="002F5A72" w:rsidP="006E0E1C">
            <w:pPr>
              <w:spacing w:after="120"/>
              <w:jc w:val="center"/>
              <w:rPr>
                <w:rFonts w:eastAsia="Times New Roman" w:cs="Times New Roman"/>
                <w:color w:val="000000"/>
                <w:szCs w:val="22"/>
                <w:lang w:eastAsia="en-AU"/>
              </w:rPr>
            </w:pPr>
            <w:r w:rsidRPr="003C63AC">
              <w:rPr>
                <w:rFonts w:eastAsia="Times New Roman" w:cs="Times New Roman"/>
                <w:color w:val="000000"/>
                <w:szCs w:val="22"/>
                <w:lang w:eastAsia="en-AU"/>
              </w:rPr>
              <w:t>616</w:t>
            </w:r>
          </w:p>
        </w:tc>
        <w:tc>
          <w:tcPr>
            <w:tcW w:w="3686" w:type="dxa"/>
            <w:tcBorders>
              <w:top w:val="nil"/>
              <w:left w:val="single" w:sz="4" w:space="0" w:color="auto"/>
              <w:bottom w:val="single" w:sz="4" w:space="0" w:color="auto"/>
              <w:right w:val="nil"/>
            </w:tcBorders>
            <w:shd w:val="clear" w:color="auto" w:fill="auto"/>
            <w:noWrap/>
            <w:vAlign w:val="center"/>
            <w:hideMark/>
          </w:tcPr>
          <w:p w:rsidR="002F5A72" w:rsidRPr="003C63AC" w:rsidRDefault="002F5A72" w:rsidP="006E0E1C">
            <w:pPr>
              <w:spacing w:after="120"/>
              <w:jc w:val="center"/>
              <w:rPr>
                <w:rFonts w:eastAsia="Times New Roman" w:cs="Times New Roman"/>
                <w:color w:val="000000"/>
                <w:szCs w:val="22"/>
                <w:lang w:eastAsia="en-AU"/>
              </w:rPr>
            </w:pPr>
            <w:r w:rsidRPr="003C63AC">
              <w:rPr>
                <w:rFonts w:eastAsia="Times New Roman" w:cs="Times New Roman"/>
                <w:color w:val="000000"/>
                <w:szCs w:val="22"/>
                <w:lang w:eastAsia="en-AU"/>
              </w:rPr>
              <w:t>11,325</w:t>
            </w:r>
          </w:p>
        </w:tc>
        <w:tc>
          <w:tcPr>
            <w:tcW w:w="3686" w:type="dxa"/>
            <w:tcBorders>
              <w:top w:val="nil"/>
              <w:left w:val="single" w:sz="4" w:space="0" w:color="auto"/>
              <w:bottom w:val="single" w:sz="4" w:space="0" w:color="auto"/>
              <w:right w:val="nil"/>
            </w:tcBorders>
            <w:shd w:val="clear" w:color="auto" w:fill="auto"/>
            <w:noWrap/>
            <w:vAlign w:val="center"/>
            <w:hideMark/>
          </w:tcPr>
          <w:p w:rsidR="002F5A72" w:rsidRPr="003C63AC" w:rsidRDefault="002F5A72" w:rsidP="006E0E1C">
            <w:pPr>
              <w:spacing w:after="120"/>
              <w:jc w:val="center"/>
              <w:rPr>
                <w:rFonts w:eastAsia="Times New Roman" w:cs="Times New Roman"/>
                <w:color w:val="000000"/>
                <w:szCs w:val="22"/>
                <w:lang w:eastAsia="en-AU"/>
              </w:rPr>
            </w:pPr>
            <w:r w:rsidRPr="003C63AC">
              <w:rPr>
                <w:rFonts w:eastAsia="Times New Roman" w:cs="Times New Roman"/>
                <w:color w:val="000000"/>
                <w:szCs w:val="22"/>
                <w:lang w:eastAsia="en-AU"/>
              </w:rPr>
              <w:t>16,765</w:t>
            </w:r>
          </w:p>
        </w:tc>
        <w:tc>
          <w:tcPr>
            <w:tcW w:w="3686" w:type="dxa"/>
            <w:tcBorders>
              <w:top w:val="nil"/>
              <w:left w:val="single" w:sz="4" w:space="0" w:color="auto"/>
              <w:bottom w:val="single" w:sz="4" w:space="0" w:color="auto"/>
              <w:right w:val="nil"/>
            </w:tcBorders>
            <w:shd w:val="clear" w:color="auto" w:fill="auto"/>
            <w:noWrap/>
            <w:vAlign w:val="center"/>
            <w:hideMark/>
          </w:tcPr>
          <w:p w:rsidR="002F5A72" w:rsidRPr="003C63AC" w:rsidRDefault="002F5A72" w:rsidP="006E0E1C">
            <w:pPr>
              <w:spacing w:after="120"/>
              <w:jc w:val="center"/>
              <w:rPr>
                <w:rFonts w:eastAsia="Times New Roman" w:cs="Times New Roman"/>
                <w:color w:val="000000"/>
                <w:szCs w:val="22"/>
                <w:lang w:eastAsia="en-AU"/>
              </w:rPr>
            </w:pPr>
            <w:r w:rsidRPr="003C63AC">
              <w:rPr>
                <w:rFonts w:eastAsia="Times New Roman" w:cs="Times New Roman"/>
                <w:color w:val="000000"/>
                <w:szCs w:val="22"/>
                <w:lang w:eastAsia="en-AU"/>
              </w:rPr>
              <w:t>28,706</w:t>
            </w:r>
          </w:p>
        </w:tc>
        <w:tc>
          <w:tcPr>
            <w:tcW w:w="3686" w:type="dxa"/>
            <w:vMerge w:val="restart"/>
            <w:tcBorders>
              <w:top w:val="nil"/>
              <w:left w:val="single" w:sz="4" w:space="0" w:color="auto"/>
              <w:right w:val="single" w:sz="4" w:space="0" w:color="auto"/>
            </w:tcBorders>
            <w:vAlign w:val="center"/>
          </w:tcPr>
          <w:p w:rsidR="002F5A72" w:rsidRDefault="002F5A72" w:rsidP="002F5A72">
            <w:pPr>
              <w:spacing w:after="120"/>
              <w:jc w:val="center"/>
              <w:rPr>
                <w:rFonts w:eastAsia="Times New Roman" w:cs="Times New Roman"/>
                <w:color w:val="000000"/>
                <w:szCs w:val="22"/>
                <w:lang w:eastAsia="en-AU"/>
              </w:rPr>
            </w:pPr>
            <w:r>
              <w:rPr>
                <w:rFonts w:eastAsia="Times New Roman" w:cs="Times New Roman"/>
                <w:color w:val="000000"/>
                <w:szCs w:val="22"/>
                <w:lang w:eastAsia="en-AU"/>
              </w:rPr>
              <w:t>6,529</w:t>
            </w:r>
          </w:p>
        </w:tc>
        <w:tc>
          <w:tcPr>
            <w:tcW w:w="3686" w:type="dxa"/>
            <w:vMerge w:val="restart"/>
            <w:tcBorders>
              <w:top w:val="nil"/>
              <w:left w:val="single" w:sz="4" w:space="0" w:color="auto"/>
              <w:right w:val="single" w:sz="4" w:space="0" w:color="auto"/>
            </w:tcBorders>
            <w:shd w:val="clear" w:color="auto" w:fill="auto"/>
            <w:noWrap/>
            <w:vAlign w:val="center"/>
            <w:hideMark/>
          </w:tcPr>
          <w:p w:rsidR="002F5A72" w:rsidRPr="003C63AC" w:rsidRDefault="002F5A72" w:rsidP="002F5A72">
            <w:pPr>
              <w:spacing w:after="120"/>
              <w:jc w:val="center"/>
              <w:rPr>
                <w:rFonts w:eastAsia="Times New Roman" w:cs="Times New Roman"/>
                <w:color w:val="000000"/>
                <w:szCs w:val="22"/>
                <w:lang w:eastAsia="en-AU"/>
              </w:rPr>
            </w:pPr>
            <w:r>
              <w:rPr>
                <w:rFonts w:eastAsia="Times New Roman" w:cs="Times New Roman"/>
                <w:color w:val="000000"/>
                <w:szCs w:val="22"/>
                <w:lang w:eastAsia="en-AU"/>
              </w:rPr>
              <w:t>550</w:t>
            </w:r>
          </w:p>
        </w:tc>
        <w:tc>
          <w:tcPr>
            <w:tcW w:w="3686" w:type="dxa"/>
            <w:vMerge w:val="restart"/>
            <w:tcBorders>
              <w:top w:val="nil"/>
              <w:left w:val="nil"/>
              <w:right w:val="single" w:sz="4" w:space="0" w:color="auto"/>
            </w:tcBorders>
            <w:shd w:val="clear" w:color="auto" w:fill="auto"/>
            <w:noWrap/>
            <w:vAlign w:val="center"/>
            <w:hideMark/>
          </w:tcPr>
          <w:p w:rsidR="002F5A72" w:rsidRPr="003C63AC" w:rsidRDefault="002F5A72" w:rsidP="006E0E1C">
            <w:pPr>
              <w:spacing w:after="120"/>
              <w:jc w:val="center"/>
              <w:rPr>
                <w:rFonts w:eastAsia="Times New Roman" w:cs="Times New Roman"/>
                <w:color w:val="000000"/>
                <w:szCs w:val="22"/>
                <w:lang w:eastAsia="en-AU"/>
              </w:rPr>
            </w:pPr>
            <w:r>
              <w:rPr>
                <w:rFonts w:eastAsia="Times New Roman" w:cs="Times New Roman"/>
                <w:color w:val="000000"/>
                <w:szCs w:val="22"/>
                <w:lang w:eastAsia="en-AU"/>
              </w:rPr>
              <w:t>230</w:t>
            </w:r>
          </w:p>
        </w:tc>
      </w:tr>
      <w:tr w:rsidR="002F5A72" w:rsidRPr="003C63AC" w:rsidTr="00E227BC">
        <w:trPr>
          <w:trHeight w:val="851"/>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A72" w:rsidRPr="003C63AC" w:rsidRDefault="002F5A72" w:rsidP="001A6998">
            <w:pPr>
              <w:spacing w:after="120"/>
              <w:jc w:val="center"/>
              <w:rPr>
                <w:rFonts w:eastAsia="Times New Roman" w:cs="Times New Roman"/>
                <w:color w:val="000000"/>
                <w:szCs w:val="22"/>
                <w:lang w:eastAsia="en-AU"/>
              </w:rPr>
            </w:pPr>
            <w:r w:rsidRPr="003C63AC">
              <w:rPr>
                <w:rFonts w:eastAsia="Times New Roman" w:cs="Times New Roman"/>
                <w:color w:val="000000"/>
                <w:szCs w:val="22"/>
                <w:lang w:eastAsia="en-AU"/>
              </w:rPr>
              <w:t>2%</w:t>
            </w:r>
          </w:p>
        </w:tc>
        <w:tc>
          <w:tcPr>
            <w:tcW w:w="3686" w:type="dxa"/>
            <w:tcBorders>
              <w:top w:val="nil"/>
              <w:left w:val="nil"/>
              <w:bottom w:val="single" w:sz="4" w:space="0" w:color="auto"/>
              <w:right w:val="single" w:sz="4" w:space="0" w:color="auto"/>
            </w:tcBorders>
            <w:shd w:val="clear" w:color="auto" w:fill="auto"/>
            <w:noWrap/>
            <w:vAlign w:val="center"/>
            <w:hideMark/>
          </w:tcPr>
          <w:p w:rsidR="002F5A72" w:rsidRPr="003C63AC" w:rsidRDefault="002F5A72" w:rsidP="001A6998">
            <w:pPr>
              <w:spacing w:after="120"/>
              <w:jc w:val="center"/>
              <w:rPr>
                <w:rFonts w:eastAsia="Times New Roman" w:cs="Times New Roman"/>
                <w:color w:val="000000"/>
                <w:szCs w:val="22"/>
                <w:lang w:eastAsia="en-AU"/>
              </w:rPr>
            </w:pPr>
            <w:r w:rsidRPr="003C63AC">
              <w:rPr>
                <w:rFonts w:eastAsia="Times New Roman" w:cs="Times New Roman"/>
                <w:color w:val="000000"/>
                <w:szCs w:val="22"/>
                <w:lang w:eastAsia="en-AU"/>
              </w:rPr>
              <w:t>40%</w:t>
            </w:r>
          </w:p>
        </w:tc>
        <w:tc>
          <w:tcPr>
            <w:tcW w:w="3686" w:type="dxa"/>
            <w:tcBorders>
              <w:top w:val="nil"/>
              <w:left w:val="nil"/>
              <w:bottom w:val="single" w:sz="4" w:space="0" w:color="auto"/>
              <w:right w:val="single" w:sz="4" w:space="0" w:color="auto"/>
            </w:tcBorders>
            <w:shd w:val="clear" w:color="auto" w:fill="auto"/>
            <w:noWrap/>
            <w:vAlign w:val="center"/>
            <w:hideMark/>
          </w:tcPr>
          <w:p w:rsidR="002F5A72" w:rsidRPr="003C63AC" w:rsidRDefault="002F5A72" w:rsidP="001A6998">
            <w:pPr>
              <w:spacing w:after="120"/>
              <w:jc w:val="center"/>
              <w:rPr>
                <w:rFonts w:eastAsia="Times New Roman" w:cs="Times New Roman"/>
                <w:color w:val="000000"/>
                <w:szCs w:val="22"/>
                <w:lang w:eastAsia="en-AU"/>
              </w:rPr>
            </w:pPr>
            <w:r w:rsidRPr="003C63AC">
              <w:rPr>
                <w:rFonts w:eastAsia="Times New Roman" w:cs="Times New Roman"/>
                <w:color w:val="000000"/>
                <w:szCs w:val="22"/>
                <w:lang w:eastAsia="en-AU"/>
              </w:rPr>
              <w:t>5</w:t>
            </w:r>
            <w:r>
              <w:rPr>
                <w:rFonts w:eastAsia="Times New Roman" w:cs="Times New Roman"/>
                <w:color w:val="000000"/>
                <w:szCs w:val="22"/>
                <w:lang w:eastAsia="en-AU"/>
              </w:rPr>
              <w:t>8</w:t>
            </w:r>
            <w:r w:rsidRPr="003C63AC">
              <w:rPr>
                <w:rFonts w:eastAsia="Times New Roman" w:cs="Times New Roman"/>
                <w:color w:val="000000"/>
                <w:szCs w:val="22"/>
                <w:lang w:eastAsia="en-AU"/>
              </w:rPr>
              <w:t>%</w:t>
            </w:r>
          </w:p>
        </w:tc>
        <w:tc>
          <w:tcPr>
            <w:tcW w:w="3686" w:type="dxa"/>
            <w:tcBorders>
              <w:top w:val="nil"/>
              <w:left w:val="nil"/>
              <w:bottom w:val="single" w:sz="4" w:space="0" w:color="auto"/>
              <w:right w:val="single" w:sz="4" w:space="0" w:color="auto"/>
            </w:tcBorders>
            <w:shd w:val="clear" w:color="auto" w:fill="auto"/>
            <w:noWrap/>
            <w:vAlign w:val="center"/>
            <w:hideMark/>
          </w:tcPr>
          <w:p w:rsidR="002F5A72" w:rsidRPr="003C63AC" w:rsidRDefault="002F5A72" w:rsidP="006E0E1C">
            <w:pPr>
              <w:spacing w:after="120"/>
              <w:jc w:val="center"/>
              <w:rPr>
                <w:rFonts w:eastAsia="Times New Roman" w:cs="Times New Roman"/>
                <w:color w:val="000000"/>
                <w:szCs w:val="22"/>
                <w:lang w:eastAsia="en-AU"/>
              </w:rPr>
            </w:pPr>
            <w:r>
              <w:rPr>
                <w:rFonts w:eastAsia="Times New Roman" w:cs="Times New Roman"/>
                <w:color w:val="000000"/>
                <w:szCs w:val="22"/>
                <w:lang w:eastAsia="en-AU"/>
              </w:rPr>
              <w:t>100%</w:t>
            </w:r>
          </w:p>
        </w:tc>
        <w:tc>
          <w:tcPr>
            <w:tcW w:w="3686" w:type="dxa"/>
            <w:vMerge/>
            <w:tcBorders>
              <w:left w:val="single" w:sz="4" w:space="0" w:color="auto"/>
              <w:bottom w:val="single" w:sz="4" w:space="0" w:color="auto"/>
              <w:right w:val="single" w:sz="4" w:space="0" w:color="auto"/>
            </w:tcBorders>
          </w:tcPr>
          <w:p w:rsidR="002F5A72" w:rsidRPr="003C63AC" w:rsidRDefault="002F5A72" w:rsidP="006E0E1C">
            <w:pPr>
              <w:spacing w:after="120"/>
              <w:jc w:val="center"/>
              <w:rPr>
                <w:rFonts w:eastAsia="Times New Roman" w:cs="Times New Roman"/>
                <w:color w:val="000000"/>
                <w:szCs w:val="22"/>
                <w:lang w:eastAsia="en-AU"/>
              </w:rPr>
            </w:pPr>
          </w:p>
        </w:tc>
        <w:tc>
          <w:tcPr>
            <w:tcW w:w="3686" w:type="dxa"/>
            <w:vMerge/>
            <w:tcBorders>
              <w:left w:val="single" w:sz="4" w:space="0" w:color="auto"/>
              <w:bottom w:val="single" w:sz="4" w:space="0" w:color="auto"/>
              <w:right w:val="single" w:sz="4" w:space="0" w:color="auto"/>
            </w:tcBorders>
            <w:shd w:val="clear" w:color="auto" w:fill="auto"/>
            <w:noWrap/>
            <w:vAlign w:val="center"/>
            <w:hideMark/>
          </w:tcPr>
          <w:p w:rsidR="002F5A72" w:rsidRPr="003C63AC" w:rsidRDefault="002F5A72" w:rsidP="006E0E1C">
            <w:pPr>
              <w:spacing w:after="120"/>
              <w:jc w:val="center"/>
              <w:rPr>
                <w:rFonts w:eastAsia="Times New Roman" w:cs="Times New Roman"/>
                <w:color w:val="000000"/>
                <w:szCs w:val="22"/>
                <w:lang w:eastAsia="en-AU"/>
              </w:rPr>
            </w:pPr>
          </w:p>
        </w:tc>
        <w:tc>
          <w:tcPr>
            <w:tcW w:w="3686" w:type="dxa"/>
            <w:vMerge/>
            <w:tcBorders>
              <w:left w:val="nil"/>
              <w:bottom w:val="single" w:sz="4" w:space="0" w:color="auto"/>
              <w:right w:val="single" w:sz="4" w:space="0" w:color="auto"/>
            </w:tcBorders>
            <w:shd w:val="clear" w:color="auto" w:fill="auto"/>
            <w:noWrap/>
            <w:vAlign w:val="center"/>
            <w:hideMark/>
          </w:tcPr>
          <w:p w:rsidR="002F5A72" w:rsidRPr="003C63AC" w:rsidRDefault="002F5A72" w:rsidP="006E0E1C">
            <w:pPr>
              <w:spacing w:after="120"/>
              <w:jc w:val="center"/>
              <w:rPr>
                <w:rFonts w:eastAsia="Times New Roman" w:cs="Times New Roman"/>
                <w:color w:val="000000"/>
                <w:szCs w:val="22"/>
                <w:lang w:eastAsia="en-AU"/>
              </w:rPr>
            </w:pPr>
          </w:p>
        </w:tc>
      </w:tr>
    </w:tbl>
    <w:p w:rsidR="00FA7D86" w:rsidRPr="003C63AC" w:rsidRDefault="00FA7D86" w:rsidP="00FA7D86">
      <w:pPr>
        <w:spacing w:before="0"/>
        <w:jc w:val="left"/>
      </w:pPr>
    </w:p>
    <w:p w:rsidR="00477013" w:rsidRPr="003C63AC" w:rsidRDefault="00477013" w:rsidP="00477013">
      <w:r w:rsidRPr="003C63AC">
        <w:t>An important observation from the RRA testing program is the high average level of charge found in vehicles that had any charge at all (i.e. newer vehicles are less incl</w:t>
      </w:r>
      <w:r w:rsidR="008A7766" w:rsidRPr="003C63AC">
        <w:t>ined</w:t>
      </w:r>
      <w:r w:rsidRPr="003C63AC">
        <w:t xml:space="preserve"> to leak). With 5</w:t>
      </w:r>
      <w:r w:rsidR="002F5A72">
        <w:t>50</w:t>
      </w:r>
      <w:r w:rsidRPr="003C63AC">
        <w:t xml:space="preserve"> grams, these systems are likely to have been operational. A second point of note is the very low proportion of CFC-12 (CFCs) discovered in this sample. This point is discussed later in the next </w:t>
      </w:r>
      <w:r w:rsidRPr="003C63AC">
        <w:rPr>
          <w:i/>
        </w:rPr>
        <w:t>Section 3.5 Total Residual Refrigerants in ELVs</w:t>
      </w:r>
      <w:r w:rsidRPr="003C63AC">
        <w:t>.</w:t>
      </w:r>
    </w:p>
    <w:p w:rsidR="00477013" w:rsidRPr="005728F4" w:rsidRDefault="00477013" w:rsidP="00477013">
      <w:r w:rsidRPr="003C63AC">
        <w:t xml:space="preserve">The second primary source of data on residual refrigerant charges in ELVs is a survey of businesses </w:t>
      </w:r>
      <w:r w:rsidR="0031495E" w:rsidRPr="003C63AC">
        <w:t>license</w:t>
      </w:r>
      <w:r w:rsidRPr="003C63AC">
        <w:t xml:space="preserve">d by the ARC </w:t>
      </w:r>
      <w:r w:rsidR="00153656" w:rsidRPr="003C63AC">
        <w:t>for</w:t>
      </w:r>
      <w:r w:rsidRPr="003C63AC">
        <w:t xml:space="preserve"> the recovery of refrigerant gas</w:t>
      </w:r>
      <w:r w:rsidR="003C63AC">
        <w:t xml:space="preserve">. </w:t>
      </w:r>
      <w:r w:rsidRPr="003C63AC">
        <w:t xml:space="preserve">Respondents consistently reported that a larger proportion of ELVs arriving at car </w:t>
      </w:r>
      <w:r w:rsidR="003C63AC" w:rsidRPr="003C63AC">
        <w:t>wreckers’</w:t>
      </w:r>
      <w:r w:rsidRPr="003C63AC">
        <w:t xml:space="preserve"> yards were found to have a refrigerant charge than those tested at </w:t>
      </w:r>
      <w:r w:rsidR="00153656" w:rsidRPr="00AD4F11">
        <w:t xml:space="preserve">auction house </w:t>
      </w:r>
      <w:r w:rsidRPr="005728F4">
        <w:t>salvage yards.</w:t>
      </w:r>
    </w:p>
    <w:p w:rsidR="00477013" w:rsidRPr="003C63AC" w:rsidRDefault="00477013" w:rsidP="00477013">
      <w:r w:rsidRPr="000F5EF8">
        <w:t xml:space="preserve">The average of all </w:t>
      </w:r>
      <w:r w:rsidR="00153656" w:rsidRPr="004F1732">
        <w:t xml:space="preserve">survey </w:t>
      </w:r>
      <w:r w:rsidRPr="004F1732">
        <w:t>responses received was that 29</w:t>
      </w:r>
      <w:r w:rsidR="009D1919" w:rsidRPr="00AD02ED">
        <w:t xml:space="preserve"> per cent</w:t>
      </w:r>
      <w:r w:rsidRPr="00D357AA">
        <w:t xml:space="preserve"> were empty. One of the larger auto recyclers who keeps r</w:t>
      </w:r>
      <w:r w:rsidRPr="00920E28">
        <w:t xml:space="preserve">ecords of recoveries from around </w:t>
      </w:r>
      <w:r w:rsidR="00C275E0">
        <w:t>XX</w:t>
      </w:r>
      <w:r w:rsidRPr="00920E28">
        <w:t xml:space="preserve"> vehicles a year reported that on average they found 33</w:t>
      </w:r>
      <w:r w:rsidR="009D1919" w:rsidRPr="003C63AC">
        <w:t xml:space="preserve"> per cent</w:t>
      </w:r>
      <w:r w:rsidRPr="003C63AC">
        <w:t xml:space="preserve"> of vehicles had no charge. This may be explained as some of their ELV feedstock was also sourced from auction houses, including a number of vehicles that had suffered collision damage and were more likely to have lost the refrigerant charge. Given this data from a reasonably large sample, and the relatively close alignment of this finding with the average of responses to the survey, for the purposes of this study we will </w:t>
      </w:r>
      <w:r w:rsidR="00153656" w:rsidRPr="003C63AC">
        <w:t xml:space="preserve">conservatively </w:t>
      </w:r>
      <w:r w:rsidRPr="003C63AC">
        <w:t>assume that 3</w:t>
      </w:r>
      <w:r w:rsidR="00153656" w:rsidRPr="003C63AC">
        <w:t>3</w:t>
      </w:r>
      <w:r w:rsidR="009D1919" w:rsidRPr="003C63AC">
        <w:t xml:space="preserve"> per cent</w:t>
      </w:r>
      <w:r w:rsidRPr="003C63AC">
        <w:t xml:space="preserve"> of all ELVs received by wreckers have no residual refrigerant charge.</w:t>
      </w:r>
    </w:p>
    <w:p w:rsidR="00477013" w:rsidRPr="003C63AC" w:rsidRDefault="00477013" w:rsidP="00477013">
      <w:r w:rsidRPr="003C63AC">
        <w:t>The higher number of ELVs containing a residual charge in wreckers</w:t>
      </w:r>
      <w:r w:rsidR="00F63441">
        <w:t>’</w:t>
      </w:r>
      <w:r w:rsidRPr="003C63AC">
        <w:t xml:space="preserve"> yards, as compared to those in </w:t>
      </w:r>
      <w:r w:rsidR="00153656" w:rsidRPr="003C63AC">
        <w:t xml:space="preserve">auction house </w:t>
      </w:r>
      <w:r w:rsidRPr="003C63AC">
        <w:t>salvage yards, is considered to be a result of the higher proportion of ELVs that arrive at wreckers</w:t>
      </w:r>
      <w:r w:rsidR="00F63441">
        <w:t>’</w:t>
      </w:r>
      <w:r w:rsidRPr="003C63AC">
        <w:t xml:space="preserve"> yards that have simply </w:t>
      </w:r>
      <w:r w:rsidR="00153656" w:rsidRPr="003C63AC">
        <w:t xml:space="preserve">been </w:t>
      </w:r>
      <w:r w:rsidRPr="003C63AC">
        <w:t>retired</w:t>
      </w:r>
      <w:r w:rsidR="00153656" w:rsidRPr="003C63AC">
        <w:t xml:space="preserve"> by a private owner</w:t>
      </w:r>
      <w:r w:rsidRPr="003C63AC">
        <w:t>, but without</w:t>
      </w:r>
      <w:r w:rsidR="00153656" w:rsidRPr="003C63AC">
        <w:t xml:space="preserve"> significant</w:t>
      </w:r>
      <w:r w:rsidRPr="003C63AC">
        <w:t xml:space="preserve"> damage.</w:t>
      </w:r>
    </w:p>
    <w:p w:rsidR="00477013" w:rsidRPr="003C63AC" w:rsidRDefault="003C63AC" w:rsidP="00477013">
      <w:r w:rsidRPr="003C63AC">
        <w:t>Twenty-six</w:t>
      </w:r>
      <w:r w:rsidR="00477013" w:rsidRPr="003C63AC">
        <w:t xml:space="preserve"> of the 38 respondents to the survey of </w:t>
      </w:r>
      <w:r w:rsidR="0031495E" w:rsidRPr="003C63AC">
        <w:t>license</w:t>
      </w:r>
      <w:r w:rsidR="00477013" w:rsidRPr="003C63AC">
        <w:t>d refrigerant gas recoverers answered a question about how much gas they recover on average from an ELV. The answers ranged from 100 grams to a full charge</w:t>
      </w:r>
      <w:r w:rsidR="00F63441">
        <w:t xml:space="preserve"> of</w:t>
      </w:r>
      <w:r w:rsidR="00EA33C1">
        <w:t xml:space="preserve"> 700 grams in older vehicles</w:t>
      </w:r>
      <w:r w:rsidR="00477013" w:rsidRPr="003C63AC">
        <w:t xml:space="preserve">. The average of all responses to the survey was 413 grams. </w:t>
      </w:r>
    </w:p>
    <w:p w:rsidR="00477013" w:rsidRPr="003C63AC" w:rsidRDefault="00477013" w:rsidP="00477013">
      <w:r w:rsidRPr="003C63AC">
        <w:t>Once again drawing on the experien</w:t>
      </w:r>
      <w:r w:rsidR="00A83032">
        <w:t>ce of one of those respondents (</w:t>
      </w:r>
      <w:r w:rsidRPr="003C63AC">
        <w:t xml:space="preserve">an auto recycler who has kept detailed records of recoveries from </w:t>
      </w:r>
      <w:r w:rsidR="00A83032">
        <w:t xml:space="preserve">around </w:t>
      </w:r>
      <w:r w:rsidR="00C275E0">
        <w:t>XX</w:t>
      </w:r>
      <w:r w:rsidR="00A83032">
        <w:t xml:space="preserve"> vehicles per annum)</w:t>
      </w:r>
      <w:r w:rsidRPr="003C63AC">
        <w:t xml:space="preserve"> recoveries from vehicles with any gas in them at all was reported to be 600 grams</w:t>
      </w:r>
      <w:r w:rsidR="00A67300">
        <w:t xml:space="preserve"> on average</w:t>
      </w:r>
      <w:r w:rsidRPr="003C63AC">
        <w:t>, although in that large sample, 33</w:t>
      </w:r>
      <w:r w:rsidR="009D1919" w:rsidRPr="003C63AC">
        <w:t xml:space="preserve"> per cent</w:t>
      </w:r>
      <w:r w:rsidRPr="003C63AC">
        <w:t xml:space="preserve"> of vehicles were found to be empty</w:t>
      </w:r>
      <w:r w:rsidR="00351831">
        <w:t>. T</w:t>
      </w:r>
      <w:r w:rsidRPr="003C63AC">
        <w:t xml:space="preserve">his averages out to 396 grams per vehicle across the whole sample. </w:t>
      </w:r>
      <w:r w:rsidR="00DA4578">
        <w:t>While the recovery of an average of 600 grams from vehicles with gas in them was surprising</w:t>
      </w:r>
      <w:r w:rsidR="00351831">
        <w:t>ly</w:t>
      </w:r>
      <w:r w:rsidR="003B6534">
        <w:t xml:space="preserve"> high</w:t>
      </w:r>
      <w:r w:rsidR="003B6534">
        <w:rPr>
          <w:rStyle w:val="FootnoteReference"/>
        </w:rPr>
        <w:footnoteReference w:id="9"/>
      </w:r>
      <w:r w:rsidR="00DA4578">
        <w:t xml:space="preserve">, the average across the entire sample </w:t>
      </w:r>
      <w:r w:rsidRPr="003C63AC">
        <w:t xml:space="preserve">is a remarkably similar number to the ‘crowd sourced wisdom’ of the survey results. </w:t>
      </w:r>
    </w:p>
    <w:p w:rsidR="00477013" w:rsidRPr="003C63AC" w:rsidRDefault="00477013" w:rsidP="00477013">
      <w:r w:rsidRPr="003C63AC">
        <w:lastRenderedPageBreak/>
        <w:t>If we accept this lower figure of 396 grams as a reliable value for recoveries from ELVs that retire without collision or damage</w:t>
      </w:r>
      <w:r w:rsidR="00153656" w:rsidRPr="003C63AC">
        <w:t>,</w:t>
      </w:r>
      <w:r w:rsidRPr="003C63AC">
        <w:t xml:space="preserve"> that effectively gives us two populations of vehicles:</w:t>
      </w:r>
      <w:r w:rsidR="007D57F0">
        <w:t xml:space="preserve"> </w:t>
      </w:r>
    </w:p>
    <w:p w:rsidR="00477013" w:rsidRPr="003C63AC" w:rsidRDefault="00477013" w:rsidP="00AD7504">
      <w:pPr>
        <w:pStyle w:val="ListParagraph"/>
        <w:numPr>
          <w:ilvl w:val="0"/>
          <w:numId w:val="10"/>
        </w:numPr>
        <w:spacing w:before="120" w:after="0" w:line="240" w:lineRule="auto"/>
        <w:ind w:left="357" w:hanging="357"/>
        <w:contextualSpacing w:val="0"/>
        <w:rPr>
          <w:rFonts w:ascii="Times New Roman" w:hAnsi="Times New Roman"/>
        </w:rPr>
      </w:pPr>
      <w:r w:rsidRPr="003C63AC">
        <w:rPr>
          <w:rFonts w:ascii="Times New Roman" w:hAnsi="Times New Roman"/>
        </w:rPr>
        <w:t>Auction</w:t>
      </w:r>
      <w:r w:rsidR="00153656" w:rsidRPr="003C63AC">
        <w:rPr>
          <w:rFonts w:ascii="Times New Roman" w:hAnsi="Times New Roman"/>
        </w:rPr>
        <w:t>ed ELVs</w:t>
      </w:r>
      <w:r w:rsidRPr="003C63AC">
        <w:rPr>
          <w:rFonts w:ascii="Times New Roman" w:hAnsi="Times New Roman"/>
        </w:rPr>
        <w:t xml:space="preserve"> - that is approximately one third of the total </w:t>
      </w:r>
      <w:r w:rsidR="00153656" w:rsidRPr="003C63AC">
        <w:rPr>
          <w:rFonts w:ascii="Times New Roman" w:hAnsi="Times New Roman"/>
        </w:rPr>
        <w:t xml:space="preserve">annual ELV </w:t>
      </w:r>
      <w:r w:rsidRPr="003C63AC">
        <w:rPr>
          <w:rFonts w:ascii="Times New Roman" w:hAnsi="Times New Roman"/>
        </w:rPr>
        <w:t>population</w:t>
      </w:r>
      <w:r w:rsidR="00153656" w:rsidRPr="003C63AC">
        <w:rPr>
          <w:rFonts w:ascii="Times New Roman" w:hAnsi="Times New Roman"/>
        </w:rPr>
        <w:t>,</w:t>
      </w:r>
      <w:r w:rsidRPr="003C63AC">
        <w:rPr>
          <w:rFonts w:ascii="Times New Roman" w:hAnsi="Times New Roman"/>
        </w:rPr>
        <w:t xml:space="preserve"> has had collision damage</w:t>
      </w:r>
      <w:r w:rsidR="00153656" w:rsidRPr="003C63AC">
        <w:rPr>
          <w:rFonts w:ascii="Times New Roman" w:hAnsi="Times New Roman"/>
        </w:rPr>
        <w:t xml:space="preserve"> and</w:t>
      </w:r>
      <w:r w:rsidRPr="003C63AC">
        <w:rPr>
          <w:rFonts w:ascii="Times New Roman" w:hAnsi="Times New Roman"/>
        </w:rPr>
        <w:t xml:space="preserve"> that averages around 230 grams per vehicle; and,</w:t>
      </w:r>
    </w:p>
    <w:p w:rsidR="00D25133" w:rsidRDefault="00477013" w:rsidP="00D25133">
      <w:pPr>
        <w:pStyle w:val="ListParagraph"/>
        <w:numPr>
          <w:ilvl w:val="0"/>
          <w:numId w:val="10"/>
        </w:numPr>
        <w:spacing w:before="120" w:after="0" w:line="240" w:lineRule="auto"/>
        <w:ind w:left="357" w:hanging="357"/>
        <w:contextualSpacing w:val="0"/>
        <w:rPr>
          <w:rFonts w:ascii="Times New Roman" w:hAnsi="Times New Roman"/>
        </w:rPr>
      </w:pPr>
      <w:r w:rsidRPr="003C63AC">
        <w:rPr>
          <w:rFonts w:ascii="Times New Roman" w:hAnsi="Times New Roman"/>
        </w:rPr>
        <w:t xml:space="preserve">Old age </w:t>
      </w:r>
      <w:r w:rsidR="00745C26" w:rsidRPr="003C63AC">
        <w:rPr>
          <w:rFonts w:ascii="Times New Roman" w:hAnsi="Times New Roman"/>
        </w:rPr>
        <w:t xml:space="preserve">ELVs </w:t>
      </w:r>
      <w:r w:rsidRPr="003C63AC">
        <w:rPr>
          <w:rFonts w:ascii="Times New Roman" w:hAnsi="Times New Roman"/>
        </w:rPr>
        <w:t xml:space="preserve">- that is approximately two thirds of the population and has retired effectively undamaged and contains around 396 grams </w:t>
      </w:r>
      <w:r w:rsidR="00153656" w:rsidRPr="003C63AC">
        <w:rPr>
          <w:rFonts w:ascii="Times New Roman" w:hAnsi="Times New Roman"/>
        </w:rPr>
        <w:t>per vehicle</w:t>
      </w:r>
      <w:r w:rsidRPr="003C63AC">
        <w:rPr>
          <w:rFonts w:ascii="Times New Roman" w:hAnsi="Times New Roman"/>
        </w:rPr>
        <w:t>.</w:t>
      </w:r>
    </w:p>
    <w:p w:rsidR="00A83032" w:rsidRPr="003C63AC" w:rsidRDefault="00A83032" w:rsidP="00A83032">
      <w:r>
        <w:t>Applying these two values a</w:t>
      </w:r>
      <w:r w:rsidRPr="003C63AC">
        <w:t>cross the entire population of ELVs implies an average residual refrigerant charge of 340 grams per ELV.</w:t>
      </w:r>
    </w:p>
    <w:p w:rsidR="00D25133" w:rsidRDefault="001E7F34" w:rsidP="00D25133">
      <w:r w:rsidRPr="00483897">
        <w:rPr>
          <w:i/>
        </w:rPr>
        <w:t xml:space="preserve">Table </w:t>
      </w:r>
      <w:r w:rsidR="009C17F2" w:rsidRPr="00483897">
        <w:rPr>
          <w:i/>
        </w:rPr>
        <w:t>4</w:t>
      </w:r>
      <w:r w:rsidRPr="001E7F34">
        <w:t xml:space="preserve"> below sets out the estimated residual refrigerant charge in ELVs from the various ELV feedstocks.</w:t>
      </w:r>
    </w:p>
    <w:p w:rsidR="009C17F2" w:rsidRDefault="009C17F2" w:rsidP="00D25133"/>
    <w:p w:rsidR="00E227BC" w:rsidRDefault="00E227BC">
      <w:pPr>
        <w:spacing w:before="0"/>
        <w:jc w:val="left"/>
        <w:rPr>
          <w:i/>
          <w:szCs w:val="22"/>
        </w:rPr>
      </w:pPr>
      <w:r>
        <w:rPr>
          <w:i/>
          <w:szCs w:val="22"/>
        </w:rPr>
        <w:br w:type="page"/>
      </w:r>
    </w:p>
    <w:p w:rsidR="00D25133" w:rsidRPr="00B03EFC" w:rsidRDefault="009C17F2" w:rsidP="009C17F2">
      <w:pPr>
        <w:rPr>
          <w:i/>
        </w:rPr>
      </w:pPr>
      <w:r w:rsidRPr="00B03EFC">
        <w:rPr>
          <w:i/>
          <w:szCs w:val="22"/>
        </w:rPr>
        <w:lastRenderedPageBreak/>
        <w:t xml:space="preserve">Table </w:t>
      </w:r>
      <w:r w:rsidR="00F005B2" w:rsidRPr="00B03EFC">
        <w:rPr>
          <w:i/>
          <w:szCs w:val="22"/>
        </w:rPr>
        <w:fldChar w:fldCharType="begin"/>
      </w:r>
      <w:r w:rsidRPr="00B03EFC">
        <w:rPr>
          <w:i/>
          <w:szCs w:val="22"/>
        </w:rPr>
        <w:instrText xml:space="preserve"> SEQ Table \* ARABIC </w:instrText>
      </w:r>
      <w:r w:rsidR="00F005B2" w:rsidRPr="00B03EFC">
        <w:rPr>
          <w:i/>
          <w:szCs w:val="22"/>
        </w:rPr>
        <w:fldChar w:fldCharType="separate"/>
      </w:r>
      <w:r w:rsidR="00DE265F">
        <w:rPr>
          <w:i/>
          <w:noProof/>
          <w:szCs w:val="22"/>
        </w:rPr>
        <w:t>4</w:t>
      </w:r>
      <w:r w:rsidR="00F005B2" w:rsidRPr="00B03EFC">
        <w:rPr>
          <w:i/>
          <w:szCs w:val="22"/>
        </w:rPr>
        <w:fldChar w:fldCharType="end"/>
      </w:r>
      <w:r w:rsidR="001E7F34" w:rsidRPr="00B03EFC">
        <w:rPr>
          <w:i/>
        </w:rPr>
        <w:t xml:space="preserve">: Residual </w:t>
      </w:r>
      <w:r w:rsidR="00E227BC">
        <w:rPr>
          <w:i/>
        </w:rPr>
        <w:t>r</w:t>
      </w:r>
      <w:r w:rsidR="001E7F34" w:rsidRPr="00B03EFC">
        <w:rPr>
          <w:i/>
        </w:rPr>
        <w:t xml:space="preserve">efrigerant and ELV </w:t>
      </w:r>
      <w:r w:rsidR="00E227BC">
        <w:rPr>
          <w:i/>
        </w:rPr>
        <w:t>f</w:t>
      </w:r>
      <w:r w:rsidR="001E7F34" w:rsidRPr="00B03EFC">
        <w:rPr>
          <w:i/>
        </w:rPr>
        <w:t>eedstocks</w:t>
      </w:r>
      <w:r w:rsidR="00B03EFC">
        <w:rPr>
          <w:i/>
        </w:rPr>
        <w:t>.</w:t>
      </w:r>
    </w:p>
    <w:tbl>
      <w:tblPr>
        <w:tblW w:w="9654" w:type="dxa"/>
        <w:tblInd w:w="93" w:type="dxa"/>
        <w:tblLook w:val="04A0" w:firstRow="1" w:lastRow="0" w:firstColumn="1" w:lastColumn="0" w:noHBand="0" w:noVBand="1"/>
      </w:tblPr>
      <w:tblGrid>
        <w:gridCol w:w="4410"/>
        <w:gridCol w:w="1984"/>
        <w:gridCol w:w="1526"/>
        <w:gridCol w:w="1734"/>
      </w:tblGrid>
      <w:tr w:rsidR="00826F36" w:rsidRPr="00892DF8" w:rsidTr="002D021E">
        <w:trPr>
          <w:trHeight w:val="705"/>
        </w:trPr>
        <w:tc>
          <w:tcPr>
            <w:tcW w:w="4410" w:type="dxa"/>
            <w:vMerge w:val="restart"/>
            <w:tcBorders>
              <w:top w:val="single" w:sz="8" w:space="0" w:color="000000" w:themeColor="text1"/>
              <w:left w:val="single" w:sz="8" w:space="0" w:color="000000" w:themeColor="text1"/>
              <w:right w:val="single" w:sz="8" w:space="0" w:color="FFFFFF" w:themeColor="background1"/>
            </w:tcBorders>
            <w:shd w:val="clear" w:color="auto" w:fill="000000"/>
            <w:vAlign w:val="center"/>
          </w:tcPr>
          <w:p w:rsidR="00826F36" w:rsidRPr="00892DF8" w:rsidRDefault="00826F36" w:rsidP="00826F36">
            <w:pPr>
              <w:spacing w:after="120"/>
              <w:rPr>
                <w:rFonts w:eastAsia="Times New Roman" w:cs="Times New Roman"/>
                <w:color w:val="FFFFFF" w:themeColor="background1"/>
                <w:szCs w:val="22"/>
                <w:lang w:eastAsia="en-AU"/>
              </w:rPr>
            </w:pPr>
            <w:r w:rsidRPr="00892DF8">
              <w:rPr>
                <w:rFonts w:eastAsia="Times New Roman" w:cs="Times New Roman"/>
                <w:color w:val="FFFFFF" w:themeColor="background1"/>
                <w:szCs w:val="22"/>
                <w:lang w:eastAsia="en-AU"/>
              </w:rPr>
              <w:t>Sources of ELVs 2013</w:t>
            </w:r>
          </w:p>
        </w:tc>
        <w:tc>
          <w:tcPr>
            <w:tcW w:w="19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cPr>
          <w:p w:rsidR="00826F36" w:rsidRPr="00892DF8" w:rsidRDefault="00826F36" w:rsidP="00AB6E5D">
            <w:pPr>
              <w:spacing w:after="120"/>
              <w:jc w:val="center"/>
              <w:rPr>
                <w:rFonts w:eastAsia="Times New Roman" w:cs="Times New Roman"/>
                <w:color w:val="FFFFFF" w:themeColor="background1"/>
                <w:szCs w:val="22"/>
                <w:lang w:eastAsia="en-AU"/>
              </w:rPr>
            </w:pPr>
            <w:r w:rsidRPr="00892DF8">
              <w:rPr>
                <w:rFonts w:eastAsia="Times New Roman" w:cs="Times New Roman"/>
                <w:color w:val="FFFFFF" w:themeColor="background1"/>
                <w:szCs w:val="22"/>
                <w:lang w:eastAsia="en-AU"/>
              </w:rPr>
              <w:t>Number of ELVs</w:t>
            </w:r>
          </w:p>
        </w:tc>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cPr>
          <w:p w:rsidR="00826F36" w:rsidRPr="00892DF8" w:rsidRDefault="00826F36" w:rsidP="00AB6E5D">
            <w:pPr>
              <w:spacing w:after="120"/>
              <w:jc w:val="center"/>
              <w:rPr>
                <w:rFonts w:eastAsia="Times New Roman" w:cs="Times New Roman"/>
                <w:color w:val="FFFFFF" w:themeColor="background1"/>
                <w:szCs w:val="22"/>
                <w:lang w:eastAsia="en-AU"/>
              </w:rPr>
            </w:pPr>
            <w:r w:rsidRPr="00892DF8">
              <w:rPr>
                <w:rFonts w:eastAsia="Times New Roman" w:cs="Times New Roman"/>
                <w:color w:val="FFFFFF" w:themeColor="background1"/>
                <w:szCs w:val="22"/>
                <w:lang w:eastAsia="en-AU"/>
              </w:rPr>
              <w:t xml:space="preserve">Proportion of </w:t>
            </w:r>
            <w:r w:rsidR="002D021E">
              <w:rPr>
                <w:rFonts w:eastAsia="Times New Roman" w:cs="Times New Roman"/>
                <w:color w:val="FFFFFF" w:themeColor="background1"/>
                <w:szCs w:val="22"/>
                <w:lang w:eastAsia="en-AU"/>
              </w:rPr>
              <w:t>T</w:t>
            </w:r>
            <w:r w:rsidRPr="00892DF8">
              <w:rPr>
                <w:rFonts w:eastAsia="Times New Roman" w:cs="Times New Roman"/>
                <w:color w:val="FFFFFF" w:themeColor="background1"/>
                <w:szCs w:val="22"/>
                <w:lang w:eastAsia="en-AU"/>
              </w:rPr>
              <w:t>otal ELVs</w:t>
            </w:r>
          </w:p>
          <w:p w:rsidR="00826F36" w:rsidRPr="00892DF8" w:rsidRDefault="00826F36" w:rsidP="00AB6E5D">
            <w:pPr>
              <w:spacing w:after="120"/>
              <w:jc w:val="center"/>
              <w:rPr>
                <w:rFonts w:eastAsia="Times New Roman" w:cs="Times New Roman"/>
                <w:color w:val="FFFFFF" w:themeColor="background1"/>
                <w:szCs w:val="22"/>
                <w:lang w:eastAsia="en-AU"/>
              </w:rPr>
            </w:pPr>
            <w:r w:rsidRPr="00892DF8">
              <w:rPr>
                <w:rFonts w:eastAsia="Times New Roman" w:cs="Times New Roman"/>
                <w:color w:val="FFFFFF" w:themeColor="background1"/>
                <w:szCs w:val="22"/>
                <w:lang w:eastAsia="en-AU"/>
              </w:rPr>
              <w:t>(%)</w:t>
            </w:r>
          </w:p>
        </w:tc>
        <w:tc>
          <w:tcPr>
            <w:tcW w:w="1734" w:type="dxa"/>
            <w:tcBorders>
              <w:top w:val="single" w:sz="8" w:space="0" w:color="FFFFFF" w:themeColor="background1"/>
              <w:left w:val="single" w:sz="8" w:space="0" w:color="FFFFFF" w:themeColor="background1"/>
              <w:bottom w:val="single" w:sz="8" w:space="0" w:color="FFFFFF" w:themeColor="background1"/>
            </w:tcBorders>
            <w:shd w:val="clear" w:color="auto" w:fill="000000"/>
          </w:tcPr>
          <w:p w:rsidR="00826F36" w:rsidRPr="00892DF8" w:rsidRDefault="00826F36" w:rsidP="002D021E">
            <w:pPr>
              <w:spacing w:after="120"/>
              <w:jc w:val="center"/>
              <w:rPr>
                <w:rFonts w:eastAsia="Times New Roman" w:cs="Times New Roman"/>
                <w:color w:val="FFFFFF" w:themeColor="background1"/>
                <w:szCs w:val="22"/>
                <w:lang w:eastAsia="en-AU"/>
              </w:rPr>
            </w:pPr>
            <w:r w:rsidRPr="00892DF8">
              <w:rPr>
                <w:rFonts w:eastAsia="Times New Roman" w:cs="Times New Roman"/>
                <w:color w:val="FFFFFF" w:themeColor="background1"/>
                <w:szCs w:val="22"/>
                <w:lang w:eastAsia="en-AU"/>
              </w:rPr>
              <w:t xml:space="preserve">Estimated Average Residual Refrigerant </w:t>
            </w:r>
            <w:r w:rsidR="002D021E">
              <w:rPr>
                <w:rFonts w:eastAsia="Times New Roman" w:cs="Times New Roman"/>
                <w:color w:val="FFFFFF" w:themeColor="background1"/>
                <w:szCs w:val="22"/>
                <w:lang w:eastAsia="en-AU"/>
              </w:rPr>
              <w:t>C</w:t>
            </w:r>
            <w:r w:rsidRPr="00892DF8">
              <w:rPr>
                <w:rFonts w:eastAsia="Times New Roman" w:cs="Times New Roman"/>
                <w:color w:val="FFFFFF" w:themeColor="background1"/>
                <w:szCs w:val="22"/>
                <w:lang w:eastAsia="en-AU"/>
              </w:rPr>
              <w:t>harge</w:t>
            </w:r>
            <w:r w:rsidR="002D021E">
              <w:rPr>
                <w:rFonts w:eastAsia="Times New Roman" w:cs="Times New Roman"/>
                <w:color w:val="FFFFFF" w:themeColor="background1"/>
                <w:szCs w:val="22"/>
                <w:lang w:eastAsia="en-AU"/>
              </w:rPr>
              <w:t xml:space="preserve">     </w:t>
            </w:r>
            <w:r w:rsidRPr="00892DF8">
              <w:rPr>
                <w:rFonts w:eastAsia="Times New Roman" w:cs="Times New Roman"/>
                <w:color w:val="FFFFFF" w:themeColor="background1"/>
                <w:szCs w:val="22"/>
                <w:lang w:eastAsia="en-AU"/>
              </w:rPr>
              <w:t>(grams per ELV)</w:t>
            </w:r>
          </w:p>
        </w:tc>
      </w:tr>
      <w:tr w:rsidR="00826F36" w:rsidRPr="00892DF8" w:rsidTr="002D021E">
        <w:trPr>
          <w:trHeight w:val="705"/>
        </w:trPr>
        <w:tc>
          <w:tcPr>
            <w:tcW w:w="4410" w:type="dxa"/>
            <w:vMerge/>
            <w:tcBorders>
              <w:top w:val="single" w:sz="8" w:space="0" w:color="FFFFFF" w:themeColor="background1"/>
              <w:left w:val="single" w:sz="8" w:space="0" w:color="000000" w:themeColor="text1"/>
              <w:right w:val="single" w:sz="8" w:space="0" w:color="FFFFFF" w:themeColor="background1"/>
            </w:tcBorders>
            <w:shd w:val="clear" w:color="auto" w:fill="000000"/>
            <w:vAlign w:val="center"/>
          </w:tcPr>
          <w:p w:rsidR="00826F36" w:rsidRPr="00892DF8" w:rsidRDefault="00826F36" w:rsidP="00826F36">
            <w:pPr>
              <w:spacing w:after="120"/>
              <w:rPr>
                <w:rFonts w:eastAsia="Times New Roman" w:cs="Times New Roman"/>
                <w:color w:val="FFFFFF" w:themeColor="background1"/>
                <w:szCs w:val="22"/>
                <w:lang w:eastAsia="en-AU"/>
              </w:rPr>
            </w:pPr>
          </w:p>
        </w:tc>
        <w:tc>
          <w:tcPr>
            <w:tcW w:w="5244" w:type="dxa"/>
            <w:gridSpan w:val="3"/>
            <w:tcBorders>
              <w:top w:val="single" w:sz="8" w:space="0" w:color="FFFFFF" w:themeColor="background1"/>
              <w:left w:val="single" w:sz="8" w:space="0" w:color="FFFFFF" w:themeColor="background1"/>
              <w:bottom w:val="single" w:sz="8" w:space="0" w:color="FFFFFF" w:themeColor="background1"/>
            </w:tcBorders>
            <w:shd w:val="clear" w:color="auto" w:fill="000000"/>
            <w:vAlign w:val="center"/>
          </w:tcPr>
          <w:p w:rsidR="00826F36" w:rsidRPr="00892DF8" w:rsidRDefault="00826F36" w:rsidP="00826F36">
            <w:pPr>
              <w:spacing w:after="120"/>
              <w:jc w:val="center"/>
              <w:rPr>
                <w:rFonts w:eastAsia="Times New Roman" w:cs="Times New Roman"/>
                <w:color w:val="FFFFFF" w:themeColor="background1"/>
                <w:szCs w:val="22"/>
                <w:lang w:eastAsia="en-AU"/>
              </w:rPr>
            </w:pPr>
            <w:r w:rsidRPr="00892DF8">
              <w:rPr>
                <w:rFonts w:eastAsia="Times New Roman" w:cs="Times New Roman"/>
                <w:color w:val="FFFFFF" w:themeColor="background1"/>
                <w:szCs w:val="22"/>
                <w:lang w:eastAsia="en-AU"/>
              </w:rPr>
              <w:t>From nominated source</w:t>
            </w:r>
          </w:p>
        </w:tc>
      </w:tr>
      <w:tr w:rsidR="00E227BC" w:rsidRPr="001E7F34" w:rsidTr="002D021E">
        <w:trPr>
          <w:trHeight w:val="705"/>
        </w:trPr>
        <w:tc>
          <w:tcPr>
            <w:tcW w:w="4410" w:type="dxa"/>
            <w:tcBorders>
              <w:left w:val="single" w:sz="8" w:space="0" w:color="000000"/>
              <w:bottom w:val="single" w:sz="8" w:space="0" w:color="000000"/>
              <w:right w:val="single" w:sz="8" w:space="0" w:color="000000"/>
            </w:tcBorders>
            <w:shd w:val="clear" w:color="auto" w:fill="auto"/>
            <w:vAlign w:val="center"/>
            <w:hideMark/>
          </w:tcPr>
          <w:p w:rsidR="001E7F34" w:rsidRPr="001E7F34" w:rsidRDefault="001E7F34" w:rsidP="00826F36">
            <w:pPr>
              <w:spacing w:before="60" w:after="60"/>
              <w:rPr>
                <w:rFonts w:eastAsia="Times New Roman" w:cs="Times New Roman"/>
                <w:color w:val="000000"/>
                <w:szCs w:val="22"/>
                <w:lang w:eastAsia="en-AU"/>
              </w:rPr>
            </w:pPr>
            <w:r w:rsidRPr="001E7F34">
              <w:rPr>
                <w:rFonts w:eastAsia="Times New Roman" w:cs="Times New Roman"/>
                <w:color w:val="000000"/>
                <w:szCs w:val="22"/>
                <w:lang w:eastAsia="en-AU"/>
              </w:rPr>
              <w:t>Statutory Write Offs (damaged in collision or event)</w:t>
            </w:r>
          </w:p>
        </w:tc>
        <w:tc>
          <w:tcPr>
            <w:tcW w:w="1984" w:type="dxa"/>
            <w:tcBorders>
              <w:top w:val="single" w:sz="8" w:space="0" w:color="FFFFFF" w:themeColor="background1"/>
              <w:left w:val="single" w:sz="8" w:space="0" w:color="000000"/>
              <w:bottom w:val="single" w:sz="8" w:space="0" w:color="000000"/>
              <w:right w:val="single" w:sz="8" w:space="0" w:color="000000"/>
            </w:tcBorders>
            <w:shd w:val="clear" w:color="auto" w:fill="auto"/>
            <w:vAlign w:val="center"/>
            <w:hideMark/>
          </w:tcPr>
          <w:p w:rsidR="001E7F34" w:rsidRPr="001E7F34" w:rsidRDefault="001E7F34" w:rsidP="00826F36">
            <w:pPr>
              <w:spacing w:before="60" w:after="60"/>
              <w:jc w:val="center"/>
              <w:rPr>
                <w:rFonts w:eastAsia="Times New Roman" w:cs="Times New Roman"/>
                <w:color w:val="000000"/>
                <w:szCs w:val="22"/>
                <w:lang w:eastAsia="en-AU"/>
              </w:rPr>
            </w:pPr>
            <w:r w:rsidRPr="001E7F34">
              <w:rPr>
                <w:rFonts w:eastAsia="Times New Roman" w:cs="Times New Roman"/>
                <w:color w:val="000000"/>
                <w:szCs w:val="22"/>
                <w:lang w:eastAsia="en-AU"/>
              </w:rPr>
              <w:t>87,703</w:t>
            </w:r>
          </w:p>
        </w:tc>
        <w:tc>
          <w:tcPr>
            <w:tcW w:w="1526" w:type="dxa"/>
            <w:tcBorders>
              <w:top w:val="single" w:sz="8" w:space="0" w:color="FFFFFF" w:themeColor="background1"/>
              <w:left w:val="single" w:sz="8" w:space="0" w:color="000000"/>
              <w:bottom w:val="single" w:sz="8" w:space="0" w:color="000000"/>
              <w:right w:val="single" w:sz="8" w:space="0" w:color="000000"/>
            </w:tcBorders>
            <w:shd w:val="clear" w:color="auto" w:fill="auto"/>
            <w:vAlign w:val="center"/>
            <w:hideMark/>
          </w:tcPr>
          <w:p w:rsidR="001E7F34" w:rsidRPr="001E7F34" w:rsidRDefault="001E7F34" w:rsidP="00826F36">
            <w:pPr>
              <w:spacing w:before="60" w:after="60"/>
              <w:jc w:val="center"/>
              <w:rPr>
                <w:rFonts w:eastAsia="Times New Roman" w:cs="Times New Roman"/>
                <w:color w:val="000000"/>
                <w:szCs w:val="22"/>
                <w:lang w:eastAsia="en-AU"/>
              </w:rPr>
            </w:pPr>
            <w:r w:rsidRPr="001E7F34">
              <w:rPr>
                <w:rFonts w:eastAsia="Times New Roman" w:cs="Times New Roman"/>
                <w:color w:val="000000"/>
                <w:szCs w:val="22"/>
                <w:lang w:eastAsia="en-AU"/>
              </w:rPr>
              <w:t>13.30%</w:t>
            </w:r>
          </w:p>
        </w:tc>
        <w:tc>
          <w:tcPr>
            <w:tcW w:w="1734" w:type="dxa"/>
            <w:tcBorders>
              <w:top w:val="single" w:sz="8" w:space="0" w:color="FFFFFF" w:themeColor="background1"/>
              <w:left w:val="single" w:sz="8" w:space="0" w:color="000000"/>
              <w:bottom w:val="single" w:sz="8" w:space="0" w:color="000000"/>
              <w:right w:val="single" w:sz="8" w:space="0" w:color="000000"/>
            </w:tcBorders>
            <w:shd w:val="clear" w:color="auto" w:fill="auto"/>
            <w:vAlign w:val="center"/>
            <w:hideMark/>
          </w:tcPr>
          <w:p w:rsidR="001E7F34" w:rsidRPr="001E7F34" w:rsidRDefault="001E7F34" w:rsidP="00826F36">
            <w:pPr>
              <w:spacing w:before="60" w:after="60"/>
              <w:jc w:val="center"/>
              <w:rPr>
                <w:rFonts w:eastAsia="Times New Roman" w:cs="Times New Roman"/>
                <w:color w:val="000000"/>
                <w:szCs w:val="22"/>
                <w:lang w:eastAsia="en-AU"/>
              </w:rPr>
            </w:pPr>
            <w:r w:rsidRPr="001E7F34">
              <w:rPr>
                <w:rFonts w:eastAsia="Times New Roman" w:cs="Times New Roman"/>
                <w:color w:val="000000"/>
                <w:szCs w:val="22"/>
                <w:lang w:eastAsia="en-AU"/>
              </w:rPr>
              <w:t>230 grams</w:t>
            </w:r>
            <w:r w:rsidR="00826F36">
              <w:rPr>
                <w:rFonts w:eastAsia="Times New Roman" w:cs="Times New Roman"/>
                <w:color w:val="000000"/>
                <w:szCs w:val="22"/>
                <w:lang w:eastAsia="en-AU"/>
              </w:rPr>
              <w:t xml:space="preserve"> </w:t>
            </w:r>
          </w:p>
        </w:tc>
      </w:tr>
      <w:tr w:rsidR="00E227BC" w:rsidRPr="001E7F34" w:rsidTr="00892DF8">
        <w:trPr>
          <w:trHeight w:val="780"/>
        </w:trPr>
        <w:tc>
          <w:tcPr>
            <w:tcW w:w="441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E7F34" w:rsidRPr="001E7F34" w:rsidRDefault="001E7F34" w:rsidP="00826F36">
            <w:pPr>
              <w:spacing w:before="60" w:after="60"/>
              <w:rPr>
                <w:rFonts w:eastAsia="Times New Roman" w:cs="Times New Roman"/>
                <w:color w:val="000000"/>
                <w:szCs w:val="22"/>
                <w:lang w:eastAsia="en-AU"/>
              </w:rPr>
            </w:pPr>
            <w:r w:rsidRPr="001E7F34">
              <w:rPr>
                <w:rFonts w:eastAsia="Times New Roman" w:cs="Times New Roman"/>
                <w:color w:val="000000"/>
                <w:szCs w:val="22"/>
                <w:lang w:eastAsia="en-AU"/>
              </w:rPr>
              <w:t>Repairable Write Offs processed as ELVs and are stripped and recycled</w:t>
            </w:r>
          </w:p>
        </w:tc>
        <w:tc>
          <w:tcPr>
            <w:tcW w:w="1984" w:type="dxa"/>
            <w:tcBorders>
              <w:top w:val="single" w:sz="8" w:space="0" w:color="000000"/>
              <w:left w:val="nil"/>
              <w:bottom w:val="single" w:sz="8" w:space="0" w:color="000000"/>
              <w:right w:val="single" w:sz="8" w:space="0" w:color="000000"/>
            </w:tcBorders>
            <w:shd w:val="clear" w:color="auto" w:fill="auto"/>
            <w:vAlign w:val="center"/>
            <w:hideMark/>
          </w:tcPr>
          <w:p w:rsidR="001E7F34" w:rsidRPr="001E7F34" w:rsidRDefault="001E7F34" w:rsidP="00826F36">
            <w:pPr>
              <w:spacing w:before="60" w:after="60"/>
              <w:jc w:val="center"/>
              <w:rPr>
                <w:rFonts w:eastAsia="Times New Roman" w:cs="Times New Roman"/>
                <w:color w:val="000000"/>
                <w:szCs w:val="22"/>
                <w:lang w:eastAsia="en-AU"/>
              </w:rPr>
            </w:pPr>
            <w:r w:rsidRPr="001E7F34">
              <w:rPr>
                <w:rFonts w:eastAsia="Times New Roman" w:cs="Times New Roman"/>
                <w:color w:val="000000"/>
                <w:szCs w:val="22"/>
                <w:lang w:eastAsia="en-AU"/>
              </w:rPr>
              <w:t>26,184</w:t>
            </w:r>
          </w:p>
        </w:tc>
        <w:tc>
          <w:tcPr>
            <w:tcW w:w="1526" w:type="dxa"/>
            <w:tcBorders>
              <w:top w:val="single" w:sz="8" w:space="0" w:color="000000"/>
              <w:left w:val="nil"/>
              <w:bottom w:val="single" w:sz="8" w:space="0" w:color="000000"/>
              <w:right w:val="single" w:sz="8" w:space="0" w:color="000000"/>
            </w:tcBorders>
            <w:shd w:val="clear" w:color="auto" w:fill="auto"/>
            <w:vAlign w:val="center"/>
            <w:hideMark/>
          </w:tcPr>
          <w:p w:rsidR="001E7F34" w:rsidRPr="001E7F34" w:rsidRDefault="001E7F34" w:rsidP="00826F36">
            <w:pPr>
              <w:spacing w:before="60" w:after="60"/>
              <w:jc w:val="center"/>
              <w:rPr>
                <w:rFonts w:eastAsia="Times New Roman" w:cs="Times New Roman"/>
                <w:color w:val="000000"/>
                <w:szCs w:val="22"/>
                <w:lang w:eastAsia="en-AU"/>
              </w:rPr>
            </w:pPr>
            <w:r w:rsidRPr="001E7F34">
              <w:rPr>
                <w:rFonts w:eastAsia="Times New Roman" w:cs="Times New Roman"/>
                <w:color w:val="000000"/>
                <w:szCs w:val="22"/>
                <w:lang w:eastAsia="en-AU"/>
              </w:rPr>
              <w:t>4.00%</w:t>
            </w:r>
          </w:p>
        </w:tc>
        <w:tc>
          <w:tcPr>
            <w:tcW w:w="1734" w:type="dxa"/>
            <w:tcBorders>
              <w:top w:val="single" w:sz="8" w:space="0" w:color="000000"/>
              <w:left w:val="nil"/>
              <w:bottom w:val="single" w:sz="8" w:space="0" w:color="000000"/>
              <w:right w:val="single" w:sz="8" w:space="0" w:color="000000"/>
            </w:tcBorders>
            <w:shd w:val="clear" w:color="auto" w:fill="auto"/>
            <w:vAlign w:val="center"/>
            <w:hideMark/>
          </w:tcPr>
          <w:p w:rsidR="001E7F34" w:rsidRPr="001E7F34" w:rsidRDefault="001E7F34" w:rsidP="00826F36">
            <w:pPr>
              <w:spacing w:before="60" w:after="60"/>
              <w:jc w:val="center"/>
              <w:rPr>
                <w:rFonts w:eastAsia="Times New Roman" w:cs="Times New Roman"/>
                <w:color w:val="000000"/>
                <w:szCs w:val="22"/>
                <w:lang w:eastAsia="en-AU"/>
              </w:rPr>
            </w:pPr>
            <w:r w:rsidRPr="001E7F34">
              <w:rPr>
                <w:rFonts w:eastAsia="Times New Roman" w:cs="Times New Roman"/>
                <w:color w:val="000000"/>
                <w:szCs w:val="22"/>
                <w:lang w:eastAsia="en-AU"/>
              </w:rPr>
              <w:t>230 grams</w:t>
            </w:r>
            <w:r w:rsidR="00826F36">
              <w:rPr>
                <w:rFonts w:eastAsia="Times New Roman" w:cs="Times New Roman"/>
                <w:color w:val="000000"/>
                <w:szCs w:val="22"/>
                <w:lang w:eastAsia="en-AU"/>
              </w:rPr>
              <w:t xml:space="preserve"> </w:t>
            </w:r>
          </w:p>
        </w:tc>
      </w:tr>
      <w:tr w:rsidR="00E227BC" w:rsidRPr="001E7F34" w:rsidTr="00E227BC">
        <w:trPr>
          <w:trHeight w:val="795"/>
        </w:trPr>
        <w:tc>
          <w:tcPr>
            <w:tcW w:w="4410" w:type="dxa"/>
            <w:tcBorders>
              <w:top w:val="nil"/>
              <w:left w:val="single" w:sz="8" w:space="0" w:color="000000"/>
              <w:bottom w:val="single" w:sz="8" w:space="0" w:color="000000"/>
              <w:right w:val="single" w:sz="8" w:space="0" w:color="000000"/>
            </w:tcBorders>
            <w:shd w:val="clear" w:color="auto" w:fill="auto"/>
            <w:vAlign w:val="center"/>
            <w:hideMark/>
          </w:tcPr>
          <w:p w:rsidR="001E7F34" w:rsidRPr="001E7F34" w:rsidRDefault="001E7F34" w:rsidP="00826F36">
            <w:pPr>
              <w:spacing w:before="60" w:after="60"/>
              <w:rPr>
                <w:rFonts w:eastAsia="Times New Roman" w:cs="Times New Roman"/>
                <w:color w:val="000000"/>
                <w:szCs w:val="22"/>
                <w:lang w:eastAsia="en-AU"/>
              </w:rPr>
            </w:pPr>
            <w:r w:rsidRPr="001E7F34">
              <w:rPr>
                <w:rFonts w:eastAsia="Times New Roman" w:cs="Times New Roman"/>
                <w:color w:val="000000"/>
                <w:szCs w:val="22"/>
                <w:lang w:eastAsia="en-AU"/>
              </w:rPr>
              <w:t>Stolen Not Recovered Vehicles (theft for profit)</w:t>
            </w:r>
          </w:p>
        </w:tc>
        <w:tc>
          <w:tcPr>
            <w:tcW w:w="1984" w:type="dxa"/>
            <w:tcBorders>
              <w:top w:val="nil"/>
              <w:left w:val="nil"/>
              <w:bottom w:val="single" w:sz="8" w:space="0" w:color="000000"/>
              <w:right w:val="single" w:sz="8" w:space="0" w:color="000000"/>
            </w:tcBorders>
            <w:shd w:val="clear" w:color="auto" w:fill="auto"/>
            <w:vAlign w:val="center"/>
            <w:hideMark/>
          </w:tcPr>
          <w:p w:rsidR="001E7F34" w:rsidRPr="001E7F34" w:rsidRDefault="001E7F34" w:rsidP="00826F36">
            <w:pPr>
              <w:spacing w:before="60" w:after="60"/>
              <w:jc w:val="center"/>
              <w:rPr>
                <w:rFonts w:eastAsia="Times New Roman" w:cs="Times New Roman"/>
                <w:color w:val="000000"/>
                <w:szCs w:val="22"/>
                <w:lang w:eastAsia="en-AU"/>
              </w:rPr>
            </w:pPr>
            <w:r w:rsidRPr="001E7F34">
              <w:rPr>
                <w:rFonts w:eastAsia="Times New Roman" w:cs="Times New Roman"/>
                <w:color w:val="000000"/>
                <w:szCs w:val="22"/>
                <w:lang w:eastAsia="en-AU"/>
              </w:rPr>
              <w:t>12,070</w:t>
            </w:r>
          </w:p>
        </w:tc>
        <w:tc>
          <w:tcPr>
            <w:tcW w:w="1526" w:type="dxa"/>
            <w:tcBorders>
              <w:top w:val="nil"/>
              <w:left w:val="nil"/>
              <w:bottom w:val="single" w:sz="8" w:space="0" w:color="000000"/>
              <w:right w:val="single" w:sz="8" w:space="0" w:color="000000"/>
            </w:tcBorders>
            <w:shd w:val="clear" w:color="auto" w:fill="auto"/>
            <w:vAlign w:val="center"/>
            <w:hideMark/>
          </w:tcPr>
          <w:p w:rsidR="001E7F34" w:rsidRPr="001E7F34" w:rsidRDefault="001E7F34" w:rsidP="00826F36">
            <w:pPr>
              <w:spacing w:before="60" w:after="60"/>
              <w:jc w:val="center"/>
              <w:rPr>
                <w:rFonts w:eastAsia="Times New Roman" w:cs="Times New Roman"/>
                <w:color w:val="000000"/>
                <w:szCs w:val="22"/>
                <w:lang w:eastAsia="en-AU"/>
              </w:rPr>
            </w:pPr>
            <w:r w:rsidRPr="001E7F34">
              <w:rPr>
                <w:rFonts w:eastAsia="Times New Roman" w:cs="Times New Roman"/>
                <w:color w:val="000000"/>
                <w:szCs w:val="22"/>
                <w:lang w:eastAsia="en-AU"/>
              </w:rPr>
              <w:t>1.80%</w:t>
            </w:r>
          </w:p>
        </w:tc>
        <w:tc>
          <w:tcPr>
            <w:tcW w:w="1734" w:type="dxa"/>
            <w:tcBorders>
              <w:top w:val="nil"/>
              <w:left w:val="nil"/>
              <w:bottom w:val="single" w:sz="8" w:space="0" w:color="000000"/>
              <w:right w:val="single" w:sz="8" w:space="0" w:color="000000"/>
            </w:tcBorders>
            <w:shd w:val="clear" w:color="auto" w:fill="auto"/>
            <w:vAlign w:val="center"/>
            <w:hideMark/>
          </w:tcPr>
          <w:p w:rsidR="001E7F34" w:rsidRPr="001E7F34" w:rsidRDefault="001E7F34" w:rsidP="00826F36">
            <w:pPr>
              <w:spacing w:before="60" w:after="60"/>
              <w:jc w:val="center"/>
              <w:rPr>
                <w:rFonts w:eastAsia="Times New Roman" w:cs="Times New Roman"/>
                <w:color w:val="000000"/>
                <w:szCs w:val="22"/>
                <w:lang w:eastAsia="en-AU"/>
              </w:rPr>
            </w:pPr>
            <w:r w:rsidRPr="001E7F34">
              <w:rPr>
                <w:rFonts w:eastAsia="Times New Roman" w:cs="Times New Roman"/>
                <w:color w:val="000000"/>
                <w:szCs w:val="22"/>
                <w:lang w:eastAsia="en-AU"/>
              </w:rPr>
              <w:t>230 grams</w:t>
            </w:r>
            <w:r w:rsidR="00826F36">
              <w:rPr>
                <w:rFonts w:eastAsia="Times New Roman" w:cs="Times New Roman"/>
                <w:color w:val="000000"/>
                <w:szCs w:val="22"/>
                <w:lang w:eastAsia="en-AU"/>
              </w:rPr>
              <w:t xml:space="preserve"> </w:t>
            </w:r>
          </w:p>
        </w:tc>
      </w:tr>
      <w:tr w:rsidR="00E227BC" w:rsidRPr="001E7F34" w:rsidTr="00E227BC">
        <w:trPr>
          <w:trHeight w:val="780"/>
        </w:trPr>
        <w:tc>
          <w:tcPr>
            <w:tcW w:w="4410" w:type="dxa"/>
            <w:tcBorders>
              <w:top w:val="nil"/>
              <w:left w:val="single" w:sz="8" w:space="0" w:color="000000"/>
              <w:bottom w:val="single" w:sz="8" w:space="0" w:color="000000"/>
              <w:right w:val="single" w:sz="8" w:space="0" w:color="000000"/>
            </w:tcBorders>
            <w:shd w:val="clear" w:color="auto" w:fill="auto"/>
            <w:vAlign w:val="center"/>
            <w:hideMark/>
          </w:tcPr>
          <w:p w:rsidR="001E7F34" w:rsidRPr="001E7F34" w:rsidRDefault="001E7F34" w:rsidP="00826F36">
            <w:pPr>
              <w:spacing w:before="60" w:after="60"/>
              <w:rPr>
                <w:rFonts w:eastAsia="Times New Roman" w:cs="Times New Roman"/>
                <w:color w:val="000000"/>
                <w:szCs w:val="22"/>
                <w:lang w:eastAsia="en-AU"/>
              </w:rPr>
            </w:pPr>
            <w:r w:rsidRPr="001E7F34">
              <w:rPr>
                <w:rFonts w:eastAsia="Times New Roman" w:cs="Times New Roman"/>
                <w:color w:val="000000"/>
                <w:szCs w:val="22"/>
                <w:lang w:eastAsia="en-AU"/>
              </w:rPr>
              <w:t>Stolen Short Term and Recovered are damaged and become ELVs</w:t>
            </w:r>
          </w:p>
        </w:tc>
        <w:tc>
          <w:tcPr>
            <w:tcW w:w="1984" w:type="dxa"/>
            <w:tcBorders>
              <w:top w:val="nil"/>
              <w:left w:val="nil"/>
              <w:bottom w:val="single" w:sz="8" w:space="0" w:color="000000"/>
              <w:right w:val="single" w:sz="8" w:space="0" w:color="000000"/>
            </w:tcBorders>
            <w:shd w:val="clear" w:color="auto" w:fill="auto"/>
            <w:vAlign w:val="center"/>
            <w:hideMark/>
          </w:tcPr>
          <w:p w:rsidR="001E7F34" w:rsidRPr="001E7F34" w:rsidRDefault="001E7F34" w:rsidP="00826F36">
            <w:pPr>
              <w:spacing w:before="60" w:after="60"/>
              <w:jc w:val="center"/>
              <w:rPr>
                <w:rFonts w:eastAsia="Times New Roman" w:cs="Times New Roman"/>
                <w:color w:val="000000"/>
                <w:szCs w:val="22"/>
                <w:lang w:eastAsia="en-AU"/>
              </w:rPr>
            </w:pPr>
            <w:r w:rsidRPr="001E7F34">
              <w:rPr>
                <w:rFonts w:eastAsia="Times New Roman" w:cs="Times New Roman"/>
                <w:color w:val="000000"/>
                <w:szCs w:val="22"/>
                <w:lang w:eastAsia="en-AU"/>
              </w:rPr>
              <w:t>8,988</w:t>
            </w:r>
          </w:p>
        </w:tc>
        <w:tc>
          <w:tcPr>
            <w:tcW w:w="1526" w:type="dxa"/>
            <w:tcBorders>
              <w:top w:val="nil"/>
              <w:left w:val="nil"/>
              <w:bottom w:val="single" w:sz="8" w:space="0" w:color="000000"/>
              <w:right w:val="single" w:sz="8" w:space="0" w:color="000000"/>
            </w:tcBorders>
            <w:shd w:val="clear" w:color="auto" w:fill="auto"/>
            <w:vAlign w:val="center"/>
            <w:hideMark/>
          </w:tcPr>
          <w:p w:rsidR="001E7F34" w:rsidRPr="001E7F34" w:rsidRDefault="001E7F34" w:rsidP="00826F36">
            <w:pPr>
              <w:spacing w:before="60" w:after="60"/>
              <w:jc w:val="center"/>
              <w:rPr>
                <w:rFonts w:eastAsia="Times New Roman" w:cs="Times New Roman"/>
                <w:color w:val="000000"/>
                <w:szCs w:val="22"/>
                <w:lang w:eastAsia="en-AU"/>
              </w:rPr>
            </w:pPr>
            <w:r w:rsidRPr="001E7F34">
              <w:rPr>
                <w:rFonts w:eastAsia="Times New Roman" w:cs="Times New Roman"/>
                <w:color w:val="000000"/>
                <w:szCs w:val="22"/>
                <w:lang w:eastAsia="en-AU"/>
              </w:rPr>
              <w:t>1.40%</w:t>
            </w:r>
          </w:p>
        </w:tc>
        <w:tc>
          <w:tcPr>
            <w:tcW w:w="1734" w:type="dxa"/>
            <w:tcBorders>
              <w:top w:val="nil"/>
              <w:left w:val="nil"/>
              <w:bottom w:val="single" w:sz="8" w:space="0" w:color="000000"/>
              <w:right w:val="single" w:sz="8" w:space="0" w:color="000000"/>
            </w:tcBorders>
            <w:shd w:val="clear" w:color="auto" w:fill="auto"/>
            <w:vAlign w:val="center"/>
            <w:hideMark/>
          </w:tcPr>
          <w:p w:rsidR="001E7F34" w:rsidRPr="001E7F34" w:rsidRDefault="001E7F34" w:rsidP="00826F36">
            <w:pPr>
              <w:spacing w:before="60" w:after="60"/>
              <w:jc w:val="center"/>
              <w:rPr>
                <w:rFonts w:eastAsia="Times New Roman" w:cs="Times New Roman"/>
                <w:color w:val="000000"/>
                <w:szCs w:val="22"/>
                <w:lang w:eastAsia="en-AU"/>
              </w:rPr>
            </w:pPr>
            <w:r w:rsidRPr="001E7F34">
              <w:rPr>
                <w:rFonts w:eastAsia="Times New Roman" w:cs="Times New Roman"/>
                <w:color w:val="000000"/>
                <w:szCs w:val="22"/>
                <w:lang w:eastAsia="en-AU"/>
              </w:rPr>
              <w:t>230 grams</w:t>
            </w:r>
          </w:p>
        </w:tc>
      </w:tr>
      <w:tr w:rsidR="00E227BC" w:rsidRPr="001E7F34" w:rsidTr="00E227BC">
        <w:trPr>
          <w:trHeight w:val="825"/>
        </w:trPr>
        <w:tc>
          <w:tcPr>
            <w:tcW w:w="4410" w:type="dxa"/>
            <w:tcBorders>
              <w:top w:val="nil"/>
              <w:left w:val="single" w:sz="8" w:space="0" w:color="000000"/>
              <w:bottom w:val="single" w:sz="8" w:space="0" w:color="000000"/>
              <w:right w:val="single" w:sz="8" w:space="0" w:color="000000"/>
            </w:tcBorders>
            <w:shd w:val="clear" w:color="auto" w:fill="auto"/>
            <w:vAlign w:val="center"/>
            <w:hideMark/>
          </w:tcPr>
          <w:p w:rsidR="001E7F34" w:rsidRPr="001E7F34" w:rsidRDefault="001E7F34" w:rsidP="00826F36">
            <w:pPr>
              <w:spacing w:before="60" w:after="60"/>
              <w:rPr>
                <w:rFonts w:eastAsia="Times New Roman" w:cs="Times New Roman"/>
                <w:color w:val="000000"/>
                <w:szCs w:val="22"/>
                <w:lang w:eastAsia="en-AU"/>
              </w:rPr>
            </w:pPr>
            <w:r w:rsidRPr="001E7F34">
              <w:rPr>
                <w:rFonts w:eastAsia="Times New Roman" w:cs="Times New Roman"/>
                <w:color w:val="000000"/>
                <w:szCs w:val="22"/>
                <w:lang w:eastAsia="en-AU"/>
              </w:rPr>
              <w:t>Vehicles that are</w:t>
            </w:r>
            <w:r w:rsidR="00E227BC">
              <w:rPr>
                <w:rFonts w:eastAsia="Times New Roman" w:cs="Times New Roman"/>
                <w:color w:val="000000"/>
                <w:szCs w:val="22"/>
                <w:lang w:eastAsia="en-AU"/>
              </w:rPr>
              <w:t xml:space="preserve"> </w:t>
            </w:r>
            <w:r w:rsidRPr="001E7F34">
              <w:rPr>
                <w:rFonts w:eastAsia="Times New Roman" w:cs="Times New Roman"/>
                <w:color w:val="000000"/>
                <w:szCs w:val="22"/>
                <w:lang w:eastAsia="en-AU"/>
              </w:rPr>
              <w:t>Uninsured and Damaged in Collision become ELVs</w:t>
            </w:r>
          </w:p>
        </w:tc>
        <w:tc>
          <w:tcPr>
            <w:tcW w:w="1984" w:type="dxa"/>
            <w:tcBorders>
              <w:top w:val="nil"/>
              <w:left w:val="nil"/>
              <w:bottom w:val="single" w:sz="8" w:space="0" w:color="000000"/>
              <w:right w:val="single" w:sz="8" w:space="0" w:color="000000"/>
            </w:tcBorders>
            <w:shd w:val="clear" w:color="auto" w:fill="auto"/>
            <w:vAlign w:val="center"/>
            <w:hideMark/>
          </w:tcPr>
          <w:p w:rsidR="001E7F34" w:rsidRPr="001E7F34" w:rsidRDefault="001E7F34" w:rsidP="00826F36">
            <w:pPr>
              <w:spacing w:before="60" w:after="60"/>
              <w:jc w:val="center"/>
              <w:rPr>
                <w:rFonts w:eastAsia="Times New Roman" w:cs="Times New Roman"/>
                <w:color w:val="000000"/>
                <w:szCs w:val="22"/>
                <w:lang w:eastAsia="en-AU"/>
              </w:rPr>
            </w:pPr>
            <w:r w:rsidRPr="001E7F34">
              <w:rPr>
                <w:rFonts w:eastAsia="Times New Roman" w:cs="Times New Roman"/>
                <w:color w:val="000000"/>
                <w:szCs w:val="22"/>
                <w:lang w:eastAsia="en-AU"/>
              </w:rPr>
              <w:t>75,533</w:t>
            </w:r>
          </w:p>
        </w:tc>
        <w:tc>
          <w:tcPr>
            <w:tcW w:w="1526" w:type="dxa"/>
            <w:tcBorders>
              <w:top w:val="nil"/>
              <w:left w:val="nil"/>
              <w:bottom w:val="single" w:sz="8" w:space="0" w:color="000000"/>
              <w:right w:val="single" w:sz="8" w:space="0" w:color="000000"/>
            </w:tcBorders>
            <w:shd w:val="clear" w:color="auto" w:fill="auto"/>
            <w:vAlign w:val="center"/>
            <w:hideMark/>
          </w:tcPr>
          <w:p w:rsidR="001E7F34" w:rsidRPr="001E7F34" w:rsidRDefault="001E7F34" w:rsidP="00826F36">
            <w:pPr>
              <w:spacing w:before="60" w:after="60"/>
              <w:jc w:val="center"/>
              <w:rPr>
                <w:rFonts w:eastAsia="Times New Roman" w:cs="Times New Roman"/>
                <w:color w:val="000000"/>
                <w:szCs w:val="22"/>
                <w:lang w:eastAsia="en-AU"/>
              </w:rPr>
            </w:pPr>
            <w:r w:rsidRPr="001E7F34">
              <w:rPr>
                <w:rFonts w:eastAsia="Times New Roman" w:cs="Times New Roman"/>
                <w:color w:val="000000"/>
                <w:szCs w:val="22"/>
                <w:lang w:eastAsia="en-AU"/>
              </w:rPr>
              <w:t>11.50%</w:t>
            </w:r>
          </w:p>
        </w:tc>
        <w:tc>
          <w:tcPr>
            <w:tcW w:w="1734" w:type="dxa"/>
            <w:tcBorders>
              <w:top w:val="nil"/>
              <w:left w:val="nil"/>
              <w:bottom w:val="single" w:sz="8" w:space="0" w:color="000000"/>
              <w:right w:val="single" w:sz="8" w:space="0" w:color="000000"/>
            </w:tcBorders>
            <w:shd w:val="clear" w:color="auto" w:fill="auto"/>
            <w:vAlign w:val="center"/>
            <w:hideMark/>
          </w:tcPr>
          <w:p w:rsidR="001E7F34" w:rsidRPr="001E7F34" w:rsidRDefault="001E7F34" w:rsidP="00826F36">
            <w:pPr>
              <w:spacing w:before="60" w:after="60"/>
              <w:jc w:val="center"/>
              <w:rPr>
                <w:rFonts w:eastAsia="Times New Roman" w:cs="Times New Roman"/>
                <w:color w:val="000000"/>
                <w:szCs w:val="22"/>
                <w:lang w:eastAsia="en-AU"/>
              </w:rPr>
            </w:pPr>
            <w:r w:rsidRPr="001E7F34">
              <w:rPr>
                <w:rFonts w:eastAsia="Times New Roman" w:cs="Times New Roman"/>
                <w:color w:val="000000"/>
                <w:szCs w:val="22"/>
                <w:lang w:eastAsia="en-AU"/>
              </w:rPr>
              <w:t>230 grams</w:t>
            </w:r>
          </w:p>
        </w:tc>
      </w:tr>
      <w:tr w:rsidR="00E227BC" w:rsidRPr="001E7F34" w:rsidTr="00E227BC">
        <w:trPr>
          <w:trHeight w:val="885"/>
        </w:trPr>
        <w:tc>
          <w:tcPr>
            <w:tcW w:w="4410" w:type="dxa"/>
            <w:tcBorders>
              <w:top w:val="nil"/>
              <w:left w:val="single" w:sz="8" w:space="0" w:color="000000"/>
              <w:bottom w:val="single" w:sz="8" w:space="0" w:color="000000"/>
              <w:right w:val="single" w:sz="8" w:space="0" w:color="000000"/>
            </w:tcBorders>
            <w:shd w:val="clear" w:color="auto" w:fill="auto"/>
            <w:vAlign w:val="center"/>
            <w:hideMark/>
          </w:tcPr>
          <w:p w:rsidR="001E7F34" w:rsidRPr="001E7F34" w:rsidRDefault="001E7F34" w:rsidP="00826F36">
            <w:pPr>
              <w:spacing w:before="60" w:after="60"/>
              <w:rPr>
                <w:rFonts w:eastAsia="Times New Roman" w:cs="Times New Roman"/>
                <w:color w:val="000000"/>
                <w:szCs w:val="22"/>
                <w:lang w:eastAsia="en-AU"/>
              </w:rPr>
            </w:pPr>
            <w:r w:rsidRPr="001E7F34">
              <w:rPr>
                <w:rFonts w:eastAsia="Times New Roman" w:cs="Times New Roman"/>
                <w:color w:val="000000"/>
                <w:szCs w:val="22"/>
                <w:lang w:eastAsia="en-AU"/>
              </w:rPr>
              <w:t>Uninsured Vehicles Damaged in non-collision Event that become ELVs</w:t>
            </w:r>
          </w:p>
        </w:tc>
        <w:tc>
          <w:tcPr>
            <w:tcW w:w="1984" w:type="dxa"/>
            <w:tcBorders>
              <w:top w:val="nil"/>
              <w:left w:val="nil"/>
              <w:bottom w:val="single" w:sz="8" w:space="0" w:color="000000"/>
              <w:right w:val="single" w:sz="8" w:space="0" w:color="000000"/>
            </w:tcBorders>
            <w:shd w:val="clear" w:color="auto" w:fill="auto"/>
            <w:vAlign w:val="center"/>
            <w:hideMark/>
          </w:tcPr>
          <w:p w:rsidR="001E7F34" w:rsidRPr="001E7F34" w:rsidRDefault="00E822B9" w:rsidP="00826F36">
            <w:pPr>
              <w:spacing w:before="60" w:after="60"/>
              <w:jc w:val="center"/>
              <w:rPr>
                <w:rFonts w:eastAsia="Times New Roman" w:cs="Times New Roman"/>
                <w:color w:val="000000"/>
                <w:szCs w:val="22"/>
                <w:lang w:eastAsia="en-AU"/>
              </w:rPr>
            </w:pPr>
            <w:r>
              <w:rPr>
                <w:rFonts w:eastAsia="Times New Roman" w:cs="Times New Roman"/>
                <w:color w:val="000000"/>
                <w:szCs w:val="22"/>
                <w:lang w:eastAsia="en-AU"/>
              </w:rPr>
              <w:t>~10,000</w:t>
            </w:r>
          </w:p>
        </w:tc>
        <w:tc>
          <w:tcPr>
            <w:tcW w:w="1526" w:type="dxa"/>
            <w:tcBorders>
              <w:top w:val="nil"/>
              <w:left w:val="nil"/>
              <w:bottom w:val="single" w:sz="8" w:space="0" w:color="000000"/>
              <w:right w:val="single" w:sz="8" w:space="0" w:color="000000"/>
            </w:tcBorders>
            <w:shd w:val="clear" w:color="auto" w:fill="auto"/>
            <w:vAlign w:val="center"/>
            <w:hideMark/>
          </w:tcPr>
          <w:p w:rsidR="001E7F34" w:rsidRPr="001E7F34" w:rsidRDefault="001E7F34" w:rsidP="00826F36">
            <w:pPr>
              <w:spacing w:before="60" w:after="60"/>
              <w:jc w:val="center"/>
              <w:rPr>
                <w:rFonts w:eastAsia="Times New Roman" w:cs="Times New Roman"/>
                <w:color w:val="000000"/>
                <w:szCs w:val="22"/>
                <w:lang w:eastAsia="en-AU"/>
              </w:rPr>
            </w:pPr>
            <w:r w:rsidRPr="001E7F34">
              <w:rPr>
                <w:rFonts w:eastAsia="Times New Roman" w:cs="Times New Roman"/>
                <w:color w:val="000000"/>
                <w:szCs w:val="22"/>
                <w:lang w:eastAsia="en-AU"/>
              </w:rPr>
              <w:t>1.50%</w:t>
            </w:r>
          </w:p>
        </w:tc>
        <w:tc>
          <w:tcPr>
            <w:tcW w:w="1734" w:type="dxa"/>
            <w:tcBorders>
              <w:top w:val="nil"/>
              <w:left w:val="nil"/>
              <w:bottom w:val="single" w:sz="8" w:space="0" w:color="000000"/>
              <w:right w:val="single" w:sz="8" w:space="0" w:color="000000"/>
            </w:tcBorders>
            <w:shd w:val="clear" w:color="auto" w:fill="auto"/>
            <w:vAlign w:val="center"/>
            <w:hideMark/>
          </w:tcPr>
          <w:p w:rsidR="001E7F34" w:rsidRPr="001E7F34" w:rsidRDefault="001E7F34" w:rsidP="00826F36">
            <w:pPr>
              <w:spacing w:before="60" w:after="60"/>
              <w:jc w:val="center"/>
              <w:rPr>
                <w:rFonts w:eastAsia="Times New Roman" w:cs="Times New Roman"/>
                <w:color w:val="000000"/>
                <w:szCs w:val="22"/>
                <w:lang w:eastAsia="en-AU"/>
              </w:rPr>
            </w:pPr>
            <w:r w:rsidRPr="001E7F34">
              <w:rPr>
                <w:rFonts w:eastAsia="Times New Roman" w:cs="Times New Roman"/>
                <w:color w:val="000000"/>
                <w:szCs w:val="22"/>
                <w:lang w:eastAsia="en-AU"/>
              </w:rPr>
              <w:t>396 grams</w:t>
            </w:r>
          </w:p>
        </w:tc>
      </w:tr>
      <w:tr w:rsidR="00E227BC" w:rsidRPr="001E7F34" w:rsidTr="00E227BC">
        <w:trPr>
          <w:trHeight w:val="915"/>
        </w:trPr>
        <w:tc>
          <w:tcPr>
            <w:tcW w:w="4410" w:type="dxa"/>
            <w:tcBorders>
              <w:top w:val="nil"/>
              <w:left w:val="single" w:sz="8" w:space="0" w:color="000000"/>
              <w:bottom w:val="single" w:sz="8" w:space="0" w:color="000000"/>
              <w:right w:val="single" w:sz="8" w:space="0" w:color="000000"/>
            </w:tcBorders>
            <w:shd w:val="clear" w:color="auto" w:fill="auto"/>
            <w:vAlign w:val="center"/>
            <w:hideMark/>
          </w:tcPr>
          <w:p w:rsidR="001E7F34" w:rsidRPr="001E7F34" w:rsidRDefault="001E7F34" w:rsidP="00826F36">
            <w:pPr>
              <w:spacing w:before="60" w:after="60"/>
              <w:rPr>
                <w:rFonts w:eastAsia="Times New Roman" w:cs="Times New Roman"/>
                <w:color w:val="000000"/>
                <w:szCs w:val="22"/>
                <w:lang w:eastAsia="en-AU"/>
              </w:rPr>
            </w:pPr>
            <w:r w:rsidRPr="001E7F34">
              <w:rPr>
                <w:rFonts w:eastAsia="Times New Roman" w:cs="Times New Roman"/>
                <w:color w:val="000000"/>
                <w:szCs w:val="22"/>
                <w:lang w:eastAsia="en-AU"/>
              </w:rPr>
              <w:t>ELVs that were Uneconomic to Register and/or More Economic to Recycle</w:t>
            </w:r>
          </w:p>
        </w:tc>
        <w:tc>
          <w:tcPr>
            <w:tcW w:w="1984" w:type="dxa"/>
            <w:tcBorders>
              <w:top w:val="nil"/>
              <w:left w:val="nil"/>
              <w:bottom w:val="single" w:sz="8" w:space="0" w:color="000000"/>
              <w:right w:val="single" w:sz="8" w:space="0" w:color="000000"/>
            </w:tcBorders>
            <w:shd w:val="clear" w:color="auto" w:fill="auto"/>
            <w:vAlign w:val="center"/>
            <w:hideMark/>
          </w:tcPr>
          <w:p w:rsidR="001E7F34" w:rsidRPr="001E7F34" w:rsidRDefault="00E822B9" w:rsidP="00826F36">
            <w:pPr>
              <w:spacing w:before="60" w:after="60"/>
              <w:jc w:val="center"/>
              <w:rPr>
                <w:rFonts w:eastAsia="Times New Roman" w:cs="Times New Roman"/>
                <w:color w:val="000000"/>
                <w:szCs w:val="22"/>
                <w:lang w:eastAsia="en-AU"/>
              </w:rPr>
            </w:pPr>
            <w:r>
              <w:rPr>
                <w:rFonts w:eastAsia="Times New Roman" w:cs="Times New Roman"/>
                <w:color w:val="000000"/>
                <w:szCs w:val="22"/>
                <w:lang w:eastAsia="en-AU"/>
              </w:rPr>
              <w:t>~</w:t>
            </w:r>
            <w:r w:rsidR="001E7F34" w:rsidRPr="001E7F34">
              <w:rPr>
                <w:rFonts w:eastAsia="Times New Roman" w:cs="Times New Roman"/>
                <w:color w:val="000000"/>
                <w:szCs w:val="22"/>
                <w:lang w:eastAsia="en-AU"/>
              </w:rPr>
              <w:t>438,000</w:t>
            </w:r>
          </w:p>
        </w:tc>
        <w:tc>
          <w:tcPr>
            <w:tcW w:w="1526" w:type="dxa"/>
            <w:tcBorders>
              <w:top w:val="nil"/>
              <w:left w:val="nil"/>
              <w:bottom w:val="single" w:sz="8" w:space="0" w:color="000000"/>
              <w:right w:val="single" w:sz="8" w:space="0" w:color="000000"/>
            </w:tcBorders>
            <w:shd w:val="clear" w:color="auto" w:fill="auto"/>
            <w:vAlign w:val="center"/>
            <w:hideMark/>
          </w:tcPr>
          <w:p w:rsidR="001E7F34" w:rsidRPr="001E7F34" w:rsidRDefault="001E7F34" w:rsidP="00826F36">
            <w:pPr>
              <w:spacing w:before="60" w:after="60"/>
              <w:jc w:val="center"/>
              <w:rPr>
                <w:rFonts w:eastAsia="Times New Roman" w:cs="Times New Roman"/>
                <w:color w:val="000000"/>
                <w:szCs w:val="22"/>
                <w:lang w:eastAsia="en-AU"/>
              </w:rPr>
            </w:pPr>
            <w:r w:rsidRPr="001E7F34">
              <w:rPr>
                <w:rFonts w:eastAsia="Times New Roman" w:cs="Times New Roman"/>
                <w:color w:val="000000"/>
                <w:szCs w:val="22"/>
                <w:lang w:eastAsia="en-AU"/>
              </w:rPr>
              <w:t>66.60%</w:t>
            </w:r>
          </w:p>
        </w:tc>
        <w:tc>
          <w:tcPr>
            <w:tcW w:w="1734" w:type="dxa"/>
            <w:tcBorders>
              <w:top w:val="nil"/>
              <w:left w:val="nil"/>
              <w:bottom w:val="single" w:sz="8" w:space="0" w:color="000000"/>
              <w:right w:val="single" w:sz="8" w:space="0" w:color="000000"/>
            </w:tcBorders>
            <w:shd w:val="clear" w:color="auto" w:fill="auto"/>
            <w:vAlign w:val="center"/>
            <w:hideMark/>
          </w:tcPr>
          <w:p w:rsidR="001E7F34" w:rsidRPr="001E7F34" w:rsidRDefault="001E7F34" w:rsidP="00826F36">
            <w:pPr>
              <w:spacing w:before="60" w:after="60"/>
              <w:jc w:val="center"/>
              <w:rPr>
                <w:rFonts w:eastAsia="Times New Roman" w:cs="Times New Roman"/>
                <w:color w:val="000000"/>
                <w:szCs w:val="22"/>
                <w:lang w:eastAsia="en-AU"/>
              </w:rPr>
            </w:pPr>
            <w:r w:rsidRPr="001E7F34">
              <w:rPr>
                <w:rFonts w:eastAsia="Times New Roman" w:cs="Times New Roman"/>
                <w:color w:val="000000"/>
                <w:szCs w:val="22"/>
                <w:lang w:eastAsia="en-AU"/>
              </w:rPr>
              <w:t>396 grams</w:t>
            </w:r>
          </w:p>
        </w:tc>
      </w:tr>
      <w:tr w:rsidR="00E227BC" w:rsidRPr="001E7F34" w:rsidTr="00E227BC">
        <w:trPr>
          <w:trHeight w:val="315"/>
        </w:trPr>
        <w:tc>
          <w:tcPr>
            <w:tcW w:w="4410" w:type="dxa"/>
            <w:tcBorders>
              <w:top w:val="nil"/>
              <w:left w:val="single" w:sz="8" w:space="0" w:color="000000"/>
              <w:bottom w:val="single" w:sz="8" w:space="0" w:color="000000"/>
              <w:right w:val="single" w:sz="8" w:space="0" w:color="000000"/>
            </w:tcBorders>
            <w:shd w:val="clear" w:color="auto" w:fill="auto"/>
            <w:vAlign w:val="center"/>
            <w:hideMark/>
          </w:tcPr>
          <w:p w:rsidR="001E7F34" w:rsidRPr="001E7F34" w:rsidRDefault="001E7F34" w:rsidP="00826F36">
            <w:pPr>
              <w:spacing w:after="120"/>
              <w:rPr>
                <w:rFonts w:eastAsia="Times New Roman" w:cs="Times New Roman"/>
                <w:color w:val="000000"/>
                <w:szCs w:val="22"/>
                <w:lang w:eastAsia="en-AU"/>
              </w:rPr>
            </w:pPr>
            <w:r w:rsidRPr="001E7F34">
              <w:rPr>
                <w:rFonts w:eastAsia="Times New Roman" w:cs="Times New Roman"/>
                <w:color w:val="000000"/>
                <w:szCs w:val="22"/>
                <w:lang w:eastAsia="en-AU"/>
              </w:rPr>
              <w:t>Total</w:t>
            </w:r>
          </w:p>
        </w:tc>
        <w:tc>
          <w:tcPr>
            <w:tcW w:w="1984" w:type="dxa"/>
            <w:tcBorders>
              <w:top w:val="nil"/>
              <w:left w:val="nil"/>
              <w:bottom w:val="single" w:sz="8" w:space="0" w:color="000000"/>
              <w:right w:val="single" w:sz="8" w:space="0" w:color="000000"/>
            </w:tcBorders>
            <w:shd w:val="clear" w:color="auto" w:fill="auto"/>
            <w:vAlign w:val="center"/>
            <w:hideMark/>
          </w:tcPr>
          <w:p w:rsidR="001E7F34" w:rsidRPr="001E7F34" w:rsidRDefault="001E7F34" w:rsidP="00826F36">
            <w:pPr>
              <w:spacing w:after="120"/>
              <w:jc w:val="center"/>
              <w:rPr>
                <w:rFonts w:eastAsia="Times New Roman" w:cs="Times New Roman"/>
                <w:color w:val="000000"/>
                <w:szCs w:val="22"/>
                <w:lang w:eastAsia="en-AU"/>
              </w:rPr>
            </w:pPr>
            <w:r w:rsidRPr="001E7F34">
              <w:rPr>
                <w:rFonts w:eastAsia="Times New Roman" w:cs="Times New Roman"/>
                <w:color w:val="000000"/>
                <w:szCs w:val="22"/>
                <w:lang w:eastAsia="en-AU"/>
              </w:rPr>
              <w:t>658,000</w:t>
            </w:r>
          </w:p>
        </w:tc>
        <w:tc>
          <w:tcPr>
            <w:tcW w:w="1526" w:type="dxa"/>
            <w:tcBorders>
              <w:top w:val="nil"/>
              <w:left w:val="nil"/>
              <w:bottom w:val="single" w:sz="8" w:space="0" w:color="000000"/>
              <w:right w:val="single" w:sz="8" w:space="0" w:color="000000"/>
            </w:tcBorders>
            <w:shd w:val="clear" w:color="auto" w:fill="auto"/>
            <w:vAlign w:val="center"/>
            <w:hideMark/>
          </w:tcPr>
          <w:p w:rsidR="001E7F34" w:rsidRPr="001E7F34" w:rsidRDefault="001E7F34" w:rsidP="00826F36">
            <w:pPr>
              <w:spacing w:after="120"/>
              <w:jc w:val="center"/>
              <w:rPr>
                <w:rFonts w:eastAsia="Times New Roman" w:cs="Times New Roman"/>
                <w:color w:val="000000"/>
                <w:szCs w:val="22"/>
                <w:lang w:eastAsia="en-AU"/>
              </w:rPr>
            </w:pPr>
            <w:r w:rsidRPr="001E7F34">
              <w:rPr>
                <w:rFonts w:eastAsia="Times New Roman" w:cs="Times New Roman"/>
                <w:color w:val="000000"/>
                <w:szCs w:val="22"/>
                <w:lang w:eastAsia="en-AU"/>
              </w:rPr>
              <w:t>100%</w:t>
            </w:r>
          </w:p>
        </w:tc>
        <w:tc>
          <w:tcPr>
            <w:tcW w:w="1734" w:type="dxa"/>
            <w:tcBorders>
              <w:top w:val="nil"/>
              <w:left w:val="nil"/>
              <w:bottom w:val="single" w:sz="8" w:space="0" w:color="000000"/>
              <w:right w:val="single" w:sz="8" w:space="0" w:color="000000"/>
            </w:tcBorders>
            <w:shd w:val="clear" w:color="auto" w:fill="auto"/>
            <w:vAlign w:val="center"/>
            <w:hideMark/>
          </w:tcPr>
          <w:p w:rsidR="001E7F34" w:rsidRPr="001E7F34" w:rsidRDefault="006C76C8" w:rsidP="00826F36">
            <w:pPr>
              <w:spacing w:after="120"/>
              <w:jc w:val="center"/>
              <w:rPr>
                <w:rFonts w:eastAsia="Times New Roman" w:cs="Times New Roman"/>
                <w:color w:val="000000"/>
                <w:szCs w:val="22"/>
                <w:lang w:eastAsia="en-AU"/>
              </w:rPr>
            </w:pPr>
            <w:r>
              <w:rPr>
                <w:rFonts w:eastAsia="Times New Roman" w:cs="Times New Roman"/>
                <w:color w:val="000000"/>
                <w:szCs w:val="22"/>
                <w:lang w:eastAsia="en-AU"/>
              </w:rPr>
              <w:t>340 grams</w:t>
            </w:r>
          </w:p>
        </w:tc>
      </w:tr>
    </w:tbl>
    <w:p w:rsidR="00477013" w:rsidRPr="003C63AC" w:rsidRDefault="00477013" w:rsidP="00477013"/>
    <w:p w:rsidR="00030E57" w:rsidRPr="003C63AC" w:rsidRDefault="005D2537" w:rsidP="00030E57">
      <w:pPr>
        <w:pStyle w:val="Heading2"/>
        <w:ind w:left="567"/>
      </w:pPr>
      <w:bookmarkStart w:id="17" w:name="_Toc430778977"/>
      <w:r w:rsidRPr="003C63AC">
        <w:t xml:space="preserve">Total Residual Refrigerant </w:t>
      </w:r>
      <w:r w:rsidR="00030E57" w:rsidRPr="003C63AC">
        <w:t>in ELVs</w:t>
      </w:r>
      <w:bookmarkEnd w:id="17"/>
    </w:p>
    <w:p w:rsidR="00B67A1C" w:rsidRPr="00920E28" w:rsidRDefault="00B67A1C" w:rsidP="00B67A1C">
      <w:r w:rsidRPr="003C63AC">
        <w:t>Based on the 2013 population of ELVs of 658,000, and applying our broad average of 340 grams of residual refrigerant per vehicle, it is estimated that ELVs in Australia in 2013 contain</w:t>
      </w:r>
      <w:r w:rsidR="00F81527" w:rsidRPr="00AD4F11">
        <w:t>ed</w:t>
      </w:r>
      <w:r w:rsidRPr="005728F4">
        <w:t xml:space="preserve"> an aggregate of approxim</w:t>
      </w:r>
      <w:r w:rsidRPr="000F5EF8">
        <w:t>ately 224 tonnes of refrigerant</w:t>
      </w:r>
      <w:r w:rsidR="007E07F6" w:rsidRPr="004F1732">
        <w:t xml:space="preserve"> </w:t>
      </w:r>
      <w:r w:rsidR="00211144" w:rsidRPr="004F1732">
        <w:t xml:space="preserve">(including HC) </w:t>
      </w:r>
      <w:r w:rsidR="007E07F6" w:rsidRPr="00AD02ED">
        <w:t>based on equivalent volume</w:t>
      </w:r>
      <w:r w:rsidR="00211144" w:rsidRPr="00D357AA">
        <w:t xml:space="preserve"> (refer glossary for definition of equivalent refrigerant charge)</w:t>
      </w:r>
      <w:r w:rsidRPr="00920E28">
        <w:t>.</w:t>
      </w:r>
    </w:p>
    <w:p w:rsidR="00B67A1C" w:rsidRPr="00920E28" w:rsidRDefault="00E30C0A" w:rsidP="00B67A1C">
      <w:r>
        <w:t>To determine</w:t>
      </w:r>
      <w:r w:rsidR="00B67A1C" w:rsidRPr="00920E28">
        <w:t xml:space="preserve"> the </w:t>
      </w:r>
      <w:r w:rsidR="00F95411">
        <w:t>total emissions</w:t>
      </w:r>
      <w:r w:rsidR="00B67A1C" w:rsidRPr="00920E28">
        <w:t xml:space="preserve"> </w:t>
      </w:r>
      <w:r w:rsidR="00F95411">
        <w:t>from</w:t>
      </w:r>
      <w:r w:rsidR="00B67A1C" w:rsidRPr="00920E28">
        <w:t xml:space="preserve"> this pool of residual gas, there are several questions that must be answered. Firstly</w:t>
      </w:r>
      <w:r w:rsidR="00F95411">
        <w:t>,</w:t>
      </w:r>
      <w:r w:rsidR="00B67A1C" w:rsidRPr="00920E28">
        <w:t xml:space="preserve"> what gas is it?</w:t>
      </w:r>
    </w:p>
    <w:p w:rsidR="00B67A1C" w:rsidRPr="003C63AC" w:rsidRDefault="00B67A1C" w:rsidP="00B67A1C">
      <w:r w:rsidRPr="003C63AC">
        <w:t>The RRA data, based on a large sample from auction houses, found only around 2</w:t>
      </w:r>
      <w:r w:rsidR="009D1919" w:rsidRPr="003C63AC">
        <w:t xml:space="preserve"> per cent</w:t>
      </w:r>
      <w:r w:rsidRPr="003C63AC">
        <w:t xml:space="preserve"> to contain CFCs.  However, the ELVs coming through auction houses can be expected to be from the youngest quartile of ELVs. They are insured, they are worth more, and they are newer than the majority of ELVs. It is thought that only a very few older cars, possibly collectible, rare and once expensive cars, that might have been insured when they suffered damage, would be valuable enough to assign to auction.</w:t>
      </w:r>
    </w:p>
    <w:p w:rsidR="0086535C" w:rsidRPr="003C63AC" w:rsidRDefault="00B67A1C" w:rsidP="00B67A1C">
      <w:r w:rsidRPr="003C63AC">
        <w:t xml:space="preserve">On the other hand, recoveries of gas from ELVs by one of the largest </w:t>
      </w:r>
      <w:r w:rsidR="006B7262" w:rsidRPr="003C63AC">
        <w:t>auto-part</w:t>
      </w:r>
      <w:r w:rsidRPr="003C63AC">
        <w:t>s recycling companies in Australia reported recovered volumes of CFC-12 of around 21</w:t>
      </w:r>
      <w:r w:rsidR="009D1919" w:rsidRPr="003C63AC">
        <w:t xml:space="preserve"> per cent</w:t>
      </w:r>
      <w:r w:rsidRPr="003C63AC">
        <w:t xml:space="preserve"> of all recoveries by weight</w:t>
      </w:r>
      <w:r w:rsidR="00F81527" w:rsidRPr="003C63AC">
        <w:t>,</w:t>
      </w:r>
      <w:r w:rsidRPr="003C63AC">
        <w:t xml:space="preserve"> which </w:t>
      </w:r>
      <w:r w:rsidRPr="003C63AC">
        <w:lastRenderedPageBreak/>
        <w:t xml:space="preserve">equates to </w:t>
      </w:r>
      <w:r w:rsidR="006E4CCB" w:rsidRPr="003C63AC">
        <w:t>11</w:t>
      </w:r>
      <w:r w:rsidR="009D1919" w:rsidRPr="003C63AC">
        <w:t xml:space="preserve"> per cent</w:t>
      </w:r>
      <w:r w:rsidRPr="003C63AC">
        <w:t xml:space="preserve"> of vehicles when charge sizes are taken into account and that around </w:t>
      </w:r>
      <w:r w:rsidR="006E4CCB" w:rsidRPr="003C63AC">
        <w:t xml:space="preserve">one third will have no charge </w:t>
      </w:r>
      <w:r w:rsidR="00211144" w:rsidRPr="003C63AC">
        <w:t xml:space="preserve">or </w:t>
      </w:r>
      <w:r w:rsidRPr="003C63AC">
        <w:t>MAC.</w:t>
      </w:r>
      <w:r w:rsidRPr="003C63AC">
        <w:rPr>
          <w:rStyle w:val="FootnoteReference"/>
        </w:rPr>
        <w:footnoteReference w:id="10"/>
      </w:r>
      <w:r w:rsidRPr="003C63AC">
        <w:t xml:space="preserve"> </w:t>
      </w:r>
    </w:p>
    <w:p w:rsidR="00B67A1C" w:rsidRPr="003C63AC" w:rsidRDefault="0086535C" w:rsidP="00B67A1C">
      <w:r w:rsidRPr="00AD4F11">
        <w:t>This was a surprising resu</w:t>
      </w:r>
      <w:r w:rsidRPr="005728F4">
        <w:t>lt as across all RAC applications RRA find there is a diminishing pool of CFCs</w:t>
      </w:r>
      <w:r w:rsidR="00F81527" w:rsidRPr="000F5EF8">
        <w:t>,</w:t>
      </w:r>
      <w:r w:rsidRPr="004F1732">
        <w:t xml:space="preserve"> with the volume being recovered and returned for safe disposal declining from </w:t>
      </w:r>
      <w:r w:rsidR="00B5233A">
        <w:t>50</w:t>
      </w:r>
      <w:r w:rsidR="00B5233A" w:rsidRPr="004F1732">
        <w:t xml:space="preserve"> </w:t>
      </w:r>
      <w:r w:rsidRPr="004F1732">
        <w:t xml:space="preserve">tonnes </w:t>
      </w:r>
      <w:r w:rsidR="004A6D54" w:rsidRPr="00AD02ED">
        <w:t xml:space="preserve">five </w:t>
      </w:r>
      <w:r w:rsidRPr="00D357AA">
        <w:t>years ago</w:t>
      </w:r>
      <w:r w:rsidR="00F81527" w:rsidRPr="00920E28">
        <w:t>,</w:t>
      </w:r>
      <w:r w:rsidRPr="00920E28">
        <w:t xml:space="preserve"> to around </w:t>
      </w:r>
      <w:r w:rsidR="00B5233A">
        <w:t>15</w:t>
      </w:r>
      <w:r w:rsidR="00B5233A" w:rsidRPr="00920E28">
        <w:t xml:space="preserve"> </w:t>
      </w:r>
      <w:r w:rsidRPr="00920E28">
        <w:t xml:space="preserve">tonnes now, some 20 years since manufacture and import ceased. </w:t>
      </w:r>
    </w:p>
    <w:p w:rsidR="00DC59E6" w:rsidRPr="003C63AC" w:rsidRDefault="00B67A1C" w:rsidP="00B67A1C">
      <w:r w:rsidRPr="003C63AC">
        <w:t>The Expert Group ELV model</w:t>
      </w:r>
      <w:r w:rsidRPr="003C63AC">
        <w:rPr>
          <w:rStyle w:val="FootnoteReference"/>
        </w:rPr>
        <w:footnoteReference w:id="11"/>
      </w:r>
      <w:r w:rsidRPr="003C63AC">
        <w:t xml:space="preserve"> calculates the average age of ELVs as </w:t>
      </w:r>
      <w:r w:rsidR="00211144" w:rsidRPr="003C63AC">
        <w:t xml:space="preserve">18.6 years </w:t>
      </w:r>
      <w:r w:rsidR="0086535C" w:rsidRPr="003C63AC">
        <w:t xml:space="preserve">with a </w:t>
      </w:r>
      <w:r w:rsidR="00211144" w:rsidRPr="003C63AC">
        <w:t>standard deviation of 6.2 years.</w:t>
      </w:r>
      <w:r w:rsidRPr="00AD4F11">
        <w:t xml:space="preserve"> The scrapping curve, coupled with sales data and the ABS Motor Vehicle Census, calculates </w:t>
      </w:r>
      <w:r w:rsidRPr="005728F4">
        <w:t>178,613 vehicles manufactured before 1994</w:t>
      </w:r>
      <w:r w:rsidR="0086535C" w:rsidRPr="000F5EF8">
        <w:t xml:space="preserve"> retired in 2013</w:t>
      </w:r>
      <w:r w:rsidRPr="004F1732">
        <w:t>, and thus 27</w:t>
      </w:r>
      <w:r w:rsidR="009D1919" w:rsidRPr="004F1732">
        <w:t xml:space="preserve"> per cent</w:t>
      </w:r>
      <w:r w:rsidRPr="00AD02ED">
        <w:t xml:space="preserve"> of </w:t>
      </w:r>
      <w:r w:rsidR="0086535C" w:rsidRPr="00D357AA">
        <w:t xml:space="preserve">the 2013 </w:t>
      </w:r>
      <w:r w:rsidRPr="00920E28">
        <w:t>ELV</w:t>
      </w:r>
      <w:r w:rsidR="0086535C" w:rsidRPr="00920E28">
        <w:t xml:space="preserve"> </w:t>
      </w:r>
      <w:r w:rsidRPr="003C63AC">
        <w:t>population were originally manufactured with CFCs.</w:t>
      </w:r>
      <w:r w:rsidR="00211144" w:rsidRPr="003C63AC">
        <w:t xml:space="preserve"> </w:t>
      </w:r>
    </w:p>
    <w:p w:rsidR="00B67A1C" w:rsidRPr="003C63AC" w:rsidRDefault="007708DD" w:rsidP="00B67A1C">
      <w:r w:rsidRPr="007708DD">
        <w:rPr>
          <w:szCs w:val="22"/>
        </w:rPr>
        <w:t xml:space="preserve">There is no information available on the portion of ELVs manufactured containing CFC-12 that were converted to HFC-134a or </w:t>
      </w:r>
      <w:r>
        <w:rPr>
          <w:szCs w:val="22"/>
        </w:rPr>
        <w:t>to hydrocarbons</w:t>
      </w:r>
      <w:r w:rsidRPr="007708DD">
        <w:rPr>
          <w:szCs w:val="22"/>
        </w:rPr>
        <w:t xml:space="preserve">. Anecdotal </w:t>
      </w:r>
      <w:r w:rsidR="00CF4761">
        <w:rPr>
          <w:szCs w:val="22"/>
        </w:rPr>
        <w:t xml:space="preserve">evidence from </w:t>
      </w:r>
      <w:r w:rsidRPr="007708DD">
        <w:rPr>
          <w:szCs w:val="22"/>
        </w:rPr>
        <w:t xml:space="preserve">industry are that a higher portion of </w:t>
      </w:r>
      <w:r w:rsidR="00FA15B1">
        <w:rPr>
          <w:szCs w:val="22"/>
        </w:rPr>
        <w:t>hydrocarbon retrofits are</w:t>
      </w:r>
      <w:r w:rsidRPr="007708DD">
        <w:rPr>
          <w:szCs w:val="22"/>
        </w:rPr>
        <w:t xml:space="preserve"> undertaken on older vehicles. </w:t>
      </w:r>
      <w:r>
        <w:rPr>
          <w:szCs w:val="22"/>
        </w:rPr>
        <w:t>Therefore, f</w:t>
      </w:r>
      <w:r w:rsidRPr="007708DD">
        <w:rPr>
          <w:szCs w:val="22"/>
        </w:rPr>
        <w:t>or the purposes of this analysis</w:t>
      </w:r>
      <w:r>
        <w:rPr>
          <w:szCs w:val="22"/>
        </w:rPr>
        <w:t>,</w:t>
      </w:r>
      <w:r>
        <w:rPr>
          <w:sz w:val="20"/>
          <w:szCs w:val="20"/>
        </w:rPr>
        <w:t xml:space="preserve"> </w:t>
      </w:r>
      <w:r>
        <w:t>t</w:t>
      </w:r>
      <w:r w:rsidR="00211144" w:rsidRPr="003C63AC">
        <w:t>he model assumes</w:t>
      </w:r>
      <w:r>
        <w:t xml:space="preserve"> that</w:t>
      </w:r>
      <w:r w:rsidR="00211144" w:rsidRPr="003C63AC">
        <w:t xml:space="preserve"> 50</w:t>
      </w:r>
      <w:r w:rsidR="00DC59E6" w:rsidRPr="003C63AC">
        <w:t xml:space="preserve"> per cent </w:t>
      </w:r>
      <w:r w:rsidR="00211144" w:rsidRPr="003C63AC">
        <w:t xml:space="preserve">of the 2013 ELVs </w:t>
      </w:r>
      <w:r w:rsidR="00DC59E6" w:rsidRPr="003C63AC">
        <w:t xml:space="preserve">that were </w:t>
      </w:r>
      <w:r w:rsidR="00211144" w:rsidRPr="003C63AC">
        <w:t xml:space="preserve">originally charged with CFCs have </w:t>
      </w:r>
      <w:r w:rsidR="00F81527" w:rsidRPr="003C63AC">
        <w:t xml:space="preserve">since </w:t>
      </w:r>
      <w:r w:rsidR="00211144" w:rsidRPr="003C63AC">
        <w:t>been charged with HFC-134a, and a further 15</w:t>
      </w:r>
      <w:r w:rsidR="00DC59E6" w:rsidRPr="003C63AC">
        <w:t xml:space="preserve"> per cent </w:t>
      </w:r>
      <w:r w:rsidR="00211144" w:rsidRPr="003C63AC">
        <w:t xml:space="preserve">have </w:t>
      </w:r>
      <w:r w:rsidR="00F81527" w:rsidRPr="003C63AC">
        <w:t xml:space="preserve">had their </w:t>
      </w:r>
      <w:r w:rsidR="00211144" w:rsidRPr="003C63AC">
        <w:t>charge</w:t>
      </w:r>
      <w:r w:rsidR="00745C26" w:rsidRPr="003C63AC">
        <w:t xml:space="preserve"> </w:t>
      </w:r>
      <w:r w:rsidR="00F81527" w:rsidRPr="003C63AC">
        <w:t xml:space="preserve">replaced </w:t>
      </w:r>
      <w:r w:rsidR="00211144" w:rsidRPr="003C63AC">
        <w:t>with HC.</w:t>
      </w:r>
    </w:p>
    <w:p w:rsidR="0086535C" w:rsidRPr="003C63AC" w:rsidRDefault="00F81527" w:rsidP="0086535C">
      <w:r w:rsidRPr="003C63AC">
        <w:t>Thus u</w:t>
      </w:r>
      <w:r w:rsidR="0086535C" w:rsidRPr="003C63AC">
        <w:t xml:space="preserve">sing the average gas charge calculated for all ELVs of 340 grams, the ELVs are estimated to contain 187 tonnes of synthetic refrigerants, comprising </w:t>
      </w:r>
      <w:r w:rsidR="001A6998" w:rsidRPr="003C63AC">
        <w:t>166 ton</w:t>
      </w:r>
      <w:r w:rsidR="00032822" w:rsidRPr="003C63AC">
        <w:t>n</w:t>
      </w:r>
      <w:r w:rsidR="001A6998" w:rsidRPr="003C63AC">
        <w:t xml:space="preserve">es of HFC-134a and </w:t>
      </w:r>
      <w:r w:rsidR="0086535C" w:rsidRPr="003C63AC">
        <w:t xml:space="preserve">21 tonnes of CFC-12. </w:t>
      </w:r>
      <w:r w:rsidR="001A6998" w:rsidRPr="003C63AC">
        <w:t>A summary of the ELV Model outputs, auction house survey, auto wre</w:t>
      </w:r>
      <w:r w:rsidR="008477D9">
        <w:t>c</w:t>
      </w:r>
      <w:r w:rsidR="001A6998" w:rsidRPr="003C63AC">
        <w:t>ker survey and estimated remnant charges is outlined in the table below.</w:t>
      </w:r>
    </w:p>
    <w:p w:rsidR="002B6941" w:rsidRPr="003C63AC" w:rsidRDefault="002B6941" w:rsidP="0086535C"/>
    <w:p w:rsidR="00211144" w:rsidRPr="003C63AC" w:rsidRDefault="007D149B" w:rsidP="00B67A1C">
      <w:pPr>
        <w:rPr>
          <w:i/>
        </w:rPr>
      </w:pPr>
      <w:r w:rsidRPr="003C63AC">
        <w:rPr>
          <w:i/>
          <w:szCs w:val="22"/>
        </w:rPr>
        <w:t xml:space="preserve">Table </w:t>
      </w:r>
      <w:r w:rsidR="00F005B2" w:rsidRPr="003C63AC">
        <w:rPr>
          <w:i/>
          <w:szCs w:val="22"/>
        </w:rPr>
        <w:fldChar w:fldCharType="begin"/>
      </w:r>
      <w:r w:rsidRPr="003C63AC">
        <w:rPr>
          <w:i/>
          <w:szCs w:val="22"/>
        </w:rPr>
        <w:instrText xml:space="preserve"> SEQ Table \* ARABIC </w:instrText>
      </w:r>
      <w:r w:rsidR="00F005B2" w:rsidRPr="003C63AC">
        <w:rPr>
          <w:i/>
          <w:szCs w:val="22"/>
        </w:rPr>
        <w:fldChar w:fldCharType="separate"/>
      </w:r>
      <w:r w:rsidR="00DE265F">
        <w:rPr>
          <w:i/>
          <w:noProof/>
          <w:szCs w:val="22"/>
        </w:rPr>
        <w:t>5</w:t>
      </w:r>
      <w:r w:rsidR="00F005B2" w:rsidRPr="003C63AC">
        <w:rPr>
          <w:i/>
          <w:szCs w:val="22"/>
        </w:rPr>
        <w:fldChar w:fldCharType="end"/>
      </w:r>
      <w:r w:rsidR="001A6998" w:rsidRPr="003C63AC">
        <w:rPr>
          <w:i/>
        </w:rPr>
        <w:t>: Refrigerant dissection of the 2013 ELV population by refrigerant type in vehicles and tonnes.</w:t>
      </w:r>
    </w:p>
    <w:tbl>
      <w:tblPr>
        <w:tblStyle w:val="TableGrid"/>
        <w:tblW w:w="0" w:type="auto"/>
        <w:tblInd w:w="108" w:type="dxa"/>
        <w:tblLayout w:type="fixed"/>
        <w:tblLook w:val="04A0" w:firstRow="1" w:lastRow="0" w:firstColumn="1" w:lastColumn="0" w:noHBand="0" w:noVBand="1"/>
      </w:tblPr>
      <w:tblGrid>
        <w:gridCol w:w="2268"/>
        <w:gridCol w:w="1560"/>
        <w:gridCol w:w="1269"/>
        <w:gridCol w:w="1140"/>
        <w:gridCol w:w="1276"/>
        <w:gridCol w:w="992"/>
        <w:gridCol w:w="1235"/>
      </w:tblGrid>
      <w:tr w:rsidR="005B581D" w:rsidRPr="003C63AC" w:rsidTr="005B581D">
        <w:tc>
          <w:tcPr>
            <w:tcW w:w="2268" w:type="dxa"/>
            <w:tcBorders>
              <w:right w:val="single" w:sz="4" w:space="0" w:color="FFFFFF" w:themeColor="background1"/>
            </w:tcBorders>
            <w:shd w:val="clear" w:color="auto" w:fill="0C0C0C"/>
            <w:vAlign w:val="center"/>
          </w:tcPr>
          <w:p w:rsidR="00863338" w:rsidRPr="00704995" w:rsidRDefault="00863338" w:rsidP="00CA671F">
            <w:pPr>
              <w:spacing w:before="240" w:after="240"/>
              <w:jc w:val="center"/>
              <w:rPr>
                <w:szCs w:val="22"/>
              </w:rPr>
            </w:pPr>
          </w:p>
        </w:tc>
        <w:tc>
          <w:tcPr>
            <w:tcW w:w="1560" w:type="dxa"/>
            <w:tcBorders>
              <w:left w:val="single" w:sz="4" w:space="0" w:color="FFFFFF" w:themeColor="background1"/>
              <w:right w:val="single" w:sz="4" w:space="0" w:color="FFFFFF" w:themeColor="background1"/>
            </w:tcBorders>
            <w:shd w:val="clear" w:color="auto" w:fill="0C0C0C"/>
            <w:vAlign w:val="center"/>
          </w:tcPr>
          <w:p w:rsidR="00863338" w:rsidRPr="00704995" w:rsidRDefault="00863338" w:rsidP="00CA671F">
            <w:pPr>
              <w:spacing w:before="240" w:after="240"/>
              <w:jc w:val="center"/>
              <w:rPr>
                <w:color w:val="FFFFFF"/>
                <w:szCs w:val="22"/>
              </w:rPr>
            </w:pPr>
            <w:r w:rsidRPr="003C63AC">
              <w:rPr>
                <w:color w:val="FFFFFF"/>
                <w:szCs w:val="22"/>
              </w:rPr>
              <w:t>Units</w:t>
            </w:r>
          </w:p>
        </w:tc>
        <w:tc>
          <w:tcPr>
            <w:tcW w:w="1269" w:type="dxa"/>
            <w:tcBorders>
              <w:left w:val="single" w:sz="4" w:space="0" w:color="FFFFFF" w:themeColor="background1"/>
              <w:right w:val="single" w:sz="4" w:space="0" w:color="FFFFFF" w:themeColor="background1"/>
            </w:tcBorders>
            <w:shd w:val="clear" w:color="auto" w:fill="0C0C0C"/>
            <w:vAlign w:val="center"/>
          </w:tcPr>
          <w:p w:rsidR="00863338" w:rsidRPr="00704995" w:rsidRDefault="00863338" w:rsidP="00CA671F">
            <w:pPr>
              <w:spacing w:before="240" w:after="240"/>
              <w:jc w:val="center"/>
              <w:rPr>
                <w:szCs w:val="22"/>
              </w:rPr>
            </w:pPr>
            <w:r w:rsidRPr="003C63AC">
              <w:rPr>
                <w:color w:val="FFFFFF"/>
                <w:szCs w:val="22"/>
              </w:rPr>
              <w:t>No-MAC</w:t>
            </w:r>
          </w:p>
        </w:tc>
        <w:tc>
          <w:tcPr>
            <w:tcW w:w="1140" w:type="dxa"/>
            <w:tcBorders>
              <w:left w:val="single" w:sz="4" w:space="0" w:color="FFFFFF" w:themeColor="background1"/>
              <w:right w:val="single" w:sz="4" w:space="0" w:color="FFFFFF" w:themeColor="background1"/>
            </w:tcBorders>
            <w:shd w:val="clear" w:color="auto" w:fill="0C0C0C"/>
            <w:vAlign w:val="center"/>
          </w:tcPr>
          <w:p w:rsidR="00863338" w:rsidRPr="00704995" w:rsidRDefault="00863338" w:rsidP="00CA671F">
            <w:pPr>
              <w:spacing w:before="240" w:after="240"/>
              <w:jc w:val="center"/>
              <w:rPr>
                <w:szCs w:val="22"/>
              </w:rPr>
            </w:pPr>
            <w:r w:rsidRPr="003C63AC">
              <w:rPr>
                <w:color w:val="FFFFFF"/>
                <w:szCs w:val="22"/>
              </w:rPr>
              <w:t>CFC-12</w:t>
            </w:r>
          </w:p>
        </w:tc>
        <w:tc>
          <w:tcPr>
            <w:tcW w:w="1276" w:type="dxa"/>
            <w:tcBorders>
              <w:left w:val="single" w:sz="4" w:space="0" w:color="FFFFFF" w:themeColor="background1"/>
              <w:right w:val="single" w:sz="4" w:space="0" w:color="FFFFFF" w:themeColor="background1"/>
            </w:tcBorders>
            <w:shd w:val="clear" w:color="auto" w:fill="0C0C0C"/>
            <w:vAlign w:val="center"/>
          </w:tcPr>
          <w:p w:rsidR="00863338" w:rsidRPr="00704995" w:rsidRDefault="00863338" w:rsidP="00CA671F">
            <w:pPr>
              <w:spacing w:before="240" w:after="240"/>
              <w:jc w:val="center"/>
              <w:rPr>
                <w:szCs w:val="22"/>
              </w:rPr>
            </w:pPr>
            <w:r w:rsidRPr="003C63AC">
              <w:rPr>
                <w:color w:val="FFFFFF"/>
                <w:szCs w:val="22"/>
              </w:rPr>
              <w:t>HFC-134a</w:t>
            </w:r>
          </w:p>
        </w:tc>
        <w:tc>
          <w:tcPr>
            <w:tcW w:w="992" w:type="dxa"/>
            <w:tcBorders>
              <w:left w:val="single" w:sz="4" w:space="0" w:color="FFFFFF" w:themeColor="background1"/>
              <w:right w:val="single" w:sz="4" w:space="0" w:color="FFFFFF" w:themeColor="background1"/>
            </w:tcBorders>
            <w:shd w:val="clear" w:color="auto" w:fill="0C0C0C"/>
            <w:vAlign w:val="center"/>
          </w:tcPr>
          <w:p w:rsidR="00863338" w:rsidRPr="00704995" w:rsidRDefault="00863338" w:rsidP="00CA671F">
            <w:pPr>
              <w:spacing w:before="240" w:after="240"/>
              <w:jc w:val="center"/>
              <w:rPr>
                <w:szCs w:val="22"/>
              </w:rPr>
            </w:pPr>
            <w:r w:rsidRPr="003C63AC">
              <w:rPr>
                <w:color w:val="FFFFFF"/>
                <w:szCs w:val="22"/>
              </w:rPr>
              <w:t>HC</w:t>
            </w:r>
          </w:p>
        </w:tc>
        <w:tc>
          <w:tcPr>
            <w:tcW w:w="1235" w:type="dxa"/>
            <w:tcBorders>
              <w:left w:val="single" w:sz="4" w:space="0" w:color="FFFFFF" w:themeColor="background1"/>
            </w:tcBorders>
            <w:shd w:val="clear" w:color="auto" w:fill="0C0C0C"/>
            <w:vAlign w:val="center"/>
          </w:tcPr>
          <w:p w:rsidR="00863338" w:rsidRPr="00704995" w:rsidRDefault="00863338" w:rsidP="00CA671F">
            <w:pPr>
              <w:spacing w:before="240" w:after="240"/>
              <w:jc w:val="center"/>
              <w:rPr>
                <w:szCs w:val="22"/>
              </w:rPr>
            </w:pPr>
            <w:r w:rsidRPr="003C63AC">
              <w:rPr>
                <w:color w:val="FFFFFF"/>
                <w:szCs w:val="22"/>
              </w:rPr>
              <w:t>Total</w:t>
            </w:r>
          </w:p>
        </w:tc>
      </w:tr>
      <w:tr w:rsidR="005B581D" w:rsidRPr="00CA671F" w:rsidTr="005B581D">
        <w:tc>
          <w:tcPr>
            <w:tcW w:w="2268" w:type="dxa"/>
            <w:vMerge w:val="restart"/>
            <w:vAlign w:val="center"/>
          </w:tcPr>
          <w:p w:rsidR="00863338" w:rsidRPr="00CA671F" w:rsidRDefault="00863338" w:rsidP="002D021E">
            <w:pPr>
              <w:spacing w:after="120"/>
              <w:jc w:val="left"/>
              <w:rPr>
                <w:szCs w:val="22"/>
              </w:rPr>
            </w:pPr>
            <w:r w:rsidRPr="00CA671F">
              <w:rPr>
                <w:szCs w:val="22"/>
              </w:rPr>
              <w:t xml:space="preserve">ELV </w:t>
            </w:r>
            <w:r w:rsidR="00DC59E6" w:rsidRPr="00CA671F">
              <w:rPr>
                <w:szCs w:val="22"/>
              </w:rPr>
              <w:t xml:space="preserve">MAC </w:t>
            </w:r>
            <w:r w:rsidRPr="00CA671F">
              <w:rPr>
                <w:szCs w:val="22"/>
              </w:rPr>
              <w:t>Model</w:t>
            </w:r>
            <w:r w:rsidR="005B6C83">
              <w:rPr>
                <w:szCs w:val="22"/>
              </w:rPr>
              <w:t xml:space="preserve"> prior to conversions</w:t>
            </w:r>
          </w:p>
        </w:tc>
        <w:tc>
          <w:tcPr>
            <w:tcW w:w="1560" w:type="dxa"/>
          </w:tcPr>
          <w:p w:rsidR="00863338" w:rsidRPr="00CA671F" w:rsidRDefault="00863338" w:rsidP="002D021E">
            <w:pPr>
              <w:spacing w:after="120"/>
              <w:rPr>
                <w:color w:val="000000"/>
                <w:szCs w:val="22"/>
              </w:rPr>
            </w:pPr>
            <w:r w:rsidRPr="00CA671F">
              <w:rPr>
                <w:color w:val="000000"/>
                <w:szCs w:val="22"/>
              </w:rPr>
              <w:t>Vehicles</w:t>
            </w:r>
          </w:p>
        </w:tc>
        <w:tc>
          <w:tcPr>
            <w:tcW w:w="1269" w:type="dxa"/>
            <w:vAlign w:val="bottom"/>
          </w:tcPr>
          <w:p w:rsidR="00863338" w:rsidRPr="00CA671F" w:rsidRDefault="00863338" w:rsidP="002D021E">
            <w:pPr>
              <w:spacing w:after="120"/>
              <w:jc w:val="center"/>
              <w:rPr>
                <w:szCs w:val="22"/>
              </w:rPr>
            </w:pPr>
            <w:r w:rsidRPr="00CA671F">
              <w:rPr>
                <w:color w:val="000000"/>
                <w:szCs w:val="22"/>
              </w:rPr>
              <w:t>40,462</w:t>
            </w:r>
          </w:p>
        </w:tc>
        <w:tc>
          <w:tcPr>
            <w:tcW w:w="1140" w:type="dxa"/>
            <w:vAlign w:val="bottom"/>
          </w:tcPr>
          <w:p w:rsidR="00863338" w:rsidRPr="00CA671F" w:rsidRDefault="00863338" w:rsidP="002D021E">
            <w:pPr>
              <w:spacing w:after="120"/>
              <w:jc w:val="center"/>
              <w:rPr>
                <w:szCs w:val="22"/>
              </w:rPr>
            </w:pPr>
            <w:r w:rsidRPr="00CA671F">
              <w:rPr>
                <w:color w:val="000000"/>
                <w:szCs w:val="22"/>
              </w:rPr>
              <w:t>178,613</w:t>
            </w:r>
          </w:p>
        </w:tc>
        <w:tc>
          <w:tcPr>
            <w:tcW w:w="1276" w:type="dxa"/>
            <w:vAlign w:val="bottom"/>
          </w:tcPr>
          <w:p w:rsidR="00863338" w:rsidRPr="00CA671F" w:rsidRDefault="00863338" w:rsidP="002D021E">
            <w:pPr>
              <w:spacing w:after="120"/>
              <w:jc w:val="center"/>
              <w:rPr>
                <w:szCs w:val="22"/>
              </w:rPr>
            </w:pPr>
            <w:r w:rsidRPr="00CA671F">
              <w:rPr>
                <w:color w:val="000000"/>
                <w:szCs w:val="22"/>
              </w:rPr>
              <w:t>439,243</w:t>
            </w:r>
          </w:p>
        </w:tc>
        <w:tc>
          <w:tcPr>
            <w:tcW w:w="992" w:type="dxa"/>
            <w:vAlign w:val="bottom"/>
          </w:tcPr>
          <w:p w:rsidR="00863338" w:rsidRPr="00CA671F" w:rsidRDefault="00863338" w:rsidP="002D021E">
            <w:pPr>
              <w:spacing w:after="120"/>
              <w:jc w:val="center"/>
              <w:rPr>
                <w:szCs w:val="22"/>
              </w:rPr>
            </w:pPr>
            <w:r w:rsidRPr="00CA671F">
              <w:rPr>
                <w:szCs w:val="22"/>
              </w:rPr>
              <w:t>0</w:t>
            </w:r>
          </w:p>
        </w:tc>
        <w:tc>
          <w:tcPr>
            <w:tcW w:w="1235" w:type="dxa"/>
            <w:vAlign w:val="bottom"/>
          </w:tcPr>
          <w:p w:rsidR="00863338" w:rsidRPr="00CA671F" w:rsidRDefault="00863338" w:rsidP="002D021E">
            <w:pPr>
              <w:spacing w:after="120"/>
              <w:jc w:val="center"/>
              <w:rPr>
                <w:szCs w:val="22"/>
              </w:rPr>
            </w:pPr>
            <w:r w:rsidRPr="00CA671F">
              <w:rPr>
                <w:color w:val="000000"/>
                <w:szCs w:val="22"/>
              </w:rPr>
              <w:t>658,318</w:t>
            </w:r>
          </w:p>
        </w:tc>
      </w:tr>
      <w:tr w:rsidR="005B581D" w:rsidRPr="00CA671F" w:rsidTr="005B581D">
        <w:tc>
          <w:tcPr>
            <w:tcW w:w="2268" w:type="dxa"/>
            <w:vMerge/>
            <w:vAlign w:val="center"/>
          </w:tcPr>
          <w:p w:rsidR="00863338" w:rsidRPr="00CA671F" w:rsidRDefault="00863338" w:rsidP="002D021E">
            <w:pPr>
              <w:spacing w:after="120"/>
              <w:jc w:val="left"/>
              <w:rPr>
                <w:szCs w:val="22"/>
              </w:rPr>
            </w:pPr>
          </w:p>
        </w:tc>
        <w:tc>
          <w:tcPr>
            <w:tcW w:w="1560" w:type="dxa"/>
          </w:tcPr>
          <w:p w:rsidR="00863338" w:rsidRPr="00CA671F" w:rsidRDefault="00863338" w:rsidP="002D021E">
            <w:pPr>
              <w:spacing w:after="120"/>
              <w:rPr>
                <w:color w:val="000000"/>
                <w:szCs w:val="22"/>
              </w:rPr>
            </w:pPr>
            <w:r w:rsidRPr="00CA671F">
              <w:rPr>
                <w:color w:val="000000"/>
                <w:szCs w:val="22"/>
              </w:rPr>
              <w:t xml:space="preserve">% </w:t>
            </w:r>
          </w:p>
        </w:tc>
        <w:tc>
          <w:tcPr>
            <w:tcW w:w="1269" w:type="dxa"/>
            <w:vAlign w:val="bottom"/>
          </w:tcPr>
          <w:p w:rsidR="00863338" w:rsidRPr="00CA671F" w:rsidRDefault="00863338" w:rsidP="002D021E">
            <w:pPr>
              <w:spacing w:after="120"/>
              <w:jc w:val="center"/>
              <w:rPr>
                <w:color w:val="000000"/>
                <w:szCs w:val="22"/>
              </w:rPr>
            </w:pPr>
            <w:r w:rsidRPr="00CA671F">
              <w:rPr>
                <w:color w:val="000000"/>
                <w:szCs w:val="22"/>
              </w:rPr>
              <w:t>6%</w:t>
            </w:r>
          </w:p>
        </w:tc>
        <w:tc>
          <w:tcPr>
            <w:tcW w:w="1140" w:type="dxa"/>
            <w:vAlign w:val="bottom"/>
          </w:tcPr>
          <w:p w:rsidR="00863338" w:rsidRPr="00CA671F" w:rsidRDefault="00863338" w:rsidP="002D021E">
            <w:pPr>
              <w:spacing w:after="120"/>
              <w:jc w:val="center"/>
              <w:rPr>
                <w:color w:val="000000"/>
                <w:szCs w:val="22"/>
              </w:rPr>
            </w:pPr>
            <w:r w:rsidRPr="00CA671F">
              <w:rPr>
                <w:color w:val="000000"/>
                <w:szCs w:val="22"/>
              </w:rPr>
              <w:t>27%</w:t>
            </w:r>
          </w:p>
        </w:tc>
        <w:tc>
          <w:tcPr>
            <w:tcW w:w="1276" w:type="dxa"/>
            <w:vAlign w:val="bottom"/>
          </w:tcPr>
          <w:p w:rsidR="00863338" w:rsidRPr="00CA671F" w:rsidRDefault="00863338" w:rsidP="002D021E">
            <w:pPr>
              <w:spacing w:after="120"/>
              <w:jc w:val="center"/>
              <w:rPr>
                <w:color w:val="000000"/>
                <w:szCs w:val="22"/>
              </w:rPr>
            </w:pPr>
            <w:r w:rsidRPr="00CA671F">
              <w:rPr>
                <w:color w:val="000000"/>
                <w:szCs w:val="22"/>
              </w:rPr>
              <w:t>67%</w:t>
            </w:r>
          </w:p>
        </w:tc>
        <w:tc>
          <w:tcPr>
            <w:tcW w:w="992" w:type="dxa"/>
            <w:vAlign w:val="bottom"/>
          </w:tcPr>
          <w:p w:rsidR="00863338" w:rsidRPr="00CA671F" w:rsidRDefault="00863338" w:rsidP="002D021E">
            <w:pPr>
              <w:spacing w:after="120"/>
              <w:jc w:val="center"/>
              <w:rPr>
                <w:color w:val="000000"/>
                <w:szCs w:val="22"/>
              </w:rPr>
            </w:pPr>
            <w:r w:rsidRPr="00CA671F">
              <w:rPr>
                <w:color w:val="000000"/>
                <w:szCs w:val="22"/>
              </w:rPr>
              <w:t>0%</w:t>
            </w:r>
          </w:p>
        </w:tc>
        <w:tc>
          <w:tcPr>
            <w:tcW w:w="1235" w:type="dxa"/>
            <w:vAlign w:val="bottom"/>
          </w:tcPr>
          <w:p w:rsidR="00863338" w:rsidRPr="00CA671F" w:rsidRDefault="00863338" w:rsidP="002D021E">
            <w:pPr>
              <w:spacing w:after="120"/>
              <w:jc w:val="center"/>
              <w:rPr>
                <w:color w:val="000000"/>
                <w:szCs w:val="22"/>
              </w:rPr>
            </w:pPr>
            <w:r w:rsidRPr="00CA671F">
              <w:rPr>
                <w:color w:val="000000"/>
                <w:szCs w:val="22"/>
              </w:rPr>
              <w:t>100%</w:t>
            </w:r>
          </w:p>
        </w:tc>
      </w:tr>
      <w:tr w:rsidR="005B581D" w:rsidRPr="00CA671F" w:rsidTr="005B581D">
        <w:tc>
          <w:tcPr>
            <w:tcW w:w="2268" w:type="dxa"/>
            <w:vAlign w:val="center"/>
          </w:tcPr>
          <w:p w:rsidR="00863338" w:rsidRPr="00CA671F" w:rsidRDefault="00863338" w:rsidP="002D021E">
            <w:pPr>
              <w:spacing w:after="120"/>
              <w:jc w:val="left"/>
              <w:rPr>
                <w:szCs w:val="22"/>
              </w:rPr>
            </w:pPr>
            <w:r w:rsidRPr="00CA671F">
              <w:rPr>
                <w:szCs w:val="22"/>
              </w:rPr>
              <w:t>Auction house</w:t>
            </w:r>
            <w:r w:rsidR="005B6C83">
              <w:rPr>
                <w:szCs w:val="22"/>
              </w:rPr>
              <w:t xml:space="preserve"> actual</w:t>
            </w:r>
          </w:p>
        </w:tc>
        <w:tc>
          <w:tcPr>
            <w:tcW w:w="1560" w:type="dxa"/>
          </w:tcPr>
          <w:p w:rsidR="00863338" w:rsidRPr="00CA671F" w:rsidRDefault="00863338" w:rsidP="002D021E">
            <w:pPr>
              <w:spacing w:after="120"/>
              <w:rPr>
                <w:szCs w:val="22"/>
              </w:rPr>
            </w:pPr>
            <w:r w:rsidRPr="00CA671F">
              <w:rPr>
                <w:szCs w:val="22"/>
              </w:rPr>
              <w:t>5</w:t>
            </w:r>
            <w:r w:rsidR="001A6998" w:rsidRPr="00CA671F">
              <w:rPr>
                <w:szCs w:val="22"/>
              </w:rPr>
              <w:t>8</w:t>
            </w:r>
            <w:r w:rsidRPr="00CA671F">
              <w:rPr>
                <w:szCs w:val="22"/>
              </w:rPr>
              <w:t>% no charge</w:t>
            </w:r>
          </w:p>
        </w:tc>
        <w:tc>
          <w:tcPr>
            <w:tcW w:w="1269" w:type="dxa"/>
          </w:tcPr>
          <w:p w:rsidR="00863338" w:rsidRPr="00CA671F" w:rsidRDefault="00863338" w:rsidP="002D021E">
            <w:pPr>
              <w:spacing w:after="120"/>
              <w:jc w:val="center"/>
              <w:rPr>
                <w:szCs w:val="22"/>
              </w:rPr>
            </w:pPr>
            <w:r w:rsidRPr="00CA671F">
              <w:rPr>
                <w:szCs w:val="22"/>
              </w:rPr>
              <w:t>-</w:t>
            </w:r>
          </w:p>
        </w:tc>
        <w:tc>
          <w:tcPr>
            <w:tcW w:w="1140" w:type="dxa"/>
          </w:tcPr>
          <w:p w:rsidR="00863338" w:rsidRPr="00CA671F" w:rsidRDefault="00863338" w:rsidP="002D021E">
            <w:pPr>
              <w:spacing w:after="120"/>
              <w:jc w:val="center"/>
              <w:rPr>
                <w:szCs w:val="22"/>
              </w:rPr>
            </w:pPr>
            <w:r w:rsidRPr="00CA671F">
              <w:rPr>
                <w:szCs w:val="22"/>
              </w:rPr>
              <w:t>2%</w:t>
            </w:r>
          </w:p>
        </w:tc>
        <w:tc>
          <w:tcPr>
            <w:tcW w:w="1276" w:type="dxa"/>
          </w:tcPr>
          <w:p w:rsidR="00863338" w:rsidRPr="00CA671F" w:rsidRDefault="001A6998" w:rsidP="002D021E">
            <w:pPr>
              <w:spacing w:after="120"/>
              <w:jc w:val="center"/>
              <w:rPr>
                <w:szCs w:val="22"/>
              </w:rPr>
            </w:pPr>
            <w:r w:rsidRPr="00CA671F">
              <w:rPr>
                <w:szCs w:val="22"/>
              </w:rPr>
              <w:t>40</w:t>
            </w:r>
            <w:r w:rsidR="00863338" w:rsidRPr="00CA671F">
              <w:rPr>
                <w:szCs w:val="22"/>
              </w:rPr>
              <w:t>%</w:t>
            </w:r>
          </w:p>
        </w:tc>
        <w:tc>
          <w:tcPr>
            <w:tcW w:w="992" w:type="dxa"/>
          </w:tcPr>
          <w:p w:rsidR="00863338" w:rsidRPr="00CA671F" w:rsidRDefault="001A6998" w:rsidP="002D021E">
            <w:pPr>
              <w:spacing w:after="120"/>
              <w:jc w:val="center"/>
              <w:rPr>
                <w:szCs w:val="22"/>
              </w:rPr>
            </w:pPr>
            <w:r w:rsidRPr="00CA671F">
              <w:rPr>
                <w:szCs w:val="22"/>
              </w:rPr>
              <w:t>-</w:t>
            </w:r>
          </w:p>
        </w:tc>
        <w:tc>
          <w:tcPr>
            <w:tcW w:w="1235" w:type="dxa"/>
          </w:tcPr>
          <w:p w:rsidR="00863338" w:rsidRPr="00CA671F" w:rsidRDefault="009A2FB4" w:rsidP="002D021E">
            <w:pPr>
              <w:spacing w:after="120"/>
              <w:jc w:val="center"/>
              <w:rPr>
                <w:szCs w:val="22"/>
              </w:rPr>
            </w:pPr>
            <w:r>
              <w:rPr>
                <w:szCs w:val="22"/>
              </w:rPr>
              <w:t>42%</w:t>
            </w:r>
          </w:p>
        </w:tc>
      </w:tr>
      <w:tr w:rsidR="005B581D" w:rsidRPr="00CA671F" w:rsidTr="005B581D">
        <w:tc>
          <w:tcPr>
            <w:tcW w:w="2268" w:type="dxa"/>
            <w:vAlign w:val="center"/>
          </w:tcPr>
          <w:p w:rsidR="00863338" w:rsidRPr="00CA671F" w:rsidRDefault="00863338" w:rsidP="002D021E">
            <w:pPr>
              <w:spacing w:after="120"/>
              <w:jc w:val="left"/>
              <w:rPr>
                <w:szCs w:val="22"/>
              </w:rPr>
            </w:pPr>
            <w:r w:rsidRPr="00CA671F">
              <w:rPr>
                <w:szCs w:val="22"/>
              </w:rPr>
              <w:t>Auto wre</w:t>
            </w:r>
            <w:r w:rsidR="003F061B" w:rsidRPr="00CA671F">
              <w:rPr>
                <w:szCs w:val="22"/>
              </w:rPr>
              <w:t>c</w:t>
            </w:r>
            <w:r w:rsidRPr="00CA671F">
              <w:rPr>
                <w:szCs w:val="22"/>
              </w:rPr>
              <w:t>ker</w:t>
            </w:r>
            <w:r w:rsidR="005B6C83">
              <w:rPr>
                <w:szCs w:val="22"/>
              </w:rPr>
              <w:t xml:space="preserve"> actual</w:t>
            </w:r>
          </w:p>
        </w:tc>
        <w:tc>
          <w:tcPr>
            <w:tcW w:w="1560" w:type="dxa"/>
          </w:tcPr>
          <w:p w:rsidR="00863338" w:rsidRPr="00CA671F" w:rsidRDefault="00863338" w:rsidP="002D021E">
            <w:pPr>
              <w:spacing w:after="120"/>
              <w:rPr>
                <w:szCs w:val="22"/>
              </w:rPr>
            </w:pPr>
            <w:r w:rsidRPr="00CA671F">
              <w:rPr>
                <w:szCs w:val="22"/>
              </w:rPr>
              <w:t>33% no charge</w:t>
            </w:r>
          </w:p>
        </w:tc>
        <w:tc>
          <w:tcPr>
            <w:tcW w:w="1269" w:type="dxa"/>
          </w:tcPr>
          <w:p w:rsidR="00863338" w:rsidRPr="00CA671F" w:rsidRDefault="00863338" w:rsidP="002D021E">
            <w:pPr>
              <w:spacing w:after="120"/>
              <w:jc w:val="center"/>
              <w:rPr>
                <w:szCs w:val="22"/>
              </w:rPr>
            </w:pPr>
            <w:r w:rsidRPr="00CA671F">
              <w:rPr>
                <w:szCs w:val="22"/>
              </w:rPr>
              <w:t>-</w:t>
            </w:r>
          </w:p>
        </w:tc>
        <w:tc>
          <w:tcPr>
            <w:tcW w:w="1140" w:type="dxa"/>
          </w:tcPr>
          <w:p w:rsidR="00863338" w:rsidRPr="00CA671F" w:rsidRDefault="0079413A" w:rsidP="002D021E">
            <w:pPr>
              <w:spacing w:after="120"/>
              <w:jc w:val="center"/>
              <w:rPr>
                <w:szCs w:val="22"/>
              </w:rPr>
            </w:pPr>
            <w:r w:rsidRPr="00CA671F">
              <w:rPr>
                <w:szCs w:val="22"/>
              </w:rPr>
              <w:t>1</w:t>
            </w:r>
            <w:r w:rsidR="00863338" w:rsidRPr="00CA671F">
              <w:rPr>
                <w:szCs w:val="22"/>
              </w:rPr>
              <w:t>1%</w:t>
            </w:r>
          </w:p>
        </w:tc>
        <w:tc>
          <w:tcPr>
            <w:tcW w:w="1276" w:type="dxa"/>
          </w:tcPr>
          <w:p w:rsidR="00863338" w:rsidRPr="00CA671F" w:rsidRDefault="0079413A" w:rsidP="002D021E">
            <w:pPr>
              <w:spacing w:after="120"/>
              <w:jc w:val="center"/>
              <w:rPr>
                <w:szCs w:val="22"/>
              </w:rPr>
            </w:pPr>
            <w:r w:rsidRPr="00CA671F">
              <w:rPr>
                <w:szCs w:val="22"/>
              </w:rPr>
              <w:t>4</w:t>
            </w:r>
            <w:r w:rsidR="00863338" w:rsidRPr="00CA671F">
              <w:rPr>
                <w:szCs w:val="22"/>
              </w:rPr>
              <w:t>1%</w:t>
            </w:r>
          </w:p>
        </w:tc>
        <w:tc>
          <w:tcPr>
            <w:tcW w:w="992" w:type="dxa"/>
          </w:tcPr>
          <w:p w:rsidR="00863338" w:rsidRPr="00CA671F" w:rsidRDefault="00863338" w:rsidP="002D021E">
            <w:pPr>
              <w:spacing w:after="120"/>
              <w:jc w:val="center"/>
              <w:rPr>
                <w:szCs w:val="22"/>
              </w:rPr>
            </w:pPr>
            <w:r w:rsidRPr="00CA671F">
              <w:rPr>
                <w:szCs w:val="22"/>
              </w:rPr>
              <w:t>15%</w:t>
            </w:r>
          </w:p>
        </w:tc>
        <w:tc>
          <w:tcPr>
            <w:tcW w:w="1235" w:type="dxa"/>
          </w:tcPr>
          <w:p w:rsidR="00863338" w:rsidRPr="00CA671F" w:rsidRDefault="00863338" w:rsidP="002D021E">
            <w:pPr>
              <w:spacing w:after="120"/>
              <w:jc w:val="center"/>
              <w:rPr>
                <w:szCs w:val="22"/>
              </w:rPr>
            </w:pPr>
            <w:r w:rsidRPr="00CA671F">
              <w:rPr>
                <w:szCs w:val="22"/>
              </w:rPr>
              <w:t>67%</w:t>
            </w:r>
          </w:p>
        </w:tc>
      </w:tr>
      <w:tr w:rsidR="005B581D" w:rsidRPr="00CA671F" w:rsidTr="005B581D">
        <w:tc>
          <w:tcPr>
            <w:tcW w:w="2268" w:type="dxa"/>
            <w:vMerge w:val="restart"/>
            <w:vAlign w:val="center"/>
          </w:tcPr>
          <w:p w:rsidR="00863338" w:rsidRPr="00CA671F" w:rsidRDefault="00863338" w:rsidP="002D021E">
            <w:pPr>
              <w:spacing w:after="120"/>
              <w:jc w:val="left"/>
              <w:rPr>
                <w:szCs w:val="22"/>
              </w:rPr>
            </w:pPr>
            <w:r w:rsidRPr="00CA671F">
              <w:rPr>
                <w:szCs w:val="22"/>
              </w:rPr>
              <w:t xml:space="preserve">ELV </w:t>
            </w:r>
            <w:r w:rsidR="00884B51" w:rsidRPr="00CA671F">
              <w:rPr>
                <w:szCs w:val="22"/>
              </w:rPr>
              <w:t xml:space="preserve">MAC </w:t>
            </w:r>
            <w:r w:rsidRPr="00CA671F">
              <w:rPr>
                <w:szCs w:val="22"/>
              </w:rPr>
              <w:t>model after conversions</w:t>
            </w:r>
            <w:r w:rsidR="005B581D" w:rsidRPr="00CA671F">
              <w:rPr>
                <w:szCs w:val="22"/>
              </w:rPr>
              <w:t xml:space="preserve"> </w:t>
            </w:r>
          </w:p>
        </w:tc>
        <w:tc>
          <w:tcPr>
            <w:tcW w:w="1560" w:type="dxa"/>
          </w:tcPr>
          <w:p w:rsidR="00863338" w:rsidRPr="00CA671F" w:rsidRDefault="00863338" w:rsidP="002D021E">
            <w:pPr>
              <w:spacing w:after="120"/>
              <w:rPr>
                <w:color w:val="000000"/>
                <w:szCs w:val="22"/>
              </w:rPr>
            </w:pPr>
            <w:r w:rsidRPr="00CA671F">
              <w:rPr>
                <w:color w:val="000000"/>
                <w:szCs w:val="22"/>
              </w:rPr>
              <w:t>Vehicles</w:t>
            </w:r>
          </w:p>
        </w:tc>
        <w:tc>
          <w:tcPr>
            <w:tcW w:w="1269" w:type="dxa"/>
            <w:vAlign w:val="bottom"/>
          </w:tcPr>
          <w:p w:rsidR="00863338" w:rsidRPr="00CA671F" w:rsidRDefault="00863338" w:rsidP="002D021E">
            <w:pPr>
              <w:spacing w:after="120"/>
              <w:jc w:val="center"/>
              <w:rPr>
                <w:szCs w:val="22"/>
              </w:rPr>
            </w:pPr>
            <w:r w:rsidRPr="00CA671F">
              <w:rPr>
                <w:color w:val="000000"/>
                <w:szCs w:val="22"/>
              </w:rPr>
              <w:t>40,462</w:t>
            </w:r>
          </w:p>
        </w:tc>
        <w:tc>
          <w:tcPr>
            <w:tcW w:w="1140" w:type="dxa"/>
            <w:vAlign w:val="bottom"/>
          </w:tcPr>
          <w:p w:rsidR="00863338" w:rsidRPr="00CA671F" w:rsidRDefault="00863338" w:rsidP="002D021E">
            <w:pPr>
              <w:spacing w:after="120"/>
              <w:jc w:val="center"/>
              <w:rPr>
                <w:szCs w:val="22"/>
              </w:rPr>
            </w:pPr>
            <w:r w:rsidRPr="00CA671F">
              <w:rPr>
                <w:color w:val="000000"/>
                <w:szCs w:val="22"/>
              </w:rPr>
              <w:t>62,515</w:t>
            </w:r>
            <w:r w:rsidR="00ED5F3A" w:rsidRPr="00CA671F">
              <w:rPr>
                <w:color w:val="000000"/>
                <w:szCs w:val="22"/>
              </w:rPr>
              <w:t xml:space="preserve"> </w:t>
            </w:r>
            <w:r w:rsidR="00ED5F3A" w:rsidRPr="00CA671F">
              <w:rPr>
                <w:szCs w:val="22"/>
                <w:vertAlign w:val="superscript"/>
              </w:rPr>
              <w:t>(1)</w:t>
            </w:r>
          </w:p>
        </w:tc>
        <w:tc>
          <w:tcPr>
            <w:tcW w:w="1276" w:type="dxa"/>
            <w:vAlign w:val="bottom"/>
          </w:tcPr>
          <w:p w:rsidR="00863338" w:rsidRPr="00CA671F" w:rsidRDefault="00863338" w:rsidP="002D021E">
            <w:pPr>
              <w:spacing w:after="120"/>
              <w:jc w:val="center"/>
              <w:rPr>
                <w:szCs w:val="22"/>
              </w:rPr>
            </w:pPr>
            <w:r w:rsidRPr="00CA671F">
              <w:rPr>
                <w:color w:val="000000"/>
                <w:szCs w:val="22"/>
              </w:rPr>
              <w:t>486,627</w:t>
            </w:r>
            <w:r w:rsidR="00ED5F3A" w:rsidRPr="00CA671F">
              <w:rPr>
                <w:color w:val="000000"/>
                <w:szCs w:val="22"/>
              </w:rPr>
              <w:t xml:space="preserve"> </w:t>
            </w:r>
            <w:r w:rsidR="00ED5F3A" w:rsidRPr="00CA671F">
              <w:rPr>
                <w:szCs w:val="22"/>
                <w:vertAlign w:val="superscript"/>
              </w:rPr>
              <w:t>(2)</w:t>
            </w:r>
          </w:p>
        </w:tc>
        <w:tc>
          <w:tcPr>
            <w:tcW w:w="992" w:type="dxa"/>
            <w:vAlign w:val="bottom"/>
          </w:tcPr>
          <w:p w:rsidR="00863338" w:rsidRPr="00CA671F" w:rsidRDefault="00863338" w:rsidP="002D021E">
            <w:pPr>
              <w:spacing w:after="120"/>
              <w:jc w:val="center"/>
              <w:rPr>
                <w:szCs w:val="22"/>
              </w:rPr>
            </w:pPr>
            <w:r w:rsidRPr="00CA671F">
              <w:rPr>
                <w:color w:val="000000"/>
                <w:szCs w:val="22"/>
              </w:rPr>
              <w:t>68,714</w:t>
            </w:r>
          </w:p>
        </w:tc>
        <w:tc>
          <w:tcPr>
            <w:tcW w:w="1235" w:type="dxa"/>
            <w:vAlign w:val="bottom"/>
          </w:tcPr>
          <w:p w:rsidR="00863338" w:rsidRPr="00CA671F" w:rsidRDefault="00863338" w:rsidP="002D021E">
            <w:pPr>
              <w:spacing w:after="120"/>
              <w:jc w:val="center"/>
              <w:rPr>
                <w:szCs w:val="22"/>
              </w:rPr>
            </w:pPr>
            <w:r w:rsidRPr="00CA671F">
              <w:rPr>
                <w:color w:val="000000"/>
                <w:szCs w:val="22"/>
              </w:rPr>
              <w:t>658,318</w:t>
            </w:r>
          </w:p>
        </w:tc>
      </w:tr>
      <w:tr w:rsidR="005B581D" w:rsidRPr="00CA671F" w:rsidTr="005B581D">
        <w:tc>
          <w:tcPr>
            <w:tcW w:w="2268" w:type="dxa"/>
            <w:vMerge/>
            <w:vAlign w:val="center"/>
          </w:tcPr>
          <w:p w:rsidR="00863338" w:rsidRPr="00CA671F" w:rsidRDefault="00863338" w:rsidP="002D021E">
            <w:pPr>
              <w:spacing w:after="120"/>
              <w:jc w:val="left"/>
              <w:rPr>
                <w:szCs w:val="22"/>
              </w:rPr>
            </w:pPr>
          </w:p>
        </w:tc>
        <w:tc>
          <w:tcPr>
            <w:tcW w:w="1560" w:type="dxa"/>
          </w:tcPr>
          <w:p w:rsidR="00863338" w:rsidRPr="00CA671F" w:rsidRDefault="00863338" w:rsidP="002D021E">
            <w:pPr>
              <w:spacing w:after="120"/>
              <w:rPr>
                <w:szCs w:val="22"/>
              </w:rPr>
            </w:pPr>
            <w:r w:rsidRPr="00CA671F">
              <w:rPr>
                <w:szCs w:val="22"/>
              </w:rPr>
              <w:t>%</w:t>
            </w:r>
          </w:p>
        </w:tc>
        <w:tc>
          <w:tcPr>
            <w:tcW w:w="1269" w:type="dxa"/>
          </w:tcPr>
          <w:p w:rsidR="00863338" w:rsidRPr="00CA671F" w:rsidRDefault="00863338" w:rsidP="002D021E">
            <w:pPr>
              <w:spacing w:after="120"/>
              <w:jc w:val="center"/>
              <w:rPr>
                <w:szCs w:val="22"/>
              </w:rPr>
            </w:pPr>
            <w:r w:rsidRPr="00CA671F">
              <w:rPr>
                <w:szCs w:val="22"/>
              </w:rPr>
              <w:t>6%</w:t>
            </w:r>
          </w:p>
        </w:tc>
        <w:tc>
          <w:tcPr>
            <w:tcW w:w="1140" w:type="dxa"/>
          </w:tcPr>
          <w:p w:rsidR="00863338" w:rsidRPr="00CA671F" w:rsidRDefault="00863338" w:rsidP="002D021E">
            <w:pPr>
              <w:spacing w:after="120"/>
              <w:jc w:val="center"/>
              <w:rPr>
                <w:szCs w:val="22"/>
              </w:rPr>
            </w:pPr>
            <w:r w:rsidRPr="00CA671F">
              <w:rPr>
                <w:szCs w:val="22"/>
              </w:rPr>
              <w:t>9%</w:t>
            </w:r>
          </w:p>
        </w:tc>
        <w:tc>
          <w:tcPr>
            <w:tcW w:w="1276" w:type="dxa"/>
          </w:tcPr>
          <w:p w:rsidR="00863338" w:rsidRPr="00CA671F" w:rsidRDefault="00863338" w:rsidP="002D021E">
            <w:pPr>
              <w:spacing w:after="120"/>
              <w:jc w:val="center"/>
              <w:rPr>
                <w:szCs w:val="22"/>
              </w:rPr>
            </w:pPr>
            <w:r w:rsidRPr="00CA671F">
              <w:rPr>
                <w:szCs w:val="22"/>
              </w:rPr>
              <w:t>75%</w:t>
            </w:r>
          </w:p>
        </w:tc>
        <w:tc>
          <w:tcPr>
            <w:tcW w:w="992" w:type="dxa"/>
          </w:tcPr>
          <w:p w:rsidR="00863338" w:rsidRPr="00CA671F" w:rsidRDefault="00863338" w:rsidP="002D021E">
            <w:pPr>
              <w:spacing w:after="120"/>
              <w:jc w:val="center"/>
              <w:rPr>
                <w:szCs w:val="22"/>
              </w:rPr>
            </w:pPr>
            <w:r w:rsidRPr="00CA671F">
              <w:rPr>
                <w:szCs w:val="22"/>
              </w:rPr>
              <w:t>10%</w:t>
            </w:r>
          </w:p>
        </w:tc>
        <w:tc>
          <w:tcPr>
            <w:tcW w:w="1235" w:type="dxa"/>
          </w:tcPr>
          <w:p w:rsidR="00863338" w:rsidRPr="00CA671F" w:rsidRDefault="00863338" w:rsidP="002D021E">
            <w:pPr>
              <w:spacing w:after="120"/>
              <w:jc w:val="center"/>
              <w:rPr>
                <w:szCs w:val="22"/>
              </w:rPr>
            </w:pPr>
            <w:r w:rsidRPr="00CA671F">
              <w:rPr>
                <w:szCs w:val="22"/>
              </w:rPr>
              <w:t>100%</w:t>
            </w:r>
          </w:p>
        </w:tc>
      </w:tr>
      <w:tr w:rsidR="005B581D" w:rsidRPr="00CA671F" w:rsidTr="005B581D">
        <w:tc>
          <w:tcPr>
            <w:tcW w:w="2268" w:type="dxa"/>
            <w:vAlign w:val="center"/>
          </w:tcPr>
          <w:p w:rsidR="00863338" w:rsidRPr="00CA671F" w:rsidRDefault="00863338" w:rsidP="002D021E">
            <w:pPr>
              <w:spacing w:after="120"/>
              <w:jc w:val="left"/>
              <w:rPr>
                <w:szCs w:val="22"/>
              </w:rPr>
            </w:pPr>
            <w:r w:rsidRPr="00CA671F">
              <w:rPr>
                <w:szCs w:val="22"/>
              </w:rPr>
              <w:t>Residual charge</w:t>
            </w:r>
          </w:p>
        </w:tc>
        <w:tc>
          <w:tcPr>
            <w:tcW w:w="1560" w:type="dxa"/>
          </w:tcPr>
          <w:p w:rsidR="00863338" w:rsidRPr="00CA671F" w:rsidRDefault="00863338" w:rsidP="002D021E">
            <w:pPr>
              <w:spacing w:after="120"/>
              <w:rPr>
                <w:szCs w:val="22"/>
              </w:rPr>
            </w:pPr>
            <w:r w:rsidRPr="00CA671F">
              <w:rPr>
                <w:szCs w:val="22"/>
              </w:rPr>
              <w:t>Grams</w:t>
            </w:r>
          </w:p>
        </w:tc>
        <w:tc>
          <w:tcPr>
            <w:tcW w:w="1269" w:type="dxa"/>
          </w:tcPr>
          <w:p w:rsidR="00863338" w:rsidRPr="00CA671F" w:rsidRDefault="00863338" w:rsidP="002D021E">
            <w:pPr>
              <w:spacing w:after="120"/>
              <w:jc w:val="center"/>
              <w:rPr>
                <w:szCs w:val="22"/>
              </w:rPr>
            </w:pPr>
            <w:r w:rsidRPr="00CA671F">
              <w:rPr>
                <w:szCs w:val="22"/>
              </w:rPr>
              <w:t>-</w:t>
            </w:r>
          </w:p>
        </w:tc>
        <w:tc>
          <w:tcPr>
            <w:tcW w:w="1140" w:type="dxa"/>
          </w:tcPr>
          <w:p w:rsidR="00863338" w:rsidRPr="00CA671F" w:rsidRDefault="00863338" w:rsidP="002D021E">
            <w:pPr>
              <w:spacing w:after="120"/>
              <w:jc w:val="center"/>
              <w:rPr>
                <w:szCs w:val="22"/>
              </w:rPr>
            </w:pPr>
            <w:r w:rsidRPr="00CA671F">
              <w:rPr>
                <w:szCs w:val="22"/>
              </w:rPr>
              <w:t>340</w:t>
            </w:r>
          </w:p>
        </w:tc>
        <w:tc>
          <w:tcPr>
            <w:tcW w:w="1276" w:type="dxa"/>
          </w:tcPr>
          <w:p w:rsidR="00863338" w:rsidRPr="00CA671F" w:rsidRDefault="00863338" w:rsidP="002D021E">
            <w:pPr>
              <w:spacing w:after="120"/>
              <w:jc w:val="center"/>
              <w:rPr>
                <w:szCs w:val="22"/>
              </w:rPr>
            </w:pPr>
            <w:r w:rsidRPr="00CA671F">
              <w:rPr>
                <w:szCs w:val="22"/>
              </w:rPr>
              <w:t>340</w:t>
            </w:r>
          </w:p>
        </w:tc>
        <w:tc>
          <w:tcPr>
            <w:tcW w:w="992" w:type="dxa"/>
          </w:tcPr>
          <w:p w:rsidR="00863338" w:rsidRPr="00CA671F" w:rsidRDefault="00863338" w:rsidP="002D021E">
            <w:pPr>
              <w:spacing w:after="120"/>
              <w:jc w:val="center"/>
              <w:rPr>
                <w:szCs w:val="22"/>
              </w:rPr>
            </w:pPr>
            <w:r w:rsidRPr="00CA671F">
              <w:rPr>
                <w:szCs w:val="22"/>
              </w:rPr>
              <w:t>-</w:t>
            </w:r>
          </w:p>
        </w:tc>
        <w:tc>
          <w:tcPr>
            <w:tcW w:w="1235" w:type="dxa"/>
          </w:tcPr>
          <w:p w:rsidR="00863338" w:rsidRPr="00CA671F" w:rsidRDefault="00863338" w:rsidP="002D021E">
            <w:pPr>
              <w:spacing w:after="120"/>
              <w:jc w:val="center"/>
              <w:rPr>
                <w:szCs w:val="22"/>
              </w:rPr>
            </w:pPr>
            <w:r w:rsidRPr="00CA671F">
              <w:rPr>
                <w:szCs w:val="22"/>
              </w:rPr>
              <w:t>-</w:t>
            </w:r>
          </w:p>
        </w:tc>
      </w:tr>
      <w:tr w:rsidR="005B581D" w:rsidRPr="00CA671F" w:rsidTr="005B581D">
        <w:tc>
          <w:tcPr>
            <w:tcW w:w="2268" w:type="dxa"/>
            <w:vAlign w:val="center"/>
          </w:tcPr>
          <w:p w:rsidR="00863338" w:rsidRPr="00CA671F" w:rsidRDefault="00863338" w:rsidP="002D021E">
            <w:pPr>
              <w:spacing w:after="120"/>
              <w:jc w:val="left"/>
              <w:rPr>
                <w:szCs w:val="22"/>
              </w:rPr>
            </w:pPr>
            <w:r w:rsidRPr="00CA671F">
              <w:rPr>
                <w:szCs w:val="22"/>
              </w:rPr>
              <w:t>Synthetic refrigerant</w:t>
            </w:r>
          </w:p>
        </w:tc>
        <w:tc>
          <w:tcPr>
            <w:tcW w:w="1560" w:type="dxa"/>
          </w:tcPr>
          <w:p w:rsidR="00863338" w:rsidRPr="00CA671F" w:rsidRDefault="00863338" w:rsidP="002D021E">
            <w:pPr>
              <w:spacing w:after="120"/>
              <w:rPr>
                <w:szCs w:val="22"/>
              </w:rPr>
            </w:pPr>
            <w:r w:rsidRPr="00CA671F">
              <w:rPr>
                <w:szCs w:val="22"/>
              </w:rPr>
              <w:t>Tonnes</w:t>
            </w:r>
          </w:p>
        </w:tc>
        <w:tc>
          <w:tcPr>
            <w:tcW w:w="1269" w:type="dxa"/>
          </w:tcPr>
          <w:p w:rsidR="00863338" w:rsidRPr="00CA671F" w:rsidRDefault="0086535C" w:rsidP="002D021E">
            <w:pPr>
              <w:spacing w:after="120"/>
              <w:jc w:val="center"/>
              <w:rPr>
                <w:szCs w:val="22"/>
              </w:rPr>
            </w:pPr>
            <w:r w:rsidRPr="00CA671F">
              <w:rPr>
                <w:szCs w:val="22"/>
              </w:rPr>
              <w:t>-</w:t>
            </w:r>
          </w:p>
        </w:tc>
        <w:tc>
          <w:tcPr>
            <w:tcW w:w="1140" w:type="dxa"/>
          </w:tcPr>
          <w:p w:rsidR="00863338" w:rsidRPr="00CA671F" w:rsidRDefault="0086535C" w:rsidP="002D021E">
            <w:pPr>
              <w:spacing w:after="120"/>
              <w:jc w:val="center"/>
              <w:rPr>
                <w:szCs w:val="22"/>
              </w:rPr>
            </w:pPr>
            <w:r w:rsidRPr="00CA671F">
              <w:rPr>
                <w:szCs w:val="22"/>
              </w:rPr>
              <w:t>21.3</w:t>
            </w:r>
          </w:p>
        </w:tc>
        <w:tc>
          <w:tcPr>
            <w:tcW w:w="1276" w:type="dxa"/>
          </w:tcPr>
          <w:p w:rsidR="00863338" w:rsidRPr="00CA671F" w:rsidRDefault="0086535C" w:rsidP="002D021E">
            <w:pPr>
              <w:spacing w:after="120"/>
              <w:jc w:val="center"/>
              <w:rPr>
                <w:szCs w:val="22"/>
              </w:rPr>
            </w:pPr>
            <w:r w:rsidRPr="00CA671F">
              <w:rPr>
                <w:szCs w:val="22"/>
              </w:rPr>
              <w:t>165.5</w:t>
            </w:r>
          </w:p>
        </w:tc>
        <w:tc>
          <w:tcPr>
            <w:tcW w:w="992" w:type="dxa"/>
          </w:tcPr>
          <w:p w:rsidR="00863338" w:rsidRPr="00CA671F" w:rsidRDefault="00863338" w:rsidP="002D021E">
            <w:pPr>
              <w:spacing w:after="120"/>
              <w:jc w:val="center"/>
              <w:rPr>
                <w:szCs w:val="22"/>
              </w:rPr>
            </w:pPr>
            <w:r w:rsidRPr="00CA671F">
              <w:rPr>
                <w:szCs w:val="22"/>
              </w:rPr>
              <w:t>-</w:t>
            </w:r>
          </w:p>
        </w:tc>
        <w:tc>
          <w:tcPr>
            <w:tcW w:w="1235" w:type="dxa"/>
          </w:tcPr>
          <w:p w:rsidR="00863338" w:rsidRPr="00CA671F" w:rsidRDefault="0086535C" w:rsidP="002D021E">
            <w:pPr>
              <w:spacing w:after="120"/>
              <w:jc w:val="center"/>
              <w:rPr>
                <w:szCs w:val="22"/>
              </w:rPr>
            </w:pPr>
            <w:r w:rsidRPr="00CA671F">
              <w:rPr>
                <w:szCs w:val="22"/>
              </w:rPr>
              <w:t>186.7</w:t>
            </w:r>
          </w:p>
        </w:tc>
      </w:tr>
    </w:tbl>
    <w:p w:rsidR="00B67A1C" w:rsidRPr="003C63AC" w:rsidRDefault="007708DD" w:rsidP="00AD7504">
      <w:pPr>
        <w:pStyle w:val="ListParagraph"/>
        <w:numPr>
          <w:ilvl w:val="0"/>
          <w:numId w:val="12"/>
        </w:numPr>
        <w:spacing w:before="60" w:after="0" w:line="240" w:lineRule="auto"/>
        <w:ind w:left="284" w:hanging="284"/>
        <w:contextualSpacing w:val="0"/>
        <w:jc w:val="both"/>
        <w:rPr>
          <w:rFonts w:ascii="Times New Roman" w:hAnsi="Times New Roman"/>
          <w:sz w:val="20"/>
          <w:szCs w:val="20"/>
        </w:rPr>
      </w:pPr>
      <w:r>
        <w:rPr>
          <w:rFonts w:ascii="Times New Roman" w:hAnsi="Times New Roman"/>
          <w:sz w:val="20"/>
          <w:szCs w:val="20"/>
        </w:rPr>
        <w:t xml:space="preserve">These estimates </w:t>
      </w:r>
      <w:r w:rsidR="005B581D" w:rsidRPr="003C63AC">
        <w:rPr>
          <w:rFonts w:ascii="Times New Roman" w:hAnsi="Times New Roman"/>
          <w:sz w:val="20"/>
          <w:szCs w:val="20"/>
        </w:rPr>
        <w:t xml:space="preserve">assume 50 per cent </w:t>
      </w:r>
      <w:r w:rsidR="0086535C" w:rsidRPr="003C63AC">
        <w:rPr>
          <w:rFonts w:ascii="Times New Roman" w:hAnsi="Times New Roman"/>
          <w:sz w:val="20"/>
          <w:szCs w:val="20"/>
        </w:rPr>
        <w:t xml:space="preserve">of ELVs that were manufactured containing CFC-12 </w:t>
      </w:r>
      <w:r w:rsidR="005B581D" w:rsidRPr="003C63AC">
        <w:rPr>
          <w:rFonts w:ascii="Times New Roman" w:hAnsi="Times New Roman"/>
          <w:sz w:val="20"/>
          <w:szCs w:val="20"/>
        </w:rPr>
        <w:t>have been converted to HFC-134a, 15 per cent to HC</w:t>
      </w:r>
      <w:r w:rsidR="00B46874">
        <w:rPr>
          <w:rFonts w:ascii="Times New Roman" w:hAnsi="Times New Roman"/>
          <w:sz w:val="20"/>
          <w:szCs w:val="20"/>
        </w:rPr>
        <w:t xml:space="preserve"> and the remainder contain CFC-12</w:t>
      </w:r>
      <w:r w:rsidR="005B581D" w:rsidRPr="003C63AC">
        <w:rPr>
          <w:rFonts w:ascii="Times New Roman" w:hAnsi="Times New Roman"/>
          <w:sz w:val="20"/>
          <w:szCs w:val="20"/>
        </w:rPr>
        <w:t>.</w:t>
      </w:r>
      <w:r w:rsidR="00934A49">
        <w:rPr>
          <w:rFonts w:ascii="Times New Roman" w:hAnsi="Times New Roman"/>
          <w:sz w:val="20"/>
          <w:szCs w:val="20"/>
        </w:rPr>
        <w:t xml:space="preserve"> </w:t>
      </w:r>
      <w:r w:rsidR="00EB57BA">
        <w:rPr>
          <w:rFonts w:ascii="Times New Roman" w:hAnsi="Times New Roman"/>
          <w:sz w:val="20"/>
          <w:szCs w:val="20"/>
        </w:rPr>
        <w:t xml:space="preserve"> </w:t>
      </w:r>
    </w:p>
    <w:p w:rsidR="005B581D" w:rsidRPr="003C63AC" w:rsidRDefault="005B581D" w:rsidP="00AD7504">
      <w:pPr>
        <w:pStyle w:val="ListParagraph"/>
        <w:numPr>
          <w:ilvl w:val="0"/>
          <w:numId w:val="12"/>
        </w:numPr>
        <w:spacing w:before="60" w:after="0" w:line="240" w:lineRule="auto"/>
        <w:ind w:left="284" w:hanging="284"/>
        <w:contextualSpacing w:val="0"/>
        <w:jc w:val="both"/>
        <w:rPr>
          <w:rFonts w:ascii="Times New Roman" w:hAnsi="Times New Roman"/>
          <w:sz w:val="20"/>
          <w:szCs w:val="20"/>
        </w:rPr>
      </w:pPr>
      <w:r w:rsidRPr="003C63AC">
        <w:rPr>
          <w:rFonts w:ascii="Times New Roman" w:hAnsi="Times New Roman"/>
          <w:sz w:val="20"/>
          <w:szCs w:val="20"/>
        </w:rPr>
        <w:t xml:space="preserve">Similarly the ELV Model calculated there were </w:t>
      </w:r>
      <w:r w:rsidRPr="003C63AC">
        <w:rPr>
          <w:rFonts w:ascii="Times New Roman" w:hAnsi="Times New Roman"/>
          <w:color w:val="000000"/>
          <w:sz w:val="20"/>
          <w:szCs w:val="20"/>
        </w:rPr>
        <w:t>439,243</w:t>
      </w:r>
      <w:r w:rsidRPr="003C63AC">
        <w:rPr>
          <w:rFonts w:ascii="Times New Roman" w:hAnsi="Times New Roman"/>
          <w:sz w:val="20"/>
          <w:szCs w:val="20"/>
        </w:rPr>
        <w:t xml:space="preserve"> ELVs that were manufactured containing HFC-134a, a portion of these have been converted to HC </w:t>
      </w:r>
      <w:r w:rsidR="0086535C" w:rsidRPr="003C63AC">
        <w:rPr>
          <w:rFonts w:ascii="Times New Roman" w:hAnsi="Times New Roman"/>
          <w:sz w:val="20"/>
          <w:szCs w:val="20"/>
        </w:rPr>
        <w:t>making up 10</w:t>
      </w:r>
      <w:r w:rsidR="004D498D">
        <w:rPr>
          <w:rFonts w:ascii="Times New Roman" w:hAnsi="Times New Roman"/>
          <w:sz w:val="20"/>
          <w:szCs w:val="20"/>
        </w:rPr>
        <w:t xml:space="preserve"> per cent</w:t>
      </w:r>
      <w:r w:rsidR="0086535C" w:rsidRPr="003C63AC">
        <w:rPr>
          <w:rFonts w:ascii="Times New Roman" w:hAnsi="Times New Roman"/>
          <w:sz w:val="20"/>
          <w:szCs w:val="20"/>
        </w:rPr>
        <w:t xml:space="preserve"> in total </w:t>
      </w:r>
      <w:r w:rsidRPr="003C63AC">
        <w:rPr>
          <w:rFonts w:ascii="Times New Roman" w:hAnsi="Times New Roman"/>
          <w:sz w:val="20"/>
          <w:szCs w:val="20"/>
        </w:rPr>
        <w:t xml:space="preserve">and future projections assumes </w:t>
      </w:r>
      <w:r w:rsidR="0086535C" w:rsidRPr="003C63AC">
        <w:rPr>
          <w:rFonts w:ascii="Times New Roman" w:hAnsi="Times New Roman"/>
          <w:sz w:val="20"/>
          <w:szCs w:val="20"/>
        </w:rPr>
        <w:t xml:space="preserve">MACs originally manufactured containing </w:t>
      </w:r>
      <w:r w:rsidRPr="003C63AC">
        <w:rPr>
          <w:rFonts w:ascii="Times New Roman" w:hAnsi="Times New Roman"/>
          <w:sz w:val="20"/>
          <w:szCs w:val="20"/>
        </w:rPr>
        <w:t>CFC</w:t>
      </w:r>
      <w:r w:rsidR="0086535C" w:rsidRPr="003C63AC">
        <w:rPr>
          <w:rFonts w:ascii="Times New Roman" w:hAnsi="Times New Roman"/>
          <w:sz w:val="20"/>
          <w:szCs w:val="20"/>
        </w:rPr>
        <w:t>s</w:t>
      </w:r>
      <w:r w:rsidRPr="003C63AC">
        <w:rPr>
          <w:rFonts w:ascii="Times New Roman" w:hAnsi="Times New Roman"/>
          <w:sz w:val="20"/>
          <w:szCs w:val="20"/>
        </w:rPr>
        <w:t xml:space="preserve"> </w:t>
      </w:r>
      <w:r w:rsidR="0086535C" w:rsidRPr="003C63AC">
        <w:rPr>
          <w:rFonts w:ascii="Times New Roman" w:hAnsi="Times New Roman"/>
          <w:sz w:val="20"/>
          <w:szCs w:val="20"/>
        </w:rPr>
        <w:t xml:space="preserve">or </w:t>
      </w:r>
      <w:r w:rsidRPr="003C63AC">
        <w:rPr>
          <w:rFonts w:ascii="Times New Roman" w:hAnsi="Times New Roman"/>
          <w:sz w:val="20"/>
          <w:szCs w:val="20"/>
        </w:rPr>
        <w:t>HFC</w:t>
      </w:r>
      <w:r w:rsidR="0086535C" w:rsidRPr="003C63AC">
        <w:rPr>
          <w:rFonts w:ascii="Times New Roman" w:hAnsi="Times New Roman"/>
          <w:sz w:val="20"/>
          <w:szCs w:val="20"/>
        </w:rPr>
        <w:t>s</w:t>
      </w:r>
      <w:r w:rsidRPr="003C63AC">
        <w:rPr>
          <w:rFonts w:ascii="Times New Roman" w:hAnsi="Times New Roman"/>
          <w:sz w:val="20"/>
          <w:szCs w:val="20"/>
        </w:rPr>
        <w:t xml:space="preserve"> will be converted to </w:t>
      </w:r>
      <w:r w:rsidR="00ED5F3A" w:rsidRPr="003C63AC">
        <w:rPr>
          <w:rFonts w:ascii="Times New Roman" w:hAnsi="Times New Roman"/>
          <w:sz w:val="20"/>
          <w:szCs w:val="20"/>
        </w:rPr>
        <w:t>a mix of low GWP refrigerants.</w:t>
      </w:r>
    </w:p>
    <w:p w:rsidR="001A6998" w:rsidRPr="003C63AC" w:rsidRDefault="001A6998" w:rsidP="00B67A1C"/>
    <w:p w:rsidR="00F338F1" w:rsidRDefault="00F338F1">
      <w:pPr>
        <w:spacing w:before="0"/>
        <w:jc w:val="left"/>
        <w:rPr>
          <w:rFonts w:ascii="Calibri" w:eastAsia="Times New Roman" w:hAnsi="Calibri" w:cs="Times New Roman"/>
          <w:b/>
          <w:bCs/>
          <w:i/>
          <w:iCs/>
          <w:sz w:val="28"/>
          <w:szCs w:val="28"/>
          <w:lang w:val="en-US"/>
        </w:rPr>
      </w:pPr>
      <w:r>
        <w:br w:type="page"/>
      </w:r>
    </w:p>
    <w:p w:rsidR="00D25133" w:rsidRDefault="00DD2BB7" w:rsidP="00D25133">
      <w:pPr>
        <w:pStyle w:val="Heading2"/>
        <w:ind w:left="567"/>
      </w:pPr>
      <w:bookmarkStart w:id="18" w:name="_Toc430778978"/>
      <w:r>
        <w:lastRenderedPageBreak/>
        <w:t>Total Emissions from ELVs</w:t>
      </w:r>
      <w:bookmarkEnd w:id="18"/>
    </w:p>
    <w:p w:rsidR="00B67A1C" w:rsidRPr="003C63AC" w:rsidRDefault="00B67A1C" w:rsidP="00B67A1C">
      <w:r w:rsidRPr="003C63AC">
        <w:t xml:space="preserve">Using a GWP of 1430 for HFC-134a, as published in the IPCC’s Fourth Assessment Report, it is estimated that the residual </w:t>
      </w:r>
      <w:r w:rsidR="00FA0EE5">
        <w:t xml:space="preserve">HFC </w:t>
      </w:r>
      <w:r w:rsidRPr="003C63AC">
        <w:t xml:space="preserve">refrigerant in ELVs has an equivalent global warming impact </w:t>
      </w:r>
      <w:r w:rsidR="00DD2BB7">
        <w:t>of</w:t>
      </w:r>
      <w:r w:rsidRPr="003C63AC">
        <w:t xml:space="preserve"> 2</w:t>
      </w:r>
      <w:r w:rsidR="001A6998" w:rsidRPr="003C63AC">
        <w:t>3</w:t>
      </w:r>
      <w:r w:rsidRPr="003C63AC">
        <w:t>7 kt of CO</w:t>
      </w:r>
      <w:r w:rsidRPr="003C63AC">
        <w:rPr>
          <w:vertAlign w:val="subscript"/>
        </w:rPr>
        <w:t>2</w:t>
      </w:r>
      <w:r w:rsidRPr="003C63AC">
        <w:t xml:space="preserve">. This is not an insignificant amount, and for instance is many times the level of emissions that would qualify an Australian business to lodge reports under the </w:t>
      </w:r>
      <w:r w:rsidR="00D25133" w:rsidRPr="00D25133">
        <w:rPr>
          <w:i/>
        </w:rPr>
        <w:t>National Greenhouse and Energy Reporting Act 2007</w:t>
      </w:r>
      <w:r w:rsidRPr="003C63AC">
        <w:t>.</w:t>
      </w:r>
    </w:p>
    <w:p w:rsidR="00DD2BB7" w:rsidRDefault="002E6B46" w:rsidP="00A4070F">
      <w:r w:rsidRPr="003C63AC">
        <w:t>Using a GWP of 10</w:t>
      </w:r>
      <w:r w:rsidR="00B67A1C" w:rsidRPr="003C63AC">
        <w:t xml:space="preserve">900 (AR4 GWP-100 Year) </w:t>
      </w:r>
      <w:r w:rsidR="001A6998" w:rsidRPr="003C63AC">
        <w:t xml:space="preserve">for CFC-12 </w:t>
      </w:r>
      <w:r w:rsidR="00B67A1C" w:rsidRPr="003C63AC">
        <w:t xml:space="preserve">this component of the ELV gas pool was equivalent to </w:t>
      </w:r>
      <w:r w:rsidR="001A6998" w:rsidRPr="003C63AC">
        <w:t>232</w:t>
      </w:r>
      <w:r w:rsidR="00B67A1C" w:rsidRPr="003C63AC">
        <w:t xml:space="preserve"> kt of CO</w:t>
      </w:r>
      <w:r w:rsidR="00B67A1C" w:rsidRPr="003C63AC">
        <w:rPr>
          <w:vertAlign w:val="subscript"/>
        </w:rPr>
        <w:t>2</w:t>
      </w:r>
      <w:r w:rsidR="00C11D5B">
        <w:rPr>
          <w:vertAlign w:val="subscript"/>
        </w:rPr>
        <w:t xml:space="preserve"> </w:t>
      </w:r>
      <w:r w:rsidR="00C11D5B" w:rsidRPr="00FA0EE5">
        <w:t xml:space="preserve">(noting </w:t>
      </w:r>
      <w:r w:rsidR="00C11D5B">
        <w:t>that emissions of CFCs are not counted towards Australia’s Kyoto Protocol commitments as they are managed under the Montreal Protocol)</w:t>
      </w:r>
      <w:r w:rsidR="00B67A1C" w:rsidRPr="003C63AC">
        <w:t xml:space="preserve">. </w:t>
      </w:r>
    </w:p>
    <w:p w:rsidR="00DD2BB7" w:rsidRDefault="00B67A1C" w:rsidP="00A4070F">
      <w:r w:rsidRPr="003C63AC">
        <w:t xml:space="preserve">Thus the entire pool of </w:t>
      </w:r>
      <w:r w:rsidR="001A6998" w:rsidRPr="003C63AC">
        <w:t>187</w:t>
      </w:r>
      <w:r w:rsidRPr="003C63AC">
        <w:t xml:space="preserve"> tonnes </w:t>
      </w:r>
      <w:r w:rsidR="001A6998" w:rsidRPr="003C63AC">
        <w:t xml:space="preserve">of </w:t>
      </w:r>
      <w:r w:rsidRPr="003C63AC">
        <w:t xml:space="preserve">residual </w:t>
      </w:r>
      <w:r w:rsidR="00DC59E6" w:rsidRPr="003C63AC">
        <w:t xml:space="preserve">synthetic </w:t>
      </w:r>
      <w:r w:rsidRPr="003C63AC">
        <w:t xml:space="preserve">refrigerant in ELVs in 2013 was equivalent to </w:t>
      </w:r>
      <w:r w:rsidR="001A6998" w:rsidRPr="003C63AC">
        <w:t>468</w:t>
      </w:r>
      <w:r w:rsidRPr="003C63AC">
        <w:t xml:space="preserve"> kt of CO</w:t>
      </w:r>
      <w:r w:rsidRPr="003C63AC">
        <w:rPr>
          <w:vertAlign w:val="subscript"/>
        </w:rPr>
        <w:t>2</w:t>
      </w:r>
      <w:r w:rsidRPr="003C63AC">
        <w:t xml:space="preserve">. </w:t>
      </w:r>
      <w:r w:rsidR="00AE13AD">
        <w:t>Leading members of the auto parts recycling industry estimate with some confidence that the larger industry participants – those that are most likely to make an effort to achieve compliance with environmental regulation and controls – process about 10 per cent of the annual supply of ELVs.</w:t>
      </w:r>
    </w:p>
    <w:p w:rsidR="00030E57" w:rsidRPr="003C63AC" w:rsidRDefault="00AE13AD" w:rsidP="00A4070F">
      <w:r>
        <w:t xml:space="preserve">This suggests that as much as </w:t>
      </w:r>
      <w:r w:rsidR="00B67A1C" w:rsidRPr="00FC1A73">
        <w:t>10</w:t>
      </w:r>
      <w:r w:rsidR="009D1919" w:rsidRPr="00FC1A73">
        <w:t xml:space="preserve"> per cent</w:t>
      </w:r>
      <w:r w:rsidR="00B67A1C" w:rsidRPr="003C63AC">
        <w:t xml:space="preserve"> of th</w:t>
      </w:r>
      <w:r>
        <w:t xml:space="preserve">e residual refrigerant gas </w:t>
      </w:r>
      <w:r w:rsidR="00B67A1C" w:rsidRPr="003C63AC">
        <w:t>pool was recovered during ELV stripping and decommissioning</w:t>
      </w:r>
      <w:r>
        <w:t xml:space="preserve">. Although given the </w:t>
      </w:r>
      <w:r>
        <w:rPr>
          <w:lang w:val="en-US"/>
        </w:rPr>
        <w:t>disincentives to recovery discussed elsewhere in this report, this estimate is thought to be at the upper end of likely recoveries</w:t>
      </w:r>
      <w:r>
        <w:t>.</w:t>
      </w:r>
      <w:r w:rsidR="00B67A1C" w:rsidRPr="003C63AC">
        <w:t xml:space="preserve">  </w:t>
      </w:r>
      <w:r>
        <w:t xml:space="preserve">Nonetheless, if 10% of residual refrigerant is recovered from ELVs, that </w:t>
      </w:r>
      <w:r w:rsidR="00B67A1C" w:rsidRPr="003C63AC">
        <w:t>still means th</w:t>
      </w:r>
      <w:r w:rsidR="00DC59E6" w:rsidRPr="003C63AC">
        <w:t>at</w:t>
      </w:r>
      <w:r w:rsidR="00B67A1C" w:rsidRPr="003C63AC">
        <w:t xml:space="preserve"> around </w:t>
      </w:r>
      <w:r w:rsidR="001A6998" w:rsidRPr="003C63AC">
        <w:t>400</w:t>
      </w:r>
      <w:r w:rsidR="00B67A1C" w:rsidRPr="003C63AC">
        <w:t xml:space="preserve"> kt </w:t>
      </w:r>
      <w:r w:rsidR="00DC59E6" w:rsidRPr="003C63AC">
        <w:t>CO</w:t>
      </w:r>
      <w:r w:rsidR="00DC59E6" w:rsidRPr="003C63AC">
        <w:rPr>
          <w:vertAlign w:val="subscript"/>
        </w:rPr>
        <w:t>2</w:t>
      </w:r>
      <w:r w:rsidR="00DC59E6" w:rsidRPr="003C63AC">
        <w:t xml:space="preserve">e </w:t>
      </w:r>
      <w:r w:rsidR="00B67A1C" w:rsidRPr="003C63AC">
        <w:t xml:space="preserve">was likely to have been emitted. This is equivalent to </w:t>
      </w:r>
      <w:r w:rsidR="001A6998" w:rsidRPr="003C63AC">
        <w:t>23</w:t>
      </w:r>
      <w:r w:rsidR="009D1919" w:rsidRPr="003C63AC">
        <w:t xml:space="preserve"> per cent</w:t>
      </w:r>
      <w:r w:rsidR="00B67A1C" w:rsidRPr="003C63AC">
        <w:t xml:space="preserve"> of the estimated direct emissions from operating MACs in 2013 and is roughly equivalent to </w:t>
      </w:r>
      <w:r w:rsidR="001A6998" w:rsidRPr="003C63AC">
        <w:t>5</w:t>
      </w:r>
      <w:r w:rsidR="009D1919" w:rsidRPr="003C63AC">
        <w:t xml:space="preserve"> per cent</w:t>
      </w:r>
      <w:r w:rsidR="00B67A1C" w:rsidRPr="003C63AC">
        <w:t xml:space="preserve"> of total </w:t>
      </w:r>
      <w:r w:rsidR="00990332" w:rsidRPr="003C63AC">
        <w:t xml:space="preserve">consumption (imports) </w:t>
      </w:r>
      <w:r w:rsidR="00B67A1C" w:rsidRPr="003C63AC">
        <w:t>in 2013 f</w:t>
      </w:r>
      <w:r w:rsidR="00DC59E6" w:rsidRPr="003C63AC">
        <w:t>or</w:t>
      </w:r>
      <w:r w:rsidR="00B67A1C" w:rsidRPr="003C63AC">
        <w:t xml:space="preserve"> all </w:t>
      </w:r>
      <w:r w:rsidR="00DC59E6" w:rsidRPr="003C63AC">
        <w:t xml:space="preserve">RAC </w:t>
      </w:r>
      <w:r w:rsidR="00B67A1C" w:rsidRPr="003C63AC">
        <w:t>applications.</w:t>
      </w:r>
    </w:p>
    <w:p w:rsidR="00B03EFC" w:rsidRDefault="00B03EFC">
      <w:pPr>
        <w:spacing w:before="0"/>
        <w:jc w:val="left"/>
        <w:rPr>
          <w:rFonts w:ascii="Calibri" w:eastAsia="Times New Roman" w:hAnsi="Calibri" w:cs="Times New Roman"/>
          <w:b/>
          <w:bCs/>
          <w:kern w:val="32"/>
          <w:sz w:val="32"/>
          <w:szCs w:val="32"/>
        </w:rPr>
      </w:pPr>
      <w:r>
        <w:br w:type="page"/>
      </w:r>
    </w:p>
    <w:p w:rsidR="00EB07C7" w:rsidRPr="003C63AC" w:rsidRDefault="00EB07C7" w:rsidP="00E360B0">
      <w:pPr>
        <w:pStyle w:val="Heading1"/>
        <w:ind w:left="432"/>
        <w:rPr>
          <w:lang w:val="en-AU"/>
        </w:rPr>
      </w:pPr>
      <w:bookmarkStart w:id="19" w:name="_Toc430778979"/>
      <w:r w:rsidRPr="003C63AC">
        <w:rPr>
          <w:lang w:val="en-AU"/>
        </w:rPr>
        <w:lastRenderedPageBreak/>
        <w:t>The Reverse Supply Chain</w:t>
      </w:r>
      <w:bookmarkEnd w:id="19"/>
    </w:p>
    <w:p w:rsidR="003307C6" w:rsidRPr="003C63AC" w:rsidRDefault="003307C6" w:rsidP="003307C6">
      <w:r w:rsidRPr="003C63AC">
        <w:t>As the vehicle fleet in Australia has grown and changed in the course of the last 70 years, a complex and effective network of businesses has grown up that collect and manage the disposal or recycling of ELVs. The efficiency of this ‘reverse supply chain’ and the value of ELVs are evidenced by the near complete absence of broken down and abandoned cars in our cities, suburbs and country towns.</w:t>
      </w:r>
    </w:p>
    <w:p w:rsidR="003307C6" w:rsidRPr="003C63AC" w:rsidRDefault="003307C6" w:rsidP="003307C6">
      <w:r w:rsidRPr="003C63AC">
        <w:t>This reverse supply chain has become what is colloquially known as the ‘car wrecking’ industry, or more formally as the ‘</w:t>
      </w:r>
      <w:r w:rsidR="006B7262" w:rsidRPr="003C63AC">
        <w:t>auto-part</w:t>
      </w:r>
      <w:r w:rsidRPr="003C63AC">
        <w:t>s recycling’ industry. There are several participants in this supply chain including auction houses, tow truck drivers, wreckers yards and metal recyclers, although only the wreckers yards are 100</w:t>
      </w:r>
      <w:r w:rsidR="00DC59E6" w:rsidRPr="003C63AC">
        <w:t xml:space="preserve"> per cent</w:t>
      </w:r>
      <w:r w:rsidRPr="003C63AC">
        <w:t xml:space="preserve"> devoted to the industry</w:t>
      </w:r>
      <w:r w:rsidR="00987D93">
        <w:t>,</w:t>
      </w:r>
      <w:r w:rsidR="008367A5">
        <w:t xml:space="preserve"> with</w:t>
      </w:r>
      <w:r w:rsidRPr="003C63AC">
        <w:t xml:space="preserve"> all the other players being participants in a wider field of economic activity.</w:t>
      </w:r>
    </w:p>
    <w:p w:rsidR="003307C6" w:rsidRPr="003C63AC" w:rsidRDefault="003307C6" w:rsidP="003307C6">
      <w:r w:rsidRPr="003C63AC">
        <w:t xml:space="preserve">This is an industry that has grown up, to a large extent, devoid of regulation, as a largely informal industry that initially worked in parallel with the auto repair and </w:t>
      </w:r>
      <w:r w:rsidR="006B7262" w:rsidRPr="003C63AC">
        <w:t>auto-part</w:t>
      </w:r>
      <w:r w:rsidRPr="003C63AC">
        <w:t>s wholesalers industries, and the waste management and land fill industries. For many decades landfills in Australia were the final resting place of most car chassis and tyres.</w:t>
      </w:r>
    </w:p>
    <w:p w:rsidR="003307C6" w:rsidRPr="003C63AC" w:rsidRDefault="003307C6" w:rsidP="003307C6">
      <w:r w:rsidRPr="003C63AC">
        <w:t>Since the 1980s, as ferrous and non-ferrous metal recycling became a substantial industry in its own right, and car chassis’ became worth crushing, more material was diverted from landfill</w:t>
      </w:r>
      <w:r w:rsidR="00863AF4">
        <w:t>. This led to t</w:t>
      </w:r>
      <w:r w:rsidRPr="003C63AC">
        <w:t>he economic value of ELVs improv</w:t>
      </w:r>
      <w:r w:rsidR="00863AF4">
        <w:t>ing</w:t>
      </w:r>
      <w:r w:rsidRPr="003C63AC">
        <w:t xml:space="preserve"> to </w:t>
      </w:r>
      <w:r w:rsidR="006B2B75">
        <w:t>become</w:t>
      </w:r>
      <w:r w:rsidRPr="003C63AC">
        <w:t xml:space="preserve"> one of the most completely recycled complex manufactured products in the modern economy.</w:t>
      </w:r>
    </w:p>
    <w:p w:rsidR="003307C6" w:rsidRPr="00AD4F11" w:rsidRDefault="003307C6" w:rsidP="003307C6">
      <w:r w:rsidRPr="003C63AC">
        <w:t>Until recently the majority of the value of an ELV in Australia was in the value of the spare parts that could be recovered from it and resold in the domestic market for the repair of other vehicles. In the last decade and a half, a significant export industry has sprung up exporting the engine blocks and ‘half cut’ ELVs</w:t>
      </w:r>
      <w:r w:rsidRPr="003C63AC">
        <w:rPr>
          <w:rStyle w:val="FootnoteReference"/>
        </w:rPr>
        <w:footnoteReference w:id="12"/>
      </w:r>
      <w:r w:rsidRPr="003C63AC">
        <w:t xml:space="preserve"> from Australia to countries where re-registration of a vehicle is not as difficult as it is in Australia (i.e. Malaysia, Nigeria, and to the Middle East where they are traded into African countries) (VP 2014 and Expert Group site visits).</w:t>
      </w:r>
    </w:p>
    <w:p w:rsidR="003307C6" w:rsidRDefault="003307C6" w:rsidP="003307C6">
      <w:r w:rsidRPr="005728F4">
        <w:t>In the process of going from being a registered road vehicle to being stripped and sold for its component parts and materials, the majority of ELVs can pass through several sets of hands</w:t>
      </w:r>
      <w:r w:rsidR="00987D93">
        <w:t>. However,</w:t>
      </w:r>
      <w:r w:rsidRPr="005728F4">
        <w:t xml:space="preserve"> </w:t>
      </w:r>
      <w:r w:rsidR="00987D93">
        <w:t>due to</w:t>
      </w:r>
      <w:r w:rsidRPr="000F5EF8">
        <w:t xml:space="preserve"> the value of spare parts and non-ferrous metals that can be recovered from them, it is assumed that the vast majority of them will be processed by a ‘car wrecker’</w:t>
      </w:r>
      <w:r w:rsidR="0091660C" w:rsidRPr="004F1732">
        <w:t xml:space="preserve"> prior to final crushing of the chassis and disposal of waste</w:t>
      </w:r>
      <w:r w:rsidRPr="004F1732">
        <w:t xml:space="preserve">. These </w:t>
      </w:r>
      <w:r w:rsidR="003C63AC" w:rsidRPr="00D357AA">
        <w:t>car-wreckin</w:t>
      </w:r>
      <w:r w:rsidR="003C63AC" w:rsidRPr="00920E28">
        <w:t>g</w:t>
      </w:r>
      <w:r w:rsidRPr="00920E28">
        <w:t xml:space="preserve"> businesses range from back yard operators who strip down one car at a time, to national chains of </w:t>
      </w:r>
      <w:r w:rsidR="006B7262" w:rsidRPr="003C63AC">
        <w:t>auto-part</w:t>
      </w:r>
      <w:r w:rsidRPr="003C63AC">
        <w:t xml:space="preserve">s recyclers. </w:t>
      </w:r>
    </w:p>
    <w:p w:rsidR="00ED6249" w:rsidRDefault="00ED6249" w:rsidP="003307C6">
      <w:r w:rsidRPr="003C63AC">
        <w:t xml:space="preserve">The diagram below in </w:t>
      </w:r>
      <w:r w:rsidRPr="003C63AC">
        <w:rPr>
          <w:i/>
        </w:rPr>
        <w:t>Figure 6</w:t>
      </w:r>
      <w:r w:rsidRPr="003C63AC">
        <w:t xml:space="preserve"> illustrates the range of participants and common practices in various parts of the industry.</w:t>
      </w:r>
    </w:p>
    <w:p w:rsidR="00ED6249" w:rsidRPr="003C63AC" w:rsidRDefault="00ED6249" w:rsidP="003307C6"/>
    <w:p w:rsidR="00C71E9C" w:rsidRDefault="00C71E9C" w:rsidP="00C71E9C">
      <w:pPr>
        <w:sectPr w:rsidR="00C71E9C" w:rsidSect="00892DF8">
          <w:headerReference w:type="default" r:id="rId23"/>
          <w:footerReference w:type="default" r:id="rId24"/>
          <w:pgSz w:w="11900" w:h="16820"/>
          <w:pgMar w:top="1440" w:right="1134" w:bottom="1440" w:left="1134" w:header="709" w:footer="709" w:gutter="0"/>
          <w:cols w:space="708"/>
          <w:docGrid w:linePitch="360"/>
        </w:sectPr>
      </w:pPr>
    </w:p>
    <w:tbl>
      <w:tblPr>
        <w:tblW w:w="1390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05"/>
      </w:tblGrid>
      <w:tr w:rsidR="007458ED" w:rsidRPr="00CA68EC" w:rsidTr="00C71E9C">
        <w:trPr>
          <w:trHeight w:val="260"/>
        </w:trPr>
        <w:tc>
          <w:tcPr>
            <w:tcW w:w="13905" w:type="dxa"/>
            <w:shd w:val="clear" w:color="auto" w:fill="auto"/>
            <w:noWrap/>
            <w:vAlign w:val="center"/>
          </w:tcPr>
          <w:p w:rsidR="007458ED" w:rsidRPr="003C63AC" w:rsidRDefault="007458ED" w:rsidP="000F62D9">
            <w:pPr>
              <w:spacing w:before="60" w:after="60"/>
              <w:rPr>
                <w:i/>
              </w:rPr>
            </w:pPr>
            <w:r w:rsidRPr="003C63AC">
              <w:rPr>
                <w:i/>
                <w:sz w:val="20"/>
              </w:rPr>
              <w:lastRenderedPageBreak/>
              <w:t xml:space="preserve">Figure </w:t>
            </w:r>
            <w:r w:rsidR="00F005B2" w:rsidRPr="003C63AC">
              <w:rPr>
                <w:i/>
                <w:sz w:val="20"/>
              </w:rPr>
              <w:fldChar w:fldCharType="begin"/>
            </w:r>
            <w:r w:rsidRPr="003C63AC">
              <w:rPr>
                <w:i/>
                <w:sz w:val="20"/>
              </w:rPr>
              <w:instrText xml:space="preserve"> SEQ Figure \* ARABIC </w:instrText>
            </w:r>
            <w:r w:rsidR="00F005B2" w:rsidRPr="003C63AC">
              <w:rPr>
                <w:i/>
                <w:sz w:val="20"/>
              </w:rPr>
              <w:fldChar w:fldCharType="separate"/>
            </w:r>
            <w:r>
              <w:rPr>
                <w:i/>
                <w:noProof/>
                <w:sz w:val="20"/>
              </w:rPr>
              <w:t>6</w:t>
            </w:r>
            <w:r w:rsidR="00F005B2" w:rsidRPr="003C63AC">
              <w:rPr>
                <w:i/>
                <w:sz w:val="20"/>
              </w:rPr>
              <w:fldChar w:fldCharType="end"/>
            </w:r>
            <w:r w:rsidRPr="003C63AC">
              <w:rPr>
                <w:i/>
                <w:sz w:val="20"/>
              </w:rPr>
              <w:t>: The range of auto dismantling and recycling businesses, and associated activities.</w:t>
            </w:r>
          </w:p>
        </w:tc>
      </w:tr>
      <w:tr w:rsidR="00C71E9C" w:rsidRPr="00F85DFD" w:rsidTr="00C71E9C">
        <w:trPr>
          <w:trHeight w:val="260"/>
        </w:trPr>
        <w:tc>
          <w:tcPr>
            <w:tcW w:w="13905" w:type="dxa"/>
            <w:shd w:val="clear" w:color="auto" w:fill="auto"/>
            <w:noWrap/>
            <w:vAlign w:val="center"/>
          </w:tcPr>
          <w:p w:rsidR="00C71E9C" w:rsidRDefault="005C6A24" w:rsidP="000F62D9">
            <w:pPr>
              <w:spacing w:before="60" w:after="60"/>
              <w:jc w:val="center"/>
              <w:outlineLvl w:val="0"/>
              <w:rPr>
                <w:sz w:val="16"/>
                <w:szCs w:val="16"/>
              </w:rPr>
            </w:pPr>
            <w:r>
              <w:rPr>
                <w:noProof/>
                <w:sz w:val="16"/>
                <w:szCs w:val="16"/>
                <w:lang w:eastAsia="en-AU"/>
              </w:rPr>
              <mc:AlternateContent>
                <mc:Choice Requires="wpg">
                  <w:drawing>
                    <wp:inline distT="0" distB="0" distL="0" distR="0">
                      <wp:extent cx="8521700" cy="4849495"/>
                      <wp:effectExtent l="15240" t="6985" r="16510" b="29845"/>
                      <wp:docPr id="20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1700" cy="4849495"/>
                                <a:chOff x="0" y="0"/>
                                <a:chExt cx="7521474" cy="4849356"/>
                              </a:xfrm>
                            </wpg:grpSpPr>
                            <wps:wsp>
                              <wps:cNvPr id="210" name="Rectangle 57"/>
                              <wps:cNvSpPr>
                                <a:spLocks noChangeArrowheads="1"/>
                              </wps:cNvSpPr>
                              <wps:spPr bwMode="auto">
                                <a:xfrm>
                                  <a:off x="3425724" y="316186"/>
                                  <a:ext cx="1076425" cy="4533170"/>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ind w:left="1440"/>
                                    </w:pPr>
                                    <w:r>
                                      <w:rPr>
                                        <w:rFonts w:asciiTheme="minorHAnsi" w:hAnsi="Cambria" w:cstheme="minorBidi"/>
                                        <w:color w:val="000000" w:themeColor="dark1"/>
                                        <w:kern w:val="24"/>
                                        <w:sz w:val="36"/>
                                        <w:szCs w:val="36"/>
                                      </w:rPr>
                                      <w:t xml:space="preserve">Mix of </w:t>
                                    </w:r>
                                  </w:p>
                                  <w:p w:rsidR="00C71E9C" w:rsidRDefault="00C71E9C" w:rsidP="00C71E9C">
                                    <w:pPr>
                                      <w:pStyle w:val="NormalWeb"/>
                                      <w:spacing w:before="0" w:beforeAutospacing="0" w:after="0" w:afterAutospacing="0"/>
                                      <w:ind w:left="1440"/>
                                    </w:pPr>
                                    <w:r>
                                      <w:rPr>
                                        <w:rFonts w:asciiTheme="minorHAnsi" w:hAnsi="Cambria" w:cstheme="minorBidi"/>
                                        <w:color w:val="000000" w:themeColor="dark1"/>
                                        <w:kern w:val="24"/>
                                        <w:sz w:val="36"/>
                                        <w:szCs w:val="36"/>
                                      </w:rPr>
                                      <w:t>business types</w:t>
                                    </w:r>
                                  </w:p>
                                </w:txbxContent>
                              </wps:txbx>
                              <wps:bodyPr rot="0" vert="vert270" wrap="square" lIns="91440" tIns="45720" rIns="91440" bIns="45720" anchor="ctr" anchorCtr="0" upright="1">
                                <a:noAutofit/>
                              </wps:bodyPr>
                            </wps:wsp>
                            <wps:wsp>
                              <wps:cNvPr id="211" name="Rectangle 58"/>
                              <wps:cNvSpPr>
                                <a:spLocks noChangeArrowheads="1"/>
                              </wps:cNvSpPr>
                              <wps:spPr bwMode="auto">
                                <a:xfrm>
                                  <a:off x="3425724" y="1538486"/>
                                  <a:ext cx="1076426" cy="3816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6"/>
                                        <w:szCs w:val="16"/>
                                      </w:rPr>
                                      <w:t>Dismantling                                 (un-licensed)</w:t>
                                    </w:r>
                                  </w:p>
                                </w:txbxContent>
                              </wps:txbx>
                              <wps:bodyPr rot="0" vert="horz" wrap="square" lIns="91440" tIns="45720" rIns="91440" bIns="45720" anchor="ctr" anchorCtr="0" upright="1">
                                <a:noAutofit/>
                              </wps:bodyPr>
                            </wps:wsp>
                            <wps:wsp>
                              <wps:cNvPr id="212" name="Rectangle 59"/>
                              <wps:cNvSpPr>
                                <a:spLocks noChangeArrowheads="1"/>
                              </wps:cNvSpPr>
                              <wps:spPr bwMode="auto">
                                <a:xfrm>
                                  <a:off x="4502150" y="1538486"/>
                                  <a:ext cx="3016248" cy="381600"/>
                                </a:xfrm>
                                <a:prstGeom prst="rect">
                                  <a:avLst/>
                                </a:prstGeom>
                                <a:gradFill rotWithShape="1">
                                  <a:gsLst>
                                    <a:gs pos="0">
                                      <a:srgbClr val="FFE5E5"/>
                                    </a:gs>
                                    <a:gs pos="64999">
                                      <a:srgbClr val="FFBEBD"/>
                                    </a:gs>
                                    <a:gs pos="100000">
                                      <a:srgbClr val="FFA2A1"/>
                                    </a:gs>
                                  </a:gsLst>
                                  <a:lin ang="5400000" scaled="1"/>
                                </a:gradFill>
                                <a:ln w="9525">
                                  <a:solidFill>
                                    <a:schemeClr val="accent2">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6"/>
                                        <w:szCs w:val="16"/>
                                      </w:rPr>
                                      <w:t>Rouge operators (100% emissions)</w:t>
                                    </w:r>
                                  </w:p>
                                </w:txbxContent>
                              </wps:txbx>
                              <wps:bodyPr rot="0" vert="horz" wrap="square" lIns="91440" tIns="45720" rIns="91440" bIns="45720" anchor="ctr" anchorCtr="0" upright="1">
                                <a:noAutofit/>
                              </wps:bodyPr>
                            </wps:wsp>
                            <wps:wsp>
                              <wps:cNvPr id="213" name="Rectangle 60"/>
                              <wps:cNvSpPr>
                                <a:spLocks noChangeArrowheads="1"/>
                              </wps:cNvSpPr>
                              <wps:spPr bwMode="auto">
                                <a:xfrm>
                                  <a:off x="2005056" y="4081341"/>
                                  <a:ext cx="539999" cy="360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Recycled metals</w:t>
                                    </w:r>
                                  </w:p>
                                </w:txbxContent>
                              </wps:txbx>
                              <wps:bodyPr rot="0" vert="horz" wrap="square" lIns="91440" tIns="45720" rIns="91440" bIns="45720" anchor="ctr" anchorCtr="0" upright="1">
                                <a:noAutofit/>
                              </wps:bodyPr>
                            </wps:wsp>
                            <wps:wsp>
                              <wps:cNvPr id="214" name="Rectangle 61"/>
                              <wps:cNvSpPr>
                                <a:spLocks noChangeArrowheads="1"/>
                              </wps:cNvSpPr>
                              <wps:spPr bwMode="auto">
                                <a:xfrm>
                                  <a:off x="819251" y="4060938"/>
                                  <a:ext cx="927299" cy="360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Second hand parts market</w:t>
                                    </w:r>
                                  </w:p>
                                </w:txbxContent>
                              </wps:txbx>
                              <wps:bodyPr rot="0" vert="horz" wrap="square" lIns="91440" tIns="45720" rIns="91440" bIns="45720" anchor="ctr" anchorCtr="0" upright="1">
                                <a:noAutofit/>
                              </wps:bodyPr>
                            </wps:wsp>
                            <wps:wsp>
                              <wps:cNvPr id="215" name="Rectangle 62"/>
                              <wps:cNvSpPr>
                                <a:spLocks noChangeArrowheads="1"/>
                              </wps:cNvSpPr>
                              <wps:spPr bwMode="auto">
                                <a:xfrm>
                                  <a:off x="3075" y="0"/>
                                  <a:ext cx="7518399" cy="309837"/>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6"/>
                                        <w:szCs w:val="16"/>
                                      </w:rPr>
                                      <w:t>Last owner (private, commercial or insurance company)</w:t>
                                    </w:r>
                                  </w:p>
                                </w:txbxContent>
                              </wps:txbx>
                              <wps:bodyPr rot="0" vert="horz" wrap="square" lIns="91440" tIns="45720" rIns="91440" bIns="45720" anchor="ctr" anchorCtr="0" upright="1">
                                <a:noAutofit/>
                              </wps:bodyPr>
                            </wps:wsp>
                            <wps:wsp>
                              <wps:cNvPr id="216" name="Rectangle 63"/>
                              <wps:cNvSpPr>
                                <a:spLocks noChangeArrowheads="1"/>
                              </wps:cNvSpPr>
                              <wps:spPr bwMode="auto">
                                <a:xfrm>
                                  <a:off x="0" y="1538486"/>
                                  <a:ext cx="3425723" cy="381600"/>
                                </a:xfrm>
                                <a:prstGeom prst="rect">
                                  <a:avLst/>
                                </a:prstGeom>
                                <a:gradFill rotWithShape="1">
                                  <a:gsLst>
                                    <a:gs pos="0">
                                      <a:srgbClr val="E4F9FF"/>
                                    </a:gs>
                                    <a:gs pos="64999">
                                      <a:srgbClr val="BBEFFF"/>
                                    </a:gs>
                                    <a:gs pos="100000">
                                      <a:srgbClr val="9EEAFF"/>
                                    </a:gs>
                                  </a:gsLst>
                                  <a:lin ang="5400000" scaled="1"/>
                                </a:gradFill>
                                <a:ln w="9525">
                                  <a:solidFill>
                                    <a:schemeClr val="accent5">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6"/>
                                        <w:szCs w:val="16"/>
                                      </w:rPr>
                                      <w:t xml:space="preserve">Dismantling </w:t>
                                    </w:r>
                                  </w:p>
                                  <w:p w:rsidR="00C71E9C" w:rsidRDefault="00C71E9C" w:rsidP="00C71E9C">
                                    <w:pPr>
                                      <w:pStyle w:val="NormalWeb"/>
                                      <w:spacing w:before="0" w:beforeAutospacing="0" w:after="0" w:afterAutospacing="0"/>
                                      <w:jc w:val="center"/>
                                    </w:pPr>
                                    <w:r>
                                      <w:rPr>
                                        <w:rFonts w:asciiTheme="minorHAnsi" w:hAnsi="Cambria" w:cstheme="minorBidi"/>
                                        <w:color w:val="000000"/>
                                        <w:kern w:val="24"/>
                                        <w:sz w:val="16"/>
                                        <w:szCs w:val="16"/>
                                      </w:rPr>
                                      <w:t>(licensed &gt;80% emissions)</w:t>
                                    </w:r>
                                  </w:p>
                                </w:txbxContent>
                              </wps:txbx>
                              <wps:bodyPr rot="0" vert="horz" wrap="square" lIns="91440" tIns="45720" rIns="91440" bIns="45720" anchor="ctr" anchorCtr="0" upright="1">
                                <a:noAutofit/>
                              </wps:bodyPr>
                            </wps:wsp>
                            <wps:wsp>
                              <wps:cNvPr id="217" name="Rectangle 64"/>
                              <wps:cNvSpPr>
                                <a:spLocks noChangeArrowheads="1"/>
                              </wps:cNvSpPr>
                              <wps:spPr bwMode="auto">
                                <a:xfrm>
                                  <a:off x="6129904" y="4079344"/>
                                  <a:ext cx="575999" cy="360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Engine exported</w:t>
                                    </w:r>
                                  </w:p>
                                </w:txbxContent>
                              </wps:txbx>
                              <wps:bodyPr rot="0" vert="horz" wrap="square" lIns="91440" tIns="45720" rIns="91440" bIns="45720" anchor="ctr" anchorCtr="0" upright="1">
                                <a:noAutofit/>
                              </wps:bodyPr>
                            </wps:wsp>
                            <wps:wsp>
                              <wps:cNvPr id="218" name="Rectangle 65"/>
                              <wps:cNvSpPr>
                                <a:spLocks noChangeArrowheads="1"/>
                              </wps:cNvSpPr>
                              <wps:spPr bwMode="auto">
                                <a:xfrm>
                                  <a:off x="5575703" y="2150604"/>
                                  <a:ext cx="900000" cy="50585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Remove engine with fork truck and place in shipping container for export</w:t>
                                    </w:r>
                                  </w:p>
                                </w:txbxContent>
                              </wps:txbx>
                              <wps:bodyPr rot="0" vert="horz" wrap="square" lIns="91440" tIns="45720" rIns="91440" bIns="45720" anchor="ctr" anchorCtr="0" upright="1">
                                <a:noAutofit/>
                              </wps:bodyPr>
                            </wps:wsp>
                            <wps:wsp>
                              <wps:cNvPr id="219" name="Rectangle 66"/>
                              <wps:cNvSpPr>
                                <a:spLocks noChangeArrowheads="1"/>
                              </wps:cNvSpPr>
                              <wps:spPr bwMode="auto">
                                <a:xfrm>
                                  <a:off x="1031775" y="2902241"/>
                                  <a:ext cx="2393948" cy="309837"/>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6"/>
                                        <w:szCs w:val="16"/>
                                      </w:rPr>
                                      <w:t>Vehicle hulk reprocessing (shredding/crushing)</w:t>
                                    </w:r>
                                  </w:p>
                                </w:txbxContent>
                              </wps:txbx>
                              <wps:bodyPr rot="0" vert="horz" wrap="square" lIns="91440" tIns="45720" rIns="91440" bIns="45720" anchor="ctr" anchorCtr="0" upright="1">
                                <a:noAutofit/>
                              </wps:bodyPr>
                            </wps:wsp>
                            <wps:wsp>
                              <wps:cNvPr id="220" name="Rectangle 68"/>
                              <wps:cNvSpPr>
                                <a:spLocks noChangeArrowheads="1"/>
                              </wps:cNvSpPr>
                              <wps:spPr bwMode="auto">
                                <a:xfrm>
                                  <a:off x="171251" y="681052"/>
                                  <a:ext cx="648000" cy="360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Used car dealers</w:t>
                                    </w:r>
                                  </w:p>
                                </w:txbxContent>
                              </wps:txbx>
                              <wps:bodyPr rot="0" vert="horz" wrap="square" lIns="91440" tIns="45720" rIns="91440" bIns="45720" anchor="ctr" anchorCtr="0" upright="1">
                                <a:noAutofit/>
                              </wps:bodyPr>
                            </wps:wsp>
                            <wps:wsp>
                              <wps:cNvPr id="221" name="Rectangle 69"/>
                              <wps:cNvSpPr>
                                <a:spLocks noChangeArrowheads="1"/>
                              </wps:cNvSpPr>
                              <wps:spPr bwMode="auto">
                                <a:xfrm>
                                  <a:off x="948200" y="681052"/>
                                  <a:ext cx="648000" cy="360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Insurance companies</w:t>
                                    </w:r>
                                  </w:p>
                                </w:txbxContent>
                              </wps:txbx>
                              <wps:bodyPr rot="0" vert="horz" wrap="square" lIns="91440" tIns="45720" rIns="91440" bIns="45720" anchor="ctr" anchorCtr="0" upright="1">
                                <a:noAutofit/>
                              </wps:bodyPr>
                            </wps:wsp>
                            <wps:wsp>
                              <wps:cNvPr id="222" name="Rectangle 70"/>
                              <wps:cNvSpPr>
                                <a:spLocks noChangeArrowheads="1"/>
                              </wps:cNvSpPr>
                              <wps:spPr bwMode="auto">
                                <a:xfrm>
                                  <a:off x="1746550" y="681052"/>
                                  <a:ext cx="648000" cy="360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Car repair centres</w:t>
                                    </w:r>
                                  </w:p>
                                </w:txbxContent>
                              </wps:txbx>
                              <wps:bodyPr rot="0" vert="horz" wrap="square" lIns="91440" tIns="45720" rIns="91440" bIns="45720" anchor="ctr" anchorCtr="0" upright="1">
                                <a:noAutofit/>
                              </wps:bodyPr>
                            </wps:wsp>
                            <wps:wsp>
                              <wps:cNvPr id="223" name="Rectangle 71"/>
                              <wps:cNvSpPr>
                                <a:spLocks noChangeArrowheads="1"/>
                              </wps:cNvSpPr>
                              <wps:spPr bwMode="auto">
                                <a:xfrm>
                                  <a:off x="3075" y="309836"/>
                                  <a:ext cx="3422649" cy="4539520"/>
                                </a:xfrm>
                                <a:prstGeom prst="rect">
                                  <a:avLst/>
                                </a:prstGeom>
                                <a:noFill/>
                                <a:ln w="9525">
                                  <a:solidFill>
                                    <a:schemeClr val="accent1">
                                      <a:lumMod val="95000"/>
                                      <a:lumOff val="0"/>
                                    </a:schemeClr>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txbx>
                                <w:txbxContent>
                                  <w:p w:rsidR="00C71E9C" w:rsidRDefault="00C71E9C" w:rsidP="00C71E9C">
                                    <w:pPr>
                                      <w:rPr>
                                        <w:rFonts w:eastAsia="Times New Roman" w:cs="Times New Roman"/>
                                      </w:rPr>
                                    </w:pPr>
                                  </w:p>
                                </w:txbxContent>
                              </wps:txbx>
                              <wps:bodyPr rot="0" vert="horz" wrap="square" lIns="91440" tIns="45720" rIns="91440" bIns="45720" anchor="ctr" anchorCtr="0" upright="1">
                                <a:noAutofit/>
                              </wps:bodyPr>
                            </wps:wsp>
                            <wps:wsp>
                              <wps:cNvPr id="224" name="Rectangle 72"/>
                              <wps:cNvSpPr>
                                <a:spLocks noChangeArrowheads="1"/>
                              </wps:cNvSpPr>
                              <wps:spPr bwMode="auto">
                                <a:xfrm>
                                  <a:off x="4502149" y="309836"/>
                                  <a:ext cx="3016249" cy="4539520"/>
                                </a:xfrm>
                                <a:prstGeom prst="rect">
                                  <a:avLst/>
                                </a:prstGeom>
                                <a:noFill/>
                                <a:ln w="9525">
                                  <a:solidFill>
                                    <a:schemeClr val="accent1">
                                      <a:lumMod val="95000"/>
                                      <a:lumOff val="0"/>
                                    </a:schemeClr>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txbx>
                                <w:txbxContent>
                                  <w:p w:rsidR="00C71E9C" w:rsidRDefault="00C71E9C" w:rsidP="00C71E9C">
                                    <w:pPr>
                                      <w:rPr>
                                        <w:rFonts w:eastAsia="Times New Roman" w:cs="Times New Roman"/>
                                      </w:rPr>
                                    </w:pPr>
                                  </w:p>
                                </w:txbxContent>
                              </wps:txbx>
                              <wps:bodyPr rot="0" vert="horz" wrap="square" lIns="91440" tIns="45720" rIns="91440" bIns="45720" anchor="ctr" anchorCtr="0" upright="1">
                                <a:noAutofit/>
                              </wps:bodyPr>
                            </wps:wsp>
                            <wps:wsp>
                              <wps:cNvPr id="225" name="Left-Right Arrow 73"/>
                              <wps:cNvSpPr>
                                <a:spLocks noChangeArrowheads="1"/>
                              </wps:cNvSpPr>
                              <wps:spPr bwMode="auto">
                                <a:xfrm>
                                  <a:off x="0" y="1236205"/>
                                  <a:ext cx="7521473" cy="431801"/>
                                </a:xfrm>
                                <a:prstGeom prst="leftRightArrow">
                                  <a:avLst>
                                    <a:gd name="adj1" fmla="val 50000"/>
                                    <a:gd name="adj2" fmla="val 49999"/>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themeColor="text1"/>
                                        <w:kern w:val="24"/>
                                        <w:sz w:val="16"/>
                                        <w:szCs w:val="16"/>
                                      </w:rPr>
                                      <w:t>Two extremes undertaking auto recycling and dismantling</w:t>
                                    </w:r>
                                  </w:p>
                                </w:txbxContent>
                              </wps:txbx>
                              <wps:bodyPr rot="0" vert="horz" wrap="square" lIns="91440" tIns="45720" rIns="91440" bIns="45720" anchor="ctr" anchorCtr="0" upright="1">
                                <a:noAutofit/>
                              </wps:bodyPr>
                            </wps:wsp>
                            <wps:wsp>
                              <wps:cNvPr id="226" name="Rectangle 74"/>
                              <wps:cNvSpPr>
                                <a:spLocks noChangeArrowheads="1"/>
                              </wps:cNvSpPr>
                              <wps:spPr bwMode="auto">
                                <a:xfrm>
                                  <a:off x="2539997" y="681052"/>
                                  <a:ext cx="648000" cy="360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Collectors/other</w:t>
                                    </w:r>
                                  </w:p>
                                </w:txbxContent>
                              </wps:txbx>
                              <wps:bodyPr rot="0" vert="horz" wrap="square" lIns="91440" tIns="45720" rIns="91440" bIns="45720" anchor="ctr" anchorCtr="0" upright="1">
                                <a:noAutofit/>
                              </wps:bodyPr>
                            </wps:wsp>
                            <wps:wsp>
                              <wps:cNvPr id="227" name="Rectangle 75"/>
                              <wps:cNvSpPr>
                                <a:spLocks noChangeArrowheads="1"/>
                              </wps:cNvSpPr>
                              <wps:spPr bwMode="auto">
                                <a:xfrm>
                                  <a:off x="2779425" y="4082694"/>
                                  <a:ext cx="539999" cy="360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Landfill</w:t>
                                    </w:r>
                                  </w:p>
                                </w:txbxContent>
                              </wps:txbx>
                              <wps:bodyPr rot="0" vert="horz" wrap="square" lIns="91440" tIns="45720" rIns="91440" bIns="45720" anchor="ctr" anchorCtr="0" upright="1">
                                <a:noAutofit/>
                              </wps:bodyPr>
                            </wps:wsp>
                            <wps:wsp>
                              <wps:cNvPr id="228" name="Rectangle 76"/>
                              <wps:cNvSpPr>
                                <a:spLocks noChangeArrowheads="1"/>
                              </wps:cNvSpPr>
                              <wps:spPr bwMode="auto">
                                <a:xfrm>
                                  <a:off x="704951" y="2080755"/>
                                  <a:ext cx="632475" cy="576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Auto parts recycling (compressors, engines, etc.)</w:t>
                                    </w:r>
                                  </w:p>
                                </w:txbxContent>
                              </wps:txbx>
                              <wps:bodyPr rot="0" vert="horz" wrap="square" lIns="91440" tIns="45720" rIns="91440" bIns="45720" anchor="ctr" anchorCtr="0" upright="1">
                                <a:noAutofit/>
                              </wps:bodyPr>
                            </wps:wsp>
                            <wps:wsp>
                              <wps:cNvPr id="229" name="Rectangle 77"/>
                              <wps:cNvSpPr>
                                <a:spLocks noChangeArrowheads="1"/>
                              </wps:cNvSpPr>
                              <wps:spPr bwMode="auto">
                                <a:xfrm>
                                  <a:off x="1447375" y="2080755"/>
                                  <a:ext cx="540000" cy="576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Materials recycling (batteries, fluids, etc.)</w:t>
                                    </w:r>
                                  </w:p>
                                </w:txbxContent>
                              </wps:txbx>
                              <wps:bodyPr rot="0" vert="horz" wrap="square" lIns="91440" tIns="45720" rIns="91440" bIns="45720" anchor="ctr" anchorCtr="0" upright="1">
                                <a:noAutofit/>
                              </wps:bodyPr>
                            </wps:wsp>
                            <wps:wsp>
                              <wps:cNvPr id="230" name="Rectangle 78"/>
                              <wps:cNvSpPr>
                                <a:spLocks noChangeArrowheads="1"/>
                              </wps:cNvSpPr>
                              <wps:spPr bwMode="auto">
                                <a:xfrm>
                                  <a:off x="5184675" y="681052"/>
                                  <a:ext cx="1587500" cy="360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Acquire vehicles via conventional and criminal channels</w:t>
                                    </w:r>
                                  </w:p>
                                </w:txbxContent>
                              </wps:txbx>
                              <wps:bodyPr rot="0" vert="horz" wrap="square" lIns="91440" tIns="45720" rIns="91440" bIns="45720" anchor="ctr" anchorCtr="0" upright="1">
                                <a:noAutofit/>
                              </wps:bodyPr>
                            </wps:wsp>
                            <wps:wsp>
                              <wps:cNvPr id="231" name="Rectangle 63"/>
                              <wps:cNvSpPr>
                                <a:spLocks noChangeArrowheads="1"/>
                              </wps:cNvSpPr>
                              <wps:spPr bwMode="auto">
                                <a:xfrm>
                                  <a:off x="2118000" y="2080755"/>
                                  <a:ext cx="540000" cy="576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Rest of vehicle</w:t>
                                    </w:r>
                                  </w:p>
                                </w:txbxContent>
                              </wps:txbx>
                              <wps:bodyPr rot="0" vert="horz" wrap="square" lIns="91440" tIns="45720" rIns="91440" bIns="45720" anchor="ctr" anchorCtr="0" upright="1">
                                <a:noAutofit/>
                              </wps:bodyPr>
                            </wps:wsp>
                            <wps:wsp>
                              <wps:cNvPr id="232" name="Rectangle 80"/>
                              <wps:cNvSpPr>
                                <a:spLocks noChangeArrowheads="1"/>
                              </wps:cNvSpPr>
                              <wps:spPr bwMode="auto">
                                <a:xfrm>
                                  <a:off x="2797750" y="2080755"/>
                                  <a:ext cx="540000" cy="576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Rest of vehicle</w:t>
                                    </w:r>
                                  </w:p>
                                </w:txbxContent>
                              </wps:txbx>
                              <wps:bodyPr rot="0" vert="horz" wrap="square" lIns="91440" tIns="45720" rIns="91440" bIns="45720" anchor="ctr" anchorCtr="0" upright="1">
                                <a:noAutofit/>
                              </wps:bodyPr>
                            </wps:wsp>
                            <wps:wsp>
                              <wps:cNvPr id="233" name="Rectangle 81"/>
                              <wps:cNvSpPr>
                                <a:spLocks noChangeArrowheads="1"/>
                              </wps:cNvSpPr>
                              <wps:spPr bwMode="auto">
                                <a:xfrm>
                                  <a:off x="72201" y="2080754"/>
                                  <a:ext cx="540000" cy="576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Refrigerant collection</w:t>
                                    </w:r>
                                  </w:p>
                                </w:txbxContent>
                              </wps:txbx>
                              <wps:bodyPr rot="0" vert="horz" wrap="square" lIns="91440" tIns="45720" rIns="91440" bIns="45720" anchor="ctr" anchorCtr="0" upright="1">
                                <a:noAutofit/>
                              </wps:bodyPr>
                            </wps:wsp>
                            <wps:wsp>
                              <wps:cNvPr id="234" name="Rectangle 66"/>
                              <wps:cNvSpPr>
                                <a:spLocks noChangeArrowheads="1"/>
                              </wps:cNvSpPr>
                              <wps:spPr bwMode="auto">
                                <a:xfrm>
                                  <a:off x="1030201" y="3436952"/>
                                  <a:ext cx="648000" cy="360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Non-ferrous metals</w:t>
                                    </w:r>
                                  </w:p>
                                </w:txbxContent>
                              </wps:txbx>
                              <wps:bodyPr rot="0" vert="horz" wrap="square" lIns="91440" tIns="45720" rIns="91440" bIns="45720" anchor="ctr" anchorCtr="0" upright="1">
                                <a:noAutofit/>
                              </wps:bodyPr>
                            </wps:wsp>
                            <wps:wsp>
                              <wps:cNvPr id="235" name="Rectangle 83"/>
                              <wps:cNvSpPr>
                                <a:spLocks noChangeArrowheads="1"/>
                              </wps:cNvSpPr>
                              <wps:spPr bwMode="auto">
                                <a:xfrm>
                                  <a:off x="1911650" y="3436952"/>
                                  <a:ext cx="648000" cy="360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Ferrous metals</w:t>
                                    </w:r>
                                  </w:p>
                                </w:txbxContent>
                              </wps:txbx>
                              <wps:bodyPr rot="0" vert="horz" wrap="square" lIns="91440" tIns="45720" rIns="91440" bIns="45720" anchor="ctr" anchorCtr="0" upright="1">
                                <a:noAutofit/>
                              </wps:bodyPr>
                            </wps:wsp>
                            <wps:wsp>
                              <wps:cNvPr id="236" name="Rectangle 84"/>
                              <wps:cNvSpPr>
                                <a:spLocks noChangeArrowheads="1"/>
                              </wps:cNvSpPr>
                              <wps:spPr bwMode="auto">
                                <a:xfrm>
                                  <a:off x="2736298" y="3436952"/>
                                  <a:ext cx="648000" cy="360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Shredder residue</w:t>
                                    </w:r>
                                  </w:p>
                                </w:txbxContent>
                              </wps:txbx>
                              <wps:bodyPr rot="0" vert="horz" wrap="square" lIns="91440" tIns="45720" rIns="91440" bIns="45720" anchor="ctr" anchorCtr="0" upright="1">
                                <a:noAutofit/>
                              </wps:bodyPr>
                            </wps:wsp>
                            <wps:wsp>
                              <wps:cNvPr id="237" name="Rectangle 85"/>
                              <wps:cNvSpPr>
                                <a:spLocks noChangeArrowheads="1"/>
                              </wps:cNvSpPr>
                              <wps:spPr bwMode="auto">
                                <a:xfrm>
                                  <a:off x="5575703" y="2926618"/>
                                  <a:ext cx="900000" cy="360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Remove non-crushable items</w:t>
                                    </w:r>
                                  </w:p>
                                </w:txbxContent>
                              </wps:txbx>
                              <wps:bodyPr rot="0" vert="horz" wrap="square" lIns="91440" tIns="45720" rIns="91440" bIns="45720" anchor="ctr" anchorCtr="0" upright="1">
                                <a:noAutofit/>
                              </wps:bodyPr>
                            </wps:wsp>
                            <wps:wsp>
                              <wps:cNvPr id="238" name="Rectangle 86"/>
                              <wps:cNvSpPr>
                                <a:spLocks noChangeArrowheads="1"/>
                              </wps:cNvSpPr>
                              <wps:spPr bwMode="auto">
                                <a:xfrm>
                                  <a:off x="6888325" y="4079344"/>
                                  <a:ext cx="575999" cy="360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Illegal dumping</w:t>
                                    </w:r>
                                  </w:p>
                                </w:txbxContent>
                              </wps:txbx>
                              <wps:bodyPr rot="0" vert="horz" wrap="square" lIns="91440" tIns="45720" rIns="91440" bIns="45720" anchor="ctr" anchorCtr="0" upright="1">
                                <a:noAutofit/>
                              </wps:bodyPr>
                            </wps:wsp>
                            <wps:wsp>
                              <wps:cNvPr id="239" name="Rectangle 87"/>
                              <wps:cNvSpPr>
                                <a:spLocks noChangeArrowheads="1"/>
                              </wps:cNvSpPr>
                              <wps:spPr bwMode="auto">
                                <a:xfrm>
                                  <a:off x="4586854" y="4079344"/>
                                  <a:ext cx="575999" cy="360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Landfill</w:t>
                                    </w:r>
                                  </w:p>
                                </w:txbxContent>
                              </wps:txbx>
                              <wps:bodyPr rot="0" vert="horz" wrap="square" lIns="91440" tIns="45720" rIns="91440" bIns="45720" anchor="ctr" anchorCtr="0" upright="1">
                                <a:noAutofit/>
                              </wps:bodyPr>
                            </wps:wsp>
                            <wps:wsp>
                              <wps:cNvPr id="240" name="Rectangle 88"/>
                              <wps:cNvSpPr>
                                <a:spLocks noChangeArrowheads="1"/>
                              </wps:cNvSpPr>
                              <wps:spPr bwMode="auto">
                                <a:xfrm>
                                  <a:off x="5575703" y="3521943"/>
                                  <a:ext cx="900000" cy="360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Crush body</w:t>
                                    </w:r>
                                  </w:p>
                                </w:txbxContent>
                              </wps:txbx>
                              <wps:bodyPr rot="0" vert="horz" wrap="square" lIns="91440" tIns="45720" rIns="91440" bIns="45720" anchor="ctr" anchorCtr="0" upright="1">
                                <a:noAutofit/>
                              </wps:bodyPr>
                            </wps:wsp>
                            <wps:wsp>
                              <wps:cNvPr id="241" name="Rectangle 89"/>
                              <wps:cNvSpPr>
                                <a:spLocks noChangeArrowheads="1"/>
                              </wps:cNvSpPr>
                              <wps:spPr bwMode="auto">
                                <a:xfrm>
                                  <a:off x="5406004" y="4085694"/>
                                  <a:ext cx="575999" cy="360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Sell scrap</w:t>
                                    </w:r>
                                  </w:p>
                                </w:txbxContent>
                              </wps:txbx>
                              <wps:bodyPr rot="0" vert="horz" wrap="square" lIns="91440" tIns="45720" rIns="91440" bIns="45720" anchor="ctr" anchorCtr="0" upright="1">
                                <a:noAutofit/>
                              </wps:bodyPr>
                            </wps:wsp>
                            <wps:wsp>
                              <wps:cNvPr id="242" name="Rectangle 90"/>
                              <wps:cNvSpPr>
                                <a:spLocks noChangeArrowheads="1"/>
                              </wps:cNvSpPr>
                              <wps:spPr bwMode="auto">
                                <a:xfrm>
                                  <a:off x="66654" y="4051922"/>
                                  <a:ext cx="638297" cy="360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 xml:space="preserve">Refrigerant reuse/   </w:t>
                                    </w:r>
                                  </w:p>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destruction</w:t>
                                    </w:r>
                                  </w:p>
                                </w:txbxContent>
                              </wps:txbx>
                              <wps:bodyPr rot="0" vert="horz" wrap="square" lIns="91440" tIns="45720" rIns="91440" bIns="45720" anchor="ctr" anchorCtr="0" upright="1">
                                <a:noAutofit/>
                              </wps:bodyPr>
                            </wps:wsp>
                          </wpg:wgp>
                        </a:graphicData>
                      </a:graphic>
                    </wp:inline>
                  </w:drawing>
                </mc:Choice>
                <mc:Fallback>
                  <w:pict>
                    <v:group id="Group 2" o:spid="_x0000_s1062" style="width:671pt;height:381.85pt;mso-position-horizontal-relative:char;mso-position-vertical-relative:line" coordsize="75214,48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">
                      <v:rect id="Rectangle 57" o:spid="_x0000_s1063" style="position:absolute;left:34257;top:3161;width:10764;height:45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mUr4A&#10;AADcAAAADwAAAGRycy9kb3ducmV2LnhtbERPzYrCMBC+L/gOYQQvoqlZkLUaRRRB2JOuDzAkY1Ns&#10;JqWJWt/eHIQ9fnz/q03vG/GgLtaBNcymBQhiE2zNlYbL32HyAyImZItNYNLwogib9eBrhaUNTz7R&#10;45wqkUM4lqjBpdSWUkbjyGOchpY4c9fQeUwZdpW0HT5zuG+kKoq59FhzbnDY0s6RuZ3vXoPB8a9x&#10;i53ax+I7jS9G3emmtB4N++0SRKI+/Ys/7qPVoGZ5fj6Tj4B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NSJlK+AAAA3AAAAA8AAAAAAAAAAAAAAAAAmAIAAGRycy9kb3ducmV2&#10;LnhtbFBLBQYAAAAABAAEAPUAAACDAwAAAAA=&#10;" fillcolor="#ededed" strokecolor="black [3040]">
                        <v:fill color2="#bcbcbc" rotate="t" colors="0 #ededed;42598f #d0d0d0;1 #bcbcbc" focus="100%" type="gradient"/>
                        <v:shadow on="t" opacity="24903f" origin=",.5" offset="0,.55556mm"/>
                        <v:textbox style="layout-flow:vertical;mso-layout-flow-alt:bottom-to-top">
                          <w:txbxContent>
                            <w:p w:rsidR="00C71E9C" w:rsidRDefault="00C71E9C" w:rsidP="00C71E9C">
                              <w:pPr>
                                <w:pStyle w:val="NormalWeb"/>
                                <w:spacing w:before="0" w:beforeAutospacing="0" w:after="0" w:afterAutospacing="0"/>
                                <w:ind w:left="1440"/>
                              </w:pPr>
                              <w:r>
                                <w:rPr>
                                  <w:rFonts w:asciiTheme="minorHAnsi" w:hAnsi="Cambria" w:cstheme="minorBidi"/>
                                  <w:color w:val="000000" w:themeColor="dark1"/>
                                  <w:kern w:val="24"/>
                                  <w:sz w:val="36"/>
                                  <w:szCs w:val="36"/>
                                </w:rPr>
                                <w:t xml:space="preserve">Mix of </w:t>
                              </w:r>
                            </w:p>
                            <w:p w:rsidR="00C71E9C" w:rsidRDefault="00C71E9C" w:rsidP="00C71E9C">
                              <w:pPr>
                                <w:pStyle w:val="NormalWeb"/>
                                <w:spacing w:before="0" w:beforeAutospacing="0" w:after="0" w:afterAutospacing="0"/>
                                <w:ind w:left="1440"/>
                              </w:pPr>
                              <w:r>
                                <w:rPr>
                                  <w:rFonts w:asciiTheme="minorHAnsi" w:hAnsi="Cambria" w:cstheme="minorBidi"/>
                                  <w:color w:val="000000" w:themeColor="dark1"/>
                                  <w:kern w:val="24"/>
                                  <w:sz w:val="36"/>
                                  <w:szCs w:val="36"/>
                                </w:rPr>
                                <w:t>business types</w:t>
                              </w:r>
                            </w:p>
                          </w:txbxContent>
                        </v:textbox>
                      </v:rect>
                      <v:rect id="Rectangle 58" o:spid="_x0000_s1064" style="position:absolute;left:34257;top:15384;width:10764;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vXMcA&#10;AADcAAAADwAAAGRycy9kb3ducmV2LnhtbESPQWvCQBSE7wX/w/KEXkqziQcpqZsQLAFpoWgs1OMj&#10;+0yC2bchu9XYX98VCh6HmfmGWeWT6cWZRtdZVpBEMQji2uqOGwVf+/L5BYTzyBp7y6TgSg7ybPaw&#10;wlTbC+/oXPlGBAi7FBW03g+plK5uyaCL7EAcvKMdDfogx0bqES8Bbnq5iOOlNNhxWGhxoHVL9an6&#10;MQrKa7FZvlefH4fdt8RiO+x//dObUo/zqXgF4Wny9/B/e6MVLJIEbm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or1zHAAAA3AAAAA8AAAAAAAAAAAAAAAAAmAIAAGRy&#10;cy9kb3ducmV2LnhtbFBLBQYAAAAABAAEAPUAAACMAw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6"/>
                                  <w:szCs w:val="16"/>
                                </w:rPr>
                                <w:t>Dismantling                                 (un-licensed)</w:t>
                              </w:r>
                            </w:p>
                          </w:txbxContent>
                        </v:textbox>
                      </v:rect>
                      <v:rect id="Rectangle 59" o:spid="_x0000_s1065" style="position:absolute;left:45021;top:15384;width:30162;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YEcUA&#10;AADcAAAADwAAAGRycy9kb3ducmV2LnhtbESPzWrDMBCE74W+g9hCb40c09TBiRJK3UKgp+YHclys&#10;jS1irYwlO06evioUchxm5htmuR5tIwbqvHGsYDpJQBCXThuuFOx3Xy9zED4ga2wck4IreVivHh+W&#10;mGt34R8atqESEcI+RwV1CG0upS9rsugnriWO3sl1FkOUXSV1h5cIt41Mk+RNWjQcF2ps6aOm8rzt&#10;rYLi08wKc3BZ5r5xl/T2eKv6V6Wen8b3BYhAY7iH/9sbrSCdpv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VgRxQAAANwAAAAPAAAAAAAAAAAAAAAAAJgCAABkcnMv&#10;ZG93bnJldi54bWxQSwUGAAAAAAQABAD1AAAAigMAAAAA&#10;" fillcolor="#ffe5e5" strokecolor="#bc4542 [3045]">
                        <v:fill color2="#ffa2a1" rotate="t" colors="0 #ffe5e5;42598f #ffbebd;1 #ffa2a1"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6"/>
                                  <w:szCs w:val="16"/>
                                </w:rPr>
                                <w:t>Rouge operators (100% emissions)</w:t>
                              </w:r>
                            </w:p>
                          </w:txbxContent>
                        </v:textbox>
                      </v:rect>
                      <v:rect id="Rectangle 60" o:spid="_x0000_s1066" style="position:absolute;left:20050;top:40813;width:54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UsMUA&#10;AADcAAAADwAAAGRycy9kb3ducmV2LnhtbESPQYvCMBSE74L/ITxhL6KpCiLVKMVFkBWWtQp6fDTP&#10;tti8lCar1V9vFhY8DjPzDbNYtaYSN2pcaVnBaBiBIM6sLjlXcDxsBjMQziNrrCyTggc5WC27nQXG&#10;2t55T7fU5yJA2MWooPC+jqV0WUEG3dDWxMG72MagD7LJpW7wHuCmkuMomkqDJYeFAmtaF5Rd01+j&#10;YPNIttOv9Ht33p8kJj/14en7n0p99NpkDsJT69/h//ZWKxiPJvB3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pSwxQAAANwAAAAPAAAAAAAAAAAAAAAAAJgCAABkcnMv&#10;ZG93bnJldi54bWxQSwUGAAAAAAQABAD1AAAAigM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Recycled metals</w:t>
                              </w:r>
                            </w:p>
                          </w:txbxContent>
                        </v:textbox>
                      </v:rect>
                      <v:rect id="Rectangle 61" o:spid="_x0000_s1067" style="position:absolute;left:8192;top:40609;width:9273;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8MxMUA&#10;AADcAAAADwAAAGRycy9kb3ducmV2LnhtbESPQYvCMBSE74L/ITxhL6KpIiLVKMVFkBWWtQp6fDTP&#10;tti8lCar1V9vFhY8DjPzDbNYtaYSN2pcaVnBaBiBIM6sLjlXcDxsBjMQziNrrCyTggc5WC27nQXG&#10;2t55T7fU5yJA2MWooPC+jqV0WUEG3dDWxMG72MagD7LJpW7wHuCmkuMomkqDJYeFAmtaF5Rd01+j&#10;YPNIttOv9Ht33p8kJj/14en7n0p99NpkDsJT69/h//ZWKxiPJvB3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3wzExQAAANwAAAAPAAAAAAAAAAAAAAAAAJgCAABkcnMv&#10;ZG93bnJldi54bWxQSwUGAAAAAAQABAD1AAAAigM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Second hand parts market</w:t>
                              </w:r>
                            </w:p>
                          </w:txbxContent>
                        </v:textbox>
                      </v:rect>
                      <v:rect id="Rectangle 62" o:spid="_x0000_s1068" style="position:absolute;left:30;width:75184;height:3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pX8UA&#10;AADcAAAADwAAAGRycy9kb3ducmV2LnhtbESPQYvCMBSE74L/ITxhL6KpgiLVKMVFkBWWtQp6fDTP&#10;tti8lCar1V9vFhY8DjPzDbNYtaYSN2pcaVnBaBiBIM6sLjlXcDxsBjMQziNrrCyTggc5WC27nQXG&#10;2t55T7fU5yJA2MWooPC+jqV0WUEG3dDWxMG72MagD7LJpW7wHuCmkuMomkqDJYeFAmtaF5Rd01+j&#10;YPNIttOv9Ht33p8kJj/14en7n0p99NpkDsJT69/h//ZWKxiPJvB3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6lfxQAAANwAAAAPAAAAAAAAAAAAAAAAAJgCAABkcnMv&#10;ZG93bnJldi54bWxQSwUGAAAAAAQABAD1AAAAigM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6"/>
                                  <w:szCs w:val="16"/>
                                </w:rPr>
                                <w:t>Last owner (private, commercial or insurance company)</w:t>
                              </w:r>
                            </w:p>
                          </w:txbxContent>
                        </v:textbox>
                      </v:rect>
                      <v:rect id="Rectangle 63" o:spid="_x0000_s1069" style="position:absolute;top:15384;width:34257;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yjMYA&#10;AADcAAAADwAAAGRycy9kb3ducmV2LnhtbESPW2vCQBSE3wv9D8sp9K1ulGIluor2AqUgUu+Px+wx&#10;CWbPhuxR03/fLRR8HGbmG2Y0aV2lLtSE0rOBbicBRZx5W3JuYL36eBqACoJssfJMBn4owGR8fzfC&#10;1Porf9NlKbmKEA4pGihE6lTrkBXkMHR8TRy9o28cSpRNrm2D1wh3le4lSV87LDkuFFjTa0HZaXl2&#10;Bt5x4eR5/7LdVed5+7XYyNthNjfm8aGdDkEJtXIL/7c/rYFetw9/Z+IR0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ayjMYAAADcAAAADwAAAAAAAAAAAAAAAACYAgAAZHJz&#10;L2Rvd25yZXYueG1sUEsFBgAAAAAEAAQA9QAAAIsDAAAAAA==&#10;" fillcolor="#e4f9ff" strokecolor="#40a7c2 [3048]">
                        <v:fill color2="#9eeaff" rotate="t" colors="0 #e4f9ff;42598f #bbefff;1 #9eea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6"/>
                                  <w:szCs w:val="16"/>
                                </w:rPr>
                                <w:t xml:space="preserve">Dismantling </w:t>
                              </w:r>
                            </w:p>
                            <w:p w:rsidR="00C71E9C" w:rsidRDefault="00C71E9C" w:rsidP="00C71E9C">
                              <w:pPr>
                                <w:pStyle w:val="NormalWeb"/>
                                <w:spacing w:before="0" w:beforeAutospacing="0" w:after="0" w:afterAutospacing="0"/>
                                <w:jc w:val="center"/>
                              </w:pPr>
                              <w:r>
                                <w:rPr>
                                  <w:rFonts w:asciiTheme="minorHAnsi" w:hAnsi="Cambria" w:cstheme="minorBidi"/>
                                  <w:color w:val="000000"/>
                                  <w:kern w:val="24"/>
                                  <w:sz w:val="16"/>
                                  <w:szCs w:val="16"/>
                                </w:rPr>
                                <w:t>(licensed &gt;80% emissions)</w:t>
                              </w:r>
                            </w:p>
                          </w:txbxContent>
                        </v:textbox>
                      </v:rect>
                      <v:rect id="Rectangle 64" o:spid="_x0000_s1070" style="position:absolute;left:61299;top:40793;width:576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Ss8UA&#10;AADcAAAADwAAAGRycy9kb3ducmV2LnhtbESPQYvCMBSE7wv+h/CEvSya6kGlGqUogqywrFXQ46N5&#10;tsXmpTRRq79+syB4HGbmG2a2aE0lbtS40rKCQT8CQZxZXXKu4LBf9yYgnEfWWFkmBQ9ysJh3PmYY&#10;a3vnHd1Sn4sAYRejgsL7OpbSZQUZdH1bEwfvbBuDPsgml7rBe4CbSg6jaCQNlhwWCqxpWVB2Sa9G&#10;wfqRbEbf6c/2tDtKTH7r/dN/rZT67LbJFISn1r/Dr/ZGKxgOxvB/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ZKzxQAAANwAAAAPAAAAAAAAAAAAAAAAAJgCAABkcnMv&#10;ZG93bnJldi54bWxQSwUGAAAAAAQABAD1AAAAigM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Engine exported</w:t>
                              </w:r>
                            </w:p>
                          </w:txbxContent>
                        </v:textbox>
                      </v:rect>
                      <v:rect id="Rectangle 65" o:spid="_x0000_s1071" style="position:absolute;left:55757;top:21506;width:9000;height:5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GwcQA&#10;AADcAAAADwAAAGRycy9kb3ducmV2LnhtbERPTWuDQBC9F/Iflgn0UprVHKRYNyIJgdBAqVpoj4M7&#10;VYk7K+4mMfn13UOhx8f7zvLZDOJCk+stK4hXEQjixuqeWwWf9f75BYTzyBoHy6TgRg7yzeIhw1Tb&#10;K5d0qXwrQgi7FBV03o+plK7pyKBb2ZE4cD92MugDnFqpJ7yGcDPIdRQl0mDPoaHDkbYdNafqbBTs&#10;b8Uheavej9/ll8TiY6zv/mmn1ONyLl5BeJr9v/jPfdAK1nFYG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SBsHEAAAA3AAAAA8AAAAAAAAAAAAAAAAAmAIAAGRycy9k&#10;b3ducmV2LnhtbFBLBQYAAAAABAAEAPUAAACJAw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Remove engine with fork truck and place in shipping container for export</w:t>
                              </w:r>
                            </w:p>
                          </w:txbxContent>
                        </v:textbox>
                      </v:rect>
                      <v:rect id="Rectangle 66" o:spid="_x0000_s1072" style="position:absolute;left:10317;top:29022;width:23940;height:3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6jWsUA&#10;AADcAAAADwAAAGRycy9kb3ducmV2LnhtbESPQYvCMBSE7wv+h/CEvSya6kG0GqUogqywrFXQ46N5&#10;tsXmpTRRq79+syB4HGbmG2a2aE0lbtS40rKCQT8CQZxZXXKu4LBf98YgnEfWWFkmBQ9ysJh3PmYY&#10;a3vnHd1Sn4sAYRejgsL7OpbSZQUZdH1bEwfvbBuDPsgml7rBe4CbSg6jaCQNlhwWCqxpWVB2Sa9G&#10;wfqRbEbf6c/2tDtKTH7r/dN/rZT67LbJFISn1r/Dr/ZGKxgOJvB/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3qNaxQAAANwAAAAPAAAAAAAAAAAAAAAAAJgCAABkcnMv&#10;ZG93bnJldi54bWxQSwUGAAAAAAQABAD1AAAAigM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6"/>
                                  <w:szCs w:val="16"/>
                                </w:rPr>
                                <w:t>Vehicle hulk reprocessing (shredding/crushing)</w:t>
                              </w:r>
                            </w:p>
                          </w:txbxContent>
                        </v:textbox>
                      </v:rect>
                      <v:rect id="Rectangle 68" o:spid="_x0000_s1073" style="position:absolute;left:1712;top:6810;width:648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AesIA&#10;AADcAAAADwAAAGRycy9kb3ducmV2LnhtbERPTYvCMBC9C/6HMIIX0XR7EKlGKYogLixaBT0OzdgW&#10;m0lpslr3128OgsfH+16sOlOLB7WusqzgaxKBIM6trrhQcD5txzMQziNrrC2Tghc5WC37vQUm2j75&#10;SI/MFyKEsEtQQel9k0jp8pIMuoltiAN3s61BH2BbSN3iM4SbWsZRNJUGKw4NJTa0Lim/Z79GwfaV&#10;7qb77Of7erxITA/N6c+PNkoNB106B+Gp8x/x273TCuI4zA9nw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MB6wgAAANwAAAAPAAAAAAAAAAAAAAAAAJgCAABkcnMvZG93&#10;bnJldi54bWxQSwUGAAAAAAQABAD1AAAAhwM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Used car dealers</w:t>
                              </w:r>
                            </w:p>
                          </w:txbxContent>
                        </v:textbox>
                      </v:rect>
                      <v:rect id="Rectangle 69" o:spid="_x0000_s1074" style="position:absolute;left:9482;top:6810;width:648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l4cUA&#10;AADcAAAADwAAAGRycy9kb3ducmV2LnhtbESPQYvCMBSE7wv+h/AEL4um9iBLNUpRBHFh0Sro8dE8&#10;22LzUpqodX/9RljwOMzMN8xs0Zla3Kl1lWUF41EEgji3uuJCwfGwHn6BcB5ZY22ZFDzJwWLe+5hh&#10;ou2D93TPfCEChF2CCkrvm0RKl5dk0I1sQxy8i20N+iDbQuoWHwFuahlH0UQarDgslNjQsqT8mt2M&#10;gvUz3Uy22c/3eX+SmO6aw6//XCk16HfpFISnzr/D/+2NVhDHY3id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GXhxQAAANwAAAAPAAAAAAAAAAAAAAAAAJgCAABkcnMv&#10;ZG93bnJldi54bWxQSwUGAAAAAAQABAD1AAAAigM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Insurance companies</w:t>
                              </w:r>
                            </w:p>
                          </w:txbxContent>
                        </v:textbox>
                      </v:rect>
                      <v:rect id="Rectangle 70" o:spid="_x0000_s1075" style="position:absolute;left:17465;top:6810;width:648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7lsUA&#10;AADcAAAADwAAAGRycy9kb3ducmV2LnhtbESPQYvCMBSE74L/IbwFL6KpPYh0jVJWBFGQtQrr8dG8&#10;bcs2L6WJWv31ZkHwOMzMN8x82ZlaXKl1lWUFk3EEgji3uuJCwem4Hs1AOI+ssbZMCu7kYLno9+aY&#10;aHvjA10zX4gAYZeggtL7JpHS5SUZdGPbEAfv17YGfZBtIXWLtwA3tYyjaCoNVhwWSmzoq6T8L7sY&#10;Bet7uplus/3ufPiRmH43x4cfrpQafHTpJwhPnX+HX+2NVhDHMfyf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vuWxQAAANwAAAAPAAAAAAAAAAAAAAAAAJgCAABkcnMv&#10;ZG93bnJldi54bWxQSwUGAAAAAAQABAD1AAAAigM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Car repair centres</w:t>
                              </w:r>
                            </w:p>
                          </w:txbxContent>
                        </v:textbox>
                      </v:rect>
                      <v:rect id="Rectangle 71" o:spid="_x0000_s1076" style="position:absolute;left:30;top:3098;width:34227;height:45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8xcMA&#10;AADcAAAADwAAAGRycy9kb3ducmV2LnhtbESPzWrDMBCE74G+g9hCbrFcF0pwo4Q0ENJTSpO058Va&#10;/1BrJSTZcd6+KhRyHGbmG2a1mUwvRvKhs6zgKctBEFdWd9wouJz3iyWIEJE19pZJwY0CbNYPsxWW&#10;2l75k8ZTbESCcChRQRujK6UMVUsGQ2YdcfJq6w3GJH0jtcdrgpteFnn+Ig12nBZadLRrqfo5DUaB&#10;P7rv8WCOO7f96Accavn25Wql5o/T9hVEpCnew//td62gKJ7h7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F8xcMAAADcAAAADwAAAAAAAAAAAAAAAACYAgAAZHJzL2Rv&#10;d25yZXYueG1sUEsFBgAAAAAEAAQA9QAAAIgDAAAAAA==&#10;" filled="f" strokecolor="#4579b8 [3044]">
                        <v:shadow on="t" opacity="22936f" origin=",.5" offset="0,.63889mm"/>
                        <v:textbox>
                          <w:txbxContent>
                            <w:p w:rsidR="00C71E9C" w:rsidRDefault="00C71E9C" w:rsidP="00C71E9C">
                              <w:pPr>
                                <w:rPr>
                                  <w:rFonts w:eastAsia="Times New Roman" w:cs="Times New Roman"/>
                                </w:rPr>
                              </w:pPr>
                            </w:p>
                          </w:txbxContent>
                        </v:textbox>
                      </v:rect>
                      <v:rect id="Rectangle 72" o:spid="_x0000_s1077" style="position:absolute;left:45021;top:3098;width:30162;height:45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kscMA&#10;AADcAAAADwAAAGRycy9kb3ducmV2LnhtbESPzWrDMBCE74G+g9hCbrFcU0pwo4Q0ENJTSpO058Va&#10;/1BrJSTZcd6+KhRyHGbmG2a1mUwvRvKhs6zgKctBEFdWd9wouJz3iyWIEJE19pZJwY0CbNYPsxWW&#10;2l75k8ZTbESCcChRQRujK6UMVUsGQ2YdcfJq6w3GJH0jtcdrgpteFnn+Ig12nBZadLRrqfo5DUaB&#10;P7rv8WCOO7f96Accavn25Wql5o/T9hVEpCnew//td62gKJ7h7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jkscMAAADcAAAADwAAAAAAAAAAAAAAAACYAgAAZHJzL2Rv&#10;d25yZXYueG1sUEsFBgAAAAAEAAQA9QAAAIgDAAAAAA==&#10;" filled="f" strokecolor="#4579b8 [3044]">
                        <v:shadow on="t" opacity="22936f" origin=",.5" offset="0,.63889mm"/>
                        <v:textbox>
                          <w:txbxContent>
                            <w:p w:rsidR="00C71E9C" w:rsidRDefault="00C71E9C" w:rsidP="00C71E9C">
                              <w:pPr>
                                <w:rPr>
                                  <w:rFonts w:eastAsia="Times New Roman" w:cs="Times New Roman"/>
                                </w:rPr>
                              </w:pP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73" o:spid="_x0000_s1078" type="#_x0000_t69" style="position:absolute;top:12362;width:75214;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elsUA&#10;AADcAAAADwAAAGRycy9kb3ducmV2LnhtbESPQWvCQBSE7wX/w/KE3pqNgUqJriKKKHgoaun5mX0m&#10;wezbNbua2F/vFgo9DjPzDTOd96YRd2p9bVnBKElBEBdW11wq+Dqu3z5A+ICssbFMCh7kYT4bvEwx&#10;17bjPd0PoRQRwj5HBVUILpfSFxUZ9Il1xNE729ZgiLItpW6xi3DTyCxNx9JgzXGhQkfLiorL4WYU&#10;7HeL66m+fPadW7uf1Wqzzb5Lq9TrsF9MQATqw3/4r73VCrLsHX7P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J6WxQAAANwAAAAPAAAAAAAAAAAAAAAAAJgCAABkcnMv&#10;ZG93bnJldi54bWxQSwUGAAAAAAQABAD1AAAAigMAAAAA&#10;" adj="620" fillcolor="#a7bfde [1620]" strokecolor="#4579b8 [3044]">
                        <v:fill color2="#4f81bd [3204]" rotate="t" focus="100%" type="gradient">
                          <o:fill v:ext="view" type="gradientUnscaled"/>
                        </v:fill>
                        <v:shadow on="t" opacity="22936f" origin=",.5" offset="0,.63889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themeColor="text1"/>
                                  <w:kern w:val="24"/>
                                  <w:sz w:val="16"/>
                                  <w:szCs w:val="16"/>
                                </w:rPr>
                                <w:t>Two extremes undertaking auto recycling and dismantling</w:t>
                              </w:r>
                            </w:p>
                          </w:txbxContent>
                        </v:textbox>
                      </v:shape>
                      <v:rect id="Rectangle 74" o:spid="_x0000_s1079" style="position:absolute;left:25399;top:6810;width:648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39lcYA&#10;AADcAAAADwAAAGRycy9kb3ducmV2LnhtbESPQWvCQBSE70L/w/IKXqRuzCFI6iqhRRAFqYnQHh/Z&#10;1yQ0+zZkV43+ercgeBxm5htmsRpMK87Uu8aygtk0AkFcWt1wpeBYrN/mIJxH1thaJgVXcrBavowW&#10;mGp74QOdc1+JAGGXooLa+y6V0pU1GXRT2xEH79f2Bn2QfSV1j5cAN62MoyiRBhsOCzV29FFT+Zef&#10;jIL1Ndsk23y/+zl8S8y+uuLmJ59KjV+H7B2Ep8E/w4/2RiuI4wT+z4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39lcYAAADcAAAADwAAAAAAAAAAAAAAAACYAgAAZHJz&#10;L2Rvd25yZXYueG1sUEsFBgAAAAAEAAQA9QAAAIsDA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Collectors/other</w:t>
                              </w:r>
                            </w:p>
                          </w:txbxContent>
                        </v:textbox>
                      </v:rect>
                      <v:rect id="Rectangle 75" o:spid="_x0000_s1080" style="position:absolute;left:27794;top:40826;width:54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YDsYA&#10;AADcAAAADwAAAGRycy9kb3ducmV2LnhtbESPQWvCQBSE70L/w/IKXkQ3zUFLzEZCiyAKpcaCHh/Z&#10;1yQ0+zZktxr99d2C4HGYmW+YdDWYVpypd41lBS+zCARxaXXDlYKvw3r6CsJ5ZI2tZVJwJQer7GmU&#10;YqLthfd0LnwlAoRdggpq77tESlfWZNDNbEccvG/bG/RB9pXUPV4C3LQyjqK5NNhwWKixo7eayp/i&#10;1yhYX/PNfFt87E77o8T8szvc/ORdqfHzkC9BeBr8I3xvb7SCOF7A/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FYDsYAAADcAAAADwAAAAAAAAAAAAAAAACYAgAAZHJz&#10;L2Rvd25yZXYueG1sUEsFBgAAAAAEAAQA9QAAAIsDA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Landfill</w:t>
                              </w:r>
                            </w:p>
                          </w:txbxContent>
                        </v:textbox>
                      </v:rect>
                      <v:rect id="Rectangle 76" o:spid="_x0000_s1081" style="position:absolute;left:7049;top:20807;width:6325;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7MfMIA&#10;AADcAAAADwAAAGRycy9kb3ducmV2LnhtbERPTYvCMBC9C/6HMIIX0XR7EKlGKYogLixaBT0OzdgW&#10;m0lpslr3128OgsfH+16sOlOLB7WusqzgaxKBIM6trrhQcD5txzMQziNrrC2Tghc5WC37vQUm2j75&#10;SI/MFyKEsEtQQel9k0jp8pIMuoltiAN3s61BH2BbSN3iM4SbWsZRNJUGKw4NJTa0Lim/Z79GwfaV&#10;7qb77Of7erxITA/N6c+PNkoNB106B+Gp8x/x273TCuI4rA1nw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x8wgAAANwAAAAPAAAAAAAAAAAAAAAAAJgCAABkcnMvZG93&#10;bnJldi54bWxQSwUGAAAAAAQABAD1AAAAhwM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Auto parts recycling (compressors, engines, etc.)</w:t>
                              </w:r>
                            </w:p>
                          </w:txbxContent>
                        </v:textbox>
                      </v:rect>
                      <v:rect id="Rectangle 77" o:spid="_x0000_s1082" style="position:absolute;left:14473;top:20807;width:5400;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p58YA&#10;AADcAAAADwAAAGRycy9kb3ducmV2LnhtbESPQWvCQBSE70L/w/IKXkQ3zUFszEZCiyAKpcaCHh/Z&#10;1yQ0+zZktxr99d2C4HGYmW+YdDWYVpypd41lBS+zCARxaXXDlYKvw3q6AOE8ssbWMim4koNV9jRK&#10;MdH2wns6F74SAcIuQQW1910ipStrMuhmtiMO3rftDfog+0rqHi8BbloZR9FcGmw4LNTY0VtN5U/x&#10;axSsr/lmvi0+dqf9UWL+2R1ufvKu1Ph5yJcgPA3+Eb63N1pBHL/C/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Jp58YAAADcAAAADwAAAAAAAAAAAAAAAACYAgAAZHJz&#10;L2Rvd25yZXYueG1sUEsFBgAAAAAEAAQA9QAAAIsDA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Materials recycling (batteries, fluids, etc.)</w:t>
                              </w:r>
                            </w:p>
                          </w:txbxContent>
                        </v:textbox>
                      </v:rect>
                      <v:rect id="Rectangle 78" o:spid="_x0000_s1083" style="position:absolute;left:51846;top:6810;width:15875;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Wp8IA&#10;AADcAAAADwAAAGRycy9kb3ducmV2LnhtbERPTYvCMBC9C/6HMAt7kTVVQaQapSiC7IJou6DHoRnb&#10;ss2kNFmt/npzEDw+3vdi1ZlaXKl1lWUFo2EEgji3uuJCwW+2/ZqBcB5ZY22ZFNzJwWrZ7y0w1vbG&#10;R7qmvhAhhF2MCkrvm1hKl5dk0A1tQxy4i20N+gDbQuoWbyHc1HIcRVNpsOLQUGJD65Lyv/TfKNje&#10;k930O93/nI8nicmhyR5+sFHq86NL5iA8df4tfrl3WsF4EuaH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VanwgAAANwAAAAPAAAAAAAAAAAAAAAAAJgCAABkcnMvZG93&#10;bnJldi54bWxQSwUGAAAAAAQABAD1AAAAhwM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Acquire vehicles via conventional and criminal channels</w:t>
                              </w:r>
                            </w:p>
                          </w:txbxContent>
                        </v:textbox>
                      </v:rect>
                      <v:rect id="Rectangle 63" o:spid="_x0000_s1084" style="position:absolute;left:21180;top:20807;width:5400;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3zPMUA&#10;AADcAAAADwAAAGRycy9kb3ducmV2LnhtbESPQYvCMBSE74L/ITxhL6KpCiLVKMVFkBWWtQp6fDTP&#10;tti8lCar1V9vFhY8DjPzDbNYtaYSN2pcaVnBaBiBIM6sLjlXcDxsBjMQziNrrCyTggc5WC27nQXG&#10;2t55T7fU5yJA2MWooPC+jqV0WUEG3dDWxMG72MagD7LJpW7wHuCmkuMomkqDJYeFAmtaF5Rd01+j&#10;YPNIttOv9Ht33p8kJj/14en7n0p99NpkDsJT69/h//ZWKxhPRvB3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fM8xQAAANwAAAAPAAAAAAAAAAAAAAAAAJgCAABkcnMv&#10;ZG93bnJldi54bWxQSwUGAAAAAAQABAD1AAAAigM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Rest of vehicle</w:t>
                              </w:r>
                            </w:p>
                          </w:txbxContent>
                        </v:textbox>
                      </v:rect>
                      <v:rect id="Rectangle 80" o:spid="_x0000_s1085" style="position:absolute;left:27977;top:20807;width:5400;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tS8YA&#10;AADcAAAADwAAAGRycy9kb3ducmV2LnhtbESPQWvCQBSE70L/w/IKXkQ3jSAlZiOhRRCFUmNBj4/s&#10;axKafRuyW43+erdQ8DjMzDdMuhpMK87Uu8aygpdZBIK4tLrhSsHXYT19BeE8ssbWMim4koNV9jRK&#10;MdH2wns6F74SAcIuQQW1910ipStrMuhmtiMO3rftDfog+0rqHi8BbloZR9FCGmw4LNTY0VtN5U/x&#10;axSsr/lmsS0+dqf9UWL+2R1ufvKu1Ph5yJcgPA3+Ef5vb7SCeB7D35l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9tS8YAAADcAAAADwAAAAAAAAAAAAAAAACYAgAAZHJz&#10;L2Rvd25yZXYueG1sUEsFBgAAAAAEAAQA9QAAAIsDA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Rest of vehicle</w:t>
                              </w:r>
                            </w:p>
                          </w:txbxContent>
                        </v:textbox>
                      </v:rect>
                      <v:rect id="Rectangle 81" o:spid="_x0000_s1086" style="position:absolute;left:722;top:20807;width:5400;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I0McA&#10;AADcAAAADwAAAGRycy9kb3ducmV2LnhtbESPQWvCQBSE74L/YXmFXkQ3NSAldROCRZAWpEZBj4/s&#10;axKafRuyW03667tCocdhZr5h1tlgWnGl3jWWFTwtIhDEpdUNVwpOx+38GYTzyBpby6RgJAdZOp2s&#10;MdH2xge6Fr4SAcIuQQW1910ipStrMugWtiMO3qftDfog+0rqHm8Bblq5jKKVNNhwWKixo01N5Vfx&#10;bRRsx3y3eiv275fDWWL+0R1//OxVqceHIX8B4Wnw/+G/9k4rWMYx3M+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DyNDHAAAA3AAAAA8AAAAAAAAAAAAAAAAAmAIAAGRy&#10;cy9kb3ducmV2LnhtbFBLBQYAAAAABAAEAPUAAACMAw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Refrigerant collection</w:t>
                              </w:r>
                            </w:p>
                          </w:txbxContent>
                        </v:textbox>
                      </v:rect>
                      <v:rect id="Rectangle 66" o:spid="_x0000_s1087" style="position:absolute;left:10302;top:34369;width:648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pQpMYA&#10;AADcAAAADwAAAGRycy9kb3ducmV2LnhtbESPQWvCQBSE74L/YXmCF9GNWkRSVwmKIC0UjYI9PrLP&#10;JJh9G7Jbjf76bqHgcZiZb5jFqjWVuFHjSssKxqMIBHFmdcm5gtNxO5yDcB5ZY2WZFDzIwWrZ7Sww&#10;1vbOB7qlPhcBwi5GBYX3dSylywoy6Ea2Jg7exTYGfZBNLnWD9wA3lZxE0UwaLDksFFjTuqDsmv4Y&#10;BdtHspt9pF+f34ezxGRfH59+sFGq32uTdxCeWv8K/7d3WsFk+gZ/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pQpMYAAADcAAAADwAAAAAAAAAAAAAAAACYAgAAZHJz&#10;L2Rvd25yZXYueG1sUEsFBgAAAAAEAAQA9QAAAIsDA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Non-ferrous metals</w:t>
                              </w:r>
                            </w:p>
                          </w:txbxContent>
                        </v:textbox>
                      </v:rect>
                      <v:rect id="Rectangle 83" o:spid="_x0000_s1088" style="position:absolute;left:19116;top:34369;width:648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1P8YA&#10;AADcAAAADwAAAGRycy9kb3ducmV2LnhtbESPQWvCQBSE74L/YXmCF9GNSkVSVwmKIC0UjYI9PrLP&#10;JJh9G7Jbjf76bqHgcZiZb5jFqjWVuFHjSssKxqMIBHFmdcm5gtNxO5yDcB5ZY2WZFDzIwWrZ7Sww&#10;1vbOB7qlPhcBwi5GBYX3dSylywoy6Ea2Jg7exTYGfZBNLnWD9wA3lZxE0UwaLDksFFjTuqDsmv4Y&#10;BdtHspt9pF+f34ezxGRfH59+sFGq32uTdxCeWv8K/7d3WsFk+gZ/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b1P8YAAADcAAAADwAAAAAAAAAAAAAAAACYAgAAZHJz&#10;L2Rvd25yZXYueG1sUEsFBgAAAAAEAAQA9QAAAIsDA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Ferrous metals</w:t>
                              </w:r>
                            </w:p>
                          </w:txbxContent>
                        </v:textbox>
                      </v:rect>
                      <v:rect id="Rectangle 84" o:spid="_x0000_s1089" style="position:absolute;left:27362;top:34369;width:648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rSMUA&#10;AADcAAAADwAAAGRycy9kb3ducmV2LnhtbESPQWvCQBSE74L/YXmCF6kbFUKJrhJaBFGQGgv1+Mi+&#10;JqHZtyG7avTXu0LB4zAz3zCLVWdqcaHWVZYVTMYRCOLc6ooLBd/H9ds7COeRNdaWScGNHKyW/d4C&#10;E22vfKBL5gsRIOwSVFB63yRSurwkg25sG+Lg/drWoA+yLaRu8RrgppbTKIqlwYrDQokNfZSU/2Vn&#10;o2B9SzfxNtvvTocfielXc7z70adSw0GXzkF46vwr/N/eaAXTWQz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9GtIxQAAANwAAAAPAAAAAAAAAAAAAAAAAJgCAABkcnMv&#10;ZG93bnJldi54bWxQSwUGAAAAAAQABAD1AAAAigM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Shredder residue</w:t>
                              </w:r>
                            </w:p>
                          </w:txbxContent>
                        </v:textbox>
                      </v:rect>
                      <v:rect id="Rectangle 85" o:spid="_x0000_s1090" style="position:absolute;left:55757;top:29266;width:90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O08YA&#10;AADcAAAADwAAAGRycy9kb3ducmV2LnhtbESPQWvCQBSE70L/w/IEL6IbFWxJXSVUBFGQGgU9PrKv&#10;STD7NmRXjf76bkHocZiZb5jZojWVuFHjSssKRsMIBHFmdcm5guNhNfgA4TyyxsoyKXiQg8X8rTPD&#10;WNs77+mW+lwECLsYFRTe17GULivIoBvamjh4P7Yx6INscqkbvAe4qeQ4iqbSYMlhocCavgrKLunV&#10;KFg9kvV0k+625/1JYvJdH56+v1Sq122TTxCeWv8ffrXXWsF48g5/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jO08YAAADcAAAADwAAAAAAAAAAAAAAAACYAgAAZHJz&#10;L2Rvd25yZXYueG1sUEsFBgAAAAAEAAQA9QAAAIsDA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Remove non-crushable items</w:t>
                              </w:r>
                            </w:p>
                          </w:txbxContent>
                        </v:textbox>
                      </v:rect>
                      <v:rect id="Rectangle 86" o:spid="_x0000_s1091" style="position:absolute;left:68883;top:40793;width:576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aocIA&#10;AADcAAAADwAAAGRycy9kb3ducmV2LnhtbERPTYvCMBC9C/6HMAt7kTVVQaQapSiC7IJou6DHoRnb&#10;ss2kNFmt/npzEDw+3vdi1ZlaXKl1lWUFo2EEgji3uuJCwW+2/ZqBcB5ZY22ZFNzJwWrZ7y0w1vbG&#10;R7qmvhAhhF2MCkrvm1hKl5dk0A1tQxy4i20N+gDbQuoWbyHc1HIcRVNpsOLQUGJD65Lyv/TfKNje&#10;k930O93/nI8nicmhyR5+sFHq86NL5iA8df4tfrl3WsF4EtaG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1qhwgAAANwAAAAPAAAAAAAAAAAAAAAAAJgCAABkcnMvZG93&#10;bnJldi54bWxQSwUGAAAAAAQABAD1AAAAhwM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Illegal dumping</w:t>
                              </w:r>
                            </w:p>
                          </w:txbxContent>
                        </v:textbox>
                      </v:rect>
                      <v:rect id="Rectangle 87" o:spid="_x0000_s1092" style="position:absolute;left:45868;top:40793;width:576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OsYA&#10;AADcAAAADwAAAGRycy9kb3ducmV2LnhtbESPQWvCQBSE70L/w/IEL6IbFaRNXSVUBFGQGgU9PrKv&#10;STD7NmRXjf76bkHocZiZb5jZojWVuFHjSssKRsMIBHFmdcm5guNhNXgH4TyyxsoyKXiQg8X8rTPD&#10;WNs77+mW+lwECLsYFRTe17GULivIoBvamjh4P7Yx6INscqkbvAe4qeQ4iqbSYMlhocCavgrKLunV&#10;KFg9kvV0k+625/1JYvJdH56+v1Sq122TTxCeWv8ffrXXWsF48gF/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v/OsYAAADcAAAADwAAAAAAAAAAAAAAAACYAgAAZHJz&#10;L2Rvd25yZXYueG1sUEsFBgAAAAAEAAQA9QAAAIsDA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Landfill</w:t>
                              </w:r>
                            </w:p>
                          </w:txbxContent>
                        </v:textbox>
                      </v:rect>
                      <v:rect id="Rectangle 88" o:spid="_x0000_s1093" style="position:absolute;left:55757;top:35219;width:90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l2sIA&#10;AADcAAAADwAAAGRycy9kb3ducmV2LnhtbERPTYvCMBC9C/6HMAt7kTVVRKQapSiC7IJou6DHoRnb&#10;ss2kNFmt/npzEDw+3vdi1ZlaXKl1lWUFo2EEgji3uuJCwW+2/ZqBcB5ZY22ZFNzJwWrZ7y0w1vbG&#10;R7qmvhAhhF2MCkrvm1hKl5dk0A1tQxy4i20N+gDbQuoWbyHc1HIcRVNpsOLQUGJD65Lyv/TfKNje&#10;k930O93/nI8nicmhyR5+sFHq86NL5iA8df4tfrl3WsF4EuaH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VyXawgAAANwAAAAPAAAAAAAAAAAAAAAAAJgCAABkcnMvZG93&#10;bnJldi54bWxQSwUGAAAAAAQABAD1AAAAhwM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Crush body</w:t>
                              </w:r>
                            </w:p>
                          </w:txbxContent>
                        </v:textbox>
                      </v:rect>
                      <v:rect id="Rectangle 89" o:spid="_x0000_s1094" style="position:absolute;left:54060;top:40856;width:576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AQcUA&#10;AADcAAAADwAAAGRycy9kb3ducmV2LnhtbESPQYvCMBSE74L/ITxhL6KpIiLVKMVFkBWWtQp6fDTP&#10;tti8lCar1V9vFhY8DjPzDbNYtaYSN2pcaVnBaBiBIM6sLjlXcDxsBjMQziNrrCyTggc5WC27nQXG&#10;2t55T7fU5yJA2MWooPC+jqV0WUEG3dDWxMG72MagD7LJpW7wHuCmkuMomkqDJYeFAmtaF5Rd01+j&#10;YPNIttOv9Ht33p8kJj/14en7n0p99NpkDsJT69/h//ZWKxhPRvB3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4BBxQAAANwAAAAPAAAAAAAAAAAAAAAAAJgCAABkcnMv&#10;ZG93bnJldi54bWxQSwUGAAAAAAQABAD1AAAAigM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Sell scrap</w:t>
                              </w:r>
                            </w:p>
                          </w:txbxContent>
                        </v:textbox>
                      </v:rect>
                      <v:rect id="Rectangle 90" o:spid="_x0000_s1095" style="position:absolute;left:666;top:40519;width:6383;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eNsYA&#10;AADcAAAADwAAAGRycy9kb3ducmV2LnhtbESPQWvCQBSE70L/w/IKXkQ3DSIlZiOhRRCFUmNBj4/s&#10;axKafRuyW43+erdQ8DjMzDdMuhpMK87Uu8aygpdZBIK4tLrhSsHXYT19BeE8ssbWMim4koNV9jRK&#10;MdH2wns6F74SAcIuQQW1910ipStrMuhmtiMO3rftDfog+0rqHi8BbloZR9FCGmw4LNTY0VtN5U/x&#10;axSsr/lmsS0+dqf9UWL+2R1ufvKu1Ph5yJcgPA3+Ef5vb7SCeB7D35l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keNsYAAADcAAAADwAAAAAAAAAAAAAAAACYAgAAZHJz&#10;L2Rvd25yZXYueG1sUEsFBgAAAAAEAAQA9QAAAIsDAAAAAA==&#10;" fillcolor="#e5eeff" strokecolor="#4579b8 [3044]">
                        <v:fill color2="#a3c4ff" rotate="t" colors="0 #e5eeff;42598f #bfd5ff;1 #a3c4ff" focus="100%" type="gradient"/>
                        <v:shadow on="t" opacity="24903f" origin=",.5" offset="0,.55556mm"/>
                        <v:textbox>
                          <w:txbxContent>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 xml:space="preserve">Refrigerant reuse/   </w:t>
                              </w:r>
                            </w:p>
                            <w:p w:rsidR="00C71E9C" w:rsidRDefault="00C71E9C" w:rsidP="00C71E9C">
                              <w:pPr>
                                <w:pStyle w:val="NormalWeb"/>
                                <w:spacing w:before="0" w:beforeAutospacing="0" w:after="0" w:afterAutospacing="0"/>
                                <w:jc w:val="center"/>
                              </w:pPr>
                              <w:r>
                                <w:rPr>
                                  <w:rFonts w:asciiTheme="minorHAnsi" w:hAnsi="Cambria" w:cstheme="minorBidi"/>
                                  <w:color w:val="000000"/>
                                  <w:kern w:val="24"/>
                                  <w:sz w:val="12"/>
                                  <w:szCs w:val="12"/>
                                </w:rPr>
                                <w:t>destruction</w:t>
                              </w:r>
                            </w:p>
                          </w:txbxContent>
                        </v:textbox>
                      </v:rect>
                      <w10:anchorlock/>
                    </v:group>
                  </w:pict>
                </mc:Fallback>
              </mc:AlternateContent>
            </w:r>
          </w:p>
          <w:p w:rsidR="00C71E9C" w:rsidRPr="00F85DFD" w:rsidRDefault="00C71E9C" w:rsidP="000F62D9">
            <w:pPr>
              <w:spacing w:before="60" w:after="60"/>
              <w:jc w:val="center"/>
              <w:outlineLvl w:val="0"/>
              <w:rPr>
                <w:sz w:val="16"/>
                <w:szCs w:val="16"/>
              </w:rPr>
            </w:pPr>
          </w:p>
        </w:tc>
      </w:tr>
    </w:tbl>
    <w:p w:rsidR="00CF3C11" w:rsidRPr="003C63AC" w:rsidRDefault="00CF3C11" w:rsidP="00CF3C11">
      <w:pPr>
        <w:rPr>
          <w:lang w:val="en-US"/>
        </w:rPr>
      </w:pPr>
    </w:p>
    <w:p w:rsidR="00C71E9C" w:rsidRDefault="00C71E9C">
      <w:pPr>
        <w:spacing w:before="0"/>
        <w:jc w:val="left"/>
        <w:sectPr w:rsidR="00C71E9C" w:rsidSect="00C71E9C">
          <w:headerReference w:type="default" r:id="rId25"/>
          <w:footerReference w:type="default" r:id="rId26"/>
          <w:pgSz w:w="16820" w:h="11900" w:orient="landscape"/>
          <w:pgMar w:top="1134" w:right="1440" w:bottom="1134" w:left="1440" w:header="709" w:footer="709" w:gutter="0"/>
          <w:cols w:space="708"/>
          <w:docGrid w:linePitch="360"/>
        </w:sectPr>
      </w:pPr>
    </w:p>
    <w:p w:rsidR="00766A86" w:rsidRPr="003C63AC" w:rsidRDefault="007B54C3" w:rsidP="00045E31">
      <w:pPr>
        <w:pStyle w:val="Heading2"/>
        <w:ind w:left="567" w:hanging="567"/>
      </w:pPr>
      <w:bookmarkStart w:id="20" w:name="_Toc430778980"/>
      <w:r w:rsidRPr="003C63AC">
        <w:lastRenderedPageBreak/>
        <w:t xml:space="preserve">Market Intermediaries </w:t>
      </w:r>
      <w:r w:rsidR="00ED6190" w:rsidRPr="003C63AC">
        <w:t xml:space="preserve">for </w:t>
      </w:r>
      <w:r w:rsidR="00766A86" w:rsidRPr="003C63AC">
        <w:t>ELVs</w:t>
      </w:r>
      <w:bookmarkEnd w:id="20"/>
    </w:p>
    <w:p w:rsidR="00246786" w:rsidRPr="00AD4F11" w:rsidRDefault="00246786" w:rsidP="00246786">
      <w:r w:rsidRPr="003C63AC">
        <w:t>Before ELVs reach a car wreckers</w:t>
      </w:r>
      <w:r w:rsidR="00987D93">
        <w:t>’</w:t>
      </w:r>
      <w:r w:rsidRPr="003C63AC">
        <w:t xml:space="preserve"> yard and the parts and commodities recovered are processed for recycling or waste, they are handled by, or become the property of, a range of market intermediaries including tow truck drivers, insurance companies and their preferred car repairers and car dealers.</w:t>
      </w:r>
    </w:p>
    <w:p w:rsidR="00246786" w:rsidRPr="004F1732" w:rsidRDefault="00246786" w:rsidP="00246786">
      <w:r w:rsidRPr="005728F4">
        <w:t>Based on the analysis of ELV feedstocks it is likely that the largest source</w:t>
      </w:r>
      <w:r w:rsidR="000A2F4D">
        <w:t>s</w:t>
      </w:r>
      <w:r w:rsidRPr="005728F4">
        <w:t xml:space="preserve"> of operational ELVs for the </w:t>
      </w:r>
      <w:r w:rsidR="006B7262" w:rsidRPr="000F5EF8">
        <w:t>auto-part</w:t>
      </w:r>
      <w:r w:rsidRPr="004F1732">
        <w:t xml:space="preserve">s industry </w:t>
      </w:r>
      <w:r w:rsidR="000A2F4D">
        <w:t>are</w:t>
      </w:r>
      <w:r w:rsidRPr="004F1732">
        <w:t xml:space="preserve"> private owners and the car dealership market itself. </w:t>
      </w:r>
    </w:p>
    <w:p w:rsidR="00246786" w:rsidRPr="00920E28" w:rsidRDefault="0077557B" w:rsidP="00246786">
      <w:r>
        <w:t>It is widely known that</w:t>
      </w:r>
      <w:r w:rsidR="00246786" w:rsidRPr="00AD02ED">
        <w:t xml:space="preserve"> car yards will offer to take almost anything on wheels as a trade in to secure a sale. Experienced new and second-hand car dealers would be able to quickly determine the economic prospects for a car accepted as a trade-in. Many car yards ha</w:t>
      </w:r>
      <w:r w:rsidR="00246786" w:rsidRPr="00D357AA">
        <w:t>ve long term relationships with car parts dealers to whom they sell low value trade-ins directly. For vehicles that for various reasons have a chance of achieving a better price in a wider market, a car dealer might choose to consign the vehicle to auction</w:t>
      </w:r>
      <w:r w:rsidR="00246786" w:rsidRPr="00920E28">
        <w:t>.</w:t>
      </w:r>
    </w:p>
    <w:p w:rsidR="00246786" w:rsidRPr="003C63AC" w:rsidRDefault="00246786" w:rsidP="00246786">
      <w:r w:rsidRPr="003C63AC">
        <w:t>However, largely as a result of the strong Australian dollar since 2010 making new car imports relatively cheap, new car sales and second hand car volumes have climbed and second hand car prices have been very soft. Auto wre</w:t>
      </w:r>
      <w:r w:rsidR="000A2F4D">
        <w:t>c</w:t>
      </w:r>
      <w:r w:rsidRPr="003C63AC">
        <w:t>kers explain that more of the older vehicles previously accepted by motor dealers as trade-ins are now sent direct to wre</w:t>
      </w:r>
      <w:r w:rsidR="008477D9">
        <w:t>c</w:t>
      </w:r>
      <w:r w:rsidRPr="003C63AC">
        <w:t>kers for dismantling rather than to auction houses. The auction prices have fallen to the point where auction fees plus transport make that route for sale of ELVs less economic.</w:t>
      </w:r>
    </w:p>
    <w:p w:rsidR="00246786" w:rsidRPr="003C63AC" w:rsidRDefault="00246786" w:rsidP="00246786">
      <w:r w:rsidRPr="003C63AC">
        <w:t>Some private owners, either unhappy with what they might get offered in a trade in or, as has happened increasingly in recent years as second hand car values have fallen, where a trade in was not offered when buying a new car, may consign cars to auction houses for sale. However</w:t>
      </w:r>
      <w:r w:rsidR="000A2F4D">
        <w:t>,</w:t>
      </w:r>
      <w:r w:rsidRPr="003C63AC">
        <w:t xml:space="preserve"> the majority of cars that become ELVs, based on the available data and industry information, appear to go directly from private owners to car wreckers.</w:t>
      </w:r>
    </w:p>
    <w:p w:rsidR="00246786" w:rsidRPr="003C63AC" w:rsidRDefault="00246786" w:rsidP="00246786">
      <w:r w:rsidRPr="003C63AC">
        <w:t>Private owners, property owners left with abandoned vehicles, local governments and even insurance companies all have the option of also soliciting offers from the numerous ‘</w:t>
      </w:r>
      <w:r w:rsidR="009F3AEC">
        <w:t>c</w:t>
      </w:r>
      <w:r w:rsidRPr="003C63AC">
        <w:t xml:space="preserve">ash for </w:t>
      </w:r>
      <w:r w:rsidR="009F3AEC">
        <w:t>c</w:t>
      </w:r>
      <w:r w:rsidRPr="003C63AC">
        <w:t>ars’ types of businesses that operate around Australia. These businesses are the living proof of the economic value of ELVs. A quick internet search using the terms ‘cash for cars’ and any major city or regional centre in Australia generates hundreds of results of buyers offering to pay cash for cars in any condition. These ‘cash for cars’ businesses are generally the marketing front of a wrecking yard, or associated with a tow truck operator</w:t>
      </w:r>
      <w:r w:rsidR="009F3AEC">
        <w:t>,</w:t>
      </w:r>
      <w:r w:rsidRPr="003C63AC">
        <w:t xml:space="preserve"> or both. </w:t>
      </w:r>
    </w:p>
    <w:p w:rsidR="00246786" w:rsidRPr="003C63AC" w:rsidRDefault="00246786" w:rsidP="00246786">
      <w:r w:rsidRPr="003C63AC">
        <w:t>Insurance companies who have taken possession of a car that they have declared a write-off would have the option of either sending higher value cars to auction, or sending them directly to salvage yards as a direct sale.</w:t>
      </w:r>
      <w:r w:rsidR="0077557B">
        <w:t xml:space="preserve"> Interestingly, a</w:t>
      </w:r>
      <w:r w:rsidRPr="003C63AC">
        <w:t>s a result of the strong Australian dollar</w:t>
      </w:r>
      <w:r w:rsidR="0077557B">
        <w:t>,</w:t>
      </w:r>
      <w:r w:rsidRPr="003C63AC">
        <w:t xml:space="preserve"> cheap new car imports and relatively high Australian labour costs, </w:t>
      </w:r>
      <w:r w:rsidR="002C7513">
        <w:t xml:space="preserve">damaged vehicles </w:t>
      </w:r>
      <w:r w:rsidR="00987A00">
        <w:t xml:space="preserve">are becoming increasingly </w:t>
      </w:r>
      <w:r w:rsidR="002C7513">
        <w:t>cheaper to replace</w:t>
      </w:r>
      <w:r w:rsidR="0077557B">
        <w:t xml:space="preserve"> than repair</w:t>
      </w:r>
      <w:r w:rsidR="00987A00">
        <w:t xml:space="preserve">. It is possible that, for this reason, </w:t>
      </w:r>
      <w:r w:rsidRPr="003C63AC">
        <w:t>insurance assessors</w:t>
      </w:r>
      <w:r w:rsidR="00987A00">
        <w:t xml:space="preserve"> in recent years</w:t>
      </w:r>
      <w:r w:rsidRPr="003C63AC">
        <w:t xml:space="preserve"> have been writing off more cars </w:t>
      </w:r>
      <w:r w:rsidR="00987A00">
        <w:t>than prior to the</w:t>
      </w:r>
      <w:r w:rsidR="006C556B">
        <w:t xml:space="preserve"> existence of these conditions</w:t>
      </w:r>
      <w:r w:rsidRPr="003C63AC">
        <w:t>.</w:t>
      </w:r>
    </w:p>
    <w:p w:rsidR="00246786" w:rsidRPr="003C63AC" w:rsidRDefault="00246786" w:rsidP="00246786">
      <w:r w:rsidRPr="003C63AC">
        <w:t>Auto repair companies, who have relationships with insurers as ‘approved repairers’, will often house a damaged vehicle while the insurance assessment process is undertaken. Once a vehicle is deemed a write-off the repairers may have some role in selecting the tow truck service to take the vehicle away, although it is more often the case that the insurer will contract removal to an approved tow truck operator, and direct the final destination of the vehicle.</w:t>
      </w:r>
    </w:p>
    <w:p w:rsidR="00246786" w:rsidRPr="003C63AC" w:rsidRDefault="00246786" w:rsidP="00246786">
      <w:r w:rsidRPr="003C63AC">
        <w:t xml:space="preserve">Local governments, as operators of public housing, car parks, waste management sites and landfill, and public lands, also end up taking ownership of broken down, abandoned and unregistered cars as a result of their municipal responsibilities. Local governments would </w:t>
      </w:r>
      <w:r w:rsidR="000A2F4D">
        <w:t>likely</w:t>
      </w:r>
      <w:r w:rsidRPr="003C63AC">
        <w:t xml:space="preserve"> send most ELVs they take possession of direct to wreckers or in some cases direct to metal recyclers.</w:t>
      </w:r>
    </w:p>
    <w:p w:rsidR="00246786" w:rsidRPr="003C63AC" w:rsidRDefault="00246786" w:rsidP="00246786">
      <w:r w:rsidRPr="003C63AC">
        <w:t xml:space="preserve">Finally, tow truck drivers are paid by private vehicle owners, property owners, local governments, police agencies, insurers, auto repairers, and finance companies to collect and dispose of SWOs and inoperable damaged ELVs. Tow truck drivers have relationships with auto wreckers, often just as a result of geographical proximity – tow trucks, as with all transport, tend to optimise returns by transporting goods the least possible distance to complete a transaction. </w:t>
      </w:r>
    </w:p>
    <w:p w:rsidR="00246786" w:rsidRPr="003C63AC" w:rsidRDefault="00246786" w:rsidP="00246786">
      <w:r w:rsidRPr="003C63AC">
        <w:lastRenderedPageBreak/>
        <w:t xml:space="preserve">Ultimately, whether first passing through an auction house or going direct, the vast majority of ELVs pass through an </w:t>
      </w:r>
      <w:r w:rsidR="006B7262" w:rsidRPr="003C63AC">
        <w:t>auto-part</w:t>
      </w:r>
      <w:r w:rsidRPr="003C63AC">
        <w:t xml:space="preserve">s recycling business </w:t>
      </w:r>
      <w:r w:rsidR="000B5E63" w:rsidRPr="003C63AC">
        <w:t xml:space="preserve">to be </w:t>
      </w:r>
      <w:r w:rsidRPr="003C63AC">
        <w:t xml:space="preserve">stripped down </w:t>
      </w:r>
      <w:r w:rsidR="000B5E63" w:rsidRPr="003C63AC">
        <w:t xml:space="preserve">and the </w:t>
      </w:r>
      <w:r w:rsidRPr="003C63AC">
        <w:t>chassis and any engine blocks beyond repair are sold to a ferrous metal recycler.</w:t>
      </w:r>
    </w:p>
    <w:p w:rsidR="0002412B" w:rsidRPr="003C63AC" w:rsidRDefault="0002412B" w:rsidP="00766A86"/>
    <w:p w:rsidR="00766A86" w:rsidRPr="003C63AC" w:rsidRDefault="00BB7944" w:rsidP="0002412B">
      <w:pPr>
        <w:pStyle w:val="Heading2"/>
        <w:ind w:left="567" w:hanging="567"/>
      </w:pPr>
      <w:bookmarkStart w:id="21" w:name="_Toc430778981"/>
      <w:r w:rsidRPr="003C63AC">
        <w:t xml:space="preserve">Economic </w:t>
      </w:r>
      <w:r w:rsidR="00EB07C7" w:rsidRPr="003C63AC">
        <w:t xml:space="preserve">Utilisation </w:t>
      </w:r>
      <w:r w:rsidR="00766A86" w:rsidRPr="003C63AC">
        <w:t>of ELVs</w:t>
      </w:r>
      <w:bookmarkEnd w:id="21"/>
    </w:p>
    <w:p w:rsidR="00BB7944" w:rsidRPr="005728F4" w:rsidRDefault="00BB7944" w:rsidP="00BB7944">
      <w:r w:rsidRPr="003C63AC">
        <w:t>To understand the value of remnant refrigerant gas in ELVs, and thus any economic incentive that the parties who process ELVs may or may not have to recover it, the value of other goods and mater</w:t>
      </w:r>
      <w:r w:rsidRPr="00AD4F11">
        <w:t>ials recovered from ELVs must be understood</w:t>
      </w:r>
      <w:r w:rsidR="00D7392E">
        <w:t>. T</w:t>
      </w:r>
      <w:r w:rsidRPr="00AD4F11">
        <w:t>he value of the industry as a whole</w:t>
      </w:r>
      <w:r w:rsidR="00D7392E">
        <w:t xml:space="preserve"> is also an important consideration</w:t>
      </w:r>
      <w:r w:rsidRPr="00AD4F11">
        <w:t>.</w:t>
      </w:r>
    </w:p>
    <w:p w:rsidR="00BB7944" w:rsidRPr="00AD02ED" w:rsidRDefault="00BB7944" w:rsidP="00BB7944">
      <w:r w:rsidRPr="000F5EF8">
        <w:t>The virtual absence of broken down and abandoned cars reflects the effective utilisation of E</w:t>
      </w:r>
      <w:r w:rsidRPr="004F1732">
        <w:t>LVs and their economic value. At the very least an ELV is worth cash for its scrap metal value. An entire car, complete with engine and all components is worth at least $480 per tonne</w:t>
      </w:r>
      <w:r w:rsidR="00D02144">
        <w:t xml:space="preserve"> according to industry informants</w:t>
      </w:r>
      <w:r w:rsidRPr="004F1732">
        <w:t>. The chassis alone after having the engine, wheels, tyres, non-ferrous metals and any useful components, including the MAC compressor removed, is worth approximately $200 at time of writing this report. The chassis only value to metal recyclers of all 2013 ELVs would involve purchases worth more than</w:t>
      </w:r>
      <w:r w:rsidRPr="00AD02ED">
        <w:t xml:space="preserve"> $126 million by the large firms who can crush car bodies. </w:t>
      </w:r>
    </w:p>
    <w:p w:rsidR="00BB7944" w:rsidRPr="003C63AC" w:rsidRDefault="00BB7944" w:rsidP="00BB7944">
      <w:r w:rsidRPr="00D357AA">
        <w:t xml:space="preserve">However, the larger part of the economic activity built on the processing of ELVs is in the </w:t>
      </w:r>
      <w:r w:rsidR="006B7262" w:rsidRPr="00920E28">
        <w:t>auto-part</w:t>
      </w:r>
      <w:r w:rsidRPr="00920E28">
        <w:t xml:space="preserve">s recycling industry. An </w:t>
      </w:r>
      <w:r w:rsidR="006B7262" w:rsidRPr="003C63AC">
        <w:t>auto-part</w:t>
      </w:r>
      <w:r w:rsidRPr="003C63AC">
        <w:t xml:space="preserve">s recycler may pay a private owner between $200 and $300 for a retired car and may pay for the cost of the tow to pick it up if it is broken down or un-roadworthy. Using an average cost of $250 per unit this would value the stock of ELVs that retire into the hands of this industry at something in the vicinity of $170 million dollars in 2013. This is a quite plausible sum when seen in the context of the IBISWorld estimate of the industry being worth $2 billion in </w:t>
      </w:r>
      <w:r w:rsidRPr="003C63AC">
        <w:rPr>
          <w:szCs w:val="22"/>
        </w:rPr>
        <w:t>total per annum</w:t>
      </w:r>
      <w:r w:rsidR="002D2E77" w:rsidRPr="003C63AC">
        <w:rPr>
          <w:szCs w:val="22"/>
        </w:rPr>
        <w:t xml:space="preserve"> (IBIS 2014)</w:t>
      </w:r>
      <w:r w:rsidRPr="003C63AC">
        <w:t>.</w:t>
      </w:r>
    </w:p>
    <w:p w:rsidR="0002412B" w:rsidRPr="003C63AC" w:rsidRDefault="0002412B" w:rsidP="00766A86"/>
    <w:p w:rsidR="00A154FE" w:rsidRPr="003C63AC" w:rsidRDefault="006B7262" w:rsidP="00A154FE">
      <w:pPr>
        <w:pStyle w:val="Heading3"/>
      </w:pPr>
      <w:bookmarkStart w:id="22" w:name="_Toc430778982"/>
      <w:r w:rsidRPr="003C63AC">
        <w:t>Auto-part</w:t>
      </w:r>
      <w:r w:rsidR="00961646" w:rsidRPr="003C63AC">
        <w:t>s Recycling</w:t>
      </w:r>
      <w:bookmarkEnd w:id="22"/>
    </w:p>
    <w:p w:rsidR="00CF4398" w:rsidRPr="005728F4" w:rsidRDefault="00CF4398" w:rsidP="00CF4398">
      <w:r w:rsidRPr="003C63AC">
        <w:t>ELVs are the primary supply of materials and product for the second hand car parts industry, or ‘car wreckers’ as they are commonly known. The second hand car parts ind</w:t>
      </w:r>
      <w:r w:rsidRPr="00AD4F11">
        <w:t>ustry is, in turn, a relatively small but important participant in the automotive repairs and maintenance industry, and serves important market functions including facilitating the affordable maintenance of many older vehicles, and providing competition th</w:t>
      </w:r>
      <w:r w:rsidRPr="005728F4">
        <w:t>at keeps the price of new car parts down.</w:t>
      </w:r>
    </w:p>
    <w:p w:rsidR="00CF4398" w:rsidRPr="00AD02ED" w:rsidRDefault="00CF4398" w:rsidP="00CF4398">
      <w:r w:rsidRPr="000F5EF8">
        <w:t xml:space="preserve">The ‘car wrecker’, or </w:t>
      </w:r>
      <w:r w:rsidR="006B7262" w:rsidRPr="004F1732">
        <w:t>auto-part</w:t>
      </w:r>
      <w:r w:rsidRPr="004F1732">
        <w:t>s recycling industry is characterised by a large informal sector with many small and ‘back yard’ operators</w:t>
      </w:r>
      <w:r w:rsidRPr="00AD02ED">
        <w:t xml:space="preserve"> who may never engage in the formal economy, incorporate as a company, pay tax, or even use bank accounts (VP 2014 and interviews with Victoria Police). </w:t>
      </w:r>
    </w:p>
    <w:p w:rsidR="00CF4398" w:rsidRPr="003C63AC" w:rsidRDefault="00CF4398" w:rsidP="00CF4398">
      <w:r w:rsidRPr="00D357AA">
        <w:t xml:space="preserve">A major investigation by the Victorian Police Department (Taskforce Discover, VP 2014) into the links </w:t>
      </w:r>
      <w:r w:rsidRPr="00920E28">
        <w:t>between profit-motivated theft and the car wrecking and scrap steel industry conducted audits of 432 motor wreckers and scrap metal dealers in Victoria</w:t>
      </w:r>
      <w:r w:rsidR="00D7392E">
        <w:t>. It</w:t>
      </w:r>
      <w:r w:rsidRPr="00920E28">
        <w:t xml:space="preserve"> concluded that the motor wrecking and scrap metal industries primarily operated in the cash economy.</w:t>
      </w:r>
    </w:p>
    <w:p w:rsidR="00CF4398" w:rsidRPr="003C63AC" w:rsidRDefault="00183A21" w:rsidP="00CF4398">
      <w:pPr>
        <w:rPr>
          <w:lang w:val="en-US"/>
        </w:rPr>
      </w:pPr>
      <w:r>
        <w:t>B</w:t>
      </w:r>
      <w:r w:rsidR="00CF4398" w:rsidRPr="003C63AC">
        <w:t>usiness practices</w:t>
      </w:r>
      <w:r>
        <w:t xml:space="preserve"> that are</w:t>
      </w:r>
      <w:r w:rsidR="00CF4398" w:rsidRPr="003C63AC">
        <w:t xml:space="preserve"> common in most industries, such as holding detailed computerised inventory of stock, and maintaining commercial accounts with terms of payment via electronic means and electronic funds transfers, are far from ubiquitous in this industry. </w:t>
      </w:r>
      <w:r w:rsidRPr="00183A21">
        <w:t xml:space="preserve"> </w:t>
      </w:r>
      <w:r w:rsidRPr="003C63AC">
        <w:t>Even in the more formal and visible segment of the industry, in which leading players have national chains of re</w:t>
      </w:r>
      <w:r w:rsidR="00A14C9B">
        <w:t>tail</w:t>
      </w:r>
      <w:r w:rsidRPr="003C63AC">
        <w:t xml:space="preserve"> outlets, there are no clear market leaders</w:t>
      </w:r>
      <w:r>
        <w:t>.</w:t>
      </w:r>
    </w:p>
    <w:p w:rsidR="00CF4398" w:rsidRPr="000F5EF8" w:rsidRDefault="00CF4398" w:rsidP="00CF4398">
      <w:r w:rsidRPr="003C63AC">
        <w:t>ELVs when broken down produce many valuable product streams including rare metals from catalytic converters, lead from batteries, some coppe</w:t>
      </w:r>
      <w:r w:rsidRPr="00AD4F11">
        <w:t>r, useable tyres and many types of car parts. A trip to any wreckers will testify to the array of parts and components that a wrecker will retrieve and keep in stock. This ranges from major items like entire engine</w:t>
      </w:r>
      <w:r w:rsidRPr="005728F4">
        <w:t xml:space="preserve">s, gear boxes and differentials to headlights, windscreens, every possible type of panel, door, boot and hood (being the most frequently damaged items of vehicles on the road), </w:t>
      </w:r>
      <w:r w:rsidRPr="000F5EF8">
        <w:t>dashboards, car seats</w:t>
      </w:r>
      <w:r w:rsidR="00646DA6">
        <w:t xml:space="preserve"> and</w:t>
      </w:r>
      <w:r w:rsidRPr="000F5EF8">
        <w:t xml:space="preserve"> wheel rims.</w:t>
      </w:r>
    </w:p>
    <w:p w:rsidR="00CF4398" w:rsidRPr="004F1732" w:rsidRDefault="00CF4398" w:rsidP="00CF4398">
      <w:r w:rsidRPr="004F1732">
        <w:lastRenderedPageBreak/>
        <w:t xml:space="preserve">Anything that cannot be stripped and sold domestically or exported as useful parts is sent to the metal recyclers for crushing. While some recovered steel is re-smelted in Australia, key industry participants explain </w:t>
      </w:r>
      <w:r w:rsidR="00646DA6">
        <w:t xml:space="preserve">that </w:t>
      </w:r>
      <w:r w:rsidRPr="004F1732">
        <w:t>the vast bulk of the recycled metal is exported.</w:t>
      </w:r>
    </w:p>
    <w:p w:rsidR="00CF4398" w:rsidRPr="00920E28" w:rsidRDefault="00CF4398" w:rsidP="00CF4398">
      <w:r w:rsidRPr="00AD02ED">
        <w:t>An IBISWorld industry profile published in January 2014 reported that the ‘Motor Vehicle Dismantling and Used Parts Wholesaling’ industry in Australia</w:t>
      </w:r>
      <w:r w:rsidRPr="00920E28">
        <w:t xml:space="preserve"> had total revenue of $2 billion in 2013-14, employing around 4,800 people in 940 enterprises (IBIS 2014b).</w:t>
      </w:r>
    </w:p>
    <w:p w:rsidR="00CF4398" w:rsidRPr="003C63AC" w:rsidRDefault="00CF4398" w:rsidP="00CF4398">
      <w:r w:rsidRPr="003C63AC">
        <w:t xml:space="preserve">However, there is evidence to suggest that the IBISWorld figure could be a lower end estimate. The </w:t>
      </w:r>
      <w:r w:rsidR="00E51CE6">
        <w:t>ABS</w:t>
      </w:r>
      <w:r w:rsidRPr="003C63AC">
        <w:t xml:space="preserve"> identifies 1,018 businesses under the ANZSIC code 3505 for Motor Vehicle Dismantling and Used Parts Wholesaling (ABS 8165.0 2014). ABS collections cannot be expected to identify business operators who do not participate in surveys or take the time to identify and declare the appropriate ANZSIC code.</w:t>
      </w:r>
    </w:p>
    <w:p w:rsidR="00CF4398" w:rsidRPr="003C63AC" w:rsidRDefault="00CF4398" w:rsidP="00CF4398">
      <w:r w:rsidRPr="003C63AC">
        <w:t xml:space="preserve">The Victorian Police audit of 432 </w:t>
      </w:r>
      <w:r w:rsidR="006B7262" w:rsidRPr="003C63AC">
        <w:t>auto-part</w:t>
      </w:r>
      <w:r w:rsidRPr="003C63AC">
        <w:t>s recyclers in Victoria stated that this represented about 90</w:t>
      </w:r>
      <w:r w:rsidR="004D498D">
        <w:t xml:space="preserve"> per cent</w:t>
      </w:r>
      <w:r w:rsidR="004D498D" w:rsidRPr="003C63AC">
        <w:t xml:space="preserve"> </w:t>
      </w:r>
      <w:r w:rsidRPr="003C63AC">
        <w:t xml:space="preserve">of the businesses in operation in that state. That suggests that there are as many as 480 businesses in Victoria alone. </w:t>
      </w:r>
    </w:p>
    <w:p w:rsidR="00CF4398" w:rsidRPr="003C63AC" w:rsidRDefault="00C275E0" w:rsidP="00CF4398">
      <w:r>
        <w:t>T</w:t>
      </w:r>
      <w:r w:rsidR="00CF4398" w:rsidRPr="003C63AC">
        <w:t>he NMVTRC went on record for this study stating that there are about 600 businesses operating in NSW and the A</w:t>
      </w:r>
      <w:r w:rsidR="00E51CE6">
        <w:t>ustralian Capital Territory (A</w:t>
      </w:r>
      <w:r w:rsidR="00CF4398" w:rsidRPr="003C63AC">
        <w:t>CT</w:t>
      </w:r>
      <w:r w:rsidR="00E51CE6">
        <w:t>)</w:t>
      </w:r>
      <w:r w:rsidR="00CF4398" w:rsidRPr="003C63AC">
        <w:t xml:space="preserve">, and another 300 in Queensland, which in combination with the Victorian operations suggests around 1,380 businesses in the three largest States in Australia. Given these three </w:t>
      </w:r>
      <w:r w:rsidR="00643BBD">
        <w:t>s</w:t>
      </w:r>
      <w:r w:rsidR="00CF4398" w:rsidRPr="003C63AC">
        <w:t>tates contain around 76</w:t>
      </w:r>
      <w:r w:rsidR="004D498D">
        <w:t xml:space="preserve"> per cent</w:t>
      </w:r>
      <w:r w:rsidR="004D498D" w:rsidRPr="003C63AC">
        <w:t xml:space="preserve"> </w:t>
      </w:r>
      <w:r w:rsidR="00CF4398" w:rsidRPr="003C63AC">
        <w:t xml:space="preserve">of the population of the country, that suggests, on a pro-rata basis, another 435 </w:t>
      </w:r>
      <w:r w:rsidR="006B7262" w:rsidRPr="003C63AC">
        <w:t>auto-part</w:t>
      </w:r>
      <w:r w:rsidR="00CF4398" w:rsidRPr="003C63AC">
        <w:t xml:space="preserve">s recyclers could operate across Tasmania, South Australia, Western Australia and the Northern Territory. </w:t>
      </w:r>
    </w:p>
    <w:p w:rsidR="00CF4398" w:rsidRPr="003C63AC" w:rsidRDefault="00CF4398" w:rsidP="00CF4398">
      <w:r w:rsidRPr="003C63AC">
        <w:t xml:space="preserve">This means that there </w:t>
      </w:r>
      <w:r w:rsidR="00A90B7D">
        <w:t>could be</w:t>
      </w:r>
      <w:r w:rsidRPr="003C63AC">
        <w:t xml:space="preserve"> 1,815 </w:t>
      </w:r>
      <w:r w:rsidR="006B7262" w:rsidRPr="003C63AC">
        <w:t>auto-part</w:t>
      </w:r>
      <w:r w:rsidRPr="003C63AC">
        <w:t xml:space="preserve">s recyclers across the country, or nearly twice the number that were visible in Yellow Pages counts and on public records that are used by researchers such as IBIS World. </w:t>
      </w:r>
    </w:p>
    <w:p w:rsidR="00CF4398" w:rsidRPr="003C63AC" w:rsidRDefault="00CF4398" w:rsidP="00CF4398">
      <w:r w:rsidRPr="003C63AC">
        <w:t xml:space="preserve">This is consistent with information gleaned from interviews with David Nolan of the Auto Recyclers Association of Australia (ARAA), the Victorian Police and NMVTRC. Mr Nolan reported having more than 1,500 businesses on his database, although because of the grey area between parts recyclers and metals recyclers a minority of these businesses may be predominantly metal recyclers. </w:t>
      </w:r>
    </w:p>
    <w:p w:rsidR="00CF4398" w:rsidRPr="003C63AC" w:rsidRDefault="00CF4398" w:rsidP="00CF4398">
      <w:r w:rsidRPr="003C63AC">
        <w:t>The Task</w:t>
      </w:r>
      <w:r w:rsidR="00643BBD">
        <w:t>f</w:t>
      </w:r>
      <w:r w:rsidRPr="003C63AC">
        <w:t>orce Discover report noted a number of ‘phoenix’ enterprises in the industry that acted effectively as ‘pop-up’ shops, setting up in a location for as short as a few months before closing down and then reappearing in a different area. These types of enterprises would not have registered in the IBISWorld study at all, and once again point to the extent of the ‘informal’ business activity in the industry.</w:t>
      </w:r>
    </w:p>
    <w:p w:rsidR="00CF4398" w:rsidRPr="003C63AC" w:rsidRDefault="00CF4398" w:rsidP="00CF4398">
      <w:r w:rsidRPr="003C63AC">
        <w:t>However</w:t>
      </w:r>
      <w:r w:rsidR="000A2F4D">
        <w:t>,</w:t>
      </w:r>
      <w:r w:rsidRPr="003C63AC">
        <w:t xml:space="preserve"> even if the IBISWorld estimate of active business was only half of the actual number, it is logical to conclude that many of the enterprises that they did not count would be at the very smaller end of the scale, and some may be very short lived. </w:t>
      </w:r>
      <w:r w:rsidR="00E51CE6">
        <w:t>Given this,</w:t>
      </w:r>
      <w:r w:rsidRPr="003C63AC">
        <w:t xml:space="preserve"> it would not be prudent to suggest a total industry turnover of twice the IBISWorld estimate of $2 billion. </w:t>
      </w:r>
    </w:p>
    <w:p w:rsidR="00CF4398" w:rsidRPr="003C63AC" w:rsidRDefault="00CF4398" w:rsidP="00CF4398">
      <w:r w:rsidRPr="003C63AC">
        <w:t>Rather, for the purposes of this study</w:t>
      </w:r>
      <w:r w:rsidR="000A2F4D">
        <w:t>,</w:t>
      </w:r>
      <w:r w:rsidRPr="003C63AC">
        <w:t xml:space="preserve"> and in the absence of any better information</w:t>
      </w:r>
      <w:r w:rsidR="000A2F4D">
        <w:t>,</w:t>
      </w:r>
      <w:r w:rsidRPr="003C63AC">
        <w:t xml:space="preserve"> we assume that industry turnover is no less than $2 billion in 2013 which, based on a total ELV population of 658,000 implies an average final ELV value of around $3,040 each. </w:t>
      </w:r>
    </w:p>
    <w:p w:rsidR="002966FB" w:rsidRPr="003C63AC" w:rsidRDefault="002966FB" w:rsidP="00543BA2"/>
    <w:p w:rsidR="00A2669B" w:rsidRPr="003C63AC" w:rsidRDefault="00A2669B" w:rsidP="00DD6EBE">
      <w:pPr>
        <w:pStyle w:val="Heading3"/>
      </w:pPr>
      <w:bookmarkStart w:id="23" w:name="_Toc430778983"/>
      <w:r w:rsidRPr="003C63AC">
        <w:t>Metal recyclers</w:t>
      </w:r>
      <w:r w:rsidR="00C57A04" w:rsidRPr="003C63AC">
        <w:t xml:space="preserve"> – the final stop on the road</w:t>
      </w:r>
      <w:bookmarkEnd w:id="23"/>
    </w:p>
    <w:p w:rsidR="00FC5960" w:rsidRPr="000F5EF8" w:rsidRDefault="00FC5960" w:rsidP="00FC5960">
      <w:r w:rsidRPr="003C63AC">
        <w:t>The final part of the reverse supply chain is scrap metal merchants and recycling companies. There are approximately 800 to 1,000 scrap metal merchants operating across Austra</w:t>
      </w:r>
      <w:r w:rsidRPr="00AD4F11">
        <w:t xml:space="preserve">lia (KPMG 2014). These are mainly independent operators that receive scrap metal from kerbside scavengers (also referred to as small door traders), contractors (to LGAs and retailers), and service technicians. These companies mainly sell their scrap metal </w:t>
      </w:r>
      <w:r w:rsidRPr="005728F4">
        <w:t>to the recycling companies after some rudimentary separation to recover any saleable items and more valuable metals, s</w:t>
      </w:r>
      <w:r w:rsidRPr="000F5EF8">
        <w:t>uch as compressors and copper (KPMG 2014).</w:t>
      </w:r>
    </w:p>
    <w:p w:rsidR="00FC5960" w:rsidRPr="004F1732" w:rsidRDefault="00FC5960" w:rsidP="00FC5960">
      <w:r w:rsidRPr="000F5EF8">
        <w:t xml:space="preserve">The main recycling companies are OneSteel, SIMS, Sell &amp; Parker and Norstar. These companies operate 12 shredders in Australia. Most scrap metal is exported to China and South East Asia, but some recycled steel is </w:t>
      </w:r>
      <w:r w:rsidRPr="004F1732">
        <w:t xml:space="preserve">used in the Victorian and </w:t>
      </w:r>
      <w:r w:rsidR="00C24E53">
        <w:t>NSW</w:t>
      </w:r>
      <w:r w:rsidRPr="004F1732">
        <w:t xml:space="preserve"> steel mills operated by Arrium and Bluescope.</w:t>
      </w:r>
    </w:p>
    <w:p w:rsidR="008C70C7" w:rsidRDefault="00FC5960" w:rsidP="00FC5960">
      <w:r w:rsidRPr="004F1732">
        <w:lastRenderedPageBreak/>
        <w:t>An unknown number of the smaller scrap metal merchants also collect or receive ELVs. Some are actively involved in ‘</w:t>
      </w:r>
      <w:r w:rsidR="00C24E53">
        <w:t>c</w:t>
      </w:r>
      <w:r w:rsidRPr="004F1732">
        <w:t xml:space="preserve">ash for </w:t>
      </w:r>
      <w:r w:rsidR="00C24E53">
        <w:t>c</w:t>
      </w:r>
      <w:r w:rsidRPr="004F1732">
        <w:t>ars’ type advertising and will pay as litt</w:t>
      </w:r>
      <w:r w:rsidRPr="00AD02ED">
        <w:t xml:space="preserve">le as $50, and up to several hundred dollars, to someone to take away an unregistered or broken down car. Returns on sending a car to one of the major metal recyclers for crushing make this a quite profitable activity. </w:t>
      </w:r>
    </w:p>
    <w:p w:rsidR="00FC5960" w:rsidRPr="00920E28" w:rsidRDefault="00FC5960" w:rsidP="00FC5960">
      <w:r w:rsidRPr="00AD02ED">
        <w:t xml:space="preserve">There is a grey area between some of </w:t>
      </w:r>
      <w:r w:rsidRPr="00D357AA">
        <w:t>the ‘non-compliant’ portion of the auto recycling business and scrap metal merchants, although those who are primarily metal merchants may only remove the obvious and easy to remove parts of an ELV that have higher value metals including batteries for lead</w:t>
      </w:r>
      <w:r w:rsidRPr="00920E28">
        <w:t>, catalytic converters for platinum catalysts</w:t>
      </w:r>
      <w:r w:rsidR="008C70C7">
        <w:t>,</w:t>
      </w:r>
      <w:r w:rsidRPr="00920E28">
        <w:t xml:space="preserve"> and AC compressors for the copper content.</w:t>
      </w:r>
    </w:p>
    <w:p w:rsidR="00FC5960" w:rsidRPr="003C63AC" w:rsidRDefault="00FC5960" w:rsidP="00FC5960">
      <w:r w:rsidRPr="003C63AC">
        <w:t>In cases where the smaller scrap metal merchants want nothing further, the chassis still containing the engine and all the running gear can be sold direct to a major recycler who has a mobile crusher and a shredding plant.</w:t>
      </w:r>
    </w:p>
    <w:p w:rsidR="00FC5960" w:rsidRPr="003C63AC" w:rsidRDefault="00FC5960" w:rsidP="00FC5960">
      <w:r w:rsidRPr="003C63AC">
        <w:t>Shredding involves mechanical size reduction (literally tearing the vehicles apart into small pieces), followed by separation into metallic and non-metallic components by magnetic, eddy current, gravimetric, and other processes. At some shredders, the technology enables further separation into ferrous and non-ferrous components.</w:t>
      </w:r>
    </w:p>
    <w:p w:rsidR="00FC5960" w:rsidRPr="003C63AC" w:rsidRDefault="00FC5960" w:rsidP="00FC5960">
      <w:r w:rsidRPr="003C63AC">
        <w:t xml:space="preserve">In </w:t>
      </w:r>
      <w:r w:rsidR="00C24E53">
        <w:t>NSW</w:t>
      </w:r>
      <w:r w:rsidRPr="003C63AC">
        <w:t xml:space="preserve"> and Victoria most of the ferrous shredder output is sold to steel mills. It is not cost effective to transport the shredded metal in</w:t>
      </w:r>
      <w:r w:rsidR="00577D16" w:rsidRPr="003C63AC">
        <w:t xml:space="preserve">terstate, so output from other </w:t>
      </w:r>
      <w:r w:rsidR="00C24E53">
        <w:t>s</w:t>
      </w:r>
      <w:r w:rsidRPr="003C63AC">
        <w:t>tates is exported to China and South East Asia for steelmaking (KPMG 2014).</w:t>
      </w:r>
    </w:p>
    <w:p w:rsidR="00FC5960" w:rsidRPr="003C63AC" w:rsidRDefault="00FC5960" w:rsidP="00FC5960">
      <w:r w:rsidRPr="003C63AC">
        <w:t xml:space="preserve">Operators of mobile and stationary crushing plants and shredding machines routinely state that vehicles do not have refrigerant in them when they receive the vehicles, or the chassis. However, the majority </w:t>
      </w:r>
      <w:r w:rsidR="000740DB">
        <w:t xml:space="preserve">of </w:t>
      </w:r>
      <w:r w:rsidR="008C70C7">
        <w:t>other participants</w:t>
      </w:r>
      <w:r w:rsidRPr="003C63AC">
        <w:t xml:space="preserve"> interviewed </w:t>
      </w:r>
      <w:r w:rsidR="008C70C7">
        <w:t>in the reverse supply chain</w:t>
      </w:r>
      <w:r w:rsidRPr="003C63AC">
        <w:t xml:space="preserve"> stated that any</w:t>
      </w:r>
      <w:r w:rsidR="008C70C7">
        <w:t xml:space="preserve"> </w:t>
      </w:r>
      <w:r w:rsidRPr="003C63AC">
        <w:t>one of the major metal recyclers will accept a whole vehicle driven up to the gate, or dropped by a tow truck</w:t>
      </w:r>
      <w:r w:rsidR="008C70C7">
        <w:t>,</w:t>
      </w:r>
      <w:r w:rsidRPr="003C63AC">
        <w:t xml:space="preserve"> and ask no questions about whether it contains refrigerant gas at the time of delivery.</w:t>
      </w:r>
      <w:r w:rsidR="008C70C7">
        <w:t xml:space="preserve"> These contradictory statements by industry participants could possibly be resolved by conduct of random and unannounced auditing of vehicles arriving at crushing plants.</w:t>
      </w:r>
    </w:p>
    <w:p w:rsidR="007458ED" w:rsidRDefault="00FC5960" w:rsidP="007458ED">
      <w:pPr>
        <w:jc w:val="left"/>
        <w:sectPr w:rsidR="007458ED" w:rsidSect="00892DF8">
          <w:pgSz w:w="11900" w:h="16820"/>
          <w:pgMar w:top="1440" w:right="1134" w:bottom="1440" w:left="1134" w:header="709" w:footer="709" w:gutter="0"/>
          <w:cols w:space="708"/>
          <w:docGrid w:linePitch="360"/>
        </w:sectPr>
      </w:pPr>
      <w:r w:rsidRPr="003C63AC">
        <w:rPr>
          <w:i/>
        </w:rPr>
        <w:t>Figure 7</w:t>
      </w:r>
      <w:r w:rsidRPr="003C63AC">
        <w:t xml:space="preserve"> below illustrates the players in the reverse supply chain that manages this consumer waste stream, and the flows of goods and materials between the players.</w:t>
      </w:r>
    </w:p>
    <w:p w:rsidR="0002412B" w:rsidRPr="003C63AC" w:rsidRDefault="0002412B" w:rsidP="0002412B"/>
    <w:tbl>
      <w:tblPr>
        <w:tblW w:w="124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66"/>
      </w:tblGrid>
      <w:tr w:rsidR="007458ED" w:rsidRPr="00CA68EC" w:rsidTr="007458ED">
        <w:tc>
          <w:tcPr>
            <w:tcW w:w="12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58ED" w:rsidRPr="003C63AC" w:rsidRDefault="007458ED" w:rsidP="000F62D9">
            <w:pPr>
              <w:spacing w:before="60" w:after="60"/>
              <w:rPr>
                <w:i/>
              </w:rPr>
            </w:pPr>
            <w:r w:rsidRPr="003C63AC">
              <w:rPr>
                <w:i/>
                <w:sz w:val="20"/>
              </w:rPr>
              <w:t xml:space="preserve">Figure </w:t>
            </w:r>
            <w:r w:rsidR="00F005B2" w:rsidRPr="003C63AC">
              <w:rPr>
                <w:i/>
                <w:sz w:val="20"/>
              </w:rPr>
              <w:fldChar w:fldCharType="begin"/>
            </w:r>
            <w:r w:rsidRPr="003C63AC">
              <w:rPr>
                <w:i/>
                <w:sz w:val="20"/>
              </w:rPr>
              <w:instrText xml:space="preserve"> SEQ Figure \* ARABIC </w:instrText>
            </w:r>
            <w:r w:rsidR="00F005B2" w:rsidRPr="003C63AC">
              <w:rPr>
                <w:i/>
                <w:sz w:val="20"/>
              </w:rPr>
              <w:fldChar w:fldCharType="separate"/>
            </w:r>
            <w:r>
              <w:rPr>
                <w:i/>
                <w:noProof/>
                <w:sz w:val="20"/>
              </w:rPr>
              <w:t>7</w:t>
            </w:r>
            <w:r w:rsidR="00F005B2" w:rsidRPr="003C63AC">
              <w:rPr>
                <w:i/>
                <w:sz w:val="20"/>
              </w:rPr>
              <w:fldChar w:fldCharType="end"/>
            </w:r>
            <w:r w:rsidRPr="003C63AC">
              <w:rPr>
                <w:i/>
                <w:sz w:val="20"/>
              </w:rPr>
              <w:t>: ELV Supply Chain in Australia.</w:t>
            </w:r>
          </w:p>
        </w:tc>
      </w:tr>
      <w:tr w:rsidR="007458ED" w:rsidRPr="00F85DFD" w:rsidTr="007458ED">
        <w:tc>
          <w:tcPr>
            <w:tcW w:w="12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58ED" w:rsidRPr="00C71E9C" w:rsidRDefault="007458ED" w:rsidP="000F62D9">
            <w:pPr>
              <w:spacing w:before="60" w:after="60"/>
              <w:rPr>
                <w:i/>
                <w:sz w:val="20"/>
              </w:rPr>
            </w:pPr>
          </w:p>
          <w:p w:rsidR="007458ED" w:rsidRPr="00C71E9C" w:rsidRDefault="007458ED" w:rsidP="000F62D9">
            <w:pPr>
              <w:spacing w:before="60" w:after="60"/>
              <w:rPr>
                <w:i/>
                <w:sz w:val="20"/>
              </w:rPr>
            </w:pPr>
          </w:p>
          <w:p w:rsidR="007458ED" w:rsidRPr="00C71E9C" w:rsidRDefault="005C6A24" w:rsidP="000F62D9">
            <w:pPr>
              <w:spacing w:before="60" w:after="60"/>
              <w:rPr>
                <w:i/>
                <w:sz w:val="20"/>
              </w:rPr>
            </w:pPr>
            <w:r>
              <w:rPr>
                <w:i/>
                <w:noProof/>
                <w:sz w:val="20"/>
                <w:lang w:eastAsia="en-AU"/>
              </w:rPr>
              <mc:AlternateContent>
                <mc:Choice Requires="wpg">
                  <w:drawing>
                    <wp:inline distT="0" distB="0" distL="0" distR="0">
                      <wp:extent cx="7774305" cy="4450080"/>
                      <wp:effectExtent l="11430" t="12065" r="0" b="24130"/>
                      <wp:docPr id="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4305" cy="4450080"/>
                                <a:chOff x="0" y="0"/>
                                <a:chExt cx="7774016" cy="4450310"/>
                              </a:xfrm>
                            </wpg:grpSpPr>
                            <wps:wsp>
                              <wps:cNvPr id="11" name="Rectangle 2"/>
                              <wps:cNvSpPr>
                                <a:spLocks noChangeArrowheads="1"/>
                              </wps:cNvSpPr>
                              <wps:spPr bwMode="auto">
                                <a:xfrm>
                                  <a:off x="4941630" y="1293479"/>
                                  <a:ext cx="792000" cy="50585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Metal recyclers</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Shredder</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Crushers</w:t>
                                    </w:r>
                                  </w:p>
                                </w:txbxContent>
                              </wps:txbx>
                              <wps:bodyPr rot="0" vert="horz" wrap="square" lIns="91440" tIns="45720" rIns="91440" bIns="45720" anchor="ctr" anchorCtr="0" upright="1">
                                <a:noAutofit/>
                              </wps:bodyPr>
                            </wps:wsp>
                            <wps:wsp>
                              <wps:cNvPr id="15" name="Rectangle 3"/>
                              <wps:cNvSpPr>
                                <a:spLocks noChangeArrowheads="1"/>
                              </wps:cNvSpPr>
                              <wps:spPr bwMode="auto">
                                <a:xfrm>
                                  <a:off x="18128" y="156046"/>
                                  <a:ext cx="666000" cy="432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Owner Vehicle in use</w:t>
                                    </w:r>
                                  </w:p>
                                </w:txbxContent>
                              </wps:txbx>
                              <wps:bodyPr rot="0" vert="horz" wrap="square" lIns="91440" tIns="45720" rIns="91440" bIns="45720" anchor="ctr" anchorCtr="0" upright="1">
                                <a:noAutofit/>
                              </wps:bodyPr>
                            </wps:wsp>
                            <wps:wsp>
                              <wps:cNvPr id="16" name="Rectangle 4"/>
                              <wps:cNvSpPr>
                                <a:spLocks noChangeArrowheads="1"/>
                              </wps:cNvSpPr>
                              <wps:spPr bwMode="auto">
                                <a:xfrm>
                                  <a:off x="1157027" y="156046"/>
                                  <a:ext cx="666000" cy="432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Insured</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~18% become ELVs</w:t>
                                    </w:r>
                                  </w:p>
                                </w:txbxContent>
                              </wps:txbx>
                              <wps:bodyPr rot="0" vert="horz" wrap="square" lIns="91440" tIns="45720" rIns="91440" bIns="45720" anchor="ctr" anchorCtr="0" upright="1">
                                <a:noAutofit/>
                              </wps:bodyPr>
                            </wps:wsp>
                            <wps:wsp>
                              <wps:cNvPr id="18" name="Rectangle 5"/>
                              <wps:cNvSpPr>
                                <a:spLocks noChangeArrowheads="1"/>
                              </wps:cNvSpPr>
                              <wps:spPr bwMode="auto">
                                <a:xfrm>
                                  <a:off x="2301967" y="737763"/>
                                  <a:ext cx="666000" cy="432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 xml:space="preserve">Cash for Cars/Tow Truck </w:t>
                                    </w:r>
                                  </w:p>
                                </w:txbxContent>
                              </wps:txbx>
                              <wps:bodyPr rot="0" vert="horz" wrap="square" lIns="91440" tIns="45720" rIns="91440" bIns="45720" anchor="ctr" anchorCtr="0" upright="1">
                                <a:noAutofit/>
                              </wps:bodyPr>
                            </wps:wsp>
                            <wps:wsp>
                              <wps:cNvPr id="19" name="Rectangle 6"/>
                              <wps:cNvSpPr>
                                <a:spLocks noChangeArrowheads="1"/>
                              </wps:cNvSpPr>
                              <wps:spPr bwMode="auto">
                                <a:xfrm>
                                  <a:off x="3419577" y="842865"/>
                                  <a:ext cx="576000" cy="576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Auto parts recyclers</w:t>
                                    </w:r>
                                  </w:p>
                                </w:txbxContent>
                              </wps:txbx>
                              <wps:bodyPr rot="0" vert="horz" wrap="square" lIns="91440" tIns="45720" rIns="91440" bIns="45720" anchor="ctr" anchorCtr="0" upright="1">
                                <a:noAutofit/>
                              </wps:bodyPr>
                            </wps:wsp>
                            <wps:wsp>
                              <wps:cNvPr id="20" name="Rectangle 7"/>
                              <wps:cNvSpPr>
                                <a:spLocks noChangeArrowheads="1"/>
                              </wps:cNvSpPr>
                              <wps:spPr bwMode="auto">
                                <a:xfrm>
                                  <a:off x="3419577" y="1568447"/>
                                  <a:ext cx="576000" cy="576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Scrap metal recyclers</w:t>
                                    </w:r>
                                  </w:p>
                                </w:txbxContent>
                              </wps:txbx>
                              <wps:bodyPr rot="0" vert="horz" wrap="square" lIns="91440" tIns="45720" rIns="91440" bIns="45720" anchor="ctr" anchorCtr="0" upright="1">
                                <a:noAutofit/>
                              </wps:bodyPr>
                            </wps:wsp>
                            <wps:wsp>
                              <wps:cNvPr id="25" name="Rectangle 8"/>
                              <wps:cNvSpPr>
                                <a:spLocks noChangeArrowheads="1"/>
                              </wps:cNvSpPr>
                              <wps:spPr bwMode="auto">
                                <a:xfrm>
                                  <a:off x="1175440" y="2769218"/>
                                  <a:ext cx="666000" cy="540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Abandoned</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&lt;1%</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Local Govt collection</w:t>
                                    </w:r>
                                  </w:p>
                                </w:txbxContent>
                              </wps:txbx>
                              <wps:bodyPr rot="0" vert="horz" wrap="square" lIns="91440" tIns="45720" rIns="91440" bIns="45720" anchor="ctr" anchorCtr="0" upright="1">
                                <a:noAutofit/>
                              </wps:bodyPr>
                            </wps:wsp>
                            <wps:wsp>
                              <wps:cNvPr id="27" name="Rectangle 9"/>
                              <wps:cNvSpPr>
                                <a:spLocks noChangeArrowheads="1"/>
                              </wps:cNvSpPr>
                              <wps:spPr bwMode="auto">
                                <a:xfrm>
                                  <a:off x="3419577" y="143345"/>
                                  <a:ext cx="576000" cy="576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Auction houses and holding yards</w:t>
                                    </w:r>
                                  </w:p>
                                </w:txbxContent>
                              </wps:txbx>
                              <wps:bodyPr rot="0" vert="horz" wrap="square" lIns="91440" tIns="45720" rIns="91440" bIns="45720" anchor="ctr" anchorCtr="0" upright="1">
                                <a:noAutofit/>
                              </wps:bodyPr>
                            </wps:wsp>
                            <wps:wsp>
                              <wps:cNvPr id="28" name="Rectangle 10"/>
                              <wps:cNvSpPr>
                                <a:spLocks noChangeArrowheads="1"/>
                              </wps:cNvSpPr>
                              <wps:spPr bwMode="auto">
                                <a:xfrm>
                                  <a:off x="18128" y="1399810"/>
                                  <a:ext cx="666000" cy="432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 xml:space="preserve">Private </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90%</w:t>
                                    </w:r>
                                  </w:p>
                                </w:txbxContent>
                              </wps:txbx>
                              <wps:bodyPr rot="0" vert="horz" wrap="square" lIns="91440" tIns="45720" rIns="91440" bIns="45720" anchor="ctr" anchorCtr="0" upright="1">
                                <a:noAutofit/>
                              </wps:bodyPr>
                            </wps:wsp>
                            <wps:wsp>
                              <wps:cNvPr id="29" name="Rectangle 11"/>
                              <wps:cNvSpPr>
                                <a:spLocks noChangeArrowheads="1"/>
                              </wps:cNvSpPr>
                              <wps:spPr bwMode="auto">
                                <a:xfrm>
                                  <a:off x="2302882" y="156046"/>
                                  <a:ext cx="666000" cy="432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SWO and RWO vehicles</w:t>
                                    </w:r>
                                  </w:p>
                                </w:txbxContent>
                              </wps:txbx>
                              <wps:bodyPr rot="0" vert="horz" wrap="square" lIns="91440" tIns="45720" rIns="91440" bIns="45720" anchor="ctr" anchorCtr="0" upright="1">
                                <a:noAutofit/>
                              </wps:bodyPr>
                            </wps:wsp>
                            <wps:wsp>
                              <wps:cNvPr id="30" name="Rectangle 12"/>
                              <wps:cNvSpPr>
                                <a:spLocks noChangeArrowheads="1"/>
                              </wps:cNvSpPr>
                              <wps:spPr bwMode="auto">
                                <a:xfrm>
                                  <a:off x="3419577" y="2360046"/>
                                  <a:ext cx="576000" cy="576000"/>
                                </a:xfrm>
                                <a:prstGeom prst="rect">
                                  <a:avLst/>
                                </a:prstGeom>
                                <a:gradFill rotWithShape="1">
                                  <a:gsLst>
                                    <a:gs pos="0">
                                      <a:srgbClr val="FFE5E5"/>
                                    </a:gs>
                                    <a:gs pos="64999">
                                      <a:srgbClr val="FFBEBD"/>
                                    </a:gs>
                                    <a:gs pos="100000">
                                      <a:srgbClr val="FFA2A1"/>
                                    </a:gs>
                                  </a:gsLst>
                                  <a:lin ang="5400000" scaled="1"/>
                                </a:gradFill>
                                <a:ln w="9525">
                                  <a:solidFill>
                                    <a:schemeClr val="accent2">
                                      <a:lumMod val="95000"/>
                                      <a:lumOff val="0"/>
                                    </a:schemeClr>
                                  </a:solidFill>
                                  <a:miter lim="800000"/>
                                  <a:headEnd/>
                                  <a:tailEnd/>
                                </a:ln>
                                <a:effectLst>
                                  <a:outerShdw dist="20000" dir="5400000" rotWithShape="0">
                                    <a:srgbClr val="808080">
                                      <a:alpha val="37999"/>
                                    </a:srgbClr>
                                  </a:outerShdw>
                                </a:effectLst>
                              </wps:spPr>
                              <wps:txb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Rogue operators</w:t>
                                    </w:r>
                                  </w:p>
                                </w:txbxContent>
                              </wps:txbx>
                              <wps:bodyPr rot="0" vert="horz" wrap="square" lIns="91440" tIns="45720" rIns="91440" bIns="45720" anchor="ctr" anchorCtr="0" upright="1">
                                <a:noAutofit/>
                              </wps:bodyPr>
                            </wps:wsp>
                            <wps:wsp>
                              <wps:cNvPr id="31" name="Rectangle 13"/>
                              <wps:cNvSpPr>
                                <a:spLocks noChangeArrowheads="1"/>
                              </wps:cNvSpPr>
                              <wps:spPr bwMode="auto">
                                <a:xfrm>
                                  <a:off x="4941630" y="3234299"/>
                                  <a:ext cx="792000" cy="50585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Refrigerant recovered</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(&lt;20 t)</w:t>
                                    </w:r>
                                  </w:p>
                                </w:txbxContent>
                              </wps:txbx>
                              <wps:bodyPr rot="0" vert="horz" wrap="square" lIns="91440" tIns="45720" rIns="91440" bIns="45720" anchor="ctr" anchorCtr="0" upright="1">
                                <a:noAutofit/>
                              </wps:bodyPr>
                            </wps:wsp>
                            <wps:wsp>
                              <wps:cNvPr id="32" name="Rectangle 14"/>
                              <wps:cNvSpPr>
                                <a:spLocks noChangeArrowheads="1"/>
                              </wps:cNvSpPr>
                              <wps:spPr bwMode="auto">
                                <a:xfrm>
                                  <a:off x="3177352" y="0"/>
                                  <a:ext cx="1041400" cy="3162298"/>
                                </a:xfrm>
                                <a:prstGeom prst="rect">
                                  <a:avLst/>
                                </a:prstGeom>
                                <a:noFill/>
                                <a:ln w="9525">
                                  <a:solidFill>
                                    <a:srgbClr val="FF0000"/>
                                  </a:solidFill>
                                  <a:prstDash val="dash"/>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txbx>
                                <w:txbxContent>
                                  <w:p w:rsidR="007458ED" w:rsidRDefault="007458ED" w:rsidP="007458ED">
                                    <w:pPr>
                                      <w:rPr>
                                        <w:rFonts w:eastAsia="Times New Roman" w:cs="Times New Roman"/>
                                      </w:rPr>
                                    </w:pPr>
                                  </w:p>
                                </w:txbxContent>
                              </wps:txbx>
                              <wps:bodyPr rot="0" vert="horz" wrap="square" lIns="91440" tIns="45720" rIns="91440" bIns="45720" anchor="ctr" anchorCtr="0" upright="1">
                                <a:noAutofit/>
                              </wps:bodyPr>
                            </wps:wsp>
                            <wps:wsp>
                              <wps:cNvPr id="33" name="Rectangle 15"/>
                              <wps:cNvSpPr>
                                <a:spLocks noChangeArrowheads="1"/>
                              </wps:cNvSpPr>
                              <wps:spPr bwMode="auto">
                                <a:xfrm>
                                  <a:off x="6465630" y="2026427"/>
                                  <a:ext cx="792000" cy="505850"/>
                                </a:xfrm>
                                <a:prstGeom prst="rect">
                                  <a:avLst/>
                                </a:prstGeom>
                                <a:gradFill rotWithShape="1">
                                  <a:gsLst>
                                    <a:gs pos="0">
                                      <a:srgbClr val="FFE5E5"/>
                                    </a:gs>
                                    <a:gs pos="64999">
                                      <a:srgbClr val="FFBEBD"/>
                                    </a:gs>
                                    <a:gs pos="100000">
                                      <a:srgbClr val="FFA2A1"/>
                                    </a:gs>
                                  </a:gsLst>
                                  <a:lin ang="5400000" scaled="1"/>
                                </a:gradFill>
                                <a:ln w="9525">
                                  <a:solidFill>
                                    <a:schemeClr val="accent2">
                                      <a:lumMod val="95000"/>
                                      <a:lumOff val="0"/>
                                    </a:schemeClr>
                                  </a:solidFill>
                                  <a:miter lim="800000"/>
                                  <a:headEnd/>
                                  <a:tailEnd/>
                                </a:ln>
                                <a:effectLst>
                                  <a:outerShdw dist="20000" dir="5400000" rotWithShape="0">
                                    <a:srgbClr val="808080">
                                      <a:alpha val="37999"/>
                                    </a:srgbClr>
                                  </a:outerShdw>
                                </a:effectLst>
                              </wps:spPr>
                              <wps:txb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Landfill</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 xml:space="preserve">Shredder floc </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(25% of vehicle by mass)</w:t>
                                    </w:r>
                                  </w:p>
                                </w:txbxContent>
                              </wps:txbx>
                              <wps:bodyPr rot="0" vert="horz" wrap="square" lIns="91440" tIns="45720" rIns="91440" bIns="45720" anchor="ctr" anchorCtr="0" upright="1">
                                <a:noAutofit/>
                              </wps:bodyPr>
                            </wps:wsp>
                            <wps:wsp>
                              <wps:cNvPr id="34" name="Rectangle 16"/>
                              <wps:cNvSpPr>
                                <a:spLocks noChangeArrowheads="1"/>
                              </wps:cNvSpPr>
                              <wps:spPr bwMode="auto">
                                <a:xfrm>
                                  <a:off x="6465630" y="524346"/>
                                  <a:ext cx="792000" cy="505850"/>
                                </a:xfrm>
                                <a:prstGeom prst="rect">
                                  <a:avLst/>
                                </a:prstGeom>
                                <a:gradFill rotWithShape="1">
                                  <a:gsLst>
                                    <a:gs pos="0">
                                      <a:srgbClr val="F5FFE6"/>
                                    </a:gs>
                                    <a:gs pos="64999">
                                      <a:srgbClr val="E4FDC2"/>
                                    </a:gs>
                                    <a:gs pos="100000">
                                      <a:srgbClr val="DAFDA7"/>
                                    </a:gs>
                                  </a:gsLst>
                                  <a:lin ang="5400000" scaled="1"/>
                                </a:gradFill>
                                <a:ln w="9525">
                                  <a:solidFill>
                                    <a:schemeClr val="accent3">
                                      <a:lumMod val="95000"/>
                                      <a:lumOff val="0"/>
                                    </a:schemeClr>
                                  </a:solidFill>
                                  <a:miter lim="800000"/>
                                  <a:headEnd/>
                                  <a:tailEnd/>
                                </a:ln>
                                <a:effectLst>
                                  <a:outerShdw dist="20000" dir="5400000" rotWithShape="0">
                                    <a:srgbClr val="808080">
                                      <a:alpha val="37999"/>
                                    </a:srgbClr>
                                  </a:outerShdw>
                                </a:effectLst>
                              </wps:spPr>
                              <wps:txb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Metals sold</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Ferrous</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Non-ferrous</w:t>
                                    </w:r>
                                  </w:p>
                                </w:txbxContent>
                              </wps:txbx>
                              <wps:bodyPr rot="0" vert="horz" wrap="square" lIns="91440" tIns="45720" rIns="91440" bIns="45720" anchor="ctr" anchorCtr="0" upright="1">
                                <a:noAutofit/>
                              </wps:bodyPr>
                            </wps:wsp>
                            <wps:wsp>
                              <wps:cNvPr id="35" name="Text Box 17"/>
                              <wps:cNvSpPr txBox="1">
                                <a:spLocks noChangeArrowheads="1"/>
                              </wps:cNvSpPr>
                              <wps:spPr bwMode="auto">
                                <a:xfrm>
                                  <a:off x="6107776" y="2621446"/>
                                  <a:ext cx="166624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8ED" w:rsidRDefault="007458ED" w:rsidP="007458ED">
                                    <w:pPr>
                                      <w:pStyle w:val="NormalWeb"/>
                                      <w:spacing w:before="0" w:beforeAutospacing="0" w:after="0" w:afterAutospacing="0"/>
                                    </w:pPr>
                                    <w:r>
                                      <w:rPr>
                                        <w:rFonts w:asciiTheme="minorHAnsi" w:hAnsi="Cambria" w:cstheme="minorBidi"/>
                                        <w:color w:val="000000" w:themeColor="text1"/>
                                        <w:kern w:val="24"/>
                                        <w:sz w:val="12"/>
                                        <w:szCs w:val="12"/>
                                      </w:rPr>
                                      <w:t>Targets in industrialised countries around 95% recycled versus an estimated 75% in Australia</w:t>
                                    </w:r>
                                  </w:p>
                                </w:txbxContent>
                              </wps:txbx>
                              <wps:bodyPr rot="0" vert="horz" wrap="square" lIns="91440" tIns="45720" rIns="91440" bIns="45720" anchor="t" anchorCtr="0" upright="1">
                                <a:spAutoFit/>
                              </wps:bodyPr>
                            </wps:wsp>
                            <wps:wsp>
                              <wps:cNvPr id="36" name="Rectangle 18"/>
                              <wps:cNvSpPr>
                                <a:spLocks noChangeArrowheads="1"/>
                              </wps:cNvSpPr>
                              <wps:spPr bwMode="auto">
                                <a:xfrm>
                                  <a:off x="6465630" y="1295099"/>
                                  <a:ext cx="792000" cy="505850"/>
                                </a:xfrm>
                                <a:prstGeom prst="rect">
                                  <a:avLst/>
                                </a:prstGeom>
                                <a:gradFill rotWithShape="1">
                                  <a:gsLst>
                                    <a:gs pos="0">
                                      <a:srgbClr val="F5FFE6"/>
                                    </a:gs>
                                    <a:gs pos="64999">
                                      <a:srgbClr val="E4FDC2"/>
                                    </a:gs>
                                    <a:gs pos="100000">
                                      <a:srgbClr val="DAFDA7"/>
                                    </a:gs>
                                  </a:gsLst>
                                  <a:lin ang="5400000" scaled="1"/>
                                </a:gradFill>
                                <a:ln w="9525">
                                  <a:solidFill>
                                    <a:schemeClr val="accent3">
                                      <a:lumMod val="95000"/>
                                      <a:lumOff val="0"/>
                                    </a:schemeClr>
                                  </a:solidFill>
                                  <a:miter lim="800000"/>
                                  <a:headEnd/>
                                  <a:tailEnd/>
                                </a:ln>
                                <a:effectLst>
                                  <a:outerShdw dist="20000" dir="5400000" rotWithShape="0">
                                    <a:srgbClr val="808080">
                                      <a:alpha val="37999"/>
                                    </a:srgbClr>
                                  </a:outerShdw>
                                </a:effectLst>
                              </wps:spPr>
                              <wps:txb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Plastics recycled</w:t>
                                    </w:r>
                                  </w:p>
                                </w:txbxContent>
                              </wps:txbx>
                              <wps:bodyPr rot="0" vert="horz" wrap="square" lIns="91440" tIns="45720" rIns="91440" bIns="45720" anchor="ctr" anchorCtr="0" upright="1">
                                <a:noAutofit/>
                              </wps:bodyPr>
                            </wps:wsp>
                            <wps:wsp>
                              <wps:cNvPr id="37" name="Text Box 19"/>
                              <wps:cNvSpPr txBox="1">
                                <a:spLocks noChangeArrowheads="1"/>
                              </wps:cNvSpPr>
                              <wps:spPr bwMode="auto">
                                <a:xfrm>
                                  <a:off x="656676" y="3422473"/>
                                  <a:ext cx="166687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8ED" w:rsidRDefault="007458ED" w:rsidP="007458ED">
                                    <w:pPr>
                                      <w:pStyle w:val="NormalWeb"/>
                                      <w:spacing w:before="0" w:beforeAutospacing="0" w:after="0" w:afterAutospacing="0"/>
                                    </w:pPr>
                                    <w:r>
                                      <w:rPr>
                                        <w:rFonts w:asciiTheme="minorHAnsi" w:hAnsi="Cambria" w:cstheme="minorBidi"/>
                                        <w:color w:val="000000" w:themeColor="text1"/>
                                        <w:kern w:val="24"/>
                                        <w:sz w:val="12"/>
                                        <w:szCs w:val="12"/>
                                      </w:rPr>
                                      <w:t>Land fill</w:t>
                                    </w:r>
                                  </w:p>
                                  <w:p w:rsidR="007458ED" w:rsidRDefault="007458ED" w:rsidP="007458ED">
                                    <w:pPr>
                                      <w:pStyle w:val="NormalWeb"/>
                                      <w:spacing w:before="0" w:beforeAutospacing="0" w:after="0" w:afterAutospacing="0"/>
                                    </w:pPr>
                                    <w:r>
                                      <w:rPr>
                                        <w:rFonts w:asciiTheme="minorHAnsi" w:hAnsi="Cambria" w:cstheme="minorBidi"/>
                                        <w:color w:val="000000" w:themeColor="text1"/>
                                        <w:kern w:val="24"/>
                                        <w:sz w:val="12"/>
                                        <w:szCs w:val="12"/>
                                      </w:rPr>
                                      <w:t>Recovered metals and plastics</w:t>
                                    </w:r>
                                  </w:p>
                                  <w:p w:rsidR="007458ED" w:rsidRDefault="007458ED" w:rsidP="007458ED">
                                    <w:pPr>
                                      <w:pStyle w:val="NormalWeb"/>
                                      <w:spacing w:before="0" w:beforeAutospacing="0" w:after="0" w:afterAutospacing="0"/>
                                    </w:pPr>
                                    <w:r>
                                      <w:rPr>
                                        <w:rFonts w:asciiTheme="minorHAnsi" w:hAnsi="Cambria" w:cstheme="minorBidi"/>
                                        <w:color w:val="000000" w:themeColor="text1"/>
                                        <w:kern w:val="24"/>
                                        <w:sz w:val="12"/>
                                        <w:szCs w:val="12"/>
                                      </w:rPr>
                                      <w:t>Refrigerant gas</w:t>
                                    </w:r>
                                  </w:p>
                                </w:txbxContent>
                              </wps:txbx>
                              <wps:bodyPr rot="0" vert="horz" wrap="square" lIns="91440" tIns="45720" rIns="91440" bIns="45720" anchor="t" anchorCtr="0" upright="1">
                                <a:spAutoFit/>
                              </wps:bodyPr>
                            </wps:wsp>
                            <wps:wsp>
                              <wps:cNvPr id="38" name="Cloud 20"/>
                              <wps:cNvSpPr>
                                <a:spLocks/>
                              </wps:cNvSpPr>
                              <wps:spPr bwMode="auto">
                                <a:xfrm>
                                  <a:off x="3239827" y="3549649"/>
                                  <a:ext cx="845575" cy="685800"/>
                                </a:xfrm>
                                <a:custGeom>
                                  <a:avLst/>
                                  <a:gdLst>
                                    <a:gd name="T0" fmla="*/ 91858 w 43200"/>
                                    <a:gd name="T1" fmla="*/ 415560 h 43200"/>
                                    <a:gd name="T2" fmla="*/ 42279 w 43200"/>
                                    <a:gd name="T3" fmla="*/ 402908 h 43200"/>
                                    <a:gd name="T4" fmla="*/ 135605 w 43200"/>
                                    <a:gd name="T5" fmla="*/ 554022 h 43200"/>
                                    <a:gd name="T6" fmla="*/ 113918 w 43200"/>
                                    <a:gd name="T7" fmla="*/ 560070 h 43200"/>
                                    <a:gd name="T8" fmla="*/ 322532 w 43200"/>
                                    <a:gd name="T9" fmla="*/ 620554 h 43200"/>
                                    <a:gd name="T10" fmla="*/ 309457 w 43200"/>
                                    <a:gd name="T11" fmla="*/ 592931 h 43200"/>
                                    <a:gd name="T12" fmla="*/ 564245 w 43200"/>
                                    <a:gd name="T13" fmla="*/ 551672 h 43200"/>
                                    <a:gd name="T14" fmla="*/ 559019 w 43200"/>
                                    <a:gd name="T15" fmla="*/ 581978 h 43200"/>
                                    <a:gd name="T16" fmla="*/ 668024 w 43200"/>
                                    <a:gd name="T17" fmla="*/ 364395 h 43200"/>
                                    <a:gd name="T18" fmla="*/ 731657 w 43200"/>
                                    <a:gd name="T19" fmla="*/ 477679 h 43200"/>
                                    <a:gd name="T20" fmla="*/ 818133 w 43200"/>
                                    <a:gd name="T21" fmla="*/ 243745 h 43200"/>
                                    <a:gd name="T22" fmla="*/ 789791 w 43200"/>
                                    <a:gd name="T23" fmla="*/ 286226 h 43200"/>
                                    <a:gd name="T24" fmla="*/ 750135 w 43200"/>
                                    <a:gd name="T25" fmla="*/ 86138 h 43200"/>
                                    <a:gd name="T26" fmla="*/ 751622 w 43200"/>
                                    <a:gd name="T27" fmla="*/ 106204 h 43200"/>
                                    <a:gd name="T28" fmla="*/ 569158 w 43200"/>
                                    <a:gd name="T29" fmla="*/ 62738 h 43200"/>
                                    <a:gd name="T30" fmla="*/ 583682 w 43200"/>
                                    <a:gd name="T31" fmla="*/ 37148 h 43200"/>
                                    <a:gd name="T32" fmla="*/ 433377 w 43200"/>
                                    <a:gd name="T33" fmla="*/ 74930 h 43200"/>
                                    <a:gd name="T34" fmla="*/ 440404 w 43200"/>
                                    <a:gd name="T35" fmla="*/ 52864 h 43200"/>
                                    <a:gd name="T36" fmla="*/ 274029 w 43200"/>
                                    <a:gd name="T37" fmla="*/ 82423 h 43200"/>
                                    <a:gd name="T38" fmla="*/ 299474 w 43200"/>
                                    <a:gd name="T39" fmla="*/ 103823 h 43200"/>
                                    <a:gd name="T40" fmla="*/ 80780 w 43200"/>
                                    <a:gd name="T41" fmla="*/ 250650 h 43200"/>
                                    <a:gd name="T42" fmla="*/ 76337 w 43200"/>
                                    <a:gd name="T43" fmla="*/ 22812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gradFill rotWithShape="1">
                                  <a:gsLst>
                                    <a:gs pos="0">
                                      <a:srgbClr val="FFE5E5"/>
                                    </a:gs>
                                    <a:gs pos="64999">
                                      <a:srgbClr val="FFBEBD"/>
                                    </a:gs>
                                    <a:gs pos="100000">
                                      <a:srgbClr val="FFA2A1"/>
                                    </a:gs>
                                  </a:gsLst>
                                  <a:lin ang="5400000" scaled="1"/>
                                </a:gradFill>
                                <a:ln w="9525">
                                  <a:solidFill>
                                    <a:schemeClr val="accent2">
                                      <a:lumMod val="95000"/>
                                      <a:lumOff val="0"/>
                                    </a:schemeClr>
                                  </a:solidFill>
                                  <a:miter lim="800000"/>
                                  <a:headEnd/>
                                  <a:tailEnd/>
                                </a:ln>
                                <a:effectLst>
                                  <a:outerShdw dist="20000" dir="5400000" rotWithShape="0">
                                    <a:srgbClr val="808080">
                                      <a:alpha val="37999"/>
                                    </a:srgbClr>
                                  </a:outerShdw>
                                </a:effectLst>
                              </wps:spPr>
                              <wps:txb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Vented</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~168 t</w:t>
                                    </w:r>
                                  </w:p>
                                </w:txbxContent>
                              </wps:txbx>
                              <wps:bodyPr rot="0" vert="horz" wrap="square" lIns="91440" tIns="45720" rIns="91440" bIns="45720" anchor="ctr" anchorCtr="0" upright="1">
                                <a:noAutofit/>
                              </wps:bodyPr>
                            </wps:wsp>
                            <wps:wsp>
                              <wps:cNvPr id="39" name="Straight Connector 21"/>
                              <wps:cNvCnPr>
                                <a:cxnSpLocks noChangeShapeType="1"/>
                              </wps:cNvCnPr>
                              <wps:spPr bwMode="auto">
                                <a:xfrm>
                                  <a:off x="3698052" y="3162298"/>
                                  <a:ext cx="1234887" cy="330202"/>
                                </a:xfrm>
                                <a:prstGeom prst="line">
                                  <a:avLst/>
                                </a:prstGeom>
                                <a:noFill/>
                                <a:ln w="9525">
                                  <a:solidFill>
                                    <a:srgbClr val="FF0000"/>
                                  </a:solidFill>
                                  <a:prstDash val="dash"/>
                                  <a:round/>
                                  <a:headEnd/>
                                  <a:tailEnd/>
                                </a:ln>
                                <a:effectLst>
                                  <a:outerShdw dist="23000" dir="5400000" rotWithShape="0">
                                    <a:srgbClr val="808080">
                                      <a:alpha val="34999"/>
                                    </a:srgbClr>
                                  </a:outerShdw>
                                </a:effectLst>
                                <a:extLst>
                                  <a:ext uri="{909E8E84-426E-40DD-AFC4-6F175D3DCCD1}">
                                    <a14:hiddenFill xmlns:a14="http://schemas.microsoft.com/office/drawing/2010/main">
                                      <a:noFill/>
                                    </a14:hiddenFill>
                                  </a:ext>
                                </a:extLst>
                              </wps:spPr>
                              <wps:bodyPr/>
                            </wps:wsp>
                            <wps:wsp>
                              <wps:cNvPr id="40" name="Straight Connector 22"/>
                              <wps:cNvCnPr>
                                <a:cxnSpLocks noChangeShapeType="1"/>
                              </wps:cNvCnPr>
                              <wps:spPr bwMode="auto">
                                <a:xfrm flipH="1">
                                  <a:off x="3688015" y="3162300"/>
                                  <a:ext cx="7373" cy="426560"/>
                                </a:xfrm>
                                <a:prstGeom prst="line">
                                  <a:avLst/>
                                </a:prstGeom>
                                <a:noFill/>
                                <a:ln w="9525">
                                  <a:solidFill>
                                    <a:srgbClr val="FF0000"/>
                                  </a:solidFill>
                                  <a:prstDash val="dash"/>
                                  <a:round/>
                                  <a:headEnd/>
                                  <a:tailEnd/>
                                </a:ln>
                                <a:effectLst>
                                  <a:outerShdw dist="23000" dir="5400000" rotWithShape="0">
                                    <a:srgbClr val="808080">
                                      <a:alpha val="34999"/>
                                    </a:srgbClr>
                                  </a:outerShdw>
                                </a:effectLst>
                                <a:extLst>
                                  <a:ext uri="{909E8E84-426E-40DD-AFC4-6F175D3DCCD1}">
                                    <a14:hiddenFill xmlns:a14="http://schemas.microsoft.com/office/drawing/2010/main">
                                      <a:noFill/>
                                    </a14:hiddenFill>
                                  </a:ext>
                                </a:extLst>
                              </wps:spPr>
                              <wps:bodyPr/>
                            </wps:wsp>
                            <wps:wsp>
                              <wps:cNvPr id="41" name="Rectangle 23"/>
                              <wps:cNvSpPr>
                                <a:spLocks noChangeArrowheads="1"/>
                              </wps:cNvSpPr>
                              <wps:spPr bwMode="auto">
                                <a:xfrm>
                                  <a:off x="6465630" y="3234299"/>
                                  <a:ext cx="792000" cy="50585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Refrigerant destroyed</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(&lt;18 t)</w:t>
                                    </w:r>
                                  </w:p>
                                </w:txbxContent>
                              </wps:txbx>
                              <wps:bodyPr rot="0" vert="horz" wrap="square" lIns="91440" tIns="45720" rIns="91440" bIns="45720" anchor="ctr" anchorCtr="0" upright="1">
                                <a:noAutofit/>
                              </wps:bodyPr>
                            </wps:wsp>
                            <wps:wsp>
                              <wps:cNvPr id="42" name="Rectangle 24"/>
                              <wps:cNvSpPr>
                                <a:spLocks noChangeArrowheads="1"/>
                              </wps:cNvSpPr>
                              <wps:spPr bwMode="auto">
                                <a:xfrm>
                                  <a:off x="6465630" y="3944460"/>
                                  <a:ext cx="792000" cy="50585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Refrigerant reused</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(~2 t)</w:t>
                                    </w:r>
                                  </w:p>
                                </w:txbxContent>
                              </wps:txbx>
                              <wps:bodyPr rot="0" vert="horz" wrap="square" lIns="91440" tIns="45720" rIns="91440" bIns="45720" anchor="ctr" anchorCtr="0" upright="1">
                                <a:noAutofit/>
                              </wps:bodyPr>
                            </wps:wsp>
                            <wps:wsp>
                              <wps:cNvPr id="43" name="Straight Connector 25"/>
                              <wps:cNvCnPr>
                                <a:cxnSpLocks noChangeShapeType="1"/>
                              </wps:cNvCnPr>
                              <wps:spPr bwMode="auto">
                                <a:xfrm flipV="1">
                                  <a:off x="5733630" y="3492498"/>
                                  <a:ext cx="720000" cy="1"/>
                                </a:xfrm>
                                <a:prstGeom prst="line">
                                  <a:avLst/>
                                </a:prstGeom>
                                <a:noFill/>
                                <a:ln w="9525">
                                  <a:solidFill>
                                    <a:srgbClr val="FF0000"/>
                                  </a:solidFill>
                                  <a:prstDash val="dash"/>
                                  <a:round/>
                                  <a:headEnd/>
                                  <a:tailEnd/>
                                </a:ln>
                                <a:effectLst>
                                  <a:outerShdw dist="23000" dir="5400000" rotWithShape="0">
                                    <a:srgbClr val="808080">
                                      <a:alpha val="34999"/>
                                    </a:srgbClr>
                                  </a:outerShdw>
                                </a:effectLst>
                                <a:extLst>
                                  <a:ext uri="{909E8E84-426E-40DD-AFC4-6F175D3DCCD1}">
                                    <a14:hiddenFill xmlns:a14="http://schemas.microsoft.com/office/drawing/2010/main">
                                      <a:noFill/>
                                    </a14:hiddenFill>
                                  </a:ext>
                                </a:extLst>
                              </wps:spPr>
                              <wps:bodyPr/>
                            </wps:wsp>
                            <wps:wsp>
                              <wps:cNvPr id="44" name="Straight Connector 26"/>
                              <wps:cNvCnPr>
                                <a:cxnSpLocks noChangeShapeType="1"/>
                              </wps:cNvCnPr>
                              <wps:spPr bwMode="auto">
                                <a:xfrm>
                                  <a:off x="5733630" y="3492502"/>
                                  <a:ext cx="732000" cy="704883"/>
                                </a:xfrm>
                                <a:prstGeom prst="line">
                                  <a:avLst/>
                                </a:prstGeom>
                                <a:noFill/>
                                <a:ln w="9525">
                                  <a:solidFill>
                                    <a:srgbClr val="FF0000"/>
                                  </a:solidFill>
                                  <a:prstDash val="dash"/>
                                  <a:round/>
                                  <a:headEnd/>
                                  <a:tailEnd/>
                                </a:ln>
                                <a:effectLst>
                                  <a:outerShdw dist="23000" dir="5400000" rotWithShape="0">
                                    <a:srgbClr val="808080">
                                      <a:alpha val="34999"/>
                                    </a:srgbClr>
                                  </a:outerShdw>
                                </a:effectLst>
                                <a:extLst>
                                  <a:ext uri="{909E8E84-426E-40DD-AFC4-6F175D3DCCD1}">
                                    <a14:hiddenFill xmlns:a14="http://schemas.microsoft.com/office/drawing/2010/main">
                                      <a:noFill/>
                                    </a14:hiddenFill>
                                  </a:ext>
                                </a:extLst>
                              </wps:spPr>
                              <wps:bodyPr/>
                            </wps:wsp>
                            <wps:wsp>
                              <wps:cNvPr id="45" name="Straight Connector 27"/>
                              <wps:cNvCnPr>
                                <a:cxnSpLocks noChangeShapeType="1"/>
                              </wps:cNvCnPr>
                              <wps:spPr bwMode="auto">
                                <a:xfrm flipV="1">
                                  <a:off x="88725" y="3702565"/>
                                  <a:ext cx="360000" cy="1"/>
                                </a:xfrm>
                                <a:prstGeom prst="line">
                                  <a:avLst/>
                                </a:prstGeom>
                                <a:noFill/>
                                <a:ln w="9525">
                                  <a:solidFill>
                                    <a:srgbClr val="FF0000"/>
                                  </a:solidFill>
                                  <a:prstDash val="dash"/>
                                  <a:round/>
                                  <a:headEnd/>
                                  <a:tailEnd/>
                                </a:ln>
                                <a:effectLst>
                                  <a:outerShdw dist="23000" dir="5400000" rotWithShape="0">
                                    <a:srgbClr val="808080">
                                      <a:alpha val="34999"/>
                                    </a:srgbClr>
                                  </a:outerShdw>
                                </a:effectLst>
                                <a:extLst>
                                  <a:ext uri="{909E8E84-426E-40DD-AFC4-6F175D3DCCD1}">
                                    <a14:hiddenFill xmlns:a14="http://schemas.microsoft.com/office/drawing/2010/main">
                                      <a:noFill/>
                                    </a14:hiddenFill>
                                  </a:ext>
                                </a:extLst>
                              </wps:spPr>
                              <wps:bodyPr/>
                            </wps:wsp>
                            <wps:wsp>
                              <wps:cNvPr id="46" name="Straight Connector 28"/>
                              <wps:cNvCnPr>
                                <a:cxnSpLocks noChangeShapeType="1"/>
                              </wps:cNvCnPr>
                              <wps:spPr bwMode="auto">
                                <a:xfrm flipV="1">
                                  <a:off x="88725" y="3620015"/>
                                  <a:ext cx="360000" cy="1"/>
                                </a:xfrm>
                                <a:prstGeom prst="line">
                                  <a:avLst/>
                                </a:prstGeom>
                                <a:noFill/>
                                <a:ln w="9525">
                                  <a:solidFill>
                                    <a:srgbClr val="008000"/>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noFill/>
                                    </a14:hiddenFill>
                                  </a:ext>
                                </a:extLst>
                              </wps:spPr>
                              <wps:bodyPr/>
                            </wps:wsp>
                            <wps:wsp>
                              <wps:cNvPr id="47" name="Straight Connector 29"/>
                              <wps:cNvCnPr>
                                <a:cxnSpLocks noChangeShapeType="1"/>
                              </wps:cNvCnPr>
                              <wps:spPr bwMode="auto">
                                <a:xfrm>
                                  <a:off x="5733630" y="1546406"/>
                                  <a:ext cx="732000" cy="1618"/>
                                </a:xfrm>
                                <a:prstGeom prst="line">
                                  <a:avLst/>
                                </a:prstGeom>
                                <a:noFill/>
                                <a:ln w="9525">
                                  <a:solidFill>
                                    <a:srgbClr val="008000"/>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noFill/>
                                    </a14:hiddenFill>
                                  </a:ext>
                                </a:extLst>
                              </wps:spPr>
                              <wps:bodyPr/>
                            </wps:wsp>
                            <wps:wsp>
                              <wps:cNvPr id="48" name="Straight Connector 30"/>
                              <wps:cNvCnPr>
                                <a:cxnSpLocks noChangeShapeType="1"/>
                              </wps:cNvCnPr>
                              <wps:spPr bwMode="auto">
                                <a:xfrm flipV="1">
                                  <a:off x="5743405" y="777271"/>
                                  <a:ext cx="722225" cy="767515"/>
                                </a:xfrm>
                                <a:prstGeom prst="line">
                                  <a:avLst/>
                                </a:prstGeom>
                                <a:noFill/>
                                <a:ln w="9525">
                                  <a:solidFill>
                                    <a:srgbClr val="008000"/>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noFill/>
                                    </a14:hiddenFill>
                                  </a:ext>
                                </a:extLst>
                              </wps:spPr>
                              <wps:bodyPr/>
                            </wps:wsp>
                            <wps:wsp>
                              <wps:cNvPr id="49" name="Straight Connector 31"/>
                              <wps:cNvCnPr>
                                <a:cxnSpLocks noChangeShapeType="1"/>
                              </wps:cNvCnPr>
                              <wps:spPr bwMode="auto">
                                <a:xfrm>
                                  <a:off x="5733630" y="1546404"/>
                                  <a:ext cx="732000" cy="732948"/>
                                </a:xfrm>
                                <a:prstGeom prst="line">
                                  <a:avLst/>
                                </a:prstGeom>
                                <a:noFill/>
                                <a:ln w="9525">
                                  <a:solidFill>
                                    <a:srgbClr val="FF0000"/>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noFill/>
                                    </a14:hiddenFill>
                                  </a:ext>
                                </a:extLst>
                              </wps:spPr>
                              <wps:bodyPr/>
                            </wps:wsp>
                            <wps:wsp>
                              <wps:cNvPr id="50" name="Straight Connector 32"/>
                              <wps:cNvCnPr>
                                <a:cxnSpLocks noChangeShapeType="1"/>
                              </wps:cNvCnPr>
                              <wps:spPr bwMode="auto">
                                <a:xfrm flipV="1">
                                  <a:off x="87312" y="3531113"/>
                                  <a:ext cx="360000" cy="1"/>
                                </a:xfrm>
                                <a:prstGeom prst="line">
                                  <a:avLst/>
                                </a:prstGeom>
                                <a:noFill/>
                                <a:ln w="9525">
                                  <a:solidFill>
                                    <a:srgbClr val="FF0000"/>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noFill/>
                                    </a14:hiddenFill>
                                  </a:ext>
                                </a:extLst>
                              </wps:spPr>
                              <wps:bodyPr/>
                            </wps:wsp>
                            <wps:wsp>
                              <wps:cNvPr id="51" name="Text Box 33"/>
                              <wps:cNvSpPr txBox="1">
                                <a:spLocks noChangeArrowheads="1"/>
                              </wps:cNvSpPr>
                              <wps:spPr bwMode="auto">
                                <a:xfrm>
                                  <a:off x="0" y="3900582"/>
                                  <a:ext cx="1419860" cy="53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8ED" w:rsidRDefault="007458ED" w:rsidP="007458ED">
                                    <w:pPr>
                                      <w:pStyle w:val="NormalWeb"/>
                                      <w:spacing w:before="0" w:beforeAutospacing="0" w:after="0" w:afterAutospacing="0"/>
                                    </w:pPr>
                                    <w:r>
                                      <w:rPr>
                                        <w:rFonts w:asciiTheme="minorHAnsi" w:hAnsi="Cambria" w:cstheme="minorBidi"/>
                                        <w:color w:val="000000" w:themeColor="text1"/>
                                        <w:kern w:val="24"/>
                                        <w:sz w:val="12"/>
                                        <w:szCs w:val="12"/>
                                      </w:rPr>
                                      <w:t xml:space="preserve">658,000 ELVs in 2013 </w:t>
                                    </w:r>
                                  </w:p>
                                  <w:p w:rsidR="007458ED" w:rsidRDefault="007458ED" w:rsidP="007458ED">
                                    <w:pPr>
                                      <w:pStyle w:val="NormalWeb"/>
                                      <w:spacing w:before="0" w:beforeAutospacing="0" w:after="0" w:afterAutospacing="0"/>
                                    </w:pPr>
                                    <w:r>
                                      <w:rPr>
                                        <w:rFonts w:asciiTheme="minorHAnsi" w:hAnsi="Cambria" w:cstheme="minorBidi"/>
                                        <w:color w:val="000000" w:themeColor="text1"/>
                                        <w:kern w:val="24"/>
                                        <w:sz w:val="12"/>
                                        <w:szCs w:val="12"/>
                                      </w:rPr>
                                      <w:t>with around 3 to 6 weeks of inventory</w:t>
                                    </w:r>
                                  </w:p>
                                  <w:p w:rsidR="007458ED" w:rsidRDefault="007458ED" w:rsidP="007458ED">
                                    <w:pPr>
                                      <w:pStyle w:val="NormalWeb"/>
                                      <w:spacing w:before="0" w:beforeAutospacing="0" w:after="0" w:afterAutospacing="0"/>
                                    </w:pPr>
                                    <w:r>
                                      <w:rPr>
                                        <w:rFonts w:asciiTheme="minorHAnsi" w:hAnsi="Cambria" w:cstheme="minorBidi"/>
                                        <w:color w:val="000000" w:themeColor="text1"/>
                                        <w:kern w:val="24"/>
                                        <w:sz w:val="12"/>
                                        <w:szCs w:val="12"/>
                                      </w:rPr>
                                      <w:t>Average residual charge = 340 grams</w:t>
                                    </w:r>
                                  </w:p>
                                  <w:p w:rsidR="007458ED" w:rsidRDefault="007458ED" w:rsidP="007458ED">
                                    <w:pPr>
                                      <w:pStyle w:val="NormalWeb"/>
                                      <w:spacing w:before="0" w:beforeAutospacing="0" w:after="0" w:afterAutospacing="0"/>
                                    </w:pPr>
                                    <w:r>
                                      <w:rPr>
                                        <w:rFonts w:asciiTheme="minorHAnsi" w:hAnsi="Cambria" w:cstheme="minorBidi"/>
                                        <w:color w:val="000000" w:themeColor="text1"/>
                                        <w:kern w:val="24"/>
                                        <w:sz w:val="12"/>
                                        <w:szCs w:val="12"/>
                                      </w:rPr>
                                      <w:t xml:space="preserve">ELV high GWP bank = 187 t </w:t>
                                    </w:r>
                                  </w:p>
                                </w:txbxContent>
                              </wps:txbx>
                              <wps:bodyPr rot="0" vert="horz" wrap="square" lIns="91440" tIns="45720" rIns="91440" bIns="45720" anchor="t" anchorCtr="0" upright="1">
                                <a:spAutoFit/>
                              </wps:bodyPr>
                            </wps:wsp>
                            <wps:wsp>
                              <wps:cNvPr id="52" name="Straight Arrow Connector 34"/>
                              <wps:cNvCnPr>
                                <a:cxnSpLocks noChangeShapeType="1"/>
                              </wps:cNvCnPr>
                              <wps:spPr bwMode="auto">
                                <a:xfrm>
                                  <a:off x="1823027" y="372046"/>
                                  <a:ext cx="479855" cy="0"/>
                                </a:xfrm>
                                <a:prstGeom prst="straightConnector1">
                                  <a:avLst/>
                                </a:prstGeom>
                                <a:noFill/>
                                <a:ln w="12700">
                                  <a:solidFill>
                                    <a:schemeClr val="accent1">
                                      <a:lumMod val="100000"/>
                                      <a:lumOff val="0"/>
                                    </a:schemeClr>
                                  </a:solidFill>
                                  <a:round/>
                                  <a:headEnd/>
                                  <a:tailEnd type="triangle" w="sm" len="sm"/>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53" name="Straight Arrow Connector 35"/>
                              <wps:cNvCnPr>
                                <a:cxnSpLocks noChangeShapeType="1"/>
                              </wps:cNvCnPr>
                              <wps:spPr bwMode="auto">
                                <a:xfrm>
                                  <a:off x="1841440" y="953763"/>
                                  <a:ext cx="460527" cy="0"/>
                                </a:xfrm>
                                <a:prstGeom prst="straightConnector1">
                                  <a:avLst/>
                                </a:prstGeom>
                                <a:noFill/>
                                <a:ln w="12700">
                                  <a:solidFill>
                                    <a:schemeClr val="accent1">
                                      <a:lumMod val="100000"/>
                                      <a:lumOff val="0"/>
                                    </a:schemeClr>
                                  </a:solidFill>
                                  <a:round/>
                                  <a:headEnd/>
                                  <a:tailEnd type="triangle" w="sm" len="sm"/>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54" name="Straight Arrow Connector 36"/>
                              <wps:cNvCnPr>
                                <a:cxnSpLocks noChangeShapeType="1"/>
                              </wps:cNvCnPr>
                              <wps:spPr bwMode="auto">
                                <a:xfrm flipH="1">
                                  <a:off x="2634967" y="588046"/>
                                  <a:ext cx="915" cy="149717"/>
                                </a:xfrm>
                                <a:prstGeom prst="straightConnector1">
                                  <a:avLst/>
                                </a:prstGeom>
                                <a:noFill/>
                                <a:ln w="12700">
                                  <a:solidFill>
                                    <a:schemeClr val="accent1">
                                      <a:lumMod val="100000"/>
                                      <a:lumOff val="0"/>
                                    </a:schemeClr>
                                  </a:solidFill>
                                  <a:round/>
                                  <a:headEnd/>
                                  <a:tailEnd type="triangle" w="sm" len="sm"/>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55" name="Straight Arrow Connector 37"/>
                              <wps:cNvCnPr>
                                <a:cxnSpLocks noChangeShapeType="1"/>
                              </wps:cNvCnPr>
                              <wps:spPr bwMode="auto">
                                <a:xfrm>
                                  <a:off x="2967967" y="953763"/>
                                  <a:ext cx="451610" cy="177102"/>
                                </a:xfrm>
                                <a:prstGeom prst="straightConnector1">
                                  <a:avLst/>
                                </a:prstGeom>
                                <a:noFill/>
                                <a:ln w="12700">
                                  <a:solidFill>
                                    <a:schemeClr val="accent1">
                                      <a:lumMod val="100000"/>
                                      <a:lumOff val="0"/>
                                    </a:schemeClr>
                                  </a:solidFill>
                                  <a:round/>
                                  <a:headEnd/>
                                  <a:tailEnd type="triangle" w="sm" len="sm"/>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56" name="Straight Arrow Connector 38"/>
                              <wps:cNvCnPr>
                                <a:cxnSpLocks noChangeShapeType="1"/>
                              </wps:cNvCnPr>
                              <wps:spPr bwMode="auto">
                                <a:xfrm flipV="1">
                                  <a:off x="1825490" y="1130865"/>
                                  <a:ext cx="1594087" cy="525679"/>
                                </a:xfrm>
                                <a:prstGeom prst="straightConnector1">
                                  <a:avLst/>
                                </a:prstGeom>
                                <a:noFill/>
                                <a:ln w="12700">
                                  <a:solidFill>
                                    <a:schemeClr val="accent1">
                                      <a:lumMod val="100000"/>
                                      <a:lumOff val="0"/>
                                    </a:schemeClr>
                                  </a:solidFill>
                                  <a:round/>
                                  <a:headEnd/>
                                  <a:tailEnd type="triangle" w="sm" len="sm"/>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57" name="Rectangle 39"/>
                              <wps:cNvSpPr>
                                <a:spLocks noChangeArrowheads="1"/>
                              </wps:cNvSpPr>
                              <wps:spPr bwMode="auto">
                                <a:xfrm>
                                  <a:off x="1175440" y="2075683"/>
                                  <a:ext cx="666000" cy="540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Stolen Vehicles SNR and Recovered</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3%</w:t>
                                    </w:r>
                                  </w:p>
                                </w:txbxContent>
                              </wps:txbx>
                              <wps:bodyPr rot="0" vert="horz" wrap="square" lIns="91440" tIns="45720" rIns="91440" bIns="45720" anchor="ctr" anchorCtr="0" upright="1">
                                <a:noAutofit/>
                              </wps:bodyPr>
                            </wps:wsp>
                            <wps:wsp>
                              <wps:cNvPr id="60" name="Rectangle 40"/>
                              <wps:cNvSpPr>
                                <a:spLocks noChangeArrowheads="1"/>
                              </wps:cNvSpPr>
                              <wps:spPr bwMode="auto">
                                <a:xfrm>
                                  <a:off x="1167427" y="709755"/>
                                  <a:ext cx="666000" cy="540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Damage by collision or event</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11% of ELVs uninsured</w:t>
                                    </w:r>
                                  </w:p>
                                </w:txbxContent>
                              </wps:txbx>
                              <wps:bodyPr rot="0" vert="horz" wrap="square" lIns="91440" tIns="45720" rIns="91440" bIns="45720" anchor="ctr" anchorCtr="0" upright="1">
                                <a:noAutofit/>
                              </wps:bodyPr>
                            </wps:wsp>
                            <wps:wsp>
                              <wps:cNvPr id="61" name="Rectangle 41"/>
                              <wps:cNvSpPr>
                                <a:spLocks noChangeArrowheads="1"/>
                              </wps:cNvSpPr>
                              <wps:spPr bwMode="auto">
                                <a:xfrm>
                                  <a:off x="1159490" y="1386544"/>
                                  <a:ext cx="666000" cy="540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Retired breakdown or uneconomic</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66%</w:t>
                                    </w:r>
                                  </w:p>
                                </w:txbxContent>
                              </wps:txbx>
                              <wps:bodyPr rot="0" vert="horz" wrap="square" lIns="91440" tIns="45720" rIns="91440" bIns="45720" anchor="ctr" anchorCtr="0" upright="1">
                                <a:noAutofit/>
                              </wps:bodyPr>
                            </wps:wsp>
                            <wps:wsp>
                              <wps:cNvPr id="62" name="Straight Arrow Connector 42"/>
                              <wps:cNvCnPr>
                                <a:cxnSpLocks noChangeShapeType="1"/>
                              </wps:cNvCnPr>
                              <wps:spPr bwMode="auto">
                                <a:xfrm flipV="1">
                                  <a:off x="1825490" y="953763"/>
                                  <a:ext cx="476477" cy="702781"/>
                                </a:xfrm>
                                <a:prstGeom prst="straightConnector1">
                                  <a:avLst/>
                                </a:prstGeom>
                                <a:noFill/>
                                <a:ln w="12700">
                                  <a:solidFill>
                                    <a:schemeClr val="accent1">
                                      <a:lumMod val="100000"/>
                                      <a:lumOff val="0"/>
                                    </a:schemeClr>
                                  </a:solidFill>
                                  <a:round/>
                                  <a:headEnd/>
                                  <a:tailEnd type="triangle" w="sm" len="sm"/>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63" name="Straight Arrow Connector 43"/>
                              <wps:cNvCnPr>
                                <a:cxnSpLocks noChangeShapeType="1"/>
                              </wps:cNvCnPr>
                              <wps:spPr bwMode="auto">
                                <a:xfrm>
                                  <a:off x="2968882" y="372046"/>
                                  <a:ext cx="450695" cy="59299"/>
                                </a:xfrm>
                                <a:prstGeom prst="straightConnector1">
                                  <a:avLst/>
                                </a:prstGeom>
                                <a:noFill/>
                                <a:ln w="12700">
                                  <a:solidFill>
                                    <a:schemeClr val="accent1">
                                      <a:lumMod val="100000"/>
                                      <a:lumOff val="0"/>
                                    </a:schemeClr>
                                  </a:solidFill>
                                  <a:round/>
                                  <a:headEnd/>
                                  <a:tailEnd type="triangle" w="sm" len="sm"/>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92" name="Straight Arrow Connector 44"/>
                              <wps:cNvCnPr>
                                <a:cxnSpLocks noChangeShapeType="1"/>
                              </wps:cNvCnPr>
                              <wps:spPr bwMode="auto">
                                <a:xfrm flipV="1">
                                  <a:off x="684128" y="979755"/>
                                  <a:ext cx="483299" cy="636055"/>
                                </a:xfrm>
                                <a:prstGeom prst="straightConnector1">
                                  <a:avLst/>
                                </a:prstGeom>
                                <a:noFill/>
                                <a:ln w="12700">
                                  <a:solidFill>
                                    <a:schemeClr val="accent1">
                                      <a:lumMod val="100000"/>
                                      <a:lumOff val="0"/>
                                    </a:schemeClr>
                                  </a:solidFill>
                                  <a:round/>
                                  <a:headEnd/>
                                  <a:tailEnd type="triangle" w="sm" len="sm"/>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93" name="Straight Arrow Connector 45"/>
                              <wps:cNvCnPr>
                                <a:cxnSpLocks noChangeShapeType="1"/>
                              </wps:cNvCnPr>
                              <wps:spPr bwMode="auto">
                                <a:xfrm>
                                  <a:off x="684128" y="1615810"/>
                                  <a:ext cx="475362" cy="40734"/>
                                </a:xfrm>
                                <a:prstGeom prst="straightConnector1">
                                  <a:avLst/>
                                </a:prstGeom>
                                <a:noFill/>
                                <a:ln w="12700">
                                  <a:solidFill>
                                    <a:schemeClr val="accent1">
                                      <a:lumMod val="100000"/>
                                      <a:lumOff val="0"/>
                                    </a:schemeClr>
                                  </a:solidFill>
                                  <a:round/>
                                  <a:headEnd/>
                                  <a:tailEnd type="triangle" w="sm" len="sm"/>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96" name="Straight Arrow Connector 46"/>
                              <wps:cNvCnPr>
                                <a:cxnSpLocks noChangeShapeType="1"/>
                              </wps:cNvCnPr>
                              <wps:spPr bwMode="auto">
                                <a:xfrm>
                                  <a:off x="2968882" y="372046"/>
                                  <a:ext cx="450695" cy="758819"/>
                                </a:xfrm>
                                <a:prstGeom prst="straightConnector1">
                                  <a:avLst/>
                                </a:prstGeom>
                                <a:noFill/>
                                <a:ln w="12700">
                                  <a:solidFill>
                                    <a:schemeClr val="accent1">
                                      <a:lumMod val="100000"/>
                                      <a:lumOff val="0"/>
                                    </a:schemeClr>
                                  </a:solidFill>
                                  <a:round/>
                                  <a:headEnd/>
                                  <a:tailEnd type="triangle" w="sm" len="sm"/>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97" name="Rectangle 47"/>
                              <wps:cNvSpPr>
                                <a:spLocks noChangeArrowheads="1"/>
                              </wps:cNvSpPr>
                              <wps:spPr bwMode="auto">
                                <a:xfrm>
                                  <a:off x="2154" y="753781"/>
                                  <a:ext cx="666000" cy="4320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Commercial</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10%</w:t>
                                    </w:r>
                                  </w:p>
                                </w:txbxContent>
                              </wps:txbx>
                              <wps:bodyPr rot="0" vert="horz" wrap="square" lIns="91440" tIns="45720" rIns="91440" bIns="45720" anchor="ctr" anchorCtr="0" upright="1">
                                <a:noAutofit/>
                              </wps:bodyPr>
                            </wps:wsp>
                            <wps:wsp>
                              <wps:cNvPr id="198" name="Straight Arrow Connector 48"/>
                              <wps:cNvCnPr>
                                <a:cxnSpLocks noChangeShapeType="1"/>
                              </wps:cNvCnPr>
                              <wps:spPr bwMode="auto">
                                <a:xfrm>
                                  <a:off x="668154" y="969781"/>
                                  <a:ext cx="499273" cy="9974"/>
                                </a:xfrm>
                                <a:prstGeom prst="straightConnector1">
                                  <a:avLst/>
                                </a:prstGeom>
                                <a:noFill/>
                                <a:ln w="12700">
                                  <a:solidFill>
                                    <a:schemeClr val="accent1">
                                      <a:lumMod val="100000"/>
                                      <a:lumOff val="0"/>
                                    </a:schemeClr>
                                  </a:solidFill>
                                  <a:round/>
                                  <a:headEnd/>
                                  <a:tailEnd type="triangle" w="sm" len="sm"/>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01" name="Straight Arrow Connector 49"/>
                              <wps:cNvCnPr>
                                <a:cxnSpLocks noChangeShapeType="1"/>
                              </wps:cNvCnPr>
                              <wps:spPr bwMode="auto">
                                <a:xfrm>
                                  <a:off x="684128" y="1615810"/>
                                  <a:ext cx="491312" cy="729873"/>
                                </a:xfrm>
                                <a:prstGeom prst="straightConnector1">
                                  <a:avLst/>
                                </a:prstGeom>
                                <a:noFill/>
                                <a:ln w="12700">
                                  <a:solidFill>
                                    <a:schemeClr val="accent1">
                                      <a:lumMod val="100000"/>
                                      <a:lumOff val="0"/>
                                    </a:schemeClr>
                                  </a:solidFill>
                                  <a:round/>
                                  <a:headEnd/>
                                  <a:tailEnd type="triangle" w="sm" len="sm"/>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02" name="Straight Arrow Connector 50"/>
                              <wps:cNvCnPr>
                                <a:cxnSpLocks noChangeShapeType="1"/>
                              </wps:cNvCnPr>
                              <wps:spPr bwMode="auto">
                                <a:xfrm flipV="1">
                                  <a:off x="1841440" y="1130865"/>
                                  <a:ext cx="1578137" cy="1214818"/>
                                </a:xfrm>
                                <a:prstGeom prst="straightConnector1">
                                  <a:avLst/>
                                </a:prstGeom>
                                <a:noFill/>
                                <a:ln w="12700">
                                  <a:solidFill>
                                    <a:schemeClr val="accent1">
                                      <a:lumMod val="100000"/>
                                      <a:lumOff val="0"/>
                                    </a:schemeClr>
                                  </a:solidFill>
                                  <a:round/>
                                  <a:headEnd/>
                                  <a:tailEnd type="triangle" w="sm" len="sm"/>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03" name="Straight Arrow Connector 51"/>
                              <wps:cNvCnPr>
                                <a:cxnSpLocks noChangeShapeType="1"/>
                              </wps:cNvCnPr>
                              <wps:spPr bwMode="auto">
                                <a:xfrm flipV="1">
                                  <a:off x="1841440" y="1856447"/>
                                  <a:ext cx="1578137" cy="489236"/>
                                </a:xfrm>
                                <a:prstGeom prst="straightConnector1">
                                  <a:avLst/>
                                </a:prstGeom>
                                <a:noFill/>
                                <a:ln w="12700">
                                  <a:solidFill>
                                    <a:schemeClr val="accent1">
                                      <a:lumMod val="100000"/>
                                      <a:lumOff val="0"/>
                                    </a:schemeClr>
                                  </a:solidFill>
                                  <a:round/>
                                  <a:headEnd/>
                                  <a:tailEnd type="triangle" w="sm" len="sm"/>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04" name="Straight Arrow Connector 52"/>
                              <wps:cNvCnPr>
                                <a:cxnSpLocks noChangeShapeType="1"/>
                              </wps:cNvCnPr>
                              <wps:spPr bwMode="auto">
                                <a:xfrm>
                                  <a:off x="1841440" y="1656544"/>
                                  <a:ext cx="1578137" cy="991502"/>
                                </a:xfrm>
                                <a:prstGeom prst="straightConnector1">
                                  <a:avLst/>
                                </a:prstGeom>
                                <a:noFill/>
                                <a:ln w="12700">
                                  <a:solidFill>
                                    <a:schemeClr val="accent1">
                                      <a:lumMod val="100000"/>
                                      <a:lumOff val="0"/>
                                    </a:schemeClr>
                                  </a:solidFill>
                                  <a:round/>
                                  <a:headEnd/>
                                  <a:tailEnd type="triangle" w="sm" len="sm"/>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05" name="Straight Arrow Connector 53"/>
                              <wps:cNvCnPr>
                                <a:cxnSpLocks noChangeShapeType="1"/>
                              </wps:cNvCnPr>
                              <wps:spPr bwMode="auto">
                                <a:xfrm>
                                  <a:off x="684128" y="1615810"/>
                                  <a:ext cx="491312" cy="1423408"/>
                                </a:xfrm>
                                <a:prstGeom prst="straightConnector1">
                                  <a:avLst/>
                                </a:prstGeom>
                                <a:noFill/>
                                <a:ln w="12700">
                                  <a:solidFill>
                                    <a:schemeClr val="accent1">
                                      <a:lumMod val="100000"/>
                                      <a:lumOff val="0"/>
                                    </a:schemeClr>
                                  </a:solidFill>
                                  <a:round/>
                                  <a:headEnd/>
                                  <a:tailEnd type="triangle" w="sm" len="sm"/>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06" name="Straight Arrow Connector 54"/>
                              <wps:cNvCnPr>
                                <a:cxnSpLocks noChangeShapeType="1"/>
                              </wps:cNvCnPr>
                              <wps:spPr bwMode="auto">
                                <a:xfrm flipV="1">
                                  <a:off x="1841440" y="1856447"/>
                                  <a:ext cx="1578137" cy="1182771"/>
                                </a:xfrm>
                                <a:prstGeom prst="straightConnector1">
                                  <a:avLst/>
                                </a:prstGeom>
                                <a:noFill/>
                                <a:ln w="12700">
                                  <a:solidFill>
                                    <a:schemeClr val="accent1">
                                      <a:lumMod val="100000"/>
                                      <a:lumOff val="0"/>
                                    </a:schemeClr>
                                  </a:solidFill>
                                  <a:round/>
                                  <a:headEnd/>
                                  <a:tailEnd type="triangle" w="sm" len="sm"/>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07" name="Right Brace 55"/>
                              <wps:cNvSpPr>
                                <a:spLocks/>
                              </wps:cNvSpPr>
                              <wps:spPr bwMode="auto">
                                <a:xfrm>
                                  <a:off x="4445129" y="396271"/>
                                  <a:ext cx="304800" cy="2302478"/>
                                </a:xfrm>
                                <a:prstGeom prst="rightBrace">
                                  <a:avLst>
                                    <a:gd name="adj1" fmla="val 8323"/>
                                    <a:gd name="adj2" fmla="val 50000"/>
                                  </a:avLst>
                                </a:prstGeom>
                                <a:noFill/>
                                <a:ln w="25400">
                                  <a:solidFill>
                                    <a:schemeClr val="accent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txbx>
                                <w:txbxContent>
                                  <w:p w:rsidR="007458ED" w:rsidRDefault="007458ED" w:rsidP="007458ED">
                                    <w:pPr>
                                      <w:rPr>
                                        <w:rFonts w:eastAsia="Times New Roman" w:cs="Times New Roman"/>
                                      </w:rPr>
                                    </w:pPr>
                                  </w:p>
                                </w:txbxContent>
                              </wps:txbx>
                              <wps:bodyPr rot="0" vert="horz" wrap="square" lIns="91440" tIns="45720" rIns="91440" bIns="45720" anchor="t" anchorCtr="0" upright="1">
                                <a:noAutofit/>
                              </wps:bodyPr>
                            </wps:wsp>
                            <wps:wsp>
                              <wps:cNvPr id="208" name="Straight Arrow Connector 56"/>
                              <wps:cNvCnPr>
                                <a:cxnSpLocks noChangeShapeType="1"/>
                              </wps:cNvCnPr>
                              <wps:spPr bwMode="auto">
                                <a:xfrm flipH="1">
                                  <a:off x="1498317" y="581235"/>
                                  <a:ext cx="915" cy="126000"/>
                                </a:xfrm>
                                <a:prstGeom prst="straightConnector1">
                                  <a:avLst/>
                                </a:prstGeom>
                                <a:noFill/>
                                <a:ln w="12700">
                                  <a:solidFill>
                                    <a:schemeClr val="accent1">
                                      <a:lumMod val="100000"/>
                                      <a:lumOff val="0"/>
                                    </a:schemeClr>
                                  </a:solidFill>
                                  <a:round/>
                                  <a:headEnd type="triangle" w="sm" len="sm"/>
                                  <a:tailEnd type="none" w="sm" len="sm"/>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inline>
                  </w:drawing>
                </mc:Choice>
                <mc:Fallback>
                  <w:pict>
                    <v:group id="Group 66" o:spid="_x0000_s1096" style="width:612.15pt;height:350.4pt;mso-position-horizontal-relative:char;mso-position-vertical-relative:line" coordsize="77740,4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">
                      <v:rect id="Rectangle 2" o:spid="_x0000_s1097" style="position:absolute;left:49416;top:12934;width:7920;height:5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zqU8IA&#10;AADbAAAADwAAAGRycy9kb3ducmV2LnhtbERPTYvCMBC9C/6HMAt7EU3dg0jXKGVFEBdEW2E9Ds3Y&#10;FptJaaLW/fVGELzN433ObNGZWlypdZVlBeNRBII4t7riQsEhWw2nIJxH1lhbJgV3crCY93szjLW9&#10;8Z6uqS9ECGEXo4LS+yaW0uUlGXQj2xAH7mRbgz7AtpC6xVsIN7X8iqKJNFhxaCixoZ+S8nN6MQpW&#10;92Q92aTb3+P+T2Kya7J/P1gq9fnRJd8gPHX+LX651zrMH8Pzl3C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OpTwgAAANsAAAAPAAAAAAAAAAAAAAAAAJgCAABkcnMvZG93&#10;bnJldi54bWxQSwUGAAAAAAQABAD1AAAAhwMAAAAA&#10;" fillcolor="#e5eeff" strokecolor="#4579b8 [3044]">
                        <v:fill color2="#a3c4ff" rotate="t" colors="0 #e5eeff;42598f #bfd5ff;1 #a3c4ff" focus="100%" type="gradient"/>
                        <v:shadow on="t" opacity="24903f" origin=",.5" offset="0,.55556mm"/>
                        <v:textbo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Metal recyclers</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Shredder</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Crushers</w:t>
                              </w:r>
                            </w:p>
                          </w:txbxContent>
                        </v:textbox>
                      </v:rect>
                      <v:rect id="Rectangle 3" o:spid="_x0000_s1098" style="position:absolute;left:181;top:1560;width:666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sUMIA&#10;AADbAAAADwAAAGRycy9kb3ducmV2LnhtbERPTYvCMBC9C/6HMIIX0XQFRbpGKS6CKMhahd3j0My2&#10;xWZSmqjVX2+EBW/zeJ8zX7amEldqXGlZwccoAkGcWV1yruB0XA9nIJxH1lhZJgV3crBcdDtzjLW9&#10;8YGuqc9FCGEXo4LC+zqW0mUFGXQjWxMH7s82Bn2ATS51g7cQbio5jqKpNFhyaCiwplVB2Tm9GAXr&#10;e7KZbtP97vfwIzH5ro8PP/hSqt9rk08Qnlr/Fv+7NzrMn8Drl3C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xQwgAAANsAAAAPAAAAAAAAAAAAAAAAAJgCAABkcnMvZG93&#10;bnJldi54bWxQSwUGAAAAAAQABAD1AAAAhwMAAAAA&#10;" fillcolor="#e5eeff" strokecolor="#4579b8 [3044]">
                        <v:fill color2="#a3c4ff" rotate="t" colors="0 #e5eeff;42598f #bfd5ff;1 #a3c4ff" focus="100%" type="gradient"/>
                        <v:shadow on="t" opacity="24903f" origin=",.5" offset="0,.55556mm"/>
                        <v:textbo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Owner Vehicle in use</w:t>
                              </w:r>
                            </w:p>
                          </w:txbxContent>
                        </v:textbox>
                      </v:rect>
                      <v:rect id="Rectangle 4" o:spid="_x0000_s1099" style="position:absolute;left:11570;top:1560;width:666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yJ8MA&#10;AADbAAAADwAAAGRycy9kb3ducmV2LnhtbERPS2vCQBC+F/oflin0UnTTHoJEVwktQlCQGgvtcchO&#10;k9DsbMiuefjr3YLgbT6+56w2o2lET52rLSt4nUcgiAuray4VfJ22swUI55E1NpZJwUQONuvHhxUm&#10;2g58pD73pQgh7BJUUHnfJlK6oiKDbm5b4sD92s6gD7Arpe5wCOGmkW9RFEuDNYeGClt6r6j4y89G&#10;wXZKs3iXH/Y/x2+J6Wd7uviXD6Wen8Z0CcLT6O/imzvTYX4M/7+E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VyJ8MAAADbAAAADwAAAAAAAAAAAAAAAACYAgAAZHJzL2Rv&#10;d25yZXYueG1sUEsFBgAAAAAEAAQA9QAAAIgDAAAAAA==&#10;" fillcolor="#e5eeff" strokecolor="#4579b8 [3044]">
                        <v:fill color2="#a3c4ff" rotate="t" colors="0 #e5eeff;42598f #bfd5ff;1 #a3c4ff" focus="100%" type="gradient"/>
                        <v:shadow on="t" opacity="24903f" origin=",.5" offset="0,.55556mm"/>
                        <v:textbo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Insured</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~18% become ELVs</w:t>
                              </w:r>
                            </w:p>
                          </w:txbxContent>
                        </v:textbox>
                      </v:rect>
                      <v:rect id="Rectangle 5" o:spid="_x0000_s1100" style="position:absolute;left:23019;top:7377;width:666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DzsUA&#10;AADbAAAADwAAAGRycy9kb3ducmV2LnhtbESPQWvCQBCF7wX/wzKCl6IbPUiJrhIUQSyUGgv1OGTH&#10;JJidDdlVY39951DobYb35r1vluveNepOXag9G5hOElDEhbc1lwa+TrvxG6gQkS02nsnAkwKsV4OX&#10;JabWP/hI9zyWSkI4pGigirFNtQ5FRQ7DxLfEol185zDK2pXadviQcNfoWZLMtcOapaHCljYVFdf8&#10;5gzsntl+fsg/3s/Hb43ZZ3v6ia9bY0bDPluAitTHf/Pf9d4KvsDKLzK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kPOxQAAANsAAAAPAAAAAAAAAAAAAAAAAJgCAABkcnMv&#10;ZG93bnJldi54bWxQSwUGAAAAAAQABAD1AAAAigMAAAAA&#10;" fillcolor="#e5eeff" strokecolor="#4579b8 [3044]">
                        <v:fill color2="#a3c4ff" rotate="t" colors="0 #e5eeff;42598f #bfd5ff;1 #a3c4ff" focus="100%" type="gradient"/>
                        <v:shadow on="t" opacity="24903f" origin=",.5" offset="0,.55556mm"/>
                        <v:textbo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 xml:space="preserve">Cash for Cars/Tow Truck </w:t>
                              </w:r>
                            </w:p>
                          </w:txbxContent>
                        </v:textbox>
                      </v:rect>
                      <v:rect id="Rectangle 6" o:spid="_x0000_s1101" style="position:absolute;left:34195;top:8428;width:5760;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mVcIA&#10;AADbAAAADwAAAGRycy9kb3ducmV2LnhtbERPTYvCMBC9L/gfwgheFk31INo1SlEEUZC1CrvHoZlt&#10;i82kNFGrv94sCN7m8T5ntmhNJa7UuNKyguEgAkGcWV1yruB0XPcnIJxH1lhZJgV3crCYdz5mGGt7&#10;4wNdU5+LEMIuRgWF93UspcsKMugGtiYO3J9tDPoAm1zqBm8h3FRyFEVjabDk0FBgTcuCsnN6MQrW&#10;92Qz3qb73e/hR2LyXR8f/nOlVK/bJl8gPLX+LX65NzrMn8L/L+E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uZVwgAAANsAAAAPAAAAAAAAAAAAAAAAAJgCAABkcnMvZG93&#10;bnJldi54bWxQSwUGAAAAAAQABAD1AAAAhwMAAAAA&#10;" fillcolor="#e5eeff" strokecolor="#4579b8 [3044]">
                        <v:fill color2="#a3c4ff" rotate="t" colors="0 #e5eeff;42598f #bfd5ff;1 #a3c4ff" focus="100%" type="gradient"/>
                        <v:shadow on="t" opacity="24903f" origin=",.5" offset="0,.55556mm"/>
                        <v:textbo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Auto parts recyclers</w:t>
                              </w:r>
                            </w:p>
                          </w:txbxContent>
                        </v:textbox>
                      </v:rect>
                      <v:rect id="Rectangle 7" o:spid="_x0000_s1102" style="position:absolute;left:34195;top:15684;width:5760;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FdcIA&#10;AADbAAAADwAAAGRycy9kb3ducmV2LnhtbERPTYvCMBC9L/gfwgheFpuuB1mqqRRFEIVFq6DHoRnb&#10;YjMpTVarv35zEPb4eN/zRW8acafO1ZYVfEUxCOLC6ppLBafjevwNwnlkjY1lUvAkB4t08DHHRNsH&#10;H+ie+1KEEHYJKqi8bxMpXVGRQRfZljhwV9sZ9AF2pdQdPkK4aeQkjqfSYM2hocKWlhUVt/zXKFg/&#10;s810m//sLoezxGzfHl/+c6XUaNhnMxCeev8vfrs3WsEkrA9fwg+Q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V1wgAAANsAAAAPAAAAAAAAAAAAAAAAAJgCAABkcnMvZG93&#10;bnJldi54bWxQSwUGAAAAAAQABAD1AAAAhwMAAAAA&#10;" fillcolor="#e5eeff" strokecolor="#4579b8 [3044]">
                        <v:fill color2="#a3c4ff" rotate="t" colors="0 #e5eeff;42598f #bfd5ff;1 #a3c4ff" focus="100%" type="gradient"/>
                        <v:shadow on="t" opacity="24903f" origin=",.5" offset="0,.55556mm"/>
                        <v:textbo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Scrap metal recyclers</w:t>
                              </w:r>
                            </w:p>
                          </w:txbxContent>
                        </v:textbox>
                      </v:rect>
                      <v:rect id="Rectangle 8" o:spid="_x0000_s1103" style="position:absolute;left:11754;top:27692;width:666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m7cYA&#10;AADbAAAADwAAAGRycy9kb3ducmV2LnhtbESPQWvCQBSE7wX/w/KEXkrdVKhIdJWgBEILpYlCPT6y&#10;zySYfRuyW03667uFgsdhZr5h1tvBtOJKvWssK3iZRSCIS6sbrhQcD+nzEoTzyBpby6RgJAfbzeRh&#10;jbG2N87pWvhKBAi7GBXU3nexlK6syaCb2Y44eGfbG/RB9pXUPd4C3LRyHkULabDhsFBjR7uaykvx&#10;bRSkY5It3oqP91P+JTH57A4//mmv1ON0SFYgPA3+Hv5vZ1rB/BX+voQf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sm7cYAAADbAAAADwAAAAAAAAAAAAAAAACYAgAAZHJz&#10;L2Rvd25yZXYueG1sUEsFBgAAAAAEAAQA9QAAAIsDAAAAAA==&#10;" fillcolor="#e5eeff" strokecolor="#4579b8 [3044]">
                        <v:fill color2="#a3c4ff" rotate="t" colors="0 #e5eeff;42598f #bfd5ff;1 #a3c4ff" focus="100%" type="gradient"/>
                        <v:shadow on="t" opacity="24903f" origin=",.5" offset="0,.55556mm"/>
                        <v:textbo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Abandoned</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&lt;1%</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Local Govt collection</w:t>
                              </w:r>
                            </w:p>
                          </w:txbxContent>
                        </v:textbox>
                      </v:rect>
                      <v:rect id="Rectangle 9" o:spid="_x0000_s1104" style="position:absolute;left:34195;top:1433;width:5760;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dAcQA&#10;AADbAAAADwAAAGRycy9kb3ducmV2LnhtbESPQYvCMBSE78L+h/AWvIimetClGqXsIoiCaF3Q46N5&#10;25ZtXkoTtfrrjSB4HGbmG2a2aE0lLtS40rKC4SACQZxZXXKu4Pew7H+BcB5ZY2WZFNzIwWL+0Zlh&#10;rO2V93RJfS4ChF2MCgrv61hKlxVk0A1sTRy8P9sY9EE2udQNXgPcVHIURWNpsOSwUGBN3wVl/+nZ&#10;KFjektV4nW43p/1RYrKrD3ff+1Gq+9kmUxCeWv8Ov9orrWA0ge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FHQHEAAAA2wAAAA8AAAAAAAAAAAAAAAAAmAIAAGRycy9k&#10;b3ducmV2LnhtbFBLBQYAAAAABAAEAPUAAACJAwAAAAA=&#10;" fillcolor="#e5eeff" strokecolor="#4579b8 [3044]">
                        <v:fill color2="#a3c4ff" rotate="t" colors="0 #e5eeff;42598f #bfd5ff;1 #a3c4ff" focus="100%" type="gradient"/>
                        <v:shadow on="t" opacity="24903f" origin=",.5" offset="0,.55556mm"/>
                        <v:textbo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Auction houses and holding yards</w:t>
                              </w:r>
                            </w:p>
                          </w:txbxContent>
                        </v:textbox>
                      </v:rect>
                      <v:rect id="Rectangle 10" o:spid="_x0000_s1105" style="position:absolute;left:181;top:13998;width:666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Jc8IA&#10;AADbAAAADwAAAGRycy9kb3ducmV2LnhtbERPTYvCMBC9L/gfwgheFpuuB1mqqRRFEIVFq6DHoRnb&#10;YjMpTVarv35zEPb4eN/zRW8acafO1ZYVfEUxCOLC6ppLBafjevwNwnlkjY1lUvAkB4t08DHHRNsH&#10;H+ie+1KEEHYJKqi8bxMpXVGRQRfZljhwV9sZ9AF2pdQdPkK4aeQkjqfSYM2hocKWlhUVt/zXKFg/&#10;s810m//sLoezxGzfHl/+c6XUaNhnMxCeev8vfrs3WsEkjA1fwg+Q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GolzwgAAANsAAAAPAAAAAAAAAAAAAAAAAJgCAABkcnMvZG93&#10;bnJldi54bWxQSwUGAAAAAAQABAD1AAAAhwMAAAAA&#10;" fillcolor="#e5eeff" strokecolor="#4579b8 [3044]">
                        <v:fill color2="#a3c4ff" rotate="t" colors="0 #e5eeff;42598f #bfd5ff;1 #a3c4ff" focus="100%" type="gradient"/>
                        <v:shadow on="t" opacity="24903f" origin=",.5" offset="0,.55556mm"/>
                        <v:textbo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 xml:space="preserve">Private </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90%</w:t>
                              </w:r>
                            </w:p>
                          </w:txbxContent>
                        </v:textbox>
                      </v:rect>
                      <v:rect id="Rectangle 11" o:spid="_x0000_s1106" style="position:absolute;left:23028;top:1560;width:666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Ys6MQA&#10;AADbAAAADwAAAGRycy9kb3ducmV2LnhtbESPQYvCMBSE78L+h/AWvIimehC3GqXsIoiCaF3Q46N5&#10;25ZtXkoTtfrrjSB4HGbmG2a2aE0lLtS40rKC4SACQZxZXXKu4Pew7E9AOI+ssbJMCm7kYDH/6Mww&#10;1vbKe7qkPhcBwi5GBYX3dSylywoy6Aa2Jg7en20M+iCbXOoGrwFuKjmKorE0WHJYKLCm74Ky//Rs&#10;FCxvyWq8Treb0/4oMdnVh7vv/SjV/WyTKQhPrX+HX+2VVjD6gu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WLOjEAAAA2wAAAA8AAAAAAAAAAAAAAAAAmAIAAGRycy9k&#10;b3ducmV2LnhtbFBLBQYAAAAABAAEAPUAAACJAwAAAAA=&#10;" fillcolor="#e5eeff" strokecolor="#4579b8 [3044]">
                        <v:fill color2="#a3c4ff" rotate="t" colors="0 #e5eeff;42598f #bfd5ff;1 #a3c4ff" focus="100%" type="gradient"/>
                        <v:shadow on="t" opacity="24903f" origin=",.5" offset="0,.55556mm"/>
                        <v:textbo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SWO and RWO vehicles</w:t>
                              </w:r>
                            </w:p>
                          </w:txbxContent>
                        </v:textbox>
                      </v:rect>
                      <v:rect id="Rectangle 12" o:spid="_x0000_s1107" style="position:absolute;left:34195;top:23600;width:5760;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5dMAA&#10;AADbAAAADwAAAGRycy9kb3ducmV2LnhtbERPy4rCMBTdD/gP4QruxtTHjFKNIj5AmNX4AJeX5toG&#10;m5vSpFr9erMYmOXhvOfL1pbiTrU3jhUM+gkI4sxpw7mC03H3OQXhA7LG0jEpeJKH5aLzMcdUuwf/&#10;0v0QchFD2KeooAihSqX0WUEWfd9VxJG7utpiiLDOpa7xEcNtKYdJ8i0tGo4NBVa0Lii7HRqrYLM1&#10;XxtzdpOJ+8Fj0tjLK2/GSvW67WoGIlAb/sV/7r1WMIrr45f4A+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G5dMAAAADbAAAADwAAAAAAAAAAAAAAAACYAgAAZHJzL2Rvd25y&#10;ZXYueG1sUEsFBgAAAAAEAAQA9QAAAIUDAAAAAA==&#10;" fillcolor="#ffe5e5" strokecolor="#bc4542 [3045]">
                        <v:fill color2="#ffa2a1" rotate="t" colors="0 #ffe5e5;42598f #ffbebd;1 #ffa2a1" focus="100%" type="gradient"/>
                        <v:shadow on="t" opacity="24903f" origin=",.5" offset="0,.55556mm"/>
                        <v:textbo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Rogue operators</w:t>
                              </w:r>
                            </w:p>
                          </w:txbxContent>
                        </v:textbox>
                      </v:rect>
                      <v:rect id="Rectangle 13" o:spid="_x0000_s1108" style="position:absolute;left:49416;top:32342;width:7920;height:5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2M8YA&#10;AADbAAAADwAAAGRycy9kb3ducmV2LnhtbESPQWvCQBSE7wX/w/KEXkrd2IJIdJWgCKGF0kShHh/Z&#10;ZxLMvg3ZrUn667uFgsdhZr5h1tvBNOJGnastK5jPIhDEhdU1lwpOx8PzEoTzyBoby6RgJAfbzeRh&#10;jbG2PWd0y30pAoRdjAoq79tYSldUZNDNbEscvIvtDPogu1LqDvsAN418iaKFNFhzWKiwpV1FxTX/&#10;NgoOY5Iu3vKP93P2JTH5bI8//mmv1ON0SFYgPA3+Hv5vp1rB6xz+voQf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m2M8YAAADbAAAADwAAAAAAAAAAAAAAAACYAgAAZHJz&#10;L2Rvd25yZXYueG1sUEsFBgAAAAAEAAQA9QAAAIsDAAAAAA==&#10;" fillcolor="#e5eeff" strokecolor="#4579b8 [3044]">
                        <v:fill color2="#a3c4ff" rotate="t" colors="0 #e5eeff;42598f #bfd5ff;1 #a3c4ff" focus="100%" type="gradient"/>
                        <v:shadow on="t" opacity="24903f" origin=",.5" offset="0,.55556mm"/>
                        <v:textbo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Refrigerant recovered</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(&lt;20 t)</w:t>
                              </w:r>
                            </w:p>
                          </w:txbxContent>
                        </v:textbox>
                      </v:rect>
                      <v:rect id="Rectangle 14" o:spid="_x0000_s1109" style="position:absolute;left:31773;width:10414;height:31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MYA&#10;AADbAAAADwAAAGRycy9kb3ducmV2LnhtbESPT2vCQBTE7wW/w/KE3pqNfxAbsxERC6UXidVDb8/s&#10;axKafRt2V0376d1CocdhZn7D5OvBdOJKzreWFUySFARxZXXLtYLj+8vTEoQPyBo7y6Tgmzysi9FD&#10;jpm2Ny7pegi1iBD2GSpoQugzKX3VkEGf2J44ep/WGQxRulpqh7cIN52cpulCGmw5LjTY07ah6utw&#10;MQqey9P258Od+vm+2s3fzKw8L+yg1ON42KxABBrCf/iv/aoVzKbw+yX+AF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UMYAAADbAAAADwAAAAAAAAAAAAAAAACYAgAAZHJz&#10;L2Rvd25yZXYueG1sUEsFBgAAAAAEAAQA9QAAAIsDAAAAAA==&#10;" filled="f" strokecolor="red">
                        <v:stroke dashstyle="dash"/>
                        <v:shadow on="t" opacity="22936f" origin=",.5" offset="0,.63889mm"/>
                        <v:textbox>
                          <w:txbxContent>
                            <w:p w:rsidR="007458ED" w:rsidRDefault="007458ED" w:rsidP="007458ED">
                              <w:pPr>
                                <w:rPr>
                                  <w:rFonts w:eastAsia="Times New Roman" w:cs="Times New Roman"/>
                                </w:rPr>
                              </w:pPr>
                            </w:p>
                          </w:txbxContent>
                        </v:textbox>
                      </v:rect>
                      <v:rect id="Rectangle 15" o:spid="_x0000_s1110" style="position:absolute;left:64656;top:20264;width:7920;height:5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nA8MA&#10;AADbAAAADwAAAGRycy9kb3ducmV2LnhtbESPT2vCQBTE70K/w/IKvenG/yV1FakVBE/GFnp8ZF+T&#10;xezbkN1o6qd3BcHjMDO/YRarzlbiTI03jhUMBwkI4txpw4WC7+O2/w7CB2SNlWNS8E8eVsuX3gJT&#10;7S58oHMWChEh7FNUUIZQp1L6vCSLfuBq4uj9ucZiiLIppG7wEuG2kqMkmUmLhuNCiTV9lpSfstYq&#10;2HyZ6cb8uPnc7fGYtPb3WrQTpd5eu/UHiEBdeIYf7Z1WMB7D/U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MnA8MAAADbAAAADwAAAAAAAAAAAAAAAACYAgAAZHJzL2Rv&#10;d25yZXYueG1sUEsFBgAAAAAEAAQA9QAAAIgDAAAAAA==&#10;" fillcolor="#ffe5e5" strokecolor="#bc4542 [3045]">
                        <v:fill color2="#ffa2a1" rotate="t" colors="0 #ffe5e5;42598f #ffbebd;1 #ffa2a1" focus="100%" type="gradient"/>
                        <v:shadow on="t" opacity="24903f" origin=",.5" offset="0,.55556mm"/>
                        <v:textbo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Landfill</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 xml:space="preserve">Shredder floc </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(25% of vehicle by mass)</w:t>
                              </w:r>
                            </w:p>
                          </w:txbxContent>
                        </v:textbox>
                      </v:rect>
                      <v:rect id="Rectangle 16" o:spid="_x0000_s1111" style="position:absolute;left:64656;top:5243;width:7920;height:5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9IcUA&#10;AADbAAAADwAAAGRycy9kb3ducmV2LnhtbESPT2sCMRTE70K/Q3iF3jRbK1a2RimCoBfxH9Xjc/O6&#10;u3Xzsk2irt/eCILHYWZ+wwzHjanEmZwvLSt47yQgiDOrS84VbDfT9gCED8gaK8uk4EoexqOX1hBT&#10;bS+8ovM65CJC2KeooAihTqX0WUEGfcfWxNH7tc5giNLlUju8RLipZDdJ+tJgyXGhwJomBWXH9cko&#10;mBymM7fE+f+++7lb/P0sk2OTbZV6e22+v0AEasIz/GjPtIKPHty/xB8gR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b0hxQAAANsAAAAPAAAAAAAAAAAAAAAAAJgCAABkcnMv&#10;ZG93bnJldi54bWxQSwUGAAAAAAQABAD1AAAAigMAAAAA&#10;" fillcolor="#f5ffe6" strokecolor="#94b64e [3046]">
                        <v:fill color2="#dafda7" rotate="t" colors="0 #f5ffe6;42598f #e4fdc2;1 #dafda7" focus="100%" type="gradient"/>
                        <v:shadow on="t" opacity="24903f" origin=",.5" offset="0,.55556mm"/>
                        <v:textbo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Metals sold</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Ferrous</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Non-ferrous</w:t>
                              </w:r>
                            </w:p>
                          </w:txbxContent>
                        </v:textbox>
                      </v:rect>
                      <v:shape id="Text Box 17" o:spid="_x0000_s1112" type="#_x0000_t202" style="position:absolute;left:61077;top:26214;width:16663;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7458ED" w:rsidRDefault="007458ED" w:rsidP="007458ED">
                              <w:pPr>
                                <w:pStyle w:val="NormalWeb"/>
                                <w:spacing w:before="0" w:beforeAutospacing="0" w:after="0" w:afterAutospacing="0"/>
                              </w:pPr>
                              <w:r>
                                <w:rPr>
                                  <w:rFonts w:asciiTheme="minorHAnsi" w:hAnsi="Cambria" w:cstheme="minorBidi"/>
                                  <w:color w:val="000000" w:themeColor="text1"/>
                                  <w:kern w:val="24"/>
                                  <w:sz w:val="12"/>
                                  <w:szCs w:val="12"/>
                                </w:rPr>
                                <w:t>Targets in industrialised countries around 95% recycled versus an estimated 75% in Australia</w:t>
                              </w:r>
                            </w:p>
                          </w:txbxContent>
                        </v:textbox>
                      </v:shape>
                      <v:rect id="Rectangle 18" o:spid="_x0000_s1113" style="position:absolute;left:64656;top:12950;width:7920;height:5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uGzcUA&#10;AADbAAAADwAAAGRycy9kb3ducmV2LnhtbESPQWvCQBSE74X+h+UVems2WlCJrkEEQS/FWrE9PrPP&#10;JJp9G3e3Mf333YLQ4zAz3zCzvDeN6Mj52rKCQZKCIC6srrlUsP9YvUxA+ICssbFMCn7IQz5/fJhh&#10;pu2N36nbhVJECPsMFVQhtJmUvqjIoE9sSxy9k3UGQ5SulNrhLcJNI4dpOpIGa44LFba0rKi47L6N&#10;guVxtXZb3Fy/huPPt/Nhm176Yq/U81O/mIII1If/8L291gpeR/D3Jf4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4bNxQAAANsAAAAPAAAAAAAAAAAAAAAAAJgCAABkcnMv&#10;ZG93bnJldi54bWxQSwUGAAAAAAQABAD1AAAAigMAAAAA&#10;" fillcolor="#f5ffe6" strokecolor="#94b64e [3046]">
                        <v:fill color2="#dafda7" rotate="t" colors="0 #f5ffe6;42598f #e4fdc2;1 #dafda7" focus="100%" type="gradient"/>
                        <v:shadow on="t" opacity="24903f" origin=",.5" offset="0,.55556mm"/>
                        <v:textbo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Plastics recycled</w:t>
                              </w:r>
                            </w:p>
                          </w:txbxContent>
                        </v:textbox>
                      </v:rect>
                      <v:shape id="Text Box 19" o:spid="_x0000_s1114" type="#_x0000_t202" style="position:absolute;left:6566;top:34224;width:16669;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rsidR="007458ED" w:rsidRDefault="007458ED" w:rsidP="007458ED">
                              <w:pPr>
                                <w:pStyle w:val="NormalWeb"/>
                                <w:spacing w:before="0" w:beforeAutospacing="0" w:after="0" w:afterAutospacing="0"/>
                              </w:pPr>
                              <w:r>
                                <w:rPr>
                                  <w:rFonts w:asciiTheme="minorHAnsi" w:hAnsi="Cambria" w:cstheme="minorBidi"/>
                                  <w:color w:val="000000" w:themeColor="text1"/>
                                  <w:kern w:val="24"/>
                                  <w:sz w:val="12"/>
                                  <w:szCs w:val="12"/>
                                </w:rPr>
                                <w:t>Land fill</w:t>
                              </w:r>
                            </w:p>
                            <w:p w:rsidR="007458ED" w:rsidRDefault="007458ED" w:rsidP="007458ED">
                              <w:pPr>
                                <w:pStyle w:val="NormalWeb"/>
                                <w:spacing w:before="0" w:beforeAutospacing="0" w:after="0" w:afterAutospacing="0"/>
                              </w:pPr>
                              <w:r>
                                <w:rPr>
                                  <w:rFonts w:asciiTheme="minorHAnsi" w:hAnsi="Cambria" w:cstheme="minorBidi"/>
                                  <w:color w:val="000000" w:themeColor="text1"/>
                                  <w:kern w:val="24"/>
                                  <w:sz w:val="12"/>
                                  <w:szCs w:val="12"/>
                                </w:rPr>
                                <w:t>Recovered metals and plastics</w:t>
                              </w:r>
                            </w:p>
                            <w:p w:rsidR="007458ED" w:rsidRDefault="007458ED" w:rsidP="007458ED">
                              <w:pPr>
                                <w:pStyle w:val="NormalWeb"/>
                                <w:spacing w:before="0" w:beforeAutospacing="0" w:after="0" w:afterAutospacing="0"/>
                              </w:pPr>
                              <w:r>
                                <w:rPr>
                                  <w:rFonts w:asciiTheme="minorHAnsi" w:hAnsi="Cambria" w:cstheme="minorBidi"/>
                                  <w:color w:val="000000" w:themeColor="text1"/>
                                  <w:kern w:val="24"/>
                                  <w:sz w:val="12"/>
                                  <w:szCs w:val="12"/>
                                </w:rPr>
                                <w:t>Refrigerant gas</w:t>
                              </w:r>
                            </w:p>
                          </w:txbxContent>
                        </v:textbox>
                      </v:shape>
                      <v:shape id="Cloud 20" o:spid="_x0000_s1115" style="position:absolute;left:32398;top:35496;width:8456;height:6858;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x3cEA&#10;AADbAAAADwAAAGRycy9kb3ducmV2LnhtbERPz2vCMBS+D/wfwhN2GZo6h0o1iohjsptVUG+P5tkU&#10;m5fSRFv/e3MY7Pjx/V6sOluJBzW+dKxgNExAEOdOl1woOB6+BzMQPiBrrByTgid5WC17bwtMtWt5&#10;T48sFCKGsE9RgQmhTqX0uSGLfuhq4shdXWMxRNgUUjfYxnBbyc8kmUiLJccGgzVtDOW37G4V2Gxk&#10;Tub0c/5w1+3099LO8q+7V+q9363nIAJ14V/8595pBeM4Nn6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Ysd3BAAAA2wAAAA8AAAAAAAAAAAAAAAAAmAIAAGRycy9kb3du&#10;cmV2LnhtbFBLBQYAAAAABAAEAPUAAACGAw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e5e5" strokecolor="#bc4542 [3045]">
                        <v:fill color2="#ffa2a1" rotate="t" colors="0 #ffe5e5;42598f #ffbebd;1 #ffa2a1" focus="100%" type="gradient"/>
                        <v:stroke joinstyle="miter"/>
                        <v:shadow on="t" opacity="24903f" origin=",.5" offset="0,.55556mm"/>
                        <v:formulas/>
                        <v:path arrowok="t" o:connecttype="custom" o:connectlocs="1797982,6597015;827548,6396165;2654264,8795099;2229773,8891111;6313079,9851295;6057155,9412780;11044247,8757793;10941956,9238901;13075565,5784771;14321085,7583154;16013722,3869452;15458970,4543838;14682764,1367441;14711870,1685989;11140411,995966;11424697,589725;8482703,1189514;8620246,839216;5363705,1308465;5861753,1648190;1581147,3979069;1494182,3621469" o:connectangles="0,0,0,0,0,0,0,0,0,0,0,0,0,0,0,0,0,0,0,0,0,0" textboxrect="0,0,43200,43200"/>
                        <v:textbo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Vented</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~168 t</w:t>
                              </w:r>
                            </w:p>
                          </w:txbxContent>
                        </v:textbox>
                      </v:shape>
                      <v:line id="Straight Connector 21" o:spid="_x0000_s1116" style="position:absolute;visibility:visible;mso-wrap-style:square" from="36980,31622" to="49329,3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cl1sUAAADbAAAADwAAAGRycy9kb3ducmV2LnhtbESPT2vCQBTE74LfYXkFL2I2rWA1dZVS&#10;CITeanPx9si+5k+zb2N2Y2I/fbdQ8DjMzG+Y/XEyrbhS72rLCh6jGARxYXXNpYL8M11tQTiPrLG1&#10;TApu5OB4mM/2mGg78gddT74UAcIuQQWV910ipSsqMugi2xEH78v2Bn2QfSl1j2OAm1Y+xfFGGqw5&#10;LFTY0VtFxfdpMArS7seYy/uS8yw+j418Hup1Myi1eJheX0B4mvw9/N/OtIL1Dv6+hB8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cl1sUAAADbAAAADwAAAAAAAAAA&#10;AAAAAAChAgAAZHJzL2Rvd25yZXYueG1sUEsFBgAAAAAEAAQA+QAAAJMDAAAAAA==&#10;" strokecolor="red">
                        <v:stroke dashstyle="dash"/>
                        <v:shadow on="t" opacity="22936f" origin=",.5" offset="0,.63889mm"/>
                      </v:line>
                      <v:line id="Straight Connector 22" o:spid="_x0000_s1117" style="position:absolute;flip:x;visibility:visible;mso-wrap-style:square" from="36880,31623" to="36953,3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unLb8AAADbAAAADwAAAGRycy9kb3ducmV2LnhtbERPy4rCMBTdC/5DuIIbGVMfiFONIoIg&#10;6EJbYbaX5k5bbG5qE7X+vVkILg/nvVy3phIPalxpWcFoGIEgzqwuOVdwSXc/cxDOI2usLJOCFzlY&#10;r7qdJcbaPvlMj8TnIoSwi1FB4X0dS+myggy6oa2JA/dvG4M+wCaXusFnCDeVHEfRTBosOTQUWNO2&#10;oOya3I2C9JePdnzTg1fyd+HTIePJaMNK9XvtZgHCU+u/4o97rxVMw/rwJfw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iunLb8AAADbAAAADwAAAAAAAAAAAAAAAACh&#10;AgAAZHJzL2Rvd25yZXYueG1sUEsFBgAAAAAEAAQA+QAAAI0DAAAAAA==&#10;" strokecolor="red">
                        <v:stroke dashstyle="dash"/>
                        <v:shadow on="t" opacity="22936f" origin=",.5" offset="0,.63889mm"/>
                      </v:line>
                      <v:rect id="Rectangle 23" o:spid="_x0000_s1118" style="position:absolute;left:64656;top:32342;width:7920;height:5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FTsYA&#10;AADbAAAADwAAAGRycy9kb3ducmV2LnhtbESPQWvCQBSE7wX/w/KEXkrdWIpIdJWgCKGF0kShHh/Z&#10;ZxLMvg3ZrUn667uFgsdhZr5h1tvBNOJGnastK5jPIhDEhdU1lwpOx8PzEoTzyBoby6RgJAfbzeRh&#10;jbG2PWd0y30pAoRdjAoq79tYSldUZNDNbEscvIvtDPogu1LqDvsAN418iaKFNFhzWKiwpV1FxTX/&#10;NgoOY5Iu3vKP93P2JTH5bI8//mmv1ON0SFYgPA3+Hv5vp1rB6xz+voQf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FTsYAAADbAAAADwAAAAAAAAAAAAAAAACYAgAAZHJz&#10;L2Rvd25yZXYueG1sUEsFBgAAAAAEAAQA9QAAAIsDAAAAAA==&#10;" fillcolor="#e5eeff" strokecolor="#4579b8 [3044]">
                        <v:fill color2="#a3c4ff" rotate="t" colors="0 #e5eeff;42598f #bfd5ff;1 #a3c4ff" focus="100%" type="gradient"/>
                        <v:shadow on="t" opacity="24903f" origin=",.5" offset="0,.55556mm"/>
                        <v:textbo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Refrigerant destroyed</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(&lt;18 t)</w:t>
                              </w:r>
                            </w:p>
                          </w:txbxContent>
                        </v:textbox>
                      </v:rect>
                      <v:rect id="Rectangle 24" o:spid="_x0000_s1119" style="position:absolute;left:64656;top:39444;width:7920;height:5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bOcYA&#10;AADbAAAADwAAAGRycy9kb3ducmV2LnhtbESPQWvCQBSE7wX/w/KEXkrdVIpIdJWgBEILpYlCPT6y&#10;zySYfRuyW03667uFgsdhZr5h1tvBtOJKvWssK3iZRSCIS6sbrhQcD+nzEoTzyBpby6RgJAfbzeRh&#10;jbG2N87pWvhKBAi7GBXU3nexlK6syaCb2Y44eGfbG/RB9pXUPd4C3LRyHkULabDhsFBjR7uaykvx&#10;bRSkY5It3oqP91P+JTH57A4//mmv1ON0SFYgPA3+Hv5vZ1rB6xz+voQf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1bOcYAAADbAAAADwAAAAAAAAAAAAAAAACYAgAAZHJz&#10;L2Rvd25yZXYueG1sUEsFBgAAAAAEAAQA9QAAAIsDAAAAAA==&#10;" fillcolor="#e5eeff" strokecolor="#4579b8 [3044]">
                        <v:fill color2="#a3c4ff" rotate="t" colors="0 #e5eeff;42598f #bfd5ff;1 #a3c4ff" focus="100%" type="gradient"/>
                        <v:shadow on="t" opacity="24903f" origin=",.5" offset="0,.55556mm"/>
                        <v:textbo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Refrigerant reused</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(~2 t)</w:t>
                              </w:r>
                            </w:p>
                          </w:txbxContent>
                        </v:textbox>
                      </v:rect>
                      <v:line id="Straight Connector 25" o:spid="_x0000_s1120" style="position:absolute;flip:y;visibility:visible;mso-wrap-style:square" from="57336,34924" to="64536,34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k5WsQAAADbAAAADwAAAGRycy9kb3ducmV2LnhtbESPT2vCQBTE7wW/w/KEXsRs/INozCpS&#10;KBTqoUbB6yP7TILZt2l2a5Jv3xUKPQ4z8xsm3femFg9qXWVZwSyKQRDnVldcKLic36drEM4ja6wt&#10;k4KBHOx3o5cUE207PtEj84UIEHYJKii9bxIpXV6SQRfZhjh4N9sa9EG2hdQtdgFuajmP45U0WHFY&#10;KLGht5Lye/ZjFJw3fLTzbz0ZsuuFvz5zXswOrNTruD9sQXjq/X/4r/2hFSwX8PwSf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laxAAAANsAAAAPAAAAAAAAAAAA&#10;AAAAAKECAABkcnMvZG93bnJldi54bWxQSwUGAAAAAAQABAD5AAAAkgMAAAAA&#10;" strokecolor="red">
                        <v:stroke dashstyle="dash"/>
                        <v:shadow on="t" opacity="22936f" origin=",.5" offset="0,.63889mm"/>
                      </v:line>
                      <v:line id="Straight Connector 26" o:spid="_x0000_s1121" style="position:absolute;visibility:visible;mso-wrap-style:square" from="57336,34925" to="64656,4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D5NcUAAADbAAAADwAAAGRycy9kb3ducmV2LnhtbESPT2vCQBTE74LfYXkFL8VsbKVK6ipS&#10;CITeanPx9si+5k+zb2N2Y2I/fbdQ8DjMzG+Y3WEyrbhS72rLClZRDIK4sLrmUkH+mS63IJxH1tha&#10;JgU3cnDYz2c7TLQd+YOuJ1+KAGGXoILK+y6R0hUVGXSR7YiD92V7gz7IvpS6xzHATSuf4vhFGqw5&#10;LFTY0VtFxfdpMArS7seYy/sj51l8Hhu5GernZlBq8TAdX0F4mvw9/N/OtIL1Gv6+hB8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D5NcUAAADbAAAADwAAAAAAAAAA&#10;AAAAAAChAgAAZHJzL2Rvd25yZXYueG1sUEsFBgAAAAAEAAQA+QAAAJMDAAAAAA==&#10;" strokecolor="red">
                        <v:stroke dashstyle="dash"/>
                        <v:shadow on="t" opacity="22936f" origin=",.5" offset="0,.63889mm"/>
                      </v:line>
                      <v:line id="Straight Connector 27" o:spid="_x0000_s1122" style="position:absolute;flip:y;visibility:visible;mso-wrap-style:square" from="887,37025" to="4487,37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wEtcQAAADbAAAADwAAAGRycy9kb3ducmV2LnhtbESPQWvCQBSE7wX/w/KEXkqzMa3FRlcJ&#10;giDYg8aA10f2NQlm38bsVuO/7wqFHoeZ+YZZrAbTiiv1rrGsYBLFIIhLqxuuFBTHzesMhPPIGlvL&#10;pOBODlbL0dMCU21vfKBr7isRIOxSVFB736VSurImgy6yHXHwvm1v0AfZV1L3eAtw08okjj+kwYbD&#10;Qo0drWsqz/mPUXD85C+bXPTLPT8VvN+V/DbJWKnn8ZDNQXga/H/4r73VCt6n8Pg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XAS1xAAAANsAAAAPAAAAAAAAAAAA&#10;AAAAAKECAABkcnMvZG93bnJldi54bWxQSwUGAAAAAAQABAD5AAAAkgMAAAAA&#10;" strokecolor="red">
                        <v:stroke dashstyle="dash"/>
                        <v:shadow on="t" opacity="22936f" origin=",.5" offset="0,.63889mm"/>
                      </v:line>
                      <v:line id="Straight Connector 28" o:spid="_x0000_s1123" style="position:absolute;flip:y;visibility:visible;mso-wrap-style:square" from="887,36200" to="4487,3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iuMMAAADbAAAADwAAAGRycy9kb3ducmV2LnhtbESPS2vDMBCE74X8B7GF3Bq5STDBjRKc&#10;hECudX3ocWutH9RaGUt+5N9HhUCPw8x8w+yPs2nFSL1rLCt4X0UgiAurG64U5F/Xtx0I55E1tpZJ&#10;wZ0cHA+Llz0m2k78SWPmKxEg7BJUUHvfJVK6oiaDbmU74uCVtjfog+wrqXucAty0ch1FsTTYcFio&#10;saNzTcVvNhgFl13K6bcbTuX6/tMNpdsUebNRavk6px8gPM3+P/xs37SCbQx/X8IPkIc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qYrjDAAAA2wAAAA8AAAAAAAAAAAAA&#10;AAAAoQIAAGRycy9kb3ducmV2LnhtbFBLBQYAAAAABAAEAPkAAACRAwAAAAA=&#10;" strokecolor="green">
                        <v:shadow on="t" opacity="22936f" origin=",.5" offset="0,.63889mm"/>
                      </v:line>
                      <v:line id="Straight Connector 29" o:spid="_x0000_s1124" style="position:absolute;visibility:visible;mso-wrap-style:square" from="57336,15464" to="64656,1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ODsYAAADbAAAADwAAAGRycy9kb3ducmV2LnhtbESPT0sDMRTE70K/Q3gFbzZbLa1sm5Yi&#10;CCpe+g/x9kxed7fdvKybuBu/fVMQPA4z8xtmsYq2Fh21vnKsYDzKQBBrZyouFOx3z3ePIHxANlg7&#10;JgW/5GG1HNwsMDeu5w1121CIBGGfo4IyhCaX0uuSLPqRa4iTd3StxZBkW0jTYp/gtpb3WTaVFitO&#10;CyU29FSSPm9/rIK36fH8Wn9+fetT/3Do3j90nESv1O0wrucgAsXwH/5rvxgFkxlcv6Qf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SDg7GAAAA2wAAAA8AAAAAAAAA&#10;AAAAAAAAoQIAAGRycy9kb3ducmV2LnhtbFBLBQYAAAAABAAEAPkAAACUAwAAAAA=&#10;" strokecolor="green">
                        <v:shadow on="t" opacity="22936f" origin=",.5" offset="0,.63889mm"/>
                      </v:line>
                      <v:line id="Straight Connector 30" o:spid="_x0000_s1125" style="position:absolute;flip:y;visibility:visible;mso-wrap-style:square" from="57434,7772" to="64656,15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lTUbwAAADbAAAADwAAAGRycy9kb3ducmV2LnhtbERPyQrCMBC9C/5DGMGbpi6IVKNURfDq&#10;cvA4NtMFm0lpUq1/bw6Cx8fb19vOVOJFjSstK5iMIxDEqdUl5wpu1+NoCcJ5ZI2VZVLwIQfbTb+3&#10;xljbN5/pdfG5CCHsYlRQeF/HUrq0IINubGviwGW2MegDbHKpG3yHcFPJaRQtpMGSQ0OBNe0LSp+X&#10;1ig4LBNO7q7dZdPPo24zN0tv5Uyp4aBLViA8df4v/rlPWsE8jA1fwg+Qm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DlTUbwAAADbAAAADwAAAAAAAAAAAAAAAAChAgAA&#10;ZHJzL2Rvd25yZXYueG1sUEsFBgAAAAAEAAQA+QAAAIoDAAAAAA==&#10;" strokecolor="green">
                        <v:shadow on="t" opacity="22936f" origin=",.5" offset="0,.63889mm"/>
                      </v:line>
                      <v:line id="Straight Connector 31" o:spid="_x0000_s1126" style="position:absolute;visibility:visible;mso-wrap-style:square" from="57336,15464" to="64656,2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96j8UAAADbAAAADwAAAGRycy9kb3ducmV2LnhtbESPW2vCQBSE3wv+h+UU+lY3liIaXaWk&#10;CsUi4hX6dsie5mL2bMhuk/TfdwuCj8PMfMPMl72pREuNKywrGA0jEMSp1QVnCk7H9fMEhPPIGivL&#10;pOCXHCwXg4c5xtp2vKf24DMRIOxiVJB7X8dSujQng25oa+LgfdvGoA+yyaRusAtwU8mXKBpLgwWH&#10;hRxrSnJKr4cfo6D+fN/sTHkpj6ldJaOvsy/2W63U02P/NgPhqff38K39oRW8TuH/S/gB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96j8UAAADbAAAADwAAAAAAAAAA&#10;AAAAAAChAgAAZHJzL2Rvd25yZXYueG1sUEsFBgAAAAAEAAQA+QAAAJMDAAAAAA==&#10;" strokecolor="red">
                        <v:shadow on="t" opacity="22936f" origin=",.5" offset="0,.63889mm"/>
                      </v:line>
                      <v:line id="Straight Connector 32" o:spid="_x0000_s1127" style="position:absolute;flip:y;visibility:visible;mso-wrap-style:square" from="873,35311" to="4473,3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GlbsEAAADbAAAADwAAAGRycy9kb3ducmV2LnhtbERPTYvCMBC9L/gfwgje1lRBWapRRBAU&#10;D+5WEbwNzdgWk0ltorb++s1hYY+P9z1fttaIJzW+cqxgNExAEOdOV1woOB03n18gfEDWaByTgo48&#10;LBe9jzmm2r34h55ZKEQMYZ+igjKEOpXS5yVZ9ENXE0fu6hqLIcKmkLrBVwy3Ro6TZCotVhwbSqxp&#10;XVJ+yx5WweV+xne3n36v92Zz2DmTObPrlBr029UMRKA2/Iv/3FutYBLXxy/xB8j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EaVuwQAAANsAAAAPAAAAAAAAAAAAAAAA&#10;AKECAABkcnMvZG93bnJldi54bWxQSwUGAAAAAAQABAD5AAAAjwMAAAAA&#10;" strokecolor="red">
                        <v:shadow on="t" opacity="22936f" origin=",.5" offset="0,.63889mm"/>
                      </v:line>
                      <v:shape id="Text Box 33" o:spid="_x0000_s1128" type="#_x0000_t202" style="position:absolute;top:39005;width:14198;height:5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rsidR="007458ED" w:rsidRDefault="007458ED" w:rsidP="007458ED">
                              <w:pPr>
                                <w:pStyle w:val="NormalWeb"/>
                                <w:spacing w:before="0" w:beforeAutospacing="0" w:after="0" w:afterAutospacing="0"/>
                              </w:pPr>
                              <w:r>
                                <w:rPr>
                                  <w:rFonts w:asciiTheme="minorHAnsi" w:hAnsi="Cambria" w:cstheme="minorBidi"/>
                                  <w:color w:val="000000" w:themeColor="text1"/>
                                  <w:kern w:val="24"/>
                                  <w:sz w:val="12"/>
                                  <w:szCs w:val="12"/>
                                </w:rPr>
                                <w:t xml:space="preserve">658,000 ELVs in 2013 </w:t>
                              </w:r>
                            </w:p>
                            <w:p w:rsidR="007458ED" w:rsidRDefault="007458ED" w:rsidP="007458ED">
                              <w:pPr>
                                <w:pStyle w:val="NormalWeb"/>
                                <w:spacing w:before="0" w:beforeAutospacing="0" w:after="0" w:afterAutospacing="0"/>
                              </w:pPr>
                              <w:r>
                                <w:rPr>
                                  <w:rFonts w:asciiTheme="minorHAnsi" w:hAnsi="Cambria" w:cstheme="minorBidi"/>
                                  <w:color w:val="000000" w:themeColor="text1"/>
                                  <w:kern w:val="24"/>
                                  <w:sz w:val="12"/>
                                  <w:szCs w:val="12"/>
                                </w:rPr>
                                <w:t>with around 3 to 6 weeks of inventory</w:t>
                              </w:r>
                            </w:p>
                            <w:p w:rsidR="007458ED" w:rsidRDefault="007458ED" w:rsidP="007458ED">
                              <w:pPr>
                                <w:pStyle w:val="NormalWeb"/>
                                <w:spacing w:before="0" w:beforeAutospacing="0" w:after="0" w:afterAutospacing="0"/>
                              </w:pPr>
                              <w:r>
                                <w:rPr>
                                  <w:rFonts w:asciiTheme="minorHAnsi" w:hAnsi="Cambria" w:cstheme="minorBidi"/>
                                  <w:color w:val="000000" w:themeColor="text1"/>
                                  <w:kern w:val="24"/>
                                  <w:sz w:val="12"/>
                                  <w:szCs w:val="12"/>
                                </w:rPr>
                                <w:t>Average residual charge = 340 grams</w:t>
                              </w:r>
                            </w:p>
                            <w:p w:rsidR="007458ED" w:rsidRDefault="007458ED" w:rsidP="007458ED">
                              <w:pPr>
                                <w:pStyle w:val="NormalWeb"/>
                                <w:spacing w:before="0" w:beforeAutospacing="0" w:after="0" w:afterAutospacing="0"/>
                              </w:pPr>
                              <w:r>
                                <w:rPr>
                                  <w:rFonts w:asciiTheme="minorHAnsi" w:hAnsi="Cambria" w:cstheme="minorBidi"/>
                                  <w:color w:val="000000" w:themeColor="text1"/>
                                  <w:kern w:val="24"/>
                                  <w:sz w:val="12"/>
                                  <w:szCs w:val="12"/>
                                </w:rPr>
                                <w:t xml:space="preserve">ELV high GWP bank = 187 t </w:t>
                              </w:r>
                            </w:p>
                          </w:txbxContent>
                        </v:textbox>
                      </v:shape>
                      <v:shape id="Straight Arrow Connector 34" o:spid="_x0000_s1129" type="#_x0000_t32" style="position:absolute;left:18230;top:3720;width:4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bpcQAAADbAAAADwAAAGRycy9kb3ducmV2LnhtbESPS4vCQBCE74L/YeiFvelEV2WJjrKs&#10;CF58ZX1cm0xvEsz0hMyo8d87guCxqKqvqMmsMaW4Uu0Kywp63QgEcWp1wZmC/d+i8w3CeWSNpWVS&#10;cCcHs2m7NcFY2xvv6Jr4TAQIuxgV5N5XsZQuzcmg69qKOHj/tjbog6wzqWu8BbgpZT+KRtJgwWEh&#10;x4p+c0rPycUo2AwSx4d7+bVenebRcSkPg9W2p9TnR/MzBuGp8e/wq73UCoZ9eH4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4dulxAAAANsAAAAPAAAAAAAAAAAA&#10;AAAAAKECAABkcnMvZG93bnJldi54bWxQSwUGAAAAAAQABAD5AAAAkgMAAAAA&#10;" strokecolor="#4f81bd [3204]" strokeweight="1pt">
                        <v:stroke endarrow="block" endarrowwidth="narrow" endarrowlength="short"/>
                        <v:shadow on="t" opacity="24903f" origin=",.5" offset="0,.55556mm"/>
                      </v:shape>
                      <v:shape id="Straight Arrow Connector 35" o:spid="_x0000_s1130" type="#_x0000_t32" style="position:absolute;left:18414;top:9537;width:46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1+PsQAAADbAAAADwAAAGRycy9kb3ducmV2LnhtbESPS4vCQBCE74L/YWjB2zpxfSBZRxEX&#10;wYuvuO5em0ybBDM9ITNq/PeOsOCxqKqvqOm8MaW4Ue0Kywr6vQgEcWp1wZmCn+PqYwLCeWSNpWVS&#10;8CAH81m7NcVY2zsf6Jb4TAQIuxgV5N5XsZQuzcmg69mKOHhnWxv0QdaZ1DXeA9yU8jOKxtJgwWEh&#10;x4qWOaWX5GoU7IaJ49OjHGw3f9/R71qehpt9X6lup1l8gfDU+Hf4v73WCkYDeH0JP0D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X4+xAAAANsAAAAPAAAAAAAAAAAA&#10;AAAAAKECAABkcnMvZG93bnJldi54bWxQSwUGAAAAAAQABAD5AAAAkgMAAAAA&#10;" strokecolor="#4f81bd [3204]" strokeweight="1pt">
                        <v:stroke endarrow="block" endarrowwidth="narrow" endarrowlength="short"/>
                        <v:shadow on="t" opacity="24903f" origin=",.5" offset="0,.55556mm"/>
                      </v:shape>
                      <v:shape id="Straight Arrow Connector 36" o:spid="_x0000_s1131" type="#_x0000_t32" style="position:absolute;left:26349;top:5880;width:9;height:14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oICMYAAADbAAAADwAAAGRycy9kb3ducmV2LnhtbESPQWvCQBSE74L/YXlCb7qxaLExGyml&#10;QkuLoJYWb8/sMwlm34bsNqb+elcQPA4z8w2TLDpTiZYaV1pWMB5FIIgzq0vOFXxvl8MZCOeRNVaW&#10;ScE/OVik/V6CsbYnXlO78bkIEHYxKii8r2MpXVaQQTeyNXHwDrYx6INscqkbPAW4qeRjFD1JgyWH&#10;hQJrei0oO27+jILfj1W70j+z592bOY931XTvsq9PpR4G3cschKfO38O39rtWMJ3A9Uv4AT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6CAjGAAAA2wAAAA8AAAAAAAAA&#10;AAAAAAAAoQIAAGRycy9kb3ducmV2LnhtbFBLBQYAAAAABAAEAPkAAACUAwAAAAA=&#10;" strokecolor="#4f81bd [3204]" strokeweight="1pt">
                        <v:stroke endarrow="block" endarrowwidth="narrow" endarrowlength="short"/>
                        <v:shadow on="t" opacity="24903f" origin=",.5" offset="0,.55556mm"/>
                      </v:shape>
                      <v:shape id="Straight Arrow Connector 37" o:spid="_x0000_s1132" type="#_x0000_t32" style="position:absolute;left:29679;top:9537;width:4516;height:17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hD0cMAAADbAAAADwAAAGRycy9kb3ducmV2LnhtbESPS4vCQBCE74L/YWhhb+vEJxIdZVkR&#10;vLhqfF2bTJsEMz0hM6vx3+8ICx6LqvqKmi0aU4o71a6wrKDXjUAQp1YXnCk4HlafExDOI2ssLZOC&#10;JzlYzNutGcbaPnhP98RnIkDYxagg976KpXRpTgZd11bEwbva2qAPss6krvER4KaU/SgaS4MFh4Uc&#10;K/rOKb0lv0bBdpg4Pj3Lwc/msozOa3kabnY9pT46zdcUhKfGv8P/7bVWMBrB60v4A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IQ9HDAAAA2wAAAA8AAAAAAAAAAAAA&#10;AAAAoQIAAGRycy9kb3ducmV2LnhtbFBLBQYAAAAABAAEAPkAAACRAwAAAAA=&#10;" strokecolor="#4f81bd [3204]" strokeweight="1pt">
                        <v:stroke endarrow="block" endarrowwidth="narrow" endarrowlength="short"/>
                        <v:shadow on="t" opacity="24903f" origin=",.5" offset="0,.55556mm"/>
                      </v:shape>
                      <v:shape id="Straight Arrow Connector 38" o:spid="_x0000_s1133" type="#_x0000_t32" style="position:absolute;left:18254;top:11308;width:15941;height:52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Qz5MUAAADbAAAADwAAAGRycy9kb3ducmV2LnhtbESP3WrCQBSE7wXfYTmCd7qxoGjqKiIV&#10;LBXBH1q8O80ek2D2bMiuMfr0XaHg5TAz3zDTeWMKUVPlcssKBv0IBHFidc6pguNh1RuDcB5ZY2GZ&#10;FNzJwXzWbk0x1vbGO6r3PhUBwi5GBZn3ZSylSzIy6Pq2JA7e2VYGfZBVKnWFtwA3hXyLopE0mHNY&#10;yLCkZUbJZX81Cn4+t/VWf48npw/zGJyK4a9LNl9KdTvN4h2Ep8a/wv/ttVYwHMHzS/gB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Qz5MUAAADbAAAADwAAAAAAAAAA&#10;AAAAAAChAgAAZHJzL2Rvd25yZXYueG1sUEsFBgAAAAAEAAQA+QAAAJMDAAAAAA==&#10;" strokecolor="#4f81bd [3204]" strokeweight="1pt">
                        <v:stroke endarrow="block" endarrowwidth="narrow" endarrowlength="short"/>
                        <v:shadow on="t" opacity="24903f" origin=",.5" offset="0,.55556mm"/>
                      </v:shape>
                      <v:rect id="Rectangle 39" o:spid="_x0000_s1134" style="position:absolute;left:11754;top:20756;width:666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ufMUA&#10;AADbAAAADwAAAGRycy9kb3ducmV2LnhtbESPQWvCQBSE7wX/w/KEXopuFGolukpQBKkgmgh6fGRf&#10;k9Ds25DdavTXdwtCj8PMfMPMl52pxZVaV1lWMBpGIIhzqysuFJyyzWAKwnlkjbVlUnAnB8tF72WO&#10;sbY3PtI19YUIEHYxKii9b2IpXV6SQTe0DXHwvmxr0AfZFlK3eAtwU8txFE2kwYrDQokNrUrKv9Mf&#10;o2BzT7aTz3S/uxzPEpNDkz3821qp136XzEB46vx/+NneagXvH/D3Jfw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258xQAAANsAAAAPAAAAAAAAAAAAAAAAAJgCAABkcnMv&#10;ZG93bnJldi54bWxQSwUGAAAAAAQABAD1AAAAigMAAAAA&#10;" fillcolor="#e5eeff" strokecolor="#4579b8 [3044]">
                        <v:fill color2="#a3c4ff" rotate="t" colors="0 #e5eeff;42598f #bfd5ff;1 #a3c4ff" focus="100%" type="gradient"/>
                        <v:shadow on="t" opacity="24903f" origin=",.5" offset="0,.55556mm"/>
                        <v:textbo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Stolen Vehicles SNR and Recovered</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3%</w:t>
                              </w:r>
                            </w:p>
                          </w:txbxContent>
                        </v:textbox>
                      </v:rect>
                      <v:rect id="Rectangle 40" o:spid="_x0000_s1135" style="position:absolute;left:11674;top:7097;width:666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8tcEA&#10;AADbAAAADwAAAGRycy9kb3ducmV2LnhtbERPTYvCMBC9C/6HMIIX0VQPRapRyooguyDaCu5xaGbb&#10;ss2kNFmt++vNQfD4eN/rbW8acaPO1ZYVzGcRCOLC6ppLBZd8P12CcB5ZY2OZFDzIwXYzHKwx0fbO&#10;Z7plvhQhhF2CCirv20RKV1Rk0M1sSxy4H9sZ9AF2pdQd3kO4aeQiimJpsObQUGFLHxUVv9mfUbB/&#10;pIf4Mzt+fZ+vEtNTm//7yU6p8ahPVyA89f4tfrkPWkEc1ocv4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GPLXBAAAA2wAAAA8AAAAAAAAAAAAAAAAAmAIAAGRycy9kb3du&#10;cmV2LnhtbFBLBQYAAAAABAAEAPUAAACGAwAAAAA=&#10;" fillcolor="#e5eeff" strokecolor="#4579b8 [3044]">
                        <v:fill color2="#a3c4ff" rotate="t" colors="0 #e5eeff;42598f #bfd5ff;1 #a3c4ff" focus="100%" type="gradient"/>
                        <v:shadow on="t" opacity="24903f" origin=",.5" offset="0,.55556mm"/>
                        <v:textbo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Damage by collision or event</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11% of ELVs uninsured</w:t>
                              </w:r>
                            </w:p>
                          </w:txbxContent>
                        </v:textbox>
                      </v:rect>
                      <v:rect id="Rectangle 41" o:spid="_x0000_s1136" style="position:absolute;left:11594;top:13865;width:666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ZLsQA&#10;AADbAAAADwAAAGRycy9kb3ducmV2LnhtbESPQYvCMBSE74L/IbwFL6KpHop0jVJWBFGQtQrr8dG8&#10;bcs2L6WJWv31ZkHwOMzMN8x82ZlaXKl1lWUFk3EEgji3uuJCwem4Hs1AOI+ssbZMCu7kYLno9+aY&#10;aHvjA10zX4gAYZeggtL7JpHS5SUZdGPbEAfv17YGfZBtIXWLtwA3tZxGUSwNVhwWSmzoq6T8L7sY&#10;Bet7uom32X53PvxITL+b48MPV0oNPrr0E4Snzr/Dr/ZGK4gn8P8l/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KmS7EAAAA2wAAAA8AAAAAAAAAAAAAAAAAmAIAAGRycy9k&#10;b3ducmV2LnhtbFBLBQYAAAAABAAEAPUAAACJAwAAAAA=&#10;" fillcolor="#e5eeff" strokecolor="#4579b8 [3044]">
                        <v:fill color2="#a3c4ff" rotate="t" colors="0 #e5eeff;42598f #bfd5ff;1 #a3c4ff" focus="100%" type="gradient"/>
                        <v:shadow on="t" opacity="24903f" origin=",.5" offset="0,.55556mm"/>
                        <v:textbo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Retired breakdown or uneconomic</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66%</w:t>
                              </w:r>
                            </w:p>
                          </w:txbxContent>
                        </v:textbox>
                      </v:rect>
                      <v:shape id="Straight Arrow Connector 42" o:spid="_x0000_s1137" type="#_x0000_t32" style="position:absolute;left:18254;top:9537;width:4765;height:70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WsUAAADbAAAADwAAAGRycy9kb3ducmV2LnhtbESP3WrCQBSE7wXfYTlC73SjoGjqKiIK&#10;lorgDy3enWaPSTB7NmS3Mfr0XaHg5TAz3zDTeWMKUVPlcssK+r0IBHFidc6pgtNx3R2DcB5ZY2GZ&#10;FNzJwXzWbk0x1vbGe6oPPhUBwi5GBZn3ZSylSzIy6Hq2JA7exVYGfZBVKnWFtwA3hRxE0UgazDks&#10;ZFjSMqPkevg1Cr4/dvVOf40n55V59M/F8Mcl20+l3jrN4h2Ep8a/wv/tjVYwGsDzS/gB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WsUAAADbAAAADwAAAAAAAAAA&#10;AAAAAAChAgAAZHJzL2Rvd25yZXYueG1sUEsFBgAAAAAEAAQA+QAAAJMDAAAAAA==&#10;" strokecolor="#4f81bd [3204]" strokeweight="1pt">
                        <v:stroke endarrow="block" endarrowwidth="narrow" endarrowlength="short"/>
                        <v:shadow on="t" opacity="24903f" origin=",.5" offset="0,.55556mm"/>
                      </v:shape>
                      <v:shape id="Straight Arrow Connector 43" o:spid="_x0000_s1138" type="#_x0000_t32" style="position:absolute;left:29688;top:3720;width:4507;height:5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G0g8QAAADbAAAADwAAAGRycy9kb3ducmV2LnhtbESPT4vCMBTE74LfITxhbzb1DyJdo4iy&#10;4MVV67p7fTTPtti8lCar9dsbQfA4zMxvmNmiNZW4UuNKywoGUQyCOLO65FzBz/GrPwXhPLLGyjIp&#10;uJODxbzbmWGi7Y0PdE19LgKEXYIKCu/rREqXFWTQRbYmDt7ZNgZ9kE0udYO3ADeVHMbxRBosOSwU&#10;WNOqoOyS/hsFu3Hq+HSvRt/bv3X8u5Gn8XY/UOqj1y4/QXhq/Tv8am+0gskInl/C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wbSDxAAAANsAAAAPAAAAAAAAAAAA&#10;AAAAAKECAABkcnMvZG93bnJldi54bWxQSwUGAAAAAAQABAD5AAAAkgMAAAAA&#10;" strokecolor="#4f81bd [3204]" strokeweight="1pt">
                        <v:stroke endarrow="block" endarrowwidth="narrow" endarrowlength="short"/>
                        <v:shadow on="t" opacity="24903f" origin=",.5" offset="0,.55556mm"/>
                      </v:shape>
                      <v:shape id="Straight Arrow Connector 44" o:spid="_x0000_s1139" type="#_x0000_t32" style="position:absolute;left:6841;top:9797;width:4833;height:63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2scQAAADcAAAADwAAAGRycy9kb3ducmV2LnhtbERP22rCQBB9F/yHZYS+6UZB0dRVRBQs&#10;FcELLb5Ns2MSzM6G7DbGfn1XEHybw7nOdN6YQtRUudyygn4vAkGcWJ1zquB0XHfHIJxH1lhYJgV3&#10;cjCftVtTjLW98Z7qg09FCGEXo4LM+zKW0iUZGXQ9WxIH7mIrgz7AKpW6wlsIN4UcRNFIGsw5NGRY&#10;0jKj5Hr4NQq+P3b1Tn+NJ+eV+eufi+GPS7afSr11msU7CE+Nf4mf7o0O8ycDeDwTLp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zaxxAAAANwAAAAPAAAAAAAAAAAA&#10;AAAAAKECAABkcnMvZG93bnJldi54bWxQSwUGAAAAAAQABAD5AAAAkgMAAAAA&#10;" strokecolor="#4f81bd [3204]" strokeweight="1pt">
                        <v:stroke endarrow="block" endarrowwidth="narrow" endarrowlength="short"/>
                        <v:shadow on="t" opacity="24903f" origin=",.5" offset="0,.55556mm"/>
                      </v:shape>
                      <v:shape id="Straight Arrow Connector 45" o:spid="_x0000_s1140" type="#_x0000_t32" style="position:absolute;left:6841;top:16158;width:4753;height: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dnKcIAAADcAAAADwAAAGRycy9kb3ducmV2LnhtbERPS4vCMBC+C/6HMIK3NXUV0a5RxEXw&#10;4quuu9ehGdtiMylN1PrvjbDgbT6+50znjSnFjWpXWFbQ70UgiFOrC84U/BxXH2MQziNrLC2Tggc5&#10;mM/arSnG2t75QLfEZyKEsItRQe59FUvp0pwMup6tiAN3trVBH2CdSV3jPYSbUn5G0UgaLDg05FjR&#10;Mqf0klyNgt0wcXx6lIPt5u87+l3L03Cz7yvV7TSLLxCeGv8W/7vXOsyfDOD1TLh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dnKcIAAADcAAAADwAAAAAAAAAAAAAA&#10;AAChAgAAZHJzL2Rvd25yZXYueG1sUEsFBgAAAAAEAAQA+QAAAJADAAAAAA==&#10;" strokecolor="#4f81bd [3204]" strokeweight="1pt">
                        <v:stroke endarrow="block" endarrowwidth="narrow" endarrowlength="short"/>
                        <v:shadow on="t" opacity="24903f" origin=",.5" offset="0,.55556mm"/>
                      </v:shape>
                      <v:shape id="Straight Arrow Connector 46" o:spid="_x0000_s1141" type="#_x0000_t32" style="position:absolute;left:29688;top:3720;width:4507;height:75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DEscIAAADcAAAADwAAAGRycy9kb3ducmV2LnhtbERPS4vCMBC+C/6HMMLe1tQHotUoy4rg&#10;xVXr6zo0Y1tsJqXJav33G2HB23x8z5ktGlOKO9WusKyg141AEKdWF5wpOB5Wn2MQziNrLC2Tgic5&#10;WMzbrRnG2j54T/fEZyKEsItRQe59FUvp0pwMuq6tiAN3tbVBH2CdSV3jI4SbUvajaCQNFhwacqzo&#10;O6f0lvwaBdth4vj0LAc/m8syOq/labjZ9ZT66DRfUxCeGv8W/7vXOsyfjOD1TLh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DEscIAAADcAAAADwAAAAAAAAAAAAAA&#10;AAChAgAAZHJzL2Rvd25yZXYueG1sUEsFBgAAAAAEAAQA+QAAAJADAAAAAA==&#10;" strokecolor="#4f81bd [3204]" strokeweight="1pt">
                        <v:stroke endarrow="block" endarrowwidth="narrow" endarrowlength="short"/>
                        <v:shadow on="t" opacity="24903f" origin=",.5" offset="0,.55556mm"/>
                      </v:shape>
                      <v:rect id="Rectangle 47" o:spid="_x0000_s1142" style="position:absolute;left:21;top:7537;width:666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lcQA&#10;AADcAAAADwAAAGRycy9kb3ducmV2LnhtbERPTWvCQBC9C/6HZYReRDd6sDW6SlAEaUE0EfQ4ZKdJ&#10;aHY2ZLca++u7QqG3ebzPWa47U4sbta6yrGAyjkAQ51ZXXCg4Z7vRGwjnkTXWlknBgxysV/3eEmNt&#10;73yiW+oLEULYxaig9L6JpXR5SQbd2DbEgfu0rUEfYFtI3eI9hJtaTqNoJg1WHBpKbGhTUv6VfhsF&#10;u0eyn72nh4/r6SIxOTbZjx9ulXoZdMkChKfO/4v/3Hsd5s9f4flMu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8JXEAAAA3AAAAA8AAAAAAAAAAAAAAAAAmAIAAGRycy9k&#10;b3ducmV2LnhtbFBLBQYAAAAABAAEAPUAAACJAwAAAAA=&#10;" fillcolor="#e5eeff" strokecolor="#4579b8 [3044]">
                        <v:fill color2="#a3c4ff" rotate="t" colors="0 #e5eeff;42598f #bfd5ff;1 #a3c4ff" focus="100%" type="gradient"/>
                        <v:shadow on="t" opacity="24903f" origin=",.5" offset="0,.55556mm"/>
                        <v:textbox>
                          <w:txbxContent>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Commercial</w:t>
                              </w:r>
                            </w:p>
                            <w:p w:rsidR="007458ED" w:rsidRDefault="007458ED" w:rsidP="007458ED">
                              <w:pPr>
                                <w:pStyle w:val="NormalWeb"/>
                                <w:spacing w:before="0" w:beforeAutospacing="0" w:after="0" w:afterAutospacing="0"/>
                                <w:jc w:val="center"/>
                              </w:pPr>
                              <w:r>
                                <w:rPr>
                                  <w:rFonts w:asciiTheme="minorHAnsi" w:hAnsi="Cambria" w:cstheme="minorBidi"/>
                                  <w:color w:val="000000"/>
                                  <w:kern w:val="24"/>
                                  <w:sz w:val="12"/>
                                  <w:szCs w:val="12"/>
                                </w:rPr>
                                <w:t>10%</w:t>
                              </w:r>
                            </w:p>
                          </w:txbxContent>
                        </v:textbox>
                      </v:rect>
                      <v:shape id="Straight Arrow Connector 48" o:spid="_x0000_s1143" type="#_x0000_t32" style="position:absolute;left:6681;top:9697;width:4993;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P1WMYAAADcAAAADwAAAGRycy9kb3ducmV2LnhtbESPT2vCQBDF74V+h2WE3upGK6LRVUql&#10;4MWq8d91yI5JaHY2ZLcav33nUOhthvfmvd/Ml52r1Y3aUHk2MOgnoIhzbysuDBwPn68TUCEiW6w9&#10;k4EHBVgunp/mmFp/5z3dslgoCeGQooEyxibVOuQlOQx93xCLdvWtwyhrW2jb4l3CXa2HSTLWDiuW&#10;hhIb+igp/85+nIHtKAt8etRvX5vLKjmv9Wm02Q2Meel17zNQkbr4b/67XlvBnwqtPCMT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T9VjGAAAA3AAAAA8AAAAAAAAA&#10;AAAAAAAAoQIAAGRycy9kb3ducmV2LnhtbFBLBQYAAAAABAAEAPkAAACUAwAAAAA=&#10;" strokecolor="#4f81bd [3204]" strokeweight="1pt">
                        <v:stroke endarrow="block" endarrowwidth="narrow" endarrowlength="short"/>
                        <v:shadow on="t" opacity="24903f" origin=",.5" offset="0,.55556mm"/>
                      </v:shape>
                      <v:shape id="Straight Arrow Connector 49" o:spid="_x0000_s1144" type="#_x0000_t32" style="position:absolute;left:6841;top:16158;width:4913;height:72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oPsUAAADcAAAADwAAAGRycy9kb3ducmV2LnhtbESPT2vCQBTE70K/w/IK3nQ3KiKpq5QW&#10;wYv/0tpeH9nXJDT7NmRXjd/eFQSPw8z8hpkvO1uLM7W+cqwhGSoQxLkzFRcavr9WgxkIH5AN1o5J&#10;w5U8LBcvvTmmxl34QOcsFCJC2KeooQyhSaX0eUkW/dA1xNH7c63FEGVbSNPiJcJtLUdKTaXFiuNC&#10;iQ19lJT/ZyerYTfJPB+v9Xi7+f1UP2t5nGz2idb91+79DUSgLjzDj/baaBipBO5n4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aoPsUAAADcAAAADwAAAAAAAAAA&#10;AAAAAAChAgAAZHJzL2Rvd25yZXYueG1sUEsFBgAAAAAEAAQA+QAAAJMDAAAAAA==&#10;" strokecolor="#4f81bd [3204]" strokeweight="1pt">
                        <v:stroke endarrow="block" endarrowwidth="narrow" endarrowlength="short"/>
                        <v:shadow on="t" opacity="24903f" origin=",.5" offset="0,.55556mm"/>
                      </v:shape>
                      <v:shape id="Straight Arrow Connector 50" o:spid="_x0000_s1145" type="#_x0000_t32" style="position:absolute;left:18414;top:11308;width:15781;height:121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jCSscAAADcAAAADwAAAGRycy9kb3ducmV2LnhtbESPQWvCQBSE74L/YXlCb7oxULFpNiJi&#10;oUURtKXF22v2NQlm34bsNkZ/fVcoeBxm5hsmXfSmFh21rrKsYDqJQBDnVldcKPh4fxnPQTiPrLG2&#10;TAou5GCRDQcpJtqeeU/dwRciQNglqKD0vkmkdHlJBt3ENsTB+7GtQR9kW0jd4jnATS3jKJpJgxWH&#10;hRIbWpWUnw6/RsHX267b6c/503FtrtNj/fjt8u1GqYdRv3wG4an39/B/+1UriKMYbmfC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2MJKxwAAANwAAAAPAAAAAAAA&#10;AAAAAAAAAKECAABkcnMvZG93bnJldi54bWxQSwUGAAAAAAQABAD5AAAAlQMAAAAA&#10;" strokecolor="#4f81bd [3204]" strokeweight="1pt">
                        <v:stroke endarrow="block" endarrowwidth="narrow" endarrowlength="short"/>
                        <v:shadow on="t" opacity="24903f" origin=",.5" offset="0,.55556mm"/>
                      </v:shape>
                      <v:shape id="Straight Arrow Connector 51" o:spid="_x0000_s1146" type="#_x0000_t32" style="position:absolute;left:18414;top:18564;width:15781;height:48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Rn0ccAAADcAAAADwAAAGRycy9kb3ducmV2LnhtbESP3WrCQBSE7wu+w3IE7+pGpUVjNlJK&#10;Cy0tgj8o3h2zxySYPRuy25j26d2C4OUwM98wyaIzlWipcaVlBaNhBII4s7rkXMF28/44BeE8ssbK&#10;Min4JQeLtPeQYKzthVfUrn0uAoRdjAoK7+tYSpcVZNANbU0cvJNtDPogm1zqBi8Bbio5jqJnabDk&#10;sFBgTa8FZef1j1Gw/1y2S72bzg5v5m90qJ6OLvv+UmrQ717mIDx1/h6+tT+0gnE0gf8z4QjI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lGfRxwAAANwAAAAPAAAAAAAA&#10;AAAAAAAAAKECAABkcnMvZG93bnJldi54bWxQSwUGAAAAAAQABAD5AAAAlQMAAAAA&#10;" strokecolor="#4f81bd [3204]" strokeweight="1pt">
                        <v:stroke endarrow="block" endarrowwidth="narrow" endarrowlength="short"/>
                        <v:shadow on="t" opacity="24903f" origin=",.5" offset="0,.55556mm"/>
                      </v:shape>
                      <v:shape id="Straight Arrow Connector 52" o:spid="_x0000_s1147" type="#_x0000_t32" style="position:absolute;left:18414;top:16565;width:15781;height:9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ELpsUAAADcAAAADwAAAGRycy9kb3ducmV2LnhtbESPT2vCQBTE74V+h+UVvNVdNYhEVykt&#10;ghf/pVWvj+wzCc2+DdlV47d3hUKPw8z8hpktOluLK7W+cqxh0FcgiHNnKi40/Hwv3ycgfEA2WDsm&#10;DXfysJi/vswwNe7Ge7pmoRARwj5FDWUITSqlz0uy6PuuIY7e2bUWQ5RtIU2Ltwi3tRwqNZYWK44L&#10;JTb0WVL+m12shm2SeT7c69FmffpSx5U8JOvdQOveW/cxBRGoC//hv/bKaBiqBJ5n4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ELpsUAAADcAAAADwAAAAAAAAAA&#10;AAAAAAChAgAAZHJzL2Rvd25yZXYueG1sUEsFBgAAAAAEAAQA+QAAAJMDAAAAAA==&#10;" strokecolor="#4f81bd [3204]" strokeweight="1pt">
                        <v:stroke endarrow="block" endarrowwidth="narrow" endarrowlength="short"/>
                        <v:shadow on="t" opacity="24903f" origin=",.5" offset="0,.55556mm"/>
                      </v:shape>
                      <v:shape id="Straight Arrow Connector 53" o:spid="_x0000_s1148" type="#_x0000_t32" style="position:absolute;left:6841;top:16158;width:4913;height:142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2uPcYAAADcAAAADwAAAGRycy9kb3ducmV2LnhtbESPS2vDMBCE74X+B7GF3BIpr1IcKyGk&#10;FHxJm7p5XBdra5taK2OpifPvq0Cgx2FmvmHSVW8bcabO1441jEcKBHHhTM2lhv3X2/AFhA/IBhvH&#10;pOFKHlbLx4cUE+Mu/EnnPJQiQtgnqKEKoU2k9EVFFv3ItcTR+3adxRBlV0rT4SXCbSMnSj1LizXH&#10;hQpb2lRU/OS/VsPHLPd8uDbT9+3pVR0zeZhtd2OtB0/9egEiUB/+w/d2ZjRM1Bxu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9rj3GAAAA3AAAAA8AAAAAAAAA&#10;AAAAAAAAoQIAAGRycy9kb3ducmV2LnhtbFBLBQYAAAAABAAEAPkAAACUAwAAAAA=&#10;" strokecolor="#4f81bd [3204]" strokeweight="1pt">
                        <v:stroke endarrow="block" endarrowwidth="narrow" endarrowlength="short"/>
                        <v:shadow on="t" opacity="24903f" origin=",.5" offset="0,.55556mm"/>
                      </v:shape>
                      <v:shape id="Straight Arrow Connector 54" o:spid="_x0000_s1149" type="#_x0000_t32" style="position:absolute;left:18414;top:18564;width:15781;height:118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PEScYAAADcAAAADwAAAGRycy9kb3ducmV2LnhtbESP3WrCQBSE7wXfYTlC73SjoGjqKiIK&#10;lorgDy3enWaPSTB7NmS3Mfr0XaHg5TAz3zDTeWMKUVPlcssK+r0IBHFidc6pgtNx3R2DcB5ZY2GZ&#10;FNzJwXzWbk0x1vbGe6oPPhUBwi5GBZn3ZSylSzIy6Hq2JA7exVYGfZBVKnWFtwA3hRxE0UgazDks&#10;ZFjSMqPkevg1Cr4/dvVOf40n55V59M/F8Mcl20+l3jrN4h2Ep8a/wv/tjVYwiEbwPBOO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jxEnGAAAA3AAAAA8AAAAAAAAA&#10;AAAAAAAAoQIAAGRycy9kb3ducmV2LnhtbFBLBQYAAAAABAAEAPkAAACUAwAAAAA=&#10;" strokecolor="#4f81bd [3204]" strokeweight="1pt">
                        <v:stroke endarrow="block" endarrowwidth="narrow" endarrowlength="short"/>
                        <v:shadow on="t" opacity="24903f" origin=",.5" offset="0,.55556mm"/>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5" o:spid="_x0000_s1150" type="#_x0000_t88" style="position:absolute;left:44451;top:3962;width:3048;height:2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1+UcIA&#10;AADcAAAADwAAAGRycy9kb3ducmV2LnhtbESPzYrCMBSF94LvEK7gzqa6cKQaRZSWmZ2jLnR3aa5t&#10;sbkpTaZ2fHozMODycH4+zmrTm1p01LrKsoJpFIMgzq2uuFBwPqWTBQjnkTXWlknBLznYrIeDFSba&#10;PvibuqMvRBhhl6CC0vsmkdLlJRl0kW2Ig3ezrUEfZFtI3eIjjJtazuJ4Lg1WHAglNrQrKb8ff0zg&#10;XtLMfdEzS+l+nXa0P8g8Oyg1HvXbJQhPvX+H/9ufWsEs/oC/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X5RwgAAANwAAAAPAAAAAAAAAAAAAAAAAJgCAABkcnMvZG93&#10;bnJldi54bWxQSwUGAAAAAAQABAD1AAAAhwMAAAAA&#10;" adj="238" strokecolor="#4f81bd [3204]" strokeweight="2pt">
                        <v:shadow on="t" opacity="24903f" origin=",.5" offset="0,.55556mm"/>
                        <v:textbox>
                          <w:txbxContent>
                            <w:p w:rsidR="007458ED" w:rsidRDefault="007458ED" w:rsidP="007458ED">
                              <w:pPr>
                                <w:rPr>
                                  <w:rFonts w:eastAsia="Times New Roman" w:cs="Times New Roman"/>
                                </w:rPr>
                              </w:pPr>
                            </w:p>
                          </w:txbxContent>
                        </v:textbox>
                      </v:shape>
                      <v:shape id="Straight Arrow Connector 56" o:spid="_x0000_s1151" type="#_x0000_t32" style="position:absolute;left:14983;top:5812;width:9;height:12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zhcIAAADcAAAADwAAAGRycy9kb3ducmV2LnhtbERPPW/CMBDdK/EfrEPqUoHdDLQKGFSh&#10;tGWjSRHzNb4mUeNzFJsk/fd4QGJ8et+b3WRbMVDvG8canpcKBHHpTMOVhtP3++IVhA/IBlvHpOGf&#10;POy2s4cNpsaNnNNQhErEEPYpaqhD6FIpfVmTRb90HXHkfl1vMUTYV9L0OMZw28pEqZW02HBsqLGj&#10;fU3lX3GxGi5P+0G9fCZ5lZ1tNn78yK8iO2r9OJ/e1iACTeEuvrkPRkOi4tp4Jh4Bub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fzhcIAAADcAAAADwAAAAAAAAAAAAAA&#10;AAChAgAAZHJzL2Rvd25yZXYueG1sUEsFBgAAAAAEAAQA+QAAAJADAAAAAA==&#10;" strokecolor="#4f81bd [3204]" strokeweight="1pt">
                        <v:stroke startarrow="block" startarrowwidth="narrow" startarrowlength="short" endarrowwidth="narrow" endarrowlength="short"/>
                        <v:shadow on="t" opacity="24903f" origin=",.5" offset="0,.55556mm"/>
                      </v:shape>
                      <w10:anchorlock/>
                    </v:group>
                  </w:pict>
                </mc:Fallback>
              </mc:AlternateContent>
            </w:r>
          </w:p>
        </w:tc>
      </w:tr>
    </w:tbl>
    <w:p w:rsidR="007458ED" w:rsidRDefault="007458ED" w:rsidP="0002412B">
      <w:pPr>
        <w:rPr>
          <w:lang w:val="en-US"/>
        </w:rPr>
        <w:sectPr w:rsidR="007458ED" w:rsidSect="007458ED">
          <w:pgSz w:w="16820" w:h="11900" w:orient="landscape"/>
          <w:pgMar w:top="1134" w:right="1440" w:bottom="1134" w:left="1440" w:header="709" w:footer="709" w:gutter="0"/>
          <w:cols w:space="708"/>
          <w:docGrid w:linePitch="360"/>
        </w:sectPr>
      </w:pPr>
    </w:p>
    <w:p w:rsidR="00DD6EBE" w:rsidRPr="000F5EF8" w:rsidRDefault="00DD6EBE" w:rsidP="00DD6EBE">
      <w:pPr>
        <w:pStyle w:val="Heading1"/>
        <w:ind w:left="432"/>
        <w:rPr>
          <w:lang w:val="en-AU"/>
        </w:rPr>
      </w:pPr>
      <w:bookmarkStart w:id="24" w:name="_Toc430778984"/>
      <w:r w:rsidRPr="00AD4F11">
        <w:rPr>
          <w:lang w:val="en-AU"/>
        </w:rPr>
        <w:lastRenderedPageBreak/>
        <w:t xml:space="preserve">Practices </w:t>
      </w:r>
      <w:r w:rsidR="00AD156C" w:rsidRPr="005728F4">
        <w:rPr>
          <w:lang w:val="en-AU"/>
        </w:rPr>
        <w:t xml:space="preserve">in the Auto Recycling Industry </w:t>
      </w:r>
      <w:r w:rsidRPr="000F5EF8">
        <w:rPr>
          <w:lang w:val="en-AU"/>
        </w:rPr>
        <w:t>and Practical Obstacles to Refrigerant Recovery</w:t>
      </w:r>
      <w:bookmarkEnd w:id="24"/>
    </w:p>
    <w:p w:rsidR="00DD6EBE" w:rsidRPr="003C63AC" w:rsidRDefault="00DD6EBE" w:rsidP="006D0ACC">
      <w:pPr>
        <w:pStyle w:val="Heading2"/>
        <w:ind w:left="567" w:hanging="567"/>
      </w:pPr>
      <w:bookmarkStart w:id="25" w:name="_Toc430778985"/>
      <w:r w:rsidRPr="003C63AC">
        <w:t xml:space="preserve">Common Practice in the </w:t>
      </w:r>
      <w:r w:rsidR="006B7262" w:rsidRPr="003C63AC">
        <w:t>Auto-part</w:t>
      </w:r>
      <w:r w:rsidRPr="003C63AC">
        <w:t>s Recycling Industry</w:t>
      </w:r>
      <w:bookmarkEnd w:id="25"/>
    </w:p>
    <w:p w:rsidR="0042675D" w:rsidRPr="00AD4F11" w:rsidRDefault="0042675D" w:rsidP="0042675D">
      <w:r w:rsidRPr="003C63AC">
        <w:t xml:space="preserve">If an ELV reaches an auto wreckers yard with any remnant refrigerant on board the common practices employed in stripping cars effectively ensure that the gas will be lost to air at this point. </w:t>
      </w:r>
    </w:p>
    <w:p w:rsidR="0042675D" w:rsidRPr="004F1732" w:rsidRDefault="0042675D" w:rsidP="0042675D">
      <w:r w:rsidRPr="005728F4">
        <w:t>At the best manag</w:t>
      </w:r>
      <w:r w:rsidRPr="000F5EF8">
        <w:t>ed sites, ELVs are disassembled to maximise return by recovering the maximum number of useful resalable car parts and the maximum materials, while at the same time managing pollutants and waste.  If the ELV is a model where there is demand for the majority</w:t>
      </w:r>
      <w:r w:rsidRPr="004F1732">
        <w:t xml:space="preserve"> of parts, the disassembly process would normally involve:</w:t>
      </w:r>
    </w:p>
    <w:p w:rsidR="0042675D" w:rsidRPr="004F1732" w:rsidRDefault="0042675D" w:rsidP="00AD7504">
      <w:pPr>
        <w:pStyle w:val="ListParagraph"/>
        <w:numPr>
          <w:ilvl w:val="0"/>
          <w:numId w:val="11"/>
        </w:numPr>
        <w:spacing w:before="120" w:after="0" w:line="240" w:lineRule="auto"/>
        <w:ind w:left="357" w:hanging="357"/>
        <w:contextualSpacing w:val="0"/>
        <w:jc w:val="both"/>
        <w:rPr>
          <w:rFonts w:ascii="Times New Roman" w:hAnsi="Times New Roman"/>
        </w:rPr>
      </w:pPr>
      <w:r w:rsidRPr="004F1732">
        <w:rPr>
          <w:rFonts w:ascii="Times New Roman" w:hAnsi="Times New Roman"/>
        </w:rPr>
        <w:t>Identification of refrigerant type (i.e. HFC-134a, CFC-12 or HC) using a refrigerant gas analyser and marking the vehicle accordingly (i.e. no refrigerant, HFC-134a or waste);</w:t>
      </w:r>
    </w:p>
    <w:p w:rsidR="0042675D" w:rsidRPr="00D357AA" w:rsidRDefault="0042675D" w:rsidP="00AD7504">
      <w:pPr>
        <w:pStyle w:val="ListParagraph"/>
        <w:numPr>
          <w:ilvl w:val="0"/>
          <w:numId w:val="11"/>
        </w:numPr>
        <w:spacing w:before="120" w:after="0" w:line="240" w:lineRule="auto"/>
        <w:ind w:left="357" w:hanging="357"/>
        <w:contextualSpacing w:val="0"/>
        <w:jc w:val="both"/>
        <w:rPr>
          <w:rFonts w:ascii="Times New Roman" w:hAnsi="Times New Roman"/>
        </w:rPr>
      </w:pPr>
      <w:r w:rsidRPr="00AD02ED">
        <w:rPr>
          <w:rFonts w:ascii="Times New Roman" w:hAnsi="Times New Roman"/>
        </w:rPr>
        <w:t>Draining and collect</w:t>
      </w:r>
      <w:r w:rsidRPr="00D357AA">
        <w:rPr>
          <w:rFonts w:ascii="Times New Roman" w:hAnsi="Times New Roman"/>
        </w:rPr>
        <w:t>ion of waste oil and hydraulic fluids, and pumping down of refrigerant gas for resale or destruction;</w:t>
      </w:r>
    </w:p>
    <w:p w:rsidR="0042675D" w:rsidRPr="003C63AC" w:rsidRDefault="0042675D" w:rsidP="00AD7504">
      <w:pPr>
        <w:pStyle w:val="ListParagraph"/>
        <w:numPr>
          <w:ilvl w:val="0"/>
          <w:numId w:val="11"/>
        </w:numPr>
        <w:spacing w:before="120" w:after="0" w:line="240" w:lineRule="auto"/>
        <w:ind w:left="357" w:hanging="357"/>
        <w:contextualSpacing w:val="0"/>
        <w:jc w:val="both"/>
        <w:rPr>
          <w:rFonts w:ascii="Times New Roman" w:hAnsi="Times New Roman"/>
        </w:rPr>
      </w:pPr>
      <w:r w:rsidRPr="00920E28">
        <w:rPr>
          <w:rFonts w:ascii="Times New Roman" w:hAnsi="Times New Roman"/>
        </w:rPr>
        <w:t>Removal of external panels and components still in good condition such as headlights, windscreens, windows, doors, bonnets, boots, fenders, grills, dashbo</w:t>
      </w:r>
      <w:r w:rsidRPr="003C63AC">
        <w:rPr>
          <w:rFonts w:ascii="Times New Roman" w:hAnsi="Times New Roman"/>
        </w:rPr>
        <w:t>ards, seats;</w:t>
      </w:r>
    </w:p>
    <w:p w:rsidR="0042675D" w:rsidRPr="003C63AC" w:rsidRDefault="0042675D" w:rsidP="00AD7504">
      <w:pPr>
        <w:pStyle w:val="ListParagraph"/>
        <w:numPr>
          <w:ilvl w:val="0"/>
          <w:numId w:val="11"/>
        </w:numPr>
        <w:spacing w:before="120" w:after="0" w:line="240" w:lineRule="auto"/>
        <w:ind w:left="357" w:hanging="357"/>
        <w:contextualSpacing w:val="0"/>
        <w:jc w:val="both"/>
        <w:rPr>
          <w:rFonts w:ascii="Times New Roman" w:hAnsi="Times New Roman"/>
        </w:rPr>
      </w:pPr>
      <w:r w:rsidRPr="003C63AC">
        <w:rPr>
          <w:rFonts w:ascii="Times New Roman" w:hAnsi="Times New Roman"/>
        </w:rPr>
        <w:t>Removal of tyres and wheels;</w:t>
      </w:r>
    </w:p>
    <w:p w:rsidR="0042675D" w:rsidRPr="003C63AC" w:rsidRDefault="0042675D" w:rsidP="00AD7504">
      <w:pPr>
        <w:pStyle w:val="ListParagraph"/>
        <w:numPr>
          <w:ilvl w:val="0"/>
          <w:numId w:val="11"/>
        </w:numPr>
        <w:spacing w:before="120" w:after="0" w:line="240" w:lineRule="auto"/>
        <w:ind w:left="357" w:hanging="357"/>
        <w:contextualSpacing w:val="0"/>
        <w:jc w:val="both"/>
        <w:rPr>
          <w:rFonts w:ascii="Times New Roman" w:hAnsi="Times New Roman"/>
        </w:rPr>
      </w:pPr>
      <w:r w:rsidRPr="003C63AC">
        <w:rPr>
          <w:rFonts w:ascii="Times New Roman" w:hAnsi="Times New Roman"/>
        </w:rPr>
        <w:t xml:space="preserve">Removal of catalytic converters and </w:t>
      </w:r>
      <w:bookmarkStart w:id="26" w:name="OLE_LINK1"/>
      <w:bookmarkStart w:id="27" w:name="OLE_LINK2"/>
      <w:r w:rsidRPr="003C63AC">
        <w:rPr>
          <w:rFonts w:ascii="Times New Roman" w:hAnsi="Times New Roman"/>
        </w:rPr>
        <w:t xml:space="preserve">MAC condensers </w:t>
      </w:r>
      <w:bookmarkEnd w:id="26"/>
      <w:bookmarkEnd w:id="27"/>
      <w:r w:rsidRPr="003C63AC">
        <w:rPr>
          <w:rFonts w:ascii="Times New Roman" w:hAnsi="Times New Roman"/>
        </w:rPr>
        <w:t>for the platinum and copper values;</w:t>
      </w:r>
    </w:p>
    <w:p w:rsidR="0042675D" w:rsidRPr="003C63AC" w:rsidRDefault="0042675D" w:rsidP="00AD7504">
      <w:pPr>
        <w:pStyle w:val="ListParagraph"/>
        <w:numPr>
          <w:ilvl w:val="0"/>
          <w:numId w:val="11"/>
        </w:numPr>
        <w:spacing w:before="120" w:after="0" w:line="240" w:lineRule="auto"/>
        <w:ind w:left="357" w:hanging="357"/>
        <w:contextualSpacing w:val="0"/>
        <w:jc w:val="both"/>
        <w:rPr>
          <w:rFonts w:ascii="Times New Roman" w:hAnsi="Times New Roman"/>
        </w:rPr>
      </w:pPr>
      <w:r w:rsidRPr="003C63AC">
        <w:rPr>
          <w:rFonts w:ascii="Times New Roman" w:hAnsi="Times New Roman"/>
        </w:rPr>
        <w:t>Separation of the engine block from engine mounts and drive chain; and,</w:t>
      </w:r>
    </w:p>
    <w:p w:rsidR="0042675D" w:rsidRPr="003C63AC" w:rsidRDefault="0042675D" w:rsidP="00AD7504">
      <w:pPr>
        <w:pStyle w:val="ListParagraph"/>
        <w:numPr>
          <w:ilvl w:val="0"/>
          <w:numId w:val="11"/>
        </w:numPr>
        <w:spacing w:before="120" w:after="0" w:line="240" w:lineRule="auto"/>
        <w:ind w:left="357" w:hanging="357"/>
        <w:contextualSpacing w:val="0"/>
        <w:jc w:val="both"/>
        <w:rPr>
          <w:rFonts w:ascii="Times New Roman" w:hAnsi="Times New Roman"/>
        </w:rPr>
      </w:pPr>
      <w:r w:rsidRPr="003C63AC">
        <w:rPr>
          <w:rFonts w:ascii="Times New Roman" w:hAnsi="Times New Roman"/>
        </w:rPr>
        <w:t>Sale of chassis for crushing for scrap steel and, if the engine is not a sought after model, sale of the engine separately.</w:t>
      </w:r>
    </w:p>
    <w:p w:rsidR="0042675D" w:rsidRPr="003C63AC" w:rsidRDefault="0042675D" w:rsidP="004576B1">
      <w:r w:rsidRPr="003C63AC">
        <w:t xml:space="preserve">Better operations </w:t>
      </w:r>
      <w:r w:rsidR="00267FC9">
        <w:t xml:space="preserve">observed </w:t>
      </w:r>
      <w:r w:rsidRPr="003C63AC">
        <w:t>have undercover racking and storage for valuable parts and computerised inventories of parts available. They observe OHS laws and stack vehicles safely (i.e. when transporting or in yards), and may have hoists to raise the vehicle to facilitate the removal of oils and fluids before they are disposed of carefully. Tyres are sent to recyclers if they cannot be sold. Compressors are de-gassed before they are removed for metal recycling.</w:t>
      </w:r>
    </w:p>
    <w:p w:rsidR="0042675D" w:rsidRPr="003C63AC" w:rsidRDefault="0042675D" w:rsidP="004576B1">
      <w:r w:rsidRPr="003C63AC">
        <w:t xml:space="preserve">However, most auto-parts recycling firms </w:t>
      </w:r>
      <w:r w:rsidR="00267FC9">
        <w:t xml:space="preserve">in Victoria </w:t>
      </w:r>
      <w:r w:rsidRPr="003C63AC">
        <w:t xml:space="preserve">do not operate like this (evidenced by VP 2014, site visits, photos and interview records). In the most careless approach to the environmental outcomes, as described by industry participants, a forklift truck is driven into the front of the car and the engine block is essentially ripped from the chassis. The engine block might be loaded into a container for export, or just sold as scrap as it is worth more than the chassis. In the worst ‘back yard’ operations visited by the Expert Group for this study, the work sites look like trash heaps </w:t>
      </w:r>
      <w:r w:rsidR="000F1E79">
        <w:t xml:space="preserve">that were </w:t>
      </w:r>
      <w:r w:rsidRPr="003C63AC">
        <w:t>soaked in oils</w:t>
      </w:r>
      <w:r w:rsidR="000F1E79">
        <w:t xml:space="preserve"> and where the ground was </w:t>
      </w:r>
      <w:r w:rsidRPr="003C63AC">
        <w:t xml:space="preserve">covered in glass, metal, rubber and vinyl sharps and </w:t>
      </w:r>
      <w:r w:rsidR="000F1E79">
        <w:t xml:space="preserve">glass </w:t>
      </w:r>
      <w:r w:rsidRPr="003C63AC">
        <w:t>shards. Extremely unsafe work practices were observed with unsecured vehicles precariously stacked on top of each other, unsecured racking, and burning drums of toxins meters away from pooling oil on a concrete floor at least several cent</w:t>
      </w:r>
      <w:r w:rsidR="00482A53">
        <w:t>i</w:t>
      </w:r>
      <w:r w:rsidRPr="003C63AC">
        <w:t xml:space="preserve">metres deep were just some of the easily identifiable unsafe practices. </w:t>
      </w:r>
      <w:r w:rsidR="004576B1" w:rsidRPr="003C63AC">
        <w:t xml:space="preserve">Industry participants claim they have seen vehicles stacked three high when transporting to site only secured with basic strapping. </w:t>
      </w:r>
      <w:r w:rsidRPr="003C63AC">
        <w:t xml:space="preserve">Operations with open disregard for observable breaches of the law are </w:t>
      </w:r>
      <w:r w:rsidR="00482A53">
        <w:t xml:space="preserve">considered </w:t>
      </w:r>
      <w:r w:rsidRPr="003C63AC">
        <w:t xml:space="preserve">highly unlikely to have any regard for collecting and disposing of refrigerant unless there was some commercial benefit. </w:t>
      </w:r>
    </w:p>
    <w:p w:rsidR="0042675D" w:rsidRPr="003C63AC" w:rsidRDefault="0042675D" w:rsidP="004576B1">
      <w:r w:rsidRPr="003C63AC">
        <w:t xml:space="preserve">The series of pictures below were collected while Expert Group was accompanying the Victorian Police on visits to a number of auto-recycling businesses reviewed as part of the police </w:t>
      </w:r>
      <w:r w:rsidRPr="003C63AC">
        <w:rPr>
          <w:i/>
        </w:rPr>
        <w:t>Taskforce Discover</w:t>
      </w:r>
      <w:r w:rsidRPr="003C63AC">
        <w:t xml:space="preserve">. </w:t>
      </w:r>
    </w:p>
    <w:p w:rsidR="0053003A" w:rsidRPr="003C63AC" w:rsidRDefault="0053003A" w:rsidP="0042675D"/>
    <w:p w:rsidR="00DE4200" w:rsidRPr="003C63AC" w:rsidRDefault="00DE4200" w:rsidP="00525CCA">
      <w:pPr>
        <w:ind w:left="60"/>
      </w:pPr>
    </w:p>
    <w:p w:rsidR="00484DD3" w:rsidRPr="003C63AC" w:rsidRDefault="00484DD3" w:rsidP="00484DD3">
      <w:pPr>
        <w:spacing w:before="0"/>
        <w:jc w:val="left"/>
      </w:pPr>
    </w:p>
    <w:p w:rsidR="00484DD3" w:rsidRPr="003C63AC" w:rsidRDefault="00484DD3" w:rsidP="00484DD3">
      <w:pPr>
        <w:spacing w:before="0"/>
        <w:jc w:val="left"/>
      </w:pPr>
      <w:r w:rsidRPr="003C63AC">
        <w:br w:type="page"/>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19"/>
        <w:gridCol w:w="4820"/>
      </w:tblGrid>
      <w:tr w:rsidR="00484DD3" w:rsidRPr="003C63AC" w:rsidTr="00484DD3">
        <w:tc>
          <w:tcPr>
            <w:tcW w:w="9639" w:type="dxa"/>
            <w:gridSpan w:val="2"/>
            <w:vAlign w:val="center"/>
          </w:tcPr>
          <w:p w:rsidR="00484DD3" w:rsidRPr="003C63AC" w:rsidRDefault="00484DD3" w:rsidP="004746DA">
            <w:pPr>
              <w:spacing w:after="120"/>
              <w:jc w:val="center"/>
              <w:rPr>
                <w:b/>
              </w:rPr>
            </w:pPr>
            <w:r w:rsidRPr="003C63AC">
              <w:rPr>
                <w:b/>
              </w:rPr>
              <w:br w:type="page"/>
            </w:r>
            <w:r w:rsidR="006B7262" w:rsidRPr="003C63AC">
              <w:rPr>
                <w:b/>
              </w:rPr>
              <w:t>Auto-part</w:t>
            </w:r>
            <w:r w:rsidRPr="003C63AC">
              <w:rPr>
                <w:b/>
              </w:rPr>
              <w:t xml:space="preserve">s </w:t>
            </w:r>
            <w:r w:rsidR="004746DA" w:rsidRPr="003C63AC">
              <w:rPr>
                <w:b/>
              </w:rPr>
              <w:t xml:space="preserve">and metal </w:t>
            </w:r>
            <w:r w:rsidRPr="003C63AC">
              <w:rPr>
                <w:b/>
              </w:rPr>
              <w:t xml:space="preserve">recycling </w:t>
            </w:r>
            <w:r w:rsidR="004746DA" w:rsidRPr="003C63AC">
              <w:rPr>
                <w:b/>
              </w:rPr>
              <w:t>activities observed</w:t>
            </w:r>
            <w:r w:rsidRPr="003C63AC">
              <w:rPr>
                <w:b/>
              </w:rPr>
              <w:t xml:space="preserve"> </w:t>
            </w:r>
          </w:p>
        </w:tc>
      </w:tr>
      <w:tr w:rsidR="00484DD3" w:rsidRPr="003C63AC" w:rsidTr="00484DD3">
        <w:tc>
          <w:tcPr>
            <w:tcW w:w="4819" w:type="dxa"/>
            <w:vAlign w:val="center"/>
          </w:tcPr>
          <w:p w:rsidR="00484DD3" w:rsidRPr="003C63AC" w:rsidRDefault="00484DD3" w:rsidP="00484DD3">
            <w:pPr>
              <w:spacing w:before="60" w:after="60"/>
              <w:jc w:val="center"/>
              <w:rPr>
                <w:sz w:val="16"/>
                <w:szCs w:val="16"/>
              </w:rPr>
            </w:pPr>
            <w:r w:rsidRPr="003C63AC">
              <w:rPr>
                <w:noProof/>
                <w:sz w:val="16"/>
                <w:szCs w:val="16"/>
                <w:lang w:eastAsia="en-AU"/>
              </w:rPr>
              <w:drawing>
                <wp:inline distT="0" distB="0" distL="0" distR="0">
                  <wp:extent cx="2384880" cy="1882800"/>
                  <wp:effectExtent l="76200" t="76200" r="79375" b="73025"/>
                  <wp:docPr id="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384880" cy="1882800"/>
                          </a:xfrm>
                          <a:prstGeom prst="rect">
                            <a:avLst/>
                          </a:prstGeom>
                          <a:ln w="76200">
                            <a:solidFill>
                              <a:schemeClr val="bg1"/>
                            </a:solidFill>
                          </a:ln>
                        </pic:spPr>
                      </pic:pic>
                    </a:graphicData>
                  </a:graphic>
                </wp:inline>
              </w:drawing>
            </w:r>
          </w:p>
        </w:tc>
        <w:tc>
          <w:tcPr>
            <w:tcW w:w="4820" w:type="dxa"/>
            <w:vAlign w:val="center"/>
          </w:tcPr>
          <w:p w:rsidR="00484DD3" w:rsidRPr="003C63AC" w:rsidRDefault="00484DD3" w:rsidP="00484DD3">
            <w:pPr>
              <w:spacing w:before="60" w:after="60"/>
              <w:jc w:val="center"/>
              <w:rPr>
                <w:sz w:val="16"/>
                <w:szCs w:val="16"/>
              </w:rPr>
            </w:pPr>
            <w:r w:rsidRPr="003C63AC">
              <w:rPr>
                <w:noProof/>
                <w:sz w:val="16"/>
                <w:szCs w:val="16"/>
                <w:lang w:eastAsia="en-AU"/>
              </w:rPr>
              <w:drawing>
                <wp:inline distT="0" distB="0" distL="0" distR="0">
                  <wp:extent cx="2397432" cy="1882800"/>
                  <wp:effectExtent l="76200" t="76200" r="66675" b="730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397432" cy="1882800"/>
                          </a:xfrm>
                          <a:prstGeom prst="rect">
                            <a:avLst/>
                          </a:prstGeom>
                          <a:ln w="76200">
                            <a:solidFill>
                              <a:schemeClr val="bg1"/>
                            </a:solidFill>
                          </a:ln>
                        </pic:spPr>
                      </pic:pic>
                    </a:graphicData>
                  </a:graphic>
                </wp:inline>
              </w:drawing>
            </w:r>
          </w:p>
        </w:tc>
      </w:tr>
      <w:tr w:rsidR="00484DD3" w:rsidRPr="003C63AC" w:rsidTr="00484DD3">
        <w:tc>
          <w:tcPr>
            <w:tcW w:w="4819" w:type="dxa"/>
            <w:vAlign w:val="center"/>
          </w:tcPr>
          <w:p w:rsidR="00484DD3" w:rsidRPr="003C63AC" w:rsidRDefault="00484DD3" w:rsidP="004746DA">
            <w:pPr>
              <w:spacing w:before="60" w:after="60"/>
              <w:jc w:val="center"/>
              <w:rPr>
                <w:sz w:val="16"/>
                <w:szCs w:val="16"/>
              </w:rPr>
            </w:pPr>
            <w:r w:rsidRPr="003C63AC">
              <w:rPr>
                <w:sz w:val="16"/>
                <w:szCs w:val="16"/>
              </w:rPr>
              <w:t>Half cuts</w:t>
            </w:r>
            <w:r w:rsidR="004746DA" w:rsidRPr="003C63AC">
              <w:rPr>
                <w:sz w:val="16"/>
                <w:szCs w:val="16"/>
              </w:rPr>
              <w:t>, engine blocks and door panels destine</w:t>
            </w:r>
            <w:r w:rsidR="00B8041A" w:rsidRPr="003C63AC">
              <w:rPr>
                <w:sz w:val="16"/>
                <w:szCs w:val="16"/>
              </w:rPr>
              <w:t>d</w:t>
            </w:r>
            <w:r w:rsidR="004746DA" w:rsidRPr="003C63AC">
              <w:rPr>
                <w:sz w:val="16"/>
                <w:szCs w:val="16"/>
              </w:rPr>
              <w:t xml:space="preserve"> for Africa</w:t>
            </w:r>
            <w:r w:rsidRPr="003C63AC">
              <w:rPr>
                <w:sz w:val="16"/>
                <w:szCs w:val="16"/>
              </w:rPr>
              <w:t xml:space="preserve"> </w:t>
            </w:r>
          </w:p>
        </w:tc>
        <w:tc>
          <w:tcPr>
            <w:tcW w:w="4820" w:type="dxa"/>
            <w:vAlign w:val="center"/>
          </w:tcPr>
          <w:p w:rsidR="00484DD3" w:rsidRPr="003C63AC" w:rsidRDefault="004746DA" w:rsidP="00484DD3">
            <w:pPr>
              <w:spacing w:before="60" w:after="60"/>
              <w:jc w:val="center"/>
              <w:rPr>
                <w:sz w:val="16"/>
                <w:szCs w:val="16"/>
              </w:rPr>
            </w:pPr>
            <w:r w:rsidRPr="003C63AC">
              <w:rPr>
                <w:sz w:val="16"/>
                <w:szCs w:val="16"/>
              </w:rPr>
              <w:t>Pile of condensers destine</w:t>
            </w:r>
            <w:r w:rsidR="00B8041A" w:rsidRPr="003C63AC">
              <w:rPr>
                <w:sz w:val="16"/>
                <w:szCs w:val="16"/>
              </w:rPr>
              <w:t>d</w:t>
            </w:r>
            <w:r w:rsidRPr="003C63AC">
              <w:rPr>
                <w:sz w:val="16"/>
                <w:szCs w:val="16"/>
              </w:rPr>
              <w:t xml:space="preserve"> for South Korea</w:t>
            </w:r>
          </w:p>
        </w:tc>
      </w:tr>
      <w:tr w:rsidR="00484DD3" w:rsidRPr="003C63AC" w:rsidTr="00484DD3">
        <w:tc>
          <w:tcPr>
            <w:tcW w:w="4819" w:type="dxa"/>
            <w:vAlign w:val="center"/>
          </w:tcPr>
          <w:p w:rsidR="00484DD3" w:rsidRPr="003C63AC" w:rsidRDefault="004746DA" w:rsidP="004746DA">
            <w:pPr>
              <w:spacing w:before="60" w:after="60"/>
              <w:jc w:val="center"/>
              <w:rPr>
                <w:sz w:val="16"/>
                <w:szCs w:val="16"/>
              </w:rPr>
            </w:pPr>
            <w:r w:rsidRPr="003C63AC">
              <w:rPr>
                <w:noProof/>
                <w:sz w:val="16"/>
                <w:szCs w:val="16"/>
                <w:lang w:eastAsia="en-AU"/>
              </w:rPr>
              <w:drawing>
                <wp:inline distT="0" distB="0" distL="0" distR="0">
                  <wp:extent cx="2389440" cy="1886400"/>
                  <wp:effectExtent l="76200" t="76200" r="74930" b="69850"/>
                  <wp:docPr id="1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389440" cy="1886400"/>
                          </a:xfrm>
                          <a:prstGeom prst="rect">
                            <a:avLst/>
                          </a:prstGeom>
                          <a:ln w="76200">
                            <a:solidFill>
                              <a:schemeClr val="bg1"/>
                            </a:solidFill>
                          </a:ln>
                        </pic:spPr>
                      </pic:pic>
                    </a:graphicData>
                  </a:graphic>
                </wp:inline>
              </w:drawing>
            </w:r>
          </w:p>
        </w:tc>
        <w:tc>
          <w:tcPr>
            <w:tcW w:w="4820" w:type="dxa"/>
            <w:vAlign w:val="center"/>
          </w:tcPr>
          <w:p w:rsidR="00484DD3" w:rsidRPr="003C63AC" w:rsidRDefault="005D2331" w:rsidP="005D2331">
            <w:pPr>
              <w:spacing w:before="60" w:after="60"/>
              <w:jc w:val="center"/>
              <w:rPr>
                <w:sz w:val="16"/>
                <w:szCs w:val="16"/>
              </w:rPr>
            </w:pPr>
            <w:r w:rsidRPr="003C63AC">
              <w:rPr>
                <w:noProof/>
                <w:sz w:val="16"/>
                <w:szCs w:val="16"/>
                <w:lang w:eastAsia="en-AU"/>
              </w:rPr>
              <w:drawing>
                <wp:inline distT="0" distB="0" distL="0" distR="0">
                  <wp:extent cx="2400885" cy="1882800"/>
                  <wp:effectExtent l="76200" t="76200" r="88900" b="73025"/>
                  <wp:docPr id="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400885" cy="1882800"/>
                          </a:xfrm>
                          <a:prstGeom prst="rect">
                            <a:avLst/>
                          </a:prstGeom>
                          <a:ln w="76200">
                            <a:solidFill>
                              <a:schemeClr val="bg1"/>
                            </a:solidFill>
                          </a:ln>
                        </pic:spPr>
                      </pic:pic>
                    </a:graphicData>
                  </a:graphic>
                </wp:inline>
              </w:drawing>
            </w:r>
          </w:p>
        </w:tc>
      </w:tr>
      <w:tr w:rsidR="004746DA" w:rsidRPr="003C63AC" w:rsidTr="00484DD3">
        <w:tc>
          <w:tcPr>
            <w:tcW w:w="4819" w:type="dxa"/>
            <w:vAlign w:val="center"/>
          </w:tcPr>
          <w:p w:rsidR="004746DA" w:rsidRPr="003C63AC" w:rsidRDefault="004746DA" w:rsidP="00B8041A">
            <w:pPr>
              <w:spacing w:before="60" w:after="60"/>
              <w:jc w:val="center"/>
              <w:rPr>
                <w:sz w:val="16"/>
                <w:szCs w:val="16"/>
              </w:rPr>
            </w:pPr>
            <w:r w:rsidRPr="003C63AC">
              <w:rPr>
                <w:sz w:val="16"/>
                <w:szCs w:val="16"/>
              </w:rPr>
              <w:t xml:space="preserve">One of a dozen ELVs partly stripped down </w:t>
            </w:r>
            <w:r w:rsidR="00B8041A" w:rsidRPr="003C63AC">
              <w:rPr>
                <w:sz w:val="16"/>
                <w:szCs w:val="16"/>
              </w:rPr>
              <w:t xml:space="preserve">at </w:t>
            </w:r>
            <w:r w:rsidRPr="003C63AC">
              <w:rPr>
                <w:sz w:val="16"/>
                <w:szCs w:val="16"/>
              </w:rPr>
              <w:t>a back yard operation</w:t>
            </w:r>
          </w:p>
        </w:tc>
        <w:tc>
          <w:tcPr>
            <w:tcW w:w="4820" w:type="dxa"/>
            <w:vAlign w:val="center"/>
          </w:tcPr>
          <w:p w:rsidR="004746DA" w:rsidRPr="003C63AC" w:rsidRDefault="004746DA" w:rsidP="004746DA">
            <w:pPr>
              <w:spacing w:before="60" w:after="60"/>
              <w:jc w:val="center"/>
              <w:rPr>
                <w:sz w:val="16"/>
                <w:szCs w:val="16"/>
              </w:rPr>
            </w:pPr>
            <w:r w:rsidRPr="003C63AC">
              <w:rPr>
                <w:sz w:val="16"/>
                <w:szCs w:val="16"/>
              </w:rPr>
              <w:t>Valuable catalytic converters destine</w:t>
            </w:r>
            <w:r w:rsidR="00B8041A" w:rsidRPr="003C63AC">
              <w:rPr>
                <w:sz w:val="16"/>
                <w:szCs w:val="16"/>
              </w:rPr>
              <w:t>d</w:t>
            </w:r>
            <w:r w:rsidRPr="003C63AC">
              <w:rPr>
                <w:sz w:val="16"/>
                <w:szCs w:val="16"/>
              </w:rPr>
              <w:t xml:space="preserve"> Germany for rare metals</w:t>
            </w:r>
          </w:p>
        </w:tc>
      </w:tr>
      <w:tr w:rsidR="004746DA" w:rsidRPr="003C63AC" w:rsidTr="004746DA">
        <w:tc>
          <w:tcPr>
            <w:tcW w:w="9639" w:type="dxa"/>
            <w:gridSpan w:val="2"/>
            <w:vAlign w:val="center"/>
          </w:tcPr>
          <w:p w:rsidR="004746DA" w:rsidRPr="003C63AC" w:rsidRDefault="004746DA" w:rsidP="004746DA">
            <w:pPr>
              <w:spacing w:before="60" w:after="60"/>
              <w:jc w:val="left"/>
              <w:rPr>
                <w:sz w:val="16"/>
                <w:szCs w:val="16"/>
              </w:rPr>
            </w:pPr>
            <w:r w:rsidRPr="003C63AC">
              <w:rPr>
                <w:i/>
                <w:sz w:val="20"/>
              </w:rPr>
              <w:t xml:space="preserve">Figure </w:t>
            </w:r>
            <w:r w:rsidR="00F005B2" w:rsidRPr="003C63AC">
              <w:rPr>
                <w:i/>
                <w:sz w:val="20"/>
              </w:rPr>
              <w:fldChar w:fldCharType="begin"/>
            </w:r>
            <w:r w:rsidRPr="003C63AC">
              <w:rPr>
                <w:i/>
                <w:sz w:val="20"/>
              </w:rPr>
              <w:instrText xml:space="preserve"> SEQ Figure \* ARABIC </w:instrText>
            </w:r>
            <w:r w:rsidR="00F005B2" w:rsidRPr="003C63AC">
              <w:rPr>
                <w:i/>
                <w:sz w:val="20"/>
              </w:rPr>
              <w:fldChar w:fldCharType="separate"/>
            </w:r>
            <w:r w:rsidR="00DE265F">
              <w:rPr>
                <w:i/>
                <w:noProof/>
                <w:sz w:val="20"/>
              </w:rPr>
              <w:t>8</w:t>
            </w:r>
            <w:r w:rsidR="00F005B2" w:rsidRPr="003C63AC">
              <w:rPr>
                <w:i/>
                <w:sz w:val="20"/>
              </w:rPr>
              <w:fldChar w:fldCharType="end"/>
            </w:r>
            <w:r w:rsidRPr="003C63AC">
              <w:rPr>
                <w:i/>
                <w:sz w:val="20"/>
              </w:rPr>
              <w:t xml:space="preserve">: Variety of photos of </w:t>
            </w:r>
            <w:r w:rsidR="006B7262" w:rsidRPr="003C63AC">
              <w:rPr>
                <w:i/>
                <w:sz w:val="20"/>
              </w:rPr>
              <w:t>auto-part</w:t>
            </w:r>
            <w:r w:rsidRPr="003C63AC">
              <w:rPr>
                <w:i/>
                <w:sz w:val="20"/>
              </w:rPr>
              <w:t>s and metal recycling activities observed with Victoria Police.</w:t>
            </w:r>
          </w:p>
        </w:tc>
      </w:tr>
    </w:tbl>
    <w:p w:rsidR="00484DD3" w:rsidRPr="003C63AC" w:rsidRDefault="00484DD3" w:rsidP="00484DD3">
      <w:pPr>
        <w:rPr>
          <w:lang w:val="en-US"/>
        </w:rPr>
      </w:pPr>
    </w:p>
    <w:p w:rsidR="004576B1" w:rsidRPr="005728F4" w:rsidRDefault="004576B1" w:rsidP="004576B1">
      <w:r w:rsidRPr="003C63AC">
        <w:t>During these visits Peter Brodribb from Expert Group interviewed business owners. The first impression was that they were all aware of the requirement to recover refrigerant gas, and most claimed that they did and were able to provide phone numbers of parties that had performed the work</w:t>
      </w:r>
      <w:r w:rsidR="00146A39" w:rsidRPr="00AD4F11">
        <w:t>. These claims</w:t>
      </w:r>
      <w:r w:rsidRPr="005728F4">
        <w:t xml:space="preserve"> were later assessed to be fictitious. </w:t>
      </w:r>
    </w:p>
    <w:p w:rsidR="004576B1" w:rsidRPr="003C63AC" w:rsidRDefault="004576B1" w:rsidP="004576B1">
      <w:r w:rsidRPr="000F5EF8">
        <w:t xml:space="preserve">Prior to the inspections accompanying police, Expert Group had conducted a series of ‘blind’ market </w:t>
      </w:r>
      <w:r w:rsidR="003C63AC" w:rsidRPr="004F1732">
        <w:t>surveys posing</w:t>
      </w:r>
      <w:r w:rsidRPr="00AD02ED">
        <w:t xml:space="preserve"> as individuals interested in buying a certain type of</w:t>
      </w:r>
      <w:r w:rsidRPr="00D357AA">
        <w:t xml:space="preserve"> second hand compressor for a car. Twenty auto-recycling businesses were contacted and engaged in a conversation about the availability of the part. During these conversations a typical response when asked if ‘gas’ needed to be removed before the part coul</w:t>
      </w:r>
      <w:r w:rsidRPr="00920E28">
        <w:t>d be taken off a vehicle was, “</w:t>
      </w:r>
      <w:r w:rsidR="000F1E79">
        <w:t>t</w:t>
      </w:r>
      <w:r w:rsidRPr="00920E28">
        <w:t xml:space="preserve">here are a lot worse crimes being committed than letting out a bit of gas mate”. In most of these conversations parts vendors soon became suspicious and were very guarded when questions were asked about handling refrigerant </w:t>
      </w:r>
      <w:r w:rsidRPr="003C63AC">
        <w:t>gas.</w:t>
      </w:r>
    </w:p>
    <w:p w:rsidR="004576B1" w:rsidRPr="003C63AC" w:rsidRDefault="004576B1" w:rsidP="004576B1">
      <w:r w:rsidRPr="003C63AC">
        <w:t>Interviews with industry members and representatives of the industry associations involved indicate that between 5</w:t>
      </w:r>
      <w:r w:rsidR="004641A1" w:rsidRPr="003C63AC">
        <w:t xml:space="preserve"> per cent</w:t>
      </w:r>
      <w:r w:rsidRPr="003C63AC">
        <w:t xml:space="preserve"> and 10</w:t>
      </w:r>
      <w:r w:rsidR="004641A1" w:rsidRPr="003C63AC">
        <w:t xml:space="preserve"> per cent</w:t>
      </w:r>
      <w:r w:rsidRPr="003C63AC">
        <w:t xml:space="preserve"> of industry participants are working </w:t>
      </w:r>
      <w:r w:rsidR="000F1E79">
        <w:t>to</w:t>
      </w:r>
      <w:r w:rsidR="000F1E79" w:rsidRPr="003C63AC">
        <w:t xml:space="preserve"> </w:t>
      </w:r>
      <w:r w:rsidRPr="003C63AC">
        <w:t>improv</w:t>
      </w:r>
      <w:r w:rsidR="000F1E79">
        <w:t>e</w:t>
      </w:r>
      <w:r w:rsidRPr="003C63AC">
        <w:t xml:space="preserve"> the image of the industry and chang</w:t>
      </w:r>
      <w:r w:rsidR="000F1E79">
        <w:t>e</w:t>
      </w:r>
      <w:r w:rsidRPr="003C63AC">
        <w:t xml:space="preserve"> or eliminat</w:t>
      </w:r>
      <w:r w:rsidR="000F1E79">
        <w:t>e</w:t>
      </w:r>
      <w:r w:rsidRPr="003C63AC">
        <w:t xml:space="preserve"> common polluting industry practices.  </w:t>
      </w:r>
    </w:p>
    <w:p w:rsidR="004576B1" w:rsidRPr="003C63AC" w:rsidRDefault="004576B1" w:rsidP="004576B1">
      <w:r w:rsidRPr="003C63AC">
        <w:t>A small number of these responsible industry participants</w:t>
      </w:r>
      <w:r w:rsidR="00E51CE6">
        <w:t>,</w:t>
      </w:r>
      <w:r w:rsidRPr="003C63AC">
        <w:t xml:space="preserve"> that together deal with at least 5</w:t>
      </w:r>
      <w:r w:rsidR="004641A1" w:rsidRPr="003C63AC">
        <w:t xml:space="preserve"> per cent</w:t>
      </w:r>
      <w:r w:rsidRPr="003C63AC">
        <w:t xml:space="preserve"> of ELVs</w:t>
      </w:r>
      <w:r w:rsidR="00E51CE6">
        <w:t>,</w:t>
      </w:r>
      <w:r w:rsidRPr="003C63AC">
        <w:t xml:space="preserve"> were known to be active in recovering refrigerant gas. It must be noted however that even those industry members who strongly promote their environmental performance report that de-gassing costs them far more than they can recover from sale or re-use of the gas, and far more than they can recover via the RRA destruction rebate paid for return of gas. One major participant explained the difficulty and obstacles in sourcing destruction cylinders for recovering refrigerant.</w:t>
      </w:r>
    </w:p>
    <w:p w:rsidR="004576B1" w:rsidRPr="003C63AC" w:rsidRDefault="000F1E79" w:rsidP="004576B1">
      <w:r>
        <w:t xml:space="preserve">In a scenario where the </w:t>
      </w:r>
      <w:r w:rsidR="004576B1" w:rsidRPr="003C63AC">
        <w:t xml:space="preserve">recovery of refrigerant from MACs cannot be done profitably, and </w:t>
      </w:r>
      <w:r w:rsidR="00E51CE6">
        <w:t>where</w:t>
      </w:r>
      <w:r w:rsidR="004576B1" w:rsidRPr="003C63AC">
        <w:t xml:space="preserve"> the copper that can be recovered from condensers is worth much more than the refrigerant gas that can be recovered, </w:t>
      </w:r>
      <w:r w:rsidR="009D1B86">
        <w:t xml:space="preserve">it is likely that </w:t>
      </w:r>
      <w:r w:rsidR="004576B1" w:rsidRPr="003C63AC">
        <w:t xml:space="preserve">condensers </w:t>
      </w:r>
      <w:r w:rsidR="00E51CE6">
        <w:t>will be</w:t>
      </w:r>
      <w:r w:rsidR="00E51CE6" w:rsidRPr="003C63AC">
        <w:t xml:space="preserve"> </w:t>
      </w:r>
      <w:r w:rsidR="004576B1" w:rsidRPr="003C63AC">
        <w:t xml:space="preserve">ripped out of ELVs via the most expedient method available </w:t>
      </w:r>
      <w:r w:rsidR="00E51CE6">
        <w:t>(</w:t>
      </w:r>
      <w:r w:rsidR="004576B1" w:rsidRPr="003C63AC">
        <w:t>which is generally to cut the connecting pipes with bolt cutters</w:t>
      </w:r>
      <w:r w:rsidR="00E51CE6">
        <w:t>)</w:t>
      </w:r>
      <w:r w:rsidR="00E34935">
        <w:t xml:space="preserve">. Where this situation exists, </w:t>
      </w:r>
      <w:r w:rsidR="00E51CE6" w:rsidRPr="003C63AC">
        <w:t xml:space="preserve">refrigerant charge in ELVs </w:t>
      </w:r>
      <w:r w:rsidR="00E51CE6">
        <w:t>will</w:t>
      </w:r>
      <w:r w:rsidR="00E51CE6" w:rsidRPr="003C63AC">
        <w:t xml:space="preserve"> continue to be lost</w:t>
      </w:r>
      <w:r w:rsidR="004576B1" w:rsidRPr="003C63AC">
        <w:t>.</w:t>
      </w:r>
    </w:p>
    <w:p w:rsidR="004576B1" w:rsidRPr="003C63AC" w:rsidRDefault="00267FC9" w:rsidP="004576B1">
      <w:r>
        <w:t>E</w:t>
      </w:r>
      <w:r w:rsidR="004576B1" w:rsidRPr="003C63AC">
        <w:t>ven leading industry proponents</w:t>
      </w:r>
      <w:r w:rsidR="00E51CE6">
        <w:t xml:space="preserve"> interviewed for this study</w:t>
      </w:r>
      <w:r w:rsidR="004576B1" w:rsidRPr="003C63AC">
        <w:t xml:space="preserve"> sa</w:t>
      </w:r>
      <w:r w:rsidR="00E51CE6">
        <w:t>id</w:t>
      </w:r>
      <w:r w:rsidR="004576B1" w:rsidRPr="003C63AC">
        <w:t xml:space="preserve"> that non-compliance with almost all controls and normal business practice was so wide spread in the industry, that the small number of exemplary enterprises were definitely the exception and not the rule. They also warn that while this is the case, those businesses that do work to comply with local, </w:t>
      </w:r>
      <w:r>
        <w:t>s</w:t>
      </w:r>
      <w:r w:rsidR="004576B1" w:rsidRPr="003C63AC">
        <w:t xml:space="preserve">tate or </w:t>
      </w:r>
      <w:r>
        <w:t>f</w:t>
      </w:r>
      <w:r w:rsidR="004576B1" w:rsidRPr="003C63AC">
        <w:t>ederal requirements are operating at a competitive disadvantage to those who pay no heed to the regulations.</w:t>
      </w:r>
    </w:p>
    <w:p w:rsidR="004576B1" w:rsidRPr="003C63AC" w:rsidRDefault="004576B1" w:rsidP="004576B1">
      <w:r w:rsidRPr="003C63AC">
        <w:t>Recoveries of refrigerant gas from ELVs</w:t>
      </w:r>
      <w:r w:rsidR="00870233">
        <w:t xml:space="preserve">, estimated at 19 to 20 tonnes per annum at most, </w:t>
      </w:r>
      <w:r w:rsidRPr="003C63AC">
        <w:t xml:space="preserve">are a fraction of recoveries of </w:t>
      </w:r>
      <w:r w:rsidR="00ED172E">
        <w:t>refrigerant gas</w:t>
      </w:r>
      <w:r w:rsidRPr="003C63AC">
        <w:t xml:space="preserve"> that come from the stationary </w:t>
      </w:r>
      <w:r w:rsidR="00E51CE6">
        <w:t>RAC</w:t>
      </w:r>
      <w:r w:rsidRPr="003C63AC">
        <w:t xml:space="preserve"> industry</w:t>
      </w:r>
      <w:r w:rsidR="00D11A59">
        <w:t xml:space="preserve">, estimated to have been </w:t>
      </w:r>
      <w:r w:rsidR="001232E5">
        <w:t xml:space="preserve">more than </w:t>
      </w:r>
      <w:r w:rsidR="00D11A59">
        <w:t>400 tonnes in 2012</w:t>
      </w:r>
      <w:r w:rsidR="00D428F3">
        <w:t xml:space="preserve"> (KPMG 2014)</w:t>
      </w:r>
      <w:r w:rsidRPr="003C63AC">
        <w:t xml:space="preserve">. </w:t>
      </w:r>
      <w:r w:rsidR="00267FC9">
        <w:t>B</w:t>
      </w:r>
      <w:r w:rsidRPr="003C63AC">
        <w:t>usinesses operating on stationary RAC systems are wholly focussed on delivering an energy service dependent on the use of refrigerant. Maintenance of a refrigerant handling licence is essential to be able to participate in the</w:t>
      </w:r>
      <w:r w:rsidR="00E34935">
        <w:t xml:space="preserve"> RAC</w:t>
      </w:r>
      <w:r w:rsidRPr="003C63AC">
        <w:t xml:space="preserve"> industry. </w:t>
      </w:r>
      <w:r w:rsidR="00870233">
        <w:t xml:space="preserve">As </w:t>
      </w:r>
      <w:r w:rsidR="001232E5">
        <w:t>businesses</w:t>
      </w:r>
      <w:r w:rsidR="00870233">
        <w:t xml:space="preserve"> are constantly dealing with refrigerant which </w:t>
      </w:r>
      <w:r w:rsidR="008C5FFA">
        <w:t xml:space="preserve">has to be </w:t>
      </w:r>
      <w:r w:rsidR="00870233">
        <w:t>purchased and is a cost to the business, proper handling and management becomes part of day to day work practices</w:t>
      </w:r>
      <w:r w:rsidR="001232E5">
        <w:t>.</w:t>
      </w:r>
    </w:p>
    <w:p w:rsidR="004576B1" w:rsidRPr="005728F4" w:rsidRDefault="004576B1" w:rsidP="004576B1">
      <w:r w:rsidRPr="003C63AC">
        <w:t>On the other hand</w:t>
      </w:r>
      <w:r w:rsidR="008C5FFA">
        <w:t>, despite being subject to the same licen</w:t>
      </w:r>
      <w:r w:rsidR="00ED172E">
        <w:t>s</w:t>
      </w:r>
      <w:r w:rsidR="008C5FFA">
        <w:t>ing requirements as technicians and businesses in the broader RAC industry,</w:t>
      </w:r>
      <w:r w:rsidRPr="003C63AC">
        <w:t xml:space="preserve"> refrigerant gas</w:t>
      </w:r>
      <w:r w:rsidR="008C5FFA">
        <w:t xml:space="preserve"> in the auto-parts recycling industry</w:t>
      </w:r>
      <w:r w:rsidRPr="003C63AC">
        <w:t xml:space="preserve"> </w:t>
      </w:r>
      <w:r w:rsidR="00040C27">
        <w:t>seems to be considered as</w:t>
      </w:r>
      <w:r w:rsidR="008C5FFA">
        <w:t xml:space="preserve"> a waste product with no meaningful value and is</w:t>
      </w:r>
      <w:r w:rsidR="00870233">
        <w:t xml:space="preserve"> a</w:t>
      </w:r>
      <w:r w:rsidR="00267FC9">
        <w:t xml:space="preserve"> </w:t>
      </w:r>
      <w:r w:rsidRPr="003C63AC">
        <w:t xml:space="preserve">very minor concern </w:t>
      </w:r>
      <w:r w:rsidR="003C63AC" w:rsidRPr="003C63AC">
        <w:t>for</w:t>
      </w:r>
      <w:r w:rsidRPr="003C63AC">
        <w:t xml:space="preserve"> </w:t>
      </w:r>
      <w:r w:rsidR="006B7262" w:rsidRPr="003C63AC">
        <w:t>auto-part</w:t>
      </w:r>
      <w:r w:rsidRPr="003C63AC">
        <w:t>s recycling business</w:t>
      </w:r>
      <w:r w:rsidR="003C63AC">
        <w:t>es</w:t>
      </w:r>
      <w:r w:rsidRPr="003C63AC">
        <w:t xml:space="preserve">. The economic rewards in this industry result from the rapid processing and recovery of </w:t>
      </w:r>
      <w:r w:rsidR="00813CB1">
        <w:t xml:space="preserve">reusable auto </w:t>
      </w:r>
      <w:r w:rsidRPr="003C63AC">
        <w:t>parts and</w:t>
      </w:r>
      <w:r w:rsidRPr="00AD4F11">
        <w:t xml:space="preserve"> </w:t>
      </w:r>
      <w:r w:rsidR="00813CB1">
        <w:t xml:space="preserve">valuable </w:t>
      </w:r>
      <w:r w:rsidRPr="00AD4F11">
        <w:t>metals</w:t>
      </w:r>
      <w:r w:rsidR="00267FC9">
        <w:t>, n</w:t>
      </w:r>
      <w:r w:rsidRPr="00AD4F11">
        <w:t xml:space="preserve">ot from anything to do with the operation of MACs and safe handling of the refrigerants. </w:t>
      </w:r>
    </w:p>
    <w:p w:rsidR="004576B1" w:rsidRPr="004F1732" w:rsidRDefault="004576B1" w:rsidP="004576B1">
      <w:r w:rsidRPr="000F5EF8">
        <w:t>In the</w:t>
      </w:r>
      <w:r w:rsidR="000740DB">
        <w:t xml:space="preserve"> stationary</w:t>
      </w:r>
      <w:r w:rsidRPr="000F5EF8">
        <w:t xml:space="preserve"> RAC industry where the technical workforce deal with RAC applications and refrigerant gas all d</w:t>
      </w:r>
      <w:r w:rsidRPr="004F1732">
        <w:t xml:space="preserve">ay, the focus on refrigerant management and recovery has to a great extent become standard practice. In the auto-parts recycling </w:t>
      </w:r>
      <w:r w:rsidRPr="00B714F7">
        <w:t xml:space="preserve">industry, it </w:t>
      </w:r>
      <w:r w:rsidR="00D25133" w:rsidRPr="00B714F7">
        <w:t>is a minor materials handling issue and a relatively expensive compliance issue for those who practice recovery, and effectively irrelevant for the majority that do</w:t>
      </w:r>
      <w:r w:rsidR="00267FC9" w:rsidRPr="00B714F7">
        <w:t xml:space="preserve"> not</w:t>
      </w:r>
      <w:r w:rsidR="00B714F7">
        <w:t>.</w:t>
      </w:r>
    </w:p>
    <w:p w:rsidR="0087329B" w:rsidRPr="00D357AA" w:rsidRDefault="0087329B" w:rsidP="004576B1"/>
    <w:p w:rsidR="0087329B" w:rsidRPr="003C63AC" w:rsidRDefault="00405E96" w:rsidP="006D0ACC">
      <w:pPr>
        <w:pStyle w:val="Heading2"/>
        <w:ind w:left="567" w:hanging="567"/>
      </w:pPr>
      <w:bookmarkStart w:id="28" w:name="_Toc430778986"/>
      <w:r w:rsidRPr="003C63AC">
        <w:t>The Skilled Workforce</w:t>
      </w:r>
      <w:bookmarkEnd w:id="28"/>
    </w:p>
    <w:p w:rsidR="00E75173" w:rsidRPr="003C63AC" w:rsidRDefault="00E75173" w:rsidP="00E75173">
      <w:pPr>
        <w:rPr>
          <w:lang w:val="en-US"/>
        </w:rPr>
      </w:pPr>
      <w:r w:rsidRPr="003C63AC">
        <w:rPr>
          <w:lang w:val="en-US"/>
        </w:rPr>
        <w:t xml:space="preserve">The ARC issues </w:t>
      </w:r>
      <w:r w:rsidR="00E35DDD">
        <w:rPr>
          <w:lang w:val="en-US"/>
        </w:rPr>
        <w:t>licence</w:t>
      </w:r>
      <w:r w:rsidRPr="003C63AC">
        <w:rPr>
          <w:lang w:val="en-US"/>
        </w:rPr>
        <w:t xml:space="preserve">s to qualified RAC technicians and </w:t>
      </w:r>
      <w:r w:rsidR="001F2176">
        <w:rPr>
          <w:lang w:val="en-US"/>
        </w:rPr>
        <w:t>authori</w:t>
      </w:r>
      <w:r w:rsidR="00C9469B">
        <w:rPr>
          <w:lang w:val="en-US"/>
        </w:rPr>
        <w:t>s</w:t>
      </w:r>
      <w:r w:rsidR="001F2176">
        <w:rPr>
          <w:lang w:val="en-US"/>
        </w:rPr>
        <w:t xml:space="preserve">ations </w:t>
      </w:r>
      <w:r w:rsidR="00415411">
        <w:rPr>
          <w:lang w:val="en-US"/>
        </w:rPr>
        <w:t xml:space="preserve">to </w:t>
      </w:r>
      <w:r w:rsidRPr="003C63AC">
        <w:rPr>
          <w:lang w:val="en-US"/>
        </w:rPr>
        <w:t xml:space="preserve">business operations </w:t>
      </w:r>
      <w:r w:rsidR="003C63AC" w:rsidRPr="003C63AC">
        <w:rPr>
          <w:lang w:val="en-US"/>
        </w:rPr>
        <w:t>that</w:t>
      </w:r>
      <w:r w:rsidRPr="003C63AC">
        <w:rPr>
          <w:lang w:val="en-US"/>
        </w:rPr>
        <w:t xml:space="preserve"> </w:t>
      </w:r>
      <w:r w:rsidR="001F2176">
        <w:rPr>
          <w:lang w:val="en-US"/>
        </w:rPr>
        <w:t>acquire, possess or dispose of</w:t>
      </w:r>
      <w:r w:rsidRPr="003C63AC">
        <w:rPr>
          <w:lang w:val="en-US"/>
        </w:rPr>
        <w:t xml:space="preserve"> synthetic refrigerant gases</w:t>
      </w:r>
      <w:r w:rsidR="00415411">
        <w:rPr>
          <w:lang w:val="en-US"/>
        </w:rPr>
        <w:t>, including those that work with MACs</w:t>
      </w:r>
      <w:r w:rsidRPr="003C63AC">
        <w:rPr>
          <w:lang w:val="en-US"/>
        </w:rPr>
        <w:t xml:space="preserve">. </w:t>
      </w:r>
    </w:p>
    <w:p w:rsidR="00E75173" w:rsidRPr="003C63AC" w:rsidRDefault="00E75173" w:rsidP="00E75173">
      <w:pPr>
        <w:rPr>
          <w:lang w:val="en-US"/>
        </w:rPr>
      </w:pPr>
      <w:r w:rsidRPr="003C63AC">
        <w:rPr>
          <w:lang w:val="en-US"/>
        </w:rPr>
        <w:t xml:space="preserve">As part of the </w:t>
      </w:r>
      <w:r w:rsidR="00E34935">
        <w:rPr>
          <w:lang w:val="en-US"/>
        </w:rPr>
        <w:t>RAC</w:t>
      </w:r>
      <w:r w:rsidR="00E34935" w:rsidRPr="003C63AC">
        <w:rPr>
          <w:lang w:val="en-US"/>
        </w:rPr>
        <w:t xml:space="preserve"> </w:t>
      </w:r>
      <w:r w:rsidRPr="003C63AC">
        <w:rPr>
          <w:lang w:val="en-US"/>
        </w:rPr>
        <w:t xml:space="preserve">licensing scheme, </w:t>
      </w:r>
      <w:r w:rsidR="00E35DDD">
        <w:rPr>
          <w:lang w:val="en-US"/>
        </w:rPr>
        <w:t>licence</w:t>
      </w:r>
      <w:r w:rsidRPr="003C63AC">
        <w:rPr>
          <w:lang w:val="en-US"/>
        </w:rPr>
        <w:t xml:space="preserve">s are issued to technicians who satisfy competence standards for recovery of refrigerant from end-of-life equipment, but who may not be air conditioning or refrigeration mechanics as such. These are known as restricted refrigerant recovery </w:t>
      </w:r>
      <w:r w:rsidR="00E35DDD">
        <w:rPr>
          <w:lang w:val="en-US"/>
        </w:rPr>
        <w:t>licence</w:t>
      </w:r>
      <w:r w:rsidRPr="003C63AC">
        <w:rPr>
          <w:lang w:val="en-US"/>
        </w:rPr>
        <w:t xml:space="preserve">s. </w:t>
      </w:r>
    </w:p>
    <w:p w:rsidR="00E75173" w:rsidRPr="003C63AC" w:rsidRDefault="00E75173" w:rsidP="00E75173">
      <w:pPr>
        <w:rPr>
          <w:lang w:val="en-US"/>
        </w:rPr>
      </w:pPr>
      <w:r w:rsidRPr="003C63AC">
        <w:rPr>
          <w:lang w:val="en-US"/>
        </w:rPr>
        <w:t xml:space="preserve">There is also a class of </w:t>
      </w:r>
      <w:r w:rsidR="00E35DDD">
        <w:rPr>
          <w:lang w:val="en-US"/>
        </w:rPr>
        <w:t>licence</w:t>
      </w:r>
      <w:r w:rsidR="001F2176" w:rsidRPr="003C63AC">
        <w:rPr>
          <w:lang w:val="en-US"/>
        </w:rPr>
        <w:t xml:space="preserve"> </w:t>
      </w:r>
      <w:r w:rsidRPr="003C63AC">
        <w:rPr>
          <w:lang w:val="en-US"/>
        </w:rPr>
        <w:t xml:space="preserve">for businesses who perform refrigerant recovery from ‘end-of-life’ equipment called a </w:t>
      </w:r>
      <w:r w:rsidR="00826D18">
        <w:rPr>
          <w:lang w:val="en-US"/>
        </w:rPr>
        <w:t>r</w:t>
      </w:r>
      <w:r w:rsidRPr="003C63AC">
        <w:rPr>
          <w:lang w:val="en-US"/>
        </w:rPr>
        <w:t xml:space="preserve">estricted </w:t>
      </w:r>
      <w:r w:rsidR="00826D18">
        <w:rPr>
          <w:lang w:val="en-US"/>
        </w:rPr>
        <w:t>r</w:t>
      </w:r>
      <w:r w:rsidRPr="003C63AC">
        <w:rPr>
          <w:lang w:val="en-US"/>
        </w:rPr>
        <w:t xml:space="preserve">efrigerant </w:t>
      </w:r>
      <w:r w:rsidR="00826D18">
        <w:rPr>
          <w:lang w:val="en-US"/>
        </w:rPr>
        <w:t>r</w:t>
      </w:r>
      <w:r w:rsidRPr="003C63AC">
        <w:rPr>
          <w:lang w:val="en-US"/>
        </w:rPr>
        <w:t xml:space="preserve">ecovery </w:t>
      </w:r>
      <w:r w:rsidR="00826D18">
        <w:rPr>
          <w:lang w:val="en-US"/>
        </w:rPr>
        <w:t>t</w:t>
      </w:r>
      <w:r w:rsidRPr="003C63AC">
        <w:rPr>
          <w:lang w:val="en-US"/>
        </w:rPr>
        <w:t xml:space="preserve">rading </w:t>
      </w:r>
      <w:r w:rsidR="00826D18">
        <w:rPr>
          <w:lang w:val="en-US"/>
        </w:rPr>
        <w:t>a</w:t>
      </w:r>
      <w:r w:rsidRPr="003C63AC">
        <w:rPr>
          <w:lang w:val="en-US"/>
        </w:rPr>
        <w:t xml:space="preserve">uthorisation (RTA). Several auto-parts recycling and metals recycling businesses hold these </w:t>
      </w:r>
      <w:r w:rsidR="00826D18">
        <w:rPr>
          <w:lang w:val="en-US"/>
        </w:rPr>
        <w:t>RTAs</w:t>
      </w:r>
      <w:r w:rsidRPr="003C63AC">
        <w:rPr>
          <w:lang w:val="en-US"/>
        </w:rPr>
        <w:t>. Other auto-parts recyclers visited by Expert Group report</w:t>
      </w:r>
      <w:r w:rsidR="00967777">
        <w:rPr>
          <w:lang w:val="en-US"/>
        </w:rPr>
        <w:t>ed</w:t>
      </w:r>
      <w:r w:rsidRPr="003C63AC">
        <w:rPr>
          <w:lang w:val="en-US"/>
        </w:rPr>
        <w:t xml:space="preserve"> using </w:t>
      </w:r>
      <w:r w:rsidR="00E34935">
        <w:rPr>
          <w:lang w:val="en-US"/>
        </w:rPr>
        <w:t xml:space="preserve">restricted refrigerant </w:t>
      </w:r>
      <w:r w:rsidRPr="003C63AC">
        <w:rPr>
          <w:lang w:val="en-US"/>
        </w:rPr>
        <w:t xml:space="preserve">recovery </w:t>
      </w:r>
      <w:r w:rsidR="00E35DDD">
        <w:rPr>
          <w:lang w:val="en-US"/>
        </w:rPr>
        <w:t>licence</w:t>
      </w:r>
      <w:r w:rsidRPr="003C63AC">
        <w:rPr>
          <w:lang w:val="en-US"/>
        </w:rPr>
        <w:t xml:space="preserve"> holders as contractors.</w:t>
      </w:r>
    </w:p>
    <w:p w:rsidR="00E75173" w:rsidRPr="003C63AC" w:rsidRDefault="00E75173" w:rsidP="00E75173">
      <w:pPr>
        <w:rPr>
          <w:lang w:val="en-US"/>
        </w:rPr>
      </w:pPr>
      <w:r w:rsidRPr="003C63AC">
        <w:rPr>
          <w:lang w:val="en-US"/>
        </w:rPr>
        <w:t xml:space="preserve">The ARC reported there are 285 </w:t>
      </w:r>
      <w:r w:rsidR="00826D18">
        <w:rPr>
          <w:lang w:val="en-US"/>
        </w:rPr>
        <w:t>r</w:t>
      </w:r>
      <w:r w:rsidRPr="003C63AC">
        <w:rPr>
          <w:lang w:val="en-US"/>
        </w:rPr>
        <w:t xml:space="preserve">estricted </w:t>
      </w:r>
      <w:r w:rsidR="00826D18">
        <w:rPr>
          <w:lang w:val="en-US"/>
        </w:rPr>
        <w:t>r</w:t>
      </w:r>
      <w:r w:rsidRPr="003C63AC">
        <w:rPr>
          <w:lang w:val="en-US"/>
        </w:rPr>
        <w:t xml:space="preserve">efrigerant </w:t>
      </w:r>
      <w:r w:rsidR="00826D18">
        <w:rPr>
          <w:lang w:val="en-US"/>
        </w:rPr>
        <w:t>r</w:t>
      </w:r>
      <w:r w:rsidRPr="003C63AC">
        <w:rPr>
          <w:lang w:val="en-US"/>
        </w:rPr>
        <w:t xml:space="preserve">ecovery </w:t>
      </w:r>
      <w:r w:rsidR="00826D18">
        <w:rPr>
          <w:lang w:val="en-US"/>
        </w:rPr>
        <w:t>l</w:t>
      </w:r>
      <w:r w:rsidR="00E35DDD">
        <w:rPr>
          <w:lang w:val="en-US"/>
        </w:rPr>
        <w:t>icence</w:t>
      </w:r>
      <w:r w:rsidRPr="003C63AC">
        <w:rPr>
          <w:lang w:val="en-US"/>
        </w:rPr>
        <w:t xml:space="preserve"> holders and 84</w:t>
      </w:r>
      <w:r w:rsidR="00826D18">
        <w:rPr>
          <w:lang w:val="en-US"/>
        </w:rPr>
        <w:t xml:space="preserve"> businesses that hold </w:t>
      </w:r>
      <w:r w:rsidR="00E34935">
        <w:rPr>
          <w:lang w:val="en-US"/>
        </w:rPr>
        <w:t>authori</w:t>
      </w:r>
      <w:r w:rsidR="008B26EF">
        <w:rPr>
          <w:lang w:val="en-US"/>
        </w:rPr>
        <w:t>s</w:t>
      </w:r>
      <w:r w:rsidR="00E34935">
        <w:rPr>
          <w:lang w:val="en-US"/>
        </w:rPr>
        <w:t xml:space="preserve">ations </w:t>
      </w:r>
      <w:r w:rsidR="008B0B81">
        <w:rPr>
          <w:lang w:val="en-US"/>
        </w:rPr>
        <w:t>for refrigerant recovery</w:t>
      </w:r>
      <w:r w:rsidRPr="003C63AC">
        <w:rPr>
          <w:lang w:val="en-US"/>
        </w:rPr>
        <w:t xml:space="preserve">. Some of the individual licensees are associated with some of the business </w:t>
      </w:r>
      <w:r w:rsidR="00E35DDD">
        <w:rPr>
          <w:lang w:val="en-US"/>
        </w:rPr>
        <w:t>licence</w:t>
      </w:r>
      <w:r w:rsidRPr="003C63AC">
        <w:rPr>
          <w:lang w:val="en-US"/>
        </w:rPr>
        <w:t xml:space="preserve">s so there is some double counting. </w:t>
      </w:r>
      <w:r w:rsidR="00967777">
        <w:rPr>
          <w:lang w:val="en-US"/>
        </w:rPr>
        <w:t xml:space="preserve">The </w:t>
      </w:r>
      <w:r w:rsidRPr="003C63AC">
        <w:rPr>
          <w:lang w:val="en-US"/>
        </w:rPr>
        <w:t xml:space="preserve">ARC could not confirm exactly how many of these </w:t>
      </w:r>
      <w:r w:rsidR="00E35DDD">
        <w:rPr>
          <w:lang w:val="en-US"/>
        </w:rPr>
        <w:t>licence</w:t>
      </w:r>
      <w:r w:rsidRPr="003C63AC">
        <w:rPr>
          <w:lang w:val="en-US"/>
        </w:rPr>
        <w:t xml:space="preserve"> holders were auto-parts recycling or metal recycling businesses.</w:t>
      </w:r>
    </w:p>
    <w:p w:rsidR="00E75173" w:rsidRPr="003C63AC" w:rsidRDefault="00E75173" w:rsidP="00E75173">
      <w:pPr>
        <w:rPr>
          <w:lang w:val="en-US"/>
        </w:rPr>
      </w:pPr>
      <w:r w:rsidRPr="003C63AC">
        <w:rPr>
          <w:lang w:val="en-US"/>
        </w:rPr>
        <w:t xml:space="preserve">Holders of these </w:t>
      </w:r>
      <w:r w:rsidR="00E35DDD">
        <w:rPr>
          <w:lang w:val="en-US"/>
        </w:rPr>
        <w:t>licence</w:t>
      </w:r>
      <w:r w:rsidRPr="003C63AC">
        <w:rPr>
          <w:lang w:val="en-US"/>
        </w:rPr>
        <w:t xml:space="preserve">s </w:t>
      </w:r>
      <w:r w:rsidR="006A3EFF">
        <w:rPr>
          <w:lang w:val="en-US"/>
        </w:rPr>
        <w:t>and authoris</w:t>
      </w:r>
      <w:r w:rsidR="008B0B81">
        <w:rPr>
          <w:lang w:val="en-US"/>
        </w:rPr>
        <w:t xml:space="preserve">ations </w:t>
      </w:r>
      <w:r w:rsidRPr="003C63AC">
        <w:rPr>
          <w:lang w:val="en-US"/>
        </w:rPr>
        <w:t>were invited to participate in an online survey designed to understand more about the recovery rates of various refrigerant gases. After obvious repetitions were removed from the database provided by ARC, a total of 207 individuals and business were emailed with an invitation to complete the 25 questions of the survey. After 10 days</w:t>
      </w:r>
      <w:r w:rsidR="00EB7462">
        <w:rPr>
          <w:lang w:val="en-US"/>
        </w:rPr>
        <w:t>,</w:t>
      </w:r>
      <w:r w:rsidRPr="003C63AC">
        <w:rPr>
          <w:lang w:val="en-US"/>
        </w:rPr>
        <w:t xml:space="preserve"> 38 responses had been received</w:t>
      </w:r>
      <w:r w:rsidR="00967777">
        <w:rPr>
          <w:lang w:val="en-US"/>
        </w:rPr>
        <w:t>;</w:t>
      </w:r>
      <w:r w:rsidRPr="003C63AC">
        <w:rPr>
          <w:lang w:val="en-US"/>
        </w:rPr>
        <w:t xml:space="preserve"> a participation rate of more than 18</w:t>
      </w:r>
      <w:r w:rsidR="00967777">
        <w:rPr>
          <w:lang w:val="en-US"/>
        </w:rPr>
        <w:t> </w:t>
      </w:r>
      <w:r w:rsidRPr="003C63AC">
        <w:rPr>
          <w:lang w:val="en-US"/>
        </w:rPr>
        <w:t>per cent.</w:t>
      </w:r>
    </w:p>
    <w:p w:rsidR="00E75173" w:rsidRPr="003C63AC" w:rsidRDefault="003C63AC" w:rsidP="00E75173">
      <w:pPr>
        <w:rPr>
          <w:lang w:val="en-US"/>
        </w:rPr>
      </w:pPr>
      <w:r w:rsidRPr="003C63AC">
        <w:rPr>
          <w:lang w:val="en-US"/>
        </w:rPr>
        <w:t>Twenty-four</w:t>
      </w:r>
      <w:r w:rsidR="00E75173" w:rsidRPr="003C63AC">
        <w:rPr>
          <w:lang w:val="en-US"/>
        </w:rPr>
        <w:t xml:space="preserve"> of the respondents identified themselves as auto-parts recyclers or metal recyclers (&gt;63 per cent) while </w:t>
      </w:r>
      <w:r w:rsidR="0020697B">
        <w:rPr>
          <w:lang w:val="en-US"/>
        </w:rPr>
        <w:t>seven</w:t>
      </w:r>
      <w:r w:rsidR="00E75173" w:rsidRPr="003C63AC">
        <w:rPr>
          <w:lang w:val="en-US"/>
        </w:rPr>
        <w:t xml:space="preserve"> (&gt;18 per cent) </w:t>
      </w:r>
      <w:r w:rsidR="008B0B81">
        <w:rPr>
          <w:lang w:val="en-US"/>
        </w:rPr>
        <w:t>identified as</w:t>
      </w:r>
      <w:r w:rsidR="008B0B81" w:rsidRPr="003C63AC">
        <w:rPr>
          <w:lang w:val="en-US"/>
        </w:rPr>
        <w:t xml:space="preserve"> </w:t>
      </w:r>
      <w:r w:rsidR="00E75173" w:rsidRPr="003C63AC">
        <w:rPr>
          <w:lang w:val="en-US"/>
        </w:rPr>
        <w:t>specialist refrigerant recovery businesses. Twenty respondents said that recovery of refrigerant comprised less than 10 per cent of their business, which one would expect if they were primarily auto-parts or metals recyclers. More than half of the respondents only recovered refrigerant from end-of-life vehicles.</w:t>
      </w:r>
    </w:p>
    <w:p w:rsidR="00E75173" w:rsidRPr="003C63AC" w:rsidRDefault="00E75173" w:rsidP="00E75173">
      <w:pPr>
        <w:rPr>
          <w:lang w:val="en-US"/>
        </w:rPr>
      </w:pPr>
      <w:r w:rsidRPr="003C63AC">
        <w:rPr>
          <w:lang w:val="en-US"/>
        </w:rPr>
        <w:t>Sixteen respondents (42 per cent) worked solely for auto-parts recycling businesses, two worked only for a smash repairer or panel beater while only one worked solely for a metal recycling business. Five respondents worked solely for a local government authority. None of the respondents did any work recovering gas from the salvage divisions at auction houses.</w:t>
      </w:r>
    </w:p>
    <w:p w:rsidR="00E75173" w:rsidRPr="003C63AC" w:rsidRDefault="00E75173" w:rsidP="00E75173">
      <w:pPr>
        <w:rPr>
          <w:lang w:val="en-US"/>
        </w:rPr>
      </w:pPr>
      <w:r w:rsidRPr="003C63AC">
        <w:rPr>
          <w:lang w:val="en-US"/>
        </w:rPr>
        <w:t xml:space="preserve">More than </w:t>
      </w:r>
      <w:r w:rsidR="00045169">
        <w:rPr>
          <w:lang w:val="en-US"/>
        </w:rPr>
        <w:t>one</w:t>
      </w:r>
      <w:r w:rsidRPr="003C63AC">
        <w:rPr>
          <w:lang w:val="en-US"/>
        </w:rPr>
        <w:t xml:space="preserve"> third of respondents said that none of the gas recovered could be re-used. More than 20 per cent said that about half could be re-used, seven (18 per cent) said that between 70 per cent and 90 per cent of recovered gas was good enough to be re-used and four (11 per cent) respondents said that all of the gas could be used. Yet only five respondents (13 per cent) said that they tested the gas they recovered.</w:t>
      </w:r>
    </w:p>
    <w:p w:rsidR="00E75173" w:rsidRPr="003C63AC" w:rsidRDefault="00E75173" w:rsidP="00E75173">
      <w:pPr>
        <w:rPr>
          <w:lang w:val="en-US"/>
        </w:rPr>
      </w:pPr>
      <w:r w:rsidRPr="003C63AC">
        <w:rPr>
          <w:lang w:val="en-US"/>
        </w:rPr>
        <w:t>Four respondents said they sell between 10 per cent and 30 per cent of the refrigerant recovered to refrigeration mechanics</w:t>
      </w:r>
      <w:r w:rsidR="0091660C" w:rsidRPr="003C63AC">
        <w:rPr>
          <w:lang w:val="en-US"/>
        </w:rPr>
        <w:t>,</w:t>
      </w:r>
      <w:r w:rsidRPr="003C63AC">
        <w:rPr>
          <w:lang w:val="en-US"/>
        </w:rPr>
        <w:t xml:space="preserve"> while one said that all recovered refrigerant was sold to refrigeration mechanics. Five respondents said they sold between 10 per cent and 70 per cent of refrigerant recovered to wholesalers for re-use while four said that they sold all recovered gas to wholesalers for re-use. Thus </w:t>
      </w:r>
      <w:r w:rsidR="006245E5">
        <w:rPr>
          <w:lang w:val="en-US"/>
        </w:rPr>
        <w:t>14</w:t>
      </w:r>
      <w:r w:rsidR="006245E5" w:rsidRPr="003C63AC">
        <w:rPr>
          <w:lang w:val="en-US"/>
        </w:rPr>
        <w:t xml:space="preserve"> </w:t>
      </w:r>
      <w:r w:rsidRPr="003C63AC">
        <w:rPr>
          <w:lang w:val="en-US"/>
        </w:rPr>
        <w:t>respondents reported selling at least some of the recovered material to the trade for re-use. While undertaking site inspections</w:t>
      </w:r>
      <w:r w:rsidR="00660A42">
        <w:rPr>
          <w:lang w:val="en-US"/>
        </w:rPr>
        <w:t>,</w:t>
      </w:r>
      <w:r w:rsidRPr="003C63AC">
        <w:rPr>
          <w:lang w:val="en-US"/>
        </w:rPr>
        <w:t xml:space="preserve"> Expert Group observed smash repair workshop names on recovery cylinders destine</w:t>
      </w:r>
      <w:r w:rsidR="000740DB">
        <w:rPr>
          <w:lang w:val="en-US"/>
        </w:rPr>
        <w:t>d</w:t>
      </w:r>
      <w:r w:rsidRPr="003C63AC">
        <w:rPr>
          <w:lang w:val="en-US"/>
        </w:rPr>
        <w:t xml:space="preserve"> for re-use</w:t>
      </w:r>
      <w:r w:rsidR="00660A42">
        <w:rPr>
          <w:lang w:val="en-US"/>
        </w:rPr>
        <w:t>.</w:t>
      </w:r>
      <w:r w:rsidRPr="003C63AC">
        <w:rPr>
          <w:lang w:val="en-US"/>
        </w:rPr>
        <w:t xml:space="preserve"> </w:t>
      </w:r>
      <w:r w:rsidR="00660A42">
        <w:rPr>
          <w:lang w:val="en-US"/>
        </w:rPr>
        <w:t>H</w:t>
      </w:r>
      <w:r w:rsidRPr="003C63AC">
        <w:rPr>
          <w:lang w:val="en-US"/>
        </w:rPr>
        <w:t>owever</w:t>
      </w:r>
      <w:r w:rsidR="00660A42">
        <w:rPr>
          <w:lang w:val="en-US"/>
        </w:rPr>
        <w:t>,</w:t>
      </w:r>
      <w:r w:rsidRPr="003C63AC">
        <w:rPr>
          <w:lang w:val="en-US"/>
        </w:rPr>
        <w:t xml:space="preserve"> one major participant noted they had not sold any refrigerant since July 2014</w:t>
      </w:r>
      <w:r w:rsidR="0027235E">
        <w:rPr>
          <w:lang w:val="en-US"/>
        </w:rPr>
        <w:t xml:space="preserve"> </w:t>
      </w:r>
      <w:r w:rsidR="004410B6">
        <w:rPr>
          <w:lang w:val="en-US"/>
        </w:rPr>
        <w:t>since</w:t>
      </w:r>
      <w:r w:rsidR="0027235E">
        <w:rPr>
          <w:lang w:val="en-US"/>
        </w:rPr>
        <w:t xml:space="preserve"> the removal of the </w:t>
      </w:r>
      <w:r w:rsidR="008B26EF">
        <w:rPr>
          <w:lang w:val="en-US"/>
        </w:rPr>
        <w:t>Equivalent Carbon Price (</w:t>
      </w:r>
      <w:r w:rsidR="0027235E">
        <w:rPr>
          <w:lang w:val="en-US"/>
        </w:rPr>
        <w:t>ECP</w:t>
      </w:r>
      <w:r w:rsidR="008B26EF">
        <w:rPr>
          <w:lang w:val="en-US"/>
        </w:rPr>
        <w:t>)</w:t>
      </w:r>
      <w:r w:rsidR="0027235E">
        <w:rPr>
          <w:lang w:val="en-US"/>
        </w:rPr>
        <w:t xml:space="preserve"> and planned to lower prices by 50 per cent</w:t>
      </w:r>
      <w:r w:rsidR="008B26EF">
        <w:rPr>
          <w:lang w:val="en-US"/>
        </w:rPr>
        <w:t xml:space="preserve"> to clear some stock</w:t>
      </w:r>
      <w:r w:rsidR="0027235E">
        <w:rPr>
          <w:lang w:val="en-US"/>
        </w:rPr>
        <w:t xml:space="preserve">. </w:t>
      </w:r>
    </w:p>
    <w:p w:rsidR="00E75173" w:rsidRPr="003C63AC" w:rsidRDefault="003C63AC" w:rsidP="00E75173">
      <w:pPr>
        <w:rPr>
          <w:lang w:val="en-US"/>
        </w:rPr>
      </w:pPr>
      <w:r w:rsidRPr="003C63AC">
        <w:rPr>
          <w:lang w:val="en-US"/>
        </w:rPr>
        <w:t>Twenty-four</w:t>
      </w:r>
      <w:r w:rsidR="00E75173" w:rsidRPr="003C63AC">
        <w:rPr>
          <w:lang w:val="en-US"/>
        </w:rPr>
        <w:t xml:space="preserve"> respondents (&gt;63 per cent) said that they sent 100 per cent of recovered refrigerant to be destroyed as part of the RRA scheme and a further </w:t>
      </w:r>
      <w:r w:rsidR="00045169">
        <w:rPr>
          <w:lang w:val="en-US"/>
        </w:rPr>
        <w:t>six</w:t>
      </w:r>
      <w:r w:rsidR="00E75173" w:rsidRPr="003C63AC">
        <w:rPr>
          <w:lang w:val="en-US"/>
        </w:rPr>
        <w:t xml:space="preserve"> said that they sent between 10 per cent and 90 per cent of recovered gas to RRA for destruction. Thus, it would appear that the majority of gas recovered </w:t>
      </w:r>
      <w:r w:rsidR="005439D0">
        <w:rPr>
          <w:lang w:val="en-US"/>
        </w:rPr>
        <w:t xml:space="preserve">by the respondents </w:t>
      </w:r>
      <w:r w:rsidR="00E75173" w:rsidRPr="003C63AC">
        <w:rPr>
          <w:lang w:val="en-US"/>
        </w:rPr>
        <w:t>is being sent for destruction through the RRA stewardship program.</w:t>
      </w:r>
    </w:p>
    <w:p w:rsidR="00E75173" w:rsidRPr="005728F4" w:rsidRDefault="00E75173" w:rsidP="00E75173">
      <w:pPr>
        <w:ind w:left="60"/>
      </w:pPr>
      <w:r w:rsidRPr="003C63AC">
        <w:t xml:space="preserve">Of the 22 respondents that provided an estimate of the gas they recovered each month, the level of recoveries ranged from 300 kg per month to just 1kg per month. The average across the 22 respondents was 37 kg per month with about half collecting between 10 kg and 30 kg a month and </w:t>
      </w:r>
      <w:r w:rsidR="00045169">
        <w:t>eight</w:t>
      </w:r>
      <w:r w:rsidRPr="003C63AC">
        <w:t xml:space="preserve"> collecting </w:t>
      </w:r>
      <w:r w:rsidRPr="00AD4F11">
        <w:t xml:space="preserve">less than 10 kg per month. </w:t>
      </w:r>
      <w:r w:rsidR="00C9469B" w:rsidRPr="00AD4F11">
        <w:t>The average annual recover</w:t>
      </w:r>
      <w:r w:rsidR="00C9469B">
        <w:t>y</w:t>
      </w:r>
      <w:r w:rsidR="00C9469B" w:rsidRPr="00AD4F11">
        <w:t xml:space="preserve"> of all respondents was around 440 kg a year, although one of the largest auto-parts recyclers active in this area reported recovering as much as 2.5 tonnes per annum.</w:t>
      </w:r>
    </w:p>
    <w:p w:rsidR="00E75173" w:rsidRPr="004F1732" w:rsidRDefault="00E75173" w:rsidP="00E75173">
      <w:r w:rsidRPr="000F5EF8">
        <w:t xml:space="preserve">While only 22 respondents volunteered a level of monthly recoveries, 25 provided an estimate of the time it takes to degas a vehicle, which ranged from just </w:t>
      </w:r>
      <w:r w:rsidR="00045169">
        <w:t>three</w:t>
      </w:r>
      <w:r w:rsidR="00045169" w:rsidRPr="000F5EF8">
        <w:t xml:space="preserve"> </w:t>
      </w:r>
      <w:r w:rsidRPr="000F5EF8">
        <w:t>to 45 minutes, the average being 16 minutes and the vast majority esti</w:t>
      </w:r>
      <w:r w:rsidRPr="004F1732">
        <w:t xml:space="preserve">mating between </w:t>
      </w:r>
      <w:r w:rsidR="00045169">
        <w:t>five</w:t>
      </w:r>
      <w:r w:rsidRPr="004F1732">
        <w:t xml:space="preserve"> and 20 minutes per vehicle.</w:t>
      </w:r>
    </w:p>
    <w:p w:rsidR="00E75173" w:rsidRPr="004F1732" w:rsidRDefault="00E75173" w:rsidP="00E75173">
      <w:r w:rsidRPr="004F1732">
        <w:t>The same 25 respondents offered estimates of time required to degas 10 vehicles on one site with the average of estimates being about 2 hours and 40 minutes</w:t>
      </w:r>
      <w:r w:rsidR="00813CB1">
        <w:t xml:space="preserve"> – or once again an average of 16 minutes per vehicle</w:t>
      </w:r>
      <w:r w:rsidRPr="004F1732">
        <w:t>.</w:t>
      </w:r>
    </w:p>
    <w:p w:rsidR="00E75173" w:rsidRPr="003C63AC" w:rsidRDefault="00E75173" w:rsidP="00E75173">
      <w:r w:rsidRPr="00AD02ED">
        <w:t>All 38 participants responded to a question about wha</w:t>
      </w:r>
      <w:r w:rsidRPr="00D357AA">
        <w:t>t percentage of vehicles were found to have no gas at all and 18 (&gt;47 per cent) said that they found that only 10 per cent were empty, while another five said 20 per cent were empty. Seven respondents said they found 30 per cent to be empty. Thus nearly 70</w:t>
      </w:r>
      <w:r w:rsidRPr="00920E28">
        <w:t xml:space="preserve"> per cent of respondents reported that no more than 30 per cent of ELVs </w:t>
      </w:r>
      <w:r w:rsidR="003C63AC">
        <w:t>were empty</w:t>
      </w:r>
      <w:r w:rsidRPr="003C63AC">
        <w:t>. This is very different to the sample of more than 28,000 vehicles from the auction houses where almost 60</w:t>
      </w:r>
      <w:r w:rsidR="009C0F41">
        <w:t xml:space="preserve"> per cent</w:t>
      </w:r>
      <w:r w:rsidRPr="003C63AC">
        <w:t xml:space="preserve"> of vehicles </w:t>
      </w:r>
      <w:r w:rsidR="003C63AC">
        <w:t>were empty</w:t>
      </w:r>
      <w:r w:rsidRPr="003C63AC">
        <w:t>.</w:t>
      </w:r>
    </w:p>
    <w:p w:rsidR="00E75173" w:rsidRPr="005728F4" w:rsidRDefault="00E75173" w:rsidP="00E75173">
      <w:r w:rsidRPr="003C63AC">
        <w:t xml:space="preserve">Further detailed one-on-one interviews with some auto-parts recyclers indicated that the real number would be closer to 30 per cent than to 10 per cent and, to be </w:t>
      </w:r>
      <w:r w:rsidR="00967777">
        <w:t>conservative</w:t>
      </w:r>
      <w:r w:rsidRPr="003C63AC">
        <w:t xml:space="preserve">, the authors have assumed that </w:t>
      </w:r>
      <w:r w:rsidR="003F061B" w:rsidRPr="00AD4F11">
        <w:t>one third</w:t>
      </w:r>
      <w:r w:rsidRPr="005728F4">
        <w:t xml:space="preserve"> of ELVs going to wreckers are empty.</w:t>
      </w:r>
    </w:p>
    <w:p w:rsidR="00E75173" w:rsidRPr="004F1732" w:rsidRDefault="00E75173" w:rsidP="00E75173">
      <w:r w:rsidRPr="000F5EF8">
        <w:t>Twenty-five of the respondents, essentially two thirds of them, said they recovered refrigerant gas because it was purely a legal requirement to do so. A further seven, or 18 per cent, said that it was a standard part of the service they offered. Eight respondents (24 per cent</w:t>
      </w:r>
      <w:r w:rsidRPr="004F1732">
        <w:t>) said that they recovered gas to make money, selling it either to the trade or returning it for destruction, and five said they were paid by a third party to recover gas.</w:t>
      </w:r>
    </w:p>
    <w:p w:rsidR="00E75173" w:rsidRPr="003C63AC" w:rsidRDefault="00E75173" w:rsidP="00E75173">
      <w:r w:rsidRPr="004F1732">
        <w:t>Fifty per cent of respondents said it was worth less than $25 to them to recover gas</w:t>
      </w:r>
      <w:r w:rsidRPr="00AD02ED">
        <w:t xml:space="preserve"> from an ELV, and 36 per cent said they did not know what it was worth. Only five said it was worth more than $25 to them to recover gas from an ELV, almost certainly the same five who reported being paid by a third party. Interviews by Expert Group confirmed that typical prices paid were $20 per kg for regular customers, and that the price had dropped to $10 per kg following the removal of the </w:t>
      </w:r>
      <w:r w:rsidR="00660A42">
        <w:rPr>
          <w:lang w:val="en-US"/>
        </w:rPr>
        <w:t>ECP</w:t>
      </w:r>
      <w:r w:rsidRPr="003C63AC">
        <w:rPr>
          <w:lang w:val="en-US"/>
        </w:rPr>
        <w:t>.</w:t>
      </w:r>
    </w:p>
    <w:p w:rsidR="00E75173" w:rsidRPr="005728F4" w:rsidRDefault="00E75173" w:rsidP="00E75173">
      <w:r w:rsidRPr="00AD4F11">
        <w:t xml:space="preserve">A question asking if there were any types of vehicles that were difficult to recover gas from attracted 15 responses and none of them reported any technical or </w:t>
      </w:r>
      <w:r w:rsidRPr="005728F4">
        <w:t>design obstacle to recovering gas.</w:t>
      </w:r>
    </w:p>
    <w:p w:rsidR="00E75173" w:rsidRPr="004F1732" w:rsidRDefault="00E75173" w:rsidP="00E75173">
      <w:r w:rsidRPr="000F5EF8">
        <w:t>In response to a question about difficulties encountered when visiting wreckers’ yards or auction houses</w:t>
      </w:r>
      <w:r w:rsidR="00AE39E1">
        <w:t>,</w:t>
      </w:r>
      <w:r w:rsidRPr="000F5EF8">
        <w:t xml:space="preserve"> only one respondent said that stacks of cars </w:t>
      </w:r>
      <w:r w:rsidRPr="004F1732">
        <w:t>were sometimes too dangerous to get access to and others noted that auction houses simply did not do any degassing. One respondent noted that in the Northern Territory there was no concern about gas recovery and pipes to compressors were just cut, and another noted that he did not think wreckers’ yards actually employed recovery specialists, although they might claim they did as a “legal get around”.</w:t>
      </w:r>
    </w:p>
    <w:p w:rsidR="00E75173" w:rsidRPr="00920E28" w:rsidRDefault="00E75173" w:rsidP="00E75173">
      <w:r w:rsidRPr="00AD02ED">
        <w:t>When asked at what point in the recovery chain was the best time to recover refrigerant from ELVs, several r</w:t>
      </w:r>
      <w:r w:rsidRPr="00D357AA">
        <w:t>espondents said that it should be recovered at the auction houses before ‘back yarders’ and small time operators purchased the vehicle for stripping. Some respondents who run auto-parts recycling facilities said that it was best to do all the decommissioni</w:t>
      </w:r>
      <w:r w:rsidRPr="00920E28">
        <w:t xml:space="preserve">ng at the same time, when oils and other materials were being removed. </w:t>
      </w:r>
    </w:p>
    <w:p w:rsidR="00E75173" w:rsidRPr="003C63AC" w:rsidRDefault="00E75173" w:rsidP="00E75173">
      <w:r w:rsidRPr="003C63AC">
        <w:t xml:space="preserve">Further comments offered at the end of the survey expressed some frustration with the lack of enforcement of existing regulations and the effect of the lack of enforcement on those who do the right thing. </w:t>
      </w:r>
      <w:r w:rsidR="0068517A">
        <w:t xml:space="preserve">Some respondents perceived that </w:t>
      </w:r>
      <w:r w:rsidRPr="003C63AC">
        <w:t>the unscrupulous apparently run no risk of prosecution</w:t>
      </w:r>
      <w:r w:rsidR="0068517A">
        <w:t xml:space="preserve">. This </w:t>
      </w:r>
      <w:r w:rsidRPr="003C63AC">
        <w:t>irritate</w:t>
      </w:r>
      <w:r w:rsidR="0068517A">
        <w:t>d</w:t>
      </w:r>
      <w:r w:rsidRPr="003C63AC">
        <w:t xml:space="preserve"> </w:t>
      </w:r>
      <w:r w:rsidR="0068517A">
        <w:t xml:space="preserve">some respondents </w:t>
      </w:r>
      <w:r w:rsidRPr="003C63AC">
        <w:t xml:space="preserve">who </w:t>
      </w:r>
      <w:r w:rsidR="00DA2F04">
        <w:t xml:space="preserve">advised that they </w:t>
      </w:r>
      <w:r w:rsidRPr="003C63AC">
        <w:t xml:space="preserve">are investing time and effort, at their own cost, to comply with regulations that </w:t>
      </w:r>
      <w:r w:rsidR="0068517A">
        <w:t xml:space="preserve">they felt were </w:t>
      </w:r>
      <w:r w:rsidRPr="003C63AC">
        <w:t>not enforced.</w:t>
      </w:r>
    </w:p>
    <w:p w:rsidR="00813CB1" w:rsidRDefault="00E75173" w:rsidP="00E75173">
      <w:r w:rsidRPr="003C63AC">
        <w:t>Respondents were asked for any suggestions that would make the recovery of refrigerant more valuable for them, or to ensure that more refrigerant is recovered. A few simply suggested that more be paid for returned refrigerant to make it worth recovering. Several said that enforcement of existing regulations on those auto-parts recyclers who were not licensed would help. One suggestion was a rebate to cover the cost of replacing the recovery equipment regularly, as it was hard working equipment that often needed replacement. Another suggestion was to specify standardised recovery equipment (it is assumed to make it simpler for people to learn to use and make that skill transferable) and to enact a system of ‘site license</w:t>
      </w:r>
      <w:r w:rsidR="00E35DDD">
        <w:t>e</w:t>
      </w:r>
      <w:r w:rsidRPr="003C63AC">
        <w:t xml:space="preserve">s’ while making it easier to get a </w:t>
      </w:r>
      <w:r w:rsidR="00E35DDD">
        <w:t>licence</w:t>
      </w:r>
      <w:r w:rsidRPr="003C63AC">
        <w:t xml:space="preserve"> to recover. </w:t>
      </w:r>
    </w:p>
    <w:p w:rsidR="00E75173" w:rsidRPr="003C63AC" w:rsidRDefault="00E75173" w:rsidP="00E75173">
      <w:r w:rsidRPr="003C63AC">
        <w:t>Finally</w:t>
      </w:r>
      <w:r w:rsidR="0068517A">
        <w:t>,</w:t>
      </w:r>
      <w:r w:rsidRPr="003C63AC">
        <w:t xml:space="preserve"> one respondent suggested </w:t>
      </w:r>
      <w:r w:rsidR="0068517A">
        <w:t>that</w:t>
      </w:r>
      <w:r w:rsidR="0068517A" w:rsidRPr="003C63AC">
        <w:t xml:space="preserve"> </w:t>
      </w:r>
      <w:r w:rsidRPr="003C63AC">
        <w:t xml:space="preserve">insurance companies </w:t>
      </w:r>
      <w:r w:rsidR="0068517A">
        <w:t xml:space="preserve">be forced to </w:t>
      </w:r>
      <w:r w:rsidRPr="003C63AC">
        <w:t>have vehicles that were written off degassed before they were allowed to be auctioned.</w:t>
      </w:r>
      <w:r w:rsidR="00813CB1" w:rsidRPr="00813CB1">
        <w:rPr>
          <w:lang w:val="en-US"/>
        </w:rPr>
        <w:t xml:space="preserve"> </w:t>
      </w:r>
      <w:r w:rsidR="00813CB1">
        <w:rPr>
          <w:lang w:val="en-US"/>
        </w:rPr>
        <w:t>However it must also be noted that in the course of industry interviews it was stated on a couple of occasions that insurers did not want vehicles degassed because they were seen to be more valuable at auction if they had gas in and the MAC worked.</w:t>
      </w:r>
    </w:p>
    <w:p w:rsidR="00E75173" w:rsidRPr="003C63AC" w:rsidRDefault="00E75173" w:rsidP="00E75173">
      <w:r w:rsidRPr="003C63AC">
        <w:t xml:space="preserve">To put the value of recovered gas in context, even if the volume of gas recovered from the average vehicle found to </w:t>
      </w:r>
      <w:r w:rsidR="003C63AC">
        <w:t>contain gas</w:t>
      </w:r>
      <w:r w:rsidRPr="003C63AC">
        <w:t xml:space="preserve"> was 600 grams (i.e. almost a full charge), the rebate earned returning that to the RRA scheme is less than $3.  </w:t>
      </w:r>
    </w:p>
    <w:p w:rsidR="00E75173" w:rsidRPr="005728F4" w:rsidRDefault="00BB52EB" w:rsidP="00E75173">
      <w:r>
        <w:t xml:space="preserve">Based on the average sourced from the survey of 16 </w:t>
      </w:r>
      <w:r w:rsidR="00E75173" w:rsidRPr="00AD4F11">
        <w:t>minutes to recover</w:t>
      </w:r>
      <w:r>
        <w:t xml:space="preserve"> refrigerant from an ELV</w:t>
      </w:r>
      <w:r w:rsidR="00E75173" w:rsidRPr="00AD4F11">
        <w:t xml:space="preserve">, </w:t>
      </w:r>
      <w:r>
        <w:t xml:space="preserve">and </w:t>
      </w:r>
      <w:r w:rsidR="00E75173" w:rsidRPr="00AD4F11">
        <w:t>working on the lowest likely all up wages cost for a worker to do that task of $24 an hour</w:t>
      </w:r>
      <w:r w:rsidR="00AE39E1">
        <w:t>,</w:t>
      </w:r>
      <w:r w:rsidR="00E75173" w:rsidRPr="00AD4F11">
        <w:t xml:space="preserve"> it is going to cost at least $6 in wages not including all of the equipment costs and o</w:t>
      </w:r>
      <w:r w:rsidR="00E75173" w:rsidRPr="005728F4">
        <w:t xml:space="preserve">ther costs of operating a business. Auto-parts recyclers who were interviewed were very clear that recovery of refrigerant cost them a lot more than it was worth. </w:t>
      </w:r>
    </w:p>
    <w:p w:rsidR="00C81106" w:rsidRPr="000F5EF8" w:rsidRDefault="00C81106" w:rsidP="00DD6EBE"/>
    <w:p w:rsidR="00F338F1" w:rsidRDefault="00F338F1">
      <w:pPr>
        <w:spacing w:before="0"/>
        <w:jc w:val="left"/>
        <w:rPr>
          <w:rFonts w:ascii="Calibri" w:eastAsia="Times New Roman" w:hAnsi="Calibri" w:cs="Times New Roman"/>
          <w:b/>
          <w:bCs/>
          <w:i/>
          <w:iCs/>
          <w:sz w:val="28"/>
          <w:szCs w:val="28"/>
          <w:lang w:val="en-US"/>
        </w:rPr>
      </w:pPr>
      <w:r>
        <w:br w:type="page"/>
      </w:r>
    </w:p>
    <w:p w:rsidR="00AB501B" w:rsidRPr="003C63AC" w:rsidRDefault="00E75173" w:rsidP="00AB501B">
      <w:pPr>
        <w:pStyle w:val="Heading2"/>
        <w:ind w:left="567" w:hanging="567"/>
        <w:rPr>
          <w:kern w:val="32"/>
          <w:sz w:val="32"/>
          <w:szCs w:val="32"/>
        </w:rPr>
      </w:pPr>
      <w:bookmarkStart w:id="29" w:name="_Toc430778987"/>
      <w:r w:rsidRPr="003C63AC">
        <w:t>Regulation and Compliance</w:t>
      </w:r>
      <w:bookmarkEnd w:id="29"/>
    </w:p>
    <w:p w:rsidR="00DE64AD" w:rsidRPr="005728F4" w:rsidRDefault="00DE64AD" w:rsidP="00DE64AD">
      <w:r w:rsidRPr="003C63AC">
        <w:t>From the 1940s when car ownership rates began to climb strongly, up to the late 1970s, the auto-parts recycling industry developed in a largely unregulated environment</w:t>
      </w:r>
      <w:r w:rsidR="00DA2F04">
        <w:t>. The industry has been</w:t>
      </w:r>
      <w:r w:rsidRPr="003C63AC">
        <w:t xml:space="preserve"> managing a consumer waste stream that, for at least the last three decades, has been sufficiently valuable to ensure that the market removed the majorit</w:t>
      </w:r>
      <w:r w:rsidRPr="00AD4F11">
        <w:t xml:space="preserve">y of ELVs from Australian streets and has increasingly diverted material from landfills. </w:t>
      </w:r>
    </w:p>
    <w:p w:rsidR="00DE64AD" w:rsidRPr="004F1732" w:rsidRDefault="00DE64AD" w:rsidP="00DE64AD">
      <w:r w:rsidRPr="000F5EF8">
        <w:t>Over more recent decades</w:t>
      </w:r>
      <w:r w:rsidR="007B4F0A">
        <w:t>,</w:t>
      </w:r>
      <w:r w:rsidRPr="000F5EF8">
        <w:t xml:space="preserve"> </w:t>
      </w:r>
      <w:r w:rsidR="007E0033">
        <w:t>the auto parts recycling industry</w:t>
      </w:r>
      <w:r w:rsidRPr="000F5EF8">
        <w:t xml:space="preserve"> ha</w:t>
      </w:r>
      <w:r w:rsidR="007E0033">
        <w:t>s</w:t>
      </w:r>
      <w:r w:rsidRPr="000F5EF8">
        <w:t xml:space="preserve"> been required to comply with a wider range of business and environmental regulations. </w:t>
      </w:r>
      <w:r w:rsidR="007E0033">
        <w:t xml:space="preserve">This study identified </w:t>
      </w:r>
      <w:r w:rsidRPr="004F1732">
        <w:t>three main areas of regulation that have developed that impinge on the management and use of ELVs</w:t>
      </w:r>
      <w:r w:rsidR="007E0033">
        <w:t xml:space="preserve">. </w:t>
      </w:r>
      <w:r w:rsidR="00C9469B">
        <w:t>However, it</w:t>
      </w:r>
      <w:r w:rsidRPr="004F1732">
        <w:t xml:space="preserve"> is only rarely, and in limited jurisdictions, that auto-recyclers are subject to regulation specifically targeted at that industry. </w:t>
      </w:r>
    </w:p>
    <w:p w:rsidR="00DE64AD" w:rsidRPr="003C63AC" w:rsidRDefault="00DE64AD" w:rsidP="00DE64AD">
      <w:r w:rsidRPr="00AD02ED">
        <w:t xml:space="preserve">Commercial </w:t>
      </w:r>
      <w:r w:rsidR="00291EA2">
        <w:t>licensing</w:t>
      </w:r>
      <w:r w:rsidRPr="00AD02ED">
        <w:t xml:space="preserve"> for the sale of motor vehicles and of second hand goods in all </w:t>
      </w:r>
      <w:r w:rsidR="00A50CAF">
        <w:t>s</w:t>
      </w:r>
      <w:r w:rsidRPr="00AD02ED">
        <w:t xml:space="preserve">tates and </w:t>
      </w:r>
      <w:r w:rsidR="00A50CAF">
        <w:t>t</w:t>
      </w:r>
      <w:r w:rsidRPr="00AD02ED">
        <w:t>erritories are generally consistent. The sale of second hand goods</w:t>
      </w:r>
      <w:r w:rsidR="00F35BEA">
        <w:t>,</w:t>
      </w:r>
      <w:r w:rsidRPr="00AD02ED">
        <w:t xml:space="preserve"> </w:t>
      </w:r>
      <w:r w:rsidR="00F35BEA">
        <w:t xml:space="preserve">a </w:t>
      </w:r>
      <w:r w:rsidRPr="00AD02ED">
        <w:t>core activity for auto recyc</w:t>
      </w:r>
      <w:r w:rsidRPr="00D357AA">
        <w:t>lers</w:t>
      </w:r>
      <w:r w:rsidR="00F35BEA">
        <w:t>,</w:t>
      </w:r>
      <w:r w:rsidRPr="00D357AA">
        <w:t xml:space="preserve"> is subject in each </w:t>
      </w:r>
      <w:r w:rsidR="00A50CAF">
        <w:t>s</w:t>
      </w:r>
      <w:r w:rsidRPr="00D357AA">
        <w:t xml:space="preserve">tate and </w:t>
      </w:r>
      <w:r w:rsidR="00A50CAF">
        <w:t>t</w:t>
      </w:r>
      <w:r w:rsidRPr="00D357AA">
        <w:t xml:space="preserve">erritory to </w:t>
      </w:r>
      <w:r w:rsidR="00291EA2">
        <w:t>licensing</w:t>
      </w:r>
      <w:r w:rsidRPr="00D357AA">
        <w:t xml:space="preserve"> that requires a degree of record keeping sufficient to identify the seller and any buyer of second hand goods from the dealer. These licences also generally carry ‘conditions of good character’ that </w:t>
      </w:r>
      <w:r w:rsidRPr="00920E28">
        <w:t xml:space="preserve">allow them to be withdrawn if fraudulent or criminal activity is engaged in. Motor vehicle </w:t>
      </w:r>
      <w:r w:rsidR="003C63AC" w:rsidRPr="003C63AC">
        <w:t>traders</w:t>
      </w:r>
      <w:r w:rsidR="00A50CAF">
        <w:t>’</w:t>
      </w:r>
      <w:r w:rsidRPr="003C63AC">
        <w:t xml:space="preserve"> licences also require</w:t>
      </w:r>
      <w:r w:rsidR="00AF75BD">
        <w:t xml:space="preserve"> that the</w:t>
      </w:r>
      <w:r w:rsidRPr="003C63AC">
        <w:t xml:space="preserve"> recording of the details of all purchases and sales of motor vehicles </w:t>
      </w:r>
      <w:r w:rsidR="00DE420E">
        <w:t xml:space="preserve">are </w:t>
      </w:r>
      <w:r w:rsidRPr="003C63AC">
        <w:t>sufficient to allow the identification of the source of, and the eventual buyer of any register-able road vehicle.</w:t>
      </w:r>
    </w:p>
    <w:p w:rsidR="00DE64AD" w:rsidRPr="003C63AC" w:rsidRDefault="00DE64AD" w:rsidP="00DE64AD">
      <w:r w:rsidRPr="003C63AC">
        <w:t xml:space="preserve">A second layer of regulation, generally the responsibility of local government agencies, </w:t>
      </w:r>
      <w:r w:rsidR="00764B9C">
        <w:t>relates to</w:t>
      </w:r>
      <w:r w:rsidRPr="003C63AC">
        <w:t xml:space="preserve"> the planning permissions required for certain types of business facilities and activities. Local government planning requirements for businesses engaged in polluting or unsightly activities often cross with </w:t>
      </w:r>
      <w:r w:rsidR="00DE420E">
        <w:t>s</w:t>
      </w:r>
      <w:r w:rsidRPr="003C63AC">
        <w:t xml:space="preserve">tate planning and environmental rules relating to stormwater run-off into stormwater systems and natural water ways, and release of certain pollutants into soils. </w:t>
      </w:r>
    </w:p>
    <w:p w:rsidR="00DE64AD" w:rsidRPr="003C63AC" w:rsidRDefault="00DE64AD" w:rsidP="00DE64AD">
      <w:r w:rsidRPr="003C63AC">
        <w:t xml:space="preserve">There are also the nationally consistent rules, enforced by the equivalent of the roads and traffic authorities of each </w:t>
      </w:r>
      <w:r w:rsidR="00DE420E">
        <w:t>s</w:t>
      </w:r>
      <w:r w:rsidRPr="003C63AC">
        <w:t xml:space="preserve">tate and </w:t>
      </w:r>
      <w:r w:rsidR="00DE420E">
        <w:t>t</w:t>
      </w:r>
      <w:r w:rsidRPr="003C63AC">
        <w:t xml:space="preserve">erritory, regarding the reporting of damaged vehicles into the Written Off Vehicles Register (WOVR) maintained under the National Exchange of Vehicle and Driver Information System (NEVDIS). This database includes the national Vehicle Identification Number (VIN) database as well as the </w:t>
      </w:r>
      <w:r w:rsidR="00764B9C">
        <w:t>WOVR</w:t>
      </w:r>
      <w:r w:rsidRPr="003C63AC">
        <w:t xml:space="preserve">. How vehicles are entered into the WOVR and the operation of the register is explained in more detail in </w:t>
      </w:r>
      <w:r w:rsidRPr="003C63AC">
        <w:rPr>
          <w:i/>
        </w:rPr>
        <w:t>Appendix B</w:t>
      </w:r>
      <w:r w:rsidRPr="003C63AC">
        <w:t>.</w:t>
      </w:r>
    </w:p>
    <w:p w:rsidR="00C73208" w:rsidRDefault="004D3EBA" w:rsidP="00DE64AD">
      <w:r>
        <w:t xml:space="preserve">Those industry participants looking to export </w:t>
      </w:r>
      <w:r w:rsidR="00424526">
        <w:t>ELVs</w:t>
      </w:r>
      <w:r w:rsidR="00E51CE6">
        <w:t xml:space="preserve"> </w:t>
      </w:r>
      <w:r>
        <w:t xml:space="preserve">or half-cut vehicles for recovery or final disposal will be subject to requirements of the </w:t>
      </w:r>
      <w:r w:rsidRPr="004D3EBA">
        <w:rPr>
          <w:i/>
        </w:rPr>
        <w:t>Hazardous Waste (Regulation of Exports and Import) Act 1989</w:t>
      </w:r>
      <w:r>
        <w:t xml:space="preserve">. This legislation </w:t>
      </w:r>
      <w:r w:rsidRPr="004D3EBA">
        <w:rPr>
          <w:rFonts w:cs="Times New Roman"/>
          <w:szCs w:val="22"/>
        </w:rPr>
        <w:t>regulates the export and import of hazardous w</w:t>
      </w:r>
      <w:r>
        <w:rPr>
          <w:rFonts w:cs="Times New Roman"/>
          <w:szCs w:val="22"/>
        </w:rPr>
        <w:t>aste to ensure that it</w:t>
      </w:r>
      <w:r w:rsidRPr="004D3EBA">
        <w:rPr>
          <w:rFonts w:cs="Times New Roman"/>
          <w:szCs w:val="22"/>
        </w:rPr>
        <w:t xml:space="preserve"> is disposed of safely both wi</w:t>
      </w:r>
      <w:r w:rsidR="00C73208">
        <w:rPr>
          <w:rFonts w:cs="Times New Roman"/>
          <w:szCs w:val="22"/>
        </w:rPr>
        <w:t xml:space="preserve">thin and outside Australia, so that humans and the environment are </w:t>
      </w:r>
      <w:r w:rsidRPr="004D3EBA">
        <w:rPr>
          <w:rFonts w:cs="Times New Roman"/>
          <w:szCs w:val="22"/>
        </w:rPr>
        <w:t>protected from the harmful effects of th</w:t>
      </w:r>
      <w:r w:rsidR="00C73208">
        <w:rPr>
          <w:rFonts w:cs="Times New Roman"/>
          <w:szCs w:val="22"/>
        </w:rPr>
        <w:t>at</w:t>
      </w:r>
      <w:r w:rsidRPr="004D3EBA">
        <w:rPr>
          <w:rFonts w:cs="Times New Roman"/>
          <w:szCs w:val="22"/>
        </w:rPr>
        <w:t xml:space="preserve"> waste</w:t>
      </w:r>
      <w:r w:rsidRPr="00C73208">
        <w:rPr>
          <w:rFonts w:cs="Times New Roman"/>
          <w:szCs w:val="22"/>
        </w:rPr>
        <w:t xml:space="preserve">. </w:t>
      </w:r>
      <w:r w:rsidR="00F72AF3">
        <w:rPr>
          <w:rFonts w:cs="Times New Roman"/>
          <w:szCs w:val="22"/>
        </w:rPr>
        <w:t>This legislation r</w:t>
      </w:r>
      <w:r w:rsidR="00C73208" w:rsidRPr="00C73208">
        <w:rPr>
          <w:rFonts w:cs="Times New Roman"/>
          <w:szCs w:val="22"/>
        </w:rPr>
        <w:t>equires that a permit be obtained before hazardous waste is exported from Australia or imported into Australia.</w:t>
      </w:r>
    </w:p>
    <w:p w:rsidR="00DE64AD" w:rsidRPr="003C63AC" w:rsidRDefault="00DE64AD" w:rsidP="00DE64AD">
      <w:r w:rsidRPr="003C63AC">
        <w:t xml:space="preserve">Nationally consistent </w:t>
      </w:r>
      <w:r w:rsidR="00764B9C">
        <w:t>OHS</w:t>
      </w:r>
      <w:r w:rsidR="00AE3ACD">
        <w:t xml:space="preserve"> </w:t>
      </w:r>
      <w:r w:rsidRPr="003C63AC">
        <w:t xml:space="preserve">requirements of workplaces also apply to the operation of auto recycling facilities. </w:t>
      </w:r>
    </w:p>
    <w:p w:rsidR="00DE64AD" w:rsidRPr="003C63AC" w:rsidRDefault="00DE64AD" w:rsidP="00DE64AD">
      <w:r w:rsidRPr="003C63AC">
        <w:t>Finally regulation under the Act that dictates that it is illegal to emit ODS and SGGs to air are also applicable to auto recycling businesses, for which purpose some auto recyclers have take up licences to recover and handle refrigerant and others at have at least a commercial relationship with a licence holder.</w:t>
      </w:r>
    </w:p>
    <w:p w:rsidR="00DE64AD" w:rsidRPr="003C63AC" w:rsidRDefault="00DE64AD" w:rsidP="00DE64AD">
      <w:r w:rsidRPr="003C63AC">
        <w:t>Despite this range of regulatory controls</w:t>
      </w:r>
      <w:r w:rsidR="00DE420E">
        <w:t>,</w:t>
      </w:r>
      <w:r w:rsidRPr="003C63AC">
        <w:t xml:space="preserve"> all the anecdotal evidence gathered in the course of this study suggests the majority of ELVs are being processed in an unregulated and, in many cases, highly polluting manner. Industry participants, regulators and law enforcement agencies </w:t>
      </w:r>
      <w:r w:rsidR="00DE420E">
        <w:t xml:space="preserve">involved in this study have </w:t>
      </w:r>
      <w:r w:rsidRPr="003C63AC">
        <w:t xml:space="preserve">all </w:t>
      </w:r>
      <w:r w:rsidR="00492B60">
        <w:t>advised</w:t>
      </w:r>
      <w:r w:rsidR="00492B60" w:rsidRPr="003C63AC">
        <w:t xml:space="preserve"> </w:t>
      </w:r>
      <w:r w:rsidRPr="003C63AC">
        <w:t xml:space="preserve">that many industry participants are operating with essentially no concern for workplace safety, environmental controls, or financial arrangements generally expected of compliant and legitimate businesses. </w:t>
      </w:r>
    </w:p>
    <w:p w:rsidR="00DE64AD" w:rsidRPr="003C63AC" w:rsidRDefault="00DE64AD" w:rsidP="00DE64AD">
      <w:r w:rsidRPr="003C63AC">
        <w:t>Further, all participants interviewed indicated that elements of the industry are also on the edge of facilitated criminal activities</w:t>
      </w:r>
      <w:r w:rsidR="00DE420E">
        <w:t>,</w:t>
      </w:r>
      <w:r w:rsidRPr="003C63AC">
        <w:t xml:space="preserve"> </w:t>
      </w:r>
      <w:r w:rsidR="00DE420E">
        <w:t xml:space="preserve">such as </w:t>
      </w:r>
      <w:r w:rsidRPr="003C63AC">
        <w:t xml:space="preserve">car theft, vehicle insurance fraud, money laundering and receiving stolen goods. </w:t>
      </w:r>
    </w:p>
    <w:p w:rsidR="00DE64AD" w:rsidRPr="003C63AC" w:rsidRDefault="00DE64AD" w:rsidP="00DE64AD">
      <w:r w:rsidRPr="003C63AC">
        <w:t xml:space="preserve">A taskforce of the Victorian Police, “Taskforce Discover”, </w:t>
      </w:r>
      <w:r w:rsidR="00DE420E">
        <w:t xml:space="preserve">which forms </w:t>
      </w:r>
      <w:r w:rsidRPr="003C63AC">
        <w:t xml:space="preserve">part of the vehicle crime squad, recently conducted an extensive investigation of the industry and its links to vehicle theft, criminal gangs and export markets. </w:t>
      </w:r>
    </w:p>
    <w:p w:rsidR="00DE64AD" w:rsidRPr="003C63AC" w:rsidRDefault="00DE64AD" w:rsidP="00DE64AD">
      <w:r w:rsidRPr="003C63AC">
        <w:t>Task</w:t>
      </w:r>
      <w:r w:rsidR="00DE420E">
        <w:t>f</w:t>
      </w:r>
      <w:r w:rsidRPr="003C63AC">
        <w:t>orce Discover assessed that 70</w:t>
      </w:r>
      <w:r w:rsidR="004D498D">
        <w:t xml:space="preserve"> per cent</w:t>
      </w:r>
      <w:r w:rsidR="004D498D" w:rsidRPr="003C63AC">
        <w:t xml:space="preserve"> </w:t>
      </w:r>
      <w:r w:rsidRPr="003C63AC">
        <w:t xml:space="preserve">of the 432 businesses inspected </w:t>
      </w:r>
      <w:r w:rsidR="00DE420E">
        <w:t xml:space="preserve">during </w:t>
      </w:r>
      <w:r w:rsidR="003162E8">
        <w:t>its</w:t>
      </w:r>
      <w:r w:rsidR="00DE420E">
        <w:t xml:space="preserve"> investigation </w:t>
      </w:r>
      <w:r w:rsidRPr="003C63AC">
        <w:t>were either not holding the required authorisations to trade in Victoria, or were non-compliant to some degree, and that 90</w:t>
      </w:r>
      <w:r w:rsidR="004D498D">
        <w:t xml:space="preserve"> per cent </w:t>
      </w:r>
      <w:r w:rsidRPr="003C63AC">
        <w:t xml:space="preserve">were non-compliant with </w:t>
      </w:r>
      <w:r w:rsidR="00AE3ACD">
        <w:t>OHS</w:t>
      </w:r>
      <w:r w:rsidRPr="003C63AC">
        <w:t xml:space="preserve"> and environmental regulations to some degree. The audits led to 41 businesses being reported for environmental breaches resulting in serious and ongoing pollution to soil and waterways.</w:t>
      </w:r>
    </w:p>
    <w:p w:rsidR="00DE64AD" w:rsidRPr="003C63AC" w:rsidRDefault="00DE64AD" w:rsidP="00DE64AD">
      <w:r w:rsidRPr="003C63AC">
        <w:t xml:space="preserve">The police noted that the level of non-compliance and the lack of record keeping in the motor wreckers and scrap metal industries </w:t>
      </w:r>
      <w:r w:rsidR="00AE3ACD">
        <w:t xml:space="preserve">in Victoria </w:t>
      </w:r>
      <w:r w:rsidRPr="003C63AC">
        <w:t xml:space="preserve">either deliberately or unwittingly facilitated profit-motivated theft. This characteristic of the industry created serious obstacles to tracking the chain of custody of vehicles and their disposal. </w:t>
      </w:r>
    </w:p>
    <w:p w:rsidR="00DE64AD" w:rsidRPr="003C63AC" w:rsidRDefault="00DE64AD" w:rsidP="00DE64AD">
      <w:r w:rsidRPr="003C63AC">
        <w:t>Enforcement of any regulation is also made more difficult by the industry structure. The IBISWorld industry report from January 2014 stated that the industry is, “characterised by hundreds of small players, none of which are public companies”, and that “</w:t>
      </w:r>
      <w:r w:rsidR="003B2C1B">
        <w:t>i</w:t>
      </w:r>
      <w:r w:rsidRPr="003C63AC">
        <w:t>ndustry players are typically small, sole proprietor businesses… involved in a number of areas, including DIY (i.e. pick a part yourself)</w:t>
      </w:r>
      <w:r w:rsidR="003B2C1B">
        <w:t>,</w:t>
      </w:r>
      <w:r w:rsidRPr="003C63AC">
        <w:t xml:space="preserve"> used part dealing (through large used car yards), vehicle dismantling, car wrecking, used parts retailing and recycling” (IBIS 2014b).</w:t>
      </w:r>
    </w:p>
    <w:p w:rsidR="00DE64AD" w:rsidRPr="003C63AC" w:rsidRDefault="00DE64AD" w:rsidP="00DE64AD">
      <w:r w:rsidRPr="003C63AC">
        <w:t>IBISWorld estimated that no single operator held a market share greater than 2</w:t>
      </w:r>
      <w:r w:rsidR="004D498D">
        <w:t xml:space="preserve"> per cent</w:t>
      </w:r>
      <w:r w:rsidR="004D498D" w:rsidRPr="003C63AC">
        <w:t xml:space="preserve"> </w:t>
      </w:r>
      <w:r w:rsidRPr="003C63AC">
        <w:t>of the industry and that the top four operators in aggregate had a market share of less than 5</w:t>
      </w:r>
      <w:r w:rsidR="004D498D">
        <w:t xml:space="preserve"> per cent</w:t>
      </w:r>
      <w:r w:rsidR="002E2AA7">
        <w:t>.</w:t>
      </w:r>
      <w:r w:rsidR="004D498D" w:rsidRPr="003C63AC">
        <w:t xml:space="preserve"> </w:t>
      </w:r>
      <w:r w:rsidRPr="003C63AC">
        <w:t xml:space="preserve">Barriers to entry to the industry are very low, particularly for the ‘backyard operator’. </w:t>
      </w:r>
    </w:p>
    <w:p w:rsidR="00DE64AD" w:rsidRPr="003C63AC" w:rsidRDefault="00DE64AD" w:rsidP="00DE64AD">
      <w:r w:rsidRPr="003C63AC">
        <w:t xml:space="preserve">There were some positive and interesting observations relevant to this study from the IBISWorld report including that, “The more astute operators in the industry are using environmental factors and general interest in recycling to promote and expand their businesses”. And further that, “There has also been a concerted push among players to clean up the junkyard image of the industry. </w:t>
      </w:r>
      <w:r w:rsidR="00C9469B" w:rsidRPr="003C63AC">
        <w:t>This can be seen in areas such as the provision of warehousing for car bodies and parts, rather than on lots in the open, guarantees on all parts and accessories sold and the increased use of new technology (e.g. hotlines), etc”</w:t>
      </w:r>
      <w:r w:rsidR="00C9469B">
        <w:t>.</w:t>
      </w:r>
      <w:r w:rsidR="00C9469B" w:rsidRPr="003C63AC">
        <w:t xml:space="preserve"> </w:t>
      </w:r>
      <w:r w:rsidRPr="003C63AC">
        <w:t>These trends are being complemented by the computerisation of stock inventories and “the development of credit and account facilities for reliable customers, rather than a cash only basis”.</w:t>
      </w:r>
    </w:p>
    <w:p w:rsidR="00DE64AD" w:rsidRPr="003C63AC" w:rsidRDefault="00DE64AD" w:rsidP="00DE64AD">
      <w:r w:rsidRPr="003C63AC">
        <w:t>The IBISWorld observations of an emerging environmental edge to some marketing, and an increased focus on customer service are potentially very important trends. The fact that it was noteworthy to mention the recent move away from a ‘cash-only’ basis, at least by some of the large players, speaks volumes about the widespread ‘cash-only’ business practices in the industry.</w:t>
      </w:r>
    </w:p>
    <w:p w:rsidR="00DE64AD" w:rsidRPr="003C63AC" w:rsidRDefault="00DE64AD" w:rsidP="00DE64AD">
      <w:r w:rsidRPr="003C63AC">
        <w:t>The improvements noted by IBISWorld were also echoed by industry observers interviewed for this study who could identify a few well established and reputable industry participants, some with many processing facilities and wholesale</w:t>
      </w:r>
      <w:r w:rsidR="00455FD8" w:rsidRPr="003C63AC">
        <w:t xml:space="preserve"> and retail outlets in several </w:t>
      </w:r>
      <w:r w:rsidR="00AE3ACD">
        <w:t>s</w:t>
      </w:r>
      <w:r w:rsidRPr="003C63AC">
        <w:t>tates, including some that operate under franchising models sharing marketing costs and expertise to open in new territories.</w:t>
      </w:r>
    </w:p>
    <w:p w:rsidR="00DE64AD" w:rsidRPr="003C63AC" w:rsidRDefault="00DE64AD" w:rsidP="00DE64AD">
      <w:r w:rsidRPr="003C63AC">
        <w:t xml:space="preserve">The large participants that invest in management of the many types of wastes that result from the dismantling and parts recycling process, and who work hard to comply with at least their local and </w:t>
      </w:r>
      <w:r w:rsidR="00AE3ACD">
        <w:t>s</w:t>
      </w:r>
      <w:r w:rsidRPr="003C63AC">
        <w:t xml:space="preserve">tate and </w:t>
      </w:r>
      <w:r w:rsidR="00AE3ACD">
        <w:t>t</w:t>
      </w:r>
      <w:r w:rsidRPr="003C63AC">
        <w:t>erritory governments’ environmental and business trading conditions, are at a competitive disadvantage in purely mercantile terms as compared to the operators who pay no regard to environmental or other regulatory and business or legal requirements.</w:t>
      </w:r>
    </w:p>
    <w:p w:rsidR="00DE64AD" w:rsidRPr="003C63AC" w:rsidRDefault="00F138A5" w:rsidP="00DE64AD">
      <w:r>
        <w:t>Further</w:t>
      </w:r>
      <w:r w:rsidR="003B2C1B">
        <w:t>,</w:t>
      </w:r>
      <w:r>
        <w:t xml:space="preserve"> t</w:t>
      </w:r>
      <w:r w:rsidR="00DE64AD" w:rsidRPr="003C63AC">
        <w:t>he large unregulated and non-compliant portion of the industry</w:t>
      </w:r>
      <w:r w:rsidR="00DF4396" w:rsidRPr="003C63AC">
        <w:t xml:space="preserve"> (refer </w:t>
      </w:r>
      <w:r w:rsidR="00DF4396" w:rsidRPr="003C63AC">
        <w:rPr>
          <w:i/>
        </w:rPr>
        <w:t>Appendix C Australian Metal Recyclers Industry Association Media Statement</w:t>
      </w:r>
      <w:r w:rsidR="00DF4396" w:rsidRPr="003C63AC">
        <w:t xml:space="preserve"> on non compliant businesses)</w:t>
      </w:r>
      <w:r w:rsidR="00DE64AD" w:rsidRPr="003C63AC">
        <w:t>, the cash economy, and that vehicle theft and stripping for parts to sell is a ‘bread and butter’ and relatively low risk activity for habitual criminals, a</w:t>
      </w:r>
      <w:r w:rsidR="00CF3EE1">
        <w:t>llows a</w:t>
      </w:r>
      <w:r w:rsidR="00DE64AD" w:rsidRPr="003C63AC">
        <w:t xml:space="preserve"> criminal element </w:t>
      </w:r>
      <w:r w:rsidR="00CF3EE1">
        <w:t xml:space="preserve">to thrive </w:t>
      </w:r>
      <w:r w:rsidR="00DE64AD" w:rsidRPr="003C63AC">
        <w:t>on the f</w:t>
      </w:r>
      <w:r w:rsidR="00813CB1">
        <w:t xml:space="preserve">ringes of this at least $2 billion </w:t>
      </w:r>
      <w:r w:rsidR="00DE64AD" w:rsidRPr="003C63AC">
        <w:t>dollar a year industry</w:t>
      </w:r>
      <w:r w:rsidR="0028473F">
        <w:t>.</w:t>
      </w:r>
      <w:r w:rsidR="00CF3EE1">
        <w:rPr>
          <w:rStyle w:val="FootnoteReference"/>
        </w:rPr>
        <w:footnoteReference w:id="13"/>
      </w:r>
    </w:p>
    <w:p w:rsidR="001C3D1E" w:rsidRDefault="001C3D1E">
      <w:pPr>
        <w:spacing w:before="0"/>
        <w:jc w:val="left"/>
        <w:rPr>
          <w:rFonts w:ascii="Calibri" w:eastAsia="Times New Roman" w:hAnsi="Calibri" w:cs="Times New Roman"/>
          <w:b/>
          <w:bCs/>
          <w:kern w:val="32"/>
          <w:sz w:val="32"/>
          <w:szCs w:val="32"/>
        </w:rPr>
      </w:pPr>
      <w:r>
        <w:br w:type="page"/>
      </w:r>
    </w:p>
    <w:p w:rsidR="00DD6EBE" w:rsidRPr="003C63AC" w:rsidRDefault="00E61829" w:rsidP="00DD6EBE">
      <w:pPr>
        <w:pStyle w:val="Heading1"/>
        <w:ind w:left="432"/>
        <w:rPr>
          <w:lang w:val="en-AU"/>
        </w:rPr>
      </w:pPr>
      <w:bookmarkStart w:id="30" w:name="_Toc430778988"/>
      <w:r w:rsidRPr="003C63AC">
        <w:rPr>
          <w:lang w:val="en-AU"/>
        </w:rPr>
        <w:t>Future ELVs</w:t>
      </w:r>
      <w:bookmarkEnd w:id="30"/>
    </w:p>
    <w:p w:rsidR="003E62ED" w:rsidRPr="003C63AC" w:rsidRDefault="003E62ED" w:rsidP="00E61829">
      <w:r w:rsidRPr="003C63AC">
        <w:t xml:space="preserve">The Expert Group </w:t>
      </w:r>
      <w:r w:rsidR="00DE64AD" w:rsidRPr="003C63AC">
        <w:t>ELV Model</w:t>
      </w:r>
      <w:r w:rsidRPr="003C63AC">
        <w:t xml:space="preserve"> </w:t>
      </w:r>
      <w:r w:rsidR="00DE64AD" w:rsidRPr="003C63AC">
        <w:t xml:space="preserve">(described in detail in </w:t>
      </w:r>
      <w:r w:rsidR="00DE64AD" w:rsidRPr="003C63AC">
        <w:rPr>
          <w:i/>
        </w:rPr>
        <w:t>Appendix A</w:t>
      </w:r>
      <w:r w:rsidR="00DE64AD" w:rsidRPr="003C63AC">
        <w:t xml:space="preserve">) </w:t>
      </w:r>
      <w:r w:rsidRPr="003C63AC">
        <w:t>forecasts a steady rise in the numbers of ELVs per annum over the projection period, rising from approximately 600,000 in 2008 to more than 900,000 in 2025, an increase of more than 50</w:t>
      </w:r>
      <w:r w:rsidR="004D498D">
        <w:t xml:space="preserve"> per cent</w:t>
      </w:r>
    </w:p>
    <w:p w:rsidR="003E62ED" w:rsidRPr="003C63AC" w:rsidRDefault="003E62ED" w:rsidP="00E61829"/>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39"/>
      </w:tblGrid>
      <w:tr w:rsidR="003E62ED" w:rsidRPr="003C63AC" w:rsidTr="00D3658F">
        <w:tc>
          <w:tcPr>
            <w:tcW w:w="9639" w:type="dxa"/>
            <w:vAlign w:val="center"/>
          </w:tcPr>
          <w:p w:rsidR="003E62ED" w:rsidRPr="003C63AC" w:rsidRDefault="003E62ED" w:rsidP="00D3658F">
            <w:pPr>
              <w:spacing w:after="120"/>
              <w:jc w:val="center"/>
              <w:rPr>
                <w:b/>
              </w:rPr>
            </w:pPr>
            <w:r w:rsidRPr="003C63AC">
              <w:rPr>
                <w:b/>
              </w:rPr>
              <w:br w:type="page"/>
              <w:t>Number of ELVs per annum from 2008 to 2025</w:t>
            </w:r>
          </w:p>
        </w:tc>
      </w:tr>
      <w:tr w:rsidR="003E62ED" w:rsidRPr="003C63AC" w:rsidTr="00D3658F">
        <w:tc>
          <w:tcPr>
            <w:tcW w:w="9639" w:type="dxa"/>
            <w:vAlign w:val="center"/>
          </w:tcPr>
          <w:p w:rsidR="003E62ED" w:rsidRPr="003C63AC" w:rsidRDefault="003E62ED" w:rsidP="00D3658F">
            <w:pPr>
              <w:spacing w:before="60" w:after="60"/>
              <w:jc w:val="center"/>
              <w:rPr>
                <w:sz w:val="16"/>
                <w:szCs w:val="16"/>
              </w:rPr>
            </w:pPr>
          </w:p>
          <w:p w:rsidR="003E62ED" w:rsidRPr="003C63AC" w:rsidRDefault="003E62ED" w:rsidP="00D3658F">
            <w:pPr>
              <w:spacing w:before="60" w:after="60"/>
              <w:jc w:val="center"/>
              <w:rPr>
                <w:sz w:val="16"/>
                <w:szCs w:val="16"/>
              </w:rPr>
            </w:pPr>
            <w:r w:rsidRPr="003C63AC">
              <w:rPr>
                <w:noProof/>
                <w:lang w:eastAsia="en-AU"/>
              </w:rPr>
              <w:drawing>
                <wp:inline distT="0" distB="0" distL="0" distR="0">
                  <wp:extent cx="5986834" cy="2524125"/>
                  <wp:effectExtent l="0" t="0" r="762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E62ED" w:rsidRPr="003C63AC" w:rsidRDefault="003E62ED" w:rsidP="00D3658F">
            <w:pPr>
              <w:spacing w:before="60" w:after="60"/>
              <w:jc w:val="center"/>
              <w:rPr>
                <w:sz w:val="16"/>
                <w:szCs w:val="16"/>
              </w:rPr>
            </w:pPr>
          </w:p>
        </w:tc>
      </w:tr>
      <w:tr w:rsidR="003E62ED" w:rsidRPr="003C63AC" w:rsidTr="00D3658F">
        <w:tc>
          <w:tcPr>
            <w:tcW w:w="9639" w:type="dxa"/>
            <w:vAlign w:val="center"/>
          </w:tcPr>
          <w:p w:rsidR="003E62ED" w:rsidRPr="003C63AC" w:rsidRDefault="005D2331" w:rsidP="00D3658F">
            <w:pPr>
              <w:spacing w:before="60" w:after="60"/>
              <w:rPr>
                <w:i/>
              </w:rPr>
            </w:pPr>
            <w:r w:rsidRPr="003C63AC">
              <w:rPr>
                <w:i/>
                <w:sz w:val="20"/>
              </w:rPr>
              <w:t xml:space="preserve">Figure </w:t>
            </w:r>
            <w:r w:rsidR="00F005B2" w:rsidRPr="003C63AC">
              <w:rPr>
                <w:i/>
                <w:sz w:val="20"/>
              </w:rPr>
              <w:fldChar w:fldCharType="begin"/>
            </w:r>
            <w:r w:rsidRPr="003C63AC">
              <w:rPr>
                <w:i/>
                <w:sz w:val="20"/>
              </w:rPr>
              <w:instrText xml:space="preserve"> SEQ Figure \* ARABIC </w:instrText>
            </w:r>
            <w:r w:rsidR="00F005B2" w:rsidRPr="003C63AC">
              <w:rPr>
                <w:i/>
                <w:sz w:val="20"/>
              </w:rPr>
              <w:fldChar w:fldCharType="separate"/>
            </w:r>
            <w:r w:rsidR="00DE265F">
              <w:rPr>
                <w:i/>
                <w:noProof/>
                <w:sz w:val="20"/>
              </w:rPr>
              <w:t>9</w:t>
            </w:r>
            <w:r w:rsidR="00F005B2" w:rsidRPr="003C63AC">
              <w:rPr>
                <w:i/>
                <w:sz w:val="20"/>
              </w:rPr>
              <w:fldChar w:fldCharType="end"/>
            </w:r>
            <w:r w:rsidR="003E62ED" w:rsidRPr="003C63AC">
              <w:rPr>
                <w:i/>
                <w:sz w:val="20"/>
              </w:rPr>
              <w:t>: Number of ELVs in Australia per annum from 2008 to 2025.</w:t>
            </w:r>
          </w:p>
        </w:tc>
      </w:tr>
    </w:tbl>
    <w:p w:rsidR="00A85250" w:rsidRPr="003C63AC" w:rsidRDefault="00A85250" w:rsidP="00E61829"/>
    <w:p w:rsidR="003E62ED" w:rsidRPr="003C63AC" w:rsidRDefault="00A85250" w:rsidP="00E61829">
      <w:r w:rsidRPr="003C63AC">
        <w:t xml:space="preserve">The result of this steady rise in ELVs per annum is projected to result in more than 10 million ELVs in total coming out of the fleet of vehicles </w:t>
      </w:r>
      <w:r w:rsidR="00821607">
        <w:t>in the 12 years from 2013 to 202</w:t>
      </w:r>
      <w:r w:rsidRPr="003C63AC">
        <w:t>5 inclusive.</w:t>
      </w:r>
    </w:p>
    <w:p w:rsidR="00A85250" w:rsidRDefault="00A85250" w:rsidP="00E61829"/>
    <w:p w:rsidR="00B03EFC" w:rsidRDefault="00B03EFC" w:rsidP="00E61829"/>
    <w:p w:rsidR="00B03EFC" w:rsidRDefault="00B03EFC" w:rsidP="00E61829"/>
    <w:p w:rsidR="00B03EFC" w:rsidRDefault="00B03EFC" w:rsidP="00E61829"/>
    <w:p w:rsidR="00B03EFC" w:rsidRDefault="00B03EFC" w:rsidP="00E61829"/>
    <w:p w:rsidR="00B03EFC" w:rsidRDefault="00B03EFC" w:rsidP="00E61829"/>
    <w:p w:rsidR="00C73208" w:rsidRDefault="00C73208" w:rsidP="00E61829"/>
    <w:p w:rsidR="00C73208" w:rsidRDefault="00C73208" w:rsidP="00E61829"/>
    <w:p w:rsidR="00C73208" w:rsidRDefault="00C73208" w:rsidP="00E61829"/>
    <w:p w:rsidR="00C73208" w:rsidRDefault="00C73208" w:rsidP="00E61829"/>
    <w:p w:rsidR="00C73208" w:rsidRDefault="00C73208" w:rsidP="00E61829"/>
    <w:p w:rsidR="00C73208" w:rsidRDefault="00C73208" w:rsidP="00E61829"/>
    <w:p w:rsidR="00C73208" w:rsidRDefault="00C73208" w:rsidP="00E61829"/>
    <w:p w:rsidR="00C73208" w:rsidRDefault="00C73208" w:rsidP="00E61829"/>
    <w:p w:rsidR="00C73208" w:rsidRPr="003C63AC" w:rsidRDefault="00C73208" w:rsidP="00E61829"/>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39"/>
      </w:tblGrid>
      <w:tr w:rsidR="00A85250" w:rsidRPr="003C63AC" w:rsidTr="00D3658F">
        <w:tc>
          <w:tcPr>
            <w:tcW w:w="9639" w:type="dxa"/>
            <w:vAlign w:val="center"/>
          </w:tcPr>
          <w:p w:rsidR="00A85250" w:rsidRPr="003C63AC" w:rsidRDefault="00A85250" w:rsidP="00D3658F">
            <w:pPr>
              <w:spacing w:after="120"/>
              <w:jc w:val="center"/>
              <w:rPr>
                <w:b/>
              </w:rPr>
            </w:pPr>
            <w:r w:rsidRPr="003C63AC">
              <w:rPr>
                <w:b/>
              </w:rPr>
              <w:br w:type="page"/>
              <w:t>Cumulative number of ELVs in millions from 2013 to 2025</w:t>
            </w:r>
          </w:p>
        </w:tc>
      </w:tr>
      <w:tr w:rsidR="00A85250" w:rsidRPr="003C63AC" w:rsidTr="00D3658F">
        <w:tc>
          <w:tcPr>
            <w:tcW w:w="9639" w:type="dxa"/>
            <w:vAlign w:val="center"/>
          </w:tcPr>
          <w:p w:rsidR="00A85250" w:rsidRPr="003C63AC" w:rsidRDefault="00A85250" w:rsidP="00D3658F">
            <w:pPr>
              <w:spacing w:before="60" w:after="60"/>
              <w:jc w:val="center"/>
              <w:rPr>
                <w:sz w:val="16"/>
                <w:szCs w:val="16"/>
              </w:rPr>
            </w:pPr>
          </w:p>
          <w:p w:rsidR="00A85250" w:rsidRPr="003C63AC" w:rsidRDefault="00A85250" w:rsidP="00D3658F">
            <w:pPr>
              <w:spacing w:before="60" w:after="60"/>
              <w:jc w:val="center"/>
              <w:rPr>
                <w:sz w:val="16"/>
                <w:szCs w:val="16"/>
              </w:rPr>
            </w:pPr>
            <w:r w:rsidRPr="003C63AC">
              <w:rPr>
                <w:noProof/>
                <w:lang w:eastAsia="en-AU"/>
              </w:rPr>
              <w:drawing>
                <wp:inline distT="0" distB="0" distL="0" distR="0">
                  <wp:extent cx="5976674" cy="247078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85250" w:rsidRPr="003C63AC" w:rsidRDefault="00A85250" w:rsidP="00D3658F">
            <w:pPr>
              <w:spacing w:before="60" w:after="60"/>
              <w:jc w:val="center"/>
              <w:rPr>
                <w:sz w:val="16"/>
                <w:szCs w:val="16"/>
              </w:rPr>
            </w:pPr>
          </w:p>
        </w:tc>
      </w:tr>
      <w:tr w:rsidR="00A85250" w:rsidRPr="003C63AC" w:rsidTr="00D3658F">
        <w:tc>
          <w:tcPr>
            <w:tcW w:w="9639" w:type="dxa"/>
            <w:vAlign w:val="center"/>
          </w:tcPr>
          <w:p w:rsidR="00A85250" w:rsidRPr="003C63AC" w:rsidRDefault="005D2331" w:rsidP="00D3658F">
            <w:pPr>
              <w:spacing w:before="60" w:after="60"/>
              <w:rPr>
                <w:i/>
              </w:rPr>
            </w:pPr>
            <w:r w:rsidRPr="003C63AC">
              <w:rPr>
                <w:i/>
                <w:sz w:val="20"/>
              </w:rPr>
              <w:t xml:space="preserve">Figure </w:t>
            </w:r>
            <w:r w:rsidR="00F005B2" w:rsidRPr="003C63AC">
              <w:rPr>
                <w:i/>
                <w:sz w:val="20"/>
              </w:rPr>
              <w:fldChar w:fldCharType="begin"/>
            </w:r>
            <w:r w:rsidRPr="003C63AC">
              <w:rPr>
                <w:i/>
                <w:sz w:val="20"/>
              </w:rPr>
              <w:instrText xml:space="preserve"> SEQ Figure \* ARABIC </w:instrText>
            </w:r>
            <w:r w:rsidR="00F005B2" w:rsidRPr="003C63AC">
              <w:rPr>
                <w:i/>
                <w:sz w:val="20"/>
              </w:rPr>
              <w:fldChar w:fldCharType="separate"/>
            </w:r>
            <w:r w:rsidR="00DE265F">
              <w:rPr>
                <w:i/>
                <w:noProof/>
                <w:sz w:val="20"/>
              </w:rPr>
              <w:t>10</w:t>
            </w:r>
            <w:r w:rsidR="00F005B2" w:rsidRPr="003C63AC">
              <w:rPr>
                <w:i/>
                <w:sz w:val="20"/>
              </w:rPr>
              <w:fldChar w:fldCharType="end"/>
            </w:r>
            <w:r w:rsidR="00A85250" w:rsidRPr="003C63AC">
              <w:rPr>
                <w:i/>
                <w:sz w:val="20"/>
              </w:rPr>
              <w:t>: Cumulative number of ELVs in Australia from 2013 to 2025.</w:t>
            </w:r>
          </w:p>
        </w:tc>
      </w:tr>
    </w:tbl>
    <w:p w:rsidR="00D2170C" w:rsidRPr="003C63AC" w:rsidRDefault="008909B8" w:rsidP="00E61829">
      <w:r w:rsidRPr="003C63AC">
        <w:t>Projections of the</w:t>
      </w:r>
      <w:r w:rsidR="003E62ED" w:rsidRPr="003C63AC">
        <w:t xml:space="preserve"> future environmental impact of</w:t>
      </w:r>
      <w:r w:rsidRPr="003C63AC">
        <w:t xml:space="preserve"> the pool of residual refrigerant in </w:t>
      </w:r>
      <w:r w:rsidR="00A85250" w:rsidRPr="003C63AC">
        <w:t>the EVL population</w:t>
      </w:r>
      <w:r w:rsidRPr="003C63AC">
        <w:t xml:space="preserve"> reveal several important trends.</w:t>
      </w:r>
    </w:p>
    <w:p w:rsidR="00D2170C" w:rsidRPr="003C63AC" w:rsidRDefault="00D2170C" w:rsidP="00E61829">
      <w:r w:rsidRPr="003C63AC">
        <w:t>The total GWP of the entire bank of refrigerant gas in the Australian economy is predicted to fall in the projection period as low and zero GWP gases become more widely employed in a number of major applications</w:t>
      </w:r>
      <w:r w:rsidR="003162E8">
        <w:t>. The estimated change in the bank is</w:t>
      </w:r>
      <w:r w:rsidRPr="003C63AC">
        <w:t xml:space="preserve"> notably led in the next few years by increases in </w:t>
      </w:r>
      <w:r w:rsidR="00224415" w:rsidRPr="003C63AC">
        <w:t>refrigerants</w:t>
      </w:r>
      <w:r w:rsidRPr="003C63AC">
        <w:t xml:space="preserve"> </w:t>
      </w:r>
      <w:r w:rsidR="00224415" w:rsidRPr="003C63AC">
        <w:t>with a GWP less than 10</w:t>
      </w:r>
      <w:r w:rsidR="00EB27D3" w:rsidRPr="003C63AC">
        <w:t xml:space="preserve"> in MAC applications</w:t>
      </w:r>
      <w:r w:rsidR="00C73208">
        <w:t xml:space="preserve"> such as </w:t>
      </w:r>
      <w:r w:rsidR="00B74961">
        <w:t>HFO-1234yf</w:t>
      </w:r>
      <w:r w:rsidRPr="003C63AC">
        <w:t>.</w:t>
      </w:r>
    </w:p>
    <w:p w:rsidR="00D2170C" w:rsidRPr="003C63AC" w:rsidRDefault="00B02E04" w:rsidP="00E61829">
      <w:r w:rsidRPr="003C63AC">
        <w:t xml:space="preserve">Projections of total tonnes </w:t>
      </w:r>
      <w:r>
        <w:t xml:space="preserve">from all applications across the economy are illustrated in </w:t>
      </w:r>
      <w:r w:rsidRPr="00B02E04">
        <w:rPr>
          <w:i/>
        </w:rPr>
        <w:t>Figure 11</w:t>
      </w:r>
      <w:r>
        <w:t xml:space="preserve"> below. This projection</w:t>
      </w:r>
      <w:r w:rsidR="00D2170C" w:rsidRPr="003C63AC">
        <w:t xml:space="preserve"> show</w:t>
      </w:r>
      <w:r>
        <w:t xml:space="preserve">s the trends of different refrigerant types and the </w:t>
      </w:r>
      <w:r w:rsidR="00D2170C" w:rsidRPr="003C63AC">
        <w:t>expected significant increase in low and zero GW</w:t>
      </w:r>
      <w:r w:rsidR="005D2331" w:rsidRPr="003C63AC">
        <w:t>P</w:t>
      </w:r>
      <w:r w:rsidR="00D2170C" w:rsidRPr="003C63AC">
        <w:t xml:space="preserve"> gases</w:t>
      </w:r>
      <w:r>
        <w:t xml:space="preserve"> categorised as GWP &lt;10 on the chart</w:t>
      </w:r>
      <w:r w:rsidR="00D2170C" w:rsidRPr="003C63AC">
        <w:t>.</w:t>
      </w:r>
    </w:p>
    <w:p w:rsidR="00D2170C" w:rsidRDefault="00D2170C" w:rsidP="00E61829"/>
    <w:p w:rsidR="00C73208" w:rsidRDefault="00C73208" w:rsidP="00E61829"/>
    <w:p w:rsidR="00C73208" w:rsidRDefault="00C73208" w:rsidP="00E61829"/>
    <w:p w:rsidR="00C73208" w:rsidRDefault="00C73208" w:rsidP="00E61829"/>
    <w:p w:rsidR="00C73208" w:rsidRDefault="00C73208" w:rsidP="00E61829"/>
    <w:p w:rsidR="00C73208" w:rsidRDefault="00C73208" w:rsidP="00E61829"/>
    <w:p w:rsidR="00C73208" w:rsidRDefault="00C73208" w:rsidP="00E61829"/>
    <w:p w:rsidR="00C73208" w:rsidRDefault="00C73208" w:rsidP="00E61829"/>
    <w:p w:rsidR="00C73208" w:rsidRDefault="00C73208" w:rsidP="00E61829"/>
    <w:p w:rsidR="00C73208" w:rsidRDefault="00C73208" w:rsidP="00E61829"/>
    <w:p w:rsidR="00C73208" w:rsidRDefault="00C73208" w:rsidP="00E61829"/>
    <w:p w:rsidR="00C73208" w:rsidRDefault="00C73208" w:rsidP="00E61829"/>
    <w:p w:rsidR="00C73208" w:rsidRDefault="00C73208" w:rsidP="00E61829"/>
    <w:p w:rsidR="00C73208" w:rsidRDefault="00C73208" w:rsidP="00E61829"/>
    <w:p w:rsidR="00C73208" w:rsidRPr="003C63AC" w:rsidRDefault="00C73208" w:rsidP="00E61829"/>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39"/>
      </w:tblGrid>
      <w:tr w:rsidR="00D2170C" w:rsidRPr="003C63AC" w:rsidTr="00D3658F">
        <w:tc>
          <w:tcPr>
            <w:tcW w:w="9639" w:type="dxa"/>
            <w:vAlign w:val="center"/>
          </w:tcPr>
          <w:p w:rsidR="00D2170C" w:rsidRPr="003C63AC" w:rsidRDefault="00D2170C" w:rsidP="00D3658F">
            <w:pPr>
              <w:spacing w:after="120"/>
              <w:jc w:val="center"/>
              <w:rPr>
                <w:b/>
              </w:rPr>
            </w:pPr>
            <w:r w:rsidRPr="003C63AC">
              <w:rPr>
                <w:b/>
              </w:rPr>
              <w:br w:type="page"/>
              <w:t>Consumption of all applications in tonnes from 2013 to 2025</w:t>
            </w:r>
          </w:p>
        </w:tc>
      </w:tr>
      <w:tr w:rsidR="00D2170C" w:rsidRPr="003C63AC" w:rsidTr="00D3658F">
        <w:tc>
          <w:tcPr>
            <w:tcW w:w="9639" w:type="dxa"/>
            <w:vAlign w:val="center"/>
          </w:tcPr>
          <w:p w:rsidR="00D2170C" w:rsidRPr="003C63AC" w:rsidRDefault="00D2170C" w:rsidP="00D3658F">
            <w:pPr>
              <w:spacing w:before="60" w:after="60"/>
              <w:jc w:val="center"/>
              <w:rPr>
                <w:sz w:val="16"/>
                <w:szCs w:val="16"/>
              </w:rPr>
            </w:pPr>
          </w:p>
          <w:p w:rsidR="00D2170C" w:rsidRPr="003C63AC" w:rsidRDefault="00D2170C" w:rsidP="00D3658F">
            <w:pPr>
              <w:spacing w:before="60" w:after="60"/>
              <w:jc w:val="center"/>
              <w:rPr>
                <w:sz w:val="16"/>
                <w:szCs w:val="16"/>
              </w:rPr>
            </w:pPr>
            <w:r w:rsidRPr="003C63AC">
              <w:rPr>
                <w:noProof/>
                <w:lang w:eastAsia="en-AU"/>
              </w:rPr>
              <w:drawing>
                <wp:inline distT="0" distB="0" distL="0" distR="0">
                  <wp:extent cx="5807075" cy="3200400"/>
                  <wp:effectExtent l="0" t="0" r="952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2170C" w:rsidRPr="003C63AC" w:rsidRDefault="00D2170C" w:rsidP="00D3658F">
            <w:pPr>
              <w:spacing w:before="60" w:after="60"/>
              <w:jc w:val="center"/>
              <w:rPr>
                <w:sz w:val="16"/>
                <w:szCs w:val="16"/>
              </w:rPr>
            </w:pPr>
          </w:p>
        </w:tc>
      </w:tr>
      <w:tr w:rsidR="00D2170C" w:rsidRPr="003C63AC" w:rsidTr="00D3658F">
        <w:tc>
          <w:tcPr>
            <w:tcW w:w="9639" w:type="dxa"/>
            <w:vAlign w:val="center"/>
          </w:tcPr>
          <w:p w:rsidR="00D2170C" w:rsidRPr="003C63AC" w:rsidRDefault="005D2331" w:rsidP="00D3658F">
            <w:pPr>
              <w:spacing w:before="60" w:after="60"/>
              <w:rPr>
                <w:i/>
              </w:rPr>
            </w:pPr>
            <w:r w:rsidRPr="003C63AC">
              <w:rPr>
                <w:i/>
                <w:sz w:val="20"/>
              </w:rPr>
              <w:t xml:space="preserve">Figure </w:t>
            </w:r>
            <w:r w:rsidR="00F005B2" w:rsidRPr="003C63AC">
              <w:rPr>
                <w:i/>
                <w:sz w:val="20"/>
              </w:rPr>
              <w:fldChar w:fldCharType="begin"/>
            </w:r>
            <w:r w:rsidRPr="003C63AC">
              <w:rPr>
                <w:i/>
                <w:sz w:val="20"/>
              </w:rPr>
              <w:instrText xml:space="preserve"> SEQ Figure \* ARABIC </w:instrText>
            </w:r>
            <w:r w:rsidR="00F005B2" w:rsidRPr="003C63AC">
              <w:rPr>
                <w:i/>
                <w:sz w:val="20"/>
              </w:rPr>
              <w:fldChar w:fldCharType="separate"/>
            </w:r>
            <w:r w:rsidR="00DE265F">
              <w:rPr>
                <w:i/>
                <w:noProof/>
                <w:sz w:val="20"/>
              </w:rPr>
              <w:t>11</w:t>
            </w:r>
            <w:r w:rsidR="00F005B2" w:rsidRPr="003C63AC">
              <w:rPr>
                <w:i/>
                <w:sz w:val="20"/>
              </w:rPr>
              <w:fldChar w:fldCharType="end"/>
            </w:r>
            <w:r w:rsidR="00D2170C" w:rsidRPr="003C63AC">
              <w:rPr>
                <w:i/>
                <w:sz w:val="20"/>
              </w:rPr>
              <w:t>: Consumption of all applications in tonnes from 2013 to 2025.</w:t>
            </w:r>
          </w:p>
        </w:tc>
      </w:tr>
    </w:tbl>
    <w:p w:rsidR="00D2170C" w:rsidRPr="003C63AC" w:rsidRDefault="00D2170C" w:rsidP="00E61829"/>
    <w:p w:rsidR="00C92734" w:rsidRPr="003C63AC" w:rsidRDefault="00C92734">
      <w:pPr>
        <w:spacing w:before="0"/>
        <w:jc w:val="left"/>
      </w:pPr>
      <w:r w:rsidRPr="003C63AC">
        <w:br w:type="page"/>
      </w:r>
    </w:p>
    <w:p w:rsidR="002966FB" w:rsidRPr="003C63AC" w:rsidRDefault="00836121" w:rsidP="00C92734">
      <w:r w:rsidRPr="003C63AC">
        <w:t>When viewed through the end-</w:t>
      </w:r>
      <w:r w:rsidR="00D2170C" w:rsidRPr="003C63AC">
        <w:t>use applications in the stock of equipment and the common denominator of the CO</w:t>
      </w:r>
      <w:r w:rsidR="00D2170C" w:rsidRPr="003C63AC">
        <w:rPr>
          <w:vertAlign w:val="subscript"/>
        </w:rPr>
        <w:t>2</w:t>
      </w:r>
      <w:r w:rsidR="00D2170C" w:rsidRPr="003C63AC">
        <w:t xml:space="preserve"> equivalent of all of the gases employed the decline in the total GWP of gases in MAC is clearly illustrated.</w:t>
      </w:r>
    </w:p>
    <w:p w:rsidR="00C92734" w:rsidRPr="003C63AC" w:rsidRDefault="00C92734" w:rsidP="00C92734"/>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39"/>
      </w:tblGrid>
      <w:tr w:rsidR="00D2170C" w:rsidRPr="003C63AC" w:rsidTr="00D3658F">
        <w:tc>
          <w:tcPr>
            <w:tcW w:w="9639" w:type="dxa"/>
            <w:vAlign w:val="center"/>
          </w:tcPr>
          <w:p w:rsidR="00D2170C" w:rsidRPr="003C63AC" w:rsidRDefault="00D2170C" w:rsidP="00D3658F">
            <w:pPr>
              <w:spacing w:after="120"/>
              <w:jc w:val="center"/>
              <w:rPr>
                <w:b/>
              </w:rPr>
            </w:pPr>
            <w:r w:rsidRPr="003C63AC">
              <w:rPr>
                <w:b/>
              </w:rPr>
              <w:br w:type="page"/>
              <w:t>Consumption of all applications in CO</w:t>
            </w:r>
            <w:r w:rsidRPr="003C63AC">
              <w:rPr>
                <w:b/>
                <w:vertAlign w:val="subscript"/>
              </w:rPr>
              <w:t>2</w:t>
            </w:r>
            <w:r w:rsidRPr="003C63AC">
              <w:rPr>
                <w:b/>
              </w:rPr>
              <w:t>e from 2013 to 2025</w:t>
            </w:r>
          </w:p>
        </w:tc>
      </w:tr>
      <w:tr w:rsidR="00D2170C" w:rsidRPr="003C63AC" w:rsidTr="00D3658F">
        <w:tc>
          <w:tcPr>
            <w:tcW w:w="9639" w:type="dxa"/>
            <w:vAlign w:val="center"/>
          </w:tcPr>
          <w:p w:rsidR="00D2170C" w:rsidRPr="003C63AC" w:rsidRDefault="00D2170C" w:rsidP="00D3658F">
            <w:pPr>
              <w:spacing w:before="60" w:after="60"/>
              <w:jc w:val="center"/>
              <w:rPr>
                <w:sz w:val="16"/>
                <w:szCs w:val="16"/>
              </w:rPr>
            </w:pPr>
          </w:p>
          <w:p w:rsidR="00D2170C" w:rsidRPr="003C63AC" w:rsidRDefault="00A438C4" w:rsidP="00D3658F">
            <w:pPr>
              <w:spacing w:before="60" w:after="60"/>
              <w:jc w:val="center"/>
              <w:rPr>
                <w:sz w:val="16"/>
                <w:szCs w:val="16"/>
              </w:rPr>
            </w:pPr>
            <w:r w:rsidRPr="003C63AC">
              <w:rPr>
                <w:noProof/>
                <w:lang w:eastAsia="en-AU"/>
              </w:rPr>
              <w:drawing>
                <wp:inline distT="0" distB="0" distL="0" distR="0">
                  <wp:extent cx="5850890" cy="2962910"/>
                  <wp:effectExtent l="0" t="0" r="0" b="8890"/>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2170C" w:rsidRPr="00AD4F11" w:rsidRDefault="00D2170C" w:rsidP="00D3658F">
            <w:pPr>
              <w:spacing w:before="60" w:after="60"/>
              <w:jc w:val="center"/>
              <w:rPr>
                <w:sz w:val="16"/>
                <w:szCs w:val="16"/>
              </w:rPr>
            </w:pPr>
          </w:p>
        </w:tc>
      </w:tr>
      <w:tr w:rsidR="00A438C4" w:rsidRPr="003C63AC" w:rsidTr="00D3658F">
        <w:tc>
          <w:tcPr>
            <w:tcW w:w="9639" w:type="dxa"/>
            <w:vAlign w:val="center"/>
          </w:tcPr>
          <w:p w:rsidR="00A438C4" w:rsidRPr="003C63AC" w:rsidRDefault="002966FB" w:rsidP="00A438C4">
            <w:pPr>
              <w:spacing w:before="60" w:after="60"/>
              <w:rPr>
                <w:sz w:val="20"/>
              </w:rPr>
            </w:pPr>
            <w:r w:rsidRPr="003C63AC">
              <w:rPr>
                <w:sz w:val="20"/>
              </w:rPr>
              <w:t xml:space="preserve">Application key: </w:t>
            </w:r>
            <w:r w:rsidR="00A438C4" w:rsidRPr="003C63AC">
              <w:rPr>
                <w:sz w:val="20"/>
              </w:rPr>
              <w:t>DR (Domestic refrigeration), RCFC (Refrigerated Cold Food Chain), AC (Stationary air conditioning), MAC (Mobile air conditioning), Fm (Foams), FP (Fire protection)</w:t>
            </w:r>
            <w:r w:rsidRPr="003C63AC">
              <w:rPr>
                <w:sz w:val="20"/>
              </w:rPr>
              <w:t xml:space="preserve"> and Other (including Aerosols, medical, etc.)</w:t>
            </w:r>
          </w:p>
        </w:tc>
      </w:tr>
      <w:tr w:rsidR="00D2170C" w:rsidRPr="003C63AC" w:rsidTr="00D3658F">
        <w:tc>
          <w:tcPr>
            <w:tcW w:w="9639" w:type="dxa"/>
            <w:vAlign w:val="center"/>
          </w:tcPr>
          <w:p w:rsidR="00D2170C" w:rsidRPr="003C63AC" w:rsidRDefault="005D2331" w:rsidP="00D3658F">
            <w:pPr>
              <w:spacing w:before="60" w:after="60"/>
              <w:rPr>
                <w:i/>
              </w:rPr>
            </w:pPr>
            <w:r w:rsidRPr="003C63AC">
              <w:rPr>
                <w:i/>
                <w:sz w:val="20"/>
              </w:rPr>
              <w:t xml:space="preserve">Figure </w:t>
            </w:r>
            <w:r w:rsidR="00F005B2" w:rsidRPr="003C63AC">
              <w:rPr>
                <w:i/>
                <w:sz w:val="20"/>
              </w:rPr>
              <w:fldChar w:fldCharType="begin"/>
            </w:r>
            <w:r w:rsidRPr="003C63AC">
              <w:rPr>
                <w:i/>
                <w:sz w:val="20"/>
              </w:rPr>
              <w:instrText xml:space="preserve"> SEQ Figure \* ARABIC </w:instrText>
            </w:r>
            <w:r w:rsidR="00F005B2" w:rsidRPr="003C63AC">
              <w:rPr>
                <w:i/>
                <w:sz w:val="20"/>
              </w:rPr>
              <w:fldChar w:fldCharType="separate"/>
            </w:r>
            <w:r w:rsidR="00DE265F">
              <w:rPr>
                <w:i/>
                <w:noProof/>
                <w:sz w:val="20"/>
              </w:rPr>
              <w:t>12</w:t>
            </w:r>
            <w:r w:rsidR="00F005B2" w:rsidRPr="003C63AC">
              <w:rPr>
                <w:i/>
                <w:sz w:val="20"/>
              </w:rPr>
              <w:fldChar w:fldCharType="end"/>
            </w:r>
            <w:r w:rsidRPr="003C63AC">
              <w:rPr>
                <w:i/>
                <w:sz w:val="20"/>
              </w:rPr>
              <w:t>:</w:t>
            </w:r>
            <w:r w:rsidR="00D2170C" w:rsidRPr="003C63AC">
              <w:rPr>
                <w:i/>
                <w:sz w:val="20"/>
              </w:rPr>
              <w:t xml:space="preserve"> Consumption of all applications in CO</w:t>
            </w:r>
            <w:r w:rsidR="00D2170C" w:rsidRPr="003C63AC">
              <w:rPr>
                <w:i/>
                <w:sz w:val="20"/>
                <w:vertAlign w:val="subscript"/>
              </w:rPr>
              <w:t>2</w:t>
            </w:r>
            <w:r w:rsidR="00836121" w:rsidRPr="003C63AC">
              <w:rPr>
                <w:i/>
                <w:sz w:val="20"/>
              </w:rPr>
              <w:t>e</w:t>
            </w:r>
            <w:r w:rsidR="00D2170C" w:rsidRPr="003C63AC">
              <w:rPr>
                <w:i/>
                <w:sz w:val="20"/>
              </w:rPr>
              <w:t xml:space="preserve"> to 2025.</w:t>
            </w:r>
          </w:p>
        </w:tc>
      </w:tr>
    </w:tbl>
    <w:p w:rsidR="00D2170C" w:rsidRPr="003C63AC" w:rsidRDefault="00D2170C" w:rsidP="00E61829"/>
    <w:p w:rsidR="00C92734" w:rsidRPr="003C63AC" w:rsidRDefault="00C92734">
      <w:pPr>
        <w:spacing w:before="0"/>
        <w:jc w:val="left"/>
      </w:pPr>
      <w:r w:rsidRPr="003C63AC">
        <w:br w:type="page"/>
      </w:r>
    </w:p>
    <w:p w:rsidR="00D2170C" w:rsidRPr="003C63AC" w:rsidRDefault="00224415" w:rsidP="00E61829">
      <w:r w:rsidRPr="003C63AC">
        <w:t xml:space="preserve">Projected increases in vehicles charged with a </w:t>
      </w:r>
      <w:r w:rsidR="006224AF">
        <w:t xml:space="preserve">refrigerant with a </w:t>
      </w:r>
      <w:r w:rsidRPr="003C63AC">
        <w:t xml:space="preserve">GWP less than 10 </w:t>
      </w:r>
      <w:r w:rsidR="009957D0" w:rsidRPr="003C63AC">
        <w:t xml:space="preserve">can be seen </w:t>
      </w:r>
      <w:r w:rsidR="008F6BD0" w:rsidRPr="003C63AC">
        <w:t xml:space="preserve">in the wedge </w:t>
      </w:r>
      <w:r w:rsidRPr="003C63AC">
        <w:t xml:space="preserve">in the chart below equating to </w:t>
      </w:r>
      <w:r w:rsidR="00AC6F38">
        <w:t>more than 35</w:t>
      </w:r>
      <w:r w:rsidR="004D498D">
        <w:t xml:space="preserve"> per cent</w:t>
      </w:r>
      <w:r w:rsidR="00AC6F38">
        <w:t xml:space="preserve"> </w:t>
      </w:r>
      <w:r w:rsidRPr="003C63AC">
        <w:t>of the bank in 2025</w:t>
      </w:r>
      <w:r w:rsidR="008F6BD0" w:rsidRPr="003C63AC">
        <w:t xml:space="preserve">. The Expert Group </w:t>
      </w:r>
      <w:r w:rsidRPr="003C63AC">
        <w:t>ELV M</w:t>
      </w:r>
      <w:r w:rsidR="008F6BD0" w:rsidRPr="003C63AC">
        <w:t xml:space="preserve">odel and refrigerant bank projection also suggest the long tail of older cars with charges of </w:t>
      </w:r>
      <w:r w:rsidR="00C92734" w:rsidRPr="003C63AC">
        <w:t>CFC-</w:t>
      </w:r>
      <w:r w:rsidR="008F6BD0" w:rsidRPr="003C63AC">
        <w:t xml:space="preserve">12 </w:t>
      </w:r>
      <w:r w:rsidR="00B3547C" w:rsidRPr="003C63AC">
        <w:t xml:space="preserve">and no MAC </w:t>
      </w:r>
      <w:r w:rsidR="00E92971" w:rsidRPr="003C63AC">
        <w:t xml:space="preserve">will continue </w:t>
      </w:r>
      <w:r w:rsidR="00836121" w:rsidRPr="003C63AC">
        <w:t xml:space="preserve">operating in the fleet and slowly retiring into the ELV population </w:t>
      </w:r>
      <w:r w:rsidR="00E92971" w:rsidRPr="003C63AC">
        <w:t>almost to the very end of</w:t>
      </w:r>
      <w:r w:rsidR="008F6BD0" w:rsidRPr="003C63AC">
        <w:t xml:space="preserve"> the projection period.</w:t>
      </w:r>
    </w:p>
    <w:p w:rsidR="00D2170C" w:rsidRPr="003C63AC" w:rsidRDefault="00D2170C" w:rsidP="00E61829"/>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39"/>
      </w:tblGrid>
      <w:tr w:rsidR="00D2170C" w:rsidRPr="003C63AC" w:rsidTr="00D3658F">
        <w:tc>
          <w:tcPr>
            <w:tcW w:w="9639" w:type="dxa"/>
            <w:vAlign w:val="center"/>
          </w:tcPr>
          <w:p w:rsidR="00D2170C" w:rsidRPr="003C63AC" w:rsidRDefault="00D2170C" w:rsidP="00D3658F">
            <w:pPr>
              <w:spacing w:after="120"/>
              <w:jc w:val="center"/>
              <w:rPr>
                <w:b/>
              </w:rPr>
            </w:pPr>
            <w:r w:rsidRPr="003C63AC">
              <w:rPr>
                <w:b/>
              </w:rPr>
              <w:br w:type="page"/>
              <w:t>Number of P&amp;LC vehicles by refrigerant type from 2013 to 2025</w:t>
            </w:r>
          </w:p>
        </w:tc>
      </w:tr>
      <w:tr w:rsidR="00D2170C" w:rsidRPr="003C63AC" w:rsidTr="00D3658F">
        <w:tc>
          <w:tcPr>
            <w:tcW w:w="9639" w:type="dxa"/>
            <w:vAlign w:val="center"/>
          </w:tcPr>
          <w:p w:rsidR="00D2170C" w:rsidRPr="003C63AC" w:rsidRDefault="00D2170C" w:rsidP="00D3658F">
            <w:pPr>
              <w:spacing w:before="60" w:after="60"/>
              <w:jc w:val="center"/>
              <w:rPr>
                <w:sz w:val="16"/>
                <w:szCs w:val="16"/>
              </w:rPr>
            </w:pPr>
          </w:p>
          <w:p w:rsidR="00D2170C" w:rsidRPr="003C63AC" w:rsidRDefault="00D2170C" w:rsidP="00D3658F">
            <w:pPr>
              <w:spacing w:before="60" w:after="60"/>
              <w:jc w:val="center"/>
              <w:rPr>
                <w:sz w:val="16"/>
                <w:szCs w:val="16"/>
              </w:rPr>
            </w:pPr>
            <w:r w:rsidRPr="003C63AC">
              <w:rPr>
                <w:noProof/>
                <w:lang w:eastAsia="en-AU"/>
              </w:rPr>
              <w:drawing>
                <wp:inline distT="0" distB="0" distL="0" distR="0">
                  <wp:extent cx="6016801" cy="3040380"/>
                  <wp:effectExtent l="0" t="0" r="3175" b="762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2170C" w:rsidRPr="003C63AC" w:rsidRDefault="00D2170C" w:rsidP="00D3658F">
            <w:pPr>
              <w:spacing w:before="60" w:after="60"/>
              <w:jc w:val="center"/>
              <w:rPr>
                <w:sz w:val="16"/>
                <w:szCs w:val="16"/>
              </w:rPr>
            </w:pPr>
          </w:p>
        </w:tc>
      </w:tr>
      <w:tr w:rsidR="00D2170C" w:rsidRPr="003C63AC" w:rsidTr="00D3658F">
        <w:tc>
          <w:tcPr>
            <w:tcW w:w="9639" w:type="dxa"/>
            <w:vAlign w:val="center"/>
          </w:tcPr>
          <w:p w:rsidR="00D2170C" w:rsidRPr="003C63AC" w:rsidRDefault="00D2170C" w:rsidP="00D3658F">
            <w:pPr>
              <w:spacing w:before="60" w:after="60"/>
              <w:rPr>
                <w:i/>
              </w:rPr>
            </w:pPr>
            <w:r w:rsidRPr="003C63AC">
              <w:rPr>
                <w:i/>
                <w:sz w:val="20"/>
              </w:rPr>
              <w:t xml:space="preserve">Figure </w:t>
            </w:r>
            <w:r w:rsidR="00F005B2" w:rsidRPr="003C63AC">
              <w:rPr>
                <w:i/>
                <w:sz w:val="20"/>
              </w:rPr>
              <w:fldChar w:fldCharType="begin"/>
            </w:r>
            <w:r w:rsidR="00836121" w:rsidRPr="003C63AC">
              <w:rPr>
                <w:i/>
                <w:sz w:val="20"/>
              </w:rPr>
              <w:instrText xml:space="preserve"> SEQ Figure \* ARABIC </w:instrText>
            </w:r>
            <w:r w:rsidR="00F005B2" w:rsidRPr="003C63AC">
              <w:rPr>
                <w:i/>
                <w:sz w:val="20"/>
              </w:rPr>
              <w:fldChar w:fldCharType="separate"/>
            </w:r>
            <w:r w:rsidR="00DE265F">
              <w:rPr>
                <w:i/>
                <w:noProof/>
                <w:sz w:val="20"/>
              </w:rPr>
              <w:t>13</w:t>
            </w:r>
            <w:r w:rsidR="00F005B2" w:rsidRPr="003C63AC">
              <w:rPr>
                <w:i/>
                <w:sz w:val="20"/>
              </w:rPr>
              <w:fldChar w:fldCharType="end"/>
            </w:r>
            <w:r w:rsidR="00836121" w:rsidRPr="003C63AC">
              <w:rPr>
                <w:i/>
                <w:sz w:val="20"/>
              </w:rPr>
              <w:t>:</w:t>
            </w:r>
            <w:r w:rsidRPr="003C63AC">
              <w:rPr>
                <w:i/>
                <w:sz w:val="20"/>
              </w:rPr>
              <w:t xml:space="preserve"> Number of P&amp;LC vehicles by refrigerant type in Australia from 2013 to 2025.</w:t>
            </w:r>
          </w:p>
        </w:tc>
      </w:tr>
    </w:tbl>
    <w:p w:rsidR="00D2170C" w:rsidRPr="003C63AC" w:rsidRDefault="00D2170C" w:rsidP="00E61829"/>
    <w:p w:rsidR="00AC6F38" w:rsidRDefault="00AC6F38">
      <w:pPr>
        <w:spacing w:before="0"/>
        <w:jc w:val="left"/>
      </w:pPr>
      <w:r>
        <w:br w:type="page"/>
      </w:r>
    </w:p>
    <w:p w:rsidR="00AD7504" w:rsidRPr="003C63AC" w:rsidRDefault="008F6BD0" w:rsidP="00E61829">
      <w:r w:rsidRPr="00704995">
        <w:t xml:space="preserve">This </w:t>
      </w:r>
      <w:r w:rsidRPr="003C63AC">
        <w:t>age distribution of the fleet</w:t>
      </w:r>
      <w:r w:rsidR="00AC6F38">
        <w:t xml:space="preserve"> with </w:t>
      </w:r>
      <w:r w:rsidRPr="003C63AC">
        <w:t xml:space="preserve">the long flat tail of older vehicles </w:t>
      </w:r>
      <w:r w:rsidR="00AC6F38">
        <w:t xml:space="preserve">(shown in </w:t>
      </w:r>
      <w:r w:rsidR="00AC6F38" w:rsidRPr="00AC6F38">
        <w:rPr>
          <w:i/>
        </w:rPr>
        <w:t>Figure 1</w:t>
      </w:r>
      <w:r w:rsidR="00AC6F38">
        <w:t xml:space="preserve">) </w:t>
      </w:r>
      <w:r w:rsidRPr="003C63AC">
        <w:t>combined with the</w:t>
      </w:r>
      <w:r w:rsidR="008909B8" w:rsidRPr="00AD4F11">
        <w:t xml:space="preserve"> large </w:t>
      </w:r>
      <w:r w:rsidRPr="005728F4">
        <w:t xml:space="preserve">existing </w:t>
      </w:r>
      <w:r w:rsidR="008909B8" w:rsidRPr="005728F4">
        <w:t>bank</w:t>
      </w:r>
      <w:r w:rsidRPr="000F5EF8">
        <w:t xml:space="preserve"> of high GWP SGGs and </w:t>
      </w:r>
      <w:r w:rsidR="005D2331" w:rsidRPr="004F1732">
        <w:t>CFC-</w:t>
      </w:r>
      <w:r w:rsidRPr="004F1732">
        <w:t>12 contained in the fleet</w:t>
      </w:r>
      <w:r w:rsidR="008909B8" w:rsidRPr="004F1732">
        <w:t>,</w:t>
      </w:r>
      <w:r w:rsidRPr="00AD02ED">
        <w:t xml:space="preserve"> means that</w:t>
      </w:r>
      <w:r w:rsidR="008909B8" w:rsidRPr="00D357AA">
        <w:t xml:space="preserve"> as the </w:t>
      </w:r>
      <w:r w:rsidR="008909B8" w:rsidRPr="00920E28">
        <w:t>overall GWP of t</w:t>
      </w:r>
      <w:r w:rsidRPr="003C63AC">
        <w:t xml:space="preserve">he </w:t>
      </w:r>
      <w:r w:rsidR="003B195F" w:rsidRPr="003C63AC">
        <w:t>annual consumption of refrigerant in MACs</w:t>
      </w:r>
      <w:r w:rsidRPr="003C63AC">
        <w:t xml:space="preserve"> fall</w:t>
      </w:r>
      <w:r w:rsidR="003B195F" w:rsidRPr="003C63AC">
        <w:t>s</w:t>
      </w:r>
      <w:r w:rsidRPr="003C63AC">
        <w:t xml:space="preserve"> in line with</w:t>
      </w:r>
      <w:r w:rsidR="008909B8" w:rsidRPr="003C63AC">
        <w:t xml:space="preserve"> the expected growth in </w:t>
      </w:r>
      <w:r w:rsidR="002D21FD" w:rsidRPr="003C63AC">
        <w:t>refrigerants with a GWP less than 10</w:t>
      </w:r>
      <w:r w:rsidR="003B195F" w:rsidRPr="003C63AC">
        <w:t xml:space="preserve">, relative contribution of </w:t>
      </w:r>
      <w:r w:rsidR="008909B8" w:rsidRPr="003C63AC">
        <w:t xml:space="preserve">ELVs to direct annual emissions </w:t>
      </w:r>
      <w:r w:rsidR="003B195F" w:rsidRPr="003C63AC">
        <w:t xml:space="preserve">from the sector </w:t>
      </w:r>
      <w:r w:rsidR="008909B8" w:rsidRPr="003C63AC">
        <w:t>increases.</w:t>
      </w:r>
    </w:p>
    <w:p w:rsidR="00AD7504" w:rsidRPr="003C63AC" w:rsidRDefault="00AD7504" w:rsidP="00AD7504">
      <w:r w:rsidRPr="003C63AC">
        <w:t>By the end of the projection period, approximately 425 kt, more than 50</w:t>
      </w:r>
      <w:r w:rsidR="004D498D">
        <w:t xml:space="preserve"> per cent</w:t>
      </w:r>
      <w:r w:rsidRPr="003C63AC">
        <w:t xml:space="preserve"> of the potential total direct emissions from the sector</w:t>
      </w:r>
      <w:r w:rsidR="006A47C5">
        <w:t>,</w:t>
      </w:r>
      <w:r w:rsidRPr="003C63AC">
        <w:t xml:space="preserve"> are projected to be from ELVs.</w:t>
      </w:r>
    </w:p>
    <w:p w:rsidR="008F6BD0" w:rsidRPr="003C63AC" w:rsidRDefault="008F6BD0" w:rsidP="00E61829"/>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39"/>
      </w:tblGrid>
      <w:tr w:rsidR="008F6BD0" w:rsidRPr="003C63AC" w:rsidTr="00D3658F">
        <w:tc>
          <w:tcPr>
            <w:tcW w:w="9639" w:type="dxa"/>
            <w:vAlign w:val="center"/>
          </w:tcPr>
          <w:p w:rsidR="008F6BD0" w:rsidRPr="003C63AC" w:rsidRDefault="008F6BD0" w:rsidP="00D3658F">
            <w:pPr>
              <w:spacing w:after="120"/>
              <w:jc w:val="center"/>
              <w:rPr>
                <w:b/>
              </w:rPr>
            </w:pPr>
            <w:r w:rsidRPr="003C63AC">
              <w:rPr>
                <w:b/>
              </w:rPr>
              <w:br w:type="page"/>
              <w:t>Consumption of MAC versus ELVs in CO</w:t>
            </w:r>
            <w:r w:rsidRPr="003C63AC">
              <w:rPr>
                <w:b/>
                <w:vertAlign w:val="subscript"/>
              </w:rPr>
              <w:t>2</w:t>
            </w:r>
            <w:r w:rsidRPr="003C63AC">
              <w:rPr>
                <w:b/>
              </w:rPr>
              <w:t>e from 2013 to 2025</w:t>
            </w:r>
            <w:r w:rsidR="002D21FD" w:rsidRPr="003C63AC">
              <w:rPr>
                <w:b/>
              </w:rPr>
              <w:t xml:space="preserve"> </w:t>
            </w:r>
            <w:r w:rsidR="002D21FD" w:rsidRPr="003C63AC">
              <w:rPr>
                <w:b/>
                <w:vertAlign w:val="superscript"/>
              </w:rPr>
              <w:t>(1)</w:t>
            </w:r>
          </w:p>
        </w:tc>
      </w:tr>
      <w:tr w:rsidR="008F6BD0" w:rsidRPr="003C63AC" w:rsidTr="00D3658F">
        <w:tc>
          <w:tcPr>
            <w:tcW w:w="9639" w:type="dxa"/>
            <w:vAlign w:val="center"/>
          </w:tcPr>
          <w:p w:rsidR="008F6BD0" w:rsidRPr="003C63AC" w:rsidRDefault="008F6BD0" w:rsidP="00D3658F">
            <w:pPr>
              <w:spacing w:before="60" w:after="60"/>
              <w:jc w:val="center"/>
              <w:rPr>
                <w:sz w:val="16"/>
                <w:szCs w:val="16"/>
              </w:rPr>
            </w:pPr>
          </w:p>
          <w:p w:rsidR="008F6BD0" w:rsidRPr="003C63AC" w:rsidRDefault="00AD7504" w:rsidP="00D3658F">
            <w:pPr>
              <w:spacing w:before="60" w:after="60"/>
              <w:jc w:val="center"/>
              <w:rPr>
                <w:sz w:val="16"/>
                <w:szCs w:val="16"/>
              </w:rPr>
            </w:pPr>
            <w:r w:rsidRPr="003C63AC">
              <w:rPr>
                <w:noProof/>
                <w:lang w:eastAsia="en-AU"/>
              </w:rPr>
              <w:drawing>
                <wp:inline distT="0" distB="0" distL="0" distR="0">
                  <wp:extent cx="5876290" cy="34099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F6BD0" w:rsidRPr="003C63AC" w:rsidRDefault="008F6BD0" w:rsidP="00D3658F">
            <w:pPr>
              <w:spacing w:before="60" w:after="60"/>
              <w:jc w:val="center"/>
              <w:rPr>
                <w:sz w:val="16"/>
                <w:szCs w:val="16"/>
              </w:rPr>
            </w:pPr>
          </w:p>
        </w:tc>
      </w:tr>
      <w:tr w:rsidR="008F6BD0" w:rsidRPr="003C63AC" w:rsidTr="00D3658F">
        <w:tc>
          <w:tcPr>
            <w:tcW w:w="9639" w:type="dxa"/>
            <w:vAlign w:val="center"/>
          </w:tcPr>
          <w:p w:rsidR="008F6BD0" w:rsidRPr="003C63AC" w:rsidRDefault="005D2331" w:rsidP="00D3658F">
            <w:pPr>
              <w:spacing w:before="60" w:after="60"/>
              <w:rPr>
                <w:i/>
              </w:rPr>
            </w:pPr>
            <w:r w:rsidRPr="003C63AC">
              <w:rPr>
                <w:i/>
                <w:sz w:val="20"/>
              </w:rPr>
              <w:t xml:space="preserve">Figure </w:t>
            </w:r>
            <w:r w:rsidR="00F005B2" w:rsidRPr="003C63AC">
              <w:rPr>
                <w:i/>
                <w:sz w:val="20"/>
              </w:rPr>
              <w:fldChar w:fldCharType="begin"/>
            </w:r>
            <w:r w:rsidRPr="003C63AC">
              <w:rPr>
                <w:i/>
                <w:sz w:val="20"/>
              </w:rPr>
              <w:instrText xml:space="preserve"> SEQ Figure \* ARABIC </w:instrText>
            </w:r>
            <w:r w:rsidR="00F005B2" w:rsidRPr="003C63AC">
              <w:rPr>
                <w:i/>
                <w:sz w:val="20"/>
              </w:rPr>
              <w:fldChar w:fldCharType="separate"/>
            </w:r>
            <w:r w:rsidR="00DE265F">
              <w:rPr>
                <w:i/>
                <w:noProof/>
                <w:sz w:val="20"/>
              </w:rPr>
              <w:t>14</w:t>
            </w:r>
            <w:r w:rsidR="00F005B2" w:rsidRPr="003C63AC">
              <w:rPr>
                <w:i/>
                <w:sz w:val="20"/>
              </w:rPr>
              <w:fldChar w:fldCharType="end"/>
            </w:r>
            <w:r w:rsidRPr="003C63AC">
              <w:rPr>
                <w:i/>
                <w:sz w:val="20"/>
              </w:rPr>
              <w:t xml:space="preserve">: </w:t>
            </w:r>
            <w:r w:rsidR="008F6BD0" w:rsidRPr="003C63AC">
              <w:rPr>
                <w:i/>
                <w:sz w:val="20"/>
              </w:rPr>
              <w:t>Consumption of MAC versus ELVs in CO</w:t>
            </w:r>
            <w:r w:rsidR="008F6BD0" w:rsidRPr="003C63AC">
              <w:rPr>
                <w:i/>
                <w:sz w:val="20"/>
                <w:vertAlign w:val="subscript"/>
              </w:rPr>
              <w:t>2</w:t>
            </w:r>
            <w:r w:rsidR="008F6BD0" w:rsidRPr="003C63AC">
              <w:rPr>
                <w:i/>
                <w:sz w:val="20"/>
              </w:rPr>
              <w:t>e in Australia from 2013 to 2025.</w:t>
            </w:r>
          </w:p>
        </w:tc>
      </w:tr>
    </w:tbl>
    <w:p w:rsidR="008F6BD0" w:rsidRPr="003C63AC" w:rsidRDefault="002D21FD" w:rsidP="00AD7504">
      <w:pPr>
        <w:pStyle w:val="ListParagraph"/>
        <w:numPr>
          <w:ilvl w:val="0"/>
          <w:numId w:val="14"/>
        </w:numPr>
        <w:spacing w:before="60" w:after="60" w:line="240" w:lineRule="auto"/>
        <w:ind w:left="357" w:hanging="357"/>
        <w:contextualSpacing w:val="0"/>
        <w:jc w:val="both"/>
        <w:rPr>
          <w:rFonts w:ascii="Times New Roman" w:hAnsi="Times New Roman"/>
          <w:sz w:val="20"/>
          <w:szCs w:val="20"/>
        </w:rPr>
      </w:pPr>
      <w:r w:rsidRPr="003C63AC">
        <w:rPr>
          <w:rFonts w:ascii="Times New Roman" w:hAnsi="Times New Roman"/>
          <w:sz w:val="20"/>
          <w:szCs w:val="20"/>
        </w:rPr>
        <w:t xml:space="preserve">The above graph illustrates </w:t>
      </w:r>
      <w:r w:rsidR="00AD7504" w:rsidRPr="003C63AC">
        <w:rPr>
          <w:rFonts w:ascii="Times New Roman" w:hAnsi="Times New Roman"/>
          <w:sz w:val="20"/>
          <w:szCs w:val="20"/>
        </w:rPr>
        <w:t xml:space="preserve">potential </w:t>
      </w:r>
      <w:r w:rsidRPr="003C63AC">
        <w:rPr>
          <w:rFonts w:ascii="Times New Roman" w:hAnsi="Times New Roman"/>
          <w:sz w:val="20"/>
          <w:szCs w:val="20"/>
        </w:rPr>
        <w:t>emissions from all ELVs and does not deduct 10</w:t>
      </w:r>
      <w:r w:rsidR="002C2993">
        <w:rPr>
          <w:rFonts w:ascii="Times New Roman" w:hAnsi="Times New Roman"/>
          <w:sz w:val="20"/>
          <w:szCs w:val="20"/>
        </w:rPr>
        <w:t xml:space="preserve"> per cent</w:t>
      </w:r>
      <w:r w:rsidRPr="003C63AC">
        <w:rPr>
          <w:rFonts w:ascii="Times New Roman" w:hAnsi="Times New Roman"/>
          <w:sz w:val="20"/>
          <w:szCs w:val="20"/>
        </w:rPr>
        <w:t xml:space="preserve"> to account for existing recovery levels</w:t>
      </w:r>
      <w:r w:rsidR="00AD7504" w:rsidRPr="003C63AC">
        <w:rPr>
          <w:rFonts w:ascii="Times New Roman" w:hAnsi="Times New Roman"/>
          <w:sz w:val="20"/>
          <w:szCs w:val="20"/>
        </w:rPr>
        <w:t xml:space="preserve"> as this could change with different measures into the future</w:t>
      </w:r>
      <w:r w:rsidRPr="003C63AC">
        <w:rPr>
          <w:rFonts w:ascii="Times New Roman" w:hAnsi="Times New Roman"/>
          <w:sz w:val="20"/>
          <w:szCs w:val="20"/>
        </w:rPr>
        <w:t xml:space="preserve">. </w:t>
      </w:r>
    </w:p>
    <w:p w:rsidR="00C92734" w:rsidRPr="003C63AC" w:rsidRDefault="00C92734">
      <w:pPr>
        <w:spacing w:before="0"/>
        <w:jc w:val="left"/>
      </w:pPr>
      <w:r w:rsidRPr="003C63AC">
        <w:br w:type="page"/>
      </w:r>
    </w:p>
    <w:p w:rsidR="00DD6EBE" w:rsidRPr="003C63AC" w:rsidRDefault="003B195F" w:rsidP="00766A86">
      <w:r w:rsidRPr="003C63AC">
        <w:t xml:space="preserve">The high GWP bank working </w:t>
      </w:r>
      <w:r w:rsidR="003E62ED" w:rsidRPr="003C63AC">
        <w:t xml:space="preserve">through the fleet </w:t>
      </w:r>
      <w:r w:rsidR="00AC6F38">
        <w:t xml:space="preserve">is </w:t>
      </w:r>
      <w:r w:rsidR="003E62ED" w:rsidRPr="003C63AC">
        <w:t>projected to remain in</w:t>
      </w:r>
      <w:r w:rsidRPr="003C63AC">
        <w:t xml:space="preserve"> ELVs </w:t>
      </w:r>
      <w:r w:rsidR="00AC6F38">
        <w:t xml:space="preserve">and </w:t>
      </w:r>
      <w:r w:rsidRPr="003C63AC">
        <w:t xml:space="preserve">is noticeable throughout the projection period even compared to total annual consumption for all RAC applications in Australia, which in GWP </w:t>
      </w:r>
      <w:r w:rsidR="00AC6F38" w:rsidRPr="003C63AC">
        <w:t>terms</w:t>
      </w:r>
      <w:r w:rsidRPr="003C63AC">
        <w:t xml:space="preserve"> will fall overall.</w:t>
      </w:r>
    </w:p>
    <w:p w:rsidR="003B195F" w:rsidRPr="003C63AC" w:rsidRDefault="003B195F" w:rsidP="00766A86"/>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39"/>
      </w:tblGrid>
      <w:tr w:rsidR="003B195F" w:rsidRPr="003C63AC" w:rsidTr="00D3658F">
        <w:tc>
          <w:tcPr>
            <w:tcW w:w="9639" w:type="dxa"/>
            <w:vAlign w:val="center"/>
          </w:tcPr>
          <w:p w:rsidR="003B195F" w:rsidRPr="003C63AC" w:rsidRDefault="003B195F" w:rsidP="00D3658F">
            <w:pPr>
              <w:spacing w:after="120"/>
              <w:jc w:val="center"/>
              <w:rPr>
                <w:b/>
              </w:rPr>
            </w:pPr>
            <w:r w:rsidRPr="003C63AC">
              <w:rPr>
                <w:b/>
              </w:rPr>
              <w:br w:type="page"/>
              <w:t>Total consumption in Australia versus ELVs in CO</w:t>
            </w:r>
            <w:r w:rsidRPr="003C63AC">
              <w:rPr>
                <w:b/>
                <w:vertAlign w:val="subscript"/>
              </w:rPr>
              <w:t>2</w:t>
            </w:r>
            <w:r w:rsidRPr="003C63AC">
              <w:rPr>
                <w:b/>
              </w:rPr>
              <w:t>e from 2013 to 2025</w:t>
            </w:r>
            <w:r w:rsidR="00AD7504" w:rsidRPr="003C63AC">
              <w:rPr>
                <w:b/>
              </w:rPr>
              <w:t xml:space="preserve"> </w:t>
            </w:r>
            <w:r w:rsidR="00AD7504" w:rsidRPr="003C63AC">
              <w:rPr>
                <w:b/>
                <w:vertAlign w:val="superscript"/>
              </w:rPr>
              <w:t>(1)</w:t>
            </w:r>
          </w:p>
        </w:tc>
      </w:tr>
      <w:tr w:rsidR="003B195F" w:rsidRPr="003C63AC" w:rsidTr="00D3658F">
        <w:tc>
          <w:tcPr>
            <w:tcW w:w="9639" w:type="dxa"/>
            <w:vAlign w:val="center"/>
          </w:tcPr>
          <w:p w:rsidR="003B195F" w:rsidRPr="003C63AC" w:rsidRDefault="003B195F" w:rsidP="00D3658F">
            <w:pPr>
              <w:spacing w:before="60" w:after="60"/>
              <w:jc w:val="center"/>
              <w:rPr>
                <w:sz w:val="16"/>
                <w:szCs w:val="16"/>
              </w:rPr>
            </w:pPr>
          </w:p>
          <w:p w:rsidR="003B195F" w:rsidRPr="003C63AC" w:rsidRDefault="003B195F" w:rsidP="00D3658F">
            <w:pPr>
              <w:spacing w:before="60" w:after="60"/>
              <w:jc w:val="center"/>
              <w:rPr>
                <w:sz w:val="16"/>
                <w:szCs w:val="16"/>
              </w:rPr>
            </w:pPr>
            <w:r w:rsidRPr="003C63AC">
              <w:rPr>
                <w:noProof/>
                <w:lang w:eastAsia="en-AU"/>
              </w:rPr>
              <w:drawing>
                <wp:inline distT="0" distB="0" distL="0" distR="0">
                  <wp:extent cx="5962015" cy="3069077"/>
                  <wp:effectExtent l="0" t="0" r="6985" b="444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B195F" w:rsidRPr="003C63AC" w:rsidRDefault="003B195F" w:rsidP="00D3658F">
            <w:pPr>
              <w:spacing w:before="60" w:after="60"/>
              <w:jc w:val="center"/>
              <w:rPr>
                <w:sz w:val="16"/>
                <w:szCs w:val="16"/>
              </w:rPr>
            </w:pPr>
          </w:p>
        </w:tc>
      </w:tr>
      <w:tr w:rsidR="003B195F" w:rsidRPr="003C63AC" w:rsidTr="00D3658F">
        <w:tc>
          <w:tcPr>
            <w:tcW w:w="9639" w:type="dxa"/>
            <w:vAlign w:val="center"/>
          </w:tcPr>
          <w:p w:rsidR="003B195F" w:rsidRPr="003C63AC" w:rsidRDefault="005D2331" w:rsidP="00D3658F">
            <w:pPr>
              <w:spacing w:before="60" w:after="60"/>
              <w:rPr>
                <w:i/>
              </w:rPr>
            </w:pPr>
            <w:r w:rsidRPr="003C63AC">
              <w:rPr>
                <w:i/>
                <w:sz w:val="20"/>
              </w:rPr>
              <w:t xml:space="preserve">Figure </w:t>
            </w:r>
            <w:r w:rsidR="00F005B2" w:rsidRPr="003C63AC">
              <w:rPr>
                <w:i/>
                <w:sz w:val="20"/>
              </w:rPr>
              <w:fldChar w:fldCharType="begin"/>
            </w:r>
            <w:r w:rsidRPr="003C63AC">
              <w:rPr>
                <w:i/>
                <w:sz w:val="20"/>
              </w:rPr>
              <w:instrText xml:space="preserve"> SEQ Figure \* ARABIC </w:instrText>
            </w:r>
            <w:r w:rsidR="00F005B2" w:rsidRPr="003C63AC">
              <w:rPr>
                <w:i/>
                <w:sz w:val="20"/>
              </w:rPr>
              <w:fldChar w:fldCharType="separate"/>
            </w:r>
            <w:r w:rsidR="00DE265F">
              <w:rPr>
                <w:i/>
                <w:noProof/>
                <w:sz w:val="20"/>
              </w:rPr>
              <w:t>15</w:t>
            </w:r>
            <w:r w:rsidR="00F005B2" w:rsidRPr="003C63AC">
              <w:rPr>
                <w:i/>
                <w:sz w:val="20"/>
              </w:rPr>
              <w:fldChar w:fldCharType="end"/>
            </w:r>
            <w:r w:rsidRPr="003C63AC">
              <w:rPr>
                <w:i/>
                <w:sz w:val="20"/>
              </w:rPr>
              <w:t xml:space="preserve">: </w:t>
            </w:r>
            <w:r w:rsidR="003B195F" w:rsidRPr="003C63AC">
              <w:rPr>
                <w:i/>
                <w:sz w:val="20"/>
              </w:rPr>
              <w:t>Total consumption of all applications versus ELVs in CO</w:t>
            </w:r>
            <w:r w:rsidR="003B195F" w:rsidRPr="003C63AC">
              <w:rPr>
                <w:i/>
                <w:sz w:val="20"/>
                <w:vertAlign w:val="subscript"/>
              </w:rPr>
              <w:t>2</w:t>
            </w:r>
            <w:r w:rsidR="003B195F" w:rsidRPr="003C63AC">
              <w:rPr>
                <w:i/>
                <w:sz w:val="20"/>
              </w:rPr>
              <w:t>e in Australia from 2013 to 2025.</w:t>
            </w:r>
          </w:p>
        </w:tc>
      </w:tr>
    </w:tbl>
    <w:p w:rsidR="00AD7504" w:rsidRPr="003C63AC" w:rsidRDefault="00AD7504" w:rsidP="00AD7504">
      <w:pPr>
        <w:pStyle w:val="ListParagraph"/>
        <w:numPr>
          <w:ilvl w:val="0"/>
          <w:numId w:val="15"/>
        </w:numPr>
        <w:spacing w:before="60" w:after="60" w:line="240" w:lineRule="auto"/>
        <w:contextualSpacing w:val="0"/>
        <w:jc w:val="both"/>
        <w:rPr>
          <w:rFonts w:ascii="Times New Roman" w:hAnsi="Times New Roman"/>
          <w:sz w:val="20"/>
          <w:szCs w:val="20"/>
        </w:rPr>
      </w:pPr>
      <w:r w:rsidRPr="003C63AC">
        <w:rPr>
          <w:rFonts w:ascii="Times New Roman" w:hAnsi="Times New Roman"/>
          <w:sz w:val="20"/>
          <w:szCs w:val="20"/>
        </w:rPr>
        <w:t>The above graph illustrates the potential emissions from all ELVs and does not deduct 10</w:t>
      </w:r>
      <w:r w:rsidR="004D498D">
        <w:rPr>
          <w:rFonts w:ascii="Times New Roman" w:hAnsi="Times New Roman"/>
          <w:sz w:val="20"/>
          <w:szCs w:val="20"/>
        </w:rPr>
        <w:t xml:space="preserve"> per cent</w:t>
      </w:r>
      <w:r w:rsidR="004D498D" w:rsidRPr="003C63AC">
        <w:rPr>
          <w:rFonts w:ascii="Times New Roman" w:hAnsi="Times New Roman"/>
          <w:sz w:val="20"/>
          <w:szCs w:val="20"/>
        </w:rPr>
        <w:t xml:space="preserve"> </w:t>
      </w:r>
      <w:r w:rsidRPr="003C63AC">
        <w:rPr>
          <w:rFonts w:ascii="Times New Roman" w:hAnsi="Times New Roman"/>
          <w:sz w:val="20"/>
          <w:szCs w:val="20"/>
        </w:rPr>
        <w:t xml:space="preserve">to account for existing recovery levels as this could change with different measures into the future. </w:t>
      </w:r>
    </w:p>
    <w:p w:rsidR="003B195F" w:rsidRPr="003C63AC" w:rsidRDefault="003B195F" w:rsidP="00766A86"/>
    <w:p w:rsidR="00C92734" w:rsidRPr="003C63AC" w:rsidRDefault="00C92734">
      <w:pPr>
        <w:spacing w:before="0"/>
        <w:jc w:val="left"/>
      </w:pPr>
      <w:r w:rsidRPr="003C63AC">
        <w:br w:type="page"/>
      </w:r>
    </w:p>
    <w:p w:rsidR="00E92971" w:rsidRPr="003C63AC" w:rsidRDefault="00575583" w:rsidP="00766A86">
      <w:r w:rsidRPr="003C63AC">
        <w:t xml:space="preserve">The total </w:t>
      </w:r>
      <w:r w:rsidR="00AD7504" w:rsidRPr="003C63AC">
        <w:t xml:space="preserve">potential </w:t>
      </w:r>
      <w:r w:rsidRPr="003C63AC">
        <w:t xml:space="preserve">cumulative </w:t>
      </w:r>
      <w:r w:rsidR="00B71694" w:rsidRPr="003C63AC">
        <w:t>releases to air of residual refrigerant from ELVs in the projection period are</w:t>
      </w:r>
      <w:r w:rsidRPr="003C63AC">
        <w:t xml:space="preserve"> estimated to be </w:t>
      </w:r>
      <w:r w:rsidR="006C5C27" w:rsidRPr="003C63AC">
        <w:t>more than 3,050 tonnes of high GWP refrigerant</w:t>
      </w:r>
      <w:r w:rsidRPr="003C63AC">
        <w:t>.</w:t>
      </w:r>
    </w:p>
    <w:p w:rsidR="00E92971" w:rsidRPr="003C63AC" w:rsidRDefault="00575583" w:rsidP="00766A86">
      <w:r w:rsidRPr="003C63AC">
        <w:t>In CO</w:t>
      </w:r>
      <w:r w:rsidRPr="003C63AC">
        <w:rPr>
          <w:vertAlign w:val="subscript"/>
        </w:rPr>
        <w:t>2</w:t>
      </w:r>
      <w:r w:rsidRPr="003C63AC">
        <w:t>e terms</w:t>
      </w:r>
      <w:r w:rsidR="006A47C5">
        <w:t>,</w:t>
      </w:r>
      <w:r w:rsidRPr="003C63AC">
        <w:t xml:space="preserve"> direct emissions of residual refrigerant from ELVs in the projection period is expected to total more than </w:t>
      </w:r>
      <w:r w:rsidR="006C5C27" w:rsidRPr="003C63AC">
        <w:t>4.88</w:t>
      </w:r>
      <w:r w:rsidR="00AD7504" w:rsidRPr="003C63AC">
        <w:t xml:space="preserve"> </w:t>
      </w:r>
      <w:r w:rsidRPr="003C63AC">
        <w:t xml:space="preserve">Mt </w:t>
      </w:r>
      <w:r w:rsidR="00FF5599">
        <w:t>(</w:t>
      </w:r>
      <w:r w:rsidR="00C90B30">
        <w:t>22</w:t>
      </w:r>
      <w:r w:rsidR="00FF5599">
        <w:t>%</w:t>
      </w:r>
      <w:r w:rsidR="00FF5599" w:rsidRPr="006C57BE">
        <w:rPr>
          <w:vertAlign w:val="superscript"/>
        </w:rPr>
        <w:t>ODS</w:t>
      </w:r>
      <w:r w:rsidR="00FF5599">
        <w:t xml:space="preserve"> and </w:t>
      </w:r>
      <w:r w:rsidR="00C90B30">
        <w:t>78</w:t>
      </w:r>
      <w:r w:rsidR="006C57BE">
        <w:t>%</w:t>
      </w:r>
      <w:r w:rsidR="00FF5599" w:rsidRPr="006C57BE">
        <w:rPr>
          <w:vertAlign w:val="superscript"/>
        </w:rPr>
        <w:t>SGG</w:t>
      </w:r>
      <w:r w:rsidR="00FF5599">
        <w:t xml:space="preserve">) </w:t>
      </w:r>
      <w:r w:rsidR="00675DE7" w:rsidRPr="003C63AC">
        <w:t xml:space="preserve">just over half of </w:t>
      </w:r>
      <w:r w:rsidRPr="003C63AC">
        <w:t>a full years consumption of refrigerant gas in all applications in 201</w:t>
      </w:r>
      <w:r w:rsidR="0052172C" w:rsidRPr="003C63AC">
        <w:t>3</w:t>
      </w:r>
      <w:r w:rsidRPr="003C63AC">
        <w:t>.</w:t>
      </w:r>
    </w:p>
    <w:p w:rsidR="00E92971" w:rsidRPr="003C63AC" w:rsidRDefault="00E92971" w:rsidP="00766A86"/>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39"/>
      </w:tblGrid>
      <w:tr w:rsidR="00E92971" w:rsidRPr="003C63AC" w:rsidTr="00D3658F">
        <w:tc>
          <w:tcPr>
            <w:tcW w:w="9639" w:type="dxa"/>
            <w:vAlign w:val="center"/>
          </w:tcPr>
          <w:p w:rsidR="00E92971" w:rsidRPr="003C63AC" w:rsidRDefault="00E92971" w:rsidP="00D3658F">
            <w:pPr>
              <w:spacing w:after="120"/>
              <w:jc w:val="center"/>
              <w:rPr>
                <w:b/>
              </w:rPr>
            </w:pPr>
            <w:r w:rsidRPr="003C63AC">
              <w:rPr>
                <w:b/>
              </w:rPr>
              <w:br w:type="page"/>
              <w:t>Cumulative emissions from ELVs in CO</w:t>
            </w:r>
            <w:r w:rsidRPr="003C63AC">
              <w:rPr>
                <w:b/>
                <w:vertAlign w:val="subscript"/>
              </w:rPr>
              <w:t>2</w:t>
            </w:r>
            <w:r w:rsidRPr="003C63AC">
              <w:rPr>
                <w:b/>
              </w:rPr>
              <w:t>e from 2013 to 2025</w:t>
            </w:r>
          </w:p>
        </w:tc>
      </w:tr>
      <w:tr w:rsidR="00E92971" w:rsidRPr="003C63AC" w:rsidTr="00D3658F">
        <w:tc>
          <w:tcPr>
            <w:tcW w:w="9639" w:type="dxa"/>
            <w:vAlign w:val="center"/>
          </w:tcPr>
          <w:p w:rsidR="00E92971" w:rsidRPr="003C63AC" w:rsidRDefault="00E92971" w:rsidP="00D3658F">
            <w:pPr>
              <w:spacing w:before="60" w:after="60"/>
              <w:jc w:val="center"/>
              <w:rPr>
                <w:sz w:val="16"/>
                <w:szCs w:val="16"/>
              </w:rPr>
            </w:pPr>
          </w:p>
          <w:p w:rsidR="00E92971" w:rsidRPr="003C63AC" w:rsidRDefault="006C5C27" w:rsidP="00D3658F">
            <w:pPr>
              <w:spacing w:before="60" w:after="60"/>
              <w:jc w:val="center"/>
              <w:rPr>
                <w:sz w:val="16"/>
                <w:szCs w:val="16"/>
              </w:rPr>
            </w:pPr>
            <w:r w:rsidRPr="003C63AC">
              <w:rPr>
                <w:noProof/>
                <w:lang w:eastAsia="en-AU"/>
              </w:rPr>
              <w:drawing>
                <wp:inline distT="0" distB="0" distL="0" distR="0">
                  <wp:extent cx="5850890" cy="2555875"/>
                  <wp:effectExtent l="0" t="0" r="0" b="952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92971" w:rsidRPr="003C63AC" w:rsidRDefault="00E92971" w:rsidP="00D3658F">
            <w:pPr>
              <w:spacing w:before="60" w:after="60"/>
              <w:jc w:val="center"/>
              <w:rPr>
                <w:sz w:val="16"/>
                <w:szCs w:val="16"/>
              </w:rPr>
            </w:pPr>
          </w:p>
        </w:tc>
      </w:tr>
      <w:tr w:rsidR="00E92971" w:rsidRPr="003C63AC" w:rsidTr="00D3658F">
        <w:tc>
          <w:tcPr>
            <w:tcW w:w="9639" w:type="dxa"/>
            <w:vAlign w:val="center"/>
          </w:tcPr>
          <w:p w:rsidR="00E92971" w:rsidRPr="003C63AC" w:rsidRDefault="005D2331" w:rsidP="00D3658F">
            <w:pPr>
              <w:spacing w:before="60" w:after="60"/>
              <w:rPr>
                <w:i/>
              </w:rPr>
            </w:pPr>
            <w:r w:rsidRPr="003C63AC">
              <w:rPr>
                <w:i/>
                <w:sz w:val="20"/>
              </w:rPr>
              <w:t xml:space="preserve">Figure </w:t>
            </w:r>
            <w:r w:rsidR="00F005B2" w:rsidRPr="003C63AC">
              <w:rPr>
                <w:i/>
                <w:sz w:val="20"/>
              </w:rPr>
              <w:fldChar w:fldCharType="begin"/>
            </w:r>
            <w:r w:rsidRPr="003C63AC">
              <w:rPr>
                <w:i/>
                <w:sz w:val="20"/>
              </w:rPr>
              <w:instrText xml:space="preserve"> SEQ Figure \* ARABIC </w:instrText>
            </w:r>
            <w:r w:rsidR="00F005B2" w:rsidRPr="003C63AC">
              <w:rPr>
                <w:i/>
                <w:sz w:val="20"/>
              </w:rPr>
              <w:fldChar w:fldCharType="separate"/>
            </w:r>
            <w:r w:rsidR="00DE265F">
              <w:rPr>
                <w:i/>
                <w:noProof/>
                <w:sz w:val="20"/>
              </w:rPr>
              <w:t>16</w:t>
            </w:r>
            <w:r w:rsidR="00F005B2" w:rsidRPr="003C63AC">
              <w:rPr>
                <w:i/>
                <w:sz w:val="20"/>
              </w:rPr>
              <w:fldChar w:fldCharType="end"/>
            </w:r>
            <w:r w:rsidRPr="003C63AC">
              <w:rPr>
                <w:i/>
                <w:sz w:val="20"/>
              </w:rPr>
              <w:t xml:space="preserve">: </w:t>
            </w:r>
            <w:r w:rsidR="00E92971" w:rsidRPr="003C63AC">
              <w:rPr>
                <w:i/>
                <w:sz w:val="20"/>
              </w:rPr>
              <w:t xml:space="preserve">Cumulative </w:t>
            </w:r>
            <w:r w:rsidR="006C5C27" w:rsidRPr="003C63AC">
              <w:rPr>
                <w:i/>
                <w:sz w:val="20"/>
              </w:rPr>
              <w:t xml:space="preserve">potential </w:t>
            </w:r>
            <w:r w:rsidR="00E92971" w:rsidRPr="003C63AC">
              <w:rPr>
                <w:i/>
                <w:sz w:val="20"/>
              </w:rPr>
              <w:t>emissions from ELVs in CO</w:t>
            </w:r>
            <w:r w:rsidR="00E92971" w:rsidRPr="003C63AC">
              <w:rPr>
                <w:i/>
                <w:sz w:val="20"/>
                <w:vertAlign w:val="subscript"/>
              </w:rPr>
              <w:t>2</w:t>
            </w:r>
            <w:r w:rsidR="00E92971" w:rsidRPr="003C63AC">
              <w:rPr>
                <w:i/>
                <w:sz w:val="20"/>
              </w:rPr>
              <w:t>e in Australia from 2013 to 2025.</w:t>
            </w:r>
          </w:p>
        </w:tc>
      </w:tr>
    </w:tbl>
    <w:p w:rsidR="005D2331" w:rsidRPr="003C63AC" w:rsidRDefault="005D2331">
      <w:pPr>
        <w:spacing w:before="0"/>
        <w:jc w:val="left"/>
      </w:pPr>
    </w:p>
    <w:p w:rsidR="005D2331" w:rsidRPr="003C63AC" w:rsidRDefault="005D2331">
      <w:pPr>
        <w:spacing w:before="0"/>
        <w:jc w:val="left"/>
        <w:rPr>
          <w:rFonts w:ascii="Calibri" w:eastAsia="Times New Roman" w:hAnsi="Calibri" w:cs="Times New Roman"/>
          <w:b/>
          <w:bCs/>
          <w:kern w:val="32"/>
          <w:sz w:val="32"/>
          <w:szCs w:val="32"/>
        </w:rPr>
      </w:pPr>
      <w:r w:rsidRPr="003C63AC">
        <w:br w:type="page"/>
      </w:r>
    </w:p>
    <w:p w:rsidR="003560B5" w:rsidRPr="003C63AC" w:rsidRDefault="003560B5" w:rsidP="002A5F86">
      <w:pPr>
        <w:pStyle w:val="Heading1"/>
        <w:ind w:left="432"/>
        <w:rPr>
          <w:lang w:val="en-AU"/>
        </w:rPr>
      </w:pPr>
      <w:bookmarkStart w:id="31" w:name="_Toc430778989"/>
      <w:r w:rsidRPr="003C63AC">
        <w:rPr>
          <w:lang w:val="en-AU"/>
        </w:rPr>
        <w:t>Conclusions</w:t>
      </w:r>
      <w:bookmarkEnd w:id="31"/>
    </w:p>
    <w:p w:rsidR="00D132A3" w:rsidRPr="003C63AC" w:rsidRDefault="00D132A3" w:rsidP="00D132A3">
      <w:r w:rsidRPr="003C63AC">
        <w:t xml:space="preserve">The approximately $2 billion a year auto-parts recycling industry manages most of the consumer waste stream of </w:t>
      </w:r>
      <w:r w:rsidR="00424526">
        <w:t>ELVs</w:t>
      </w:r>
      <w:r w:rsidR="006A47C5">
        <w:t xml:space="preserve"> </w:t>
      </w:r>
      <w:r w:rsidRPr="003C63AC">
        <w:t>in Australia and the recovery of valuable materials from the Australian ELV population. Most of the materials are recovered and some of the auto-parts and some of the vehicles themselves are exported from Australia.</w:t>
      </w:r>
    </w:p>
    <w:p w:rsidR="00D132A3" w:rsidRPr="003C63AC" w:rsidRDefault="00D132A3" w:rsidP="00D132A3">
      <w:r w:rsidRPr="003C63AC">
        <w:t>This study estimates that a majority of residual refrigerants in ELVs (90 per cent) are emitted to air in Australia in the course of the dismantling and recovery of the valuable spare parts and recyclable materials contained in the population of ELVs.</w:t>
      </w:r>
    </w:p>
    <w:p w:rsidR="00D132A3" w:rsidRPr="003C63AC" w:rsidRDefault="00BF1624" w:rsidP="00D132A3">
      <w:r>
        <w:t>As t</w:t>
      </w:r>
      <w:r w:rsidR="00D132A3" w:rsidRPr="003C63AC">
        <w:t>he value of the recovered gas is so small compared to the value of the other materials in an ELV, and the cost of properly extracting the gas and reusing it or returning it for destruction is relatively high for the majority of participants in the auto-parts recycling industry, there is no economic incentive to recover refrigerant gas</w:t>
      </w:r>
      <w:r w:rsidR="003C63AC">
        <w:t>.</w:t>
      </w:r>
    </w:p>
    <w:p w:rsidR="00D132A3" w:rsidRPr="003C63AC" w:rsidRDefault="00D132A3" w:rsidP="00D132A3">
      <w:r w:rsidRPr="003C63AC">
        <w:t>Most participants are aware of the requirement to recover gas, however</w:t>
      </w:r>
      <w:r w:rsidR="006A47C5">
        <w:t>,</w:t>
      </w:r>
      <w:r w:rsidRPr="003C63AC">
        <w:t xml:space="preserve"> they also </w:t>
      </w:r>
      <w:r w:rsidR="00BF1624">
        <w:t>consider</w:t>
      </w:r>
      <w:r w:rsidRPr="003C63AC">
        <w:t xml:space="preserve"> that they face very little risk of any sanction or penalty for not complying with the requirement.</w:t>
      </w:r>
    </w:p>
    <w:p w:rsidR="00D132A3" w:rsidRPr="003C63AC" w:rsidRDefault="00D132A3" w:rsidP="00D132A3">
      <w:r w:rsidRPr="003C63AC">
        <w:t>Alongside the many other non-compliant, ‘informal’, unregulated, and in some cases criminal aspects of the auto-parts recycling industry, the issue of refrigerant gas emissions is near to irrelevant for the majority of participants on a day-to-day basis.</w:t>
      </w:r>
    </w:p>
    <w:p w:rsidR="00D132A3" w:rsidRPr="003C63AC" w:rsidRDefault="00D132A3" w:rsidP="00D132A3">
      <w:r w:rsidRPr="003C63AC">
        <w:t>A small portion of the industry, who process as much as 10</w:t>
      </w:r>
      <w:r w:rsidR="004D498D">
        <w:t xml:space="preserve"> per cent</w:t>
      </w:r>
      <w:r w:rsidRPr="003C63AC">
        <w:t xml:space="preserve"> of the ELV</w:t>
      </w:r>
      <w:r w:rsidR="006A47C5">
        <w:t xml:space="preserve"> population</w:t>
      </w:r>
      <w:r w:rsidRPr="003C63AC">
        <w:t xml:space="preserve"> per annum, are very good operators who work hard to both comply and record their efforts. These participants see themselves as doing an environmental good, although they </w:t>
      </w:r>
      <w:r w:rsidR="003B09F9">
        <w:t>also consider</w:t>
      </w:r>
      <w:r w:rsidRPr="003C63AC">
        <w:t xml:space="preserve"> that they are doing so at their own cost, and that to do so puts them at a competitive disadvantage with regard to the rest of the industry.</w:t>
      </w:r>
    </w:p>
    <w:p w:rsidR="00D132A3" w:rsidRPr="003C63AC" w:rsidRDefault="00D132A3" w:rsidP="00D132A3">
      <w:r w:rsidRPr="003C63AC">
        <w:t xml:space="preserve">Nearly all of the gas recovered from ELVs is sent for destruction. A small percentage of recovered gas is resold or reused. Given the specialised equipment required, the cost of recovery, and the value of the end product, it is unlikely that there is any material quantity being recovered from ELVs illegally and resold or reused. The value of the copper in the condensers is worth more than the gas in the condensers. The removal of the </w:t>
      </w:r>
      <w:r w:rsidR="00EF3631">
        <w:t>ECP</w:t>
      </w:r>
      <w:r w:rsidRPr="003C63AC">
        <w:t xml:space="preserve"> may reduce resales marginally from a very small base, and if anything would further reduce any incentive for illegal degassing.</w:t>
      </w:r>
    </w:p>
    <w:p w:rsidR="00D132A3" w:rsidRPr="003C63AC" w:rsidRDefault="00D132A3" w:rsidP="00D132A3">
      <w:r w:rsidRPr="003C63AC">
        <w:t xml:space="preserve">A small and still uncertain volume of direct emissions is the result of vehicles being crushed and shredded without having been degassed. </w:t>
      </w:r>
      <w:r w:rsidR="00C9469B" w:rsidRPr="003C63AC">
        <w:t>Large metal recyclers are aware of the requirements</w:t>
      </w:r>
      <w:r w:rsidR="00156F90">
        <w:t>,</w:t>
      </w:r>
      <w:r w:rsidR="003F0A19">
        <w:t xml:space="preserve"> but</w:t>
      </w:r>
      <w:r w:rsidR="007153F9">
        <w:t xml:space="preserve"> claim that they simply never crush cars with refrigerant gas in them, and </w:t>
      </w:r>
      <w:r w:rsidR="00C9469B" w:rsidRPr="003C63AC">
        <w:t>appear to have business structures in place that places any responsibility for handling refrigerants at arms</w:t>
      </w:r>
      <w:r w:rsidR="00156F90">
        <w:t>-</w:t>
      </w:r>
      <w:r w:rsidR="00C9469B" w:rsidRPr="003C63AC">
        <w:t xml:space="preserve">length and insulates them from the responsibility to investigate if </w:t>
      </w:r>
      <w:r w:rsidR="00C9469B">
        <w:t xml:space="preserve">they </w:t>
      </w:r>
      <w:r w:rsidR="00C9469B" w:rsidRPr="003C63AC">
        <w:t xml:space="preserve">receive vehicles </w:t>
      </w:r>
      <w:r w:rsidR="009E724A">
        <w:t xml:space="preserve">that </w:t>
      </w:r>
      <w:r w:rsidR="00C9469B" w:rsidRPr="003C63AC">
        <w:t>contain refrigerant gas.</w:t>
      </w:r>
    </w:p>
    <w:p w:rsidR="00D132A3" w:rsidRDefault="00D132A3" w:rsidP="00D132A3">
      <w:r w:rsidRPr="003C63AC">
        <w:t>Similarly, insurance companies, that handled approximately 15</w:t>
      </w:r>
      <w:r w:rsidR="004D498D">
        <w:t xml:space="preserve"> per cent </w:t>
      </w:r>
      <w:r w:rsidRPr="003C63AC">
        <w:t xml:space="preserve">of ELVs in 2013, appear to </w:t>
      </w:r>
      <w:r w:rsidR="008C70C7">
        <w:t xml:space="preserve">pay little heed to </w:t>
      </w:r>
      <w:r w:rsidRPr="003C63AC">
        <w:t>the presence</w:t>
      </w:r>
      <w:r w:rsidR="008C70C7">
        <w:t>, or not,</w:t>
      </w:r>
      <w:r w:rsidRPr="003C63AC">
        <w:t xml:space="preserve"> of refrigerant gas in the cars they control during the process of assessing a</w:t>
      </w:r>
      <w:r w:rsidR="008C70C7">
        <w:t>nd writing insured vehicles off</w:t>
      </w:r>
      <w:r w:rsidRPr="003C63AC">
        <w:t xml:space="preserve">. </w:t>
      </w:r>
      <w:r w:rsidR="007153F9">
        <w:t>Other industry participants pointed out that b</w:t>
      </w:r>
      <w:r w:rsidRPr="003C63AC">
        <w:t>y leaving any refrigerant gas in place in an ELV</w:t>
      </w:r>
      <w:r w:rsidR="00144D26">
        <w:t>,</w:t>
      </w:r>
      <w:r w:rsidRPr="003C63AC">
        <w:t xml:space="preserve"> insurance companies </w:t>
      </w:r>
      <w:r w:rsidR="007153F9">
        <w:t xml:space="preserve">both </w:t>
      </w:r>
      <w:r w:rsidRPr="003C63AC">
        <w:t>avoid the additional cost of removal, as well as potentially achieving a marginally higher return at auction or sale if the MAC is shown to be working.</w:t>
      </w:r>
      <w:r w:rsidR="007153F9">
        <w:t xml:space="preserve"> Whether insurance companies and their auction agents, are even aware of, or consider the issue of residual refrigerant as being in anyway their concern is uncertain.</w:t>
      </w:r>
    </w:p>
    <w:p w:rsidR="007153F9" w:rsidRPr="003C63AC" w:rsidRDefault="007153F9" w:rsidP="00D132A3">
      <w:r>
        <w:t>A better understanding of any real opportunity to improve the management of residual refrigerants in ELVs by major metal recyclers, insurers and possibly auction houses, could be developed by developing professional and open relationships with the main players in these sectors and working with them to understand the obstacles and opportunities while ELVs are in their hands.</w:t>
      </w:r>
    </w:p>
    <w:p w:rsidR="00D132A3" w:rsidRPr="003C63AC" w:rsidRDefault="00623B36" w:rsidP="00D132A3">
      <w:r>
        <w:t>Many participants in t</w:t>
      </w:r>
      <w:r w:rsidR="00D132A3" w:rsidRPr="003C63AC">
        <w:t xml:space="preserve">he RAC </w:t>
      </w:r>
      <w:r>
        <w:t xml:space="preserve">industry and </w:t>
      </w:r>
      <w:r w:rsidR="00D132A3" w:rsidRPr="003C63AC">
        <w:t xml:space="preserve">workforce </w:t>
      </w:r>
      <w:r>
        <w:t xml:space="preserve">appear to be </w:t>
      </w:r>
      <w:r w:rsidR="00D132A3" w:rsidRPr="003C63AC">
        <w:t xml:space="preserve">aware of the fate of </w:t>
      </w:r>
      <w:r>
        <w:t>residual refrigerant gas in ELVs</w:t>
      </w:r>
      <w:r w:rsidR="0056409C">
        <w:t xml:space="preserve">, specifically, that it is </w:t>
      </w:r>
      <w:r w:rsidR="00144D26">
        <w:t>largely emitted</w:t>
      </w:r>
      <w:r w:rsidR="00D132A3" w:rsidRPr="003C63AC">
        <w:t>.</w:t>
      </w:r>
      <w:r w:rsidR="003B09F9">
        <w:t xml:space="preserve"> </w:t>
      </w:r>
      <w:r w:rsidR="00D132A3" w:rsidRPr="003C63AC">
        <w:t>The effect</w:t>
      </w:r>
      <w:r w:rsidR="00144D26">
        <w:t xml:space="preserve"> </w:t>
      </w:r>
      <w:r w:rsidR="0056409C">
        <w:t xml:space="preserve">this has on the </w:t>
      </w:r>
      <w:r w:rsidR="00D132A3" w:rsidRPr="003C63AC">
        <w:t xml:space="preserve">RAC industry, and the impact </w:t>
      </w:r>
      <w:r w:rsidR="0056409C">
        <w:t>it</w:t>
      </w:r>
      <w:r w:rsidR="00D132A3" w:rsidRPr="003C63AC">
        <w:t xml:space="preserve"> has on the credibility and value of the refrigerant handling licensing systems in Australia should not be underestimated.</w:t>
      </w:r>
    </w:p>
    <w:p w:rsidR="00D132A3" w:rsidRPr="003C63AC" w:rsidRDefault="008C3707" w:rsidP="00D132A3">
      <w:r>
        <w:t>However, u</w:t>
      </w:r>
      <w:r w:rsidR="00D132A3" w:rsidRPr="003C63AC">
        <w:t>ltimately</w:t>
      </w:r>
      <w:r>
        <w:t xml:space="preserve">, </w:t>
      </w:r>
      <w:r w:rsidR="00D132A3" w:rsidRPr="003C63AC">
        <w:t xml:space="preserve">the fate of the hundreds of tonnes of remnant refrigerant in ELVs every year in Australia is tied to a much larger economic dynamic of the automotive industry and the management of the millions of tonnes of wastes and valuable commodities that </w:t>
      </w:r>
      <w:r>
        <w:t xml:space="preserve">result when </w:t>
      </w:r>
      <w:r w:rsidR="00D132A3" w:rsidRPr="003C63AC">
        <w:t xml:space="preserve">ELVs are processed. </w:t>
      </w:r>
    </w:p>
    <w:p w:rsidR="00970385" w:rsidRPr="003C63AC" w:rsidRDefault="00D132A3" w:rsidP="00E7007E">
      <w:pPr>
        <w:rPr>
          <w:rFonts w:ascii="Calibri" w:eastAsia="Times New Roman" w:hAnsi="Calibri" w:cs="Times New Roman"/>
          <w:b/>
          <w:bCs/>
          <w:kern w:val="32"/>
          <w:sz w:val="32"/>
          <w:szCs w:val="32"/>
        </w:rPr>
      </w:pPr>
      <w:r w:rsidRPr="003C63AC">
        <w:t>Encouraging initiatives by industry leaders in the auto</w:t>
      </w:r>
      <w:r w:rsidR="00E7007E" w:rsidRPr="003C63AC">
        <w:t>-</w:t>
      </w:r>
      <w:r w:rsidRPr="003C63AC">
        <w:t xml:space="preserve">parts recycling industry are unlikely on their own to have a great effect on the volumes of gas recovered. Effective management of the majority of the remnant refrigerant pool in ELVs may need something as </w:t>
      </w:r>
      <w:r w:rsidR="003C63AC" w:rsidRPr="003C63AC">
        <w:t>far-reaching</w:t>
      </w:r>
      <w:r w:rsidRPr="003C63AC">
        <w:t xml:space="preserve"> and ambitious as an automobile product stewardship program to be introduced into Australia.</w:t>
      </w:r>
      <w:r w:rsidR="00970385" w:rsidRPr="003C63AC">
        <w:br w:type="page"/>
      </w:r>
    </w:p>
    <w:p w:rsidR="006D0ACC" w:rsidRPr="003C63AC" w:rsidRDefault="006D0ACC" w:rsidP="006D0ACC">
      <w:pPr>
        <w:pStyle w:val="Heading1"/>
        <w:ind w:left="432"/>
        <w:rPr>
          <w:lang w:val="en-AU"/>
        </w:rPr>
      </w:pPr>
      <w:bookmarkStart w:id="32" w:name="_Toc430778990"/>
      <w:r w:rsidRPr="003C63AC">
        <w:rPr>
          <w:lang w:val="en-AU"/>
        </w:rPr>
        <w:t>References</w:t>
      </w:r>
      <w:bookmarkEnd w:id="3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7796"/>
      </w:tblGrid>
      <w:tr w:rsidR="00DE64AD" w:rsidRPr="003C63AC" w:rsidTr="00970385">
        <w:trPr>
          <w:trHeight w:val="342"/>
        </w:trPr>
        <w:tc>
          <w:tcPr>
            <w:tcW w:w="1843" w:type="dxa"/>
          </w:tcPr>
          <w:p w:rsidR="00DE64AD" w:rsidRPr="003C63AC" w:rsidRDefault="00DE64AD"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APRAA 1999</w:t>
            </w:r>
          </w:p>
        </w:tc>
        <w:tc>
          <w:tcPr>
            <w:tcW w:w="7796" w:type="dxa"/>
          </w:tcPr>
          <w:p w:rsidR="00DE64AD" w:rsidRPr="003C63AC" w:rsidRDefault="00DE64AD" w:rsidP="00DE64AD">
            <w:pPr>
              <w:pStyle w:val="BodyText"/>
              <w:spacing w:before="60" w:after="60"/>
              <w:jc w:val="left"/>
              <w:rPr>
                <w:rFonts w:ascii="Times New Roman" w:hAnsi="Times New Roman"/>
                <w:sz w:val="20"/>
                <w:szCs w:val="20"/>
              </w:rPr>
            </w:pPr>
            <w:r w:rsidRPr="003C63AC">
              <w:rPr>
                <w:rFonts w:ascii="Times New Roman" w:hAnsi="Times New Roman"/>
                <w:sz w:val="20"/>
                <w:szCs w:val="20"/>
              </w:rPr>
              <w:t>Auto Parts Recycling - A Guide to the Future, prepared by the Auto Parts Recycling Association of Australia in conjunction with Greenfleet and Holden. The booklet outlines the guidelines to material recycling for the Auto Parts Recycling Industry, 1999.</w:t>
            </w:r>
          </w:p>
        </w:tc>
      </w:tr>
      <w:tr w:rsidR="006D0ACC" w:rsidRPr="003C63AC" w:rsidTr="00970385">
        <w:trPr>
          <w:trHeight w:val="342"/>
        </w:trPr>
        <w:tc>
          <w:tcPr>
            <w:tcW w:w="1843" w:type="dxa"/>
          </w:tcPr>
          <w:p w:rsidR="006D0ACC" w:rsidRPr="003C63AC" w:rsidRDefault="006D0ACC"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ABS 8165.0 2014</w:t>
            </w:r>
          </w:p>
        </w:tc>
        <w:tc>
          <w:tcPr>
            <w:tcW w:w="7796" w:type="dxa"/>
          </w:tcPr>
          <w:p w:rsidR="006D0ACC" w:rsidRPr="003C63AC" w:rsidRDefault="006D0ACC" w:rsidP="006F6A30">
            <w:pPr>
              <w:pStyle w:val="BodyText"/>
              <w:spacing w:before="60" w:after="60"/>
              <w:jc w:val="left"/>
              <w:rPr>
                <w:rFonts w:ascii="Times New Roman" w:hAnsi="Times New Roman"/>
                <w:sz w:val="20"/>
                <w:szCs w:val="20"/>
              </w:rPr>
            </w:pPr>
            <w:r w:rsidRPr="003C63AC">
              <w:rPr>
                <w:rFonts w:ascii="Times New Roman" w:hAnsi="Times New Roman"/>
                <w:sz w:val="20"/>
                <w:szCs w:val="20"/>
              </w:rPr>
              <w:t xml:space="preserve">Australian Bureau of Statistics, catalogue 8165.0, Counts of Australian </w:t>
            </w:r>
            <w:r w:rsidR="006F6A30" w:rsidRPr="003C63AC">
              <w:rPr>
                <w:rFonts w:ascii="Times New Roman" w:hAnsi="Times New Roman"/>
                <w:sz w:val="20"/>
                <w:szCs w:val="20"/>
              </w:rPr>
              <w:t>Businesses, June</w:t>
            </w:r>
            <w:r w:rsidRPr="003C63AC">
              <w:rPr>
                <w:rFonts w:ascii="Times New Roman" w:hAnsi="Times New Roman"/>
                <w:sz w:val="20"/>
                <w:szCs w:val="20"/>
              </w:rPr>
              <w:t xml:space="preserve"> 2014.</w:t>
            </w:r>
          </w:p>
        </w:tc>
      </w:tr>
      <w:tr w:rsidR="006D0ACC" w:rsidRPr="003C63AC" w:rsidTr="00970385">
        <w:trPr>
          <w:trHeight w:val="342"/>
        </w:trPr>
        <w:tc>
          <w:tcPr>
            <w:tcW w:w="1843" w:type="dxa"/>
          </w:tcPr>
          <w:p w:rsidR="006D0ACC" w:rsidRPr="003C63AC" w:rsidRDefault="006D0ACC"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ABS 9309.0 2014</w:t>
            </w:r>
          </w:p>
        </w:tc>
        <w:tc>
          <w:tcPr>
            <w:tcW w:w="7796" w:type="dxa"/>
          </w:tcPr>
          <w:p w:rsidR="006D0ACC" w:rsidRPr="003C63AC" w:rsidRDefault="006D0ACC"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Australian Bureau of Statistics, catalogue 9309.0, Motor Vehicle Census (including attrition rates), July 2014.</w:t>
            </w:r>
          </w:p>
        </w:tc>
      </w:tr>
      <w:tr w:rsidR="006D0ACC" w:rsidRPr="003C63AC" w:rsidTr="00970385">
        <w:trPr>
          <w:trHeight w:val="342"/>
        </w:trPr>
        <w:tc>
          <w:tcPr>
            <w:tcW w:w="1843" w:type="dxa"/>
          </w:tcPr>
          <w:p w:rsidR="006D0ACC" w:rsidRPr="003C63AC" w:rsidRDefault="006D0ACC"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ABS 9314.0 2014</w:t>
            </w:r>
          </w:p>
        </w:tc>
        <w:tc>
          <w:tcPr>
            <w:tcW w:w="7796" w:type="dxa"/>
          </w:tcPr>
          <w:p w:rsidR="006D0ACC" w:rsidRPr="003C63AC" w:rsidRDefault="006D0ACC"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Australian Bureau of Statistics, catalogue 9314.0, Sales of New Motor Vehicles, Australia, 2014.</w:t>
            </w:r>
          </w:p>
        </w:tc>
      </w:tr>
      <w:tr w:rsidR="006D0ACC" w:rsidRPr="003C63AC" w:rsidTr="00970385">
        <w:trPr>
          <w:trHeight w:val="342"/>
        </w:trPr>
        <w:tc>
          <w:tcPr>
            <w:tcW w:w="1843" w:type="dxa"/>
          </w:tcPr>
          <w:p w:rsidR="006D0ACC" w:rsidRPr="003C63AC" w:rsidRDefault="006D0ACC" w:rsidP="003C63AC">
            <w:pPr>
              <w:pStyle w:val="BodyText"/>
              <w:spacing w:before="60" w:after="60"/>
              <w:jc w:val="left"/>
              <w:rPr>
                <w:rFonts w:ascii="Times New Roman" w:hAnsi="Times New Roman"/>
                <w:sz w:val="20"/>
                <w:szCs w:val="20"/>
              </w:rPr>
            </w:pPr>
            <w:r w:rsidRPr="003C63AC">
              <w:rPr>
                <w:rFonts w:ascii="Times New Roman" w:hAnsi="Times New Roman"/>
                <w:sz w:val="20"/>
                <w:szCs w:val="20"/>
              </w:rPr>
              <w:t>ARC 2014a</w:t>
            </w:r>
          </w:p>
        </w:tc>
        <w:tc>
          <w:tcPr>
            <w:tcW w:w="7796" w:type="dxa"/>
          </w:tcPr>
          <w:p w:rsidR="006D0ACC" w:rsidRPr="003C63AC" w:rsidRDefault="00E35DDD" w:rsidP="003C63AC">
            <w:pPr>
              <w:pStyle w:val="BodyText"/>
              <w:spacing w:before="60" w:after="60"/>
              <w:jc w:val="left"/>
              <w:rPr>
                <w:rFonts w:ascii="Times New Roman" w:hAnsi="Times New Roman"/>
                <w:sz w:val="20"/>
                <w:szCs w:val="20"/>
              </w:rPr>
            </w:pPr>
            <w:r>
              <w:rPr>
                <w:rFonts w:ascii="Times New Roman" w:hAnsi="Times New Roman"/>
                <w:sz w:val="20"/>
                <w:szCs w:val="20"/>
              </w:rPr>
              <w:t>Licence</w:t>
            </w:r>
            <w:r w:rsidR="006D0ACC" w:rsidRPr="003C63AC">
              <w:rPr>
                <w:rFonts w:ascii="Times New Roman" w:hAnsi="Times New Roman"/>
                <w:sz w:val="20"/>
                <w:szCs w:val="20"/>
              </w:rPr>
              <w:t xml:space="preserve"> details and data provided by ARC Australian Refrigeration Council.</w:t>
            </w:r>
          </w:p>
        </w:tc>
      </w:tr>
      <w:tr w:rsidR="006D0ACC" w:rsidRPr="003C63AC" w:rsidTr="00970385">
        <w:trPr>
          <w:trHeight w:val="342"/>
        </w:trPr>
        <w:tc>
          <w:tcPr>
            <w:tcW w:w="1843" w:type="dxa"/>
          </w:tcPr>
          <w:p w:rsidR="006D0ACC" w:rsidRPr="003C63AC" w:rsidRDefault="006D0ACC" w:rsidP="003C63AC">
            <w:pPr>
              <w:pStyle w:val="BodyText"/>
              <w:spacing w:before="60" w:after="60"/>
              <w:jc w:val="left"/>
              <w:rPr>
                <w:rFonts w:ascii="Times New Roman" w:hAnsi="Times New Roman"/>
                <w:sz w:val="20"/>
                <w:szCs w:val="20"/>
              </w:rPr>
            </w:pPr>
            <w:r w:rsidRPr="003C63AC">
              <w:rPr>
                <w:rFonts w:ascii="Times New Roman" w:hAnsi="Times New Roman"/>
                <w:sz w:val="20"/>
                <w:szCs w:val="20"/>
              </w:rPr>
              <w:t>ARC 2014b</w:t>
            </w:r>
          </w:p>
        </w:tc>
        <w:tc>
          <w:tcPr>
            <w:tcW w:w="7796" w:type="dxa"/>
          </w:tcPr>
          <w:p w:rsidR="006D0ACC" w:rsidRPr="003C63AC" w:rsidRDefault="006D0ACC"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Restricted Refrigerant Recovery Licence, Instruction Booklet, Australian Refrigeration Council, 2014.</w:t>
            </w:r>
          </w:p>
        </w:tc>
      </w:tr>
      <w:tr w:rsidR="006D0ACC" w:rsidRPr="003C63AC" w:rsidTr="00970385">
        <w:trPr>
          <w:trHeight w:val="342"/>
        </w:trPr>
        <w:tc>
          <w:tcPr>
            <w:tcW w:w="1843" w:type="dxa"/>
          </w:tcPr>
          <w:p w:rsidR="006D0ACC" w:rsidRPr="003C63AC" w:rsidRDefault="006D0ACC"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AR 2014</w:t>
            </w:r>
          </w:p>
        </w:tc>
        <w:tc>
          <w:tcPr>
            <w:tcW w:w="7796" w:type="dxa"/>
          </w:tcPr>
          <w:p w:rsidR="006D0ACC" w:rsidRPr="003C63AC" w:rsidRDefault="006D0ACC" w:rsidP="00970385">
            <w:pPr>
              <w:spacing w:before="60" w:after="60"/>
              <w:jc w:val="left"/>
              <w:rPr>
                <w:rFonts w:cs="Times New Roman"/>
                <w:sz w:val="20"/>
                <w:szCs w:val="20"/>
              </w:rPr>
            </w:pPr>
            <w:r w:rsidRPr="003C63AC">
              <w:rPr>
                <w:rFonts w:cs="Times New Roman"/>
                <w:sz w:val="20"/>
                <w:szCs w:val="20"/>
              </w:rPr>
              <w:t>Written-off Vehicles Statistics, Austroads - NEVDIS Administration Unit, 2014.</w:t>
            </w:r>
          </w:p>
        </w:tc>
      </w:tr>
      <w:tr w:rsidR="009641B2" w:rsidRPr="003C63AC" w:rsidTr="00970385">
        <w:trPr>
          <w:trHeight w:val="342"/>
        </w:trPr>
        <w:tc>
          <w:tcPr>
            <w:tcW w:w="1843" w:type="dxa"/>
          </w:tcPr>
          <w:p w:rsidR="009641B2" w:rsidRPr="003C63AC" w:rsidRDefault="009641B2"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APRA 2014</w:t>
            </w:r>
          </w:p>
        </w:tc>
        <w:tc>
          <w:tcPr>
            <w:tcW w:w="7796" w:type="dxa"/>
          </w:tcPr>
          <w:p w:rsidR="009641B2" w:rsidRPr="003C63AC" w:rsidRDefault="009641B2"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General Insurance Supplementary Statistical Tables and Data, Australian Prudential Regulation Authority 2014.</w:t>
            </w:r>
          </w:p>
        </w:tc>
      </w:tr>
      <w:tr w:rsidR="00191CF2" w:rsidRPr="003C63AC" w:rsidTr="00970385">
        <w:trPr>
          <w:trHeight w:val="342"/>
        </w:trPr>
        <w:tc>
          <w:tcPr>
            <w:tcW w:w="1843" w:type="dxa"/>
          </w:tcPr>
          <w:p w:rsidR="00191CF2" w:rsidRPr="003C63AC" w:rsidRDefault="004753C4"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AMIF 2014</w:t>
            </w:r>
          </w:p>
        </w:tc>
        <w:tc>
          <w:tcPr>
            <w:tcW w:w="7796" w:type="dxa"/>
          </w:tcPr>
          <w:p w:rsidR="00191CF2" w:rsidRPr="003C63AC" w:rsidRDefault="00191CF2" w:rsidP="00673DCD">
            <w:pPr>
              <w:pStyle w:val="BodyText"/>
              <w:spacing w:before="60" w:after="60"/>
              <w:jc w:val="left"/>
              <w:rPr>
                <w:rFonts w:ascii="Times New Roman" w:hAnsi="Times New Roman"/>
                <w:sz w:val="20"/>
                <w:szCs w:val="20"/>
              </w:rPr>
            </w:pPr>
            <w:r w:rsidRPr="003C63AC">
              <w:rPr>
                <w:rFonts w:ascii="Times New Roman" w:hAnsi="Times New Roman"/>
                <w:sz w:val="20"/>
                <w:szCs w:val="20"/>
              </w:rPr>
              <w:t>Introducing an End</w:t>
            </w:r>
            <w:r w:rsidR="00673DCD">
              <w:rPr>
                <w:rFonts w:ascii="Times New Roman" w:hAnsi="Times New Roman"/>
                <w:sz w:val="20"/>
                <w:szCs w:val="20"/>
              </w:rPr>
              <w:t>-</w:t>
            </w:r>
            <w:r w:rsidRPr="003C63AC">
              <w:rPr>
                <w:rFonts w:ascii="Times New Roman" w:hAnsi="Times New Roman"/>
                <w:sz w:val="20"/>
                <w:szCs w:val="20"/>
              </w:rPr>
              <w:t>of Life Vehicle Policy to Australia’s Supply Chain</w:t>
            </w:r>
            <w:r w:rsidR="004753C4" w:rsidRPr="003C63AC">
              <w:rPr>
                <w:rFonts w:ascii="Times New Roman" w:hAnsi="Times New Roman"/>
                <w:sz w:val="20"/>
                <w:szCs w:val="20"/>
              </w:rPr>
              <w:t xml:space="preserve"> (discussion paper)</w:t>
            </w:r>
            <w:r w:rsidRPr="003C63AC">
              <w:rPr>
                <w:rFonts w:ascii="Times New Roman" w:hAnsi="Times New Roman"/>
                <w:sz w:val="20"/>
                <w:szCs w:val="20"/>
              </w:rPr>
              <w:t xml:space="preserve">, </w:t>
            </w:r>
            <w:r w:rsidR="004753C4" w:rsidRPr="003C63AC">
              <w:rPr>
                <w:rFonts w:ascii="Times New Roman" w:hAnsi="Times New Roman"/>
                <w:sz w:val="20"/>
                <w:szCs w:val="20"/>
              </w:rPr>
              <w:t xml:space="preserve">prepared by </w:t>
            </w:r>
            <w:r w:rsidRPr="003C63AC">
              <w:rPr>
                <w:rFonts w:ascii="Times New Roman" w:hAnsi="Times New Roman"/>
                <w:sz w:val="20"/>
                <w:szCs w:val="20"/>
              </w:rPr>
              <w:t xml:space="preserve">Australian Motor Industry Federation, </w:t>
            </w:r>
            <w:r w:rsidR="004753C4" w:rsidRPr="003C63AC">
              <w:rPr>
                <w:rFonts w:ascii="Times New Roman" w:hAnsi="Times New Roman"/>
                <w:sz w:val="20"/>
                <w:szCs w:val="20"/>
              </w:rPr>
              <w:t>October 2014.</w:t>
            </w:r>
          </w:p>
        </w:tc>
      </w:tr>
      <w:tr w:rsidR="009641B2" w:rsidRPr="003C63AC" w:rsidTr="00970385">
        <w:trPr>
          <w:trHeight w:val="342"/>
        </w:trPr>
        <w:tc>
          <w:tcPr>
            <w:tcW w:w="1843" w:type="dxa"/>
          </w:tcPr>
          <w:p w:rsidR="009641B2" w:rsidRPr="003C63AC" w:rsidRDefault="009641B2"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ELV Directive</w:t>
            </w:r>
          </w:p>
        </w:tc>
        <w:tc>
          <w:tcPr>
            <w:tcW w:w="7796" w:type="dxa"/>
          </w:tcPr>
          <w:p w:rsidR="009641B2" w:rsidRPr="003C63AC" w:rsidRDefault="009641B2"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European Parliament and Council Directive 2000/53/EC on end-of-life vehicles (known as the ‘ELV Directive’).</w:t>
            </w:r>
          </w:p>
        </w:tc>
      </w:tr>
      <w:tr w:rsidR="006D2C2E" w:rsidRPr="003C63AC" w:rsidTr="00970385">
        <w:trPr>
          <w:trHeight w:val="342"/>
        </w:trPr>
        <w:tc>
          <w:tcPr>
            <w:tcW w:w="1843" w:type="dxa"/>
          </w:tcPr>
          <w:p w:rsidR="006D2C2E" w:rsidRPr="003C63AC" w:rsidRDefault="006D2C2E"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DEWHA 2008</w:t>
            </w:r>
          </w:p>
        </w:tc>
        <w:tc>
          <w:tcPr>
            <w:tcW w:w="7796" w:type="dxa"/>
          </w:tcPr>
          <w:p w:rsidR="006D2C2E" w:rsidRPr="003C63AC" w:rsidRDefault="006D2C2E" w:rsidP="006D2C2E">
            <w:pPr>
              <w:pStyle w:val="BodyText"/>
              <w:spacing w:before="60" w:after="60"/>
              <w:jc w:val="left"/>
              <w:rPr>
                <w:rFonts w:ascii="Times New Roman" w:hAnsi="Times New Roman"/>
                <w:sz w:val="20"/>
                <w:szCs w:val="20"/>
              </w:rPr>
            </w:pPr>
            <w:r w:rsidRPr="003C63AC">
              <w:rPr>
                <w:rFonts w:ascii="Times New Roman" w:hAnsi="Times New Roman"/>
                <w:sz w:val="20"/>
                <w:szCs w:val="20"/>
              </w:rPr>
              <w:t>The Australian automotive code of practice for the control of refrigerant gases during manufacture, installation, servicing or de-commissioning of motor vehicle air conditioners, Australian Government, Department of the Environment, Water, Heritage and the Arts, 2008.</w:t>
            </w:r>
          </w:p>
        </w:tc>
      </w:tr>
      <w:tr w:rsidR="009641B2" w:rsidRPr="003C63AC" w:rsidTr="00970385">
        <w:trPr>
          <w:trHeight w:val="342"/>
        </w:trPr>
        <w:tc>
          <w:tcPr>
            <w:tcW w:w="1843" w:type="dxa"/>
          </w:tcPr>
          <w:p w:rsidR="009641B2" w:rsidRPr="003C63AC" w:rsidRDefault="009641B2"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DoE 2014a</w:t>
            </w:r>
          </w:p>
        </w:tc>
        <w:tc>
          <w:tcPr>
            <w:tcW w:w="7796" w:type="dxa"/>
          </w:tcPr>
          <w:p w:rsidR="009641B2" w:rsidRPr="003C63AC" w:rsidRDefault="009641B2"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A study into HFC consumption in Australia in 2013, and an assessment of the capacity of Australian industry to transition in accordance with the North American Amendment proposal, under the Montreal Protocol, for the Department of the Environment, Ozone and Synthetic Gas Team, March 2014.</w:t>
            </w:r>
          </w:p>
        </w:tc>
      </w:tr>
      <w:tr w:rsidR="009641B2" w:rsidRPr="003C63AC" w:rsidTr="00970385">
        <w:trPr>
          <w:trHeight w:val="342"/>
        </w:trPr>
        <w:tc>
          <w:tcPr>
            <w:tcW w:w="1843" w:type="dxa"/>
          </w:tcPr>
          <w:p w:rsidR="009641B2" w:rsidRPr="003C63AC" w:rsidRDefault="009641B2"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DoE 2014b</w:t>
            </w:r>
          </w:p>
        </w:tc>
        <w:tc>
          <w:tcPr>
            <w:tcW w:w="7796" w:type="dxa"/>
          </w:tcPr>
          <w:p w:rsidR="009641B2" w:rsidRPr="003C63AC" w:rsidRDefault="009641B2"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 xml:space="preserve">Data (i.e. bulk and pre-charged equipment import statistics by quantity, mass, species, </w:t>
            </w:r>
            <w:r w:rsidR="00E35DDD">
              <w:rPr>
                <w:rFonts w:ascii="Times New Roman" w:hAnsi="Times New Roman"/>
                <w:sz w:val="20"/>
                <w:szCs w:val="20"/>
              </w:rPr>
              <w:t>licence</w:t>
            </w:r>
            <w:r w:rsidRPr="003C63AC">
              <w:rPr>
                <w:rFonts w:ascii="Times New Roman" w:hAnsi="Times New Roman"/>
                <w:sz w:val="20"/>
                <w:szCs w:val="20"/>
              </w:rPr>
              <w:t xml:space="preserve"> holder, product category from 2006 to 2014) provided by the Department of the Environment, Ozone and Synthetic Gas Team, Feb 2014.</w:t>
            </w:r>
          </w:p>
        </w:tc>
      </w:tr>
      <w:tr w:rsidR="009641B2" w:rsidRPr="003C63AC" w:rsidTr="00970385">
        <w:trPr>
          <w:trHeight w:val="342"/>
        </w:trPr>
        <w:tc>
          <w:tcPr>
            <w:tcW w:w="1843" w:type="dxa"/>
          </w:tcPr>
          <w:p w:rsidR="009641B2" w:rsidRPr="003C63AC" w:rsidRDefault="009641B2"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DSEWPaC 2013a</w:t>
            </w:r>
          </w:p>
        </w:tc>
        <w:tc>
          <w:tcPr>
            <w:tcW w:w="7796" w:type="dxa"/>
          </w:tcPr>
          <w:p w:rsidR="009641B2" w:rsidRPr="003C63AC" w:rsidRDefault="009641B2"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Clearing the Air, The options for a Rebate for Destruction of ODS and SGGs in Australia, by Thinkwell Australia in association with Expert Group for the Department of Sustainability, Environment, Water, Population and Communities, Jan 2013.</w:t>
            </w:r>
          </w:p>
        </w:tc>
      </w:tr>
      <w:tr w:rsidR="009641B2" w:rsidRPr="003C63AC" w:rsidTr="00970385">
        <w:trPr>
          <w:trHeight w:val="342"/>
        </w:trPr>
        <w:tc>
          <w:tcPr>
            <w:tcW w:w="1843" w:type="dxa"/>
          </w:tcPr>
          <w:p w:rsidR="009641B2" w:rsidRPr="003C63AC" w:rsidRDefault="009641B2"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DSEWPaC 2012</w:t>
            </w:r>
          </w:p>
        </w:tc>
        <w:tc>
          <w:tcPr>
            <w:tcW w:w="7796" w:type="dxa"/>
          </w:tcPr>
          <w:p w:rsidR="009641B2" w:rsidRPr="003C63AC" w:rsidRDefault="009641B2"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A review of existing uses of SGGs prepared by Expert Group for the Department of Sustainability, Environment, Water, Population and Communities, Ozone and Synthetic Gas Team, April 2012.</w:t>
            </w:r>
          </w:p>
        </w:tc>
      </w:tr>
      <w:tr w:rsidR="009641B2" w:rsidRPr="003C63AC" w:rsidTr="00970385">
        <w:trPr>
          <w:trHeight w:val="342"/>
        </w:trPr>
        <w:tc>
          <w:tcPr>
            <w:tcW w:w="1843" w:type="dxa"/>
          </w:tcPr>
          <w:p w:rsidR="009641B2" w:rsidRPr="003C63AC" w:rsidRDefault="009641B2"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DSEWPaC 2011</w:t>
            </w:r>
          </w:p>
        </w:tc>
        <w:tc>
          <w:tcPr>
            <w:tcW w:w="7796" w:type="dxa"/>
          </w:tcPr>
          <w:p w:rsidR="009641B2" w:rsidRPr="003C63AC" w:rsidRDefault="009641B2"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A study into HFC consumption in Australia, prepared by Expert Group for the Department of Sustainability, Environment, Water, Population and Communities, Ozone and Synthetic Gas Team, October 2011.</w:t>
            </w:r>
          </w:p>
        </w:tc>
      </w:tr>
      <w:tr w:rsidR="000F4BD6" w:rsidRPr="003C63AC" w:rsidTr="009641B2">
        <w:trPr>
          <w:trHeight w:val="342"/>
        </w:trPr>
        <w:tc>
          <w:tcPr>
            <w:tcW w:w="1843" w:type="dxa"/>
          </w:tcPr>
          <w:p w:rsidR="000F4BD6" w:rsidRPr="003C63AC" w:rsidRDefault="000F4BD6" w:rsidP="009641B2">
            <w:pPr>
              <w:pStyle w:val="BodyText"/>
              <w:spacing w:before="60" w:after="60"/>
              <w:jc w:val="left"/>
              <w:rPr>
                <w:rFonts w:ascii="Times New Roman" w:hAnsi="Times New Roman"/>
                <w:sz w:val="20"/>
                <w:szCs w:val="20"/>
              </w:rPr>
            </w:pPr>
            <w:r w:rsidRPr="003C63AC">
              <w:rPr>
                <w:rFonts w:ascii="Times New Roman" w:hAnsi="Times New Roman"/>
                <w:sz w:val="20"/>
                <w:szCs w:val="20"/>
              </w:rPr>
              <w:t>DTMR 2014</w:t>
            </w:r>
          </w:p>
        </w:tc>
        <w:tc>
          <w:tcPr>
            <w:tcW w:w="7796" w:type="dxa"/>
          </w:tcPr>
          <w:p w:rsidR="000F4BD6" w:rsidRPr="003C63AC" w:rsidRDefault="000F4BD6" w:rsidP="00506C94">
            <w:pPr>
              <w:pStyle w:val="BodyText"/>
              <w:spacing w:before="60" w:after="60"/>
              <w:jc w:val="left"/>
              <w:rPr>
                <w:rFonts w:ascii="Times New Roman" w:hAnsi="Times New Roman"/>
                <w:sz w:val="20"/>
                <w:szCs w:val="20"/>
              </w:rPr>
            </w:pPr>
            <w:r w:rsidRPr="003C63AC">
              <w:rPr>
                <w:rFonts w:ascii="Times New Roman" w:hAnsi="Times New Roman"/>
                <w:sz w:val="20"/>
                <w:szCs w:val="20"/>
              </w:rPr>
              <w:t>Data Analysis Section for Road and Rail Safety, Land Transport Safety, Customer Services, Safety &amp; Regulation Division, Department of Transport and Main Roads, Queensland, 2014</w:t>
            </w:r>
          </w:p>
        </w:tc>
      </w:tr>
      <w:tr w:rsidR="000F4BD6" w:rsidRPr="003C63AC" w:rsidTr="009641B2">
        <w:trPr>
          <w:trHeight w:val="342"/>
        </w:trPr>
        <w:tc>
          <w:tcPr>
            <w:tcW w:w="1843" w:type="dxa"/>
          </w:tcPr>
          <w:p w:rsidR="000F4BD6" w:rsidRPr="003C63AC" w:rsidRDefault="000F4BD6" w:rsidP="009641B2">
            <w:pPr>
              <w:pStyle w:val="BodyText"/>
              <w:spacing w:before="60" w:after="60"/>
              <w:jc w:val="left"/>
              <w:rPr>
                <w:rFonts w:ascii="Times New Roman" w:hAnsi="Times New Roman"/>
                <w:sz w:val="20"/>
                <w:szCs w:val="20"/>
              </w:rPr>
            </w:pPr>
            <w:r w:rsidRPr="003C63AC">
              <w:rPr>
                <w:rFonts w:ascii="Times New Roman" w:hAnsi="Times New Roman"/>
                <w:sz w:val="20"/>
                <w:szCs w:val="20"/>
              </w:rPr>
              <w:t>EC Directives</w:t>
            </w:r>
          </w:p>
        </w:tc>
        <w:tc>
          <w:tcPr>
            <w:tcW w:w="7796" w:type="dxa"/>
          </w:tcPr>
          <w:p w:rsidR="000F4BD6" w:rsidRPr="003C63AC" w:rsidRDefault="000F4BD6" w:rsidP="00506C94">
            <w:pPr>
              <w:pStyle w:val="BodyText"/>
              <w:spacing w:before="60" w:after="60"/>
              <w:jc w:val="left"/>
              <w:rPr>
                <w:sz w:val="20"/>
                <w:szCs w:val="20"/>
              </w:rPr>
            </w:pPr>
            <w:r w:rsidRPr="003C63AC">
              <w:rPr>
                <w:rFonts w:ascii="Times New Roman" w:hAnsi="Times New Roman"/>
                <w:sz w:val="20"/>
                <w:szCs w:val="20"/>
              </w:rPr>
              <w:t>The ELV-Directive (2000/53/EC) applies to vehicles and end-of-life vehicles, and the ‘end-of life vehicle’ means a vehicle as defined by nominated categories of vehicles types listed in the Directive. An End-of-life vehicle is considered waste and is defined in the Waste Framework Directive (2008/98/EC).</w:t>
            </w:r>
          </w:p>
        </w:tc>
      </w:tr>
      <w:tr w:rsidR="000F4BD6" w:rsidRPr="003C63AC" w:rsidTr="009641B2">
        <w:trPr>
          <w:trHeight w:val="342"/>
        </w:trPr>
        <w:tc>
          <w:tcPr>
            <w:tcW w:w="1843" w:type="dxa"/>
          </w:tcPr>
          <w:p w:rsidR="000F4BD6" w:rsidRPr="003C63AC" w:rsidRDefault="000F4BD6" w:rsidP="009641B2">
            <w:pPr>
              <w:pStyle w:val="BodyText"/>
              <w:spacing w:before="60" w:after="60"/>
              <w:jc w:val="left"/>
              <w:rPr>
                <w:rFonts w:ascii="Times New Roman" w:hAnsi="Times New Roman"/>
                <w:sz w:val="20"/>
                <w:szCs w:val="20"/>
              </w:rPr>
            </w:pPr>
            <w:r w:rsidRPr="003C63AC">
              <w:rPr>
                <w:rFonts w:ascii="Times New Roman" w:hAnsi="Times New Roman"/>
                <w:sz w:val="20"/>
                <w:szCs w:val="20"/>
              </w:rPr>
              <w:t>EC 2010</w:t>
            </w:r>
          </w:p>
        </w:tc>
        <w:tc>
          <w:tcPr>
            <w:tcW w:w="7796" w:type="dxa"/>
          </w:tcPr>
          <w:p w:rsidR="000F4BD6" w:rsidRPr="00AD4F11" w:rsidRDefault="000F4BD6" w:rsidP="009641B2">
            <w:pPr>
              <w:spacing w:before="60" w:after="60"/>
              <w:jc w:val="left"/>
              <w:rPr>
                <w:rFonts w:eastAsia="Times New Roman" w:cs="Times New Roman"/>
                <w:sz w:val="20"/>
                <w:szCs w:val="20"/>
              </w:rPr>
            </w:pPr>
            <w:r w:rsidRPr="003C63AC">
              <w:rPr>
                <w:rFonts w:cs="Times New Roman"/>
                <w:sz w:val="20"/>
                <w:szCs w:val="20"/>
              </w:rPr>
              <w:t>End of life vehicles: Legal aspects, national practices and recommendations for future successful approach, European Commission, Directorate General for Internal Policies, Policy Department, Economic and Scientific Policy, 2010.</w:t>
            </w:r>
          </w:p>
        </w:tc>
      </w:tr>
      <w:tr w:rsidR="000F4BD6" w:rsidRPr="003C63AC" w:rsidTr="00CE4B62">
        <w:trPr>
          <w:trHeight w:val="342"/>
        </w:trPr>
        <w:tc>
          <w:tcPr>
            <w:tcW w:w="1843" w:type="dxa"/>
          </w:tcPr>
          <w:p w:rsidR="000F4BD6" w:rsidRPr="003C63AC" w:rsidRDefault="000F4BD6" w:rsidP="00CE4B62">
            <w:pPr>
              <w:pStyle w:val="BodyText"/>
              <w:spacing w:before="60" w:after="60"/>
              <w:jc w:val="left"/>
              <w:rPr>
                <w:rFonts w:ascii="Times New Roman" w:hAnsi="Times New Roman"/>
                <w:sz w:val="20"/>
                <w:szCs w:val="20"/>
              </w:rPr>
            </w:pPr>
            <w:r w:rsidRPr="003C63AC">
              <w:rPr>
                <w:rFonts w:ascii="Times New Roman" w:hAnsi="Times New Roman"/>
                <w:sz w:val="20"/>
                <w:szCs w:val="20"/>
              </w:rPr>
              <w:t>EPA US 2008</w:t>
            </w:r>
          </w:p>
        </w:tc>
        <w:tc>
          <w:tcPr>
            <w:tcW w:w="7796" w:type="dxa"/>
          </w:tcPr>
          <w:p w:rsidR="000F4BD6" w:rsidRPr="003C63AC" w:rsidRDefault="000F4BD6" w:rsidP="00CE4B62">
            <w:pPr>
              <w:pStyle w:val="BodyText"/>
              <w:spacing w:before="60" w:after="60"/>
              <w:jc w:val="left"/>
              <w:rPr>
                <w:rFonts w:ascii="Times New Roman" w:hAnsi="Times New Roman"/>
                <w:sz w:val="20"/>
                <w:szCs w:val="20"/>
              </w:rPr>
            </w:pPr>
            <w:r w:rsidRPr="003C63AC">
              <w:rPr>
                <w:rFonts w:ascii="Times New Roman" w:hAnsi="Times New Roman"/>
                <w:sz w:val="20"/>
                <w:szCs w:val="20"/>
              </w:rPr>
              <w:t>Technology and Practices to Reduce Mobile Air Conditioning, Refrigerant Emissions by 50 Percent at Vehicle Service and Vehicle End of Life, U.S. Environmental Protection Agency, 2008.</w:t>
            </w:r>
          </w:p>
        </w:tc>
      </w:tr>
      <w:tr w:rsidR="000F4BD6" w:rsidRPr="003C63AC" w:rsidTr="00CE4B62">
        <w:trPr>
          <w:trHeight w:val="342"/>
        </w:trPr>
        <w:tc>
          <w:tcPr>
            <w:tcW w:w="1843" w:type="dxa"/>
          </w:tcPr>
          <w:p w:rsidR="000F4BD6" w:rsidRPr="003C63AC" w:rsidRDefault="000F4BD6" w:rsidP="00CE4B62">
            <w:pPr>
              <w:pStyle w:val="BodyText"/>
              <w:spacing w:before="60" w:after="60"/>
              <w:jc w:val="left"/>
              <w:rPr>
                <w:rFonts w:ascii="Times New Roman" w:hAnsi="Times New Roman"/>
                <w:sz w:val="20"/>
                <w:szCs w:val="20"/>
              </w:rPr>
            </w:pPr>
            <w:r w:rsidRPr="003C63AC">
              <w:rPr>
                <w:rFonts w:ascii="Times New Roman" w:hAnsi="Times New Roman"/>
                <w:sz w:val="20"/>
                <w:szCs w:val="20"/>
              </w:rPr>
              <w:t>FCAI 2014</w:t>
            </w:r>
          </w:p>
        </w:tc>
        <w:tc>
          <w:tcPr>
            <w:tcW w:w="7796" w:type="dxa"/>
          </w:tcPr>
          <w:p w:rsidR="000F4BD6" w:rsidRPr="003C63AC" w:rsidRDefault="000F4BD6" w:rsidP="00CE4B62">
            <w:pPr>
              <w:pStyle w:val="BodyText"/>
              <w:spacing w:before="60" w:after="60"/>
              <w:jc w:val="left"/>
              <w:rPr>
                <w:rFonts w:ascii="Times New Roman" w:hAnsi="Times New Roman"/>
                <w:sz w:val="20"/>
                <w:szCs w:val="20"/>
              </w:rPr>
            </w:pPr>
            <w:r w:rsidRPr="003C63AC">
              <w:rPr>
                <w:rFonts w:ascii="Times New Roman" w:hAnsi="Times New Roman"/>
                <w:sz w:val="20"/>
                <w:szCs w:val="20"/>
              </w:rPr>
              <w:t>VFACTS National Report: Dec 2013, Federal Chamber of Automotive industries.</w:t>
            </w:r>
          </w:p>
        </w:tc>
      </w:tr>
      <w:tr w:rsidR="000F4BD6" w:rsidRPr="003C63AC" w:rsidTr="00CE4B62">
        <w:trPr>
          <w:trHeight w:val="342"/>
        </w:trPr>
        <w:tc>
          <w:tcPr>
            <w:tcW w:w="1843" w:type="dxa"/>
          </w:tcPr>
          <w:p w:rsidR="000F4BD6" w:rsidRPr="003C63AC" w:rsidRDefault="000F4BD6" w:rsidP="00CE4B62">
            <w:pPr>
              <w:pStyle w:val="BodyText"/>
              <w:spacing w:before="60" w:after="60"/>
              <w:jc w:val="left"/>
              <w:rPr>
                <w:rFonts w:ascii="Times New Roman" w:hAnsi="Times New Roman"/>
                <w:sz w:val="20"/>
                <w:szCs w:val="20"/>
              </w:rPr>
            </w:pPr>
            <w:r w:rsidRPr="003C63AC">
              <w:rPr>
                <w:rFonts w:ascii="Times New Roman" w:hAnsi="Times New Roman"/>
                <w:sz w:val="20"/>
                <w:szCs w:val="20"/>
              </w:rPr>
              <w:t>FAPM 2014</w:t>
            </w:r>
          </w:p>
        </w:tc>
        <w:tc>
          <w:tcPr>
            <w:tcW w:w="7796" w:type="dxa"/>
          </w:tcPr>
          <w:p w:rsidR="000F4BD6" w:rsidRPr="003C63AC" w:rsidRDefault="000F4BD6" w:rsidP="00CE4B62">
            <w:pPr>
              <w:pStyle w:val="BodyText"/>
              <w:spacing w:before="60" w:after="60"/>
              <w:jc w:val="left"/>
              <w:rPr>
                <w:rFonts w:ascii="Times New Roman" w:hAnsi="Times New Roman"/>
                <w:sz w:val="20"/>
                <w:szCs w:val="20"/>
              </w:rPr>
            </w:pPr>
            <w:r w:rsidRPr="003C63AC">
              <w:rPr>
                <w:rFonts w:ascii="Times New Roman" w:hAnsi="Times New Roman"/>
                <w:sz w:val="20"/>
                <w:szCs w:val="20"/>
              </w:rPr>
              <w:t>Statistics provided by the Federation of Automotive Products Manufacturers, July 2014.</w:t>
            </w:r>
          </w:p>
        </w:tc>
      </w:tr>
      <w:tr w:rsidR="000F4BD6" w:rsidRPr="003C63AC" w:rsidTr="00970385">
        <w:trPr>
          <w:trHeight w:val="342"/>
        </w:trPr>
        <w:tc>
          <w:tcPr>
            <w:tcW w:w="1843" w:type="dxa"/>
          </w:tcPr>
          <w:p w:rsidR="000F4BD6" w:rsidRPr="003C63AC" w:rsidRDefault="000F4BD6"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IBIS 2014a</w:t>
            </w:r>
          </w:p>
        </w:tc>
        <w:tc>
          <w:tcPr>
            <w:tcW w:w="7796" w:type="dxa"/>
          </w:tcPr>
          <w:p w:rsidR="000F4BD6" w:rsidRPr="003C63AC" w:rsidRDefault="000F4BD6" w:rsidP="00970385">
            <w:pPr>
              <w:pStyle w:val="BodyText"/>
              <w:spacing w:before="60" w:after="60"/>
              <w:jc w:val="left"/>
              <w:rPr>
                <w:rFonts w:ascii="Times New Roman" w:hAnsi="Times New Roman"/>
                <w:sz w:val="20"/>
                <w:szCs w:val="20"/>
              </w:rPr>
            </w:pPr>
            <w:r w:rsidRPr="003C63AC">
              <w:rPr>
                <w:rFonts w:ascii="Times New Roman" w:hAnsi="Times New Roman"/>
                <w:i/>
                <w:sz w:val="20"/>
                <w:szCs w:val="20"/>
              </w:rPr>
              <w:t>Motor Vehicle Dismantling and Used Parts Wholesaling in Australia, IBIS World, June 2014.</w:t>
            </w:r>
          </w:p>
        </w:tc>
      </w:tr>
      <w:tr w:rsidR="000F4BD6" w:rsidRPr="003C63AC" w:rsidTr="00970385">
        <w:trPr>
          <w:trHeight w:val="342"/>
        </w:trPr>
        <w:tc>
          <w:tcPr>
            <w:tcW w:w="1843" w:type="dxa"/>
          </w:tcPr>
          <w:p w:rsidR="000F4BD6" w:rsidRPr="003C63AC" w:rsidRDefault="000F4BD6"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IBIS 2014b</w:t>
            </w:r>
          </w:p>
        </w:tc>
        <w:tc>
          <w:tcPr>
            <w:tcW w:w="7796" w:type="dxa"/>
          </w:tcPr>
          <w:p w:rsidR="000F4BD6" w:rsidRPr="003C63AC" w:rsidRDefault="000F4BD6"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Motor Vehicle Dismantling and Used Parts Wholesaling in Australia, After a good deal: Frugal consumers keep the industry from crashing, IBIS World, January 2014.</w:t>
            </w:r>
          </w:p>
        </w:tc>
      </w:tr>
      <w:tr w:rsidR="000F4BD6" w:rsidRPr="003C63AC" w:rsidTr="00970385">
        <w:trPr>
          <w:trHeight w:val="342"/>
        </w:trPr>
        <w:tc>
          <w:tcPr>
            <w:tcW w:w="1843" w:type="dxa"/>
          </w:tcPr>
          <w:p w:rsidR="000F4BD6" w:rsidRPr="003C63AC" w:rsidRDefault="000F4BD6"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IBIS 2012</w:t>
            </w:r>
          </w:p>
        </w:tc>
        <w:tc>
          <w:tcPr>
            <w:tcW w:w="7796" w:type="dxa"/>
          </w:tcPr>
          <w:p w:rsidR="000F4BD6" w:rsidRPr="003C63AC" w:rsidRDefault="000F4BD6"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Smash Repairing in Australia, Beyond Repair: Inefficient smash repairers are being driven out of the market, IBIS World, September 2012.</w:t>
            </w:r>
          </w:p>
        </w:tc>
      </w:tr>
      <w:tr w:rsidR="00750112" w:rsidRPr="003C63AC" w:rsidTr="00970385">
        <w:trPr>
          <w:trHeight w:val="342"/>
        </w:trPr>
        <w:tc>
          <w:tcPr>
            <w:tcW w:w="1843" w:type="dxa"/>
          </w:tcPr>
          <w:p w:rsidR="00750112" w:rsidRPr="00750112" w:rsidRDefault="00750112" w:rsidP="00750112">
            <w:pPr>
              <w:pStyle w:val="BodyText"/>
              <w:spacing w:before="60" w:after="60"/>
              <w:jc w:val="left"/>
              <w:rPr>
                <w:rFonts w:ascii="Times New Roman" w:hAnsi="Times New Roman"/>
                <w:sz w:val="20"/>
                <w:szCs w:val="20"/>
              </w:rPr>
            </w:pPr>
            <w:r w:rsidRPr="00750112">
              <w:rPr>
                <w:sz w:val="20"/>
                <w:szCs w:val="20"/>
              </w:rPr>
              <w:t>IPCC</w:t>
            </w:r>
            <w:r w:rsidR="008E6120">
              <w:rPr>
                <w:sz w:val="20"/>
                <w:szCs w:val="20"/>
              </w:rPr>
              <w:t xml:space="preserve"> 2007</w:t>
            </w:r>
          </w:p>
        </w:tc>
        <w:tc>
          <w:tcPr>
            <w:tcW w:w="7796" w:type="dxa"/>
          </w:tcPr>
          <w:p w:rsidR="00750112" w:rsidRPr="00750112" w:rsidRDefault="004D2AFD" w:rsidP="00970385">
            <w:pPr>
              <w:pStyle w:val="BodyText"/>
              <w:spacing w:before="60" w:after="60"/>
              <w:jc w:val="left"/>
              <w:rPr>
                <w:rFonts w:ascii="Times New Roman" w:hAnsi="Times New Roman"/>
                <w:sz w:val="20"/>
                <w:szCs w:val="20"/>
              </w:rPr>
            </w:pPr>
            <w:r w:rsidRPr="004D2AFD">
              <w:rPr>
                <w:sz w:val="20"/>
                <w:szCs w:val="20"/>
              </w:rPr>
              <w:t>IPCC Fourth Assessment Re</w:t>
            </w:r>
            <w:r>
              <w:rPr>
                <w:sz w:val="20"/>
                <w:szCs w:val="20"/>
              </w:rPr>
              <w:t xml:space="preserve">port: Climate Change </w:t>
            </w:r>
            <w:r w:rsidRPr="004D2AFD">
              <w:rPr>
                <w:sz w:val="20"/>
                <w:szCs w:val="20"/>
              </w:rPr>
              <w:t>(AR4), prepared by the Intergovernmenta</w:t>
            </w:r>
            <w:r>
              <w:rPr>
                <w:sz w:val="20"/>
                <w:szCs w:val="20"/>
              </w:rPr>
              <w:t>l Panel on Climate Change, 2007</w:t>
            </w:r>
            <w:r w:rsidR="006D3569">
              <w:rPr>
                <w:sz w:val="20"/>
                <w:szCs w:val="20"/>
              </w:rPr>
              <w:t>.</w:t>
            </w:r>
          </w:p>
        </w:tc>
      </w:tr>
      <w:tr w:rsidR="003B09F9" w:rsidRPr="003C63AC" w:rsidTr="00970385">
        <w:trPr>
          <w:trHeight w:val="342"/>
        </w:trPr>
        <w:tc>
          <w:tcPr>
            <w:tcW w:w="1843" w:type="dxa"/>
          </w:tcPr>
          <w:p w:rsidR="003B09F9" w:rsidRPr="00750112" w:rsidRDefault="003B09F9" w:rsidP="00970385">
            <w:pPr>
              <w:pStyle w:val="BodyText"/>
              <w:spacing w:before="60" w:after="60"/>
              <w:jc w:val="left"/>
              <w:rPr>
                <w:rFonts w:ascii="Times New Roman" w:hAnsi="Times New Roman"/>
                <w:sz w:val="20"/>
                <w:szCs w:val="20"/>
              </w:rPr>
            </w:pPr>
            <w:r w:rsidRPr="00750112">
              <w:rPr>
                <w:rFonts w:ascii="Times New Roman" w:hAnsi="Times New Roman"/>
                <w:sz w:val="20"/>
                <w:szCs w:val="20"/>
              </w:rPr>
              <w:t>KPMG 2014</w:t>
            </w:r>
          </w:p>
        </w:tc>
        <w:tc>
          <w:tcPr>
            <w:tcW w:w="7796" w:type="dxa"/>
          </w:tcPr>
          <w:p w:rsidR="003B09F9" w:rsidRPr="00750112" w:rsidRDefault="006D3569" w:rsidP="00970385">
            <w:pPr>
              <w:pStyle w:val="BodyText"/>
              <w:spacing w:before="60" w:after="60"/>
              <w:jc w:val="left"/>
              <w:rPr>
                <w:rFonts w:ascii="Times New Roman" w:hAnsi="Times New Roman"/>
                <w:sz w:val="20"/>
                <w:szCs w:val="20"/>
              </w:rPr>
            </w:pPr>
            <w:r w:rsidRPr="006D3569">
              <w:rPr>
                <w:rFonts w:ascii="Times New Roman" w:hAnsi="Times New Roman"/>
                <w:sz w:val="20"/>
                <w:szCs w:val="20"/>
              </w:rPr>
              <w:t>End-of-Life Domestic Refrigeration and Air Conditioning Equipment in Australia prepared by KPMG for the Department of the Environment, July 2014.</w:t>
            </w:r>
          </w:p>
        </w:tc>
      </w:tr>
      <w:tr w:rsidR="000F4BD6" w:rsidRPr="003C63AC" w:rsidTr="00970385">
        <w:trPr>
          <w:trHeight w:val="342"/>
        </w:trPr>
        <w:tc>
          <w:tcPr>
            <w:tcW w:w="1843" w:type="dxa"/>
          </w:tcPr>
          <w:p w:rsidR="000F4BD6" w:rsidRPr="003C63AC" w:rsidRDefault="000F4BD6"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NMVTRC 2014</w:t>
            </w:r>
          </w:p>
        </w:tc>
        <w:tc>
          <w:tcPr>
            <w:tcW w:w="7796" w:type="dxa"/>
          </w:tcPr>
          <w:p w:rsidR="000F4BD6" w:rsidRPr="003C63AC" w:rsidRDefault="000F4BD6"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Quick Stats, Cars, comprehensive auto-theft research system, calendar year ending 31 December 2013, National Motor Vehicle Theft Reduction Council, 2014.</w:t>
            </w:r>
          </w:p>
        </w:tc>
      </w:tr>
      <w:tr w:rsidR="000F4BD6" w:rsidRPr="003C63AC" w:rsidTr="00970385">
        <w:trPr>
          <w:trHeight w:val="342"/>
        </w:trPr>
        <w:tc>
          <w:tcPr>
            <w:tcW w:w="1843" w:type="dxa"/>
          </w:tcPr>
          <w:p w:rsidR="000F4BD6" w:rsidRPr="003C63AC" w:rsidRDefault="000F4BD6"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NMVTRC 2013</w:t>
            </w:r>
          </w:p>
        </w:tc>
        <w:tc>
          <w:tcPr>
            <w:tcW w:w="7796" w:type="dxa"/>
          </w:tcPr>
          <w:p w:rsidR="000F4BD6" w:rsidRPr="003C63AC" w:rsidRDefault="000F4BD6" w:rsidP="00970385">
            <w:pPr>
              <w:spacing w:before="60" w:after="60"/>
              <w:jc w:val="left"/>
              <w:rPr>
                <w:rFonts w:eastAsia="Times New Roman" w:cs="Times New Roman"/>
                <w:sz w:val="20"/>
                <w:szCs w:val="20"/>
                <w:lang w:val="en-US"/>
              </w:rPr>
            </w:pPr>
            <w:r w:rsidRPr="003C63AC">
              <w:rPr>
                <w:rFonts w:eastAsia="Times New Roman" w:cs="Times New Roman"/>
                <w:sz w:val="20"/>
                <w:szCs w:val="20"/>
                <w:lang w:val="en-US"/>
              </w:rPr>
              <w:t>Review of Regulation of Separated Parts Markets in Australia, prepared by DLA Piper Australia for the National Motor Vehicle Theft Reduction Council, February 2013.</w:t>
            </w:r>
          </w:p>
        </w:tc>
      </w:tr>
      <w:tr w:rsidR="000F4BD6" w:rsidRPr="003C63AC" w:rsidTr="00970385">
        <w:trPr>
          <w:trHeight w:val="342"/>
        </w:trPr>
        <w:tc>
          <w:tcPr>
            <w:tcW w:w="1843" w:type="dxa"/>
          </w:tcPr>
          <w:p w:rsidR="000F4BD6" w:rsidRPr="003C63AC" w:rsidRDefault="000F4BD6"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NMVTRC 2011</w:t>
            </w:r>
          </w:p>
        </w:tc>
        <w:tc>
          <w:tcPr>
            <w:tcW w:w="7796" w:type="dxa"/>
          </w:tcPr>
          <w:p w:rsidR="000F4BD6" w:rsidRPr="003C63AC" w:rsidRDefault="000F4BD6" w:rsidP="00970385">
            <w:pPr>
              <w:spacing w:before="60" w:after="60"/>
              <w:jc w:val="left"/>
              <w:rPr>
                <w:rFonts w:eastAsia="Times New Roman" w:cs="Times New Roman"/>
                <w:sz w:val="20"/>
                <w:szCs w:val="20"/>
              </w:rPr>
            </w:pPr>
            <w:r w:rsidRPr="003C63AC">
              <w:rPr>
                <w:rFonts w:eastAsia="Times New Roman" w:cs="Times New Roman"/>
                <w:sz w:val="20"/>
                <w:szCs w:val="20"/>
              </w:rPr>
              <w:t xml:space="preserve">Damaged Vehicle Criteria for Statutory Written-off Vehicles, Regulatory Impact Statement, </w:t>
            </w:r>
            <w:r w:rsidRPr="003C63AC">
              <w:rPr>
                <w:rFonts w:eastAsia="Times New Roman" w:cs="Times New Roman"/>
                <w:sz w:val="20"/>
                <w:szCs w:val="20"/>
                <w:lang w:val="en-US"/>
              </w:rPr>
              <w:t>National Motor Vehicle Theft Reduction Council, August 2011.</w:t>
            </w:r>
          </w:p>
        </w:tc>
      </w:tr>
      <w:tr w:rsidR="000F4BD6" w:rsidRPr="003C63AC" w:rsidTr="00970385">
        <w:trPr>
          <w:trHeight w:val="342"/>
        </w:trPr>
        <w:tc>
          <w:tcPr>
            <w:tcW w:w="1843" w:type="dxa"/>
          </w:tcPr>
          <w:p w:rsidR="000F4BD6" w:rsidRPr="003C63AC" w:rsidRDefault="000F4BD6"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NSW Parliament 2014</w:t>
            </w:r>
          </w:p>
        </w:tc>
        <w:tc>
          <w:tcPr>
            <w:tcW w:w="7796" w:type="dxa"/>
          </w:tcPr>
          <w:p w:rsidR="000F4BD6" w:rsidRPr="003C63AC" w:rsidRDefault="000F4BD6"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Legislative Assembly, Select Committee on the Motor Vehicle Repair Industry, Report 1/55, New South Wales Parliament, July 2014.</w:t>
            </w:r>
          </w:p>
        </w:tc>
      </w:tr>
      <w:tr w:rsidR="000F4BD6" w:rsidRPr="003C63AC" w:rsidTr="00970385">
        <w:trPr>
          <w:trHeight w:val="342"/>
        </w:trPr>
        <w:tc>
          <w:tcPr>
            <w:tcW w:w="1843" w:type="dxa"/>
          </w:tcPr>
          <w:p w:rsidR="000F4BD6" w:rsidRPr="003C63AC" w:rsidRDefault="000F4BD6"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NSW RTA 2009</w:t>
            </w:r>
          </w:p>
        </w:tc>
        <w:tc>
          <w:tcPr>
            <w:tcW w:w="7796" w:type="dxa"/>
          </w:tcPr>
          <w:p w:rsidR="000F4BD6" w:rsidRPr="003C63AC" w:rsidRDefault="000F4BD6"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Improving the Regulation of Written-Off Vehicles in NSW, prepared by NSW Government Road Traffic Authority, August 2009.</w:t>
            </w:r>
          </w:p>
        </w:tc>
      </w:tr>
      <w:tr w:rsidR="000F4BD6" w:rsidRPr="003C63AC" w:rsidTr="00970385">
        <w:trPr>
          <w:trHeight w:val="342"/>
        </w:trPr>
        <w:tc>
          <w:tcPr>
            <w:tcW w:w="1843" w:type="dxa"/>
          </w:tcPr>
          <w:p w:rsidR="000F4BD6" w:rsidRPr="003C63AC" w:rsidRDefault="006D3569" w:rsidP="006D3569">
            <w:pPr>
              <w:pStyle w:val="BodyText"/>
              <w:spacing w:before="60" w:after="60"/>
              <w:jc w:val="left"/>
              <w:rPr>
                <w:rFonts w:ascii="Times New Roman" w:hAnsi="Times New Roman"/>
                <w:sz w:val="20"/>
                <w:szCs w:val="20"/>
              </w:rPr>
            </w:pPr>
            <w:r>
              <w:rPr>
                <w:rFonts w:ascii="Times New Roman" w:hAnsi="Times New Roman"/>
                <w:sz w:val="20"/>
                <w:szCs w:val="20"/>
              </w:rPr>
              <w:t>The Act</w:t>
            </w:r>
          </w:p>
        </w:tc>
        <w:tc>
          <w:tcPr>
            <w:tcW w:w="7796" w:type="dxa"/>
          </w:tcPr>
          <w:p w:rsidR="000F4BD6" w:rsidRPr="003C63AC" w:rsidRDefault="008F3C36" w:rsidP="00750112">
            <w:pPr>
              <w:pStyle w:val="BodyText"/>
              <w:spacing w:before="60" w:after="60"/>
              <w:jc w:val="left"/>
              <w:rPr>
                <w:rFonts w:ascii="Times New Roman" w:hAnsi="Times New Roman"/>
                <w:sz w:val="20"/>
                <w:szCs w:val="20"/>
              </w:rPr>
            </w:pPr>
            <w:r w:rsidRPr="006D3569">
              <w:rPr>
                <w:rFonts w:ascii="Times New Roman" w:hAnsi="Times New Roman"/>
                <w:i/>
                <w:sz w:val="20"/>
                <w:szCs w:val="20"/>
              </w:rPr>
              <w:t>Ozone Protection and Synthetic Greenhouse Gas Management Act 1989</w:t>
            </w:r>
            <w:r w:rsidR="000F4BD6" w:rsidRPr="003C63AC">
              <w:rPr>
                <w:rFonts w:ascii="Times New Roman" w:hAnsi="Times New Roman"/>
                <w:sz w:val="20"/>
                <w:szCs w:val="20"/>
              </w:rPr>
              <w:t>, including amendments.</w:t>
            </w:r>
          </w:p>
        </w:tc>
      </w:tr>
      <w:tr w:rsidR="000F4BD6" w:rsidRPr="003C63AC" w:rsidTr="00970385">
        <w:trPr>
          <w:trHeight w:val="342"/>
        </w:trPr>
        <w:tc>
          <w:tcPr>
            <w:tcW w:w="1843" w:type="dxa"/>
          </w:tcPr>
          <w:p w:rsidR="000F4BD6" w:rsidRPr="003C63AC" w:rsidRDefault="000F4BD6"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TNSW 2014</w:t>
            </w:r>
          </w:p>
        </w:tc>
        <w:tc>
          <w:tcPr>
            <w:tcW w:w="7796" w:type="dxa"/>
          </w:tcPr>
          <w:p w:rsidR="000F4BD6" w:rsidRPr="003C63AC" w:rsidRDefault="000F4BD6"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Vehicle Registration Initiatives, Discussion Paper, Proposals for light vehicle registration reform in NSW, Transport for New South Wales, August 2014.</w:t>
            </w:r>
          </w:p>
        </w:tc>
      </w:tr>
      <w:tr w:rsidR="000F4BD6" w:rsidRPr="003C63AC" w:rsidTr="00970385">
        <w:trPr>
          <w:trHeight w:val="342"/>
        </w:trPr>
        <w:tc>
          <w:tcPr>
            <w:tcW w:w="1843" w:type="dxa"/>
          </w:tcPr>
          <w:p w:rsidR="000F4BD6" w:rsidRPr="003C63AC" w:rsidRDefault="000F4BD6"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TNSW 2013</w:t>
            </w:r>
          </w:p>
        </w:tc>
        <w:tc>
          <w:tcPr>
            <w:tcW w:w="7796" w:type="dxa"/>
          </w:tcPr>
          <w:p w:rsidR="000F4BD6" w:rsidRPr="003C63AC" w:rsidRDefault="000F4BD6"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Road Traffic Crashes in NSW, Statistical Statement for the year ended December 2012, Centre for Road Safety, Transport for NSW, 2013.</w:t>
            </w:r>
          </w:p>
        </w:tc>
      </w:tr>
      <w:tr w:rsidR="000F4BD6" w:rsidRPr="003C63AC" w:rsidTr="00970385">
        <w:trPr>
          <w:trHeight w:val="342"/>
        </w:trPr>
        <w:tc>
          <w:tcPr>
            <w:tcW w:w="1843" w:type="dxa"/>
          </w:tcPr>
          <w:p w:rsidR="000F4BD6" w:rsidRPr="003C63AC" w:rsidRDefault="000F4BD6"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VFACTS</w:t>
            </w:r>
          </w:p>
        </w:tc>
        <w:tc>
          <w:tcPr>
            <w:tcW w:w="7796" w:type="dxa"/>
          </w:tcPr>
          <w:p w:rsidR="000F4BD6" w:rsidRPr="003C63AC" w:rsidRDefault="000F4BD6" w:rsidP="00BF187C">
            <w:pPr>
              <w:pStyle w:val="BodyText"/>
              <w:spacing w:before="60" w:after="60"/>
              <w:jc w:val="left"/>
              <w:rPr>
                <w:rFonts w:ascii="Times New Roman" w:hAnsi="Times New Roman"/>
                <w:sz w:val="20"/>
                <w:szCs w:val="20"/>
              </w:rPr>
            </w:pPr>
            <w:r w:rsidRPr="003C63AC">
              <w:rPr>
                <w:rFonts w:ascii="Times New Roman" w:hAnsi="Times New Roman"/>
                <w:sz w:val="20"/>
                <w:szCs w:val="20"/>
              </w:rPr>
              <w:t>Registration and new sales data, prepared by the Federated Chamber of Automotive Industr</w:t>
            </w:r>
            <w:r w:rsidR="00BF187C">
              <w:rPr>
                <w:rFonts w:ascii="Times New Roman" w:hAnsi="Times New Roman"/>
                <w:sz w:val="20"/>
                <w:szCs w:val="20"/>
              </w:rPr>
              <w:t>ies</w:t>
            </w:r>
            <w:r w:rsidRPr="003C63AC">
              <w:rPr>
                <w:rFonts w:ascii="Times New Roman" w:hAnsi="Times New Roman"/>
                <w:sz w:val="20"/>
                <w:szCs w:val="20"/>
              </w:rPr>
              <w:t>.</w:t>
            </w:r>
          </w:p>
        </w:tc>
      </w:tr>
      <w:tr w:rsidR="000F4BD6" w:rsidRPr="003C63AC" w:rsidTr="00970385">
        <w:trPr>
          <w:trHeight w:val="342"/>
        </w:trPr>
        <w:tc>
          <w:tcPr>
            <w:tcW w:w="1843" w:type="dxa"/>
          </w:tcPr>
          <w:p w:rsidR="000F4BD6" w:rsidRPr="003C63AC" w:rsidRDefault="000F4BD6"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VP 2014</w:t>
            </w:r>
          </w:p>
        </w:tc>
        <w:tc>
          <w:tcPr>
            <w:tcW w:w="7796" w:type="dxa"/>
          </w:tcPr>
          <w:p w:rsidR="000F4BD6" w:rsidRPr="003C63AC" w:rsidRDefault="000F4BD6"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Victorian Inter-Agency Task Force into Compliance with Local Laws and Illicit Export Activity, Task Force Discover – Final Report, prepared by the Victoria Police Crime Command (with Foreword by NMVTRC), September 2014.</w:t>
            </w:r>
          </w:p>
        </w:tc>
      </w:tr>
      <w:tr w:rsidR="000F4BD6" w:rsidRPr="003C63AC" w:rsidTr="00970385">
        <w:trPr>
          <w:trHeight w:val="342"/>
        </w:trPr>
        <w:tc>
          <w:tcPr>
            <w:tcW w:w="1843" w:type="dxa"/>
          </w:tcPr>
          <w:p w:rsidR="000F4BD6" w:rsidRPr="003C63AC" w:rsidRDefault="000F4BD6"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VR 2014</w:t>
            </w:r>
          </w:p>
        </w:tc>
        <w:tc>
          <w:tcPr>
            <w:tcW w:w="7796" w:type="dxa"/>
          </w:tcPr>
          <w:p w:rsidR="000F4BD6" w:rsidRPr="003C63AC" w:rsidRDefault="000F4BD6" w:rsidP="00970385">
            <w:pPr>
              <w:pStyle w:val="BodyText"/>
              <w:spacing w:before="60" w:after="60"/>
              <w:jc w:val="left"/>
              <w:rPr>
                <w:rFonts w:ascii="Times New Roman" w:hAnsi="Times New Roman"/>
                <w:sz w:val="20"/>
                <w:szCs w:val="20"/>
              </w:rPr>
            </w:pPr>
            <w:r w:rsidRPr="003C63AC">
              <w:rPr>
                <w:rFonts w:ascii="Times New Roman" w:hAnsi="Times New Roman"/>
                <w:sz w:val="20"/>
                <w:szCs w:val="20"/>
              </w:rPr>
              <w:t>Crash Stats, VicRoads, 2014</w:t>
            </w:r>
          </w:p>
        </w:tc>
      </w:tr>
    </w:tbl>
    <w:p w:rsidR="006D0ACC" w:rsidRPr="003C63AC" w:rsidRDefault="006D0ACC" w:rsidP="006D0ACC"/>
    <w:p w:rsidR="006D0ACC" w:rsidRPr="003C63AC" w:rsidRDefault="006D0ACC" w:rsidP="006D0ACC">
      <w:pPr>
        <w:spacing w:before="0"/>
        <w:jc w:val="left"/>
        <w:rPr>
          <w:szCs w:val="22"/>
        </w:rPr>
      </w:pPr>
    </w:p>
    <w:p w:rsidR="006D0ACC" w:rsidRPr="003C63AC" w:rsidRDefault="006D0ACC" w:rsidP="006D0ACC"/>
    <w:p w:rsidR="002A5F86" w:rsidRPr="003C63AC" w:rsidRDefault="002A5F86">
      <w:pPr>
        <w:spacing w:before="0"/>
        <w:jc w:val="left"/>
      </w:pPr>
      <w:r w:rsidRPr="003C63AC">
        <w:br w:type="page"/>
      </w:r>
    </w:p>
    <w:p w:rsidR="008A1556" w:rsidRPr="003C63AC" w:rsidRDefault="008A1556" w:rsidP="008A1556">
      <w:pPr>
        <w:pStyle w:val="Heading1"/>
        <w:numPr>
          <w:ilvl w:val="0"/>
          <w:numId w:val="0"/>
        </w:numPr>
        <w:rPr>
          <w:lang w:val="en-AU"/>
        </w:rPr>
      </w:pPr>
      <w:bookmarkStart w:id="33" w:name="_Toc430778991"/>
      <w:r w:rsidRPr="003C63AC">
        <w:rPr>
          <w:lang w:val="en-AU"/>
        </w:rPr>
        <w:t>Appendix</w:t>
      </w:r>
      <w:r w:rsidR="006D0ACC" w:rsidRPr="003C63AC">
        <w:rPr>
          <w:lang w:val="en-AU"/>
        </w:rPr>
        <w:t xml:space="preserve"> A</w:t>
      </w:r>
      <w:bookmarkEnd w:id="33"/>
    </w:p>
    <w:p w:rsidR="008A1556" w:rsidRPr="003C63AC" w:rsidRDefault="008A1556" w:rsidP="00C61E41">
      <w:pPr>
        <w:pStyle w:val="Heading2"/>
        <w:numPr>
          <w:ilvl w:val="0"/>
          <w:numId w:val="0"/>
        </w:numPr>
      </w:pPr>
      <w:bookmarkStart w:id="34" w:name="_Toc430778992"/>
      <w:r w:rsidRPr="003C63AC">
        <w:t>ELV model data sources and explanation</w:t>
      </w:r>
      <w:bookmarkEnd w:id="34"/>
      <w:r w:rsidRPr="003C63AC">
        <w:t xml:space="preserve"> </w:t>
      </w:r>
    </w:p>
    <w:p w:rsidR="00302594" w:rsidRPr="00AD4F11" w:rsidRDefault="00302594" w:rsidP="00302594">
      <w:pPr>
        <w:rPr>
          <w:rFonts w:cs="Times New Roman"/>
        </w:rPr>
      </w:pPr>
      <w:r w:rsidRPr="003C63AC">
        <w:rPr>
          <w:rFonts w:cs="Times New Roman"/>
        </w:rPr>
        <w:t xml:space="preserve">A model has been developed to predict volumes of ELVs per annum by refrigerant type (i.e. no-MAC, CFC-12, HFC-134a and low GWP refrigerants with a GWP &lt;10) out to 2025. </w:t>
      </w:r>
    </w:p>
    <w:p w:rsidR="00302594" w:rsidRPr="003C63AC" w:rsidRDefault="00302594" w:rsidP="00302594">
      <w:pPr>
        <w:rPr>
          <w:rFonts w:cs="Times New Roman"/>
        </w:rPr>
      </w:pPr>
      <w:r w:rsidRPr="005728F4">
        <w:rPr>
          <w:rFonts w:cs="Times New Roman"/>
        </w:rPr>
        <w:t>The ELV model is a stock and retirement model based on the cumulative distribution function of a normal distribution with mean (μ) and standard deviation (σ) and a cumulative distribution function of a uniform distribution for the upper tail. The form of this model was chosen and th</w:t>
      </w:r>
      <w:r w:rsidRPr="000F5EF8">
        <w:rPr>
          <w:rFonts w:cs="Times New Roman"/>
        </w:rPr>
        <w:t xml:space="preserve">e parameters of the distributions estimated using new vehicle sales from 1945 to 2025 and the age distribution of vehicles in the </w:t>
      </w:r>
      <w:r w:rsidRPr="004F1732">
        <w:t>ABS Census of Motor Vehicles, 2014</w:t>
      </w:r>
      <w:r w:rsidRPr="004F1732">
        <w:rPr>
          <w:rFonts w:cs="Times New Roman"/>
        </w:rPr>
        <w:t xml:space="preserve">. This model is used to estimate and predict vehicle stocks in each year and ELVs per annum </w:t>
      </w:r>
      <w:r w:rsidRPr="00AD02ED">
        <w:rPr>
          <w:rFonts w:cs="Times New Roman"/>
        </w:rPr>
        <w:t>by refrigerant type based on year of manufacture.</w:t>
      </w:r>
      <w:r w:rsidRPr="00D357AA">
        <w:t xml:space="preserve"> The survival curve is illustrated in </w:t>
      </w:r>
      <w:r w:rsidRPr="00920E28">
        <w:rPr>
          <w:i/>
        </w:rPr>
        <w:t xml:space="preserve">Figure </w:t>
      </w:r>
      <w:r w:rsidR="003C63AC" w:rsidRPr="003C63AC">
        <w:rPr>
          <w:i/>
        </w:rPr>
        <w:t>17</w:t>
      </w:r>
      <w:r w:rsidR="003C63AC" w:rsidRPr="003C63AC">
        <w:t>, which</w:t>
      </w:r>
      <w:r w:rsidRPr="003C63AC">
        <w:t xml:space="preserve"> is a normal distribution with a mean retirement age of 18.6 years and a standard deviation of 6.2 years up to age 27, then uniform distribution out to age 64 years where it hits 100</w:t>
      </w:r>
      <w:r w:rsidR="004D498D">
        <w:t xml:space="preserve"> per cent</w:t>
      </w:r>
      <w:r w:rsidRPr="003C63AC">
        <w:t xml:space="preserve"> of retirements. </w:t>
      </w:r>
      <w:r w:rsidRPr="003C63AC">
        <w:rPr>
          <w:i/>
        </w:rPr>
        <w:t>Figure 18</w:t>
      </w:r>
      <w:r w:rsidRPr="003C63AC">
        <w:t xml:space="preserve"> shows a comparison of the fit of the model age distribution in 2013 versus the ABS TableBuilder data.</w:t>
      </w:r>
    </w:p>
    <w:p w:rsidR="00302594" w:rsidRPr="003C63AC" w:rsidRDefault="00302594" w:rsidP="00302594">
      <w:pPr>
        <w:rPr>
          <w:rFonts w:cs="Times New Roman"/>
        </w:rPr>
      </w:pPr>
      <w:r w:rsidRPr="003C63AC">
        <w:rPr>
          <w:rFonts w:cs="Times New Roman"/>
        </w:rPr>
        <w:t>The primary data sources used to develop the ELV model, annual stock levels and ELVs include:</w:t>
      </w:r>
    </w:p>
    <w:p w:rsidR="00302594" w:rsidRPr="003C63AC" w:rsidRDefault="00302594" w:rsidP="00AD7504">
      <w:pPr>
        <w:pStyle w:val="ListParagraph"/>
        <w:numPr>
          <w:ilvl w:val="0"/>
          <w:numId w:val="9"/>
        </w:numPr>
        <w:spacing w:before="120" w:after="0" w:line="240" w:lineRule="auto"/>
        <w:contextualSpacing w:val="0"/>
        <w:jc w:val="both"/>
        <w:rPr>
          <w:rFonts w:ascii="Times New Roman" w:hAnsi="Times New Roman"/>
        </w:rPr>
      </w:pPr>
      <w:r w:rsidRPr="003C63AC">
        <w:rPr>
          <w:rFonts w:ascii="Times New Roman" w:hAnsi="Times New Roman"/>
        </w:rPr>
        <w:t xml:space="preserve">ABS Census of Motor Vehicles, 2014, TableBuilder. This provides the age distribution of (based on year of manufacture) vehicles at 31 January 2014 (i.e. assume equivalent to end of 2013) to develop a survival curve. </w:t>
      </w:r>
    </w:p>
    <w:p w:rsidR="00302594" w:rsidRPr="00920E28" w:rsidRDefault="00302594" w:rsidP="00AD7504">
      <w:pPr>
        <w:pStyle w:val="ListParagraph"/>
        <w:numPr>
          <w:ilvl w:val="0"/>
          <w:numId w:val="9"/>
        </w:numPr>
        <w:spacing w:before="120" w:after="0" w:line="240" w:lineRule="auto"/>
        <w:contextualSpacing w:val="0"/>
        <w:jc w:val="both"/>
      </w:pPr>
      <w:r w:rsidRPr="003C63AC">
        <w:rPr>
          <w:rFonts w:ascii="Times New Roman" w:hAnsi="Times New Roman"/>
        </w:rPr>
        <w:t xml:space="preserve">ABS Catalogue 9309.0, Census of Motor Vehicles </w:t>
      </w:r>
      <w:r w:rsidR="003C63AC">
        <w:rPr>
          <w:rFonts w:ascii="Times New Roman" w:hAnsi="Times New Roman"/>
        </w:rPr>
        <w:t>-</w:t>
      </w:r>
      <w:r w:rsidR="003C63AC" w:rsidRPr="003C63AC">
        <w:rPr>
          <w:rFonts w:ascii="Times New Roman" w:hAnsi="Times New Roman"/>
        </w:rPr>
        <w:t xml:space="preserve"> </w:t>
      </w:r>
      <w:r w:rsidRPr="003C63AC">
        <w:rPr>
          <w:rFonts w:ascii="Times New Roman" w:hAnsi="Times New Roman"/>
        </w:rPr>
        <w:t xml:space="preserve">undertaken annually from 1955 to 2014 with some exceptions (i.e. 2000, 1994, 1992, etc.) based on motor vehicle registrations as well as ABS Catalogue 9311.0 Motor Vehicles in Australia. The Motor Vehicle Census </w:t>
      </w:r>
      <w:r w:rsidRPr="00AD4F11">
        <w:rPr>
          <w:rFonts w:ascii="Times New Roman" w:hAnsi="Times New Roman"/>
        </w:rPr>
        <w:t xml:space="preserve">(MVC) </w:t>
      </w:r>
      <w:r w:rsidRPr="005728F4">
        <w:rPr>
          <w:rFonts w:ascii="Times New Roman" w:hAnsi="Times New Roman"/>
        </w:rPr>
        <w:t>is a count of all in-</w:t>
      </w:r>
      <w:r w:rsidR="00455FD8" w:rsidRPr="000F5EF8">
        <w:rPr>
          <w:rFonts w:ascii="Times New Roman" w:hAnsi="Times New Roman"/>
        </w:rPr>
        <w:t>scope vehicles registered with S</w:t>
      </w:r>
      <w:r w:rsidRPr="004F1732">
        <w:rPr>
          <w:rFonts w:ascii="Times New Roman" w:hAnsi="Times New Roman"/>
        </w:rPr>
        <w:t xml:space="preserve">tate or </w:t>
      </w:r>
      <w:r w:rsidR="00455FD8" w:rsidRPr="004F1732">
        <w:rPr>
          <w:rFonts w:ascii="Times New Roman" w:hAnsi="Times New Roman"/>
        </w:rPr>
        <w:t>T</w:t>
      </w:r>
      <w:r w:rsidRPr="00AD02ED">
        <w:rPr>
          <w:rFonts w:ascii="Times New Roman" w:hAnsi="Times New Roman"/>
        </w:rPr>
        <w:t xml:space="preserve">erritory motor vehicle registration authorities (MVR). </w:t>
      </w:r>
      <w:r w:rsidRPr="00D357AA">
        <w:rPr>
          <w:rFonts w:ascii="Times New Roman" w:hAnsi="Times New Roman"/>
          <w:i/>
        </w:rPr>
        <w:t xml:space="preserve">Figure 19 </w:t>
      </w:r>
      <w:r w:rsidRPr="00920E28">
        <w:rPr>
          <w:rFonts w:ascii="Times New Roman" w:hAnsi="Times New Roman"/>
        </w:rPr>
        <w:t>provides a comparison of the model stock versus ABS registrations plus a stock prediction out to 2025.</w:t>
      </w:r>
    </w:p>
    <w:p w:rsidR="00C92734" w:rsidRPr="003C63AC" w:rsidRDefault="00302594" w:rsidP="00AD7504">
      <w:pPr>
        <w:pStyle w:val="ListParagraph"/>
        <w:numPr>
          <w:ilvl w:val="0"/>
          <w:numId w:val="9"/>
        </w:numPr>
        <w:spacing w:before="120" w:after="0" w:line="240" w:lineRule="auto"/>
        <w:contextualSpacing w:val="0"/>
        <w:jc w:val="both"/>
      </w:pPr>
      <w:r w:rsidRPr="003C63AC">
        <w:rPr>
          <w:rFonts w:ascii="Times New Roman" w:hAnsi="Times New Roman"/>
        </w:rPr>
        <w:t xml:space="preserve">Federal Chamber of Automotive </w:t>
      </w:r>
      <w:r w:rsidR="008C3707">
        <w:rPr>
          <w:rFonts w:ascii="Times New Roman" w:hAnsi="Times New Roman"/>
        </w:rPr>
        <w:t>I</w:t>
      </w:r>
      <w:r w:rsidRPr="003C63AC">
        <w:rPr>
          <w:rFonts w:ascii="Times New Roman" w:hAnsi="Times New Roman"/>
        </w:rPr>
        <w:t xml:space="preserve">ndustries, VFACTS new vehicle sales from 2006 to 2013. New vehicles sales from ABS Catalogue 9314.0, other ABS vehicle registration publications with linear projections to estimate missing data points back to 1945. The new sales data used in the model is provided in </w:t>
      </w:r>
      <w:r w:rsidRPr="003C63AC">
        <w:rPr>
          <w:rFonts w:ascii="Times New Roman" w:hAnsi="Times New Roman"/>
          <w:i/>
        </w:rPr>
        <w:t>Figure 20</w:t>
      </w:r>
      <w:r w:rsidRPr="003C63AC">
        <w:rPr>
          <w:rFonts w:ascii="Times New Roman" w:hAnsi="Times New Roman"/>
        </w:rPr>
        <w:t>.</w:t>
      </w:r>
    </w:p>
    <w:p w:rsidR="00302594" w:rsidRPr="003C63AC" w:rsidRDefault="00302594" w:rsidP="00302594"/>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39"/>
      </w:tblGrid>
      <w:tr w:rsidR="008A1556" w:rsidRPr="003C63AC" w:rsidTr="00222DCC">
        <w:tc>
          <w:tcPr>
            <w:tcW w:w="9639" w:type="dxa"/>
            <w:vAlign w:val="center"/>
          </w:tcPr>
          <w:p w:rsidR="008A1556" w:rsidRPr="003C63AC" w:rsidRDefault="008A1556" w:rsidP="00222DCC">
            <w:pPr>
              <w:spacing w:after="120"/>
              <w:jc w:val="center"/>
              <w:rPr>
                <w:b/>
              </w:rPr>
            </w:pPr>
            <w:r w:rsidRPr="003C63AC">
              <w:rPr>
                <w:b/>
              </w:rPr>
              <w:br w:type="page"/>
              <w:t>Survival curve used to model the vehicle fleet</w:t>
            </w:r>
          </w:p>
        </w:tc>
      </w:tr>
      <w:tr w:rsidR="008A1556" w:rsidRPr="003C63AC" w:rsidTr="00222DCC">
        <w:tc>
          <w:tcPr>
            <w:tcW w:w="9639" w:type="dxa"/>
            <w:vAlign w:val="center"/>
          </w:tcPr>
          <w:p w:rsidR="008A1556" w:rsidRPr="003C63AC" w:rsidRDefault="008A1556" w:rsidP="00222DCC">
            <w:pPr>
              <w:spacing w:before="60" w:after="60"/>
              <w:jc w:val="center"/>
              <w:rPr>
                <w:sz w:val="16"/>
                <w:szCs w:val="16"/>
              </w:rPr>
            </w:pPr>
          </w:p>
          <w:p w:rsidR="008A1556" w:rsidRPr="003C63AC" w:rsidRDefault="008A1556" w:rsidP="00222DCC">
            <w:pPr>
              <w:spacing w:before="60" w:after="60"/>
              <w:jc w:val="center"/>
              <w:rPr>
                <w:sz w:val="16"/>
                <w:szCs w:val="16"/>
              </w:rPr>
            </w:pPr>
            <w:r w:rsidRPr="003C63AC">
              <w:rPr>
                <w:noProof/>
                <w:lang w:eastAsia="en-AU"/>
              </w:rPr>
              <w:drawing>
                <wp:inline distT="0" distB="0" distL="0" distR="0">
                  <wp:extent cx="6016625" cy="2540000"/>
                  <wp:effectExtent l="0" t="0" r="317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A1556" w:rsidRPr="003C63AC" w:rsidRDefault="008A1556" w:rsidP="00222DCC">
            <w:pPr>
              <w:spacing w:before="60" w:after="60"/>
              <w:jc w:val="center"/>
              <w:rPr>
                <w:sz w:val="16"/>
                <w:szCs w:val="16"/>
              </w:rPr>
            </w:pPr>
          </w:p>
        </w:tc>
      </w:tr>
      <w:tr w:rsidR="008A1556" w:rsidRPr="003C63AC" w:rsidTr="00222DCC">
        <w:tc>
          <w:tcPr>
            <w:tcW w:w="9639" w:type="dxa"/>
            <w:vAlign w:val="center"/>
          </w:tcPr>
          <w:p w:rsidR="008A1556" w:rsidRPr="003C63AC" w:rsidRDefault="00C92734" w:rsidP="00C92734">
            <w:pPr>
              <w:spacing w:before="60" w:after="60"/>
              <w:rPr>
                <w:i/>
              </w:rPr>
            </w:pPr>
            <w:r w:rsidRPr="003C63AC">
              <w:rPr>
                <w:i/>
                <w:sz w:val="20"/>
              </w:rPr>
              <w:t xml:space="preserve">Figure </w:t>
            </w:r>
            <w:r w:rsidR="00F005B2" w:rsidRPr="003C63AC">
              <w:rPr>
                <w:i/>
                <w:sz w:val="20"/>
              </w:rPr>
              <w:fldChar w:fldCharType="begin"/>
            </w:r>
            <w:r w:rsidRPr="003C63AC">
              <w:rPr>
                <w:i/>
                <w:sz w:val="20"/>
              </w:rPr>
              <w:instrText xml:space="preserve"> SEQ Figure \* ARABIC </w:instrText>
            </w:r>
            <w:r w:rsidR="00F005B2" w:rsidRPr="003C63AC">
              <w:rPr>
                <w:i/>
                <w:sz w:val="20"/>
              </w:rPr>
              <w:fldChar w:fldCharType="separate"/>
            </w:r>
            <w:r w:rsidR="00DE265F">
              <w:rPr>
                <w:i/>
                <w:noProof/>
                <w:sz w:val="20"/>
              </w:rPr>
              <w:t>17</w:t>
            </w:r>
            <w:r w:rsidR="00F005B2" w:rsidRPr="003C63AC">
              <w:rPr>
                <w:i/>
                <w:sz w:val="20"/>
              </w:rPr>
              <w:fldChar w:fldCharType="end"/>
            </w:r>
            <w:r w:rsidRPr="003C63AC">
              <w:rPr>
                <w:i/>
                <w:sz w:val="20"/>
              </w:rPr>
              <w:t xml:space="preserve">: </w:t>
            </w:r>
            <w:r w:rsidR="008A1556" w:rsidRPr="003C63AC">
              <w:rPr>
                <w:i/>
                <w:sz w:val="20"/>
              </w:rPr>
              <w:t xml:space="preserve">Survival curve used to model the vehicle fleet  – </w:t>
            </w:r>
            <w:r w:rsidRPr="003C63AC">
              <w:rPr>
                <w:i/>
                <w:sz w:val="20"/>
              </w:rPr>
              <w:t>%</w:t>
            </w:r>
            <w:r w:rsidR="008A1556" w:rsidRPr="003C63AC">
              <w:rPr>
                <w:i/>
                <w:sz w:val="20"/>
              </w:rPr>
              <w:t xml:space="preserve"> of vehicles remaining in the fleet after X years.</w:t>
            </w:r>
          </w:p>
        </w:tc>
      </w:tr>
    </w:tbl>
    <w:p w:rsidR="008A1556" w:rsidRPr="003C63AC" w:rsidRDefault="008A1556" w:rsidP="008A1556">
      <w:pPr>
        <w:rPr>
          <w:rFonts w:cs="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39"/>
      </w:tblGrid>
      <w:tr w:rsidR="008A1556" w:rsidRPr="003C63AC" w:rsidTr="00222DCC">
        <w:tc>
          <w:tcPr>
            <w:tcW w:w="9639" w:type="dxa"/>
            <w:vAlign w:val="center"/>
          </w:tcPr>
          <w:p w:rsidR="008A1556" w:rsidRPr="003C63AC" w:rsidRDefault="008A1556" w:rsidP="00222DCC">
            <w:pPr>
              <w:spacing w:after="120"/>
              <w:jc w:val="center"/>
              <w:rPr>
                <w:b/>
              </w:rPr>
            </w:pPr>
            <w:r w:rsidRPr="003C63AC">
              <w:rPr>
                <w:b/>
              </w:rPr>
              <w:br w:type="page"/>
              <w:t xml:space="preserve">Comparison of model and ABS vehicle age profiles in 2013 </w:t>
            </w:r>
          </w:p>
        </w:tc>
      </w:tr>
      <w:tr w:rsidR="008A1556" w:rsidRPr="003C63AC" w:rsidTr="00222DCC">
        <w:tc>
          <w:tcPr>
            <w:tcW w:w="9639" w:type="dxa"/>
            <w:vAlign w:val="center"/>
          </w:tcPr>
          <w:p w:rsidR="008A1556" w:rsidRPr="003C63AC" w:rsidRDefault="008A1556" w:rsidP="00222DCC">
            <w:pPr>
              <w:spacing w:before="60" w:after="60"/>
              <w:jc w:val="center"/>
              <w:rPr>
                <w:sz w:val="16"/>
                <w:szCs w:val="16"/>
              </w:rPr>
            </w:pPr>
          </w:p>
          <w:p w:rsidR="008A1556" w:rsidRPr="003C63AC" w:rsidRDefault="008A1556" w:rsidP="00222DCC">
            <w:pPr>
              <w:spacing w:before="60" w:after="60"/>
              <w:jc w:val="center"/>
              <w:rPr>
                <w:sz w:val="16"/>
                <w:szCs w:val="16"/>
              </w:rPr>
            </w:pPr>
            <w:r w:rsidRPr="003C63AC">
              <w:rPr>
                <w:noProof/>
                <w:lang w:eastAsia="en-AU"/>
              </w:rPr>
              <w:drawing>
                <wp:inline distT="0" distB="0" distL="0" distR="0">
                  <wp:extent cx="5807170" cy="3198495"/>
                  <wp:effectExtent l="0" t="0" r="9525" b="19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A1556" w:rsidRPr="003C63AC" w:rsidRDefault="008A1556" w:rsidP="00222DCC">
            <w:pPr>
              <w:spacing w:before="60" w:after="60"/>
              <w:jc w:val="center"/>
              <w:rPr>
                <w:sz w:val="16"/>
                <w:szCs w:val="16"/>
              </w:rPr>
            </w:pPr>
          </w:p>
        </w:tc>
      </w:tr>
      <w:tr w:rsidR="008A1556" w:rsidRPr="003C63AC" w:rsidTr="00222DCC">
        <w:tc>
          <w:tcPr>
            <w:tcW w:w="9639" w:type="dxa"/>
            <w:vAlign w:val="center"/>
          </w:tcPr>
          <w:p w:rsidR="008A1556" w:rsidRPr="003C63AC" w:rsidRDefault="00C92734" w:rsidP="00222DCC">
            <w:pPr>
              <w:spacing w:before="60" w:after="60"/>
              <w:rPr>
                <w:i/>
              </w:rPr>
            </w:pPr>
            <w:r w:rsidRPr="003C63AC">
              <w:rPr>
                <w:i/>
                <w:sz w:val="20"/>
              </w:rPr>
              <w:t xml:space="preserve">Figure </w:t>
            </w:r>
            <w:r w:rsidR="00F005B2" w:rsidRPr="003C63AC">
              <w:rPr>
                <w:i/>
                <w:sz w:val="20"/>
              </w:rPr>
              <w:fldChar w:fldCharType="begin"/>
            </w:r>
            <w:r w:rsidRPr="003C63AC">
              <w:rPr>
                <w:i/>
                <w:sz w:val="20"/>
              </w:rPr>
              <w:instrText xml:space="preserve"> SEQ Figure \* ARABIC </w:instrText>
            </w:r>
            <w:r w:rsidR="00F005B2" w:rsidRPr="003C63AC">
              <w:rPr>
                <w:i/>
                <w:sz w:val="20"/>
              </w:rPr>
              <w:fldChar w:fldCharType="separate"/>
            </w:r>
            <w:r w:rsidR="00DE265F">
              <w:rPr>
                <w:i/>
                <w:noProof/>
                <w:sz w:val="20"/>
              </w:rPr>
              <w:t>18</w:t>
            </w:r>
            <w:r w:rsidR="00F005B2" w:rsidRPr="003C63AC">
              <w:rPr>
                <w:i/>
                <w:sz w:val="20"/>
              </w:rPr>
              <w:fldChar w:fldCharType="end"/>
            </w:r>
            <w:r w:rsidR="008A1556" w:rsidRPr="003C63AC">
              <w:rPr>
                <w:i/>
                <w:sz w:val="20"/>
              </w:rPr>
              <w:t>: Comparison of model and ABS vehicle age profiles in 2013.</w:t>
            </w:r>
          </w:p>
        </w:tc>
      </w:tr>
    </w:tbl>
    <w:p w:rsidR="008A1556" w:rsidRPr="003C63AC" w:rsidRDefault="008A1556" w:rsidP="008A1556">
      <w:pPr>
        <w:rPr>
          <w:rFonts w:cs="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39"/>
      </w:tblGrid>
      <w:tr w:rsidR="008A1556" w:rsidRPr="003C63AC" w:rsidTr="00222DCC">
        <w:tc>
          <w:tcPr>
            <w:tcW w:w="9639" w:type="dxa"/>
            <w:vAlign w:val="center"/>
          </w:tcPr>
          <w:p w:rsidR="008A1556" w:rsidRPr="003C63AC" w:rsidRDefault="008A1556" w:rsidP="00222DCC">
            <w:pPr>
              <w:spacing w:after="120"/>
              <w:jc w:val="center"/>
              <w:rPr>
                <w:b/>
              </w:rPr>
            </w:pPr>
            <w:r w:rsidRPr="003C63AC">
              <w:rPr>
                <w:b/>
              </w:rPr>
              <w:br w:type="page"/>
              <w:t>Comparison of model stock versus ABS registrations</w:t>
            </w:r>
          </w:p>
        </w:tc>
      </w:tr>
      <w:tr w:rsidR="008A1556" w:rsidRPr="003C63AC" w:rsidTr="00222DCC">
        <w:tc>
          <w:tcPr>
            <w:tcW w:w="9639" w:type="dxa"/>
            <w:vAlign w:val="center"/>
          </w:tcPr>
          <w:p w:rsidR="008A1556" w:rsidRPr="003C63AC" w:rsidRDefault="008A1556" w:rsidP="00222DCC">
            <w:pPr>
              <w:spacing w:before="60" w:after="60"/>
              <w:jc w:val="center"/>
              <w:rPr>
                <w:sz w:val="16"/>
                <w:szCs w:val="16"/>
              </w:rPr>
            </w:pPr>
          </w:p>
          <w:p w:rsidR="008A1556" w:rsidRPr="003C63AC" w:rsidRDefault="008A1556" w:rsidP="00222DCC">
            <w:pPr>
              <w:spacing w:before="60" w:after="60"/>
              <w:jc w:val="center"/>
              <w:rPr>
                <w:sz w:val="16"/>
                <w:szCs w:val="16"/>
              </w:rPr>
            </w:pPr>
            <w:r w:rsidRPr="003C63AC">
              <w:rPr>
                <w:noProof/>
                <w:lang w:eastAsia="en-AU"/>
              </w:rPr>
              <w:drawing>
                <wp:inline distT="0" distB="0" distL="0" distR="0">
                  <wp:extent cx="5850890" cy="290857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A1556" w:rsidRPr="003C63AC" w:rsidRDefault="008A1556" w:rsidP="00222DCC">
            <w:pPr>
              <w:spacing w:before="60" w:after="60"/>
              <w:jc w:val="center"/>
              <w:rPr>
                <w:sz w:val="16"/>
                <w:szCs w:val="16"/>
              </w:rPr>
            </w:pPr>
          </w:p>
        </w:tc>
      </w:tr>
      <w:tr w:rsidR="008A1556" w:rsidRPr="003C63AC" w:rsidTr="00222DCC">
        <w:tc>
          <w:tcPr>
            <w:tcW w:w="9639" w:type="dxa"/>
            <w:vAlign w:val="center"/>
          </w:tcPr>
          <w:p w:rsidR="008A1556" w:rsidRPr="003C63AC" w:rsidRDefault="00C92734" w:rsidP="00222DCC">
            <w:pPr>
              <w:spacing w:before="60" w:after="60"/>
              <w:rPr>
                <w:i/>
              </w:rPr>
            </w:pPr>
            <w:r w:rsidRPr="003C63AC">
              <w:rPr>
                <w:i/>
                <w:sz w:val="20"/>
              </w:rPr>
              <w:t xml:space="preserve">Figure </w:t>
            </w:r>
            <w:r w:rsidR="00F005B2" w:rsidRPr="003C63AC">
              <w:rPr>
                <w:i/>
                <w:sz w:val="20"/>
              </w:rPr>
              <w:fldChar w:fldCharType="begin"/>
            </w:r>
            <w:r w:rsidRPr="003C63AC">
              <w:rPr>
                <w:i/>
                <w:sz w:val="20"/>
              </w:rPr>
              <w:instrText xml:space="preserve"> SEQ Figure \* ARABIC </w:instrText>
            </w:r>
            <w:r w:rsidR="00F005B2" w:rsidRPr="003C63AC">
              <w:rPr>
                <w:i/>
                <w:sz w:val="20"/>
              </w:rPr>
              <w:fldChar w:fldCharType="separate"/>
            </w:r>
            <w:r w:rsidR="00DE265F">
              <w:rPr>
                <w:i/>
                <w:noProof/>
                <w:sz w:val="20"/>
              </w:rPr>
              <w:t>19</w:t>
            </w:r>
            <w:r w:rsidR="00F005B2" w:rsidRPr="003C63AC">
              <w:rPr>
                <w:i/>
                <w:sz w:val="20"/>
              </w:rPr>
              <w:fldChar w:fldCharType="end"/>
            </w:r>
            <w:r w:rsidR="008A1556" w:rsidRPr="003C63AC">
              <w:rPr>
                <w:i/>
                <w:sz w:val="20"/>
              </w:rPr>
              <w:t>: Comparison of model stock versus ABS registrations, and stock projection out to 2025.</w:t>
            </w:r>
          </w:p>
        </w:tc>
      </w:tr>
    </w:tbl>
    <w:p w:rsidR="008A1556" w:rsidRPr="003C63AC" w:rsidRDefault="008A1556" w:rsidP="008A1556">
      <w:pPr>
        <w:rPr>
          <w:rFonts w:cs="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39"/>
      </w:tblGrid>
      <w:tr w:rsidR="008A1556" w:rsidRPr="003C63AC" w:rsidTr="00222DCC">
        <w:tc>
          <w:tcPr>
            <w:tcW w:w="9639" w:type="dxa"/>
            <w:vAlign w:val="center"/>
          </w:tcPr>
          <w:p w:rsidR="008A1556" w:rsidRPr="003C63AC" w:rsidRDefault="008A1556" w:rsidP="00222DCC">
            <w:pPr>
              <w:spacing w:after="120"/>
              <w:jc w:val="center"/>
              <w:rPr>
                <w:b/>
              </w:rPr>
            </w:pPr>
            <w:r w:rsidRPr="003C63AC">
              <w:rPr>
                <w:b/>
              </w:rPr>
              <w:br w:type="page"/>
              <w:t>New vehicle sales per annum from 1945 to 2025 used in model</w:t>
            </w:r>
          </w:p>
        </w:tc>
      </w:tr>
      <w:tr w:rsidR="008A1556" w:rsidRPr="003C63AC" w:rsidTr="00222DCC">
        <w:tc>
          <w:tcPr>
            <w:tcW w:w="9639" w:type="dxa"/>
            <w:vAlign w:val="center"/>
          </w:tcPr>
          <w:p w:rsidR="008A1556" w:rsidRPr="003C63AC" w:rsidRDefault="008A1556" w:rsidP="00222DCC">
            <w:pPr>
              <w:spacing w:before="60" w:after="60"/>
              <w:jc w:val="center"/>
              <w:rPr>
                <w:sz w:val="16"/>
                <w:szCs w:val="16"/>
              </w:rPr>
            </w:pPr>
          </w:p>
          <w:p w:rsidR="008A1556" w:rsidRPr="003C63AC" w:rsidRDefault="008A1556" w:rsidP="00222DCC">
            <w:pPr>
              <w:spacing w:before="60" w:after="60"/>
              <w:jc w:val="center"/>
              <w:rPr>
                <w:sz w:val="16"/>
                <w:szCs w:val="16"/>
              </w:rPr>
            </w:pPr>
            <w:r w:rsidRPr="003C63AC">
              <w:rPr>
                <w:noProof/>
                <w:lang w:eastAsia="en-AU"/>
              </w:rPr>
              <w:drawing>
                <wp:inline distT="0" distB="0" distL="0" distR="0">
                  <wp:extent cx="5914160" cy="2743200"/>
                  <wp:effectExtent l="0" t="0" r="444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A1556" w:rsidRPr="003C63AC" w:rsidRDefault="008A1556" w:rsidP="00222DCC">
            <w:pPr>
              <w:spacing w:before="60" w:after="60"/>
              <w:jc w:val="center"/>
              <w:rPr>
                <w:sz w:val="16"/>
                <w:szCs w:val="16"/>
              </w:rPr>
            </w:pPr>
          </w:p>
        </w:tc>
      </w:tr>
      <w:tr w:rsidR="008A1556" w:rsidRPr="003C63AC" w:rsidTr="00222DCC">
        <w:tc>
          <w:tcPr>
            <w:tcW w:w="9639" w:type="dxa"/>
            <w:vAlign w:val="center"/>
          </w:tcPr>
          <w:p w:rsidR="008A1556" w:rsidRPr="003C63AC" w:rsidRDefault="00C92734" w:rsidP="00222DCC">
            <w:pPr>
              <w:spacing w:before="60" w:after="60"/>
              <w:rPr>
                <w:i/>
              </w:rPr>
            </w:pPr>
            <w:r w:rsidRPr="003C63AC">
              <w:rPr>
                <w:i/>
                <w:sz w:val="20"/>
              </w:rPr>
              <w:t xml:space="preserve">Figure </w:t>
            </w:r>
            <w:r w:rsidR="00F005B2" w:rsidRPr="003C63AC">
              <w:rPr>
                <w:i/>
                <w:sz w:val="20"/>
              </w:rPr>
              <w:fldChar w:fldCharType="begin"/>
            </w:r>
            <w:r w:rsidRPr="003C63AC">
              <w:rPr>
                <w:i/>
                <w:sz w:val="20"/>
              </w:rPr>
              <w:instrText xml:space="preserve"> SEQ Figure \* ARABIC </w:instrText>
            </w:r>
            <w:r w:rsidR="00F005B2" w:rsidRPr="003C63AC">
              <w:rPr>
                <w:i/>
                <w:sz w:val="20"/>
              </w:rPr>
              <w:fldChar w:fldCharType="separate"/>
            </w:r>
            <w:r w:rsidR="00DE265F">
              <w:rPr>
                <w:i/>
                <w:noProof/>
                <w:sz w:val="20"/>
              </w:rPr>
              <w:t>20</w:t>
            </w:r>
            <w:r w:rsidR="00F005B2" w:rsidRPr="003C63AC">
              <w:rPr>
                <w:i/>
                <w:sz w:val="20"/>
              </w:rPr>
              <w:fldChar w:fldCharType="end"/>
            </w:r>
            <w:r w:rsidRPr="003C63AC">
              <w:rPr>
                <w:i/>
                <w:sz w:val="20"/>
              </w:rPr>
              <w:t xml:space="preserve">: </w:t>
            </w:r>
            <w:r w:rsidR="008A1556" w:rsidRPr="003C63AC">
              <w:rPr>
                <w:i/>
                <w:sz w:val="20"/>
              </w:rPr>
              <w:t>New vehicle sales per annum from 1945 to 2025 used in model.</w:t>
            </w:r>
          </w:p>
        </w:tc>
      </w:tr>
    </w:tbl>
    <w:p w:rsidR="008A1556" w:rsidRPr="003C63AC" w:rsidRDefault="008A1556" w:rsidP="008A1556">
      <w:pPr>
        <w:rPr>
          <w:rFonts w:cs="Times New Roman"/>
        </w:rPr>
      </w:pPr>
    </w:p>
    <w:p w:rsidR="008A1556" w:rsidRPr="003C63AC" w:rsidRDefault="008A1556" w:rsidP="00C61E41">
      <w:pPr>
        <w:pStyle w:val="Heading2"/>
        <w:numPr>
          <w:ilvl w:val="0"/>
          <w:numId w:val="0"/>
        </w:numPr>
      </w:pPr>
      <w:bookmarkStart w:id="35" w:name="_Toc430778993"/>
      <w:r w:rsidRPr="003C63AC">
        <w:t>ELV model prediction versus ABS attrition</w:t>
      </w:r>
      <w:bookmarkEnd w:id="35"/>
    </w:p>
    <w:p w:rsidR="008C42FF" w:rsidRPr="005728F4" w:rsidRDefault="008C42FF" w:rsidP="008C42FF">
      <w:pPr>
        <w:rPr>
          <w:rFonts w:cs="Times New Roman"/>
        </w:rPr>
      </w:pPr>
      <w:r w:rsidRPr="003C63AC">
        <w:rPr>
          <w:rFonts w:cs="Times New Roman"/>
        </w:rPr>
        <w:t>The ELV model calculates the number of units of a particular vintage that remain in service (the stock) in the middle of</w:t>
      </w:r>
      <w:r w:rsidRPr="00AD4F11">
        <w:rPr>
          <w:rFonts w:cs="Times New Roman"/>
        </w:rPr>
        <w:t xml:space="preserve"> a given year </w:t>
      </w:r>
      <w:r w:rsidRPr="005728F4">
        <w:rPr>
          <w:rFonts w:cs="Times New Roman"/>
        </w:rPr>
        <w:t xml:space="preserve">and the number of units that are scrapped in the given year from each previous year. </w:t>
      </w:r>
    </w:p>
    <w:p w:rsidR="008C42FF" w:rsidRPr="003C63AC" w:rsidRDefault="008C42FF" w:rsidP="008C42FF">
      <w:pPr>
        <w:rPr>
          <w:rFonts w:cs="Times New Roman"/>
        </w:rPr>
      </w:pPr>
      <w:r w:rsidRPr="000F5EF8">
        <w:rPr>
          <w:rFonts w:cs="Times New Roman"/>
        </w:rPr>
        <w:t>Analysis of the age distribution and sales dat</w:t>
      </w:r>
      <w:r w:rsidRPr="004F1732">
        <w:rPr>
          <w:rFonts w:cs="Times New Roman"/>
        </w:rPr>
        <w:t>a supports the use of the chosen scrapping curve. The model assumes that on average, units are sold in the middle of a year. So for example, the number of units that were sold in the year 2000 that remain in service at the end of 2012 is given by, N</w:t>
      </w:r>
      <w:r w:rsidRPr="004F1732">
        <w:rPr>
          <w:rFonts w:cs="Times New Roman"/>
          <w:vertAlign w:val="subscript"/>
        </w:rPr>
        <w:t>2000</w:t>
      </w:r>
      <w:r w:rsidRPr="004F1732">
        <w:rPr>
          <w:rFonts w:cs="Times New Roman"/>
        </w:rPr>
        <w:t xml:space="preserve"> (1</w:t>
      </w:r>
      <w:r w:rsidRPr="00AD02ED">
        <w:rPr>
          <w:rFonts w:cs="Times New Roman"/>
        </w:rPr>
        <w:t>-p</w:t>
      </w:r>
      <w:r w:rsidRPr="00D357AA">
        <w:rPr>
          <w:rFonts w:cs="Times New Roman"/>
          <w:vertAlign w:val="subscript"/>
        </w:rPr>
        <w:t>12</w:t>
      </w:r>
      <w:r w:rsidRPr="00920E28">
        <w:rPr>
          <w:rFonts w:cs="Times New Roman"/>
        </w:rPr>
        <w:t>), where N</w:t>
      </w:r>
      <w:r w:rsidRPr="00920E28">
        <w:rPr>
          <w:rFonts w:cs="Times New Roman"/>
          <w:vertAlign w:val="subscript"/>
        </w:rPr>
        <w:t>2000</w:t>
      </w:r>
      <w:r w:rsidRPr="003C63AC">
        <w:rPr>
          <w:rFonts w:cs="Times New Roman"/>
        </w:rPr>
        <w:t xml:space="preserve"> is the number of units sold in 2000, and p</w:t>
      </w:r>
      <w:r w:rsidRPr="003C63AC">
        <w:rPr>
          <w:rFonts w:cs="Times New Roman"/>
          <w:vertAlign w:val="subscript"/>
        </w:rPr>
        <w:t>12</w:t>
      </w:r>
      <w:r w:rsidRPr="003C63AC">
        <w:rPr>
          <w:rFonts w:cs="Times New Roman"/>
        </w:rPr>
        <w:t xml:space="preserve"> is the proportion that have been scrapped between 2000 and 2012 inclusive and is given by the following function:</w:t>
      </w:r>
    </w:p>
    <w:p w:rsidR="008C42FF" w:rsidRPr="003C63AC" w:rsidRDefault="008C42FF" w:rsidP="008C42FF">
      <w:pPr>
        <w:rPr>
          <w:rFonts w:cs="Times New Roman"/>
        </w:rPr>
      </w:pPr>
      <w:r w:rsidRPr="003C63AC">
        <w:rPr>
          <w:rFonts w:cs="Times New Roman" w:hint="eastAsia"/>
        </w:rPr>
        <w:t>Φ</w:t>
      </w:r>
      <w:r w:rsidRPr="003C63AC">
        <w:rPr>
          <w:rFonts w:cs="Times New Roman"/>
        </w:rPr>
        <w:t xml:space="preserve"> (2012 – 2000 + 0.5; </w:t>
      </w:r>
      <w:r w:rsidRPr="003C63AC">
        <w:rPr>
          <w:rFonts w:cs="Times New Roman" w:hint="eastAsia"/>
        </w:rPr>
        <w:t>μ</w:t>
      </w:r>
      <w:r w:rsidRPr="003C63AC">
        <w:rPr>
          <w:rFonts w:cs="Times New Roman" w:hint="eastAsia"/>
        </w:rPr>
        <w:t>,</w:t>
      </w:r>
      <w:r w:rsidRPr="003C63AC">
        <w:rPr>
          <w:rFonts w:cs="Times New Roman"/>
        </w:rPr>
        <w:t xml:space="preserve"> </w:t>
      </w:r>
      <w:r w:rsidRPr="003C63AC">
        <w:rPr>
          <w:rFonts w:cs="Times New Roman" w:hint="eastAsia"/>
        </w:rPr>
        <w:t>σ</w:t>
      </w:r>
      <w:r w:rsidRPr="003C63AC">
        <w:rPr>
          <w:rFonts w:cs="Times New Roman" w:hint="eastAsia"/>
        </w:rPr>
        <w:t>)</w:t>
      </w:r>
      <w:r w:rsidRPr="003C63AC">
        <w:rPr>
          <w:rFonts w:cs="Times New Roman"/>
        </w:rPr>
        <w:t xml:space="preserve"> = </w:t>
      </w:r>
      <w:r w:rsidRPr="003C63AC">
        <w:rPr>
          <w:rFonts w:cs="Times New Roman" w:hint="eastAsia"/>
        </w:rPr>
        <w:t>Φ</w:t>
      </w:r>
      <w:r w:rsidRPr="003C63AC">
        <w:rPr>
          <w:rFonts w:cs="Times New Roman"/>
        </w:rPr>
        <w:t xml:space="preserve"> (12.5; </w:t>
      </w:r>
      <w:r w:rsidRPr="003C63AC">
        <w:rPr>
          <w:rFonts w:cs="Times New Roman" w:hint="eastAsia"/>
        </w:rPr>
        <w:t>μ</w:t>
      </w:r>
      <w:r w:rsidRPr="003C63AC">
        <w:rPr>
          <w:rFonts w:cs="Times New Roman" w:hint="eastAsia"/>
        </w:rPr>
        <w:t>,</w:t>
      </w:r>
      <w:r w:rsidRPr="003C63AC">
        <w:rPr>
          <w:rFonts w:cs="Times New Roman"/>
        </w:rPr>
        <w:t xml:space="preserve"> </w:t>
      </w:r>
      <w:r w:rsidRPr="003C63AC">
        <w:rPr>
          <w:rFonts w:cs="Times New Roman" w:hint="eastAsia"/>
        </w:rPr>
        <w:t>σ</w:t>
      </w:r>
      <w:r w:rsidRPr="003C63AC">
        <w:rPr>
          <w:rFonts w:cs="Times New Roman" w:hint="eastAsia"/>
        </w:rPr>
        <w:t>)</w:t>
      </w:r>
    </w:p>
    <w:p w:rsidR="008C42FF" w:rsidRPr="003C63AC" w:rsidRDefault="008C42FF" w:rsidP="008C42FF">
      <w:pPr>
        <w:rPr>
          <w:rFonts w:cs="Times New Roman"/>
        </w:rPr>
      </w:pPr>
      <w:r w:rsidRPr="003C63AC">
        <w:rPr>
          <w:rFonts w:cs="Times New Roman"/>
        </w:rPr>
        <w:t xml:space="preserve">Where </w:t>
      </w:r>
      <w:r w:rsidRPr="003C63AC">
        <w:rPr>
          <w:rFonts w:cs="Times New Roman" w:hint="eastAsia"/>
        </w:rPr>
        <w:t>Φ</w:t>
      </w:r>
      <w:r w:rsidRPr="003C63AC">
        <w:rPr>
          <w:rFonts w:cs="Times New Roman"/>
        </w:rPr>
        <w:t xml:space="preserve"> (x; </w:t>
      </w:r>
      <w:r w:rsidRPr="003C63AC">
        <w:rPr>
          <w:rFonts w:cs="Times New Roman" w:hint="eastAsia"/>
        </w:rPr>
        <w:t>μ</w:t>
      </w:r>
      <w:r w:rsidRPr="003C63AC">
        <w:rPr>
          <w:rFonts w:cs="Times New Roman" w:hint="eastAsia"/>
        </w:rPr>
        <w:t>,</w:t>
      </w:r>
      <w:r w:rsidRPr="003C63AC">
        <w:rPr>
          <w:rFonts w:cs="Times New Roman"/>
        </w:rPr>
        <w:t xml:space="preserve"> </w:t>
      </w:r>
      <w:r w:rsidRPr="003C63AC">
        <w:rPr>
          <w:rFonts w:cs="Times New Roman" w:hint="eastAsia"/>
        </w:rPr>
        <w:t>σ</w:t>
      </w:r>
      <w:r w:rsidRPr="003C63AC">
        <w:rPr>
          <w:rFonts w:cs="Times New Roman" w:hint="eastAsia"/>
        </w:rPr>
        <w:t>)</w:t>
      </w:r>
      <w:r w:rsidRPr="003C63AC">
        <w:rPr>
          <w:rFonts w:cs="Times New Roman"/>
        </w:rPr>
        <w:t xml:space="preserve"> is the cumulative distribution function (CDF) of the normal distribution with mean </w:t>
      </w:r>
      <w:r w:rsidRPr="003C63AC">
        <w:rPr>
          <w:rFonts w:cs="Times New Roman" w:hint="eastAsia"/>
        </w:rPr>
        <w:t>μ</w:t>
      </w:r>
      <w:r w:rsidRPr="003C63AC">
        <w:rPr>
          <w:rFonts w:cs="Times New Roman"/>
        </w:rPr>
        <w:t xml:space="preserve"> and standard deviation </w:t>
      </w:r>
      <w:r w:rsidRPr="003C63AC">
        <w:rPr>
          <w:rFonts w:cs="Times New Roman" w:hint="eastAsia"/>
        </w:rPr>
        <w:t>σ</w:t>
      </w:r>
      <w:r w:rsidRPr="003C63AC">
        <w:rPr>
          <w:rFonts w:cs="Times New Roman"/>
        </w:rPr>
        <w:t xml:space="preserve"> evaluated at x.</w:t>
      </w:r>
    </w:p>
    <w:p w:rsidR="008C42FF" w:rsidRPr="003C63AC" w:rsidRDefault="008C42FF" w:rsidP="008C42FF">
      <w:pPr>
        <w:rPr>
          <w:rFonts w:cs="Times New Roman"/>
        </w:rPr>
      </w:pPr>
      <w:r w:rsidRPr="003C63AC">
        <w:rPr>
          <w:rFonts w:cs="Times New Roman"/>
        </w:rPr>
        <w:t>The number of units of a particular vintage that are retired in a given year equates to the number of units sold in the year of the vintage that remained in service at the beginning of the given year, minus the number that remain in service at the end of the given year.</w:t>
      </w:r>
    </w:p>
    <w:p w:rsidR="008C42FF" w:rsidRPr="003C63AC" w:rsidRDefault="008C42FF" w:rsidP="008C42FF">
      <w:pPr>
        <w:rPr>
          <w:rFonts w:cs="Times New Roman"/>
        </w:rPr>
      </w:pPr>
      <w:r w:rsidRPr="003C63AC">
        <w:rPr>
          <w:rFonts w:cs="Times New Roman"/>
        </w:rPr>
        <w:t>The historical sales data is dissected by refrigerant species or type to predict the refrigerant mix of the bank and retiring equipment.</w:t>
      </w:r>
    </w:p>
    <w:p w:rsidR="008C42FF" w:rsidRPr="003C63AC" w:rsidRDefault="008C42FF" w:rsidP="008C42FF">
      <w:pPr>
        <w:rPr>
          <w:rFonts w:cs="Times New Roman"/>
        </w:rPr>
      </w:pPr>
      <w:r w:rsidRPr="003C63AC">
        <w:rPr>
          <w:rFonts w:cs="Times New Roman"/>
        </w:rPr>
        <w:t xml:space="preserve">The ABS has published vehicle attrition rates and numbers of vehicles intermittently from the 1950s to 2014, also referred to as the motor vehicle retirements or </w:t>
      </w:r>
      <w:r w:rsidR="003C63AC" w:rsidRPr="003C63AC">
        <w:rPr>
          <w:rFonts w:cs="Times New Roman"/>
        </w:rPr>
        <w:t>scrappage, which</w:t>
      </w:r>
      <w:r w:rsidRPr="003C63AC">
        <w:rPr>
          <w:rFonts w:cs="Times New Roman"/>
        </w:rPr>
        <w:t xml:space="preserve"> </w:t>
      </w:r>
      <w:r w:rsidR="003C63AC" w:rsidRPr="003C63AC">
        <w:rPr>
          <w:rFonts w:cs="Times New Roman"/>
        </w:rPr>
        <w:t>are</w:t>
      </w:r>
      <w:r w:rsidRPr="003C63AC">
        <w:rPr>
          <w:rFonts w:cs="Times New Roman"/>
        </w:rPr>
        <w:t xml:space="preserve"> essentially the ELVs providing the vehicle definitions align.</w:t>
      </w:r>
    </w:p>
    <w:p w:rsidR="008C42FF" w:rsidRPr="003C63AC" w:rsidRDefault="008C42FF" w:rsidP="008C42FF">
      <w:pPr>
        <w:rPr>
          <w:rFonts w:cs="Times New Roman"/>
        </w:rPr>
      </w:pPr>
      <w:r w:rsidRPr="003C63AC">
        <w:rPr>
          <w:rFonts w:cs="Times New Roman"/>
        </w:rPr>
        <w:t xml:space="preserve">The most recent publications of attrition rates can be found in ABS Catalogue 9309.0, Motor Vehicle Census (MVC) </w:t>
      </w:r>
      <w:r w:rsidR="003C63AC" w:rsidRPr="003C63AC">
        <w:rPr>
          <w:rFonts w:cs="Times New Roman"/>
        </w:rPr>
        <w:t>that</w:t>
      </w:r>
      <w:r w:rsidRPr="003C63AC">
        <w:rPr>
          <w:rFonts w:cs="Times New Roman"/>
        </w:rPr>
        <w:t xml:space="preserve"> calculates vehicle retirements based on the estimated proportion of motor vehicles taken off the register since the previous MVC. The number of registration lapses is calculated by adding the total registrations at the earlier MVC to the number of new motor vehicle sales between the MVCs, and subtracting the total registrations at the later MVC. </w:t>
      </w:r>
    </w:p>
    <w:p w:rsidR="008C42FF" w:rsidRPr="003C63AC" w:rsidRDefault="008C42FF" w:rsidP="008C42FF">
      <w:pPr>
        <w:rPr>
          <w:rFonts w:cs="Times New Roman"/>
        </w:rPr>
      </w:pPr>
      <w:r w:rsidRPr="003C63AC">
        <w:rPr>
          <w:rFonts w:cs="Times New Roman"/>
        </w:rPr>
        <w:t>The attrition rate measures the number of registration lapses as a percentage of the total potential vehicle fleet, where the potential vehicle fleet is the number of registrations at the first MVC date plus the number of new motor vehicle sales between the two MVCs. The vehicle attrition rate has ranged from 3.5</w:t>
      </w:r>
      <w:r w:rsidR="004D498D">
        <w:rPr>
          <w:rFonts w:cs="Times New Roman"/>
        </w:rPr>
        <w:t xml:space="preserve"> per cent</w:t>
      </w:r>
      <w:r w:rsidR="004D498D" w:rsidRPr="003C63AC">
        <w:rPr>
          <w:rFonts w:cs="Times New Roman"/>
        </w:rPr>
        <w:t xml:space="preserve"> </w:t>
      </w:r>
      <w:r w:rsidRPr="003C63AC">
        <w:rPr>
          <w:rFonts w:cs="Times New Roman"/>
        </w:rPr>
        <w:t>of the fleet to 5.5</w:t>
      </w:r>
      <w:r w:rsidR="004D498D">
        <w:rPr>
          <w:rFonts w:cs="Times New Roman"/>
        </w:rPr>
        <w:t xml:space="preserve"> per cent</w:t>
      </w:r>
      <w:r w:rsidRPr="003C63AC">
        <w:rPr>
          <w:rFonts w:cs="Times New Roman"/>
        </w:rPr>
        <w:t xml:space="preserve"> over this period, however has an average of 4.0</w:t>
      </w:r>
      <w:r w:rsidR="004D498D">
        <w:rPr>
          <w:rFonts w:cs="Times New Roman"/>
        </w:rPr>
        <w:t xml:space="preserve"> per cent</w:t>
      </w:r>
      <w:r w:rsidRPr="003C63AC">
        <w:rPr>
          <w:rFonts w:cs="Times New Roman"/>
        </w:rPr>
        <w:t xml:space="preserve"> over the last six years.  </w:t>
      </w:r>
    </w:p>
    <w:p w:rsidR="008C42FF" w:rsidRPr="003C63AC" w:rsidRDefault="008C42FF" w:rsidP="008C42FF">
      <w:pPr>
        <w:rPr>
          <w:rFonts w:cs="Times New Roman"/>
        </w:rPr>
      </w:pPr>
      <w:r w:rsidRPr="003C63AC">
        <w:rPr>
          <w:rFonts w:cs="Times New Roman"/>
        </w:rPr>
        <w:t>The ABS calculations include passenger vehicles, light commercial vehicles, campervans, light rigid trucks, heavy rigid trucks, articulated trucks, non-freight carrying vehicles and buses. An evaluation of the existing fleet from 2008 to 2013 shows that passenger and light commercial vehicles equated to 96</w:t>
      </w:r>
      <w:r w:rsidR="004D498D">
        <w:rPr>
          <w:rFonts w:cs="Times New Roman"/>
        </w:rPr>
        <w:t xml:space="preserve"> per cent</w:t>
      </w:r>
      <w:r w:rsidRPr="003C63AC">
        <w:rPr>
          <w:rFonts w:cs="Times New Roman"/>
        </w:rPr>
        <w:t>. Therefore a multiplier of 0.96 was used to scale ABS attrition estimate for all vehicles to provide an estimate for passenger and light commercial vehicles.</w:t>
      </w:r>
    </w:p>
    <w:p w:rsidR="008A1556" w:rsidRPr="003C63AC" w:rsidRDefault="008C42FF" w:rsidP="008C42FF">
      <w:pPr>
        <w:rPr>
          <w:rFonts w:cs="Times New Roman"/>
        </w:rPr>
      </w:pPr>
      <w:r w:rsidRPr="003C63AC">
        <w:rPr>
          <w:rFonts w:cs="Times New Roman"/>
          <w:i/>
        </w:rPr>
        <w:t>Figure 21</w:t>
      </w:r>
      <w:r w:rsidRPr="003C63AC">
        <w:rPr>
          <w:rFonts w:cs="Times New Roman"/>
        </w:rPr>
        <w:t xml:space="preserve"> provides a comparison of the model ELVs volumes to the ABS attrition estimates, and provides a projection of ELVs to 2025.</w:t>
      </w:r>
    </w:p>
    <w:p w:rsidR="008A1556" w:rsidRPr="003C63AC" w:rsidRDefault="008A1556" w:rsidP="008A1556">
      <w:pPr>
        <w:rPr>
          <w:rFonts w:cs="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39"/>
      </w:tblGrid>
      <w:tr w:rsidR="008A1556" w:rsidRPr="003C63AC" w:rsidTr="00222DCC">
        <w:tc>
          <w:tcPr>
            <w:tcW w:w="9639" w:type="dxa"/>
            <w:vAlign w:val="center"/>
          </w:tcPr>
          <w:p w:rsidR="008A1556" w:rsidRPr="003C63AC" w:rsidRDefault="008A1556" w:rsidP="00222DCC">
            <w:pPr>
              <w:spacing w:after="120"/>
              <w:jc w:val="center"/>
              <w:rPr>
                <w:b/>
              </w:rPr>
            </w:pPr>
            <w:r w:rsidRPr="003C63AC">
              <w:rPr>
                <w:b/>
              </w:rPr>
              <w:br w:type="page"/>
              <w:t>Number of ELVs per annum from 2008 to 2025</w:t>
            </w:r>
          </w:p>
        </w:tc>
      </w:tr>
      <w:tr w:rsidR="008A1556" w:rsidRPr="003C63AC" w:rsidTr="00222DCC">
        <w:tc>
          <w:tcPr>
            <w:tcW w:w="9639" w:type="dxa"/>
            <w:vAlign w:val="center"/>
          </w:tcPr>
          <w:p w:rsidR="008A1556" w:rsidRPr="003C63AC" w:rsidRDefault="008A1556" w:rsidP="00222DCC">
            <w:pPr>
              <w:spacing w:before="60" w:after="60"/>
              <w:jc w:val="center"/>
              <w:rPr>
                <w:sz w:val="16"/>
                <w:szCs w:val="16"/>
              </w:rPr>
            </w:pPr>
          </w:p>
          <w:p w:rsidR="008A1556" w:rsidRPr="003C63AC" w:rsidRDefault="008A1556" w:rsidP="00222DCC">
            <w:pPr>
              <w:spacing w:before="60" w:after="60"/>
              <w:jc w:val="center"/>
              <w:rPr>
                <w:sz w:val="16"/>
                <w:szCs w:val="16"/>
              </w:rPr>
            </w:pPr>
            <w:r w:rsidRPr="003C63AC">
              <w:rPr>
                <w:noProof/>
                <w:lang w:eastAsia="en-AU"/>
              </w:rPr>
              <w:drawing>
                <wp:inline distT="0" distB="0" distL="0" distR="0">
                  <wp:extent cx="5986834" cy="2524125"/>
                  <wp:effectExtent l="0" t="0" r="762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A1556" w:rsidRPr="003C63AC" w:rsidRDefault="008A1556" w:rsidP="00222DCC">
            <w:pPr>
              <w:spacing w:before="60" w:after="60"/>
              <w:jc w:val="center"/>
              <w:rPr>
                <w:sz w:val="16"/>
                <w:szCs w:val="16"/>
              </w:rPr>
            </w:pPr>
          </w:p>
        </w:tc>
      </w:tr>
      <w:tr w:rsidR="008A1556" w:rsidRPr="003C63AC" w:rsidTr="00222DCC">
        <w:tc>
          <w:tcPr>
            <w:tcW w:w="9639" w:type="dxa"/>
            <w:vAlign w:val="center"/>
          </w:tcPr>
          <w:p w:rsidR="008A1556" w:rsidRPr="003C63AC" w:rsidRDefault="00C92734" w:rsidP="00222DCC">
            <w:pPr>
              <w:spacing w:before="60" w:after="60"/>
              <w:rPr>
                <w:i/>
              </w:rPr>
            </w:pPr>
            <w:r w:rsidRPr="003C63AC">
              <w:rPr>
                <w:i/>
                <w:sz w:val="20"/>
              </w:rPr>
              <w:t xml:space="preserve">Figure </w:t>
            </w:r>
            <w:r w:rsidR="00F005B2" w:rsidRPr="003C63AC">
              <w:rPr>
                <w:i/>
                <w:sz w:val="20"/>
              </w:rPr>
              <w:fldChar w:fldCharType="begin"/>
            </w:r>
            <w:r w:rsidRPr="003C63AC">
              <w:rPr>
                <w:i/>
                <w:sz w:val="20"/>
              </w:rPr>
              <w:instrText xml:space="preserve"> SEQ Figure \* ARABIC </w:instrText>
            </w:r>
            <w:r w:rsidR="00F005B2" w:rsidRPr="003C63AC">
              <w:rPr>
                <w:i/>
                <w:sz w:val="20"/>
              </w:rPr>
              <w:fldChar w:fldCharType="separate"/>
            </w:r>
            <w:r w:rsidR="00DE265F">
              <w:rPr>
                <w:i/>
                <w:noProof/>
                <w:sz w:val="20"/>
              </w:rPr>
              <w:t>21</w:t>
            </w:r>
            <w:r w:rsidR="00F005B2" w:rsidRPr="003C63AC">
              <w:rPr>
                <w:i/>
                <w:sz w:val="20"/>
              </w:rPr>
              <w:fldChar w:fldCharType="end"/>
            </w:r>
            <w:r w:rsidRPr="003C63AC">
              <w:rPr>
                <w:i/>
                <w:sz w:val="20"/>
              </w:rPr>
              <w:t xml:space="preserve">: </w:t>
            </w:r>
            <w:r w:rsidR="008A1556" w:rsidRPr="003C63AC">
              <w:rPr>
                <w:i/>
                <w:sz w:val="20"/>
              </w:rPr>
              <w:t>Number of ELVs in Australia per annum from 2008 to 2025.</w:t>
            </w:r>
          </w:p>
        </w:tc>
      </w:tr>
    </w:tbl>
    <w:p w:rsidR="008A1556" w:rsidRPr="003C63AC" w:rsidRDefault="008A1556" w:rsidP="008A1556">
      <w:pPr>
        <w:rPr>
          <w:rFonts w:cs="Times New Roman"/>
        </w:rPr>
      </w:pPr>
    </w:p>
    <w:p w:rsidR="008A1556" w:rsidRPr="003C63AC" w:rsidRDefault="008A1556" w:rsidP="008A1556">
      <w:pPr>
        <w:rPr>
          <w:rFonts w:cs="Times New Roman"/>
        </w:rPr>
      </w:pPr>
    </w:p>
    <w:p w:rsidR="008A1556" w:rsidRPr="003C63AC" w:rsidRDefault="008A1556">
      <w:pPr>
        <w:spacing w:before="0"/>
        <w:jc w:val="left"/>
      </w:pPr>
      <w:r w:rsidRPr="003C63AC">
        <w:br w:type="page"/>
      </w:r>
    </w:p>
    <w:p w:rsidR="00C61E41" w:rsidRPr="003C63AC" w:rsidRDefault="006D0ACC" w:rsidP="00C61E41">
      <w:pPr>
        <w:pStyle w:val="Heading1"/>
        <w:numPr>
          <w:ilvl w:val="0"/>
          <w:numId w:val="0"/>
        </w:numPr>
        <w:rPr>
          <w:lang w:val="en-AU"/>
        </w:rPr>
      </w:pPr>
      <w:bookmarkStart w:id="36" w:name="_Toc430778994"/>
      <w:r w:rsidRPr="003C63AC">
        <w:rPr>
          <w:lang w:val="en-AU"/>
        </w:rPr>
        <w:t>Appendix B</w:t>
      </w:r>
      <w:bookmarkEnd w:id="36"/>
    </w:p>
    <w:p w:rsidR="00860452" w:rsidRPr="003C63AC" w:rsidRDefault="006F0993" w:rsidP="00C61E41">
      <w:pPr>
        <w:pStyle w:val="Heading2"/>
        <w:numPr>
          <w:ilvl w:val="0"/>
          <w:numId w:val="0"/>
        </w:numPr>
        <w:rPr>
          <w:rFonts w:cstheme="minorBidi"/>
        </w:rPr>
      </w:pPr>
      <w:bookmarkStart w:id="37" w:name="_Toc430778995"/>
      <w:r w:rsidRPr="003C63AC">
        <w:t>The National Exchange of Vehicle and Driver Information System and the Written off Vehicle Register</w:t>
      </w:r>
      <w:bookmarkEnd w:id="37"/>
    </w:p>
    <w:p w:rsidR="00860452" w:rsidRPr="003C63AC" w:rsidRDefault="00860452" w:rsidP="00860452">
      <w:pPr>
        <w:rPr>
          <w:rFonts w:cs="Times New Roman"/>
          <w:b/>
        </w:rPr>
      </w:pPr>
      <w:r w:rsidRPr="003C63AC">
        <w:rPr>
          <w:rFonts w:cs="Times New Roman"/>
          <w:b/>
        </w:rPr>
        <w:t>Summary</w:t>
      </w:r>
    </w:p>
    <w:p w:rsidR="00577D16" w:rsidRPr="000F5EF8" w:rsidRDefault="00577D16" w:rsidP="00577D16">
      <w:r w:rsidRPr="00AD4F11">
        <w:t xml:space="preserve">All </w:t>
      </w:r>
      <w:r w:rsidR="008C3707">
        <w:t>s</w:t>
      </w:r>
      <w:r w:rsidRPr="00AD4F11">
        <w:t xml:space="preserve">tate and </w:t>
      </w:r>
      <w:r w:rsidR="008C3707">
        <w:t>t</w:t>
      </w:r>
      <w:r w:rsidRPr="00AD4F11">
        <w:t>erritory jurisdictions have collectively developed and implemented changes to legislation and regulations to better manage written-off motor vehicles</w:t>
      </w:r>
      <w:r w:rsidRPr="005728F4">
        <w:t xml:space="preserve"> with the medium term aim of standardising management and record keeping relating to written off vehicles. The adopted</w:t>
      </w:r>
      <w:r w:rsidRPr="000F5EF8">
        <w:t xml:space="preserve"> changes were developed through consultation subsequent to a review of the management of written-off motor vehicles conducted in 2008 by the National Motor Vehicle Theft Reduction Council (NMVTRC).</w:t>
      </w:r>
    </w:p>
    <w:p w:rsidR="00577D16" w:rsidRPr="003C63AC" w:rsidRDefault="00577D16" w:rsidP="00577D16">
      <w:pPr>
        <w:shd w:val="clear" w:color="auto" w:fill="FFFFFF"/>
        <w:rPr>
          <w:lang w:val="en-US"/>
        </w:rPr>
      </w:pPr>
      <w:r w:rsidRPr="003C63AC">
        <w:rPr>
          <w:lang w:val="en-US"/>
        </w:rPr>
        <w:t>The central repository of the information on written off vehicles is the National Exchange of Vehicle and Driver Information System (NEVDIS).  This database includes the national Vehicle Identification Number (VIN) database and the national Written Off Vehicle Register (WOVR) database.</w:t>
      </w:r>
    </w:p>
    <w:p w:rsidR="00577D16" w:rsidRPr="003C63AC" w:rsidRDefault="00577D16" w:rsidP="00577D16">
      <w:pPr>
        <w:shd w:val="clear" w:color="auto" w:fill="FFFFFF"/>
        <w:rPr>
          <w:lang w:val="en-US"/>
        </w:rPr>
      </w:pPr>
      <w:r w:rsidRPr="003C63AC">
        <w:rPr>
          <w:lang w:val="en-US"/>
        </w:rPr>
        <w:t xml:space="preserve">State and </w:t>
      </w:r>
      <w:r w:rsidR="008C3707">
        <w:rPr>
          <w:lang w:val="en-US"/>
        </w:rPr>
        <w:t>t</w:t>
      </w:r>
      <w:r w:rsidRPr="003C63AC">
        <w:rPr>
          <w:lang w:val="en-US"/>
        </w:rPr>
        <w:t>erritory road agencies are the source of NEVDIS data although the decision to classify a vehicle as a write off is made by professional vehicles assessors, almost always in the employ of insurance companies.</w:t>
      </w:r>
    </w:p>
    <w:p w:rsidR="00577D16" w:rsidRPr="003C63AC" w:rsidRDefault="00577D16" w:rsidP="00577D16">
      <w:pPr>
        <w:rPr>
          <w:lang w:val="en-US"/>
        </w:rPr>
      </w:pPr>
      <w:r w:rsidRPr="003C63AC">
        <w:rPr>
          <w:lang w:val="en-US"/>
        </w:rPr>
        <w:t>If a vehicle has comprehensive insurance and it is seriously damaged as a result of a collision, or an event such as flooding or fire damage, the insurance assessment process may determine that the vehicle is a total write off and beyond repair.</w:t>
      </w:r>
    </w:p>
    <w:p w:rsidR="00577D16" w:rsidRPr="003C63AC" w:rsidRDefault="00577D16" w:rsidP="00577D16">
      <w:pPr>
        <w:rPr>
          <w:lang w:val="en-US"/>
        </w:rPr>
      </w:pPr>
      <w:r w:rsidRPr="003C63AC">
        <w:rPr>
          <w:lang w:val="en-US"/>
        </w:rPr>
        <w:t xml:space="preserve"> Under Australia’s national framework for the management of written off vehicles any vehicle</w:t>
      </w:r>
      <w:r w:rsidR="004F1732">
        <w:rPr>
          <w:lang w:val="en-US"/>
        </w:rPr>
        <w:t xml:space="preserve"> </w:t>
      </w:r>
      <w:r w:rsidR="004F1732" w:rsidRPr="004F1732">
        <w:rPr>
          <w:lang w:val="en-US"/>
        </w:rPr>
        <w:t>must be classified to be either a Statutory Write-Off (SWO) or Repairable Write-Off (RWO)</w:t>
      </w:r>
      <w:r w:rsidRPr="003C63AC">
        <w:rPr>
          <w:lang w:val="en-US"/>
        </w:rPr>
        <w:t xml:space="preserve"> </w:t>
      </w:r>
      <w:r w:rsidR="004F1732">
        <w:rPr>
          <w:lang w:val="en-US"/>
        </w:rPr>
        <w:t>if it</w:t>
      </w:r>
      <w:r w:rsidR="004F1732" w:rsidRPr="003C63AC">
        <w:rPr>
          <w:lang w:val="en-US"/>
        </w:rPr>
        <w:t xml:space="preserve"> </w:t>
      </w:r>
      <w:r w:rsidRPr="003C63AC">
        <w:rPr>
          <w:lang w:val="en-US"/>
        </w:rPr>
        <w:t>has been determined to be a total loss by an insurer or other notifier as a result of:</w:t>
      </w:r>
    </w:p>
    <w:p w:rsidR="00577D16" w:rsidRPr="003C63AC" w:rsidRDefault="00577D16" w:rsidP="00AD7504">
      <w:pPr>
        <w:pStyle w:val="ListParagraph"/>
        <w:numPr>
          <w:ilvl w:val="0"/>
          <w:numId w:val="13"/>
        </w:numPr>
        <w:spacing w:before="120" w:after="0" w:line="240" w:lineRule="auto"/>
        <w:ind w:left="357" w:hanging="357"/>
        <w:contextualSpacing w:val="0"/>
        <w:rPr>
          <w:rFonts w:ascii="Times New Roman" w:hAnsi="Times New Roman"/>
          <w:lang w:val="en-US"/>
        </w:rPr>
      </w:pPr>
      <w:r w:rsidRPr="003C63AC">
        <w:rPr>
          <w:rFonts w:ascii="Times New Roman" w:hAnsi="Times New Roman"/>
          <w:lang w:val="en-US"/>
        </w:rPr>
        <w:t xml:space="preserve">Damage induced by a collision, fire, water inundation, </w:t>
      </w:r>
      <w:r w:rsidR="003C63AC" w:rsidRPr="003C63AC">
        <w:rPr>
          <w:rFonts w:ascii="Times New Roman" w:hAnsi="Times New Roman"/>
          <w:lang w:val="en-US"/>
        </w:rPr>
        <w:t>other weather</w:t>
      </w:r>
      <w:r w:rsidRPr="003C63AC">
        <w:rPr>
          <w:rFonts w:ascii="Times New Roman" w:hAnsi="Times New Roman"/>
          <w:lang w:val="en-US"/>
        </w:rPr>
        <w:t xml:space="preserve"> event, malicious action; or</w:t>
      </w:r>
    </w:p>
    <w:p w:rsidR="004F1732" w:rsidRDefault="00577D16" w:rsidP="00AD7504">
      <w:pPr>
        <w:pStyle w:val="ListParagraph"/>
        <w:numPr>
          <w:ilvl w:val="0"/>
          <w:numId w:val="13"/>
        </w:numPr>
        <w:spacing w:before="120" w:after="0" w:line="240" w:lineRule="auto"/>
        <w:ind w:left="357" w:hanging="357"/>
        <w:contextualSpacing w:val="0"/>
        <w:rPr>
          <w:rFonts w:ascii="Times New Roman" w:hAnsi="Times New Roman"/>
          <w:lang w:val="en-US"/>
        </w:rPr>
      </w:pPr>
      <w:r w:rsidRPr="003C63AC">
        <w:rPr>
          <w:rFonts w:ascii="Times New Roman" w:hAnsi="Times New Roman"/>
          <w:lang w:val="en-US"/>
        </w:rPr>
        <w:t>Dismantling or stripping</w:t>
      </w:r>
      <w:r w:rsidR="004F1732">
        <w:rPr>
          <w:rFonts w:ascii="Times New Roman" w:hAnsi="Times New Roman"/>
          <w:lang w:val="en-US"/>
        </w:rPr>
        <w:t>.</w:t>
      </w:r>
    </w:p>
    <w:p w:rsidR="00577D16" w:rsidRPr="003C63AC" w:rsidRDefault="00577D16" w:rsidP="00577D16">
      <w:pPr>
        <w:rPr>
          <w:lang w:val="en-US"/>
        </w:rPr>
      </w:pPr>
      <w:r w:rsidRPr="003C63AC">
        <w:rPr>
          <w:lang w:val="en-US"/>
        </w:rPr>
        <w:t>The range of persons defined as ‘notifiers’ is specified in the related laws of each jurisdiction however it can include insurers, self-insurers, auction houses, motor car traders, automotive dismantlers or recyclers or even vehicle owners.</w:t>
      </w:r>
    </w:p>
    <w:p w:rsidR="00577D16" w:rsidRPr="003C63AC" w:rsidRDefault="00577D16" w:rsidP="00577D16">
      <w:pPr>
        <w:rPr>
          <w:b/>
        </w:rPr>
      </w:pPr>
      <w:r w:rsidRPr="003C63AC">
        <w:rPr>
          <w:b/>
        </w:rPr>
        <w:t>Types of Written-Off Vehicles</w:t>
      </w:r>
    </w:p>
    <w:p w:rsidR="004F1732" w:rsidRPr="00704995" w:rsidRDefault="004F1732" w:rsidP="00577D16">
      <w:pPr>
        <w:rPr>
          <w:b/>
        </w:rPr>
      </w:pPr>
      <w:r w:rsidRPr="00704995">
        <w:rPr>
          <w:b/>
        </w:rPr>
        <w:t>Total Loss</w:t>
      </w:r>
    </w:p>
    <w:p w:rsidR="00577D16" w:rsidRPr="00704995" w:rsidRDefault="00577D16" w:rsidP="00704995">
      <w:pPr>
        <w:pStyle w:val="ListParagraph"/>
        <w:numPr>
          <w:ilvl w:val="0"/>
          <w:numId w:val="13"/>
        </w:numPr>
        <w:spacing w:before="120" w:after="0" w:line="240" w:lineRule="auto"/>
        <w:ind w:left="357" w:hanging="357"/>
        <w:contextualSpacing w:val="0"/>
        <w:rPr>
          <w:rFonts w:ascii="Times New Roman" w:hAnsi="Times New Roman"/>
          <w:lang w:val="en-US"/>
        </w:rPr>
      </w:pPr>
      <w:r w:rsidRPr="00704995">
        <w:rPr>
          <w:rFonts w:ascii="Times New Roman" w:hAnsi="Times New Roman"/>
          <w:lang w:val="en-US"/>
        </w:rPr>
        <w:t>Where the cost of repairs and salvage value exceed the market value of the damaged vehicle it is classified as a ‘total loss’.</w:t>
      </w:r>
    </w:p>
    <w:p w:rsidR="00577D16" w:rsidRPr="00704995" w:rsidRDefault="00577D16" w:rsidP="00704995">
      <w:pPr>
        <w:pStyle w:val="ListParagraph"/>
        <w:numPr>
          <w:ilvl w:val="0"/>
          <w:numId w:val="13"/>
        </w:numPr>
        <w:spacing w:before="120" w:after="0" w:line="240" w:lineRule="auto"/>
        <w:ind w:left="357" w:hanging="357"/>
        <w:contextualSpacing w:val="0"/>
        <w:rPr>
          <w:rFonts w:ascii="Times New Roman" w:hAnsi="Times New Roman"/>
          <w:lang w:val="en-US"/>
        </w:rPr>
      </w:pPr>
      <w:r w:rsidRPr="00704995">
        <w:rPr>
          <w:rFonts w:ascii="Times New Roman" w:hAnsi="Times New Roman"/>
          <w:lang w:val="en-US"/>
        </w:rPr>
        <w:t>Damaged vehicles that are a ‘total loss’ may be classified as either a ‘repairable write-off’ or a ‘statutory write-off’.</w:t>
      </w:r>
    </w:p>
    <w:p w:rsidR="004F1732" w:rsidRPr="00704995" w:rsidRDefault="00577D16" w:rsidP="00577D16">
      <w:pPr>
        <w:rPr>
          <w:b/>
        </w:rPr>
      </w:pPr>
      <w:r w:rsidRPr="00704995">
        <w:rPr>
          <w:b/>
        </w:rPr>
        <w:t>Repairable Write-Offs</w:t>
      </w:r>
    </w:p>
    <w:p w:rsidR="00577D16" w:rsidRPr="00704995" w:rsidRDefault="004F1732" w:rsidP="00704995">
      <w:pPr>
        <w:pStyle w:val="ListParagraph"/>
        <w:numPr>
          <w:ilvl w:val="0"/>
          <w:numId w:val="13"/>
        </w:numPr>
        <w:spacing w:before="120" w:after="0" w:line="240" w:lineRule="auto"/>
        <w:ind w:left="357" w:hanging="357"/>
        <w:contextualSpacing w:val="0"/>
        <w:rPr>
          <w:rFonts w:ascii="Times New Roman" w:hAnsi="Times New Roman"/>
          <w:lang w:val="en-US"/>
        </w:rPr>
      </w:pPr>
      <w:r w:rsidRPr="00704995">
        <w:rPr>
          <w:rFonts w:ascii="Times New Roman" w:hAnsi="Times New Roman"/>
          <w:lang w:val="en-US"/>
        </w:rPr>
        <w:t>V</w:t>
      </w:r>
      <w:r w:rsidR="00577D16" w:rsidRPr="00704995">
        <w:rPr>
          <w:rFonts w:ascii="Times New Roman" w:hAnsi="Times New Roman"/>
          <w:lang w:val="en-US"/>
        </w:rPr>
        <w:t>ehicles classified this way may be re-registered anywhere in Australia as long as they meet all repair and inspection requirements.</w:t>
      </w:r>
      <w:r w:rsidRPr="00704995">
        <w:rPr>
          <w:rFonts w:ascii="Times New Roman" w:hAnsi="Times New Roman"/>
          <w:lang w:val="en-US"/>
        </w:rPr>
        <w:t xml:space="preserve"> A RWO may be repaired and re-registered subject to the vehicle passing specific safety and identification inspections.</w:t>
      </w:r>
    </w:p>
    <w:p w:rsidR="004F1732" w:rsidRPr="00704995" w:rsidRDefault="00577D16" w:rsidP="00577D16">
      <w:pPr>
        <w:rPr>
          <w:b/>
        </w:rPr>
      </w:pPr>
      <w:r w:rsidRPr="00704995">
        <w:rPr>
          <w:b/>
        </w:rPr>
        <w:t>Statutory Write-Offs</w:t>
      </w:r>
    </w:p>
    <w:p w:rsidR="00577D16" w:rsidRPr="00704995" w:rsidRDefault="004F1732" w:rsidP="00704995">
      <w:pPr>
        <w:pStyle w:val="ListParagraph"/>
        <w:numPr>
          <w:ilvl w:val="0"/>
          <w:numId w:val="13"/>
        </w:numPr>
        <w:spacing w:before="120" w:after="0" w:line="240" w:lineRule="auto"/>
        <w:ind w:left="357" w:hanging="357"/>
        <w:contextualSpacing w:val="0"/>
        <w:rPr>
          <w:rFonts w:ascii="Times New Roman" w:hAnsi="Times New Roman"/>
          <w:lang w:val="en-US"/>
        </w:rPr>
      </w:pPr>
      <w:r w:rsidRPr="00704995">
        <w:rPr>
          <w:rFonts w:ascii="Times New Roman" w:hAnsi="Times New Roman"/>
          <w:lang w:val="en-US"/>
        </w:rPr>
        <w:t>V</w:t>
      </w:r>
      <w:r w:rsidR="00577D16" w:rsidRPr="00704995">
        <w:rPr>
          <w:rFonts w:ascii="Times New Roman" w:hAnsi="Times New Roman"/>
          <w:lang w:val="en-US"/>
        </w:rPr>
        <w:t>ehicles classified this way may not be re-registered in any jurisdiction.</w:t>
      </w:r>
      <w:r w:rsidRPr="00704995">
        <w:rPr>
          <w:rFonts w:ascii="Times New Roman" w:hAnsi="Times New Roman"/>
          <w:lang w:val="en-US"/>
        </w:rPr>
        <w:t xml:space="preserve"> A SWO may only be sold subject to a statutory restriction that it may only be used for parts or scrap metal.</w:t>
      </w:r>
    </w:p>
    <w:p w:rsidR="00577D16" w:rsidRPr="003C63AC" w:rsidRDefault="00577D16" w:rsidP="00577D16">
      <w:pPr>
        <w:rPr>
          <w:b/>
        </w:rPr>
      </w:pPr>
      <w:r w:rsidRPr="003C63AC">
        <w:rPr>
          <w:b/>
        </w:rPr>
        <w:t>Ownership Of Written-Off Vehicles</w:t>
      </w:r>
    </w:p>
    <w:p w:rsidR="00577D16" w:rsidRPr="000F5EF8" w:rsidRDefault="00577D16" w:rsidP="00577D16">
      <w:r w:rsidRPr="00AD4F11">
        <w:t>Once classified as write-off ownership of the vehicle passes to the insurance company, or remains with the original vehicle</w:t>
      </w:r>
      <w:r w:rsidRPr="005728F4">
        <w:t xml:space="preserve"> owner if they are a sel</w:t>
      </w:r>
      <w:r w:rsidRPr="000F5EF8">
        <w:t>f-insurer.</w:t>
      </w:r>
    </w:p>
    <w:p w:rsidR="008C3707" w:rsidRDefault="008C3707" w:rsidP="00577D16">
      <w:pPr>
        <w:rPr>
          <w:b/>
        </w:rPr>
      </w:pPr>
    </w:p>
    <w:p w:rsidR="00AD4F11" w:rsidRPr="00AD4F11" w:rsidRDefault="00577D16" w:rsidP="00577D16">
      <w:pPr>
        <w:rPr>
          <w:b/>
        </w:rPr>
      </w:pPr>
      <w:r w:rsidRPr="004F1732">
        <w:rPr>
          <w:b/>
        </w:rPr>
        <w:t>Written-Off Vehicle Register</w:t>
      </w:r>
    </w:p>
    <w:p w:rsidR="00577D16" w:rsidRPr="005728F4" w:rsidRDefault="00577D16" w:rsidP="00577D16">
      <w:r w:rsidRPr="00AD4F11">
        <w:t xml:space="preserve">When a vehicle is written-off, information about the incident, the vehicle damage, and the category of write-off must be recorded against the Written-off Vehicle Register (WOVR). All jurisdictions maintain a WOVR and information is shared nationally. </w:t>
      </w:r>
    </w:p>
    <w:p w:rsidR="00577D16" w:rsidRPr="004F1732" w:rsidRDefault="00577D16" w:rsidP="00577D16">
      <w:pPr>
        <w:rPr>
          <w:b/>
        </w:rPr>
      </w:pPr>
      <w:r w:rsidRPr="004F1732">
        <w:rPr>
          <w:b/>
        </w:rPr>
        <w:t>Limited Exemptions</w:t>
      </w:r>
    </w:p>
    <w:p w:rsidR="00577D16" w:rsidRPr="004F1732" w:rsidRDefault="00577D16" w:rsidP="00577D16">
      <w:r w:rsidRPr="004F1732">
        <w:t xml:space="preserve">Limited exemptions are available for hail damaged vehicles, inherited vehicles, and where the applicant was the registered operator of the vehicle for more than 28 days prior to the damage occurring. But, statutory write-offs cannot be re-registered in any jurisdiction. </w:t>
      </w:r>
    </w:p>
    <w:p w:rsidR="00577D16" w:rsidRPr="00AD02ED" w:rsidRDefault="00577D16" w:rsidP="00577D16">
      <w:pPr>
        <w:rPr>
          <w:b/>
        </w:rPr>
      </w:pPr>
      <w:r w:rsidRPr="00AD02ED">
        <w:rPr>
          <w:b/>
        </w:rPr>
        <w:t>Written-Off Warning label</w:t>
      </w:r>
    </w:p>
    <w:p w:rsidR="00577D16" w:rsidRPr="00D357AA" w:rsidRDefault="00577D16" w:rsidP="00577D16">
      <w:r w:rsidRPr="00D357AA">
        <w:t>A Written-Off Warning Label must be attached securely in a conspicuous position to all vehicles that have been classified as write-offs.</w:t>
      </w:r>
    </w:p>
    <w:p w:rsidR="00577D16" w:rsidRPr="003C63AC" w:rsidRDefault="00577D16" w:rsidP="00577D16">
      <w:r w:rsidRPr="00920E28">
        <w:t xml:space="preserve">The warning label must include the following statement: </w:t>
      </w:r>
      <w:r w:rsidRPr="00920E28">
        <w:rPr>
          <w:b/>
        </w:rPr>
        <w:t>Statutory written-off vehicle – available for parts or scrap only – limited exemptions apply</w:t>
      </w:r>
    </w:p>
    <w:p w:rsidR="00AD02ED" w:rsidRPr="00AD4F11" w:rsidRDefault="00AD02ED" w:rsidP="00AD02ED">
      <w:r w:rsidRPr="004F1732">
        <w:t xml:space="preserve">An example of the regulatory definition of a written-off vehicle is included </w:t>
      </w:r>
      <w:r>
        <w:t>below</w:t>
      </w:r>
      <w:r w:rsidRPr="00AD4F11">
        <w:t>, extracted from the NSW legislation.</w:t>
      </w:r>
    </w:p>
    <w:p w:rsidR="00577D16" w:rsidRPr="00AD02ED" w:rsidRDefault="00577D16" w:rsidP="00577D16"/>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39"/>
      </w:tblGrid>
      <w:tr w:rsidR="00577D16" w:rsidRPr="003C63AC" w:rsidTr="00775FEB">
        <w:tc>
          <w:tcPr>
            <w:tcW w:w="9639" w:type="dxa"/>
            <w:vAlign w:val="center"/>
          </w:tcPr>
          <w:p w:rsidR="00577D16" w:rsidRPr="004F1732" w:rsidRDefault="00577D16" w:rsidP="00775FEB">
            <w:pPr>
              <w:spacing w:before="60" w:after="60"/>
              <w:jc w:val="center"/>
              <w:rPr>
                <w:sz w:val="16"/>
                <w:szCs w:val="16"/>
              </w:rPr>
            </w:pPr>
          </w:p>
          <w:p w:rsidR="00577D16" w:rsidRPr="003C63AC" w:rsidRDefault="00577D16" w:rsidP="00775FEB">
            <w:pPr>
              <w:spacing w:before="60" w:after="60"/>
              <w:jc w:val="center"/>
              <w:rPr>
                <w:sz w:val="16"/>
                <w:szCs w:val="16"/>
              </w:rPr>
            </w:pPr>
            <w:r w:rsidRPr="003C63AC">
              <w:rPr>
                <w:noProof/>
                <w:lang w:eastAsia="en-AU"/>
              </w:rPr>
              <w:drawing>
                <wp:inline distT="0" distB="0" distL="0" distR="0">
                  <wp:extent cx="4773295" cy="3331845"/>
                  <wp:effectExtent l="19050" t="0" r="8255" b="0"/>
                  <wp:docPr id="58" name="Picture 2" descr="Macintosh HD:Users:michael:Desktop:Screen Shot 2014-07-29 at 3.10.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chael:Desktop:Screen Shot 2014-07-29 at 3.10.19 pm.png"/>
                          <pic:cNvPicPr>
                            <a:picLocks noChangeAspect="1" noChangeArrowheads="1"/>
                          </pic:cNvPicPr>
                        </pic:nvPicPr>
                        <pic:blipFill>
                          <a:blip r:embed="rId44"/>
                          <a:srcRect/>
                          <a:stretch>
                            <a:fillRect/>
                          </a:stretch>
                        </pic:blipFill>
                        <pic:spPr bwMode="auto">
                          <a:xfrm>
                            <a:off x="0" y="0"/>
                            <a:ext cx="4773295" cy="3331845"/>
                          </a:xfrm>
                          <a:prstGeom prst="rect">
                            <a:avLst/>
                          </a:prstGeom>
                          <a:noFill/>
                          <a:ln w="9525">
                            <a:noFill/>
                            <a:miter lim="800000"/>
                            <a:headEnd/>
                            <a:tailEnd/>
                          </a:ln>
                        </pic:spPr>
                      </pic:pic>
                    </a:graphicData>
                  </a:graphic>
                </wp:inline>
              </w:drawing>
            </w:r>
          </w:p>
          <w:p w:rsidR="00577D16" w:rsidRPr="003C63AC" w:rsidRDefault="00577D16" w:rsidP="00775FEB">
            <w:pPr>
              <w:spacing w:before="60" w:after="60"/>
              <w:jc w:val="center"/>
              <w:rPr>
                <w:sz w:val="16"/>
                <w:szCs w:val="16"/>
              </w:rPr>
            </w:pPr>
          </w:p>
        </w:tc>
      </w:tr>
      <w:tr w:rsidR="00577D16" w:rsidRPr="003C63AC" w:rsidTr="00775FEB">
        <w:tc>
          <w:tcPr>
            <w:tcW w:w="9639" w:type="dxa"/>
            <w:vAlign w:val="center"/>
          </w:tcPr>
          <w:p w:rsidR="00577D16" w:rsidRPr="003C63AC" w:rsidRDefault="00577D16" w:rsidP="00775FEB">
            <w:pPr>
              <w:spacing w:before="60" w:after="60"/>
              <w:rPr>
                <w:i/>
              </w:rPr>
            </w:pPr>
            <w:r w:rsidRPr="003C63AC">
              <w:rPr>
                <w:i/>
                <w:sz w:val="20"/>
              </w:rPr>
              <w:t xml:space="preserve">Figure </w:t>
            </w:r>
            <w:r w:rsidR="00F005B2" w:rsidRPr="003C63AC">
              <w:rPr>
                <w:i/>
                <w:sz w:val="20"/>
              </w:rPr>
              <w:fldChar w:fldCharType="begin"/>
            </w:r>
            <w:r w:rsidRPr="003C63AC">
              <w:rPr>
                <w:i/>
                <w:sz w:val="20"/>
              </w:rPr>
              <w:instrText xml:space="preserve"> SEQ Figure \* ARABIC </w:instrText>
            </w:r>
            <w:r w:rsidR="00F005B2" w:rsidRPr="003C63AC">
              <w:rPr>
                <w:i/>
                <w:sz w:val="20"/>
              </w:rPr>
              <w:fldChar w:fldCharType="separate"/>
            </w:r>
            <w:r w:rsidR="00DE265F">
              <w:rPr>
                <w:i/>
                <w:noProof/>
                <w:sz w:val="20"/>
              </w:rPr>
              <w:t>22</w:t>
            </w:r>
            <w:r w:rsidR="00F005B2" w:rsidRPr="003C63AC">
              <w:rPr>
                <w:i/>
                <w:sz w:val="20"/>
              </w:rPr>
              <w:fldChar w:fldCharType="end"/>
            </w:r>
            <w:r w:rsidRPr="003C63AC">
              <w:rPr>
                <w:i/>
                <w:sz w:val="20"/>
              </w:rPr>
              <w:t xml:space="preserve">: </w:t>
            </w:r>
            <w:r w:rsidR="00C50164" w:rsidRPr="003C63AC">
              <w:rPr>
                <w:i/>
                <w:sz w:val="20"/>
              </w:rPr>
              <w:t>Statutory</w:t>
            </w:r>
            <w:r w:rsidRPr="003C63AC">
              <w:rPr>
                <w:i/>
                <w:sz w:val="20"/>
              </w:rPr>
              <w:t xml:space="preserve"> Write-Off Warnin</w:t>
            </w:r>
            <w:r w:rsidR="00C50164" w:rsidRPr="003C63AC">
              <w:rPr>
                <w:i/>
                <w:sz w:val="20"/>
              </w:rPr>
              <w:t>g label that must be attached to all written off vehicles.</w:t>
            </w:r>
          </w:p>
        </w:tc>
      </w:tr>
    </w:tbl>
    <w:p w:rsidR="00AD02ED" w:rsidRDefault="00AD02ED" w:rsidP="00577D16"/>
    <w:p w:rsidR="00AD02ED" w:rsidRPr="00984809" w:rsidRDefault="00D357AA" w:rsidP="00577D16">
      <w:pPr>
        <w:rPr>
          <w:b/>
        </w:rPr>
      </w:pPr>
      <w:r w:rsidRPr="00984809">
        <w:rPr>
          <w:b/>
        </w:rPr>
        <w:t>State Legislation</w:t>
      </w:r>
    </w:p>
    <w:p w:rsidR="00AD02ED" w:rsidRPr="004F1732" w:rsidRDefault="00D357AA" w:rsidP="00577D16">
      <w:r>
        <w:t>As noted, legislation covering written-off vehicles is nationally consistent. The definitions and description below are extracts from the NSW Road Transport Act (2013), as an example of what appears in all state and territory jurisdictions.</w:t>
      </w:r>
    </w:p>
    <w:p w:rsidR="00577D16" w:rsidRDefault="00577D16" w:rsidP="00577D16"/>
    <w:p w:rsidR="008B3CDC" w:rsidRPr="004F1732" w:rsidRDefault="008B3CDC" w:rsidP="00577D16"/>
    <w:p w:rsidR="00775FEB" w:rsidRPr="00984809" w:rsidRDefault="00775FEB" w:rsidP="00775FEB">
      <w:pPr>
        <w:rPr>
          <w:b/>
        </w:rPr>
      </w:pPr>
      <w:r w:rsidRPr="00984809">
        <w:rPr>
          <w:b/>
        </w:rPr>
        <w:t>Definition Of A Written-Off Vehicle</w:t>
      </w:r>
    </w:p>
    <w:p w:rsidR="00775FEB" w:rsidRPr="005728F4" w:rsidRDefault="00775FEB" w:rsidP="00775FEB">
      <w:r w:rsidRPr="005728F4">
        <w:t>(Extract)</w:t>
      </w:r>
    </w:p>
    <w:p w:rsidR="00775FEB" w:rsidRPr="000F5EF8" w:rsidRDefault="00775FEB" w:rsidP="00775FEB">
      <w:r w:rsidRPr="000F5EF8">
        <w:t>1.11</w:t>
      </w:r>
      <w:r w:rsidRPr="000F5EF8">
        <w:tab/>
        <w:t xml:space="preserve">ROAD TRANSPORT ACT 2013 - SECT 83 </w:t>
      </w:r>
    </w:p>
    <w:p w:rsidR="00775FEB" w:rsidRPr="004F1732" w:rsidRDefault="00775FEB" w:rsidP="00775FEB">
      <w:r w:rsidRPr="004F1732">
        <w:t xml:space="preserve">NSW written-off vehicles register </w:t>
      </w:r>
    </w:p>
    <w:p w:rsidR="00775FEB" w:rsidRPr="004F1732" w:rsidRDefault="00775FEB" w:rsidP="00775FEB">
      <w:r w:rsidRPr="004F1732">
        <w:t>1.111</w:t>
      </w:r>
      <w:r w:rsidRPr="004F1732">
        <w:tab/>
        <w:t xml:space="preserve">83 NSW written-off vehicles register  (cf VR Act, s 16B) </w:t>
      </w:r>
    </w:p>
    <w:p w:rsidR="00775FEB" w:rsidRPr="00AD02ED" w:rsidRDefault="00775FEB" w:rsidP="00775FEB">
      <w:r w:rsidRPr="00AD02ED">
        <w:t xml:space="preserve">(3) In this section "written-off vehicle" includes any vehicle: </w:t>
      </w:r>
    </w:p>
    <w:p w:rsidR="00775FEB" w:rsidRPr="00D357AA" w:rsidRDefault="00775FEB" w:rsidP="00775FEB">
      <w:r w:rsidRPr="00D357AA">
        <w:t xml:space="preserve">(a) that has been assessed to be a total loss by a person in accordance with Division 3, or </w:t>
      </w:r>
    </w:p>
    <w:p w:rsidR="00775FEB" w:rsidRPr="00920E28" w:rsidRDefault="00775FEB" w:rsidP="00775FEB">
      <w:r w:rsidRPr="00920E28">
        <w:t xml:space="preserve">(b) that has been disposed of to an auto-dismantler by a self-insurer, or </w:t>
      </w:r>
    </w:p>
    <w:p w:rsidR="00775FEB" w:rsidRPr="003C63AC" w:rsidRDefault="00775FEB" w:rsidP="00775FEB">
      <w:r w:rsidRPr="003C63AC">
        <w:t xml:space="preserve">(c) that has been demolished or dismantled by an auto-dismantler, or </w:t>
      </w:r>
    </w:p>
    <w:p w:rsidR="00775FEB" w:rsidRPr="003C63AC" w:rsidRDefault="00775FEB" w:rsidP="00775FEB">
      <w:r w:rsidRPr="003C63AC">
        <w:t xml:space="preserve">(d) that is in the control of an auto-dismantler and is intended to be demolished or dismantled, or </w:t>
      </w:r>
    </w:p>
    <w:p w:rsidR="00775FEB" w:rsidRPr="003C63AC" w:rsidRDefault="00775FEB" w:rsidP="00775FEB">
      <w:r w:rsidRPr="003C63AC">
        <w:t xml:space="preserve">(e) that was recorded on the register of written-off vehicles on the day on which Part 2AA of the Road Transport (Vehicle Registration) Act 1997 commenced, or </w:t>
      </w:r>
    </w:p>
    <w:p w:rsidR="00775FEB" w:rsidRPr="003C63AC" w:rsidRDefault="00775FEB" w:rsidP="00775FEB">
      <w:r w:rsidRPr="003C63AC">
        <w:t xml:space="preserve">(f) that is prescribed by the statutory rules. </w:t>
      </w:r>
    </w:p>
    <w:p w:rsidR="00775FEB" w:rsidRPr="003C63AC" w:rsidRDefault="00775FEB" w:rsidP="00775FEB">
      <w:r w:rsidRPr="003C63AC">
        <w:t xml:space="preserve">ROAD TRANSPORT (VEHICLE REGISTRATION) REGULATION 2007 - REG 83B </w:t>
      </w:r>
    </w:p>
    <w:p w:rsidR="00C412FA" w:rsidRDefault="00C412FA" w:rsidP="00775FEB">
      <w:pPr>
        <w:rPr>
          <w:b/>
        </w:rPr>
      </w:pPr>
    </w:p>
    <w:p w:rsidR="00775FEB" w:rsidRPr="00984809" w:rsidRDefault="00775FEB" w:rsidP="00775FEB">
      <w:pPr>
        <w:rPr>
          <w:b/>
        </w:rPr>
      </w:pPr>
      <w:r w:rsidRPr="00984809">
        <w:rPr>
          <w:b/>
        </w:rPr>
        <w:t xml:space="preserve">Meaning of “written-off vehicle” </w:t>
      </w:r>
    </w:p>
    <w:p w:rsidR="00775FEB" w:rsidRPr="005728F4" w:rsidRDefault="00775FEB" w:rsidP="00775FEB">
      <w:r w:rsidRPr="005728F4">
        <w:t xml:space="preserve">83B Meaning of “written-off vehicle” </w:t>
      </w:r>
    </w:p>
    <w:p w:rsidR="00775FEB" w:rsidRPr="004F1732" w:rsidRDefault="00775FEB" w:rsidP="00775FEB">
      <w:r w:rsidRPr="000F5EF8">
        <w:t>For the purposes of paragraph (f) of the definition of "written-off vehicle" in section 83 (3) of the Act a notifiable vehicle that has been assessed, in a vehicle damage assessment, as not being a total loss is pres</w:t>
      </w:r>
      <w:r w:rsidRPr="004F1732">
        <w:t xml:space="preserve">cribed if: </w:t>
      </w:r>
    </w:p>
    <w:p w:rsidR="00775FEB" w:rsidRPr="004F1732" w:rsidRDefault="00775FEB" w:rsidP="00775FEB">
      <w:r w:rsidRPr="004F1732">
        <w:t xml:space="preserve">(a) the vehicle has non-repairable damage and the insurer has decided not to repair the vehicle, or </w:t>
      </w:r>
    </w:p>
    <w:p w:rsidR="00775FEB" w:rsidRPr="00AD02ED" w:rsidRDefault="00775FEB" w:rsidP="00775FEB">
      <w:r w:rsidRPr="00AD02ED">
        <w:t xml:space="preserve">(b) the insurer has decided not to repair the vehicle and intends to sell, or has sold, the vehicle to a person other than the registered operator of the vehicle at the time the vehicle sustained the damage that resulted in it being presented for the vehicle damage assessment. </w:t>
      </w:r>
    </w:p>
    <w:p w:rsidR="00775FEB" w:rsidRPr="00AD02ED" w:rsidRDefault="00775FEB" w:rsidP="00775FEB"/>
    <w:p w:rsidR="00775FEB" w:rsidRPr="00984809" w:rsidRDefault="00775FEB" w:rsidP="00775FEB">
      <w:pPr>
        <w:rPr>
          <w:b/>
        </w:rPr>
      </w:pPr>
      <w:r w:rsidRPr="00984809">
        <w:rPr>
          <w:b/>
        </w:rPr>
        <w:t>Assessment And Notification</w:t>
      </w:r>
    </w:p>
    <w:p w:rsidR="00775FEB" w:rsidRPr="000F5EF8" w:rsidRDefault="00775FEB" w:rsidP="00775FEB">
      <w:r w:rsidRPr="005728F4">
        <w:t>A full explanation of the assessment criteria and notification requirements can be found h</w:t>
      </w:r>
      <w:r w:rsidRPr="000F5EF8">
        <w:t>ere:</w:t>
      </w:r>
    </w:p>
    <w:p w:rsidR="00775FEB" w:rsidRPr="004F1732" w:rsidRDefault="00775FEB" w:rsidP="00775FEB">
      <w:r w:rsidRPr="004F1732">
        <w:t>NSW RTA Written Off Vehicles – Assessment And Notification</w:t>
      </w:r>
    </w:p>
    <w:p w:rsidR="00775FEB" w:rsidRDefault="005C6A24" w:rsidP="00775FEB">
      <w:hyperlink r:id="rId45" w:history="1">
        <w:r w:rsidR="00D357AA" w:rsidRPr="00FB449B">
          <w:rPr>
            <w:rStyle w:val="Hyperlink"/>
          </w:rPr>
          <w:t>http://www.rms.nsw.gov.au/registration/downloads/assessment_and_notification_of_written-off_vehicles_vfinal.pdf</w:t>
        </w:r>
      </w:hyperlink>
    </w:p>
    <w:p w:rsidR="00D357AA" w:rsidRPr="00AD02ED" w:rsidRDefault="00D357AA" w:rsidP="00775FEB"/>
    <w:p w:rsidR="00775FEB" w:rsidRPr="00C412FA" w:rsidRDefault="00775FEB" w:rsidP="00775FEB">
      <w:pPr>
        <w:rPr>
          <w:b/>
        </w:rPr>
      </w:pPr>
      <w:r w:rsidRPr="00C412FA">
        <w:rPr>
          <w:b/>
        </w:rPr>
        <w:t>Recent Reforms</w:t>
      </w:r>
    </w:p>
    <w:p w:rsidR="00775FEB" w:rsidRPr="000F5EF8" w:rsidRDefault="00D357AA" w:rsidP="00775FEB">
      <w:r>
        <w:t xml:space="preserve">All state and territory jurisdiction have agreed to maintain nationally consistent legislation. </w:t>
      </w:r>
      <w:r w:rsidR="00775FEB" w:rsidRPr="005728F4">
        <w:t>A description of recent reforms and regulatory updates can be fo</w:t>
      </w:r>
      <w:r w:rsidR="00775FEB" w:rsidRPr="000F5EF8">
        <w:t>und here:</w:t>
      </w:r>
    </w:p>
    <w:p w:rsidR="00775FEB" w:rsidRPr="004F1732" w:rsidRDefault="00775FEB" w:rsidP="00775FEB">
      <w:r w:rsidRPr="004F1732">
        <w:t>NSW 2013 law changes</w:t>
      </w:r>
    </w:p>
    <w:p w:rsidR="00775FEB" w:rsidRDefault="005C6A24" w:rsidP="00775FEB">
      <w:hyperlink r:id="rId46" w:history="1">
        <w:r w:rsidR="00D357AA" w:rsidRPr="00FB449B">
          <w:rPr>
            <w:rStyle w:val="Hyperlink"/>
          </w:rPr>
          <w:t>http://www.rms.nsw.gov.au/registration/written_off_vehicles/written-off_vehicles_reforms.html</w:t>
        </w:r>
      </w:hyperlink>
    </w:p>
    <w:p w:rsidR="00775FEB" w:rsidRPr="004F1732" w:rsidRDefault="00775FEB" w:rsidP="00775FEB"/>
    <w:p w:rsidR="00775FEB" w:rsidRDefault="00775FEB" w:rsidP="00775FEB">
      <w:pPr>
        <w:rPr>
          <w:b/>
        </w:rPr>
      </w:pPr>
      <w:r w:rsidRPr="00AD02ED">
        <w:rPr>
          <w:b/>
        </w:rPr>
        <w:t>Other Jurisdictions</w:t>
      </w:r>
    </w:p>
    <w:p w:rsidR="00D357AA" w:rsidRPr="00C412FA" w:rsidRDefault="00D357AA" w:rsidP="00775FEB">
      <w:r>
        <w:t>These links are to the nationally consistent legislation in various states and territories. An effort has been made to highlight various sections of the legislation including: the written-off vehicle register; how to write off a vehicle; frequently asked questions; and the repairing of written off vehicles.</w:t>
      </w:r>
    </w:p>
    <w:p w:rsidR="00C412FA" w:rsidRDefault="00C412FA">
      <w:pPr>
        <w:spacing w:before="0"/>
        <w:jc w:val="left"/>
        <w:rPr>
          <w:b/>
        </w:rPr>
      </w:pPr>
    </w:p>
    <w:p w:rsidR="00775FEB" w:rsidRPr="00C412FA" w:rsidRDefault="00775FEB" w:rsidP="00775FEB">
      <w:pPr>
        <w:rPr>
          <w:b/>
        </w:rPr>
      </w:pPr>
      <w:r w:rsidRPr="00C412FA">
        <w:rPr>
          <w:b/>
        </w:rPr>
        <w:t>Victoria:</w:t>
      </w:r>
    </w:p>
    <w:p w:rsidR="00775FEB" w:rsidRDefault="005C6A24" w:rsidP="00775FEB">
      <w:hyperlink r:id="rId47" w:history="1">
        <w:r w:rsidR="00D357AA" w:rsidRPr="00FB449B">
          <w:rPr>
            <w:rStyle w:val="Hyperlink"/>
          </w:rPr>
          <w:t>http://www.vicroads.vic.gov.au/Home/Registration/WhatHasToBeRegistered/Written-off+Vehicles/</w:t>
        </w:r>
      </w:hyperlink>
    </w:p>
    <w:p w:rsidR="00775FEB" w:rsidRPr="00C412FA" w:rsidRDefault="00775FEB" w:rsidP="00775FEB">
      <w:pPr>
        <w:rPr>
          <w:b/>
        </w:rPr>
      </w:pPr>
      <w:r w:rsidRPr="00C412FA">
        <w:rPr>
          <w:b/>
        </w:rPr>
        <w:t>Queensland:</w:t>
      </w:r>
    </w:p>
    <w:p w:rsidR="00775FEB" w:rsidRDefault="005C6A24" w:rsidP="00775FEB">
      <w:hyperlink r:id="rId48" w:history="1">
        <w:r w:rsidR="00D357AA" w:rsidRPr="00FB449B">
          <w:rPr>
            <w:rStyle w:val="Hyperlink"/>
          </w:rPr>
          <w:t>http://www.tmr.qld.gov.au/Registration/Registering-vehicles/Written-off-vehicles/Written-off-vehicle-register.aspx</w:t>
        </w:r>
      </w:hyperlink>
    </w:p>
    <w:p w:rsidR="00775FEB" w:rsidRDefault="00775FEB" w:rsidP="00775FEB">
      <w:r w:rsidRPr="00C412FA">
        <w:rPr>
          <w:b/>
        </w:rPr>
        <w:t>Tasmania:</w:t>
      </w:r>
      <w:r w:rsidRPr="00AD4F11">
        <w:t xml:space="preserve"> </w:t>
      </w:r>
      <w:hyperlink r:id="rId49" w:history="1">
        <w:r w:rsidR="00D357AA" w:rsidRPr="00FB449B">
          <w:rPr>
            <w:rStyle w:val="Hyperlink"/>
          </w:rPr>
          <w:t>http://www.transport.tas.gov.au/registration/information/written_off_vehicle_register_questions_and_answers</w:t>
        </w:r>
      </w:hyperlink>
    </w:p>
    <w:p w:rsidR="00775FEB" w:rsidRPr="00C412FA" w:rsidRDefault="00775FEB" w:rsidP="00775FEB">
      <w:pPr>
        <w:rPr>
          <w:b/>
        </w:rPr>
      </w:pPr>
      <w:r w:rsidRPr="00C412FA">
        <w:rPr>
          <w:b/>
        </w:rPr>
        <w:t>South Australia:</w:t>
      </w:r>
    </w:p>
    <w:p w:rsidR="00775FEB" w:rsidRDefault="005C6A24" w:rsidP="00775FEB">
      <w:hyperlink r:id="rId50" w:history="1">
        <w:r w:rsidR="00D357AA" w:rsidRPr="00FB449B">
          <w:rPr>
            <w:rStyle w:val="Hyperlink"/>
          </w:rPr>
          <w:t>http://www.sa.gov.au/__data/assets/pdf_file/0013/11236/MR78.pdf</w:t>
        </w:r>
      </w:hyperlink>
    </w:p>
    <w:p w:rsidR="00775FEB" w:rsidRPr="00C412FA" w:rsidRDefault="00775FEB" w:rsidP="00775FEB">
      <w:pPr>
        <w:rPr>
          <w:b/>
        </w:rPr>
      </w:pPr>
      <w:r w:rsidRPr="00C412FA">
        <w:rPr>
          <w:b/>
        </w:rPr>
        <w:t>Western Australia:</w:t>
      </w:r>
    </w:p>
    <w:p w:rsidR="00775FEB" w:rsidRDefault="005C6A24" w:rsidP="00775FEB">
      <w:hyperlink r:id="rId51" w:history="1">
        <w:r w:rsidR="00D357AA" w:rsidRPr="00FB449B">
          <w:rPr>
            <w:rStyle w:val="Hyperlink"/>
          </w:rPr>
          <w:t>http://www.transport.wa.gov.au/licensing/write-off-a-vehicle.asp</w:t>
        </w:r>
      </w:hyperlink>
    </w:p>
    <w:p w:rsidR="00775FEB" w:rsidRPr="00C412FA" w:rsidRDefault="00775FEB" w:rsidP="00775FEB">
      <w:pPr>
        <w:rPr>
          <w:b/>
        </w:rPr>
      </w:pPr>
      <w:r w:rsidRPr="00C412FA">
        <w:rPr>
          <w:b/>
        </w:rPr>
        <w:t>Northern Territory:</w:t>
      </w:r>
    </w:p>
    <w:p w:rsidR="00775FEB" w:rsidRDefault="005C6A24" w:rsidP="00775FEB">
      <w:hyperlink r:id="rId52" w:history="1">
        <w:r w:rsidR="00D357AA" w:rsidRPr="00FB449B">
          <w:rPr>
            <w:rStyle w:val="Hyperlink"/>
          </w:rPr>
          <w:t>http://www.transport.nt.gov.au/__data/assets/pdf_file/0007/19609/V54-NT-Written-off-Vehicle-Register-WOVR-Dec-2012.pdf</w:t>
        </w:r>
      </w:hyperlink>
    </w:p>
    <w:p w:rsidR="00775FEB" w:rsidRPr="00C412FA" w:rsidRDefault="00775FEB" w:rsidP="00775FEB">
      <w:pPr>
        <w:rPr>
          <w:b/>
        </w:rPr>
      </w:pPr>
      <w:r w:rsidRPr="00C412FA">
        <w:rPr>
          <w:b/>
        </w:rPr>
        <w:t>Australian Capital Territory:</w:t>
      </w:r>
    </w:p>
    <w:p w:rsidR="00775FEB" w:rsidRDefault="00775FEB" w:rsidP="00775FEB">
      <w:r w:rsidRPr="005728F4">
        <w:t>http://www.rego.act.gov.au/registrations/regowovregistration.htm - Repairing_a_written-off_vehicle</w:t>
      </w:r>
    </w:p>
    <w:p w:rsidR="00D357AA" w:rsidRPr="005728F4" w:rsidRDefault="00D357AA" w:rsidP="00775FEB"/>
    <w:p w:rsidR="00775FEB" w:rsidRPr="004F1732" w:rsidRDefault="00775FEB" w:rsidP="00775FEB">
      <w:pPr>
        <w:rPr>
          <w:b/>
        </w:rPr>
      </w:pPr>
      <w:r w:rsidRPr="004F1732">
        <w:rPr>
          <w:b/>
        </w:rPr>
        <w:t>Car Safe – National Motor Vehicle Theft Reduction Council</w:t>
      </w:r>
    </w:p>
    <w:p w:rsidR="00775FEB" w:rsidRPr="003C63AC" w:rsidRDefault="00775FEB" w:rsidP="00775FEB">
      <w:r w:rsidRPr="004F1732">
        <w:t xml:space="preserve">Further information regarding the nationally consistent framework for </w:t>
      </w:r>
      <w:r w:rsidR="00363C26" w:rsidRPr="004F1732">
        <w:t xml:space="preserve">assessing the damage and </w:t>
      </w:r>
      <w:r w:rsidRPr="00AD02ED">
        <w:t xml:space="preserve">managing written-off vehicles </w:t>
      </w:r>
      <w:r w:rsidR="00363C26" w:rsidRPr="00AD02ED">
        <w:t>can be found at the sites below</w:t>
      </w:r>
      <w:r w:rsidR="003C63AC">
        <w:t>:</w:t>
      </w:r>
    </w:p>
    <w:p w:rsidR="00775FEB" w:rsidRPr="00C412FA" w:rsidRDefault="00775FEB" w:rsidP="00775FEB">
      <w:pPr>
        <w:rPr>
          <w:b/>
        </w:rPr>
      </w:pPr>
      <w:r w:rsidRPr="00C412FA">
        <w:rPr>
          <w:b/>
        </w:rPr>
        <w:t>Criteria for the Classification of Statutory Write-Offs</w:t>
      </w:r>
      <w:r w:rsidR="00363C26" w:rsidRPr="00C412FA">
        <w:rPr>
          <w:b/>
        </w:rPr>
        <w:t>:</w:t>
      </w:r>
    </w:p>
    <w:p w:rsidR="00920E28" w:rsidRPr="00AD4F11" w:rsidRDefault="005C6A24" w:rsidP="00775FEB">
      <w:hyperlink r:id="rId53" w:history="1">
        <w:r w:rsidR="00920E28" w:rsidRPr="00FB449B">
          <w:rPr>
            <w:rStyle w:val="Hyperlink"/>
          </w:rPr>
          <w:t>http://www.carsafe.com.au/images/stories/pdfs/2011_reports/NMVTRC</w:t>
        </w:r>
      </w:hyperlink>
      <w:r w:rsidR="00920E28">
        <w:t xml:space="preserve"> </w:t>
      </w:r>
      <w:r w:rsidR="00775FEB" w:rsidRPr="00AD4F11">
        <w:t>Technical Guide High Res Web.pdf</w:t>
      </w:r>
    </w:p>
    <w:p w:rsidR="00775FEB" w:rsidRPr="00C412FA" w:rsidRDefault="00775FEB" w:rsidP="00775FEB">
      <w:pPr>
        <w:rPr>
          <w:b/>
        </w:rPr>
      </w:pPr>
      <w:r w:rsidRPr="00C412FA">
        <w:rPr>
          <w:b/>
        </w:rPr>
        <w:t>New Damage Assessment Criteria for the Classification of Statutory Write-Offs – Frequently Asked Questions</w:t>
      </w:r>
      <w:r w:rsidR="00363C26" w:rsidRPr="00C412FA">
        <w:rPr>
          <w:b/>
        </w:rPr>
        <w:t>:</w:t>
      </w:r>
    </w:p>
    <w:p w:rsidR="00920E28" w:rsidRDefault="005C6A24" w:rsidP="00775FEB">
      <w:hyperlink r:id="rId54" w:history="1">
        <w:r w:rsidR="00920E28" w:rsidRPr="00FB449B">
          <w:rPr>
            <w:rStyle w:val="Hyperlink"/>
          </w:rPr>
          <w:t>http://www.carsafe.com.au/images/stories/pdfs/2013</w:t>
        </w:r>
      </w:hyperlink>
      <w:r w:rsidR="00920E28">
        <w:t xml:space="preserve"> </w:t>
      </w:r>
      <w:r w:rsidR="00775FEB" w:rsidRPr="005728F4">
        <w:t xml:space="preserve"> Reports/New Damage Assessment Criteria FAQs - Sep 2013.pdf</w:t>
      </w:r>
    </w:p>
    <w:p w:rsidR="00775FEB" w:rsidRPr="00920E28" w:rsidRDefault="00C412FA" w:rsidP="00775FEB">
      <w:r w:rsidRPr="00C412FA">
        <w:rPr>
          <w:b/>
        </w:rPr>
        <w:t>Auto check</w:t>
      </w:r>
      <w:r w:rsidR="00775FEB" w:rsidRPr="00C412FA">
        <w:rPr>
          <w:b/>
        </w:rPr>
        <w:t xml:space="preserve"> – </w:t>
      </w:r>
      <w:r w:rsidR="00920E28">
        <w:t xml:space="preserve">This is a site </w:t>
      </w:r>
      <w:r w:rsidR="00775FEB" w:rsidRPr="00920E28">
        <w:t>where prospective buyers may check the c</w:t>
      </w:r>
      <w:r w:rsidR="00363C26" w:rsidRPr="00920E28">
        <w:t>redentials of vehicles for sale:</w:t>
      </w:r>
    </w:p>
    <w:p w:rsidR="00775FEB" w:rsidRDefault="005C6A24" w:rsidP="00775FEB">
      <w:hyperlink r:id="rId55" w:history="1">
        <w:r w:rsidR="00920E28" w:rsidRPr="00FB449B">
          <w:rPr>
            <w:rStyle w:val="Hyperlink"/>
          </w:rPr>
          <w:t>https://www.autocheck.com.au/</w:t>
        </w:r>
      </w:hyperlink>
    </w:p>
    <w:p w:rsidR="00920E28" w:rsidRPr="005728F4" w:rsidRDefault="00920E28" w:rsidP="00775FEB"/>
    <w:p w:rsidR="00775FEB" w:rsidRPr="000F5EF8" w:rsidRDefault="00775FEB" w:rsidP="00775FEB"/>
    <w:p w:rsidR="00E31F21" w:rsidRPr="004F1732" w:rsidRDefault="00E31F21">
      <w:pPr>
        <w:spacing w:before="0"/>
        <w:jc w:val="left"/>
      </w:pPr>
      <w:r w:rsidRPr="004F1732">
        <w:br w:type="page"/>
      </w:r>
    </w:p>
    <w:p w:rsidR="00E31F21" w:rsidRPr="004F1732" w:rsidRDefault="00E31F21" w:rsidP="00E31F21">
      <w:pPr>
        <w:pStyle w:val="Heading1"/>
        <w:numPr>
          <w:ilvl w:val="0"/>
          <w:numId w:val="0"/>
        </w:numPr>
        <w:rPr>
          <w:lang w:val="en-AU"/>
        </w:rPr>
      </w:pPr>
      <w:bookmarkStart w:id="38" w:name="_Toc430778996"/>
      <w:r w:rsidRPr="004F1732">
        <w:rPr>
          <w:lang w:val="en-AU"/>
        </w:rPr>
        <w:t>Appendix C</w:t>
      </w:r>
      <w:bookmarkEnd w:id="38"/>
    </w:p>
    <w:p w:rsidR="00E31F21" w:rsidRPr="003C63AC" w:rsidRDefault="00E31F21" w:rsidP="00E31F21">
      <w:pPr>
        <w:pStyle w:val="Heading2"/>
        <w:numPr>
          <w:ilvl w:val="0"/>
          <w:numId w:val="0"/>
        </w:numPr>
        <w:rPr>
          <w:rFonts w:cstheme="minorBidi"/>
        </w:rPr>
      </w:pPr>
      <w:bookmarkStart w:id="39" w:name="_Toc430778997"/>
      <w:r w:rsidRPr="003C63AC">
        <w:t xml:space="preserve">Australian Metal Recyclers Industry </w:t>
      </w:r>
      <w:r w:rsidR="00E7143C" w:rsidRPr="003C63AC">
        <w:t>Association</w:t>
      </w:r>
      <w:r w:rsidRPr="003C63AC">
        <w:t xml:space="preserve"> Media </w:t>
      </w:r>
      <w:r w:rsidR="00E7143C" w:rsidRPr="003C63AC">
        <w:t>Statement</w:t>
      </w:r>
      <w:bookmarkEnd w:id="39"/>
    </w:p>
    <w:p w:rsidR="00E7143C" w:rsidRPr="003C63AC" w:rsidRDefault="006849FB" w:rsidP="00775FEB">
      <w:r w:rsidRPr="003C63AC">
        <w:t>AMRIA is an incorporated bod</w:t>
      </w:r>
      <w:r w:rsidR="00E7143C" w:rsidRPr="003C63AC">
        <w:t>y representing independent scrap metal recycling businesses across Australia.</w:t>
      </w:r>
    </w:p>
    <w:p w:rsidR="00E7143C" w:rsidRPr="00AD4F11" w:rsidRDefault="00E7143C" w:rsidP="00775FEB">
      <w:r w:rsidRPr="003C63AC">
        <w:t xml:space="preserve">AMRIA and its members are aware scrap metal theft is a global and local </w:t>
      </w:r>
      <w:r w:rsidR="003C63AC" w:rsidRPr="003C63AC">
        <w:t>problem that</w:t>
      </w:r>
      <w:r w:rsidRPr="003C63AC">
        <w:t xml:space="preserve"> results in significant impacts on the community.</w:t>
      </w:r>
    </w:p>
    <w:p w:rsidR="00E7143C" w:rsidRPr="004F1732" w:rsidRDefault="00E7143C" w:rsidP="00775FEB">
      <w:r w:rsidRPr="005728F4">
        <w:t xml:space="preserve">AMRIA and its members co-operate and communicate regularly with authorities </w:t>
      </w:r>
      <w:r w:rsidRPr="000F5EF8">
        <w:t xml:space="preserve">in relation to matters involving metal theft and unregulated, unlicensed businesses </w:t>
      </w:r>
      <w:r w:rsidR="003C63AC" w:rsidRPr="004F1732">
        <w:t>that</w:t>
      </w:r>
      <w:r w:rsidRPr="004F1732">
        <w:t xml:space="preserve"> undermine legitimate business activities of members in the industry.</w:t>
      </w:r>
    </w:p>
    <w:p w:rsidR="00E7143C" w:rsidRPr="00AD02ED" w:rsidRDefault="00E7143C" w:rsidP="00775FEB">
      <w:r w:rsidRPr="00AD02ED">
        <w:t>AMRIA has a theft reporting system to notify its members of metal thefts.</w:t>
      </w:r>
    </w:p>
    <w:p w:rsidR="00E7143C" w:rsidRPr="003C63AC" w:rsidRDefault="00E7143C" w:rsidP="00775FEB">
      <w:r w:rsidRPr="00D357AA">
        <w:t xml:space="preserve">Authorities are invited to send information or theft reports to </w:t>
      </w:r>
      <w:r w:rsidR="003C63AC" w:rsidRPr="00920E28">
        <w:t>AMRIA that</w:t>
      </w:r>
      <w:r w:rsidRPr="003C63AC">
        <w:t xml:space="preserve"> are on forward to members for assistance.</w:t>
      </w:r>
    </w:p>
    <w:p w:rsidR="006849FB" w:rsidRPr="003C63AC" w:rsidRDefault="006849FB" w:rsidP="00775FEB">
      <w:r w:rsidRPr="003C63AC">
        <w:t>AMRIA is aware there are a large number of unregulated scrap metal recycling businesses “operating under the radar” across Australia, who do not run their businesses to the same standards and regulations as members.</w:t>
      </w:r>
    </w:p>
    <w:p w:rsidR="00E7143C" w:rsidRPr="003C63AC" w:rsidRDefault="00E7143C" w:rsidP="00775FEB">
      <w:r w:rsidRPr="003C63AC">
        <w:t>Standard</w:t>
      </w:r>
      <w:r w:rsidR="006849FB" w:rsidRPr="003C63AC">
        <w:t>s include holding</w:t>
      </w:r>
      <w:r w:rsidRPr="003C63AC">
        <w:t xml:space="preserve"> the appropriate council planning permit to undertake material recycling, holding the appropriate state </w:t>
      </w:r>
      <w:r w:rsidR="006849FB" w:rsidRPr="003C63AC">
        <w:t>second-hand</w:t>
      </w:r>
      <w:r w:rsidRPr="003C63AC">
        <w:t xml:space="preserve"> dealers </w:t>
      </w:r>
      <w:r w:rsidR="00E35DDD">
        <w:t>licence</w:t>
      </w:r>
      <w:r w:rsidRPr="003C63AC">
        <w:t>, record keeping and identity recording for metal recycling retail transactions.</w:t>
      </w:r>
    </w:p>
    <w:p w:rsidR="00E7143C" w:rsidRPr="003C63AC" w:rsidRDefault="00E7143C" w:rsidP="00775FEB">
      <w:r w:rsidRPr="003C63AC">
        <w:t>These unregulated unlicensed businesses provide an avenue to handle and export stolen metals out of Australia.</w:t>
      </w:r>
    </w:p>
    <w:p w:rsidR="00E7143C" w:rsidRPr="003C63AC" w:rsidRDefault="00E7143C" w:rsidP="00775FEB">
      <w:r w:rsidRPr="003C63AC">
        <w:t>AMRIA has expressed concerns to government, councils and authorities that whilst these unregulated and unlicensed businesses are allowed to continue to operate, the problem of metal theft will continue to occur, even flourish and impact on the community.</w:t>
      </w:r>
    </w:p>
    <w:p w:rsidR="00E7143C" w:rsidRPr="003C63AC" w:rsidRDefault="00E7143C" w:rsidP="00775FEB">
      <w:pPr>
        <w:rPr>
          <w:b/>
        </w:rPr>
      </w:pPr>
      <w:r w:rsidRPr="003C63AC">
        <w:rPr>
          <w:b/>
          <w:u w:val="single"/>
        </w:rPr>
        <w:t>A starting point or solution</w:t>
      </w:r>
      <w:r w:rsidRPr="003C63AC">
        <w:rPr>
          <w:b/>
        </w:rPr>
        <w:t xml:space="preserve"> is for authorities to start closing down non permitted, unregulated, unlicensed businesses and drive scrap metal recycling transactions through regulated businesses where monitoring occurs.</w:t>
      </w:r>
    </w:p>
    <w:p w:rsidR="00775FEB" w:rsidRPr="003C63AC" w:rsidRDefault="00E7143C" w:rsidP="00775FEB">
      <w:r w:rsidRPr="003C63AC">
        <w:t>(Prepared for ABC South West Mornings interview request</w:t>
      </w:r>
      <w:r w:rsidR="0028473F">
        <w:t xml:space="preserve"> September 2014</w:t>
      </w:r>
      <w:r w:rsidRPr="003C63AC">
        <w:t>)</w:t>
      </w:r>
    </w:p>
    <w:p w:rsidR="00775FEB" w:rsidRPr="003C63AC" w:rsidRDefault="00775FEB" w:rsidP="00775FEB"/>
    <w:p w:rsidR="00775FEB" w:rsidRPr="003C63AC" w:rsidRDefault="00775FEB" w:rsidP="00775FEB"/>
    <w:p w:rsidR="00577D16" w:rsidRPr="003C63AC" w:rsidRDefault="00577D16" w:rsidP="00577D16"/>
    <w:p w:rsidR="004315E8" w:rsidRPr="003C63AC" w:rsidRDefault="004315E8" w:rsidP="00577D16">
      <w:pPr>
        <w:rPr>
          <w:rFonts w:ascii="Calibri" w:eastAsia="Times New Roman" w:hAnsi="Calibri" w:cs="Times New Roman"/>
          <w:b/>
          <w:bCs/>
          <w:kern w:val="32"/>
          <w:sz w:val="32"/>
          <w:szCs w:val="32"/>
        </w:rPr>
      </w:pPr>
    </w:p>
    <w:p w:rsidR="00D1010B" w:rsidRDefault="00D1010B"/>
    <w:sectPr w:rsidR="00D1010B" w:rsidSect="00892DF8">
      <w:pgSz w:w="11900" w:h="16820"/>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6AC3" w:rsidRDefault="007D6AC3" w:rsidP="003937A5">
      <w:pPr>
        <w:spacing w:before="0"/>
      </w:pPr>
      <w:r>
        <w:separator/>
      </w:r>
    </w:p>
  </w:endnote>
  <w:endnote w:type="continuationSeparator" w:id="0">
    <w:p w:rsidR="007D6AC3" w:rsidRDefault="007D6AC3" w:rsidP="003937A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Times New Roman"/>
    <w:charset w:val="00"/>
    <w:family w:val="auto"/>
    <w:pitch w:val="variable"/>
    <w:sig w:usb0="E1000AEF" w:usb1="5000A1FF" w:usb2="00000000" w:usb3="00000000" w:csb0="000001BF" w:csb1="00000000"/>
  </w:font>
  <w:font w:name="TimesNewRomanP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A24" w:rsidRDefault="005C6A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81" w:type="pct"/>
      <w:tblInd w:w="-1303" w:type="dxa"/>
      <w:tblLayout w:type="fixed"/>
      <w:tblCellMar>
        <w:left w:w="115" w:type="dxa"/>
        <w:right w:w="115" w:type="dxa"/>
      </w:tblCellMar>
      <w:tblLook w:val="04A0" w:firstRow="1" w:lastRow="0" w:firstColumn="1" w:lastColumn="0" w:noHBand="0" w:noVBand="1"/>
    </w:tblPr>
    <w:tblGrid>
      <w:gridCol w:w="139"/>
      <w:gridCol w:w="5275"/>
      <w:gridCol w:w="144"/>
      <w:gridCol w:w="1769"/>
      <w:gridCol w:w="219"/>
      <w:gridCol w:w="862"/>
      <w:gridCol w:w="141"/>
      <w:gridCol w:w="1851"/>
      <w:gridCol w:w="998"/>
    </w:tblGrid>
    <w:tr w:rsidR="007D6AC3" w:rsidRPr="00EB45B6">
      <w:trPr>
        <w:gridBefore w:val="1"/>
        <w:gridAfter w:val="1"/>
        <w:wBefore w:w="61" w:type="pct"/>
        <w:wAfter w:w="438" w:type="pct"/>
      </w:trPr>
      <w:tc>
        <w:tcPr>
          <w:tcW w:w="2314" w:type="pct"/>
          <w:shd w:val="clear" w:color="auto" w:fill="auto"/>
        </w:tcPr>
        <w:p w:rsidR="007D6AC3" w:rsidRPr="00EB45B6" w:rsidRDefault="007D6AC3" w:rsidP="008352D3">
          <w:pPr>
            <w:pStyle w:val="Footer"/>
            <w:ind w:right="-145"/>
          </w:pPr>
        </w:p>
      </w:tc>
      <w:tc>
        <w:tcPr>
          <w:tcW w:w="839" w:type="pct"/>
          <w:gridSpan w:val="2"/>
          <w:shd w:val="clear" w:color="auto" w:fill="auto"/>
        </w:tcPr>
        <w:p w:rsidR="007D6AC3" w:rsidRPr="00EB45B6" w:rsidRDefault="007D6AC3" w:rsidP="008352D3">
          <w:pPr>
            <w:pStyle w:val="Footer"/>
            <w:ind w:right="-145"/>
            <w:rPr>
              <w:rFonts w:asciiTheme="majorHAnsi" w:hAnsiTheme="majorHAnsi"/>
              <w:sz w:val="22"/>
              <w:szCs w:val="22"/>
            </w:rPr>
          </w:pPr>
          <w:r w:rsidRPr="00EB45B6">
            <w:rPr>
              <w:rFonts w:asciiTheme="majorHAnsi" w:hAnsiTheme="majorHAnsi"/>
              <w:sz w:val="22"/>
              <w:szCs w:val="22"/>
            </w:rPr>
            <w:t>Phone</w:t>
          </w:r>
        </w:p>
      </w:tc>
      <w:tc>
        <w:tcPr>
          <w:tcW w:w="474" w:type="pct"/>
          <w:gridSpan w:val="2"/>
          <w:shd w:val="clear" w:color="auto" w:fill="auto"/>
        </w:tcPr>
        <w:p w:rsidR="007D6AC3" w:rsidRPr="00EB45B6" w:rsidRDefault="007D6AC3" w:rsidP="008352D3">
          <w:pPr>
            <w:pStyle w:val="Footer"/>
            <w:ind w:right="-145"/>
            <w:rPr>
              <w:rFonts w:asciiTheme="majorHAnsi" w:hAnsiTheme="majorHAnsi"/>
              <w:sz w:val="22"/>
              <w:szCs w:val="22"/>
            </w:rPr>
          </w:pPr>
        </w:p>
      </w:tc>
      <w:tc>
        <w:tcPr>
          <w:tcW w:w="874" w:type="pct"/>
          <w:gridSpan w:val="2"/>
          <w:shd w:val="clear" w:color="auto" w:fill="auto"/>
        </w:tcPr>
        <w:p w:rsidR="007D6AC3" w:rsidRPr="00EB45B6" w:rsidRDefault="007D6AC3" w:rsidP="008352D3">
          <w:pPr>
            <w:pStyle w:val="Footer"/>
            <w:ind w:right="-145"/>
            <w:rPr>
              <w:rFonts w:asciiTheme="majorHAnsi" w:hAnsiTheme="majorHAnsi"/>
              <w:sz w:val="22"/>
              <w:szCs w:val="22"/>
            </w:rPr>
          </w:pPr>
          <w:r w:rsidRPr="00EB45B6">
            <w:rPr>
              <w:rFonts w:asciiTheme="majorHAnsi" w:hAnsiTheme="majorHAnsi"/>
              <w:sz w:val="22"/>
              <w:szCs w:val="22"/>
            </w:rPr>
            <w:t>Web</w:t>
          </w:r>
        </w:p>
      </w:tc>
    </w:tr>
    <w:tr w:rsidR="007D6AC3" w:rsidRPr="00847A44">
      <w:tc>
        <w:tcPr>
          <w:tcW w:w="2438" w:type="pct"/>
          <w:gridSpan w:val="3"/>
          <w:shd w:val="clear" w:color="auto" w:fill="2397B0"/>
        </w:tcPr>
        <w:p w:rsidR="007D6AC3" w:rsidRPr="007F47B4" w:rsidRDefault="007D6AC3" w:rsidP="00B76434">
          <w:pPr>
            <w:pStyle w:val="Footer"/>
            <w:tabs>
              <w:tab w:val="clear" w:pos="4320"/>
              <w:tab w:val="clear" w:pos="8640"/>
              <w:tab w:val="center" w:pos="4705"/>
              <w:tab w:val="right" w:pos="8533"/>
            </w:tabs>
            <w:spacing w:before="120" w:after="120"/>
            <w:ind w:left="-115" w:right="-113"/>
            <w:rPr>
              <w:color w:val="FFFFFF" w:themeColor="background1"/>
              <w:sz w:val="20"/>
              <w:szCs w:val="20"/>
            </w:rPr>
          </w:pPr>
          <w:r>
            <w:rPr>
              <w:rFonts w:asciiTheme="majorHAnsi" w:hAnsiTheme="majorHAnsi"/>
              <w:color w:val="FFFFFF" w:themeColor="background1"/>
              <w:sz w:val="22"/>
              <w:szCs w:val="22"/>
            </w:rPr>
            <w:t xml:space="preserve">  </w:t>
          </w:r>
        </w:p>
      </w:tc>
      <w:tc>
        <w:tcPr>
          <w:tcW w:w="872" w:type="pct"/>
          <w:gridSpan w:val="2"/>
          <w:shd w:val="clear" w:color="auto" w:fill="2397B0"/>
        </w:tcPr>
        <w:p w:rsidR="007D6AC3" w:rsidRPr="00847A44" w:rsidRDefault="007D6AC3" w:rsidP="008352D3">
          <w:pPr>
            <w:pStyle w:val="Footer"/>
            <w:tabs>
              <w:tab w:val="clear" w:pos="4320"/>
              <w:tab w:val="clear" w:pos="8640"/>
              <w:tab w:val="center" w:pos="4705"/>
              <w:tab w:val="right" w:pos="8533"/>
            </w:tabs>
            <w:spacing w:before="120" w:after="120"/>
            <w:ind w:left="-115" w:right="-113"/>
            <w:rPr>
              <w:rFonts w:asciiTheme="majorHAnsi" w:hAnsiTheme="majorHAnsi"/>
              <w:color w:val="FFFFFF" w:themeColor="background1"/>
              <w:sz w:val="22"/>
              <w:szCs w:val="22"/>
            </w:rPr>
          </w:pPr>
          <w:r>
            <w:rPr>
              <w:rFonts w:asciiTheme="majorHAnsi" w:hAnsiTheme="majorHAnsi"/>
              <w:color w:val="FFFFFF" w:themeColor="background1"/>
              <w:sz w:val="22"/>
              <w:szCs w:val="22"/>
            </w:rPr>
            <w:t>03 95929111</w:t>
          </w:r>
        </w:p>
      </w:tc>
      <w:tc>
        <w:tcPr>
          <w:tcW w:w="440" w:type="pct"/>
          <w:gridSpan w:val="2"/>
          <w:shd w:val="clear" w:color="auto" w:fill="2397B0"/>
        </w:tcPr>
        <w:p w:rsidR="007D6AC3" w:rsidRPr="00847A44" w:rsidRDefault="007D6AC3" w:rsidP="008352D3">
          <w:pPr>
            <w:pStyle w:val="Footer"/>
            <w:tabs>
              <w:tab w:val="clear" w:pos="4320"/>
              <w:tab w:val="clear" w:pos="8640"/>
              <w:tab w:val="center" w:pos="4705"/>
              <w:tab w:val="right" w:pos="8533"/>
            </w:tabs>
            <w:spacing w:before="120" w:after="120"/>
            <w:ind w:left="-115" w:right="-113"/>
            <w:rPr>
              <w:rFonts w:asciiTheme="majorHAnsi" w:hAnsiTheme="majorHAnsi"/>
              <w:color w:val="FFFFFF" w:themeColor="background1"/>
              <w:sz w:val="22"/>
              <w:szCs w:val="22"/>
            </w:rPr>
          </w:pPr>
        </w:p>
      </w:tc>
      <w:tc>
        <w:tcPr>
          <w:tcW w:w="1250" w:type="pct"/>
          <w:gridSpan w:val="2"/>
          <w:shd w:val="clear" w:color="auto" w:fill="2397B0"/>
        </w:tcPr>
        <w:p w:rsidR="007D6AC3" w:rsidRPr="00847A44" w:rsidRDefault="007D6AC3" w:rsidP="008352D3">
          <w:pPr>
            <w:pStyle w:val="Footer"/>
            <w:tabs>
              <w:tab w:val="clear" w:pos="4320"/>
              <w:tab w:val="clear" w:pos="8640"/>
              <w:tab w:val="center" w:pos="4705"/>
              <w:tab w:val="right" w:pos="8533"/>
            </w:tabs>
            <w:spacing w:before="120" w:after="120"/>
            <w:ind w:left="-115" w:right="-113"/>
            <w:rPr>
              <w:rFonts w:asciiTheme="majorHAnsi" w:hAnsiTheme="majorHAnsi"/>
              <w:color w:val="FFFFFF" w:themeColor="background1"/>
              <w:sz w:val="22"/>
              <w:szCs w:val="22"/>
            </w:rPr>
          </w:pPr>
          <w:r w:rsidRPr="00847A44">
            <w:rPr>
              <w:rFonts w:asciiTheme="majorHAnsi" w:hAnsiTheme="majorHAnsi"/>
              <w:color w:val="FFFFFF" w:themeColor="background1"/>
              <w:sz w:val="22"/>
              <w:szCs w:val="22"/>
            </w:rPr>
            <w:t>www.expertgroup.com.au</w:t>
          </w:r>
        </w:p>
      </w:tc>
    </w:tr>
  </w:tbl>
  <w:p w:rsidR="007D6AC3" w:rsidRDefault="007D6A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A24" w:rsidRDefault="005C6A2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E9C" w:rsidRDefault="00C71E9C" w:rsidP="008352D3">
    <w:pPr>
      <w:pStyle w:val="Footer"/>
      <w:jc w:val="right"/>
      <w:rPr>
        <w:rFonts w:ascii="Verdana" w:hAnsi="Verdana"/>
        <w:sz w:val="16"/>
        <w:szCs w:val="16"/>
      </w:rPr>
    </w:pPr>
  </w:p>
  <w:p w:rsidR="00C71E9C" w:rsidRDefault="00C71E9C" w:rsidP="008352D3">
    <w:pPr>
      <w:pStyle w:val="Footer"/>
      <w:jc w:val="right"/>
      <w:rPr>
        <w:rFonts w:ascii="Verdana" w:hAnsi="Verdana"/>
        <w:sz w:val="16"/>
        <w:szCs w:val="16"/>
      </w:rPr>
    </w:pPr>
  </w:p>
  <w:p w:rsidR="00C71E9C" w:rsidRPr="001B0746" w:rsidRDefault="00C71E9C" w:rsidP="00F970F9">
    <w:pPr>
      <w:pStyle w:val="Footer"/>
      <w:tabs>
        <w:tab w:val="right" w:pos="9639"/>
      </w:tabs>
      <w:rPr>
        <w:rFonts w:ascii="Verdana" w:hAnsi="Verdana"/>
        <w:sz w:val="16"/>
        <w:szCs w:val="16"/>
      </w:rPr>
    </w:pPr>
    <w:r>
      <w:rPr>
        <w:rFonts w:ascii="Verdana" w:hAnsi="Verdana"/>
        <w:sz w:val="16"/>
        <w:szCs w:val="16"/>
        <w:lang w:val="en-AU"/>
      </w:rPr>
      <w:tab/>
    </w:r>
    <w:r>
      <w:rPr>
        <w:rFonts w:ascii="Verdana" w:hAnsi="Verdana"/>
        <w:sz w:val="16"/>
        <w:szCs w:val="16"/>
        <w:lang w:val="en-AU"/>
      </w:rPr>
      <w:tab/>
    </w:r>
    <w:r>
      <w:rPr>
        <w:rFonts w:ascii="Verdana" w:hAnsi="Verdana"/>
        <w:sz w:val="16"/>
        <w:szCs w:val="16"/>
        <w:lang w:val="en-AU"/>
      </w:rPr>
      <w:tab/>
    </w:r>
    <w:r w:rsidRPr="001B0746">
      <w:rPr>
        <w:rFonts w:ascii="Verdana" w:hAnsi="Verdana"/>
        <w:sz w:val="16"/>
        <w:szCs w:val="16"/>
      </w:rPr>
      <w:t xml:space="preserve">Page </w:t>
    </w:r>
    <w:r w:rsidR="00F005B2" w:rsidRPr="001B0746">
      <w:rPr>
        <w:rStyle w:val="PageNumber"/>
        <w:rFonts w:ascii="Verdana" w:hAnsi="Verdana"/>
        <w:sz w:val="16"/>
        <w:szCs w:val="16"/>
      </w:rPr>
      <w:fldChar w:fldCharType="begin"/>
    </w:r>
    <w:r w:rsidRPr="001B0746">
      <w:rPr>
        <w:rStyle w:val="PageNumber"/>
        <w:rFonts w:ascii="Verdana" w:hAnsi="Verdana"/>
        <w:sz w:val="16"/>
        <w:szCs w:val="16"/>
      </w:rPr>
      <w:instrText xml:space="preserve"> PAGE </w:instrText>
    </w:r>
    <w:r w:rsidR="00F005B2" w:rsidRPr="001B0746">
      <w:rPr>
        <w:rStyle w:val="PageNumber"/>
        <w:rFonts w:ascii="Verdana" w:hAnsi="Verdana"/>
        <w:sz w:val="16"/>
        <w:szCs w:val="16"/>
      </w:rPr>
      <w:fldChar w:fldCharType="separate"/>
    </w:r>
    <w:r w:rsidR="005C6A24">
      <w:rPr>
        <w:rStyle w:val="PageNumber"/>
        <w:rFonts w:ascii="Verdana" w:hAnsi="Verdana"/>
        <w:noProof/>
        <w:sz w:val="16"/>
        <w:szCs w:val="16"/>
      </w:rPr>
      <w:t>4</w:t>
    </w:r>
    <w:r w:rsidR="00F005B2" w:rsidRPr="001B0746">
      <w:rPr>
        <w:rStyle w:val="PageNumber"/>
        <w:rFonts w:ascii="Verdana" w:hAnsi="Verdana"/>
        <w:sz w:val="16"/>
        <w:szCs w:val="16"/>
      </w:rPr>
      <w:fldChar w:fldCharType="end"/>
    </w:r>
    <w:r w:rsidRPr="001B0746">
      <w:rPr>
        <w:rStyle w:val="PageNumber"/>
        <w:rFonts w:ascii="Verdana" w:hAnsi="Verdana"/>
        <w:sz w:val="16"/>
        <w:szCs w:val="16"/>
      </w:rPr>
      <w:t xml:space="preserve"> of </w:t>
    </w:r>
    <w:r w:rsidR="00F005B2" w:rsidRPr="001B0746">
      <w:rPr>
        <w:rStyle w:val="PageNumber"/>
        <w:rFonts w:ascii="Verdana" w:hAnsi="Verdana"/>
        <w:sz w:val="16"/>
        <w:szCs w:val="16"/>
      </w:rPr>
      <w:fldChar w:fldCharType="begin"/>
    </w:r>
    <w:r w:rsidRPr="001B0746">
      <w:rPr>
        <w:rStyle w:val="PageNumber"/>
        <w:rFonts w:ascii="Verdana" w:hAnsi="Verdana"/>
        <w:sz w:val="16"/>
        <w:szCs w:val="16"/>
      </w:rPr>
      <w:instrText xml:space="preserve"> NUMPAGES </w:instrText>
    </w:r>
    <w:r w:rsidR="00F005B2" w:rsidRPr="001B0746">
      <w:rPr>
        <w:rStyle w:val="PageNumber"/>
        <w:rFonts w:ascii="Verdana" w:hAnsi="Verdana"/>
        <w:sz w:val="16"/>
        <w:szCs w:val="16"/>
      </w:rPr>
      <w:fldChar w:fldCharType="separate"/>
    </w:r>
    <w:r w:rsidR="005C6A24">
      <w:rPr>
        <w:rStyle w:val="PageNumber"/>
        <w:rFonts w:ascii="Verdana" w:hAnsi="Verdana"/>
        <w:noProof/>
        <w:sz w:val="16"/>
        <w:szCs w:val="16"/>
      </w:rPr>
      <w:t>60</w:t>
    </w:r>
    <w:r w:rsidR="00F005B2" w:rsidRPr="001B0746">
      <w:rPr>
        <w:rStyle w:val="PageNumber"/>
        <w:rFonts w:ascii="Verdana" w:hAnsi="Verdana"/>
        <w:sz w:val="16"/>
        <w:szCs w:val="16"/>
      </w:rPr>
      <w:fldChar w:fldCharType="end"/>
    </w:r>
  </w:p>
  <w:p w:rsidR="00C71E9C" w:rsidRPr="001B0746" w:rsidRDefault="00C71E9C" w:rsidP="008352D3">
    <w:pPr>
      <w:pStyle w:val="Footer"/>
      <w:ind w:right="360"/>
      <w:jc w:val="right"/>
      <w:rPr>
        <w:rFonts w:ascii="Verdana" w:hAnsi="Verdana"/>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AC3" w:rsidRDefault="007D6AC3" w:rsidP="008352D3">
    <w:pPr>
      <w:pStyle w:val="Footer"/>
      <w:jc w:val="right"/>
      <w:rPr>
        <w:rFonts w:ascii="Verdana" w:hAnsi="Verdana"/>
        <w:sz w:val="16"/>
        <w:szCs w:val="16"/>
      </w:rPr>
    </w:pPr>
  </w:p>
  <w:p w:rsidR="007D6AC3" w:rsidRDefault="007D6AC3" w:rsidP="008352D3">
    <w:pPr>
      <w:pStyle w:val="Footer"/>
      <w:jc w:val="right"/>
      <w:rPr>
        <w:rFonts w:ascii="Verdana" w:hAnsi="Verdana"/>
        <w:sz w:val="16"/>
        <w:szCs w:val="16"/>
      </w:rPr>
    </w:pPr>
  </w:p>
  <w:p w:rsidR="007D6AC3" w:rsidRPr="001B0746" w:rsidRDefault="007D6AC3" w:rsidP="00F970F9">
    <w:pPr>
      <w:pStyle w:val="Footer"/>
      <w:tabs>
        <w:tab w:val="right" w:pos="9639"/>
      </w:tabs>
      <w:rPr>
        <w:rFonts w:ascii="Verdana" w:hAnsi="Verdana"/>
        <w:sz w:val="16"/>
        <w:szCs w:val="16"/>
      </w:rPr>
    </w:pPr>
    <w:r>
      <w:rPr>
        <w:rFonts w:ascii="Verdana" w:hAnsi="Verdana"/>
        <w:sz w:val="16"/>
        <w:szCs w:val="16"/>
        <w:lang w:val="en-AU"/>
      </w:rPr>
      <w:tab/>
    </w:r>
    <w:r>
      <w:rPr>
        <w:rFonts w:ascii="Verdana" w:hAnsi="Verdana"/>
        <w:sz w:val="16"/>
        <w:szCs w:val="16"/>
        <w:lang w:val="en-AU"/>
      </w:rPr>
      <w:tab/>
    </w:r>
    <w:r>
      <w:rPr>
        <w:rFonts w:ascii="Verdana" w:hAnsi="Verdana"/>
        <w:sz w:val="16"/>
        <w:szCs w:val="16"/>
        <w:lang w:val="en-AU"/>
      </w:rPr>
      <w:tab/>
    </w:r>
    <w:r w:rsidRPr="001B0746">
      <w:rPr>
        <w:rFonts w:ascii="Verdana" w:hAnsi="Verdana"/>
        <w:sz w:val="16"/>
        <w:szCs w:val="16"/>
      </w:rPr>
      <w:t xml:space="preserve">Page </w:t>
    </w:r>
    <w:r w:rsidR="00F005B2" w:rsidRPr="001B0746">
      <w:rPr>
        <w:rStyle w:val="PageNumber"/>
        <w:rFonts w:ascii="Verdana" w:hAnsi="Verdana"/>
        <w:sz w:val="16"/>
        <w:szCs w:val="16"/>
      </w:rPr>
      <w:fldChar w:fldCharType="begin"/>
    </w:r>
    <w:r w:rsidRPr="001B0746">
      <w:rPr>
        <w:rStyle w:val="PageNumber"/>
        <w:rFonts w:ascii="Verdana" w:hAnsi="Verdana"/>
        <w:sz w:val="16"/>
        <w:szCs w:val="16"/>
      </w:rPr>
      <w:instrText xml:space="preserve"> PAGE </w:instrText>
    </w:r>
    <w:r w:rsidR="00F005B2" w:rsidRPr="001B0746">
      <w:rPr>
        <w:rStyle w:val="PageNumber"/>
        <w:rFonts w:ascii="Verdana" w:hAnsi="Verdana"/>
        <w:sz w:val="16"/>
        <w:szCs w:val="16"/>
      </w:rPr>
      <w:fldChar w:fldCharType="separate"/>
    </w:r>
    <w:r w:rsidR="005C6A24">
      <w:rPr>
        <w:rStyle w:val="PageNumber"/>
        <w:rFonts w:ascii="Verdana" w:hAnsi="Verdana"/>
        <w:noProof/>
        <w:sz w:val="16"/>
        <w:szCs w:val="16"/>
      </w:rPr>
      <w:t>28</w:t>
    </w:r>
    <w:r w:rsidR="00F005B2" w:rsidRPr="001B0746">
      <w:rPr>
        <w:rStyle w:val="PageNumber"/>
        <w:rFonts w:ascii="Verdana" w:hAnsi="Verdana"/>
        <w:sz w:val="16"/>
        <w:szCs w:val="16"/>
      </w:rPr>
      <w:fldChar w:fldCharType="end"/>
    </w:r>
    <w:r w:rsidRPr="001B0746">
      <w:rPr>
        <w:rStyle w:val="PageNumber"/>
        <w:rFonts w:ascii="Verdana" w:hAnsi="Verdana"/>
        <w:sz w:val="16"/>
        <w:szCs w:val="16"/>
      </w:rPr>
      <w:t xml:space="preserve"> of </w:t>
    </w:r>
    <w:r w:rsidR="00F005B2" w:rsidRPr="001B0746">
      <w:rPr>
        <w:rStyle w:val="PageNumber"/>
        <w:rFonts w:ascii="Verdana" w:hAnsi="Verdana"/>
        <w:sz w:val="16"/>
        <w:szCs w:val="16"/>
      </w:rPr>
      <w:fldChar w:fldCharType="begin"/>
    </w:r>
    <w:r w:rsidRPr="001B0746">
      <w:rPr>
        <w:rStyle w:val="PageNumber"/>
        <w:rFonts w:ascii="Verdana" w:hAnsi="Verdana"/>
        <w:sz w:val="16"/>
        <w:szCs w:val="16"/>
      </w:rPr>
      <w:instrText xml:space="preserve"> NUMPAGES </w:instrText>
    </w:r>
    <w:r w:rsidR="00F005B2" w:rsidRPr="001B0746">
      <w:rPr>
        <w:rStyle w:val="PageNumber"/>
        <w:rFonts w:ascii="Verdana" w:hAnsi="Verdana"/>
        <w:sz w:val="16"/>
        <w:szCs w:val="16"/>
      </w:rPr>
      <w:fldChar w:fldCharType="separate"/>
    </w:r>
    <w:r w:rsidR="005C6A24">
      <w:rPr>
        <w:rStyle w:val="PageNumber"/>
        <w:rFonts w:ascii="Verdana" w:hAnsi="Verdana"/>
        <w:noProof/>
        <w:sz w:val="16"/>
        <w:szCs w:val="16"/>
      </w:rPr>
      <w:t>34</w:t>
    </w:r>
    <w:r w:rsidR="00F005B2" w:rsidRPr="001B0746">
      <w:rPr>
        <w:rStyle w:val="PageNumber"/>
        <w:rFonts w:ascii="Verdana" w:hAnsi="Verdana"/>
        <w:sz w:val="16"/>
        <w:szCs w:val="16"/>
      </w:rPr>
      <w:fldChar w:fldCharType="end"/>
    </w:r>
  </w:p>
  <w:p w:rsidR="007D6AC3" w:rsidRPr="001B0746" w:rsidRDefault="007D6AC3" w:rsidP="008352D3">
    <w:pPr>
      <w:pStyle w:val="Footer"/>
      <w:ind w:right="360"/>
      <w:jc w:val="right"/>
      <w:rPr>
        <w:rFonts w:ascii="Verdana" w:hAnsi="Verdan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6AC3" w:rsidRDefault="007D6AC3" w:rsidP="003937A5">
      <w:pPr>
        <w:spacing w:before="0"/>
      </w:pPr>
      <w:r>
        <w:separator/>
      </w:r>
    </w:p>
  </w:footnote>
  <w:footnote w:type="continuationSeparator" w:id="0">
    <w:p w:rsidR="007D6AC3" w:rsidRDefault="007D6AC3" w:rsidP="003937A5">
      <w:pPr>
        <w:spacing w:before="0"/>
      </w:pPr>
      <w:r>
        <w:continuationSeparator/>
      </w:r>
    </w:p>
  </w:footnote>
  <w:footnote w:id="1">
    <w:p w:rsidR="007D6AC3" w:rsidRPr="006D2C2E" w:rsidRDefault="007D6AC3">
      <w:pPr>
        <w:pStyle w:val="FootnoteText"/>
        <w:rPr>
          <w:lang w:val="en-US"/>
        </w:rPr>
      </w:pPr>
      <w:r>
        <w:rPr>
          <w:rStyle w:val="FootnoteReference"/>
        </w:rPr>
        <w:footnoteRef/>
      </w:r>
      <w:r>
        <w:t xml:space="preserve"> </w:t>
      </w:r>
      <w:r>
        <w:rPr>
          <w:lang w:val="en-US"/>
        </w:rPr>
        <w:t xml:space="preserve">Auto Parts Recyclers Association of Australia (AAPRA), </w:t>
      </w:r>
      <w:r w:rsidRPr="006D2C2E">
        <w:rPr>
          <w:lang w:val="en-US"/>
        </w:rPr>
        <w:t xml:space="preserve">Auto Recyclers Association of Australia </w:t>
      </w:r>
      <w:r>
        <w:rPr>
          <w:lang w:val="en-US"/>
        </w:rPr>
        <w:t>(ARAA) and Australian Metal Recyclers Industry Association (AMRIA).</w:t>
      </w:r>
    </w:p>
  </w:footnote>
  <w:footnote w:id="2">
    <w:p w:rsidR="007D6AC3" w:rsidRPr="002B0A15" w:rsidRDefault="007D6AC3" w:rsidP="00C866FB">
      <w:pPr>
        <w:pStyle w:val="FootnoteText"/>
        <w:rPr>
          <w:lang w:val="en-US"/>
        </w:rPr>
      </w:pPr>
      <w:r>
        <w:rPr>
          <w:rStyle w:val="FootnoteReference"/>
        </w:rPr>
        <w:footnoteRef/>
      </w:r>
      <w:r>
        <w:t xml:space="preserve"> </w:t>
      </w:r>
      <w:r>
        <w:rPr>
          <w:lang w:val="en-US"/>
        </w:rPr>
        <w:t xml:space="preserve">ABS </w:t>
      </w:r>
      <w:r w:rsidRPr="00C866FB">
        <w:rPr>
          <w:lang w:val="en-US"/>
        </w:rPr>
        <w:t>motor vehicle registration statistics are der</w:t>
      </w:r>
      <w:r>
        <w:rPr>
          <w:lang w:val="en-US"/>
        </w:rPr>
        <w:t>ived from data provided by the S</w:t>
      </w:r>
      <w:r w:rsidRPr="00C866FB">
        <w:rPr>
          <w:lang w:val="en-US"/>
        </w:rPr>
        <w:t xml:space="preserve">tate and </w:t>
      </w:r>
      <w:r>
        <w:rPr>
          <w:lang w:val="en-US"/>
        </w:rPr>
        <w:t>T</w:t>
      </w:r>
      <w:r w:rsidRPr="00C866FB">
        <w:rPr>
          <w:lang w:val="en-US"/>
        </w:rPr>
        <w:t>erritory motor vehicle registration authorities</w:t>
      </w:r>
      <w:r>
        <w:rPr>
          <w:lang w:val="en-US"/>
        </w:rPr>
        <w:t xml:space="preserve">, and new vehicle sales from </w:t>
      </w:r>
      <w:r w:rsidRPr="00C866FB">
        <w:rPr>
          <w:lang w:val="en-US"/>
        </w:rPr>
        <w:t>the Federated Chamber of Automotive Industry</w:t>
      </w:r>
      <w:r>
        <w:rPr>
          <w:lang w:val="en-US"/>
        </w:rPr>
        <w:t xml:space="preserve"> (VFACTS).</w:t>
      </w:r>
    </w:p>
  </w:footnote>
  <w:footnote w:id="3">
    <w:p w:rsidR="007D6AC3" w:rsidRPr="00A05B22" w:rsidRDefault="007D6AC3">
      <w:pPr>
        <w:pStyle w:val="FootnoteText"/>
        <w:rPr>
          <w:lang w:val="en-US"/>
        </w:rPr>
      </w:pPr>
      <w:r>
        <w:rPr>
          <w:rStyle w:val="FootnoteReference"/>
        </w:rPr>
        <w:footnoteRef/>
      </w:r>
      <w:r>
        <w:t xml:space="preserve"> </w:t>
      </w:r>
      <w:r>
        <w:rPr>
          <w:lang w:val="en-US"/>
        </w:rPr>
        <w:t>There are a small number (i.e. 19,100) of vehicles with a 2014 year of manufacture that have been classified as 2013 in this assignment.</w:t>
      </w:r>
    </w:p>
  </w:footnote>
  <w:footnote w:id="4">
    <w:p w:rsidR="007D6AC3" w:rsidRPr="001F4B50" w:rsidRDefault="007D6AC3" w:rsidP="001F4B50">
      <w:pPr>
        <w:pStyle w:val="FootnoteText"/>
        <w:rPr>
          <w:szCs w:val="18"/>
          <w:lang w:val="en-US"/>
        </w:rPr>
      </w:pPr>
      <w:r>
        <w:rPr>
          <w:rStyle w:val="FootnoteReference"/>
        </w:rPr>
        <w:footnoteRef/>
      </w:r>
      <w:r>
        <w:t xml:space="preserve"> </w:t>
      </w:r>
      <w:r w:rsidRPr="001F4B50">
        <w:rPr>
          <w:szCs w:val="18"/>
          <w:lang w:val="en-US"/>
        </w:rPr>
        <w:t>CFC-12 has a GWP of 8,100 (AR2 GWP-100 Year) and 10,900 (AR4 GWP-100 Year).</w:t>
      </w:r>
    </w:p>
  </w:footnote>
  <w:footnote w:id="5">
    <w:p w:rsidR="007D6AC3" w:rsidRPr="006D2834" w:rsidRDefault="007D6AC3" w:rsidP="001F4B50">
      <w:pPr>
        <w:pStyle w:val="FootnoteText"/>
        <w:rPr>
          <w:lang w:val="en-US"/>
        </w:rPr>
      </w:pPr>
      <w:r>
        <w:rPr>
          <w:rStyle w:val="FootnoteReference"/>
        </w:rPr>
        <w:footnoteRef/>
      </w:r>
      <w:r>
        <w:t xml:space="preserve"> </w:t>
      </w:r>
      <w:r w:rsidRPr="001F4B50">
        <w:rPr>
          <w:szCs w:val="18"/>
          <w:lang w:val="en-US"/>
        </w:rPr>
        <w:t>RRA conducted a survey of 350 vehicles (50 each in Brisbane, Adelaide, and Perth; and 100 each in Melbourne and Sydney) in early 2013 and a similar sample in 2014. Vehicles were selected randomly from workshops, the year of manufacture was recorded and the type of refrigerant was tested using Neutronics refrigerant gas analysers.</w:t>
      </w:r>
    </w:p>
  </w:footnote>
  <w:footnote w:id="6">
    <w:p w:rsidR="007D6AC3" w:rsidRPr="00224415" w:rsidRDefault="007D6AC3" w:rsidP="00B03B36">
      <w:pPr>
        <w:pStyle w:val="FootnoteText"/>
        <w:rPr>
          <w:szCs w:val="18"/>
        </w:rPr>
      </w:pPr>
      <w:r>
        <w:rPr>
          <w:rStyle w:val="FootnoteReference"/>
        </w:rPr>
        <w:footnoteRef/>
      </w:r>
      <w:r>
        <w:t xml:space="preserve"> </w:t>
      </w:r>
      <w:r w:rsidRPr="00224415">
        <w:rPr>
          <w:szCs w:val="18"/>
          <w:lang w:val="en-US"/>
        </w:rPr>
        <w:t>Passenger and light commercial vehicles made up 96</w:t>
      </w:r>
      <w:r>
        <w:rPr>
          <w:szCs w:val="18"/>
          <w:lang w:val="en-US"/>
        </w:rPr>
        <w:t xml:space="preserve"> per cent</w:t>
      </w:r>
      <w:r w:rsidRPr="00224415">
        <w:rPr>
          <w:szCs w:val="18"/>
          <w:lang w:val="en-US"/>
        </w:rPr>
        <w:t xml:space="preserve"> of the registered fleet (excluding motor cycles) in 2008 and 2013.</w:t>
      </w:r>
    </w:p>
  </w:footnote>
  <w:footnote w:id="7">
    <w:p w:rsidR="007D6AC3" w:rsidRPr="003A5544" w:rsidRDefault="007D6AC3" w:rsidP="00DD5844">
      <w:pPr>
        <w:pStyle w:val="FootnoteText"/>
        <w:rPr>
          <w:rFonts w:asciiTheme="minorHAnsi" w:hAnsiTheme="minorHAnsi"/>
          <w:i w:val="0"/>
          <w:szCs w:val="18"/>
        </w:rPr>
      </w:pPr>
      <w:r>
        <w:rPr>
          <w:rStyle w:val="FootnoteReference"/>
        </w:rPr>
        <w:footnoteRef/>
      </w:r>
      <w:r>
        <w:t xml:space="preserve"> </w:t>
      </w:r>
      <w:r w:rsidRPr="00615925">
        <w:rPr>
          <w:rFonts w:asciiTheme="minorHAnsi" w:hAnsiTheme="minorHAnsi"/>
          <w:szCs w:val="18"/>
          <w:lang w:val="en-US"/>
        </w:rPr>
        <w:t>Reference to the</w:t>
      </w:r>
      <w:r w:rsidRPr="00615925">
        <w:rPr>
          <w:rFonts w:asciiTheme="minorHAnsi" w:hAnsiTheme="minorHAnsi"/>
          <w:color w:val="222222"/>
          <w:szCs w:val="18"/>
        </w:rPr>
        <w:t xml:space="preserve"> </w:t>
      </w:r>
      <w:r w:rsidRPr="00615925">
        <w:rPr>
          <w:rFonts w:asciiTheme="minorHAnsi" w:hAnsiTheme="minorHAnsi"/>
          <w:bCs/>
          <w:color w:val="222222"/>
          <w:szCs w:val="18"/>
        </w:rPr>
        <w:t>National Exchange of Vehicle and Driver Information System</w:t>
      </w:r>
      <w:r w:rsidRPr="00615925">
        <w:rPr>
          <w:rFonts w:asciiTheme="minorHAnsi" w:hAnsiTheme="minorHAnsi" w:cs="Arial"/>
          <w:color w:val="222222"/>
          <w:szCs w:val="18"/>
        </w:rPr>
        <w:t xml:space="preserve"> (</w:t>
      </w:r>
      <w:r w:rsidRPr="00615925">
        <w:rPr>
          <w:rFonts w:asciiTheme="minorHAnsi" w:hAnsiTheme="minorHAnsi"/>
          <w:szCs w:val="18"/>
          <w:lang w:val="en-US"/>
        </w:rPr>
        <w:t xml:space="preserve">NEVDIS) – the process and role of assessment of vehicles as SWOs is further discussed in </w:t>
      </w:r>
      <w:r>
        <w:rPr>
          <w:rFonts w:asciiTheme="minorHAnsi" w:hAnsiTheme="minorHAnsi"/>
          <w:szCs w:val="18"/>
          <w:lang w:val="en-US"/>
        </w:rPr>
        <w:t>Appendix B</w:t>
      </w:r>
      <w:r w:rsidRPr="00615925">
        <w:rPr>
          <w:rFonts w:asciiTheme="minorHAnsi" w:hAnsiTheme="minorHAnsi"/>
          <w:szCs w:val="18"/>
          <w:lang w:val="en-US"/>
        </w:rPr>
        <w:t>.</w:t>
      </w:r>
    </w:p>
  </w:footnote>
  <w:footnote w:id="8">
    <w:p w:rsidR="007D6AC3" w:rsidRPr="00E822B9" w:rsidRDefault="007D6AC3">
      <w:pPr>
        <w:pStyle w:val="FootnoteText"/>
        <w:rPr>
          <w:lang w:val="en-US"/>
        </w:rPr>
      </w:pPr>
      <w:r>
        <w:rPr>
          <w:rStyle w:val="FootnoteReference"/>
        </w:rPr>
        <w:footnoteRef/>
      </w:r>
      <w:r>
        <w:t xml:space="preserve"> </w:t>
      </w:r>
      <w:r>
        <w:rPr>
          <w:lang w:val="en-US"/>
        </w:rPr>
        <w:t xml:space="preserve"> This estimate was rounded to the nearest thousand ELVs.</w:t>
      </w:r>
    </w:p>
  </w:footnote>
  <w:footnote w:id="9">
    <w:p w:rsidR="007D6AC3" w:rsidRPr="007D455D" w:rsidRDefault="007D6AC3">
      <w:pPr>
        <w:pStyle w:val="FootnoteText"/>
        <w:rPr>
          <w:lang w:val="en-US"/>
        </w:rPr>
      </w:pPr>
      <w:r>
        <w:rPr>
          <w:rStyle w:val="FootnoteReference"/>
        </w:rPr>
        <w:footnoteRef/>
      </w:r>
      <w:r>
        <w:t xml:space="preserve"> </w:t>
      </w:r>
      <w:r>
        <w:rPr>
          <w:lang w:val="en-US"/>
        </w:rPr>
        <w:t xml:space="preserve">The records examined at the business in question were assessed as being accurate and of high integrity. Thus what appears to be relatively high levels of average recoveries could suggest that car owners, even of older cars, tend to maintain their AC to the end of the vehicle life (noting the estimated 10 per cent leak rate per annum and that </w:t>
      </w:r>
      <w:r w:rsidRPr="003C63AC">
        <w:t>80 per cent of refrigerant gas consumed in MACs was consumed servicing air conditioning systems in existing vehicles</w:t>
      </w:r>
      <w:r>
        <w:rPr>
          <w:lang w:val="en-US"/>
        </w:rPr>
        <w:t>). It is also a fact that older vehicles did tend to have larger charge sizes in their AC (up to 1 kg) and as such recoveries from ELVs with working MAC at the lower end of the industry accepted average charge sizes simply indicates that these systems were regularly maintained. This data should be tested in the field with a wider and detailed audit of the age, models, recoveries and other characteristics of cars being processed by a number of well-run auto-recycling firms.</w:t>
      </w:r>
    </w:p>
  </w:footnote>
  <w:footnote w:id="10">
    <w:p w:rsidR="007D6AC3" w:rsidRPr="00CC5AE9" w:rsidRDefault="007D6AC3" w:rsidP="00B67A1C">
      <w:pPr>
        <w:pStyle w:val="FootnoteText"/>
        <w:rPr>
          <w:lang w:val="en-US"/>
        </w:rPr>
      </w:pPr>
      <w:r>
        <w:rPr>
          <w:rStyle w:val="FootnoteReference"/>
        </w:rPr>
        <w:footnoteRef/>
      </w:r>
      <w:r>
        <w:t xml:space="preserve"> </w:t>
      </w:r>
      <w:r>
        <w:rPr>
          <w:lang w:val="en-US"/>
        </w:rPr>
        <w:t>Assumes following average charge sizes (HFC-134a = 600 grams, CFC-12 = 700 grams and HC = 210 grams).</w:t>
      </w:r>
    </w:p>
  </w:footnote>
  <w:footnote w:id="11">
    <w:p w:rsidR="007D6AC3" w:rsidRDefault="007D6AC3" w:rsidP="00B67A1C">
      <w:pPr>
        <w:pStyle w:val="FootnoteText"/>
      </w:pPr>
      <w:r>
        <w:rPr>
          <w:rStyle w:val="FootnoteReference"/>
        </w:rPr>
        <w:footnoteRef/>
      </w:r>
      <w:r>
        <w:t xml:space="preserve"> </w:t>
      </w:r>
      <w:r>
        <w:rPr>
          <w:lang w:val="en-US"/>
        </w:rPr>
        <w:t>The Expert Group ELV Model is explained in detail in Appendix A.</w:t>
      </w:r>
    </w:p>
  </w:footnote>
  <w:footnote w:id="12">
    <w:p w:rsidR="007D6AC3" w:rsidRPr="00320B5E" w:rsidRDefault="007D6AC3" w:rsidP="003307C6">
      <w:pPr>
        <w:pStyle w:val="FootnoteText"/>
        <w:rPr>
          <w:lang w:val="en-US"/>
        </w:rPr>
      </w:pPr>
      <w:r>
        <w:rPr>
          <w:rStyle w:val="FootnoteReference"/>
        </w:rPr>
        <w:footnoteRef/>
      </w:r>
      <w:r>
        <w:t xml:space="preserve"> </w:t>
      </w:r>
      <w:r>
        <w:rPr>
          <w:lang w:val="en-US"/>
        </w:rPr>
        <w:t xml:space="preserve">A ‘half-cut’ is where a car is cut in half with an oxy torch and the front end of a vehicle, from the dash board forward, including all of the engine and driver controls, which is the most valuable part of the vehicle and is able to be easily stacked into a shipping container, is exported for re-integration into a complete vehicle in overseas markets. </w:t>
      </w:r>
    </w:p>
  </w:footnote>
  <w:footnote w:id="13">
    <w:p w:rsidR="007D6AC3" w:rsidRPr="0028473F" w:rsidRDefault="007D6AC3" w:rsidP="0028473F">
      <w:r>
        <w:rPr>
          <w:rStyle w:val="FootnoteReference"/>
        </w:rPr>
        <w:footnoteRef/>
      </w:r>
      <w:r w:rsidRPr="0028473F">
        <w:rPr>
          <w:i/>
          <w:sz w:val="18"/>
          <w:szCs w:val="18"/>
        </w:rPr>
        <w:t xml:space="preserve">A recent article in The Age newspaper explores some of the range of criminal activity that has been identified associated with ELVs and the disposal of stolen vehicles </w:t>
      </w:r>
      <w:hyperlink r:id="rId1" w:history="1">
        <w:r w:rsidRPr="0028473F">
          <w:rPr>
            <w:rStyle w:val="Hyperlink"/>
            <w:rFonts w:eastAsia="Times New Roman"/>
            <w:i/>
            <w:sz w:val="18"/>
            <w:szCs w:val="18"/>
          </w:rPr>
          <w:t>http://www.theage.com.au/national/-10p9qi.html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A24" w:rsidRDefault="005C6A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A24" w:rsidRDefault="005C6A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AC3" w:rsidRDefault="007D6AC3" w:rsidP="008352D3">
    <w:pPr>
      <w:pStyle w:val="Header"/>
      <w:shd w:val="clear" w:color="auto" w:fill="D9D9D9"/>
    </w:pPr>
  </w:p>
  <w:p w:rsidR="007D6AC3" w:rsidRDefault="007D6AC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E9C" w:rsidRDefault="00C71E9C" w:rsidP="00B61B6F">
    <w:pPr>
      <w:pStyle w:val="Header"/>
      <w:shd w:val="clear" w:color="auto" w:fill="D9D9D9"/>
    </w:pPr>
  </w:p>
  <w:p w:rsidR="00C71E9C" w:rsidRDefault="00C71E9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AC3" w:rsidRDefault="007D6AC3" w:rsidP="00B61B6F">
    <w:pPr>
      <w:pStyle w:val="Header"/>
      <w:shd w:val="clear" w:color="auto" w:fill="D9D9D9"/>
    </w:pPr>
  </w:p>
  <w:p w:rsidR="007D6AC3" w:rsidRDefault="007D6A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6EF1F67"/>
    <w:multiLevelType w:val="multilevel"/>
    <w:tmpl w:val="5AF0417A"/>
    <w:lvl w:ilvl="0">
      <w:start w:val="1"/>
      <w:numFmt w:val="decimal"/>
      <w:pStyle w:val="Heading1"/>
      <w:lvlText w:val="%1"/>
      <w:lvlJc w:val="left"/>
      <w:pPr>
        <w:ind w:left="3693" w:hanging="432"/>
      </w:pPr>
    </w:lvl>
    <w:lvl w:ilvl="1">
      <w:start w:val="1"/>
      <w:numFmt w:val="decimal"/>
      <w:pStyle w:val="Heading2"/>
      <w:lvlText w:val="%1.%2"/>
      <w:lvlJc w:val="left"/>
      <w:pPr>
        <w:ind w:left="718" w:hanging="576"/>
      </w:pPr>
      <w:rPr>
        <w:i w:val="0"/>
        <w:sz w:val="28"/>
        <w:szCs w:val="28"/>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0CE570E"/>
    <w:multiLevelType w:val="hybridMultilevel"/>
    <w:tmpl w:val="41025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70DD8"/>
    <w:multiLevelType w:val="hybridMultilevel"/>
    <w:tmpl w:val="9070A1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F745BC2"/>
    <w:multiLevelType w:val="multilevel"/>
    <w:tmpl w:val="E5E89F92"/>
    <w:numStyleLink w:val="BulletList"/>
  </w:abstractNum>
  <w:abstractNum w:abstractNumId="5" w15:restartNumberingAfterBreak="0">
    <w:nsid w:val="24D24067"/>
    <w:multiLevelType w:val="multilevel"/>
    <w:tmpl w:val="44E20926"/>
    <w:lvl w:ilvl="0">
      <w:start w:val="1"/>
      <w:numFmt w:val="decimal"/>
      <w:pStyle w:val="Level1"/>
      <w:lvlText w:val="%1."/>
      <w:lvlJc w:val="left"/>
      <w:pPr>
        <w:tabs>
          <w:tab w:val="num" w:pos="720"/>
        </w:tabs>
        <w:ind w:left="720" w:hanging="720"/>
      </w:pPr>
      <w:rPr>
        <w:rFonts w:ascii="Arial" w:hAnsi="Arial" w:cs="Arial" w:hint="default"/>
        <w:b/>
        <w:i w:val="0"/>
        <w:caps w:val="0"/>
        <w:strike w:val="0"/>
        <w:dstrike w:val="0"/>
        <w:vanish w:val="0"/>
        <w:color w:val="000000"/>
        <w:sz w:val="22"/>
        <w:szCs w:val="22"/>
        <w:vertAlign w:val="baseline"/>
      </w:rPr>
    </w:lvl>
    <w:lvl w:ilvl="1">
      <w:start w:val="1"/>
      <w:numFmt w:val="decimal"/>
      <w:pStyle w:val="Level11"/>
      <w:lvlText w:val="%1.%2"/>
      <w:lvlJc w:val="left"/>
      <w:pPr>
        <w:tabs>
          <w:tab w:val="num" w:pos="842"/>
        </w:tabs>
        <w:ind w:left="842" w:hanging="700"/>
      </w:pPr>
      <w:rPr>
        <w:rFonts w:ascii="Arial" w:hAnsi="Arial" w:cs="Arial" w:hint="default"/>
        <w:b w:val="0"/>
        <w:i w:val="0"/>
        <w:caps w:val="0"/>
        <w:strike w:val="0"/>
        <w:dstrike w:val="0"/>
        <w:vanish w:val="0"/>
        <w:color w:val="000000"/>
        <w:sz w:val="22"/>
        <w:szCs w:val="22"/>
        <w:vertAlign w:val="baseline"/>
      </w:rPr>
    </w:lvl>
    <w:lvl w:ilvl="2">
      <w:start w:val="1"/>
      <w:numFmt w:val="lowerLetter"/>
      <w:pStyle w:val="Levela"/>
      <w:lvlText w:val="(%3)"/>
      <w:lvlJc w:val="left"/>
      <w:pPr>
        <w:tabs>
          <w:tab w:val="num" w:pos="1440"/>
        </w:tabs>
        <w:ind w:left="1440" w:hanging="720"/>
      </w:pPr>
      <w:rPr>
        <w:rFonts w:ascii="Arial" w:hAnsi="Arial" w:cs="Arial" w:hint="default"/>
        <w:b w:val="0"/>
        <w:i w:val="0"/>
        <w:caps w:val="0"/>
        <w:strike w:val="0"/>
        <w:dstrike w:val="0"/>
        <w:vanish w:val="0"/>
        <w:color w:val="000000"/>
        <w:sz w:val="22"/>
        <w:szCs w:val="22"/>
        <w:vertAlign w:val="baseline"/>
      </w:rPr>
    </w:lvl>
    <w:lvl w:ilvl="3">
      <w:start w:val="1"/>
      <w:numFmt w:val="lowerRoman"/>
      <w:pStyle w:val="Leveli"/>
      <w:lvlText w:val="(%4)"/>
      <w:lvlJc w:val="left"/>
      <w:pPr>
        <w:tabs>
          <w:tab w:val="num" w:pos="2160"/>
        </w:tabs>
        <w:ind w:left="2160" w:hanging="720"/>
      </w:pPr>
      <w:rPr>
        <w:rFonts w:ascii="Palatino" w:hAnsi="Palatino" w:hint="default"/>
        <w:b w:val="0"/>
        <w:i w:val="0"/>
        <w:caps w:val="0"/>
        <w:strike w:val="0"/>
        <w:dstrike w:val="0"/>
        <w:vanish w:val="0"/>
        <w:color w:val="000000"/>
        <w:sz w:val="24"/>
        <w:vertAlign w:val="baseline"/>
      </w:rPr>
    </w:lvl>
    <w:lvl w:ilvl="4">
      <w:start w:val="1"/>
      <w:numFmt w:val="upperLetter"/>
      <w:pStyle w:val="LevelA0"/>
      <w:lvlText w:val="(%5)"/>
      <w:lvlJc w:val="left"/>
      <w:pPr>
        <w:tabs>
          <w:tab w:val="num" w:pos="2880"/>
        </w:tabs>
        <w:ind w:left="2880" w:hanging="720"/>
      </w:pPr>
      <w:rPr>
        <w:rFonts w:ascii="Palatino" w:hAnsi="Palatino" w:hint="default"/>
        <w:b w:val="0"/>
        <w:i w:val="0"/>
        <w:caps w:val="0"/>
        <w:strike w:val="0"/>
        <w:dstrike w:val="0"/>
        <w:vanish w:val="0"/>
        <w:color w:val="000000"/>
        <w:sz w:val="24"/>
        <w:vertAlign w:val="baseline"/>
      </w:rPr>
    </w:lvl>
    <w:lvl w:ilvl="5">
      <w:start w:val="1"/>
      <w:numFmt w:val="upperRoman"/>
      <w:pStyle w:val="LevelI0"/>
      <w:lvlText w:val="(%6)"/>
      <w:lvlJc w:val="left"/>
      <w:pPr>
        <w:tabs>
          <w:tab w:val="num" w:pos="3600"/>
        </w:tabs>
        <w:ind w:left="3600" w:hanging="720"/>
      </w:pPr>
      <w:rPr>
        <w:rFonts w:ascii="Palatino" w:hAnsi="Palatino" w:hint="default"/>
        <w:b w:val="0"/>
        <w:i w:val="0"/>
        <w:caps w:val="0"/>
        <w:strike w:val="0"/>
        <w:dstrike w:val="0"/>
        <w:vanish w:val="0"/>
        <w:color w:val="000000"/>
        <w:sz w:val="24"/>
        <w:vertAlign w:val="baseline"/>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296C43DA"/>
    <w:multiLevelType w:val="singleLevel"/>
    <w:tmpl w:val="1E0AC42A"/>
    <w:lvl w:ilvl="0">
      <w:start w:val="1"/>
      <w:numFmt w:val="bullet"/>
      <w:pStyle w:val="Bullet"/>
      <w:lvlText w:val=""/>
      <w:lvlJc w:val="left"/>
      <w:pPr>
        <w:tabs>
          <w:tab w:val="num" w:pos="360"/>
        </w:tabs>
        <w:ind w:left="360" w:hanging="360"/>
      </w:pPr>
      <w:rPr>
        <w:rFonts w:ascii="Symbol" w:hAnsi="Symbol" w:hint="default"/>
        <w:sz w:val="22"/>
      </w:rPr>
    </w:lvl>
  </w:abstractNum>
  <w:abstractNum w:abstractNumId="7" w15:restartNumberingAfterBreak="0">
    <w:nsid w:val="2CE92F55"/>
    <w:multiLevelType w:val="hybridMultilevel"/>
    <w:tmpl w:val="F496D0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1053B3"/>
    <w:multiLevelType w:val="hybridMultilevel"/>
    <w:tmpl w:val="984AE82A"/>
    <w:lvl w:ilvl="0" w:tplc="FE5A77CE">
      <w:start w:val="1"/>
      <w:numFmt w:val="bullet"/>
      <w:pStyle w:val="bullet0"/>
      <w:lvlText w:val=""/>
      <w:lvlJc w:val="left"/>
      <w:pPr>
        <w:tabs>
          <w:tab w:val="num" w:pos="283"/>
        </w:tabs>
        <w:ind w:left="283" w:hanging="28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D66CC9"/>
    <w:multiLevelType w:val="hybridMultilevel"/>
    <w:tmpl w:val="65E209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EB0A21"/>
    <w:multiLevelType w:val="hybridMultilevel"/>
    <w:tmpl w:val="A14C8F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ADB7DE1"/>
    <w:multiLevelType w:val="multilevel"/>
    <w:tmpl w:val="2B62B64C"/>
    <w:lvl w:ilvl="0">
      <w:start w:val="1"/>
      <w:numFmt w:val="decimal"/>
      <w:pStyle w:val="LSL1"/>
      <w:lvlText w:val="%1"/>
      <w:lvlJc w:val="left"/>
      <w:pPr>
        <w:tabs>
          <w:tab w:val="num" w:pos="0"/>
        </w:tabs>
        <w:ind w:left="720" w:hanging="720"/>
      </w:pPr>
      <w:rPr>
        <w:rFonts w:hint="default"/>
      </w:rPr>
    </w:lvl>
    <w:lvl w:ilvl="1">
      <w:start w:val="1"/>
      <w:numFmt w:val="decimal"/>
      <w:pStyle w:val="LSL2"/>
      <w:lvlText w:val="%1.%2"/>
      <w:lvlJc w:val="left"/>
      <w:pPr>
        <w:tabs>
          <w:tab w:val="num" w:pos="0"/>
        </w:tabs>
        <w:ind w:left="720" w:hanging="720"/>
      </w:pPr>
      <w:rPr>
        <w:rFonts w:hint="default"/>
      </w:rPr>
    </w:lvl>
    <w:lvl w:ilvl="2">
      <w:start w:val="1"/>
      <w:numFmt w:val="lowerLetter"/>
      <w:pStyle w:val="LSL3"/>
      <w:lvlText w:val="(%3)"/>
      <w:lvlJc w:val="left"/>
      <w:pPr>
        <w:tabs>
          <w:tab w:val="num" w:pos="0"/>
        </w:tabs>
        <w:ind w:left="1440" w:hanging="720"/>
      </w:pPr>
      <w:rPr>
        <w:rFonts w:hint="default"/>
      </w:rPr>
    </w:lvl>
    <w:lvl w:ilvl="3">
      <w:start w:val="1"/>
      <w:numFmt w:val="lowerRoman"/>
      <w:pStyle w:val="LSL4"/>
      <w:lvlText w:val="(%4)"/>
      <w:lvlJc w:val="left"/>
      <w:pPr>
        <w:tabs>
          <w:tab w:val="num" w:pos="0"/>
        </w:tabs>
        <w:ind w:left="2160" w:hanging="720"/>
      </w:pPr>
      <w:rPr>
        <w:rFonts w:hint="default"/>
      </w:rPr>
    </w:lvl>
    <w:lvl w:ilvl="4">
      <w:start w:val="1"/>
      <w:numFmt w:val="upperLetter"/>
      <w:pStyle w:val="LSL5"/>
      <w:lvlText w:val="(%5)"/>
      <w:lvlJc w:val="left"/>
      <w:pPr>
        <w:tabs>
          <w:tab w:val="num" w:pos="0"/>
        </w:tabs>
        <w:ind w:left="2880" w:hanging="720"/>
      </w:pPr>
      <w:rPr>
        <w:rFonts w:hint="default"/>
      </w:rPr>
    </w:lvl>
    <w:lvl w:ilvl="5">
      <w:start w:val="1"/>
      <w:numFmt w:val="bullet"/>
      <w:pStyle w:val="LSL6"/>
      <w:lvlText w:val=""/>
      <w:lvlJc w:val="left"/>
      <w:pPr>
        <w:tabs>
          <w:tab w:val="num" w:pos="0"/>
        </w:tabs>
        <w:ind w:left="3312" w:hanging="432"/>
      </w:pPr>
      <w:rPr>
        <w:rFonts w:ascii="Symbol" w:hAnsi="Symbol"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2" w15:restartNumberingAfterBreak="0">
    <w:nsid w:val="4E530798"/>
    <w:multiLevelType w:val="hybridMultilevel"/>
    <w:tmpl w:val="F5488BAA"/>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3" w15:restartNumberingAfterBreak="0">
    <w:nsid w:val="53856B6A"/>
    <w:multiLevelType w:val="hybridMultilevel"/>
    <w:tmpl w:val="15188E6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7BF54B5"/>
    <w:multiLevelType w:val="hybridMultilevel"/>
    <w:tmpl w:val="F378D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E0765B"/>
    <w:multiLevelType w:val="hybridMultilevel"/>
    <w:tmpl w:val="89062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5F1A0A"/>
    <w:multiLevelType w:val="hybridMultilevel"/>
    <w:tmpl w:val="3F02B5D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11"/>
  </w:num>
  <w:num w:numId="4">
    <w:abstractNumId w:val="6"/>
  </w:num>
  <w:num w:numId="5">
    <w:abstractNumId w:val="13"/>
  </w:num>
  <w:num w:numId="6">
    <w:abstractNumId w:val="5"/>
  </w:num>
  <w:num w:numId="7">
    <w:abstractNumId w:val="0"/>
  </w:num>
  <w:num w:numId="8">
    <w:abstractNumId w:val="4"/>
  </w:num>
  <w:num w:numId="9">
    <w:abstractNumId w:val="16"/>
  </w:num>
  <w:num w:numId="10">
    <w:abstractNumId w:val="7"/>
  </w:num>
  <w:num w:numId="11">
    <w:abstractNumId w:val="12"/>
  </w:num>
  <w:num w:numId="12">
    <w:abstractNumId w:val="15"/>
  </w:num>
  <w:num w:numId="13">
    <w:abstractNumId w:val="9"/>
  </w:num>
  <w:num w:numId="14">
    <w:abstractNumId w:val="3"/>
  </w:num>
  <w:num w:numId="15">
    <w:abstractNumId w:val="10"/>
  </w:num>
  <w:num w:numId="16">
    <w:abstractNumId w:val="2"/>
  </w:num>
  <w:num w:numId="17">
    <w:abstractNumId w:val="14"/>
  </w:num>
  <w:num w:numId="18">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activeWritingStyle w:appName="MSWord" w:lang="en-US" w:vendorID="64" w:dllVersion="131078" w:nlCheck="1" w:checkStyle="1"/>
  <w:activeWritingStyle w:appName="MSWord" w:lang="en-AU" w:vendorID="64" w:dllVersion="131078"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EF3"/>
    <w:rsid w:val="00000D72"/>
    <w:rsid w:val="000011ED"/>
    <w:rsid w:val="000038E6"/>
    <w:rsid w:val="00007285"/>
    <w:rsid w:val="0000743A"/>
    <w:rsid w:val="00011601"/>
    <w:rsid w:val="000154F8"/>
    <w:rsid w:val="0002010F"/>
    <w:rsid w:val="00020A48"/>
    <w:rsid w:val="00020CB9"/>
    <w:rsid w:val="00023261"/>
    <w:rsid w:val="00023F60"/>
    <w:rsid w:val="0002412B"/>
    <w:rsid w:val="0002450D"/>
    <w:rsid w:val="0002536A"/>
    <w:rsid w:val="000254C9"/>
    <w:rsid w:val="00026414"/>
    <w:rsid w:val="00027A31"/>
    <w:rsid w:val="00030A34"/>
    <w:rsid w:val="00030BB1"/>
    <w:rsid w:val="00030DB8"/>
    <w:rsid w:val="00030E57"/>
    <w:rsid w:val="000324AC"/>
    <w:rsid w:val="00032822"/>
    <w:rsid w:val="00033B50"/>
    <w:rsid w:val="000354C2"/>
    <w:rsid w:val="00036E2F"/>
    <w:rsid w:val="00037150"/>
    <w:rsid w:val="000405B1"/>
    <w:rsid w:val="00040C27"/>
    <w:rsid w:val="00042727"/>
    <w:rsid w:val="00042AD5"/>
    <w:rsid w:val="000436E2"/>
    <w:rsid w:val="00045145"/>
    <w:rsid w:val="00045169"/>
    <w:rsid w:val="00045C8F"/>
    <w:rsid w:val="00045E31"/>
    <w:rsid w:val="00046B97"/>
    <w:rsid w:val="00046C45"/>
    <w:rsid w:val="00047FF5"/>
    <w:rsid w:val="000519C9"/>
    <w:rsid w:val="000554C9"/>
    <w:rsid w:val="0006345B"/>
    <w:rsid w:val="000641CA"/>
    <w:rsid w:val="00066E51"/>
    <w:rsid w:val="000740DB"/>
    <w:rsid w:val="00074278"/>
    <w:rsid w:val="00076384"/>
    <w:rsid w:val="00076F51"/>
    <w:rsid w:val="00077BAC"/>
    <w:rsid w:val="0008173A"/>
    <w:rsid w:val="00082BCA"/>
    <w:rsid w:val="00083AC0"/>
    <w:rsid w:val="00083AED"/>
    <w:rsid w:val="00084B36"/>
    <w:rsid w:val="00090A55"/>
    <w:rsid w:val="000928EF"/>
    <w:rsid w:val="00092D99"/>
    <w:rsid w:val="00096F46"/>
    <w:rsid w:val="000A2F4D"/>
    <w:rsid w:val="000A3098"/>
    <w:rsid w:val="000A32C6"/>
    <w:rsid w:val="000A6451"/>
    <w:rsid w:val="000A6665"/>
    <w:rsid w:val="000A71E6"/>
    <w:rsid w:val="000B0340"/>
    <w:rsid w:val="000B0EFE"/>
    <w:rsid w:val="000B4651"/>
    <w:rsid w:val="000B5172"/>
    <w:rsid w:val="000B5E63"/>
    <w:rsid w:val="000C039F"/>
    <w:rsid w:val="000C03DD"/>
    <w:rsid w:val="000C155F"/>
    <w:rsid w:val="000C1E11"/>
    <w:rsid w:val="000C37FD"/>
    <w:rsid w:val="000C54F1"/>
    <w:rsid w:val="000C5A28"/>
    <w:rsid w:val="000C75C3"/>
    <w:rsid w:val="000D2666"/>
    <w:rsid w:val="000D2EC4"/>
    <w:rsid w:val="000D4FE1"/>
    <w:rsid w:val="000E4E2D"/>
    <w:rsid w:val="000E5F9C"/>
    <w:rsid w:val="000F05A1"/>
    <w:rsid w:val="000F1E79"/>
    <w:rsid w:val="000F2667"/>
    <w:rsid w:val="000F3103"/>
    <w:rsid w:val="000F4BD6"/>
    <w:rsid w:val="000F5EF8"/>
    <w:rsid w:val="001011E4"/>
    <w:rsid w:val="00101BA7"/>
    <w:rsid w:val="0010401C"/>
    <w:rsid w:val="00105B95"/>
    <w:rsid w:val="00105C2E"/>
    <w:rsid w:val="00107086"/>
    <w:rsid w:val="00107AAD"/>
    <w:rsid w:val="00107B63"/>
    <w:rsid w:val="001103EF"/>
    <w:rsid w:val="00110D4E"/>
    <w:rsid w:val="00110D68"/>
    <w:rsid w:val="0011114A"/>
    <w:rsid w:val="00112C17"/>
    <w:rsid w:val="001153B4"/>
    <w:rsid w:val="0011594E"/>
    <w:rsid w:val="00120FDE"/>
    <w:rsid w:val="00122091"/>
    <w:rsid w:val="001223A2"/>
    <w:rsid w:val="00122CB4"/>
    <w:rsid w:val="001232E5"/>
    <w:rsid w:val="00123B8B"/>
    <w:rsid w:val="00126C25"/>
    <w:rsid w:val="00127672"/>
    <w:rsid w:val="00132C47"/>
    <w:rsid w:val="00133739"/>
    <w:rsid w:val="001338BC"/>
    <w:rsid w:val="00135624"/>
    <w:rsid w:val="001364A7"/>
    <w:rsid w:val="001379A6"/>
    <w:rsid w:val="0014006E"/>
    <w:rsid w:val="00141B93"/>
    <w:rsid w:val="00141FBA"/>
    <w:rsid w:val="001433B8"/>
    <w:rsid w:val="00144D26"/>
    <w:rsid w:val="001469C2"/>
    <w:rsid w:val="00146A39"/>
    <w:rsid w:val="00150040"/>
    <w:rsid w:val="00151BC4"/>
    <w:rsid w:val="001529AE"/>
    <w:rsid w:val="00153297"/>
    <w:rsid w:val="00153656"/>
    <w:rsid w:val="0015688D"/>
    <w:rsid w:val="00156B1F"/>
    <w:rsid w:val="00156F90"/>
    <w:rsid w:val="00157022"/>
    <w:rsid w:val="00161723"/>
    <w:rsid w:val="00161EF5"/>
    <w:rsid w:val="001621B3"/>
    <w:rsid w:val="001626D9"/>
    <w:rsid w:val="001638F8"/>
    <w:rsid w:val="0016405B"/>
    <w:rsid w:val="0016585A"/>
    <w:rsid w:val="00170116"/>
    <w:rsid w:val="001705E4"/>
    <w:rsid w:val="001718F7"/>
    <w:rsid w:val="00171D58"/>
    <w:rsid w:val="001727FE"/>
    <w:rsid w:val="001747EA"/>
    <w:rsid w:val="00174CB8"/>
    <w:rsid w:val="00181840"/>
    <w:rsid w:val="00181E1B"/>
    <w:rsid w:val="00183A21"/>
    <w:rsid w:val="00183DA4"/>
    <w:rsid w:val="001856D7"/>
    <w:rsid w:val="00185EA1"/>
    <w:rsid w:val="0018698F"/>
    <w:rsid w:val="00186E83"/>
    <w:rsid w:val="00190DD5"/>
    <w:rsid w:val="00191CF2"/>
    <w:rsid w:val="00192CDD"/>
    <w:rsid w:val="00192F6C"/>
    <w:rsid w:val="0019362F"/>
    <w:rsid w:val="00194A20"/>
    <w:rsid w:val="001951E9"/>
    <w:rsid w:val="0019617A"/>
    <w:rsid w:val="0019626D"/>
    <w:rsid w:val="00197961"/>
    <w:rsid w:val="001A0361"/>
    <w:rsid w:val="001A03DC"/>
    <w:rsid w:val="001A05FA"/>
    <w:rsid w:val="001A1943"/>
    <w:rsid w:val="001A24DD"/>
    <w:rsid w:val="001A498D"/>
    <w:rsid w:val="001A54A2"/>
    <w:rsid w:val="001A6998"/>
    <w:rsid w:val="001B1925"/>
    <w:rsid w:val="001B3052"/>
    <w:rsid w:val="001B3BB7"/>
    <w:rsid w:val="001B4838"/>
    <w:rsid w:val="001B4E16"/>
    <w:rsid w:val="001B6CCA"/>
    <w:rsid w:val="001B7315"/>
    <w:rsid w:val="001C0546"/>
    <w:rsid w:val="001C0F04"/>
    <w:rsid w:val="001C1889"/>
    <w:rsid w:val="001C33A4"/>
    <w:rsid w:val="001C3C89"/>
    <w:rsid w:val="001C3D1E"/>
    <w:rsid w:val="001C4194"/>
    <w:rsid w:val="001C4429"/>
    <w:rsid w:val="001C5073"/>
    <w:rsid w:val="001C538B"/>
    <w:rsid w:val="001C6D89"/>
    <w:rsid w:val="001C6E3F"/>
    <w:rsid w:val="001D3EB5"/>
    <w:rsid w:val="001D4EAF"/>
    <w:rsid w:val="001D5791"/>
    <w:rsid w:val="001D6631"/>
    <w:rsid w:val="001E2300"/>
    <w:rsid w:val="001E26C1"/>
    <w:rsid w:val="001E3420"/>
    <w:rsid w:val="001E3F38"/>
    <w:rsid w:val="001E61F1"/>
    <w:rsid w:val="001E7F34"/>
    <w:rsid w:val="001F05AA"/>
    <w:rsid w:val="001F16A6"/>
    <w:rsid w:val="001F2176"/>
    <w:rsid w:val="001F27EC"/>
    <w:rsid w:val="001F4B50"/>
    <w:rsid w:val="00200EED"/>
    <w:rsid w:val="0020344D"/>
    <w:rsid w:val="0020629E"/>
    <w:rsid w:val="0020697B"/>
    <w:rsid w:val="00211144"/>
    <w:rsid w:val="00212D00"/>
    <w:rsid w:val="00216A04"/>
    <w:rsid w:val="0022120D"/>
    <w:rsid w:val="002217EC"/>
    <w:rsid w:val="00222DCC"/>
    <w:rsid w:val="00224415"/>
    <w:rsid w:val="00224EB3"/>
    <w:rsid w:val="0022511B"/>
    <w:rsid w:val="0022518E"/>
    <w:rsid w:val="00226A6E"/>
    <w:rsid w:val="0023133A"/>
    <w:rsid w:val="00231ED0"/>
    <w:rsid w:val="002332AB"/>
    <w:rsid w:val="00233A56"/>
    <w:rsid w:val="0023473A"/>
    <w:rsid w:val="00234956"/>
    <w:rsid w:val="00241A5D"/>
    <w:rsid w:val="00241ADA"/>
    <w:rsid w:val="002427AF"/>
    <w:rsid w:val="00242A6A"/>
    <w:rsid w:val="002457F0"/>
    <w:rsid w:val="00245DDE"/>
    <w:rsid w:val="00246786"/>
    <w:rsid w:val="00250727"/>
    <w:rsid w:val="00250D72"/>
    <w:rsid w:val="00252043"/>
    <w:rsid w:val="00254047"/>
    <w:rsid w:val="002604F5"/>
    <w:rsid w:val="00262B6B"/>
    <w:rsid w:val="002640A8"/>
    <w:rsid w:val="002640F9"/>
    <w:rsid w:val="00264640"/>
    <w:rsid w:val="00266FC6"/>
    <w:rsid w:val="00267FC9"/>
    <w:rsid w:val="0027235E"/>
    <w:rsid w:val="00276E13"/>
    <w:rsid w:val="0028066B"/>
    <w:rsid w:val="00281DBB"/>
    <w:rsid w:val="00283DBD"/>
    <w:rsid w:val="0028473F"/>
    <w:rsid w:val="00286391"/>
    <w:rsid w:val="0028670D"/>
    <w:rsid w:val="00287A6D"/>
    <w:rsid w:val="00290FFC"/>
    <w:rsid w:val="00291EA2"/>
    <w:rsid w:val="0029245A"/>
    <w:rsid w:val="00292FD5"/>
    <w:rsid w:val="002961C6"/>
    <w:rsid w:val="002966FB"/>
    <w:rsid w:val="00297987"/>
    <w:rsid w:val="002A1EBC"/>
    <w:rsid w:val="002A3893"/>
    <w:rsid w:val="002A5F86"/>
    <w:rsid w:val="002B382F"/>
    <w:rsid w:val="002B452C"/>
    <w:rsid w:val="002B46F1"/>
    <w:rsid w:val="002B4B0C"/>
    <w:rsid w:val="002B4C4E"/>
    <w:rsid w:val="002B6941"/>
    <w:rsid w:val="002B70E1"/>
    <w:rsid w:val="002C1A15"/>
    <w:rsid w:val="002C2993"/>
    <w:rsid w:val="002C3FCE"/>
    <w:rsid w:val="002C7513"/>
    <w:rsid w:val="002D021E"/>
    <w:rsid w:val="002D09E9"/>
    <w:rsid w:val="002D21FD"/>
    <w:rsid w:val="002D2E77"/>
    <w:rsid w:val="002D2F9A"/>
    <w:rsid w:val="002D3974"/>
    <w:rsid w:val="002D5A1F"/>
    <w:rsid w:val="002D6D02"/>
    <w:rsid w:val="002D7D89"/>
    <w:rsid w:val="002E0154"/>
    <w:rsid w:val="002E1A2F"/>
    <w:rsid w:val="002E25C3"/>
    <w:rsid w:val="002E2AA7"/>
    <w:rsid w:val="002E2E2E"/>
    <w:rsid w:val="002E36DD"/>
    <w:rsid w:val="002E46BB"/>
    <w:rsid w:val="002E6B46"/>
    <w:rsid w:val="002F2168"/>
    <w:rsid w:val="002F5A72"/>
    <w:rsid w:val="002F5E60"/>
    <w:rsid w:val="002F6F68"/>
    <w:rsid w:val="002F7255"/>
    <w:rsid w:val="00300DC8"/>
    <w:rsid w:val="0030182A"/>
    <w:rsid w:val="00302594"/>
    <w:rsid w:val="00304627"/>
    <w:rsid w:val="00304EEE"/>
    <w:rsid w:val="00305526"/>
    <w:rsid w:val="00305677"/>
    <w:rsid w:val="0030573E"/>
    <w:rsid w:val="00305C0F"/>
    <w:rsid w:val="00306324"/>
    <w:rsid w:val="00307924"/>
    <w:rsid w:val="0031026E"/>
    <w:rsid w:val="00311B1F"/>
    <w:rsid w:val="00314474"/>
    <w:rsid w:val="0031495E"/>
    <w:rsid w:val="003154D6"/>
    <w:rsid w:val="00315DBF"/>
    <w:rsid w:val="003162E8"/>
    <w:rsid w:val="00316583"/>
    <w:rsid w:val="003172B3"/>
    <w:rsid w:val="0032566B"/>
    <w:rsid w:val="003264A2"/>
    <w:rsid w:val="003267DB"/>
    <w:rsid w:val="003275F2"/>
    <w:rsid w:val="00330437"/>
    <w:rsid w:val="003307C6"/>
    <w:rsid w:val="00335813"/>
    <w:rsid w:val="00337478"/>
    <w:rsid w:val="00337717"/>
    <w:rsid w:val="00340659"/>
    <w:rsid w:val="003414E4"/>
    <w:rsid w:val="00341D52"/>
    <w:rsid w:val="00343235"/>
    <w:rsid w:val="00344EB2"/>
    <w:rsid w:val="003471C6"/>
    <w:rsid w:val="0034721C"/>
    <w:rsid w:val="0034755F"/>
    <w:rsid w:val="0034768C"/>
    <w:rsid w:val="00347CFF"/>
    <w:rsid w:val="00351831"/>
    <w:rsid w:val="00351D36"/>
    <w:rsid w:val="00355D96"/>
    <w:rsid w:val="003560B5"/>
    <w:rsid w:val="0035702A"/>
    <w:rsid w:val="0035741B"/>
    <w:rsid w:val="00357BBB"/>
    <w:rsid w:val="003615A6"/>
    <w:rsid w:val="00363C26"/>
    <w:rsid w:val="00364E97"/>
    <w:rsid w:val="00364EBC"/>
    <w:rsid w:val="00367599"/>
    <w:rsid w:val="00371A61"/>
    <w:rsid w:val="00372EF3"/>
    <w:rsid w:val="003776A2"/>
    <w:rsid w:val="00381403"/>
    <w:rsid w:val="00383D6B"/>
    <w:rsid w:val="00384B9C"/>
    <w:rsid w:val="003854AC"/>
    <w:rsid w:val="00387D89"/>
    <w:rsid w:val="00390193"/>
    <w:rsid w:val="003902B2"/>
    <w:rsid w:val="003908CF"/>
    <w:rsid w:val="00392385"/>
    <w:rsid w:val="0039362F"/>
    <w:rsid w:val="003937A5"/>
    <w:rsid w:val="00395673"/>
    <w:rsid w:val="00395A1A"/>
    <w:rsid w:val="003A11DE"/>
    <w:rsid w:val="003A3CD0"/>
    <w:rsid w:val="003A55B7"/>
    <w:rsid w:val="003A567F"/>
    <w:rsid w:val="003B02B4"/>
    <w:rsid w:val="003B09F9"/>
    <w:rsid w:val="003B137A"/>
    <w:rsid w:val="003B195F"/>
    <w:rsid w:val="003B2C1B"/>
    <w:rsid w:val="003B6534"/>
    <w:rsid w:val="003B7836"/>
    <w:rsid w:val="003B7DC5"/>
    <w:rsid w:val="003C0DAF"/>
    <w:rsid w:val="003C25E3"/>
    <w:rsid w:val="003C2920"/>
    <w:rsid w:val="003C4A25"/>
    <w:rsid w:val="003C63AC"/>
    <w:rsid w:val="003C7E67"/>
    <w:rsid w:val="003D0307"/>
    <w:rsid w:val="003D08BE"/>
    <w:rsid w:val="003D0D69"/>
    <w:rsid w:val="003D2308"/>
    <w:rsid w:val="003D2E68"/>
    <w:rsid w:val="003D3855"/>
    <w:rsid w:val="003D4997"/>
    <w:rsid w:val="003D5FDB"/>
    <w:rsid w:val="003D7594"/>
    <w:rsid w:val="003D79E2"/>
    <w:rsid w:val="003E4B9E"/>
    <w:rsid w:val="003E529F"/>
    <w:rsid w:val="003E539D"/>
    <w:rsid w:val="003E62ED"/>
    <w:rsid w:val="003E65EB"/>
    <w:rsid w:val="003F01B5"/>
    <w:rsid w:val="003F061B"/>
    <w:rsid w:val="003F0A19"/>
    <w:rsid w:val="003F1F0C"/>
    <w:rsid w:val="003F4DC3"/>
    <w:rsid w:val="003F73B8"/>
    <w:rsid w:val="0040010A"/>
    <w:rsid w:val="00402479"/>
    <w:rsid w:val="00402A46"/>
    <w:rsid w:val="00403BCE"/>
    <w:rsid w:val="00403EF3"/>
    <w:rsid w:val="00405E96"/>
    <w:rsid w:val="00406931"/>
    <w:rsid w:val="00406DCC"/>
    <w:rsid w:val="0040747A"/>
    <w:rsid w:val="00412BEE"/>
    <w:rsid w:val="00415411"/>
    <w:rsid w:val="00415EBE"/>
    <w:rsid w:val="00420C49"/>
    <w:rsid w:val="00424526"/>
    <w:rsid w:val="00424B06"/>
    <w:rsid w:val="00424FFA"/>
    <w:rsid w:val="004254ED"/>
    <w:rsid w:val="00426096"/>
    <w:rsid w:val="0042675D"/>
    <w:rsid w:val="004315E8"/>
    <w:rsid w:val="00432E4D"/>
    <w:rsid w:val="004341D2"/>
    <w:rsid w:val="00437A25"/>
    <w:rsid w:val="00437FA2"/>
    <w:rsid w:val="00440129"/>
    <w:rsid w:val="004401E5"/>
    <w:rsid w:val="0044034A"/>
    <w:rsid w:val="00440379"/>
    <w:rsid w:val="004410B6"/>
    <w:rsid w:val="00441F1F"/>
    <w:rsid w:val="00444866"/>
    <w:rsid w:val="00445F26"/>
    <w:rsid w:val="0044646E"/>
    <w:rsid w:val="00450D34"/>
    <w:rsid w:val="00451DC7"/>
    <w:rsid w:val="00452835"/>
    <w:rsid w:val="00454337"/>
    <w:rsid w:val="00454BE5"/>
    <w:rsid w:val="00455FD8"/>
    <w:rsid w:val="004565D2"/>
    <w:rsid w:val="00457053"/>
    <w:rsid w:val="0045712F"/>
    <w:rsid w:val="004576B1"/>
    <w:rsid w:val="0046107A"/>
    <w:rsid w:val="004633B7"/>
    <w:rsid w:val="00463719"/>
    <w:rsid w:val="00463DD0"/>
    <w:rsid w:val="004641A1"/>
    <w:rsid w:val="00464E17"/>
    <w:rsid w:val="004650FD"/>
    <w:rsid w:val="004711A6"/>
    <w:rsid w:val="004743A3"/>
    <w:rsid w:val="004746DA"/>
    <w:rsid w:val="00474911"/>
    <w:rsid w:val="00474C53"/>
    <w:rsid w:val="00475279"/>
    <w:rsid w:val="004753C4"/>
    <w:rsid w:val="00475CF6"/>
    <w:rsid w:val="00476F2C"/>
    <w:rsid w:val="00477013"/>
    <w:rsid w:val="00477718"/>
    <w:rsid w:val="00480E27"/>
    <w:rsid w:val="00481868"/>
    <w:rsid w:val="00481E75"/>
    <w:rsid w:val="00482A53"/>
    <w:rsid w:val="00482BF3"/>
    <w:rsid w:val="00483897"/>
    <w:rsid w:val="004848F4"/>
    <w:rsid w:val="00484DD3"/>
    <w:rsid w:val="004854BB"/>
    <w:rsid w:val="004871FE"/>
    <w:rsid w:val="00491106"/>
    <w:rsid w:val="00491BAF"/>
    <w:rsid w:val="00491F13"/>
    <w:rsid w:val="00492B60"/>
    <w:rsid w:val="0049459C"/>
    <w:rsid w:val="004945E8"/>
    <w:rsid w:val="00495B05"/>
    <w:rsid w:val="004A4AC6"/>
    <w:rsid w:val="004A6D54"/>
    <w:rsid w:val="004B05BA"/>
    <w:rsid w:val="004B3C21"/>
    <w:rsid w:val="004B3F1D"/>
    <w:rsid w:val="004B6687"/>
    <w:rsid w:val="004C06E6"/>
    <w:rsid w:val="004C0733"/>
    <w:rsid w:val="004C1DCD"/>
    <w:rsid w:val="004C21A4"/>
    <w:rsid w:val="004C3916"/>
    <w:rsid w:val="004C684E"/>
    <w:rsid w:val="004C7C28"/>
    <w:rsid w:val="004C7EED"/>
    <w:rsid w:val="004D2AFD"/>
    <w:rsid w:val="004D3EBA"/>
    <w:rsid w:val="004D40F3"/>
    <w:rsid w:val="004D4809"/>
    <w:rsid w:val="004D498D"/>
    <w:rsid w:val="004D4A71"/>
    <w:rsid w:val="004D6175"/>
    <w:rsid w:val="004E5551"/>
    <w:rsid w:val="004E7C56"/>
    <w:rsid w:val="004F0905"/>
    <w:rsid w:val="004F0F06"/>
    <w:rsid w:val="004F1732"/>
    <w:rsid w:val="004F2576"/>
    <w:rsid w:val="004F58DA"/>
    <w:rsid w:val="004F5D73"/>
    <w:rsid w:val="004F6413"/>
    <w:rsid w:val="004F6E60"/>
    <w:rsid w:val="004F782A"/>
    <w:rsid w:val="00500FE9"/>
    <w:rsid w:val="00503521"/>
    <w:rsid w:val="0050460C"/>
    <w:rsid w:val="005059C6"/>
    <w:rsid w:val="0050667D"/>
    <w:rsid w:val="00506C94"/>
    <w:rsid w:val="00507FAD"/>
    <w:rsid w:val="00510ACE"/>
    <w:rsid w:val="00513CBE"/>
    <w:rsid w:val="005169C5"/>
    <w:rsid w:val="00517304"/>
    <w:rsid w:val="005178AC"/>
    <w:rsid w:val="00520A4C"/>
    <w:rsid w:val="0052172C"/>
    <w:rsid w:val="00521967"/>
    <w:rsid w:val="00522BBC"/>
    <w:rsid w:val="00525CCA"/>
    <w:rsid w:val="0052684C"/>
    <w:rsid w:val="005272AA"/>
    <w:rsid w:val="0053003A"/>
    <w:rsid w:val="0053008D"/>
    <w:rsid w:val="005302B0"/>
    <w:rsid w:val="005315AE"/>
    <w:rsid w:val="00532DFC"/>
    <w:rsid w:val="00533069"/>
    <w:rsid w:val="005332FF"/>
    <w:rsid w:val="0053342B"/>
    <w:rsid w:val="005348B8"/>
    <w:rsid w:val="005428DB"/>
    <w:rsid w:val="005439D0"/>
    <w:rsid w:val="00543BA2"/>
    <w:rsid w:val="00544A8F"/>
    <w:rsid w:val="0054606E"/>
    <w:rsid w:val="00553ACF"/>
    <w:rsid w:val="00553FF0"/>
    <w:rsid w:val="005616CA"/>
    <w:rsid w:val="005620E3"/>
    <w:rsid w:val="00562159"/>
    <w:rsid w:val="00563B48"/>
    <w:rsid w:val="0056409C"/>
    <w:rsid w:val="00566A8C"/>
    <w:rsid w:val="00570781"/>
    <w:rsid w:val="005714CE"/>
    <w:rsid w:val="00571C96"/>
    <w:rsid w:val="005728F4"/>
    <w:rsid w:val="005732CC"/>
    <w:rsid w:val="005753C0"/>
    <w:rsid w:val="00575583"/>
    <w:rsid w:val="00576F03"/>
    <w:rsid w:val="00577354"/>
    <w:rsid w:val="00577BDF"/>
    <w:rsid w:val="00577D16"/>
    <w:rsid w:val="005804DA"/>
    <w:rsid w:val="00582C5E"/>
    <w:rsid w:val="005834E7"/>
    <w:rsid w:val="005853E5"/>
    <w:rsid w:val="00586F12"/>
    <w:rsid w:val="00587053"/>
    <w:rsid w:val="00587DDC"/>
    <w:rsid w:val="00591D01"/>
    <w:rsid w:val="0059644F"/>
    <w:rsid w:val="00596BA3"/>
    <w:rsid w:val="00597081"/>
    <w:rsid w:val="005A0BC4"/>
    <w:rsid w:val="005A5562"/>
    <w:rsid w:val="005A569E"/>
    <w:rsid w:val="005A7625"/>
    <w:rsid w:val="005A790B"/>
    <w:rsid w:val="005B09BB"/>
    <w:rsid w:val="005B4143"/>
    <w:rsid w:val="005B46B4"/>
    <w:rsid w:val="005B4CBE"/>
    <w:rsid w:val="005B581D"/>
    <w:rsid w:val="005B5CB2"/>
    <w:rsid w:val="005B6C83"/>
    <w:rsid w:val="005C1221"/>
    <w:rsid w:val="005C37B4"/>
    <w:rsid w:val="005C4599"/>
    <w:rsid w:val="005C6A24"/>
    <w:rsid w:val="005C6B29"/>
    <w:rsid w:val="005C723C"/>
    <w:rsid w:val="005D00E2"/>
    <w:rsid w:val="005D19AA"/>
    <w:rsid w:val="005D2331"/>
    <w:rsid w:val="005D2433"/>
    <w:rsid w:val="005D2537"/>
    <w:rsid w:val="005D3E65"/>
    <w:rsid w:val="005D6872"/>
    <w:rsid w:val="005D6C7C"/>
    <w:rsid w:val="005E3A58"/>
    <w:rsid w:val="005E5685"/>
    <w:rsid w:val="005E6654"/>
    <w:rsid w:val="005E68D6"/>
    <w:rsid w:val="005E79BF"/>
    <w:rsid w:val="005F00EF"/>
    <w:rsid w:val="005F034B"/>
    <w:rsid w:val="005F3387"/>
    <w:rsid w:val="005F38C5"/>
    <w:rsid w:val="005F3B9B"/>
    <w:rsid w:val="005F4B51"/>
    <w:rsid w:val="005F4DF2"/>
    <w:rsid w:val="00602C64"/>
    <w:rsid w:val="0060476C"/>
    <w:rsid w:val="0060495F"/>
    <w:rsid w:val="00604B17"/>
    <w:rsid w:val="00606182"/>
    <w:rsid w:val="00606758"/>
    <w:rsid w:val="0060685D"/>
    <w:rsid w:val="006070B4"/>
    <w:rsid w:val="00607B77"/>
    <w:rsid w:val="00610E4D"/>
    <w:rsid w:val="0061297E"/>
    <w:rsid w:val="00613390"/>
    <w:rsid w:val="00613EC5"/>
    <w:rsid w:val="00614F45"/>
    <w:rsid w:val="00615925"/>
    <w:rsid w:val="00617307"/>
    <w:rsid w:val="0062199C"/>
    <w:rsid w:val="006224AF"/>
    <w:rsid w:val="00622AB0"/>
    <w:rsid w:val="00622DCF"/>
    <w:rsid w:val="00623B36"/>
    <w:rsid w:val="006240F3"/>
    <w:rsid w:val="0062435D"/>
    <w:rsid w:val="00624514"/>
    <w:rsid w:val="006245E5"/>
    <w:rsid w:val="00627269"/>
    <w:rsid w:val="00630E25"/>
    <w:rsid w:val="00631F7E"/>
    <w:rsid w:val="00636751"/>
    <w:rsid w:val="00642A95"/>
    <w:rsid w:val="00643673"/>
    <w:rsid w:val="00643BBD"/>
    <w:rsid w:val="00646DA6"/>
    <w:rsid w:val="006513BC"/>
    <w:rsid w:val="00651B1B"/>
    <w:rsid w:val="006570AF"/>
    <w:rsid w:val="00657657"/>
    <w:rsid w:val="00660A42"/>
    <w:rsid w:val="00664349"/>
    <w:rsid w:val="006647DE"/>
    <w:rsid w:val="006649ED"/>
    <w:rsid w:val="006671B2"/>
    <w:rsid w:val="00671288"/>
    <w:rsid w:val="00672B69"/>
    <w:rsid w:val="00673487"/>
    <w:rsid w:val="00673DCD"/>
    <w:rsid w:val="00675DE7"/>
    <w:rsid w:val="00675F4D"/>
    <w:rsid w:val="006824EA"/>
    <w:rsid w:val="006837AD"/>
    <w:rsid w:val="006849FB"/>
    <w:rsid w:val="0068517A"/>
    <w:rsid w:val="00685C09"/>
    <w:rsid w:val="00692752"/>
    <w:rsid w:val="00693C34"/>
    <w:rsid w:val="00694EE8"/>
    <w:rsid w:val="00696051"/>
    <w:rsid w:val="00696BCA"/>
    <w:rsid w:val="00697368"/>
    <w:rsid w:val="006A0469"/>
    <w:rsid w:val="006A070E"/>
    <w:rsid w:val="006A0F07"/>
    <w:rsid w:val="006A3EFF"/>
    <w:rsid w:val="006A47C5"/>
    <w:rsid w:val="006A483E"/>
    <w:rsid w:val="006A552D"/>
    <w:rsid w:val="006A7D63"/>
    <w:rsid w:val="006B0D6F"/>
    <w:rsid w:val="006B2B75"/>
    <w:rsid w:val="006B385D"/>
    <w:rsid w:val="006B39E1"/>
    <w:rsid w:val="006B7262"/>
    <w:rsid w:val="006C12E3"/>
    <w:rsid w:val="006C131B"/>
    <w:rsid w:val="006C207B"/>
    <w:rsid w:val="006C35B8"/>
    <w:rsid w:val="006C556B"/>
    <w:rsid w:val="006C5741"/>
    <w:rsid w:val="006C57BE"/>
    <w:rsid w:val="006C5C27"/>
    <w:rsid w:val="006C5E27"/>
    <w:rsid w:val="006C6BBD"/>
    <w:rsid w:val="006C76C8"/>
    <w:rsid w:val="006D0ACC"/>
    <w:rsid w:val="006D2834"/>
    <w:rsid w:val="006D2C2E"/>
    <w:rsid w:val="006D2C5D"/>
    <w:rsid w:val="006D3569"/>
    <w:rsid w:val="006D4E07"/>
    <w:rsid w:val="006D5093"/>
    <w:rsid w:val="006E0E1C"/>
    <w:rsid w:val="006E11E4"/>
    <w:rsid w:val="006E18ED"/>
    <w:rsid w:val="006E29B1"/>
    <w:rsid w:val="006E323A"/>
    <w:rsid w:val="006E4142"/>
    <w:rsid w:val="006E47E1"/>
    <w:rsid w:val="006E4CCB"/>
    <w:rsid w:val="006E4F19"/>
    <w:rsid w:val="006E5967"/>
    <w:rsid w:val="006E6A51"/>
    <w:rsid w:val="006F08C0"/>
    <w:rsid w:val="006F0993"/>
    <w:rsid w:val="006F1FFE"/>
    <w:rsid w:val="006F3A67"/>
    <w:rsid w:val="006F5C81"/>
    <w:rsid w:val="006F6A30"/>
    <w:rsid w:val="00700C40"/>
    <w:rsid w:val="0070370E"/>
    <w:rsid w:val="00704055"/>
    <w:rsid w:val="00704995"/>
    <w:rsid w:val="007054D5"/>
    <w:rsid w:val="00705A19"/>
    <w:rsid w:val="00706524"/>
    <w:rsid w:val="00710DAB"/>
    <w:rsid w:val="00710FC4"/>
    <w:rsid w:val="007124D5"/>
    <w:rsid w:val="00713A00"/>
    <w:rsid w:val="00713B85"/>
    <w:rsid w:val="00714D70"/>
    <w:rsid w:val="007153F9"/>
    <w:rsid w:val="0071696C"/>
    <w:rsid w:val="00720593"/>
    <w:rsid w:val="00732491"/>
    <w:rsid w:val="00732FD4"/>
    <w:rsid w:val="00735357"/>
    <w:rsid w:val="00736D92"/>
    <w:rsid w:val="0074112F"/>
    <w:rsid w:val="00743DB8"/>
    <w:rsid w:val="00744175"/>
    <w:rsid w:val="007458ED"/>
    <w:rsid w:val="00745C26"/>
    <w:rsid w:val="0074658D"/>
    <w:rsid w:val="00747E07"/>
    <w:rsid w:val="00750112"/>
    <w:rsid w:val="007506B5"/>
    <w:rsid w:val="00751482"/>
    <w:rsid w:val="00757661"/>
    <w:rsid w:val="00760C60"/>
    <w:rsid w:val="00761CBF"/>
    <w:rsid w:val="00761F6C"/>
    <w:rsid w:val="0076387B"/>
    <w:rsid w:val="00764B9C"/>
    <w:rsid w:val="00764E1C"/>
    <w:rsid w:val="007666B0"/>
    <w:rsid w:val="00766903"/>
    <w:rsid w:val="00766918"/>
    <w:rsid w:val="00766A86"/>
    <w:rsid w:val="007708DD"/>
    <w:rsid w:val="007717EE"/>
    <w:rsid w:val="0077243E"/>
    <w:rsid w:val="0077507D"/>
    <w:rsid w:val="0077557B"/>
    <w:rsid w:val="00775FEB"/>
    <w:rsid w:val="00777F60"/>
    <w:rsid w:val="00780E4B"/>
    <w:rsid w:val="0078174B"/>
    <w:rsid w:val="00782759"/>
    <w:rsid w:val="00783EDB"/>
    <w:rsid w:val="00784624"/>
    <w:rsid w:val="00785E08"/>
    <w:rsid w:val="007869AF"/>
    <w:rsid w:val="00787CBB"/>
    <w:rsid w:val="00790048"/>
    <w:rsid w:val="00791900"/>
    <w:rsid w:val="0079413A"/>
    <w:rsid w:val="00794775"/>
    <w:rsid w:val="00795417"/>
    <w:rsid w:val="00796476"/>
    <w:rsid w:val="007976E2"/>
    <w:rsid w:val="007A0262"/>
    <w:rsid w:val="007A05FC"/>
    <w:rsid w:val="007A2752"/>
    <w:rsid w:val="007A4584"/>
    <w:rsid w:val="007A462C"/>
    <w:rsid w:val="007A5D41"/>
    <w:rsid w:val="007A6E7C"/>
    <w:rsid w:val="007B031A"/>
    <w:rsid w:val="007B094B"/>
    <w:rsid w:val="007B16BF"/>
    <w:rsid w:val="007B339A"/>
    <w:rsid w:val="007B4F0A"/>
    <w:rsid w:val="007B54C3"/>
    <w:rsid w:val="007C277C"/>
    <w:rsid w:val="007C27D2"/>
    <w:rsid w:val="007C3411"/>
    <w:rsid w:val="007C35BE"/>
    <w:rsid w:val="007C3787"/>
    <w:rsid w:val="007C45DA"/>
    <w:rsid w:val="007C7953"/>
    <w:rsid w:val="007D13E9"/>
    <w:rsid w:val="007D149B"/>
    <w:rsid w:val="007D2BC3"/>
    <w:rsid w:val="007D3028"/>
    <w:rsid w:val="007D3EC4"/>
    <w:rsid w:val="007D3FA2"/>
    <w:rsid w:val="007D4417"/>
    <w:rsid w:val="007D455D"/>
    <w:rsid w:val="007D4B7A"/>
    <w:rsid w:val="007D57F0"/>
    <w:rsid w:val="007D5938"/>
    <w:rsid w:val="007D60C3"/>
    <w:rsid w:val="007D6AC3"/>
    <w:rsid w:val="007E0033"/>
    <w:rsid w:val="007E040E"/>
    <w:rsid w:val="007E0754"/>
    <w:rsid w:val="007E07F6"/>
    <w:rsid w:val="007E0EFD"/>
    <w:rsid w:val="007E344D"/>
    <w:rsid w:val="007E3B28"/>
    <w:rsid w:val="007E44DF"/>
    <w:rsid w:val="007E6D24"/>
    <w:rsid w:val="007F038C"/>
    <w:rsid w:val="007F1B79"/>
    <w:rsid w:val="007F1C07"/>
    <w:rsid w:val="007F2256"/>
    <w:rsid w:val="007F33CF"/>
    <w:rsid w:val="007F47B4"/>
    <w:rsid w:val="007F50CD"/>
    <w:rsid w:val="00800B9C"/>
    <w:rsid w:val="008016BE"/>
    <w:rsid w:val="008035EC"/>
    <w:rsid w:val="00804578"/>
    <w:rsid w:val="008045A8"/>
    <w:rsid w:val="00805543"/>
    <w:rsid w:val="00805A73"/>
    <w:rsid w:val="008071B8"/>
    <w:rsid w:val="00807546"/>
    <w:rsid w:val="00811280"/>
    <w:rsid w:val="00812D51"/>
    <w:rsid w:val="00813CB1"/>
    <w:rsid w:val="00814D4A"/>
    <w:rsid w:val="0081565A"/>
    <w:rsid w:val="00817487"/>
    <w:rsid w:val="00821607"/>
    <w:rsid w:val="00821E66"/>
    <w:rsid w:val="00822922"/>
    <w:rsid w:val="00826D18"/>
    <w:rsid w:val="00826F36"/>
    <w:rsid w:val="00832E2C"/>
    <w:rsid w:val="00834D24"/>
    <w:rsid w:val="00835070"/>
    <w:rsid w:val="008352D3"/>
    <w:rsid w:val="008354F2"/>
    <w:rsid w:val="0083581E"/>
    <w:rsid w:val="00835AC7"/>
    <w:rsid w:val="00836121"/>
    <w:rsid w:val="008367A5"/>
    <w:rsid w:val="00837BEB"/>
    <w:rsid w:val="00841B37"/>
    <w:rsid w:val="00844FF4"/>
    <w:rsid w:val="008477D9"/>
    <w:rsid w:val="00851155"/>
    <w:rsid w:val="00851DEF"/>
    <w:rsid w:val="008524AE"/>
    <w:rsid w:val="008529A5"/>
    <w:rsid w:val="0085658B"/>
    <w:rsid w:val="00857A72"/>
    <w:rsid w:val="00860452"/>
    <w:rsid w:val="008625EE"/>
    <w:rsid w:val="00863338"/>
    <w:rsid w:val="00863AF4"/>
    <w:rsid w:val="0086535C"/>
    <w:rsid w:val="00865F9C"/>
    <w:rsid w:val="008661D3"/>
    <w:rsid w:val="00870233"/>
    <w:rsid w:val="00870CDF"/>
    <w:rsid w:val="0087329B"/>
    <w:rsid w:val="008772EF"/>
    <w:rsid w:val="00877540"/>
    <w:rsid w:val="00881BA6"/>
    <w:rsid w:val="00882598"/>
    <w:rsid w:val="00884B51"/>
    <w:rsid w:val="00886BF3"/>
    <w:rsid w:val="00886C3B"/>
    <w:rsid w:val="00887B75"/>
    <w:rsid w:val="00887D5F"/>
    <w:rsid w:val="008909B8"/>
    <w:rsid w:val="00892DF8"/>
    <w:rsid w:val="00894024"/>
    <w:rsid w:val="00897A71"/>
    <w:rsid w:val="008A095B"/>
    <w:rsid w:val="008A1556"/>
    <w:rsid w:val="008A20F1"/>
    <w:rsid w:val="008A6342"/>
    <w:rsid w:val="008A7766"/>
    <w:rsid w:val="008B0B81"/>
    <w:rsid w:val="008B15ED"/>
    <w:rsid w:val="008B26EF"/>
    <w:rsid w:val="008B3057"/>
    <w:rsid w:val="008B3CDC"/>
    <w:rsid w:val="008B5E52"/>
    <w:rsid w:val="008B75DD"/>
    <w:rsid w:val="008C3707"/>
    <w:rsid w:val="008C42FF"/>
    <w:rsid w:val="008C52C5"/>
    <w:rsid w:val="008C5FFA"/>
    <w:rsid w:val="008C6600"/>
    <w:rsid w:val="008C70C7"/>
    <w:rsid w:val="008C74F0"/>
    <w:rsid w:val="008D040F"/>
    <w:rsid w:val="008D150C"/>
    <w:rsid w:val="008D3A09"/>
    <w:rsid w:val="008D6851"/>
    <w:rsid w:val="008E0CFC"/>
    <w:rsid w:val="008E2DD9"/>
    <w:rsid w:val="008E6120"/>
    <w:rsid w:val="008E6F26"/>
    <w:rsid w:val="008F0EEE"/>
    <w:rsid w:val="008F3C36"/>
    <w:rsid w:val="008F5DFC"/>
    <w:rsid w:val="008F68A0"/>
    <w:rsid w:val="008F6BD0"/>
    <w:rsid w:val="008F74FE"/>
    <w:rsid w:val="008F7BB1"/>
    <w:rsid w:val="00902688"/>
    <w:rsid w:val="00902CB3"/>
    <w:rsid w:val="00903555"/>
    <w:rsid w:val="00904713"/>
    <w:rsid w:val="00905AB4"/>
    <w:rsid w:val="00911D03"/>
    <w:rsid w:val="00911EC2"/>
    <w:rsid w:val="00913797"/>
    <w:rsid w:val="00913F6E"/>
    <w:rsid w:val="009143A8"/>
    <w:rsid w:val="009162BB"/>
    <w:rsid w:val="0091635D"/>
    <w:rsid w:val="009165CD"/>
    <w:rsid w:val="0091660C"/>
    <w:rsid w:val="009172EF"/>
    <w:rsid w:val="00917722"/>
    <w:rsid w:val="00917E5D"/>
    <w:rsid w:val="00920021"/>
    <w:rsid w:val="00920E28"/>
    <w:rsid w:val="0092437A"/>
    <w:rsid w:val="00925770"/>
    <w:rsid w:val="00933068"/>
    <w:rsid w:val="00934A49"/>
    <w:rsid w:val="00935AA8"/>
    <w:rsid w:val="00936A7D"/>
    <w:rsid w:val="00937C20"/>
    <w:rsid w:val="009403B1"/>
    <w:rsid w:val="00940502"/>
    <w:rsid w:val="009408F9"/>
    <w:rsid w:val="0094098C"/>
    <w:rsid w:val="0094099A"/>
    <w:rsid w:val="00940AD1"/>
    <w:rsid w:val="00943C38"/>
    <w:rsid w:val="00944EFB"/>
    <w:rsid w:val="00950DA9"/>
    <w:rsid w:val="0095109A"/>
    <w:rsid w:val="00955D3C"/>
    <w:rsid w:val="00956815"/>
    <w:rsid w:val="00960B70"/>
    <w:rsid w:val="00960C9F"/>
    <w:rsid w:val="0096132C"/>
    <w:rsid w:val="00961646"/>
    <w:rsid w:val="00962EC9"/>
    <w:rsid w:val="009641B2"/>
    <w:rsid w:val="00965A0C"/>
    <w:rsid w:val="00966FA1"/>
    <w:rsid w:val="00967777"/>
    <w:rsid w:val="0096781C"/>
    <w:rsid w:val="00970378"/>
    <w:rsid w:val="00970385"/>
    <w:rsid w:val="009715CE"/>
    <w:rsid w:val="009720C1"/>
    <w:rsid w:val="00974A24"/>
    <w:rsid w:val="00974A38"/>
    <w:rsid w:val="009808A9"/>
    <w:rsid w:val="0098124B"/>
    <w:rsid w:val="00984809"/>
    <w:rsid w:val="00986C0C"/>
    <w:rsid w:val="00987A00"/>
    <w:rsid w:val="00987D93"/>
    <w:rsid w:val="00990332"/>
    <w:rsid w:val="00993BC8"/>
    <w:rsid w:val="009957D0"/>
    <w:rsid w:val="00996A83"/>
    <w:rsid w:val="009A0B46"/>
    <w:rsid w:val="009A1611"/>
    <w:rsid w:val="009A2FB4"/>
    <w:rsid w:val="009A3264"/>
    <w:rsid w:val="009A40C0"/>
    <w:rsid w:val="009A5396"/>
    <w:rsid w:val="009A6991"/>
    <w:rsid w:val="009A69DF"/>
    <w:rsid w:val="009B1AA4"/>
    <w:rsid w:val="009B2E83"/>
    <w:rsid w:val="009B5584"/>
    <w:rsid w:val="009B6349"/>
    <w:rsid w:val="009C0F41"/>
    <w:rsid w:val="009C124B"/>
    <w:rsid w:val="009C17F2"/>
    <w:rsid w:val="009C50B6"/>
    <w:rsid w:val="009C547F"/>
    <w:rsid w:val="009C58C8"/>
    <w:rsid w:val="009C71DA"/>
    <w:rsid w:val="009C7405"/>
    <w:rsid w:val="009D1919"/>
    <w:rsid w:val="009D1B86"/>
    <w:rsid w:val="009D48B3"/>
    <w:rsid w:val="009D4FEE"/>
    <w:rsid w:val="009D58F5"/>
    <w:rsid w:val="009D7671"/>
    <w:rsid w:val="009D7A15"/>
    <w:rsid w:val="009D7DD5"/>
    <w:rsid w:val="009E124C"/>
    <w:rsid w:val="009E15EC"/>
    <w:rsid w:val="009E31BD"/>
    <w:rsid w:val="009E57B4"/>
    <w:rsid w:val="009E61C5"/>
    <w:rsid w:val="009E6823"/>
    <w:rsid w:val="009E724A"/>
    <w:rsid w:val="009F065E"/>
    <w:rsid w:val="009F3AEC"/>
    <w:rsid w:val="009F4947"/>
    <w:rsid w:val="009F4BB8"/>
    <w:rsid w:val="009F4EF8"/>
    <w:rsid w:val="009F6690"/>
    <w:rsid w:val="00A01B02"/>
    <w:rsid w:val="00A02721"/>
    <w:rsid w:val="00A031DD"/>
    <w:rsid w:val="00A05B22"/>
    <w:rsid w:val="00A06C56"/>
    <w:rsid w:val="00A07187"/>
    <w:rsid w:val="00A0764F"/>
    <w:rsid w:val="00A11AD8"/>
    <w:rsid w:val="00A12980"/>
    <w:rsid w:val="00A1384B"/>
    <w:rsid w:val="00A13D14"/>
    <w:rsid w:val="00A14C9B"/>
    <w:rsid w:val="00A154FE"/>
    <w:rsid w:val="00A15C6F"/>
    <w:rsid w:val="00A17D44"/>
    <w:rsid w:val="00A213ED"/>
    <w:rsid w:val="00A23BCB"/>
    <w:rsid w:val="00A26401"/>
    <w:rsid w:val="00A2669B"/>
    <w:rsid w:val="00A26A97"/>
    <w:rsid w:val="00A32791"/>
    <w:rsid w:val="00A32F8A"/>
    <w:rsid w:val="00A3782B"/>
    <w:rsid w:val="00A37FC9"/>
    <w:rsid w:val="00A4070F"/>
    <w:rsid w:val="00A4321F"/>
    <w:rsid w:val="00A438C4"/>
    <w:rsid w:val="00A441D9"/>
    <w:rsid w:val="00A468DE"/>
    <w:rsid w:val="00A502FF"/>
    <w:rsid w:val="00A504C7"/>
    <w:rsid w:val="00A50CAF"/>
    <w:rsid w:val="00A52A24"/>
    <w:rsid w:val="00A540D1"/>
    <w:rsid w:val="00A55B8F"/>
    <w:rsid w:val="00A565C7"/>
    <w:rsid w:val="00A6015A"/>
    <w:rsid w:val="00A626CD"/>
    <w:rsid w:val="00A64E5D"/>
    <w:rsid w:val="00A64F7C"/>
    <w:rsid w:val="00A665FB"/>
    <w:rsid w:val="00A669E4"/>
    <w:rsid w:val="00A67300"/>
    <w:rsid w:val="00A708C7"/>
    <w:rsid w:val="00A70FB3"/>
    <w:rsid w:val="00A718E0"/>
    <w:rsid w:val="00A7361F"/>
    <w:rsid w:val="00A76516"/>
    <w:rsid w:val="00A76A76"/>
    <w:rsid w:val="00A77011"/>
    <w:rsid w:val="00A77130"/>
    <w:rsid w:val="00A77A27"/>
    <w:rsid w:val="00A826A2"/>
    <w:rsid w:val="00A83032"/>
    <w:rsid w:val="00A85250"/>
    <w:rsid w:val="00A861BA"/>
    <w:rsid w:val="00A87A05"/>
    <w:rsid w:val="00A90B7D"/>
    <w:rsid w:val="00A92702"/>
    <w:rsid w:val="00A92B9A"/>
    <w:rsid w:val="00A93CA5"/>
    <w:rsid w:val="00A945DB"/>
    <w:rsid w:val="00A94745"/>
    <w:rsid w:val="00A94EF1"/>
    <w:rsid w:val="00A962D4"/>
    <w:rsid w:val="00AA00F3"/>
    <w:rsid w:val="00AA0205"/>
    <w:rsid w:val="00AA379B"/>
    <w:rsid w:val="00AA3A2C"/>
    <w:rsid w:val="00AA53A1"/>
    <w:rsid w:val="00AA53AF"/>
    <w:rsid w:val="00AA69B8"/>
    <w:rsid w:val="00AA6CB5"/>
    <w:rsid w:val="00AB0063"/>
    <w:rsid w:val="00AB389F"/>
    <w:rsid w:val="00AB4E30"/>
    <w:rsid w:val="00AB501B"/>
    <w:rsid w:val="00AB6E5D"/>
    <w:rsid w:val="00AC167C"/>
    <w:rsid w:val="00AC2578"/>
    <w:rsid w:val="00AC2FC9"/>
    <w:rsid w:val="00AC6F38"/>
    <w:rsid w:val="00AD0019"/>
    <w:rsid w:val="00AD00F0"/>
    <w:rsid w:val="00AD02ED"/>
    <w:rsid w:val="00AD156C"/>
    <w:rsid w:val="00AD1765"/>
    <w:rsid w:val="00AD2A81"/>
    <w:rsid w:val="00AD2D00"/>
    <w:rsid w:val="00AD3FE2"/>
    <w:rsid w:val="00AD4F11"/>
    <w:rsid w:val="00AD5002"/>
    <w:rsid w:val="00AD5AD1"/>
    <w:rsid w:val="00AD5AFE"/>
    <w:rsid w:val="00AD608A"/>
    <w:rsid w:val="00AD6EC1"/>
    <w:rsid w:val="00AD7504"/>
    <w:rsid w:val="00AE13AD"/>
    <w:rsid w:val="00AE39E1"/>
    <w:rsid w:val="00AE3ACD"/>
    <w:rsid w:val="00AE5A6D"/>
    <w:rsid w:val="00AE749C"/>
    <w:rsid w:val="00AE7B5B"/>
    <w:rsid w:val="00AF0661"/>
    <w:rsid w:val="00AF58F3"/>
    <w:rsid w:val="00AF75BD"/>
    <w:rsid w:val="00AF7CCD"/>
    <w:rsid w:val="00B02E04"/>
    <w:rsid w:val="00B03B36"/>
    <w:rsid w:val="00B03EFC"/>
    <w:rsid w:val="00B04A84"/>
    <w:rsid w:val="00B103BF"/>
    <w:rsid w:val="00B10F02"/>
    <w:rsid w:val="00B123BF"/>
    <w:rsid w:val="00B13A05"/>
    <w:rsid w:val="00B13D4C"/>
    <w:rsid w:val="00B13FCD"/>
    <w:rsid w:val="00B1443B"/>
    <w:rsid w:val="00B1623D"/>
    <w:rsid w:val="00B17A1C"/>
    <w:rsid w:val="00B23F77"/>
    <w:rsid w:val="00B2604A"/>
    <w:rsid w:val="00B271FE"/>
    <w:rsid w:val="00B2792F"/>
    <w:rsid w:val="00B27B87"/>
    <w:rsid w:val="00B32B59"/>
    <w:rsid w:val="00B3547C"/>
    <w:rsid w:val="00B364FA"/>
    <w:rsid w:val="00B3775F"/>
    <w:rsid w:val="00B436F5"/>
    <w:rsid w:val="00B43E97"/>
    <w:rsid w:val="00B444AF"/>
    <w:rsid w:val="00B45CE2"/>
    <w:rsid w:val="00B467F9"/>
    <w:rsid w:val="00B46874"/>
    <w:rsid w:val="00B46A58"/>
    <w:rsid w:val="00B471C3"/>
    <w:rsid w:val="00B5233A"/>
    <w:rsid w:val="00B549E3"/>
    <w:rsid w:val="00B553EE"/>
    <w:rsid w:val="00B60107"/>
    <w:rsid w:val="00B61ADE"/>
    <w:rsid w:val="00B61B6F"/>
    <w:rsid w:val="00B642FB"/>
    <w:rsid w:val="00B64F30"/>
    <w:rsid w:val="00B66174"/>
    <w:rsid w:val="00B67A1C"/>
    <w:rsid w:val="00B714F7"/>
    <w:rsid w:val="00B71694"/>
    <w:rsid w:val="00B716FB"/>
    <w:rsid w:val="00B71ADE"/>
    <w:rsid w:val="00B748F9"/>
    <w:rsid w:val="00B74961"/>
    <w:rsid w:val="00B75494"/>
    <w:rsid w:val="00B754A0"/>
    <w:rsid w:val="00B75623"/>
    <w:rsid w:val="00B76434"/>
    <w:rsid w:val="00B76D39"/>
    <w:rsid w:val="00B77781"/>
    <w:rsid w:val="00B8041A"/>
    <w:rsid w:val="00B829C0"/>
    <w:rsid w:val="00B83873"/>
    <w:rsid w:val="00B84AE3"/>
    <w:rsid w:val="00B85FB9"/>
    <w:rsid w:val="00B87338"/>
    <w:rsid w:val="00B879FD"/>
    <w:rsid w:val="00B958C2"/>
    <w:rsid w:val="00BA0E2F"/>
    <w:rsid w:val="00BA718E"/>
    <w:rsid w:val="00BA75EC"/>
    <w:rsid w:val="00BA7984"/>
    <w:rsid w:val="00BB1F9A"/>
    <w:rsid w:val="00BB1FB7"/>
    <w:rsid w:val="00BB300C"/>
    <w:rsid w:val="00BB52EB"/>
    <w:rsid w:val="00BB5E17"/>
    <w:rsid w:val="00BB7944"/>
    <w:rsid w:val="00BC01E4"/>
    <w:rsid w:val="00BC0826"/>
    <w:rsid w:val="00BC3072"/>
    <w:rsid w:val="00BC5C3F"/>
    <w:rsid w:val="00BC7710"/>
    <w:rsid w:val="00BD2D37"/>
    <w:rsid w:val="00BD3F93"/>
    <w:rsid w:val="00BD45EB"/>
    <w:rsid w:val="00BD4717"/>
    <w:rsid w:val="00BD634C"/>
    <w:rsid w:val="00BD7FCB"/>
    <w:rsid w:val="00BE07A6"/>
    <w:rsid w:val="00BE17B1"/>
    <w:rsid w:val="00BE265A"/>
    <w:rsid w:val="00BE3318"/>
    <w:rsid w:val="00BE3B27"/>
    <w:rsid w:val="00BE4A64"/>
    <w:rsid w:val="00BE5AD0"/>
    <w:rsid w:val="00BE7891"/>
    <w:rsid w:val="00BF0572"/>
    <w:rsid w:val="00BF1624"/>
    <w:rsid w:val="00BF187C"/>
    <w:rsid w:val="00BF31F9"/>
    <w:rsid w:val="00BF36ED"/>
    <w:rsid w:val="00BF5892"/>
    <w:rsid w:val="00BF72B2"/>
    <w:rsid w:val="00C00D02"/>
    <w:rsid w:val="00C0232C"/>
    <w:rsid w:val="00C02684"/>
    <w:rsid w:val="00C049DC"/>
    <w:rsid w:val="00C05B33"/>
    <w:rsid w:val="00C05EAE"/>
    <w:rsid w:val="00C11806"/>
    <w:rsid w:val="00C11D5B"/>
    <w:rsid w:val="00C11F6A"/>
    <w:rsid w:val="00C13308"/>
    <w:rsid w:val="00C153BA"/>
    <w:rsid w:val="00C15D03"/>
    <w:rsid w:val="00C160AD"/>
    <w:rsid w:val="00C168E2"/>
    <w:rsid w:val="00C16E71"/>
    <w:rsid w:val="00C207E8"/>
    <w:rsid w:val="00C210DC"/>
    <w:rsid w:val="00C22F44"/>
    <w:rsid w:val="00C24E53"/>
    <w:rsid w:val="00C275E0"/>
    <w:rsid w:val="00C316A9"/>
    <w:rsid w:val="00C31F24"/>
    <w:rsid w:val="00C412FA"/>
    <w:rsid w:val="00C42B7B"/>
    <w:rsid w:val="00C44AB0"/>
    <w:rsid w:val="00C44AE5"/>
    <w:rsid w:val="00C44B75"/>
    <w:rsid w:val="00C50164"/>
    <w:rsid w:val="00C5020E"/>
    <w:rsid w:val="00C50625"/>
    <w:rsid w:val="00C51D3E"/>
    <w:rsid w:val="00C55380"/>
    <w:rsid w:val="00C56C86"/>
    <w:rsid w:val="00C57A04"/>
    <w:rsid w:val="00C57BFF"/>
    <w:rsid w:val="00C61E41"/>
    <w:rsid w:val="00C64097"/>
    <w:rsid w:val="00C7058F"/>
    <w:rsid w:val="00C71E9C"/>
    <w:rsid w:val="00C73208"/>
    <w:rsid w:val="00C74D4A"/>
    <w:rsid w:val="00C75237"/>
    <w:rsid w:val="00C75582"/>
    <w:rsid w:val="00C75BAD"/>
    <w:rsid w:val="00C777C9"/>
    <w:rsid w:val="00C77BE1"/>
    <w:rsid w:val="00C80084"/>
    <w:rsid w:val="00C80EE4"/>
    <w:rsid w:val="00C81076"/>
    <w:rsid w:val="00C81106"/>
    <w:rsid w:val="00C82C14"/>
    <w:rsid w:val="00C83A6B"/>
    <w:rsid w:val="00C856C9"/>
    <w:rsid w:val="00C866FB"/>
    <w:rsid w:val="00C90B30"/>
    <w:rsid w:val="00C9194D"/>
    <w:rsid w:val="00C9241D"/>
    <w:rsid w:val="00C92734"/>
    <w:rsid w:val="00C944A9"/>
    <w:rsid w:val="00C9469B"/>
    <w:rsid w:val="00C9565D"/>
    <w:rsid w:val="00C96098"/>
    <w:rsid w:val="00C97233"/>
    <w:rsid w:val="00C97295"/>
    <w:rsid w:val="00CA378F"/>
    <w:rsid w:val="00CA5005"/>
    <w:rsid w:val="00CA671F"/>
    <w:rsid w:val="00CB104C"/>
    <w:rsid w:val="00CB3AF3"/>
    <w:rsid w:val="00CB49A9"/>
    <w:rsid w:val="00CB5159"/>
    <w:rsid w:val="00CB6F61"/>
    <w:rsid w:val="00CC0B9F"/>
    <w:rsid w:val="00CC22A2"/>
    <w:rsid w:val="00CC286F"/>
    <w:rsid w:val="00CC2A5B"/>
    <w:rsid w:val="00CC4510"/>
    <w:rsid w:val="00CC4D25"/>
    <w:rsid w:val="00CC6025"/>
    <w:rsid w:val="00CC6765"/>
    <w:rsid w:val="00CC6D71"/>
    <w:rsid w:val="00CC7EC1"/>
    <w:rsid w:val="00CD0B2D"/>
    <w:rsid w:val="00CD1098"/>
    <w:rsid w:val="00CD5C9D"/>
    <w:rsid w:val="00CD5E6D"/>
    <w:rsid w:val="00CD649F"/>
    <w:rsid w:val="00CD6650"/>
    <w:rsid w:val="00CD702B"/>
    <w:rsid w:val="00CD7879"/>
    <w:rsid w:val="00CE1FC4"/>
    <w:rsid w:val="00CE42D7"/>
    <w:rsid w:val="00CE4B62"/>
    <w:rsid w:val="00CE540B"/>
    <w:rsid w:val="00CE5AE1"/>
    <w:rsid w:val="00CE7C55"/>
    <w:rsid w:val="00CF1220"/>
    <w:rsid w:val="00CF2935"/>
    <w:rsid w:val="00CF3C11"/>
    <w:rsid w:val="00CF3EE1"/>
    <w:rsid w:val="00CF4398"/>
    <w:rsid w:val="00CF4761"/>
    <w:rsid w:val="00D0084F"/>
    <w:rsid w:val="00D01006"/>
    <w:rsid w:val="00D02144"/>
    <w:rsid w:val="00D06708"/>
    <w:rsid w:val="00D067E1"/>
    <w:rsid w:val="00D1010B"/>
    <w:rsid w:val="00D11A59"/>
    <w:rsid w:val="00D11F22"/>
    <w:rsid w:val="00D132A3"/>
    <w:rsid w:val="00D13FB4"/>
    <w:rsid w:val="00D2170C"/>
    <w:rsid w:val="00D21B44"/>
    <w:rsid w:val="00D232E3"/>
    <w:rsid w:val="00D25133"/>
    <w:rsid w:val="00D26301"/>
    <w:rsid w:val="00D277AD"/>
    <w:rsid w:val="00D30228"/>
    <w:rsid w:val="00D357AA"/>
    <w:rsid w:val="00D3658F"/>
    <w:rsid w:val="00D4089F"/>
    <w:rsid w:val="00D4099E"/>
    <w:rsid w:val="00D428F3"/>
    <w:rsid w:val="00D43E0C"/>
    <w:rsid w:val="00D449BE"/>
    <w:rsid w:val="00D50A45"/>
    <w:rsid w:val="00D51F3C"/>
    <w:rsid w:val="00D53AA5"/>
    <w:rsid w:val="00D53D2A"/>
    <w:rsid w:val="00D54E30"/>
    <w:rsid w:val="00D559E1"/>
    <w:rsid w:val="00D56CBC"/>
    <w:rsid w:val="00D600D7"/>
    <w:rsid w:val="00D60F5C"/>
    <w:rsid w:val="00D61451"/>
    <w:rsid w:val="00D627E6"/>
    <w:rsid w:val="00D63AC2"/>
    <w:rsid w:val="00D64920"/>
    <w:rsid w:val="00D652AD"/>
    <w:rsid w:val="00D659B0"/>
    <w:rsid w:val="00D65E8E"/>
    <w:rsid w:val="00D66F2A"/>
    <w:rsid w:val="00D67ED7"/>
    <w:rsid w:val="00D7136E"/>
    <w:rsid w:val="00D71792"/>
    <w:rsid w:val="00D71FD5"/>
    <w:rsid w:val="00D72404"/>
    <w:rsid w:val="00D7392E"/>
    <w:rsid w:val="00D7400A"/>
    <w:rsid w:val="00D76339"/>
    <w:rsid w:val="00D763E1"/>
    <w:rsid w:val="00D76473"/>
    <w:rsid w:val="00D802FA"/>
    <w:rsid w:val="00D80BD7"/>
    <w:rsid w:val="00D82E99"/>
    <w:rsid w:val="00D84404"/>
    <w:rsid w:val="00D84B1F"/>
    <w:rsid w:val="00D84E56"/>
    <w:rsid w:val="00D909EB"/>
    <w:rsid w:val="00D9435C"/>
    <w:rsid w:val="00D945DA"/>
    <w:rsid w:val="00D96D18"/>
    <w:rsid w:val="00D97405"/>
    <w:rsid w:val="00DA08F4"/>
    <w:rsid w:val="00DA0ED3"/>
    <w:rsid w:val="00DA156B"/>
    <w:rsid w:val="00DA2F04"/>
    <w:rsid w:val="00DA309F"/>
    <w:rsid w:val="00DA3176"/>
    <w:rsid w:val="00DA4578"/>
    <w:rsid w:val="00DA5D67"/>
    <w:rsid w:val="00DA752C"/>
    <w:rsid w:val="00DA78AF"/>
    <w:rsid w:val="00DB149B"/>
    <w:rsid w:val="00DB47C0"/>
    <w:rsid w:val="00DB569D"/>
    <w:rsid w:val="00DB596A"/>
    <w:rsid w:val="00DC3F80"/>
    <w:rsid w:val="00DC59E6"/>
    <w:rsid w:val="00DC672C"/>
    <w:rsid w:val="00DD2BB7"/>
    <w:rsid w:val="00DD2F90"/>
    <w:rsid w:val="00DD4F82"/>
    <w:rsid w:val="00DD5844"/>
    <w:rsid w:val="00DD638B"/>
    <w:rsid w:val="00DD6EBE"/>
    <w:rsid w:val="00DD6ED9"/>
    <w:rsid w:val="00DE265F"/>
    <w:rsid w:val="00DE3320"/>
    <w:rsid w:val="00DE4200"/>
    <w:rsid w:val="00DE420E"/>
    <w:rsid w:val="00DE5C0A"/>
    <w:rsid w:val="00DE64AD"/>
    <w:rsid w:val="00DF1058"/>
    <w:rsid w:val="00DF1D0B"/>
    <w:rsid w:val="00DF3494"/>
    <w:rsid w:val="00DF3683"/>
    <w:rsid w:val="00DF404C"/>
    <w:rsid w:val="00DF4396"/>
    <w:rsid w:val="00DF5F19"/>
    <w:rsid w:val="00E00342"/>
    <w:rsid w:val="00E009DD"/>
    <w:rsid w:val="00E00F6F"/>
    <w:rsid w:val="00E02636"/>
    <w:rsid w:val="00E04B64"/>
    <w:rsid w:val="00E06476"/>
    <w:rsid w:val="00E075D5"/>
    <w:rsid w:val="00E079FF"/>
    <w:rsid w:val="00E1193A"/>
    <w:rsid w:val="00E12EA8"/>
    <w:rsid w:val="00E12FA6"/>
    <w:rsid w:val="00E1317B"/>
    <w:rsid w:val="00E14148"/>
    <w:rsid w:val="00E14F4C"/>
    <w:rsid w:val="00E227BC"/>
    <w:rsid w:val="00E26CAF"/>
    <w:rsid w:val="00E30915"/>
    <w:rsid w:val="00E30C0A"/>
    <w:rsid w:val="00E315DA"/>
    <w:rsid w:val="00E31F21"/>
    <w:rsid w:val="00E327DE"/>
    <w:rsid w:val="00E33917"/>
    <w:rsid w:val="00E34109"/>
    <w:rsid w:val="00E34935"/>
    <w:rsid w:val="00E35A83"/>
    <w:rsid w:val="00E35DDD"/>
    <w:rsid w:val="00E360B0"/>
    <w:rsid w:val="00E364A9"/>
    <w:rsid w:val="00E36A3F"/>
    <w:rsid w:val="00E3757C"/>
    <w:rsid w:val="00E41115"/>
    <w:rsid w:val="00E43B7A"/>
    <w:rsid w:val="00E44384"/>
    <w:rsid w:val="00E4440E"/>
    <w:rsid w:val="00E44DD7"/>
    <w:rsid w:val="00E45931"/>
    <w:rsid w:val="00E46D9B"/>
    <w:rsid w:val="00E50307"/>
    <w:rsid w:val="00E503DC"/>
    <w:rsid w:val="00E51CE6"/>
    <w:rsid w:val="00E558F3"/>
    <w:rsid w:val="00E56510"/>
    <w:rsid w:val="00E56B5C"/>
    <w:rsid w:val="00E602AB"/>
    <w:rsid w:val="00E61829"/>
    <w:rsid w:val="00E62944"/>
    <w:rsid w:val="00E62C73"/>
    <w:rsid w:val="00E63105"/>
    <w:rsid w:val="00E63899"/>
    <w:rsid w:val="00E65163"/>
    <w:rsid w:val="00E7007E"/>
    <w:rsid w:val="00E701B8"/>
    <w:rsid w:val="00E7047D"/>
    <w:rsid w:val="00E70D95"/>
    <w:rsid w:val="00E7143C"/>
    <w:rsid w:val="00E72103"/>
    <w:rsid w:val="00E75173"/>
    <w:rsid w:val="00E76BDC"/>
    <w:rsid w:val="00E822B9"/>
    <w:rsid w:val="00E84F8B"/>
    <w:rsid w:val="00E856C8"/>
    <w:rsid w:val="00E862BA"/>
    <w:rsid w:val="00E87DA4"/>
    <w:rsid w:val="00E902B3"/>
    <w:rsid w:val="00E90AD4"/>
    <w:rsid w:val="00E90AD6"/>
    <w:rsid w:val="00E92971"/>
    <w:rsid w:val="00E92E5C"/>
    <w:rsid w:val="00E954AF"/>
    <w:rsid w:val="00E97C33"/>
    <w:rsid w:val="00E97CD9"/>
    <w:rsid w:val="00E97E38"/>
    <w:rsid w:val="00EA1B15"/>
    <w:rsid w:val="00EA1E4D"/>
    <w:rsid w:val="00EA33C1"/>
    <w:rsid w:val="00EA3961"/>
    <w:rsid w:val="00EA3F02"/>
    <w:rsid w:val="00EB03D2"/>
    <w:rsid w:val="00EB07C7"/>
    <w:rsid w:val="00EB27D3"/>
    <w:rsid w:val="00EB2990"/>
    <w:rsid w:val="00EB344E"/>
    <w:rsid w:val="00EB34F2"/>
    <w:rsid w:val="00EB3F17"/>
    <w:rsid w:val="00EB57BA"/>
    <w:rsid w:val="00EB58B6"/>
    <w:rsid w:val="00EB5C57"/>
    <w:rsid w:val="00EB7462"/>
    <w:rsid w:val="00EB7931"/>
    <w:rsid w:val="00EB7D27"/>
    <w:rsid w:val="00EC0681"/>
    <w:rsid w:val="00EC0D85"/>
    <w:rsid w:val="00EC119C"/>
    <w:rsid w:val="00EC1963"/>
    <w:rsid w:val="00EC2351"/>
    <w:rsid w:val="00EC424C"/>
    <w:rsid w:val="00EC546B"/>
    <w:rsid w:val="00EC6810"/>
    <w:rsid w:val="00EC73F8"/>
    <w:rsid w:val="00EC7DD4"/>
    <w:rsid w:val="00EC7EAA"/>
    <w:rsid w:val="00ED04FB"/>
    <w:rsid w:val="00ED0F18"/>
    <w:rsid w:val="00ED172E"/>
    <w:rsid w:val="00ED2B6B"/>
    <w:rsid w:val="00ED40CE"/>
    <w:rsid w:val="00ED5F3A"/>
    <w:rsid w:val="00ED6190"/>
    <w:rsid w:val="00ED6249"/>
    <w:rsid w:val="00ED62E0"/>
    <w:rsid w:val="00ED6FCB"/>
    <w:rsid w:val="00EE1FE4"/>
    <w:rsid w:val="00EE2928"/>
    <w:rsid w:val="00EE2A61"/>
    <w:rsid w:val="00EE2F50"/>
    <w:rsid w:val="00EE5E2D"/>
    <w:rsid w:val="00EE7EA3"/>
    <w:rsid w:val="00EF3631"/>
    <w:rsid w:val="00EF52B7"/>
    <w:rsid w:val="00F005B2"/>
    <w:rsid w:val="00F00DAC"/>
    <w:rsid w:val="00F0229C"/>
    <w:rsid w:val="00F02D9D"/>
    <w:rsid w:val="00F0335D"/>
    <w:rsid w:val="00F06679"/>
    <w:rsid w:val="00F06C57"/>
    <w:rsid w:val="00F07973"/>
    <w:rsid w:val="00F07BBA"/>
    <w:rsid w:val="00F10F96"/>
    <w:rsid w:val="00F11DA2"/>
    <w:rsid w:val="00F11EA7"/>
    <w:rsid w:val="00F11EB7"/>
    <w:rsid w:val="00F138A5"/>
    <w:rsid w:val="00F15782"/>
    <w:rsid w:val="00F16D33"/>
    <w:rsid w:val="00F17375"/>
    <w:rsid w:val="00F2044F"/>
    <w:rsid w:val="00F21091"/>
    <w:rsid w:val="00F22A85"/>
    <w:rsid w:val="00F23A06"/>
    <w:rsid w:val="00F245B6"/>
    <w:rsid w:val="00F27492"/>
    <w:rsid w:val="00F27D7F"/>
    <w:rsid w:val="00F333B7"/>
    <w:rsid w:val="00F338F1"/>
    <w:rsid w:val="00F35BEA"/>
    <w:rsid w:val="00F36AF8"/>
    <w:rsid w:val="00F372E4"/>
    <w:rsid w:val="00F40725"/>
    <w:rsid w:val="00F4258D"/>
    <w:rsid w:val="00F43D7D"/>
    <w:rsid w:val="00F43ED9"/>
    <w:rsid w:val="00F45318"/>
    <w:rsid w:val="00F45AD1"/>
    <w:rsid w:val="00F46130"/>
    <w:rsid w:val="00F477A8"/>
    <w:rsid w:val="00F47AA7"/>
    <w:rsid w:val="00F513CC"/>
    <w:rsid w:val="00F51A83"/>
    <w:rsid w:val="00F525D9"/>
    <w:rsid w:val="00F52607"/>
    <w:rsid w:val="00F52BC2"/>
    <w:rsid w:val="00F55B60"/>
    <w:rsid w:val="00F5666A"/>
    <w:rsid w:val="00F6036E"/>
    <w:rsid w:val="00F61C4A"/>
    <w:rsid w:val="00F623A2"/>
    <w:rsid w:val="00F63441"/>
    <w:rsid w:val="00F6383D"/>
    <w:rsid w:val="00F639DE"/>
    <w:rsid w:val="00F63E68"/>
    <w:rsid w:val="00F65D2F"/>
    <w:rsid w:val="00F66957"/>
    <w:rsid w:val="00F70268"/>
    <w:rsid w:val="00F72AF3"/>
    <w:rsid w:val="00F7394A"/>
    <w:rsid w:val="00F80502"/>
    <w:rsid w:val="00F81527"/>
    <w:rsid w:val="00F84CE0"/>
    <w:rsid w:val="00F84D8E"/>
    <w:rsid w:val="00F86065"/>
    <w:rsid w:val="00F86940"/>
    <w:rsid w:val="00F908EF"/>
    <w:rsid w:val="00F91633"/>
    <w:rsid w:val="00F91644"/>
    <w:rsid w:val="00F92D4C"/>
    <w:rsid w:val="00F95411"/>
    <w:rsid w:val="00F970F9"/>
    <w:rsid w:val="00FA02F0"/>
    <w:rsid w:val="00FA0EE5"/>
    <w:rsid w:val="00FA15B1"/>
    <w:rsid w:val="00FA5B6C"/>
    <w:rsid w:val="00FA5E29"/>
    <w:rsid w:val="00FA6819"/>
    <w:rsid w:val="00FA6FFA"/>
    <w:rsid w:val="00FA7591"/>
    <w:rsid w:val="00FA7D86"/>
    <w:rsid w:val="00FB3F3F"/>
    <w:rsid w:val="00FB6F40"/>
    <w:rsid w:val="00FB6FF8"/>
    <w:rsid w:val="00FB766F"/>
    <w:rsid w:val="00FC0DF3"/>
    <w:rsid w:val="00FC114C"/>
    <w:rsid w:val="00FC1A2B"/>
    <w:rsid w:val="00FC1A73"/>
    <w:rsid w:val="00FC3765"/>
    <w:rsid w:val="00FC5739"/>
    <w:rsid w:val="00FC58ED"/>
    <w:rsid w:val="00FC5960"/>
    <w:rsid w:val="00FC6784"/>
    <w:rsid w:val="00FC6BE5"/>
    <w:rsid w:val="00FC725C"/>
    <w:rsid w:val="00FC73EC"/>
    <w:rsid w:val="00FD0C51"/>
    <w:rsid w:val="00FD4D7A"/>
    <w:rsid w:val="00FD71C8"/>
    <w:rsid w:val="00FE1842"/>
    <w:rsid w:val="00FE46C4"/>
    <w:rsid w:val="00FE676F"/>
    <w:rsid w:val="00FF0AE5"/>
    <w:rsid w:val="00FF3876"/>
    <w:rsid w:val="00FF5599"/>
    <w:rsid w:val="00FF6BF6"/>
    <w:rsid w:val="00FF7ADA"/>
    <w:rsid w:val="00FF7C0B"/>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rules v:ext="edit">
        <o:r id="V:Rule18" type="connector" idref="#Straight Arrow Connector 38"/>
        <o:r id="V:Rule21" type="connector" idref="#Straight Arrow Connector 44"/>
        <o:r id="V:Rule22" type="connector" idref="#Straight Arrow Connector 45"/>
        <o:r id="V:Rule23" type="connector" idref="#Straight Arrow Connector 46"/>
        <o:r id="V:Rule25" type="connector" idref="#Straight Arrow Connector 49"/>
        <o:r id="V:Rule26" type="connector" idref="#Straight Arrow Connector 50"/>
        <o:r id="V:Rule28" type="connector" idref="#Straight Arrow Connector 52"/>
        <o:r id="V:Rule29" type="connector" idref="#Straight Arrow Connector 53"/>
        <o:r id="V:Rule32" type="connector" idref="#Straight Arrow Connector 54"/>
        <o:r id="V:Rule34" type="connector" idref="#Elbow Connector 47"/>
        <o:r id="V:Rule36" type="connector" idref="#Straight Arrow Connector 43"/>
        <o:r id="V:Rule39" type="connector" idref="#Straight Arrow Connector 42"/>
        <o:r id="V:Rule40" type="connector" idref="#Straight Arrow Connector 51"/>
        <o:r id="V:Rule41" type="connector" idref="#Straight Arrow Connector 38"/>
        <o:r id="V:Rule42" type="connector" idref="#Straight Arrow Connector 48"/>
        <o:r id="V:Rule44" type="connector" idref="#Straight Arrow Connector 37"/>
        <o:r id="V:Rule45" type="connector" idref="#Straight Arrow Connector 39"/>
        <o:r id="V:Rule46" type="connector" idref="#Straight Arrow Connector 53"/>
        <o:r id="V:Rule47" type="connector" idref="#Straight Arrow Connector 29"/>
        <o:r id="V:Rule49" type="connector" idref="#Straight Arrow Connector 34"/>
        <o:r id="V:Rule50" type="connector" idref="#Straight Arrow Connector 56"/>
        <o:r id="V:Rule51" type="connector" idref="#Straight Arrow Connector 45"/>
        <o:r id="V:Rule53" type="connector" idref="#Straight Arrow Connector 50"/>
        <o:r id="V:Rule55" type="connector" idref="#Straight Arrow Connector 30"/>
        <o:r id="V:Rule56" type="connector" idref="#Straight Arrow Connector 40"/>
        <o:r id="V:Rule57" type="connector" idref="#Straight Arrow Connector 35"/>
        <o:r id="V:Rule58" type="connector" idref="#Straight Arrow Connector 44"/>
        <o:r id="V:Rule59" type="connector" idref="#Straight Arrow Connector 49"/>
        <o:r id="V:Rule60" type="connector" idref="#Straight Arrow Connector 52"/>
        <o:r id="V:Rule61" type="connector" idref="#Straight Arrow Connector 46"/>
        <o:r id="V:Rule62" type="connector" idref="#Straight Arrow Connector 3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103"/>
    <w:pPr>
      <w:spacing w:before="120"/>
      <w:jc w:val="both"/>
    </w:pPr>
    <w:rPr>
      <w:rFonts w:ascii="Times New Roman" w:hAnsi="Times New Roman"/>
      <w:sz w:val="22"/>
      <w:lang w:val="en-AU"/>
    </w:rPr>
  </w:style>
  <w:style w:type="paragraph" w:styleId="Heading1">
    <w:name w:val="heading 1"/>
    <w:basedOn w:val="Normal"/>
    <w:next w:val="Normal"/>
    <w:link w:val="Heading1Char"/>
    <w:qFormat/>
    <w:rsid w:val="003937A5"/>
    <w:pPr>
      <w:keepNext/>
      <w:numPr>
        <w:numId w:val="1"/>
      </w:numPr>
      <w:spacing w:before="240" w:after="60"/>
      <w:jc w:val="left"/>
      <w:outlineLvl w:val="0"/>
    </w:pPr>
    <w:rPr>
      <w:rFonts w:ascii="Calibri" w:eastAsia="Times New Roman" w:hAnsi="Calibri" w:cs="Times New Roman"/>
      <w:b/>
      <w:bCs/>
      <w:kern w:val="32"/>
      <w:sz w:val="32"/>
      <w:szCs w:val="32"/>
      <w:lang w:val="en-US"/>
    </w:rPr>
  </w:style>
  <w:style w:type="paragraph" w:styleId="Heading2">
    <w:name w:val="heading 2"/>
    <w:basedOn w:val="Normal"/>
    <w:next w:val="Normal"/>
    <w:link w:val="Heading2Char"/>
    <w:qFormat/>
    <w:rsid w:val="003937A5"/>
    <w:pPr>
      <w:keepNext/>
      <w:numPr>
        <w:ilvl w:val="1"/>
        <w:numId w:val="1"/>
      </w:numPr>
      <w:spacing w:before="240" w:after="60"/>
      <w:jc w:val="left"/>
      <w:outlineLvl w:val="1"/>
    </w:pPr>
    <w:rPr>
      <w:rFonts w:ascii="Calibri" w:eastAsia="Times New Roman" w:hAnsi="Calibri" w:cs="Times New Roman"/>
      <w:b/>
      <w:bCs/>
      <w:i/>
      <w:iCs/>
      <w:sz w:val="28"/>
      <w:szCs w:val="28"/>
      <w:lang w:val="en-US"/>
    </w:rPr>
  </w:style>
  <w:style w:type="paragraph" w:styleId="Heading3">
    <w:name w:val="heading 3"/>
    <w:basedOn w:val="Normal"/>
    <w:next w:val="Normal"/>
    <w:link w:val="Heading3Char"/>
    <w:qFormat/>
    <w:rsid w:val="003937A5"/>
    <w:pPr>
      <w:keepNext/>
      <w:numPr>
        <w:ilvl w:val="2"/>
        <w:numId w:val="1"/>
      </w:numPr>
      <w:spacing w:before="240" w:after="60"/>
      <w:jc w:val="left"/>
      <w:outlineLvl w:val="2"/>
    </w:pPr>
    <w:rPr>
      <w:rFonts w:ascii="Calibri" w:eastAsia="Times New Roman" w:hAnsi="Calibri" w:cs="Times New Roman"/>
      <w:b/>
      <w:bCs/>
      <w:sz w:val="26"/>
      <w:szCs w:val="26"/>
      <w:lang w:val="en-US"/>
    </w:rPr>
  </w:style>
  <w:style w:type="paragraph" w:styleId="Heading4">
    <w:name w:val="heading 4"/>
    <w:basedOn w:val="Normal"/>
    <w:next w:val="Normal"/>
    <w:link w:val="Heading4Char"/>
    <w:qFormat/>
    <w:rsid w:val="003937A5"/>
    <w:pPr>
      <w:keepNext/>
      <w:numPr>
        <w:ilvl w:val="3"/>
        <w:numId w:val="1"/>
      </w:numPr>
      <w:spacing w:before="240" w:after="60"/>
      <w:jc w:val="left"/>
      <w:outlineLvl w:val="3"/>
    </w:pPr>
    <w:rPr>
      <w:rFonts w:ascii="Cambria" w:eastAsia="Times New Roman" w:hAnsi="Cambria" w:cs="Times New Roman"/>
      <w:b/>
      <w:bCs/>
      <w:sz w:val="28"/>
      <w:szCs w:val="28"/>
      <w:lang w:val="en-US"/>
    </w:rPr>
  </w:style>
  <w:style w:type="paragraph" w:styleId="Heading5">
    <w:name w:val="heading 5"/>
    <w:basedOn w:val="Normal"/>
    <w:next w:val="Normal"/>
    <w:link w:val="Heading5Char"/>
    <w:qFormat/>
    <w:rsid w:val="003937A5"/>
    <w:pPr>
      <w:numPr>
        <w:ilvl w:val="4"/>
        <w:numId w:val="1"/>
      </w:numPr>
      <w:spacing w:before="240" w:after="60"/>
      <w:jc w:val="left"/>
      <w:outlineLvl w:val="4"/>
    </w:pPr>
    <w:rPr>
      <w:rFonts w:ascii="Cambria" w:eastAsia="Times New Roman" w:hAnsi="Cambria" w:cs="Times New Roman"/>
      <w:b/>
      <w:bCs/>
      <w:i/>
      <w:iCs/>
      <w:sz w:val="26"/>
      <w:szCs w:val="26"/>
      <w:lang w:val="en-US"/>
    </w:rPr>
  </w:style>
  <w:style w:type="paragraph" w:styleId="Heading6">
    <w:name w:val="heading 6"/>
    <w:basedOn w:val="Normal"/>
    <w:next w:val="Normal"/>
    <w:link w:val="Heading6Char"/>
    <w:qFormat/>
    <w:rsid w:val="003937A5"/>
    <w:pPr>
      <w:numPr>
        <w:ilvl w:val="5"/>
        <w:numId w:val="1"/>
      </w:numPr>
      <w:spacing w:before="240" w:after="60"/>
      <w:jc w:val="left"/>
      <w:outlineLvl w:val="5"/>
    </w:pPr>
    <w:rPr>
      <w:rFonts w:ascii="Cambria" w:eastAsia="Times New Roman" w:hAnsi="Cambria" w:cs="Times New Roman"/>
      <w:b/>
      <w:bCs/>
      <w:szCs w:val="22"/>
      <w:lang w:val="en-US"/>
    </w:rPr>
  </w:style>
  <w:style w:type="paragraph" w:styleId="Heading7">
    <w:name w:val="heading 7"/>
    <w:basedOn w:val="Normal"/>
    <w:next w:val="Normal"/>
    <w:link w:val="Heading7Char"/>
    <w:qFormat/>
    <w:rsid w:val="003937A5"/>
    <w:pPr>
      <w:numPr>
        <w:ilvl w:val="6"/>
        <w:numId w:val="1"/>
      </w:numPr>
      <w:spacing w:before="240" w:after="60"/>
      <w:jc w:val="left"/>
      <w:outlineLvl w:val="6"/>
    </w:pPr>
    <w:rPr>
      <w:rFonts w:ascii="Cambria" w:eastAsia="Times New Roman" w:hAnsi="Cambria" w:cs="Times New Roman"/>
      <w:sz w:val="24"/>
      <w:lang w:val="en-US"/>
    </w:rPr>
  </w:style>
  <w:style w:type="paragraph" w:styleId="Heading8">
    <w:name w:val="heading 8"/>
    <w:basedOn w:val="Normal"/>
    <w:next w:val="Normal"/>
    <w:link w:val="Heading8Char"/>
    <w:qFormat/>
    <w:rsid w:val="003937A5"/>
    <w:pPr>
      <w:numPr>
        <w:ilvl w:val="7"/>
        <w:numId w:val="1"/>
      </w:numPr>
      <w:spacing w:before="240" w:after="60"/>
      <w:jc w:val="left"/>
      <w:outlineLvl w:val="7"/>
    </w:pPr>
    <w:rPr>
      <w:rFonts w:ascii="Cambria" w:eastAsia="Times New Roman" w:hAnsi="Cambria" w:cs="Times New Roman"/>
      <w:i/>
      <w:iCs/>
      <w:sz w:val="24"/>
      <w:lang w:val="en-US"/>
    </w:rPr>
  </w:style>
  <w:style w:type="paragraph" w:styleId="Heading9">
    <w:name w:val="heading 9"/>
    <w:basedOn w:val="Normal"/>
    <w:next w:val="Normal"/>
    <w:link w:val="Heading9Char"/>
    <w:qFormat/>
    <w:rsid w:val="003937A5"/>
    <w:pPr>
      <w:numPr>
        <w:ilvl w:val="8"/>
        <w:numId w:val="1"/>
      </w:numPr>
      <w:spacing w:before="240" w:after="60"/>
      <w:jc w:val="left"/>
      <w:outlineLvl w:val="8"/>
    </w:pPr>
    <w:rPr>
      <w:rFonts w:ascii="Calibri" w:eastAsia="Times New Roman" w:hAnsi="Calibri" w:cs="Times New Roman"/>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0F3103"/>
    <w:rPr>
      <w:rFonts w:asciiTheme="majorHAnsi" w:hAnsiTheme="majorHAnsi"/>
      <w:sz w:val="22"/>
      <w:vertAlign w:val="superscript"/>
    </w:rPr>
  </w:style>
  <w:style w:type="paragraph" w:styleId="FootnoteText">
    <w:name w:val="footnote text"/>
    <w:basedOn w:val="Normal"/>
    <w:link w:val="FootnoteTextChar"/>
    <w:uiPriority w:val="99"/>
    <w:unhideWhenUsed/>
    <w:rsid w:val="000F3103"/>
    <w:pPr>
      <w:spacing w:before="0"/>
    </w:pPr>
    <w:rPr>
      <w:rFonts w:asciiTheme="majorHAnsi" w:hAnsiTheme="majorHAnsi"/>
      <w:i/>
      <w:sz w:val="18"/>
    </w:rPr>
  </w:style>
  <w:style w:type="character" w:customStyle="1" w:styleId="FootnoteTextChar">
    <w:name w:val="Footnote Text Char"/>
    <w:basedOn w:val="DefaultParagraphFont"/>
    <w:link w:val="FootnoteText"/>
    <w:uiPriority w:val="99"/>
    <w:rsid w:val="000F3103"/>
    <w:rPr>
      <w:rFonts w:asciiTheme="majorHAnsi" w:hAnsiTheme="majorHAnsi"/>
      <w:i/>
      <w:sz w:val="18"/>
      <w:lang w:val="en-AU"/>
    </w:rPr>
  </w:style>
  <w:style w:type="paragraph" w:styleId="NoSpacing">
    <w:name w:val="No Spacing"/>
    <w:link w:val="NoSpacingChar"/>
    <w:qFormat/>
    <w:rsid w:val="00F6036E"/>
    <w:rPr>
      <w:rFonts w:ascii="PMingLiU" w:hAnsi="PMingLiU"/>
      <w:sz w:val="22"/>
      <w:szCs w:val="22"/>
    </w:rPr>
  </w:style>
  <w:style w:type="character" w:customStyle="1" w:styleId="NoSpacingChar">
    <w:name w:val="No Spacing Char"/>
    <w:basedOn w:val="DefaultParagraphFont"/>
    <w:link w:val="NoSpacing"/>
    <w:rsid w:val="00F6036E"/>
    <w:rPr>
      <w:rFonts w:ascii="PMingLiU" w:hAnsi="PMingLiU"/>
      <w:sz w:val="22"/>
      <w:szCs w:val="22"/>
    </w:rPr>
  </w:style>
  <w:style w:type="paragraph" w:styleId="Subtitle">
    <w:name w:val="Subtitle"/>
    <w:basedOn w:val="Normal"/>
    <w:next w:val="Normal"/>
    <w:link w:val="SubtitleChar"/>
    <w:uiPriority w:val="1"/>
    <w:rsid w:val="00F6036E"/>
    <w:pPr>
      <w:numPr>
        <w:ilvl w:val="1"/>
      </w:numPr>
      <w:spacing w:before="60" w:after="480"/>
      <w:jc w:val="right"/>
    </w:pPr>
    <w:rPr>
      <w:rFonts w:asciiTheme="minorHAnsi" w:hAnsiTheme="minorHAnsi"/>
      <w:iCs/>
      <w:color w:val="595959" w:themeColor="text1" w:themeTint="A6"/>
      <w:sz w:val="28"/>
      <w:szCs w:val="28"/>
      <w:lang w:val="en-US"/>
    </w:rPr>
  </w:style>
  <w:style w:type="character" w:customStyle="1" w:styleId="SubtitleChar">
    <w:name w:val="Subtitle Char"/>
    <w:basedOn w:val="DefaultParagraphFont"/>
    <w:link w:val="Subtitle"/>
    <w:uiPriority w:val="1"/>
    <w:rsid w:val="00F6036E"/>
    <w:rPr>
      <w:iCs/>
      <w:color w:val="595959" w:themeColor="text1" w:themeTint="A6"/>
      <w:sz w:val="28"/>
      <w:szCs w:val="28"/>
    </w:rPr>
  </w:style>
  <w:style w:type="paragraph" w:styleId="Date">
    <w:name w:val="Date"/>
    <w:basedOn w:val="Normal"/>
    <w:next w:val="Normal"/>
    <w:link w:val="DateChar"/>
    <w:uiPriority w:val="1"/>
    <w:rsid w:val="00F6036E"/>
    <w:pPr>
      <w:spacing w:before="0" w:line="276" w:lineRule="auto"/>
      <w:jc w:val="right"/>
    </w:pPr>
    <w:rPr>
      <w:rFonts w:asciiTheme="minorHAnsi" w:hAnsiTheme="minorHAnsi"/>
      <w:color w:val="4F81BD" w:themeColor="accent1"/>
      <w:sz w:val="24"/>
      <w:lang w:val="en-US"/>
    </w:rPr>
  </w:style>
  <w:style w:type="character" w:customStyle="1" w:styleId="DateChar">
    <w:name w:val="Date Char"/>
    <w:basedOn w:val="DefaultParagraphFont"/>
    <w:link w:val="Date"/>
    <w:uiPriority w:val="1"/>
    <w:rsid w:val="00F6036E"/>
    <w:rPr>
      <w:color w:val="4F81BD" w:themeColor="accent1"/>
    </w:rPr>
  </w:style>
  <w:style w:type="paragraph" w:styleId="BalloonText">
    <w:name w:val="Balloon Text"/>
    <w:basedOn w:val="Normal"/>
    <w:link w:val="BalloonTextChar"/>
    <w:uiPriority w:val="99"/>
    <w:unhideWhenUsed/>
    <w:rsid w:val="00F6036E"/>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036E"/>
    <w:rPr>
      <w:rFonts w:ascii="Lucida Grande" w:hAnsi="Lucida Grande" w:cs="Lucida Grande"/>
      <w:sz w:val="18"/>
      <w:szCs w:val="18"/>
      <w:lang w:val="en-AU"/>
    </w:rPr>
  </w:style>
  <w:style w:type="character" w:customStyle="1" w:styleId="Heading1Char">
    <w:name w:val="Heading 1 Char"/>
    <w:basedOn w:val="DefaultParagraphFont"/>
    <w:link w:val="Heading1"/>
    <w:rsid w:val="003937A5"/>
    <w:rPr>
      <w:rFonts w:ascii="Calibri" w:eastAsia="Times New Roman" w:hAnsi="Calibri" w:cs="Times New Roman"/>
      <w:b/>
      <w:bCs/>
      <w:kern w:val="32"/>
      <w:sz w:val="32"/>
      <w:szCs w:val="32"/>
    </w:rPr>
  </w:style>
  <w:style w:type="character" w:customStyle="1" w:styleId="Heading2Char">
    <w:name w:val="Heading 2 Char"/>
    <w:basedOn w:val="DefaultParagraphFont"/>
    <w:link w:val="Heading2"/>
    <w:rsid w:val="003937A5"/>
    <w:rPr>
      <w:rFonts w:ascii="Calibri" w:eastAsia="Times New Roman" w:hAnsi="Calibri" w:cs="Times New Roman"/>
      <w:b/>
      <w:bCs/>
      <w:i/>
      <w:iCs/>
      <w:sz w:val="28"/>
      <w:szCs w:val="28"/>
    </w:rPr>
  </w:style>
  <w:style w:type="character" w:customStyle="1" w:styleId="Heading3Char">
    <w:name w:val="Heading 3 Char"/>
    <w:basedOn w:val="DefaultParagraphFont"/>
    <w:link w:val="Heading3"/>
    <w:rsid w:val="003937A5"/>
    <w:rPr>
      <w:rFonts w:ascii="Calibri" w:eastAsia="Times New Roman" w:hAnsi="Calibri" w:cs="Times New Roman"/>
      <w:b/>
      <w:bCs/>
      <w:sz w:val="26"/>
      <w:szCs w:val="26"/>
    </w:rPr>
  </w:style>
  <w:style w:type="character" w:customStyle="1" w:styleId="Heading4Char">
    <w:name w:val="Heading 4 Char"/>
    <w:basedOn w:val="DefaultParagraphFont"/>
    <w:link w:val="Heading4"/>
    <w:rsid w:val="003937A5"/>
    <w:rPr>
      <w:rFonts w:ascii="Cambria" w:eastAsia="Times New Roman" w:hAnsi="Cambria" w:cs="Times New Roman"/>
      <w:b/>
      <w:bCs/>
      <w:sz w:val="28"/>
      <w:szCs w:val="28"/>
    </w:rPr>
  </w:style>
  <w:style w:type="character" w:customStyle="1" w:styleId="Heading5Char">
    <w:name w:val="Heading 5 Char"/>
    <w:basedOn w:val="DefaultParagraphFont"/>
    <w:link w:val="Heading5"/>
    <w:rsid w:val="003937A5"/>
    <w:rPr>
      <w:rFonts w:ascii="Cambria" w:eastAsia="Times New Roman" w:hAnsi="Cambria" w:cs="Times New Roman"/>
      <w:b/>
      <w:bCs/>
      <w:i/>
      <w:iCs/>
      <w:sz w:val="26"/>
      <w:szCs w:val="26"/>
    </w:rPr>
  </w:style>
  <w:style w:type="character" w:customStyle="1" w:styleId="Heading6Char">
    <w:name w:val="Heading 6 Char"/>
    <w:basedOn w:val="DefaultParagraphFont"/>
    <w:link w:val="Heading6"/>
    <w:rsid w:val="003937A5"/>
    <w:rPr>
      <w:rFonts w:ascii="Cambria" w:eastAsia="Times New Roman" w:hAnsi="Cambria" w:cs="Times New Roman"/>
      <w:b/>
      <w:bCs/>
      <w:sz w:val="22"/>
      <w:szCs w:val="22"/>
    </w:rPr>
  </w:style>
  <w:style w:type="character" w:customStyle="1" w:styleId="Heading7Char">
    <w:name w:val="Heading 7 Char"/>
    <w:basedOn w:val="DefaultParagraphFont"/>
    <w:link w:val="Heading7"/>
    <w:rsid w:val="003937A5"/>
    <w:rPr>
      <w:rFonts w:ascii="Cambria" w:eastAsia="Times New Roman" w:hAnsi="Cambria" w:cs="Times New Roman"/>
    </w:rPr>
  </w:style>
  <w:style w:type="character" w:customStyle="1" w:styleId="Heading8Char">
    <w:name w:val="Heading 8 Char"/>
    <w:basedOn w:val="DefaultParagraphFont"/>
    <w:link w:val="Heading8"/>
    <w:rsid w:val="003937A5"/>
    <w:rPr>
      <w:rFonts w:ascii="Cambria" w:eastAsia="Times New Roman" w:hAnsi="Cambria" w:cs="Times New Roman"/>
      <w:i/>
      <w:iCs/>
    </w:rPr>
  </w:style>
  <w:style w:type="character" w:customStyle="1" w:styleId="Heading9Char">
    <w:name w:val="Heading 9 Char"/>
    <w:basedOn w:val="DefaultParagraphFont"/>
    <w:link w:val="Heading9"/>
    <w:rsid w:val="003937A5"/>
    <w:rPr>
      <w:rFonts w:ascii="Calibri" w:eastAsia="Times New Roman" w:hAnsi="Calibri" w:cs="Times New Roman"/>
      <w:sz w:val="22"/>
      <w:szCs w:val="22"/>
    </w:rPr>
  </w:style>
  <w:style w:type="paragraph" w:styleId="Header">
    <w:name w:val="header"/>
    <w:basedOn w:val="Normal"/>
    <w:link w:val="HeaderChar"/>
    <w:rsid w:val="003937A5"/>
    <w:pPr>
      <w:tabs>
        <w:tab w:val="center" w:pos="4320"/>
        <w:tab w:val="right" w:pos="8640"/>
      </w:tabs>
      <w:spacing w:before="0"/>
      <w:jc w:val="left"/>
    </w:pPr>
    <w:rPr>
      <w:rFonts w:eastAsia="Times New Roman" w:cs="Times New Roman"/>
      <w:sz w:val="24"/>
      <w:lang w:val="en-US"/>
    </w:rPr>
  </w:style>
  <w:style w:type="character" w:customStyle="1" w:styleId="HeaderChar">
    <w:name w:val="Header Char"/>
    <w:basedOn w:val="DefaultParagraphFont"/>
    <w:link w:val="Header"/>
    <w:rsid w:val="003937A5"/>
    <w:rPr>
      <w:rFonts w:ascii="Times New Roman" w:eastAsia="Times New Roman" w:hAnsi="Times New Roman" w:cs="Times New Roman"/>
    </w:rPr>
  </w:style>
  <w:style w:type="character" w:styleId="PageNumber">
    <w:name w:val="page number"/>
    <w:basedOn w:val="DefaultParagraphFont"/>
    <w:rsid w:val="003937A5"/>
  </w:style>
  <w:style w:type="character" w:styleId="Hyperlink">
    <w:name w:val="Hyperlink"/>
    <w:uiPriority w:val="99"/>
    <w:rsid w:val="003937A5"/>
    <w:rPr>
      <w:color w:val="0000FF"/>
      <w:u w:val="single"/>
    </w:rPr>
  </w:style>
  <w:style w:type="paragraph" w:styleId="Footer">
    <w:name w:val="footer"/>
    <w:basedOn w:val="Normal"/>
    <w:link w:val="FooterChar"/>
    <w:uiPriority w:val="99"/>
    <w:rsid w:val="003937A5"/>
    <w:pPr>
      <w:tabs>
        <w:tab w:val="center" w:pos="4320"/>
        <w:tab w:val="right" w:pos="8640"/>
      </w:tabs>
      <w:spacing w:before="0"/>
      <w:jc w:val="left"/>
    </w:pPr>
    <w:rPr>
      <w:rFonts w:eastAsia="Times New Roman" w:cs="Times New Roman"/>
      <w:sz w:val="24"/>
      <w:lang w:val="en-US"/>
    </w:rPr>
  </w:style>
  <w:style w:type="character" w:customStyle="1" w:styleId="FooterChar">
    <w:name w:val="Footer Char"/>
    <w:basedOn w:val="DefaultParagraphFont"/>
    <w:link w:val="Footer"/>
    <w:uiPriority w:val="99"/>
    <w:rsid w:val="003937A5"/>
    <w:rPr>
      <w:rFonts w:ascii="Times New Roman" w:eastAsia="Times New Roman" w:hAnsi="Times New Roman" w:cs="Times New Roman"/>
    </w:rPr>
  </w:style>
  <w:style w:type="table" w:styleId="TableGrid">
    <w:name w:val="Table Grid"/>
    <w:basedOn w:val="TableNormal"/>
    <w:uiPriority w:val="59"/>
    <w:rsid w:val="003937A5"/>
    <w:rPr>
      <w:rFonts w:ascii="Times New Roman" w:eastAsia="Times New Roman" w:hAnsi="Times New Roman" w:cs="Times New Roman"/>
      <w:sz w:val="20"/>
      <w:szCs w:val="20"/>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DA-1">
    <w:name w:val="CDA - 1"/>
    <w:aliases w:val="2,3"/>
    <w:rsid w:val="003937A5"/>
    <w:pPr>
      <w:widowControl w:val="0"/>
      <w:spacing w:after="283" w:line="328" w:lineRule="atLeast"/>
      <w:ind w:left="567"/>
      <w:jc w:val="both"/>
    </w:pPr>
    <w:rPr>
      <w:rFonts w:ascii="TimesNewRomanPS" w:eastAsia="Times New Roman" w:hAnsi="TimesNewRomanPS" w:cs="Times New Roman"/>
      <w:snapToGrid w:val="0"/>
      <w:color w:val="000000"/>
      <w:szCs w:val="20"/>
    </w:rPr>
  </w:style>
  <w:style w:type="paragraph" w:styleId="TOC1">
    <w:name w:val="toc 1"/>
    <w:basedOn w:val="Normal"/>
    <w:next w:val="Normal"/>
    <w:autoRedefine/>
    <w:uiPriority w:val="39"/>
    <w:rsid w:val="00B83873"/>
    <w:pPr>
      <w:tabs>
        <w:tab w:val="left" w:pos="362"/>
        <w:tab w:val="right" w:leader="dot" w:pos="9622"/>
      </w:tabs>
      <w:jc w:val="left"/>
    </w:pPr>
    <w:rPr>
      <w:rFonts w:ascii="Calibri" w:eastAsia="Times New Roman" w:hAnsi="Calibri" w:cs="Times New Roman"/>
      <w:b/>
      <w:noProof/>
      <w:color w:val="31849B" w:themeColor="accent5" w:themeShade="BF"/>
      <w:sz w:val="24"/>
      <w:lang w:val="en-US"/>
    </w:rPr>
  </w:style>
  <w:style w:type="paragraph" w:styleId="TOC2">
    <w:name w:val="toc 2"/>
    <w:basedOn w:val="Normal"/>
    <w:next w:val="Normal"/>
    <w:autoRedefine/>
    <w:uiPriority w:val="39"/>
    <w:rsid w:val="003937A5"/>
    <w:pPr>
      <w:spacing w:before="0"/>
      <w:jc w:val="left"/>
    </w:pPr>
    <w:rPr>
      <w:rFonts w:ascii="Cambria" w:eastAsia="Times New Roman" w:hAnsi="Cambria" w:cs="Times New Roman"/>
      <w:szCs w:val="22"/>
      <w:lang w:val="en-US"/>
    </w:rPr>
  </w:style>
  <w:style w:type="paragraph" w:styleId="TOC3">
    <w:name w:val="toc 3"/>
    <w:basedOn w:val="Normal"/>
    <w:next w:val="Normal"/>
    <w:autoRedefine/>
    <w:uiPriority w:val="39"/>
    <w:rsid w:val="003937A5"/>
    <w:pPr>
      <w:spacing w:before="0"/>
      <w:ind w:left="240"/>
      <w:jc w:val="left"/>
    </w:pPr>
    <w:rPr>
      <w:rFonts w:ascii="Cambria" w:eastAsia="Times New Roman" w:hAnsi="Cambria" w:cs="Times New Roman"/>
      <w:i/>
      <w:szCs w:val="22"/>
      <w:lang w:val="en-US"/>
    </w:rPr>
  </w:style>
  <w:style w:type="paragraph" w:styleId="TOC4">
    <w:name w:val="toc 4"/>
    <w:basedOn w:val="Normal"/>
    <w:next w:val="Normal"/>
    <w:autoRedefine/>
    <w:uiPriority w:val="39"/>
    <w:rsid w:val="003937A5"/>
    <w:pPr>
      <w:pBdr>
        <w:between w:val="double" w:sz="6" w:space="0" w:color="auto"/>
      </w:pBdr>
      <w:spacing w:before="0"/>
      <w:ind w:left="480"/>
      <w:jc w:val="left"/>
    </w:pPr>
    <w:rPr>
      <w:rFonts w:ascii="Cambria" w:eastAsia="Times New Roman" w:hAnsi="Cambria" w:cs="Times New Roman"/>
      <w:sz w:val="20"/>
      <w:szCs w:val="20"/>
      <w:lang w:val="en-US"/>
    </w:rPr>
  </w:style>
  <w:style w:type="paragraph" w:styleId="TOC5">
    <w:name w:val="toc 5"/>
    <w:basedOn w:val="Normal"/>
    <w:next w:val="Normal"/>
    <w:autoRedefine/>
    <w:uiPriority w:val="39"/>
    <w:rsid w:val="003937A5"/>
    <w:pPr>
      <w:pBdr>
        <w:between w:val="double" w:sz="6" w:space="0" w:color="auto"/>
      </w:pBdr>
      <w:spacing w:before="0"/>
      <w:ind w:left="720"/>
      <w:jc w:val="left"/>
    </w:pPr>
    <w:rPr>
      <w:rFonts w:ascii="Cambria" w:eastAsia="Times New Roman" w:hAnsi="Cambria" w:cs="Times New Roman"/>
      <w:sz w:val="20"/>
      <w:szCs w:val="20"/>
      <w:lang w:val="en-US"/>
    </w:rPr>
  </w:style>
  <w:style w:type="paragraph" w:styleId="TOC6">
    <w:name w:val="toc 6"/>
    <w:basedOn w:val="Normal"/>
    <w:next w:val="Normal"/>
    <w:autoRedefine/>
    <w:uiPriority w:val="39"/>
    <w:rsid w:val="003937A5"/>
    <w:pPr>
      <w:pBdr>
        <w:between w:val="double" w:sz="6" w:space="0" w:color="auto"/>
      </w:pBdr>
      <w:spacing w:before="0"/>
      <w:ind w:left="960"/>
      <w:jc w:val="left"/>
    </w:pPr>
    <w:rPr>
      <w:rFonts w:ascii="Cambria" w:eastAsia="Times New Roman" w:hAnsi="Cambria" w:cs="Times New Roman"/>
      <w:sz w:val="20"/>
      <w:szCs w:val="20"/>
      <w:lang w:val="en-US"/>
    </w:rPr>
  </w:style>
  <w:style w:type="paragraph" w:styleId="TOC7">
    <w:name w:val="toc 7"/>
    <w:basedOn w:val="Normal"/>
    <w:next w:val="Normal"/>
    <w:autoRedefine/>
    <w:uiPriority w:val="39"/>
    <w:rsid w:val="003937A5"/>
    <w:pPr>
      <w:pBdr>
        <w:between w:val="double" w:sz="6" w:space="0" w:color="auto"/>
      </w:pBdr>
      <w:spacing w:before="0"/>
      <w:ind w:left="1200"/>
      <w:jc w:val="left"/>
    </w:pPr>
    <w:rPr>
      <w:rFonts w:ascii="Cambria" w:eastAsia="Times New Roman" w:hAnsi="Cambria" w:cs="Times New Roman"/>
      <w:sz w:val="20"/>
      <w:szCs w:val="20"/>
      <w:lang w:val="en-US"/>
    </w:rPr>
  </w:style>
  <w:style w:type="paragraph" w:styleId="TOC8">
    <w:name w:val="toc 8"/>
    <w:basedOn w:val="Normal"/>
    <w:next w:val="Normal"/>
    <w:autoRedefine/>
    <w:uiPriority w:val="39"/>
    <w:rsid w:val="003937A5"/>
    <w:pPr>
      <w:pBdr>
        <w:between w:val="double" w:sz="6" w:space="0" w:color="auto"/>
      </w:pBdr>
      <w:spacing w:before="0"/>
      <w:ind w:left="1440"/>
      <w:jc w:val="left"/>
    </w:pPr>
    <w:rPr>
      <w:rFonts w:ascii="Cambria" w:eastAsia="Times New Roman" w:hAnsi="Cambria" w:cs="Times New Roman"/>
      <w:sz w:val="20"/>
      <w:szCs w:val="20"/>
      <w:lang w:val="en-US"/>
    </w:rPr>
  </w:style>
  <w:style w:type="paragraph" w:styleId="TOC9">
    <w:name w:val="toc 9"/>
    <w:basedOn w:val="Normal"/>
    <w:next w:val="Normal"/>
    <w:autoRedefine/>
    <w:uiPriority w:val="39"/>
    <w:rsid w:val="003937A5"/>
    <w:pPr>
      <w:pBdr>
        <w:between w:val="double" w:sz="6" w:space="0" w:color="auto"/>
      </w:pBdr>
      <w:spacing w:before="0"/>
      <w:ind w:left="1680"/>
      <w:jc w:val="left"/>
    </w:pPr>
    <w:rPr>
      <w:rFonts w:ascii="Cambria" w:eastAsia="Times New Roman" w:hAnsi="Cambria" w:cs="Times New Roman"/>
      <w:sz w:val="20"/>
      <w:szCs w:val="20"/>
      <w:lang w:val="en-US"/>
    </w:rPr>
  </w:style>
  <w:style w:type="character" w:styleId="FollowedHyperlink">
    <w:name w:val="FollowedHyperlink"/>
    <w:rsid w:val="003937A5"/>
    <w:rPr>
      <w:color w:val="800080"/>
      <w:u w:val="single"/>
    </w:rPr>
  </w:style>
  <w:style w:type="character" w:styleId="CommentReference">
    <w:name w:val="annotation reference"/>
    <w:rsid w:val="003937A5"/>
    <w:rPr>
      <w:sz w:val="16"/>
      <w:szCs w:val="16"/>
    </w:rPr>
  </w:style>
  <w:style w:type="paragraph" w:styleId="CommentText">
    <w:name w:val="annotation text"/>
    <w:basedOn w:val="Normal"/>
    <w:link w:val="CommentTextChar"/>
    <w:uiPriority w:val="99"/>
    <w:rsid w:val="003937A5"/>
    <w:pPr>
      <w:spacing w:before="0"/>
      <w:jc w:val="left"/>
    </w:pPr>
    <w:rPr>
      <w:rFonts w:eastAsia="Times New Roman" w:cs="Times New Roman"/>
      <w:sz w:val="20"/>
      <w:szCs w:val="20"/>
      <w:lang w:val="en-US"/>
    </w:rPr>
  </w:style>
  <w:style w:type="character" w:customStyle="1" w:styleId="CommentTextChar">
    <w:name w:val="Comment Text Char"/>
    <w:basedOn w:val="DefaultParagraphFont"/>
    <w:link w:val="CommentText"/>
    <w:uiPriority w:val="99"/>
    <w:rsid w:val="003937A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3937A5"/>
    <w:rPr>
      <w:b/>
      <w:bCs/>
    </w:rPr>
  </w:style>
  <w:style w:type="character" w:customStyle="1" w:styleId="CommentSubjectChar">
    <w:name w:val="Comment Subject Char"/>
    <w:basedOn w:val="CommentTextChar"/>
    <w:link w:val="CommentSubject"/>
    <w:rsid w:val="003937A5"/>
    <w:rPr>
      <w:rFonts w:ascii="Times New Roman" w:eastAsia="Times New Roman" w:hAnsi="Times New Roman" w:cs="Times New Roman"/>
      <w:b/>
      <w:bCs/>
      <w:sz w:val="20"/>
      <w:szCs w:val="20"/>
    </w:rPr>
  </w:style>
  <w:style w:type="paragraph" w:customStyle="1" w:styleId="MediumList1-Accent61">
    <w:name w:val="Medium List 1 - Accent 61"/>
    <w:basedOn w:val="Normal"/>
    <w:uiPriority w:val="34"/>
    <w:qFormat/>
    <w:rsid w:val="003937A5"/>
    <w:pPr>
      <w:spacing w:before="0"/>
      <w:ind w:left="720"/>
      <w:contextualSpacing/>
      <w:jc w:val="left"/>
    </w:pPr>
    <w:rPr>
      <w:rFonts w:ascii="Cambria" w:eastAsia="Cambria" w:hAnsi="Cambria" w:cs="Times New Roman"/>
      <w:sz w:val="24"/>
      <w:lang w:val="en-US"/>
    </w:rPr>
  </w:style>
  <w:style w:type="paragraph" w:customStyle="1" w:styleId="DarkList-Accent51">
    <w:name w:val="Dark List - Accent 51"/>
    <w:basedOn w:val="Normal"/>
    <w:rsid w:val="003937A5"/>
    <w:pPr>
      <w:spacing w:before="0"/>
      <w:ind w:left="720"/>
      <w:contextualSpacing/>
      <w:jc w:val="left"/>
    </w:pPr>
    <w:rPr>
      <w:rFonts w:ascii="Cambria" w:eastAsia="Cambria" w:hAnsi="Cambria" w:cs="Times New Roman"/>
      <w:sz w:val="24"/>
      <w:lang w:val="en-US"/>
    </w:rPr>
  </w:style>
  <w:style w:type="paragraph" w:styleId="Index1">
    <w:name w:val="index 1"/>
    <w:basedOn w:val="Normal"/>
    <w:next w:val="Normal"/>
    <w:autoRedefine/>
    <w:rsid w:val="003937A5"/>
    <w:pPr>
      <w:spacing w:before="0"/>
      <w:ind w:left="240" w:hanging="240"/>
      <w:jc w:val="left"/>
    </w:pPr>
    <w:rPr>
      <w:rFonts w:eastAsia="Times New Roman" w:cs="Times New Roman"/>
      <w:sz w:val="24"/>
      <w:lang w:val="en-US"/>
    </w:rPr>
  </w:style>
  <w:style w:type="paragraph" w:styleId="Index2">
    <w:name w:val="index 2"/>
    <w:basedOn w:val="Normal"/>
    <w:next w:val="Normal"/>
    <w:autoRedefine/>
    <w:rsid w:val="003937A5"/>
    <w:pPr>
      <w:spacing w:before="0"/>
      <w:ind w:left="480" w:hanging="240"/>
      <w:jc w:val="left"/>
    </w:pPr>
    <w:rPr>
      <w:rFonts w:eastAsia="Times New Roman" w:cs="Times New Roman"/>
      <w:sz w:val="24"/>
      <w:lang w:val="en-US"/>
    </w:rPr>
  </w:style>
  <w:style w:type="paragraph" w:styleId="Index3">
    <w:name w:val="index 3"/>
    <w:basedOn w:val="Normal"/>
    <w:next w:val="Normal"/>
    <w:autoRedefine/>
    <w:rsid w:val="003937A5"/>
    <w:pPr>
      <w:spacing w:before="0"/>
      <w:ind w:left="720" w:hanging="240"/>
      <w:jc w:val="left"/>
    </w:pPr>
    <w:rPr>
      <w:rFonts w:eastAsia="Times New Roman" w:cs="Times New Roman"/>
      <w:sz w:val="24"/>
      <w:lang w:val="en-US"/>
    </w:rPr>
  </w:style>
  <w:style w:type="paragraph" w:styleId="Index4">
    <w:name w:val="index 4"/>
    <w:basedOn w:val="Normal"/>
    <w:next w:val="Normal"/>
    <w:autoRedefine/>
    <w:rsid w:val="003937A5"/>
    <w:pPr>
      <w:spacing w:before="0"/>
      <w:ind w:left="960" w:hanging="240"/>
      <w:jc w:val="left"/>
    </w:pPr>
    <w:rPr>
      <w:rFonts w:eastAsia="Times New Roman" w:cs="Times New Roman"/>
      <w:sz w:val="24"/>
      <w:lang w:val="en-US"/>
    </w:rPr>
  </w:style>
  <w:style w:type="paragraph" w:styleId="Index5">
    <w:name w:val="index 5"/>
    <w:basedOn w:val="Normal"/>
    <w:next w:val="Normal"/>
    <w:autoRedefine/>
    <w:rsid w:val="003937A5"/>
    <w:pPr>
      <w:spacing w:before="0"/>
      <w:ind w:left="1200" w:hanging="240"/>
      <w:jc w:val="left"/>
    </w:pPr>
    <w:rPr>
      <w:rFonts w:eastAsia="Times New Roman" w:cs="Times New Roman"/>
      <w:sz w:val="24"/>
      <w:lang w:val="en-US"/>
    </w:rPr>
  </w:style>
  <w:style w:type="paragraph" w:styleId="Index6">
    <w:name w:val="index 6"/>
    <w:basedOn w:val="Normal"/>
    <w:next w:val="Normal"/>
    <w:autoRedefine/>
    <w:rsid w:val="003937A5"/>
    <w:pPr>
      <w:spacing w:before="0"/>
      <w:ind w:left="1440" w:hanging="240"/>
      <w:jc w:val="left"/>
    </w:pPr>
    <w:rPr>
      <w:rFonts w:eastAsia="Times New Roman" w:cs="Times New Roman"/>
      <w:sz w:val="24"/>
      <w:lang w:val="en-US"/>
    </w:rPr>
  </w:style>
  <w:style w:type="paragraph" w:styleId="Index7">
    <w:name w:val="index 7"/>
    <w:basedOn w:val="Normal"/>
    <w:next w:val="Normal"/>
    <w:autoRedefine/>
    <w:rsid w:val="003937A5"/>
    <w:pPr>
      <w:spacing w:before="0"/>
      <w:ind w:left="1680" w:hanging="240"/>
      <w:jc w:val="left"/>
    </w:pPr>
    <w:rPr>
      <w:rFonts w:eastAsia="Times New Roman" w:cs="Times New Roman"/>
      <w:sz w:val="24"/>
      <w:lang w:val="en-US"/>
    </w:rPr>
  </w:style>
  <w:style w:type="paragraph" w:styleId="Index8">
    <w:name w:val="index 8"/>
    <w:basedOn w:val="Normal"/>
    <w:next w:val="Normal"/>
    <w:autoRedefine/>
    <w:rsid w:val="003937A5"/>
    <w:pPr>
      <w:spacing w:before="0"/>
      <w:ind w:left="1920" w:hanging="240"/>
      <w:jc w:val="left"/>
    </w:pPr>
    <w:rPr>
      <w:rFonts w:eastAsia="Times New Roman" w:cs="Times New Roman"/>
      <w:sz w:val="24"/>
      <w:lang w:val="en-US"/>
    </w:rPr>
  </w:style>
  <w:style w:type="paragraph" w:styleId="Index9">
    <w:name w:val="index 9"/>
    <w:basedOn w:val="Normal"/>
    <w:next w:val="Normal"/>
    <w:autoRedefine/>
    <w:rsid w:val="003937A5"/>
    <w:pPr>
      <w:spacing w:before="0"/>
      <w:ind w:left="2160" w:hanging="240"/>
      <w:jc w:val="left"/>
    </w:pPr>
    <w:rPr>
      <w:rFonts w:eastAsia="Times New Roman" w:cs="Times New Roman"/>
      <w:sz w:val="24"/>
      <w:lang w:val="en-US"/>
    </w:rPr>
  </w:style>
  <w:style w:type="paragraph" w:styleId="IndexHeading">
    <w:name w:val="index heading"/>
    <w:basedOn w:val="Normal"/>
    <w:next w:val="Index1"/>
    <w:rsid w:val="003937A5"/>
    <w:pPr>
      <w:spacing w:before="0"/>
      <w:jc w:val="left"/>
    </w:pPr>
    <w:rPr>
      <w:rFonts w:eastAsia="Times New Roman" w:cs="Times New Roman"/>
      <w:sz w:val="24"/>
      <w:lang w:val="en-US"/>
    </w:rPr>
  </w:style>
  <w:style w:type="paragraph" w:customStyle="1" w:styleId="ColorfulShading-Accent31">
    <w:name w:val="Colorful Shading - Accent 31"/>
    <w:basedOn w:val="Normal"/>
    <w:qFormat/>
    <w:rsid w:val="003937A5"/>
    <w:pPr>
      <w:spacing w:before="0"/>
      <w:ind w:left="720"/>
      <w:contextualSpacing/>
      <w:jc w:val="left"/>
    </w:pPr>
    <w:rPr>
      <w:rFonts w:ascii="Cambria" w:eastAsia="Cambria" w:hAnsi="Cambria" w:cs="Times New Roman"/>
      <w:sz w:val="24"/>
      <w:lang w:val="en-US"/>
    </w:rPr>
  </w:style>
  <w:style w:type="paragraph" w:styleId="NormalWeb">
    <w:name w:val="Normal (Web)"/>
    <w:basedOn w:val="Normal"/>
    <w:uiPriority w:val="99"/>
    <w:rsid w:val="003937A5"/>
    <w:pPr>
      <w:spacing w:before="100" w:beforeAutospacing="1" w:after="100" w:afterAutospacing="1"/>
      <w:jc w:val="left"/>
    </w:pPr>
    <w:rPr>
      <w:rFonts w:eastAsia="Times New Roman" w:cs="Times New Roman"/>
      <w:sz w:val="24"/>
      <w:lang w:val="en-US"/>
    </w:rPr>
  </w:style>
  <w:style w:type="character" w:customStyle="1" w:styleId="BalloonTextChar1">
    <w:name w:val="Balloon Text Char1"/>
    <w:uiPriority w:val="99"/>
    <w:rsid w:val="003937A5"/>
    <w:rPr>
      <w:rFonts w:ascii="Tahoma" w:hAnsi="Tahoma" w:cs="Tahoma"/>
      <w:sz w:val="16"/>
      <w:szCs w:val="16"/>
      <w:lang w:val="en-US"/>
    </w:rPr>
  </w:style>
  <w:style w:type="paragraph" w:styleId="BodyText">
    <w:name w:val="Body Text"/>
    <w:basedOn w:val="Normal"/>
    <w:link w:val="BodyTextChar"/>
    <w:qFormat/>
    <w:rsid w:val="003937A5"/>
    <w:pPr>
      <w:spacing w:before="0" w:after="120"/>
    </w:pPr>
    <w:rPr>
      <w:rFonts w:ascii="Cambria" w:eastAsia="Times New Roman" w:hAnsi="Cambria" w:cs="Times New Roman"/>
      <w:lang w:val="en-US"/>
    </w:rPr>
  </w:style>
  <w:style w:type="character" w:customStyle="1" w:styleId="BodyTextChar">
    <w:name w:val="Body Text Char"/>
    <w:basedOn w:val="DefaultParagraphFont"/>
    <w:link w:val="BodyText"/>
    <w:rsid w:val="003937A5"/>
    <w:rPr>
      <w:rFonts w:ascii="Cambria" w:eastAsia="Times New Roman" w:hAnsi="Cambria" w:cs="Times New Roman"/>
      <w:sz w:val="22"/>
    </w:rPr>
  </w:style>
  <w:style w:type="paragraph" w:styleId="EndnoteText">
    <w:name w:val="endnote text"/>
    <w:basedOn w:val="Normal"/>
    <w:link w:val="EndnoteTextChar"/>
    <w:rsid w:val="003937A5"/>
    <w:pPr>
      <w:spacing w:before="0"/>
      <w:jc w:val="left"/>
    </w:pPr>
    <w:rPr>
      <w:rFonts w:eastAsia="Times New Roman" w:cs="Times New Roman"/>
      <w:sz w:val="20"/>
      <w:szCs w:val="20"/>
      <w:lang w:val="en-US"/>
    </w:rPr>
  </w:style>
  <w:style w:type="character" w:customStyle="1" w:styleId="EndnoteTextChar">
    <w:name w:val="Endnote Text Char"/>
    <w:basedOn w:val="DefaultParagraphFont"/>
    <w:link w:val="EndnoteText"/>
    <w:rsid w:val="003937A5"/>
    <w:rPr>
      <w:rFonts w:ascii="Times New Roman" w:eastAsia="Times New Roman" w:hAnsi="Times New Roman" w:cs="Times New Roman"/>
      <w:sz w:val="20"/>
      <w:szCs w:val="20"/>
    </w:rPr>
  </w:style>
  <w:style w:type="character" w:styleId="EndnoteReference">
    <w:name w:val="endnote reference"/>
    <w:rsid w:val="003937A5"/>
    <w:rPr>
      <w:vertAlign w:val="superscript"/>
    </w:rPr>
  </w:style>
  <w:style w:type="character" w:customStyle="1" w:styleId="text">
    <w:name w:val="text"/>
    <w:rsid w:val="003937A5"/>
  </w:style>
  <w:style w:type="character" w:customStyle="1" w:styleId="comment-body">
    <w:name w:val="comment-body"/>
    <w:rsid w:val="003937A5"/>
  </w:style>
  <w:style w:type="paragraph" w:customStyle="1" w:styleId="summary">
    <w:name w:val="summary"/>
    <w:basedOn w:val="Normal"/>
    <w:rsid w:val="003937A5"/>
    <w:pPr>
      <w:spacing w:before="100" w:beforeAutospacing="1" w:after="100" w:afterAutospacing="1"/>
      <w:jc w:val="left"/>
    </w:pPr>
    <w:rPr>
      <w:rFonts w:eastAsia="Times New Roman" w:cs="Times New Roman"/>
      <w:sz w:val="24"/>
      <w:lang w:eastAsia="en-AU"/>
    </w:rPr>
  </w:style>
  <w:style w:type="paragraph" w:styleId="ListParagraph">
    <w:name w:val="List Paragraph"/>
    <w:basedOn w:val="Normal"/>
    <w:uiPriority w:val="99"/>
    <w:qFormat/>
    <w:rsid w:val="003937A5"/>
    <w:pPr>
      <w:spacing w:before="0" w:after="200" w:line="276" w:lineRule="auto"/>
      <w:ind w:left="720"/>
      <w:contextualSpacing/>
      <w:jc w:val="left"/>
    </w:pPr>
    <w:rPr>
      <w:rFonts w:ascii="Calibri" w:eastAsia="Calibri" w:hAnsi="Calibri" w:cs="Times New Roman"/>
      <w:szCs w:val="22"/>
    </w:rPr>
  </w:style>
  <w:style w:type="paragraph" w:styleId="Caption">
    <w:name w:val="caption"/>
    <w:basedOn w:val="Normal"/>
    <w:next w:val="Normal"/>
    <w:unhideWhenUsed/>
    <w:qFormat/>
    <w:rsid w:val="003937A5"/>
    <w:pPr>
      <w:spacing w:before="0"/>
      <w:jc w:val="left"/>
    </w:pPr>
    <w:rPr>
      <w:rFonts w:eastAsia="Times New Roman" w:cs="Times New Roman"/>
      <w:b/>
      <w:bCs/>
      <w:sz w:val="20"/>
      <w:szCs w:val="20"/>
      <w:lang w:val="en-US"/>
    </w:rPr>
  </w:style>
  <w:style w:type="paragraph" w:styleId="TableofFigures">
    <w:name w:val="table of figures"/>
    <w:basedOn w:val="Normal"/>
    <w:next w:val="Normal"/>
    <w:uiPriority w:val="99"/>
    <w:rsid w:val="003937A5"/>
    <w:pPr>
      <w:spacing w:before="0"/>
      <w:ind w:left="480" w:hanging="480"/>
      <w:jc w:val="left"/>
    </w:pPr>
    <w:rPr>
      <w:rFonts w:asciiTheme="majorHAnsi" w:eastAsia="Times New Roman" w:hAnsiTheme="majorHAnsi" w:cs="Times New Roman"/>
      <w:sz w:val="20"/>
      <w:lang w:val="en-US"/>
    </w:rPr>
  </w:style>
  <w:style w:type="paragraph" w:customStyle="1" w:styleId="bullet0">
    <w:name w:val="bullet"/>
    <w:basedOn w:val="Normal"/>
    <w:rsid w:val="00764E1C"/>
    <w:pPr>
      <w:numPr>
        <w:numId w:val="2"/>
      </w:numPr>
      <w:spacing w:before="0"/>
      <w:jc w:val="left"/>
    </w:pPr>
    <w:rPr>
      <w:rFonts w:eastAsia="Times New Roman" w:cs="Times New Roman"/>
      <w:sz w:val="24"/>
      <w:lang w:val="en-US"/>
    </w:rPr>
  </w:style>
  <w:style w:type="paragraph" w:customStyle="1" w:styleId="LSL2">
    <w:name w:val="LSL 2"/>
    <w:basedOn w:val="Normal"/>
    <w:rsid w:val="00C207E8"/>
    <w:pPr>
      <w:keepNext/>
      <w:keepLines/>
      <w:numPr>
        <w:ilvl w:val="1"/>
        <w:numId w:val="3"/>
      </w:numPr>
      <w:spacing w:before="0" w:after="220" w:line="264" w:lineRule="auto"/>
      <w:jc w:val="left"/>
    </w:pPr>
    <w:rPr>
      <w:rFonts w:ascii="Arial" w:eastAsia="Times New Roman" w:hAnsi="Arial" w:cs="Times New Roman"/>
      <w:b/>
      <w:szCs w:val="20"/>
    </w:rPr>
  </w:style>
  <w:style w:type="paragraph" w:customStyle="1" w:styleId="LSL1">
    <w:name w:val="LSL 1"/>
    <w:basedOn w:val="Normal"/>
    <w:rsid w:val="00C207E8"/>
    <w:pPr>
      <w:keepNext/>
      <w:keepLines/>
      <w:numPr>
        <w:numId w:val="3"/>
      </w:numPr>
      <w:spacing w:before="0" w:after="220" w:line="264" w:lineRule="auto"/>
      <w:jc w:val="left"/>
    </w:pPr>
    <w:rPr>
      <w:rFonts w:ascii="Arial" w:eastAsia="Times New Roman" w:hAnsi="Arial" w:cs="Times New Roman"/>
      <w:b/>
      <w:sz w:val="26"/>
      <w:szCs w:val="20"/>
    </w:rPr>
  </w:style>
  <w:style w:type="paragraph" w:customStyle="1" w:styleId="LSL3">
    <w:name w:val="LSL 3"/>
    <w:basedOn w:val="Normal"/>
    <w:rsid w:val="00C207E8"/>
    <w:pPr>
      <w:numPr>
        <w:ilvl w:val="2"/>
        <w:numId w:val="3"/>
      </w:numPr>
      <w:spacing w:before="0" w:after="220" w:line="264" w:lineRule="auto"/>
      <w:jc w:val="left"/>
    </w:pPr>
    <w:rPr>
      <w:rFonts w:eastAsia="Times New Roman" w:cs="Times New Roman"/>
      <w:szCs w:val="20"/>
    </w:rPr>
  </w:style>
  <w:style w:type="paragraph" w:customStyle="1" w:styleId="LSL4">
    <w:name w:val="LSL 4"/>
    <w:basedOn w:val="Normal"/>
    <w:rsid w:val="00C207E8"/>
    <w:pPr>
      <w:numPr>
        <w:ilvl w:val="3"/>
        <w:numId w:val="3"/>
      </w:numPr>
      <w:spacing w:before="0" w:after="220" w:line="264" w:lineRule="auto"/>
      <w:jc w:val="left"/>
    </w:pPr>
    <w:rPr>
      <w:rFonts w:eastAsia="Times New Roman" w:cs="Times New Roman"/>
      <w:szCs w:val="20"/>
    </w:rPr>
  </w:style>
  <w:style w:type="paragraph" w:customStyle="1" w:styleId="LSL6">
    <w:name w:val="LSL 6"/>
    <w:basedOn w:val="Normal"/>
    <w:rsid w:val="00C207E8"/>
    <w:pPr>
      <w:numPr>
        <w:ilvl w:val="5"/>
        <w:numId w:val="3"/>
      </w:numPr>
      <w:spacing w:before="0" w:after="220" w:line="264" w:lineRule="auto"/>
      <w:jc w:val="left"/>
    </w:pPr>
    <w:rPr>
      <w:rFonts w:eastAsia="Times New Roman" w:cs="Times New Roman"/>
      <w:szCs w:val="20"/>
    </w:rPr>
  </w:style>
  <w:style w:type="paragraph" w:customStyle="1" w:styleId="LSL5">
    <w:name w:val="LSL 5"/>
    <w:basedOn w:val="Normal"/>
    <w:rsid w:val="00C207E8"/>
    <w:pPr>
      <w:numPr>
        <w:ilvl w:val="4"/>
        <w:numId w:val="3"/>
      </w:numPr>
      <w:spacing w:before="0" w:after="220" w:line="264" w:lineRule="auto"/>
      <w:jc w:val="left"/>
    </w:pPr>
    <w:rPr>
      <w:rFonts w:eastAsia="Times New Roman" w:cs="Times New Roman"/>
      <w:szCs w:val="20"/>
    </w:rPr>
  </w:style>
  <w:style w:type="paragraph" w:customStyle="1" w:styleId="ContactInformation">
    <w:name w:val="Contact Information"/>
    <w:basedOn w:val="Normal"/>
    <w:rsid w:val="003267DB"/>
    <w:pPr>
      <w:spacing w:before="40" w:line="220" w:lineRule="atLeast"/>
      <w:jc w:val="right"/>
    </w:pPr>
    <w:rPr>
      <w:rFonts w:ascii="Trebuchet MS" w:eastAsia="MS Gothic" w:hAnsi="Trebuchet MS" w:cs="Times New Roman"/>
      <w:color w:val="38ABED"/>
      <w:sz w:val="16"/>
      <w:szCs w:val="22"/>
      <w:lang w:val="en-US"/>
    </w:rPr>
  </w:style>
  <w:style w:type="paragraph" w:customStyle="1" w:styleId="Bullet">
    <w:name w:val="Bullet"/>
    <w:basedOn w:val="Normal"/>
    <w:link w:val="BulletChar"/>
    <w:rsid w:val="003267DB"/>
    <w:pPr>
      <w:numPr>
        <w:numId w:val="4"/>
      </w:numPr>
      <w:spacing w:before="60" w:after="60" w:line="320" w:lineRule="atLeast"/>
    </w:pPr>
    <w:rPr>
      <w:rFonts w:ascii="Book Antiqua" w:eastAsia="Times New Roman" w:hAnsi="Book Antiqua" w:cs="Times New Roman"/>
      <w:szCs w:val="20"/>
      <w:lang w:eastAsia="zh-CN"/>
    </w:rPr>
  </w:style>
  <w:style w:type="character" w:customStyle="1" w:styleId="BulletChar">
    <w:name w:val="Bullet Char"/>
    <w:basedOn w:val="DefaultParagraphFont"/>
    <w:link w:val="Bullet"/>
    <w:rsid w:val="003267DB"/>
    <w:rPr>
      <w:rFonts w:ascii="Book Antiqua" w:eastAsia="Times New Roman" w:hAnsi="Book Antiqua" w:cs="Times New Roman"/>
      <w:sz w:val="22"/>
      <w:szCs w:val="20"/>
      <w:lang w:val="en-AU" w:eastAsia="zh-CN"/>
    </w:rPr>
  </w:style>
  <w:style w:type="paragraph" w:customStyle="1" w:styleId="Level1">
    <w:name w:val="Level 1."/>
    <w:basedOn w:val="Normal"/>
    <w:next w:val="Normal"/>
    <w:rsid w:val="0016405B"/>
    <w:pPr>
      <w:numPr>
        <w:numId w:val="6"/>
      </w:numPr>
      <w:spacing w:before="240"/>
      <w:jc w:val="left"/>
    </w:pPr>
    <w:rPr>
      <w:rFonts w:ascii="Palatino" w:eastAsia="Times New Roman" w:hAnsi="Palatino" w:cs="Times New Roman"/>
      <w:sz w:val="24"/>
      <w:szCs w:val="20"/>
    </w:rPr>
  </w:style>
  <w:style w:type="paragraph" w:customStyle="1" w:styleId="Level11">
    <w:name w:val="Level 1.1"/>
    <w:basedOn w:val="Normal"/>
    <w:next w:val="Normal"/>
    <w:rsid w:val="0016405B"/>
    <w:pPr>
      <w:numPr>
        <w:ilvl w:val="1"/>
        <w:numId w:val="6"/>
      </w:numPr>
      <w:spacing w:before="240"/>
      <w:jc w:val="left"/>
    </w:pPr>
    <w:rPr>
      <w:rFonts w:ascii="Arial" w:eastAsia="Times New Roman" w:hAnsi="Arial" w:cs="Times New Roman"/>
      <w:sz w:val="24"/>
      <w:szCs w:val="20"/>
    </w:rPr>
  </w:style>
  <w:style w:type="paragraph" w:customStyle="1" w:styleId="Levela">
    <w:name w:val="Level (a)"/>
    <w:basedOn w:val="Normal"/>
    <w:next w:val="Normal"/>
    <w:rsid w:val="0016405B"/>
    <w:pPr>
      <w:numPr>
        <w:ilvl w:val="2"/>
        <w:numId w:val="6"/>
      </w:numPr>
      <w:spacing w:before="240"/>
      <w:jc w:val="left"/>
    </w:pPr>
    <w:rPr>
      <w:rFonts w:ascii="Palatino" w:eastAsia="Times New Roman" w:hAnsi="Palatino" w:cs="Times New Roman"/>
      <w:sz w:val="24"/>
      <w:szCs w:val="20"/>
    </w:rPr>
  </w:style>
  <w:style w:type="paragraph" w:customStyle="1" w:styleId="Leveli">
    <w:name w:val="Level (i)"/>
    <w:basedOn w:val="Normal"/>
    <w:next w:val="Normal"/>
    <w:rsid w:val="0016405B"/>
    <w:pPr>
      <w:numPr>
        <w:ilvl w:val="3"/>
        <w:numId w:val="6"/>
      </w:numPr>
      <w:spacing w:before="240"/>
      <w:jc w:val="left"/>
    </w:pPr>
    <w:rPr>
      <w:rFonts w:ascii="Palatino" w:eastAsia="Times New Roman" w:hAnsi="Palatino" w:cs="Times New Roman"/>
      <w:sz w:val="24"/>
      <w:szCs w:val="20"/>
    </w:rPr>
  </w:style>
  <w:style w:type="paragraph" w:customStyle="1" w:styleId="LevelA0">
    <w:name w:val="Level(A)"/>
    <w:basedOn w:val="Normal"/>
    <w:next w:val="Normal"/>
    <w:rsid w:val="0016405B"/>
    <w:pPr>
      <w:numPr>
        <w:ilvl w:val="4"/>
        <w:numId w:val="6"/>
      </w:numPr>
      <w:spacing w:before="240"/>
      <w:jc w:val="left"/>
    </w:pPr>
    <w:rPr>
      <w:rFonts w:ascii="Palatino" w:eastAsia="Times New Roman" w:hAnsi="Palatino" w:cs="Times New Roman"/>
      <w:sz w:val="24"/>
      <w:szCs w:val="20"/>
    </w:rPr>
  </w:style>
  <w:style w:type="paragraph" w:customStyle="1" w:styleId="LevelI0">
    <w:name w:val="Level(I)"/>
    <w:basedOn w:val="Normal"/>
    <w:next w:val="Normal"/>
    <w:rsid w:val="0016405B"/>
    <w:pPr>
      <w:numPr>
        <w:ilvl w:val="5"/>
        <w:numId w:val="6"/>
      </w:numPr>
      <w:spacing w:before="240"/>
      <w:jc w:val="left"/>
    </w:pPr>
    <w:rPr>
      <w:rFonts w:ascii="Palatino" w:eastAsia="Times New Roman" w:hAnsi="Palatino" w:cs="Times New Roman"/>
      <w:sz w:val="24"/>
      <w:szCs w:val="20"/>
    </w:rPr>
  </w:style>
  <w:style w:type="paragraph" w:customStyle="1" w:styleId="PlainParagraph">
    <w:name w:val="Plain Paragraph"/>
    <w:basedOn w:val="Normal"/>
    <w:link w:val="PlainParagraphChar"/>
    <w:rsid w:val="0016405B"/>
    <w:pPr>
      <w:spacing w:before="140" w:after="140" w:line="280" w:lineRule="atLeast"/>
      <w:jc w:val="left"/>
    </w:pPr>
    <w:rPr>
      <w:rFonts w:ascii="Arial" w:eastAsia="Times New Roman" w:hAnsi="Arial" w:cs="Arial"/>
      <w:szCs w:val="22"/>
      <w:lang w:eastAsia="en-AU"/>
    </w:rPr>
  </w:style>
  <w:style w:type="paragraph" w:customStyle="1" w:styleId="tabletext">
    <w:name w:val="table text"/>
    <w:basedOn w:val="Normal"/>
    <w:rsid w:val="0016405B"/>
    <w:pPr>
      <w:tabs>
        <w:tab w:val="left" w:pos="720"/>
      </w:tabs>
      <w:spacing w:before="40" w:after="40" w:line="280" w:lineRule="atLeast"/>
      <w:ind w:left="1134"/>
      <w:jc w:val="left"/>
    </w:pPr>
    <w:rPr>
      <w:rFonts w:ascii="Arial Narrow" w:eastAsia="Times New Roman" w:hAnsi="Arial Narrow" w:cs="Arial Narrow"/>
      <w:szCs w:val="22"/>
    </w:rPr>
  </w:style>
  <w:style w:type="character" w:customStyle="1" w:styleId="PlainParagraphChar">
    <w:name w:val="Plain Paragraph Char"/>
    <w:link w:val="PlainParagraph"/>
    <w:locked/>
    <w:rsid w:val="0016405B"/>
    <w:rPr>
      <w:rFonts w:ascii="Arial" w:eastAsia="Times New Roman" w:hAnsi="Arial" w:cs="Arial"/>
      <w:sz w:val="22"/>
      <w:szCs w:val="22"/>
      <w:lang w:val="en-AU" w:eastAsia="en-AU"/>
    </w:rPr>
  </w:style>
  <w:style w:type="character" w:customStyle="1" w:styleId="st">
    <w:name w:val="st"/>
    <w:basedOn w:val="DefaultParagraphFont"/>
    <w:rsid w:val="00123B8B"/>
  </w:style>
  <w:style w:type="numbering" w:customStyle="1" w:styleId="BulletList">
    <w:name w:val="Bullet List"/>
    <w:uiPriority w:val="99"/>
    <w:rsid w:val="00E3757C"/>
    <w:pPr>
      <w:numPr>
        <w:numId w:val="7"/>
      </w:numPr>
    </w:pPr>
  </w:style>
  <w:style w:type="paragraph" w:styleId="ListBullet">
    <w:name w:val="List Bullet"/>
    <w:basedOn w:val="Normal"/>
    <w:uiPriority w:val="99"/>
    <w:unhideWhenUsed/>
    <w:qFormat/>
    <w:rsid w:val="00E3757C"/>
    <w:pPr>
      <w:numPr>
        <w:numId w:val="8"/>
      </w:numPr>
      <w:spacing w:before="0" w:after="200" w:line="276" w:lineRule="auto"/>
      <w:jc w:val="left"/>
    </w:pPr>
    <w:rPr>
      <w:rFonts w:ascii="Arial" w:eastAsia="Calibri" w:hAnsi="Arial" w:cs="Times New Roman"/>
      <w:szCs w:val="22"/>
    </w:rPr>
  </w:style>
  <w:style w:type="paragraph" w:styleId="ListBullet2">
    <w:name w:val="List Bullet 2"/>
    <w:basedOn w:val="Normal"/>
    <w:uiPriority w:val="99"/>
    <w:unhideWhenUsed/>
    <w:rsid w:val="00E3757C"/>
    <w:pPr>
      <w:numPr>
        <w:ilvl w:val="1"/>
        <w:numId w:val="8"/>
      </w:numPr>
      <w:spacing w:before="0" w:after="200" w:line="276" w:lineRule="auto"/>
      <w:jc w:val="left"/>
    </w:pPr>
    <w:rPr>
      <w:rFonts w:ascii="Arial" w:eastAsia="Calibri" w:hAnsi="Arial" w:cs="Times New Roman"/>
      <w:szCs w:val="22"/>
    </w:rPr>
  </w:style>
  <w:style w:type="paragraph" w:styleId="ListBullet3">
    <w:name w:val="List Bullet 3"/>
    <w:basedOn w:val="Normal"/>
    <w:uiPriority w:val="99"/>
    <w:unhideWhenUsed/>
    <w:rsid w:val="00E3757C"/>
    <w:pPr>
      <w:numPr>
        <w:ilvl w:val="2"/>
        <w:numId w:val="8"/>
      </w:numPr>
      <w:spacing w:before="0" w:after="200" w:line="276" w:lineRule="auto"/>
      <w:jc w:val="left"/>
    </w:pPr>
    <w:rPr>
      <w:rFonts w:ascii="Arial" w:eastAsia="Calibri" w:hAnsi="Arial" w:cs="Times New Roman"/>
      <w:szCs w:val="22"/>
    </w:rPr>
  </w:style>
  <w:style w:type="paragraph" w:styleId="ListBullet4">
    <w:name w:val="List Bullet 4"/>
    <w:basedOn w:val="Normal"/>
    <w:uiPriority w:val="99"/>
    <w:unhideWhenUsed/>
    <w:rsid w:val="00E3757C"/>
    <w:pPr>
      <w:numPr>
        <w:ilvl w:val="3"/>
        <w:numId w:val="8"/>
      </w:numPr>
      <w:spacing w:before="0" w:after="200" w:line="276" w:lineRule="auto"/>
      <w:jc w:val="left"/>
    </w:pPr>
    <w:rPr>
      <w:rFonts w:ascii="Arial" w:eastAsia="Calibri" w:hAnsi="Arial" w:cs="Times New Roman"/>
      <w:szCs w:val="22"/>
    </w:rPr>
  </w:style>
  <w:style w:type="paragraph" w:styleId="ListBullet5">
    <w:name w:val="List Bullet 5"/>
    <w:basedOn w:val="Normal"/>
    <w:uiPriority w:val="99"/>
    <w:unhideWhenUsed/>
    <w:rsid w:val="00E3757C"/>
    <w:pPr>
      <w:numPr>
        <w:ilvl w:val="4"/>
        <w:numId w:val="8"/>
      </w:numPr>
      <w:spacing w:before="0" w:after="200" w:line="276" w:lineRule="auto"/>
      <w:jc w:val="left"/>
    </w:pPr>
    <w:rPr>
      <w:rFonts w:ascii="Arial" w:eastAsia="Calibri" w:hAnsi="Arial" w:cs="Times New Roman"/>
      <w:szCs w:val="22"/>
    </w:rPr>
  </w:style>
  <w:style w:type="paragraph" w:styleId="Revision">
    <w:name w:val="Revision"/>
    <w:hidden/>
    <w:uiPriority w:val="99"/>
    <w:semiHidden/>
    <w:rsid w:val="006D2C2E"/>
    <w:rPr>
      <w:rFonts w:ascii="Times New Roman" w:hAnsi="Times New Roman"/>
      <w:sz w:val="22"/>
      <w:lang w:val="en-AU"/>
    </w:rPr>
  </w:style>
  <w:style w:type="character" w:styleId="Emphasis">
    <w:name w:val="Emphasis"/>
    <w:basedOn w:val="DefaultParagraphFont"/>
    <w:uiPriority w:val="20"/>
    <w:qFormat/>
    <w:rsid w:val="00602C64"/>
    <w:rPr>
      <w:i/>
      <w:iCs/>
      <w:sz w:val="24"/>
      <w:szCs w:val="24"/>
      <w:bdr w:val="none" w:sz="0" w:space="0" w:color="auto" w:frame="1"/>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015521">
      <w:bodyDiv w:val="1"/>
      <w:marLeft w:val="0"/>
      <w:marRight w:val="0"/>
      <w:marTop w:val="0"/>
      <w:marBottom w:val="0"/>
      <w:divBdr>
        <w:top w:val="none" w:sz="0" w:space="0" w:color="auto"/>
        <w:left w:val="none" w:sz="0" w:space="0" w:color="auto"/>
        <w:bottom w:val="none" w:sz="0" w:space="0" w:color="auto"/>
        <w:right w:val="none" w:sz="0" w:space="0" w:color="auto"/>
      </w:divBdr>
    </w:div>
    <w:div w:id="256867591">
      <w:bodyDiv w:val="1"/>
      <w:marLeft w:val="0"/>
      <w:marRight w:val="0"/>
      <w:marTop w:val="0"/>
      <w:marBottom w:val="0"/>
      <w:divBdr>
        <w:top w:val="none" w:sz="0" w:space="0" w:color="auto"/>
        <w:left w:val="none" w:sz="0" w:space="0" w:color="auto"/>
        <w:bottom w:val="none" w:sz="0" w:space="0" w:color="auto"/>
        <w:right w:val="none" w:sz="0" w:space="0" w:color="auto"/>
      </w:divBdr>
    </w:div>
    <w:div w:id="315187255">
      <w:bodyDiv w:val="1"/>
      <w:marLeft w:val="0"/>
      <w:marRight w:val="0"/>
      <w:marTop w:val="0"/>
      <w:marBottom w:val="0"/>
      <w:divBdr>
        <w:top w:val="none" w:sz="0" w:space="0" w:color="auto"/>
        <w:left w:val="none" w:sz="0" w:space="0" w:color="auto"/>
        <w:bottom w:val="none" w:sz="0" w:space="0" w:color="auto"/>
        <w:right w:val="none" w:sz="0" w:space="0" w:color="auto"/>
      </w:divBdr>
    </w:div>
    <w:div w:id="723993134">
      <w:bodyDiv w:val="1"/>
      <w:marLeft w:val="0"/>
      <w:marRight w:val="0"/>
      <w:marTop w:val="0"/>
      <w:marBottom w:val="0"/>
      <w:divBdr>
        <w:top w:val="none" w:sz="0" w:space="0" w:color="auto"/>
        <w:left w:val="none" w:sz="0" w:space="0" w:color="auto"/>
        <w:bottom w:val="none" w:sz="0" w:space="0" w:color="auto"/>
        <w:right w:val="none" w:sz="0" w:space="0" w:color="auto"/>
      </w:divBdr>
    </w:div>
    <w:div w:id="767231936">
      <w:bodyDiv w:val="1"/>
      <w:marLeft w:val="0"/>
      <w:marRight w:val="0"/>
      <w:marTop w:val="0"/>
      <w:marBottom w:val="0"/>
      <w:divBdr>
        <w:top w:val="none" w:sz="0" w:space="0" w:color="auto"/>
        <w:left w:val="none" w:sz="0" w:space="0" w:color="auto"/>
        <w:bottom w:val="none" w:sz="0" w:space="0" w:color="auto"/>
        <w:right w:val="none" w:sz="0" w:space="0" w:color="auto"/>
      </w:divBdr>
    </w:div>
    <w:div w:id="1175732938">
      <w:bodyDiv w:val="1"/>
      <w:marLeft w:val="0"/>
      <w:marRight w:val="0"/>
      <w:marTop w:val="0"/>
      <w:marBottom w:val="0"/>
      <w:divBdr>
        <w:top w:val="none" w:sz="0" w:space="0" w:color="auto"/>
        <w:left w:val="none" w:sz="0" w:space="0" w:color="auto"/>
        <w:bottom w:val="none" w:sz="0" w:space="0" w:color="auto"/>
        <w:right w:val="none" w:sz="0" w:space="0" w:color="auto"/>
      </w:divBdr>
    </w:div>
    <w:div w:id="1248268163">
      <w:bodyDiv w:val="1"/>
      <w:marLeft w:val="0"/>
      <w:marRight w:val="0"/>
      <w:marTop w:val="0"/>
      <w:marBottom w:val="0"/>
      <w:divBdr>
        <w:top w:val="none" w:sz="0" w:space="0" w:color="auto"/>
        <w:left w:val="none" w:sz="0" w:space="0" w:color="auto"/>
        <w:bottom w:val="none" w:sz="0" w:space="0" w:color="auto"/>
        <w:right w:val="none" w:sz="0" w:space="0" w:color="auto"/>
      </w:divBdr>
      <w:divsChild>
        <w:div w:id="1574006517">
          <w:marLeft w:val="547"/>
          <w:marRight w:val="0"/>
          <w:marTop w:val="115"/>
          <w:marBottom w:val="115"/>
          <w:divBdr>
            <w:top w:val="none" w:sz="0" w:space="0" w:color="auto"/>
            <w:left w:val="none" w:sz="0" w:space="0" w:color="auto"/>
            <w:bottom w:val="none" w:sz="0" w:space="0" w:color="auto"/>
            <w:right w:val="none" w:sz="0" w:space="0" w:color="auto"/>
          </w:divBdr>
        </w:div>
      </w:divsChild>
    </w:div>
    <w:div w:id="1275360318">
      <w:bodyDiv w:val="1"/>
      <w:marLeft w:val="0"/>
      <w:marRight w:val="0"/>
      <w:marTop w:val="0"/>
      <w:marBottom w:val="0"/>
      <w:divBdr>
        <w:top w:val="none" w:sz="0" w:space="0" w:color="auto"/>
        <w:left w:val="none" w:sz="0" w:space="0" w:color="auto"/>
        <w:bottom w:val="none" w:sz="0" w:space="0" w:color="auto"/>
        <w:right w:val="none" w:sz="0" w:space="0" w:color="auto"/>
      </w:divBdr>
    </w:div>
    <w:div w:id="1293899407">
      <w:bodyDiv w:val="1"/>
      <w:marLeft w:val="0"/>
      <w:marRight w:val="0"/>
      <w:marTop w:val="0"/>
      <w:marBottom w:val="0"/>
      <w:divBdr>
        <w:top w:val="none" w:sz="0" w:space="0" w:color="auto"/>
        <w:left w:val="none" w:sz="0" w:space="0" w:color="auto"/>
        <w:bottom w:val="none" w:sz="0" w:space="0" w:color="auto"/>
        <w:right w:val="none" w:sz="0" w:space="0" w:color="auto"/>
      </w:divBdr>
    </w:div>
    <w:div w:id="1326058242">
      <w:bodyDiv w:val="1"/>
      <w:marLeft w:val="0"/>
      <w:marRight w:val="0"/>
      <w:marTop w:val="0"/>
      <w:marBottom w:val="0"/>
      <w:divBdr>
        <w:top w:val="none" w:sz="0" w:space="0" w:color="auto"/>
        <w:left w:val="none" w:sz="0" w:space="0" w:color="auto"/>
        <w:bottom w:val="none" w:sz="0" w:space="0" w:color="auto"/>
        <w:right w:val="none" w:sz="0" w:space="0" w:color="auto"/>
      </w:divBdr>
    </w:div>
    <w:div w:id="1327979999">
      <w:bodyDiv w:val="1"/>
      <w:marLeft w:val="0"/>
      <w:marRight w:val="0"/>
      <w:marTop w:val="0"/>
      <w:marBottom w:val="0"/>
      <w:divBdr>
        <w:top w:val="none" w:sz="0" w:space="0" w:color="auto"/>
        <w:left w:val="none" w:sz="0" w:space="0" w:color="auto"/>
        <w:bottom w:val="none" w:sz="0" w:space="0" w:color="auto"/>
        <w:right w:val="none" w:sz="0" w:space="0" w:color="auto"/>
      </w:divBdr>
    </w:div>
    <w:div w:id="1422489629">
      <w:bodyDiv w:val="1"/>
      <w:marLeft w:val="0"/>
      <w:marRight w:val="0"/>
      <w:marTop w:val="0"/>
      <w:marBottom w:val="0"/>
      <w:divBdr>
        <w:top w:val="none" w:sz="0" w:space="0" w:color="auto"/>
        <w:left w:val="none" w:sz="0" w:space="0" w:color="auto"/>
        <w:bottom w:val="none" w:sz="0" w:space="0" w:color="auto"/>
        <w:right w:val="none" w:sz="0" w:space="0" w:color="auto"/>
      </w:divBdr>
    </w:div>
    <w:div w:id="1656685542">
      <w:bodyDiv w:val="1"/>
      <w:marLeft w:val="0"/>
      <w:marRight w:val="0"/>
      <w:marTop w:val="0"/>
      <w:marBottom w:val="0"/>
      <w:divBdr>
        <w:top w:val="none" w:sz="0" w:space="0" w:color="auto"/>
        <w:left w:val="none" w:sz="0" w:space="0" w:color="auto"/>
        <w:bottom w:val="none" w:sz="0" w:space="0" w:color="auto"/>
        <w:right w:val="none" w:sz="0" w:space="0" w:color="auto"/>
      </w:divBdr>
    </w:div>
    <w:div w:id="1845320295">
      <w:bodyDiv w:val="1"/>
      <w:marLeft w:val="0"/>
      <w:marRight w:val="0"/>
      <w:marTop w:val="0"/>
      <w:marBottom w:val="0"/>
      <w:divBdr>
        <w:top w:val="none" w:sz="0" w:space="0" w:color="auto"/>
        <w:left w:val="none" w:sz="0" w:space="0" w:color="auto"/>
        <w:bottom w:val="none" w:sz="0" w:space="0" w:color="auto"/>
        <w:right w:val="none" w:sz="0" w:space="0" w:color="auto"/>
      </w:divBdr>
    </w:div>
    <w:div w:id="19800662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environment.gov.au/atmosphere/ozone/legislation/index.html" TargetMode="External"/><Relationship Id="rId26" Type="http://schemas.openxmlformats.org/officeDocument/2006/relationships/footer" Target="footer5.xml"/><Relationship Id="rId39" Type="http://schemas.openxmlformats.org/officeDocument/2006/relationships/chart" Target="charts/chart13.xml"/><Relationship Id="rId21" Type="http://schemas.openxmlformats.org/officeDocument/2006/relationships/chart" Target="charts/chart3.xml"/><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hyperlink" Target="http://www.vicroads.vic.gov.au/Home/Registration/WhatHasToBeRegistered/Written-off+Vehicles/" TargetMode="External"/><Relationship Id="rId50" Type="http://schemas.openxmlformats.org/officeDocument/2006/relationships/hyperlink" Target="http://www.sa.gov.au/__data/assets/pdf_file/0013/11236/MR78.pdf" TargetMode="External"/><Relationship Id="rId55" Type="http://schemas.openxmlformats.org/officeDocument/2006/relationships/hyperlink" Target="https://www.autocheck.com.au/" TargetMode="Externa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www.environment.gov.au/atmosphere/ozone/legislation/index.html" TargetMode="External"/><Relationship Id="rId25" Type="http://schemas.openxmlformats.org/officeDocument/2006/relationships/header" Target="header5.xm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hyperlink" Target="http://www.rms.nsw.gov.au/registration/written_off_vehicles/written-off_vehicles_reforms.html" TargetMode="External"/><Relationship Id="rId2" Type="http://schemas.openxmlformats.org/officeDocument/2006/relationships/styles" Target="styles.xml"/><Relationship Id="rId16" Type="http://schemas.openxmlformats.org/officeDocument/2006/relationships/hyperlink" Target="mailto:public.affairs@environment.gov.au" TargetMode="External"/><Relationship Id="rId20" Type="http://schemas.openxmlformats.org/officeDocument/2006/relationships/chart" Target="charts/chart2.xml"/><Relationship Id="rId29" Type="http://schemas.openxmlformats.org/officeDocument/2006/relationships/image" Target="media/image5.jpeg"/><Relationship Id="rId41" Type="http://schemas.openxmlformats.org/officeDocument/2006/relationships/chart" Target="charts/chart15.xml"/><Relationship Id="rId54" Type="http://schemas.openxmlformats.org/officeDocument/2006/relationships/hyperlink" Target="http://www.carsafe.com.au/images/stories/pdfs/20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hyperlink" Target="http://www.rms.nsw.gov.au/registration/downloads/assessment_and_notification_of_written-off_vehicles_vfinal.pdf" TargetMode="External"/><Relationship Id="rId53" Type="http://schemas.openxmlformats.org/officeDocument/2006/relationships/hyperlink" Target="http://www.carsafe.com.au/images/stories/pdfs/2011_reports/NMVTRC"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image" Target="media/image4.jpeg"/><Relationship Id="rId36" Type="http://schemas.openxmlformats.org/officeDocument/2006/relationships/chart" Target="charts/chart10.xml"/><Relationship Id="rId49" Type="http://schemas.openxmlformats.org/officeDocument/2006/relationships/hyperlink" Target="http://www.transport.tas.gov.au/registration/information/written_off_vehicle_register_questions_and_answers"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chart" Target="charts/chart5.xml"/><Relationship Id="rId44" Type="http://schemas.openxmlformats.org/officeDocument/2006/relationships/image" Target="media/image7.png"/><Relationship Id="rId52" Type="http://schemas.openxmlformats.org/officeDocument/2006/relationships/hyperlink" Target="http://www.transport.nt.gov.au/__data/assets/pdf_file/0007/19609/V54-NT-Written-off-Vehicle-Register-WOVR-Dec-2012.pdf"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3.xml"/><Relationship Id="rId22" Type="http://schemas.openxmlformats.org/officeDocument/2006/relationships/chart" Target="charts/chart4.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hyperlink" Target="http://www.tmr.qld.gov.au/Registration/Registering-vehicles/Written-off-vehicles/Written-off-vehicle-register.aspx"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www.transport.wa.gov.au/licensing/write-off-a-vehicle.asp"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theage.com.au/national/-10p9qi.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peterbrodribb:Desktop:ELV%20Asessment%20V1.0%200809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peterbrodribb:Documents:Expert%20Group:Current%20activities:End-of-life%20vehicles:Models%20and%20data:ELV%20Asessment%20V1.0%201610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peterbrodribb:Desktop:ELV%20Asessment%20V1.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peterbrodribb:Documents:Expert%20Group:Current%20activities:End-of-life%20vehicles:Models%20and%20data:ELV%20Asessment%20V1.0%2016101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peterbrodribb:Desktop:ELV%20Asessment%20V1.0%2005091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peterbrodribb:Desktop:ELV%20Asessment%20V1.0%200809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peterbrodribb:Desktop:ELV%20Asessment%20V1.0%2008091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Users:peterbrodribb:Desktop:ELV%20Asessment%20V1.0%2008091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peterbrodribb:Desktop:ELV%20Asessment%20V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peterbrodribb:Documents:Expert%20Group:Current%20activities:HFC%20Consumption%20in%20Australia%202013:Models:HFC%202013%20Master%20V1.9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peterbrodribb:Documents:Expert%20Group:Current%20activities:End-of-life%20vehicles:Stats:ABS%20motor%20vehicle%20attrition%20rate%20V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peterbrodribb:Documents:Expert%20Group:Current%20activities:End-of-life%20vehicles:Stats:ABS%20motor%20vehicle%20attrition%20rate%20V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peterbrodribb:Desktop:ELV%20Asessment%20V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peterbrodribb:Desktop:ELV%20Asessment%20V1.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peterbrodribb:Desktop:ELV%20Asessment%20V1.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peterbrodribb:Desktop:ELV%20Asessment%20V1.0%200809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peterbrodribb:Desktop:ELV%20Asessment%20V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areaChart>
        <c:grouping val="stacked"/>
        <c:varyColors val="0"/>
        <c:ser>
          <c:idx val="0"/>
          <c:order val="0"/>
          <c:tx>
            <c:strRef>
              <c:f>'2013 Vehicle Age-Year mfr'!$L$90</c:f>
              <c:strCache>
                <c:ptCount val="1"/>
                <c:pt idx="0">
                  <c:v>Passenger Vehicles</c:v>
                </c:pt>
              </c:strCache>
            </c:strRef>
          </c:tx>
          <c:cat>
            <c:strRef>
              <c:f>'2013 Vehicle Age-Year mfr'!$K$91:$K$124</c:f>
              <c:strCache>
                <c:ptCount val="3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strCache>
            </c:strRef>
          </c:cat>
          <c:val>
            <c:numRef>
              <c:f>'2013 Vehicle Age-Year mfr'!$L$91:$L$124</c:f>
              <c:numCache>
                <c:formatCode>#,##0</c:formatCode>
                <c:ptCount val="34"/>
                <c:pt idx="0">
                  <c:v>8751</c:v>
                </c:pt>
                <c:pt idx="1">
                  <c:v>11052</c:v>
                </c:pt>
                <c:pt idx="2">
                  <c:v>13963</c:v>
                </c:pt>
                <c:pt idx="3">
                  <c:v>15793</c:v>
                </c:pt>
                <c:pt idx="4">
                  <c:v>24775</c:v>
                </c:pt>
                <c:pt idx="5">
                  <c:v>34632</c:v>
                </c:pt>
                <c:pt idx="6">
                  <c:v>30409</c:v>
                </c:pt>
                <c:pt idx="7">
                  <c:v>30256</c:v>
                </c:pt>
                <c:pt idx="8">
                  <c:v>51047</c:v>
                </c:pt>
                <c:pt idx="9">
                  <c:v>80800</c:v>
                </c:pt>
                <c:pt idx="10">
                  <c:v>109562</c:v>
                </c:pt>
                <c:pt idx="11">
                  <c:v>112011</c:v>
                </c:pt>
                <c:pt idx="12">
                  <c:v>137248</c:v>
                </c:pt>
                <c:pt idx="13">
                  <c:v>166331</c:v>
                </c:pt>
                <c:pt idx="14">
                  <c:v>213929</c:v>
                </c:pt>
                <c:pt idx="15">
                  <c:v>251507</c:v>
                </c:pt>
                <c:pt idx="16">
                  <c:v>280664</c:v>
                </c:pt>
                <c:pt idx="17">
                  <c:v>370566</c:v>
                </c:pt>
                <c:pt idx="18">
                  <c:v>473166</c:v>
                </c:pt>
                <c:pt idx="19">
                  <c:v>483843</c:v>
                </c:pt>
                <c:pt idx="20">
                  <c:v>540634</c:v>
                </c:pt>
                <c:pt idx="21">
                  <c:v>556312</c:v>
                </c:pt>
                <c:pt idx="22">
                  <c:v>596066</c:v>
                </c:pt>
                <c:pt idx="23">
                  <c:v>683926</c:v>
                </c:pt>
                <c:pt idx="24">
                  <c:v>706835</c:v>
                </c:pt>
                <c:pt idx="25">
                  <c:v>754764</c:v>
                </c:pt>
                <c:pt idx="26">
                  <c:v>744887</c:v>
                </c:pt>
                <c:pt idx="27">
                  <c:v>796931</c:v>
                </c:pt>
                <c:pt idx="28">
                  <c:v>767572</c:v>
                </c:pt>
                <c:pt idx="29">
                  <c:v>715611</c:v>
                </c:pt>
                <c:pt idx="30">
                  <c:v>826464</c:v>
                </c:pt>
                <c:pt idx="31">
                  <c:v>783601</c:v>
                </c:pt>
                <c:pt idx="32">
                  <c:v>873111</c:v>
                </c:pt>
                <c:pt idx="33">
                  <c:v>840377</c:v>
                </c:pt>
              </c:numCache>
            </c:numRef>
          </c:val>
        </c:ser>
        <c:ser>
          <c:idx val="1"/>
          <c:order val="1"/>
          <c:tx>
            <c:strRef>
              <c:f>'2013 Vehicle Age-Year mfr'!$M$90</c:f>
              <c:strCache>
                <c:ptCount val="1"/>
                <c:pt idx="0">
                  <c:v>Light Commercial Vehicles</c:v>
                </c:pt>
              </c:strCache>
            </c:strRef>
          </c:tx>
          <c:cat>
            <c:strRef>
              <c:f>'2013 Vehicle Age-Year mfr'!$K$91:$K$124</c:f>
              <c:strCache>
                <c:ptCount val="3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strCache>
            </c:strRef>
          </c:cat>
          <c:val>
            <c:numRef>
              <c:f>'2013 Vehicle Age-Year mfr'!$M$91:$M$124</c:f>
              <c:numCache>
                <c:formatCode>#,##0</c:formatCode>
                <c:ptCount val="34"/>
                <c:pt idx="0">
                  <c:v>6242</c:v>
                </c:pt>
                <c:pt idx="1">
                  <c:v>7540</c:v>
                </c:pt>
                <c:pt idx="2">
                  <c:v>7896</c:v>
                </c:pt>
                <c:pt idx="3">
                  <c:v>7988</c:v>
                </c:pt>
                <c:pt idx="4">
                  <c:v>13763</c:v>
                </c:pt>
                <c:pt idx="5">
                  <c:v>17680</c:v>
                </c:pt>
                <c:pt idx="6">
                  <c:v>13253</c:v>
                </c:pt>
                <c:pt idx="7">
                  <c:v>10883</c:v>
                </c:pt>
                <c:pt idx="8">
                  <c:v>20644</c:v>
                </c:pt>
                <c:pt idx="9">
                  <c:v>30847</c:v>
                </c:pt>
                <c:pt idx="10">
                  <c:v>34799</c:v>
                </c:pt>
                <c:pt idx="11">
                  <c:v>30659</c:v>
                </c:pt>
                <c:pt idx="12">
                  <c:v>39327</c:v>
                </c:pt>
                <c:pt idx="13">
                  <c:v>42156</c:v>
                </c:pt>
                <c:pt idx="14">
                  <c:v>53513</c:v>
                </c:pt>
                <c:pt idx="15">
                  <c:v>54752</c:v>
                </c:pt>
                <c:pt idx="16">
                  <c:v>60009</c:v>
                </c:pt>
                <c:pt idx="17">
                  <c:v>65578</c:v>
                </c:pt>
                <c:pt idx="18">
                  <c:v>79717</c:v>
                </c:pt>
                <c:pt idx="19">
                  <c:v>88754</c:v>
                </c:pt>
                <c:pt idx="20">
                  <c:v>89974</c:v>
                </c:pt>
                <c:pt idx="21">
                  <c:v>89836</c:v>
                </c:pt>
                <c:pt idx="22">
                  <c:v>107618</c:v>
                </c:pt>
                <c:pt idx="23">
                  <c:v>128406</c:v>
                </c:pt>
                <c:pt idx="24">
                  <c:v>144957</c:v>
                </c:pt>
                <c:pt idx="25">
                  <c:v>157648</c:v>
                </c:pt>
                <c:pt idx="26">
                  <c:v>145330</c:v>
                </c:pt>
                <c:pt idx="27">
                  <c:v>157412</c:v>
                </c:pt>
                <c:pt idx="28">
                  <c:v>180628</c:v>
                </c:pt>
                <c:pt idx="29">
                  <c:v>156101</c:v>
                </c:pt>
                <c:pt idx="30">
                  <c:v>175197</c:v>
                </c:pt>
                <c:pt idx="31">
                  <c:v>161738</c:v>
                </c:pt>
                <c:pt idx="32">
                  <c:v>203590</c:v>
                </c:pt>
                <c:pt idx="33">
                  <c:v>179762</c:v>
                </c:pt>
              </c:numCache>
            </c:numRef>
          </c:val>
        </c:ser>
        <c:dLbls>
          <c:showLegendKey val="0"/>
          <c:showVal val="0"/>
          <c:showCatName val="0"/>
          <c:showSerName val="0"/>
          <c:showPercent val="0"/>
          <c:showBubbleSize val="0"/>
        </c:dLbls>
        <c:axId val="289084200"/>
        <c:axId val="289084584"/>
      </c:areaChart>
      <c:catAx>
        <c:axId val="289084200"/>
        <c:scaling>
          <c:orientation val="minMax"/>
        </c:scaling>
        <c:delete val="0"/>
        <c:axPos val="b"/>
        <c:numFmt formatCode="General" sourceLinked="0"/>
        <c:majorTickMark val="out"/>
        <c:minorTickMark val="none"/>
        <c:tickLblPos val="nextTo"/>
        <c:crossAx val="289084584"/>
        <c:crosses val="autoZero"/>
        <c:auto val="1"/>
        <c:lblAlgn val="ctr"/>
        <c:lblOffset val="100"/>
        <c:tickLblSkip val="3"/>
        <c:noMultiLvlLbl val="0"/>
      </c:catAx>
      <c:valAx>
        <c:axId val="289084584"/>
        <c:scaling>
          <c:orientation val="minMax"/>
        </c:scaling>
        <c:delete val="0"/>
        <c:axPos val="l"/>
        <c:majorGridlines/>
        <c:title>
          <c:tx>
            <c:rich>
              <a:bodyPr rot="-5400000" vert="horz"/>
              <a:lstStyle/>
              <a:p>
                <a:pPr>
                  <a:defRPr/>
                </a:pPr>
                <a:r>
                  <a:rPr lang="en-US"/>
                  <a:t>No of vehicles in existing fleet </a:t>
                </a:r>
              </a:p>
              <a:p>
                <a:pPr>
                  <a:defRPr/>
                </a:pPr>
                <a:r>
                  <a:rPr lang="en-US"/>
                  <a:t>by year of manufacture</a:t>
                </a:r>
              </a:p>
            </c:rich>
          </c:tx>
          <c:layout/>
          <c:overlay val="0"/>
        </c:title>
        <c:numFmt formatCode="#,##0" sourceLinked="1"/>
        <c:majorTickMark val="out"/>
        <c:minorTickMark val="none"/>
        <c:tickLblPos val="nextTo"/>
        <c:crossAx val="289084200"/>
        <c:crosses val="autoZero"/>
        <c:crossBetween val="midCat"/>
      </c:valAx>
    </c:plotArea>
    <c:legend>
      <c:legendPos val="b"/>
      <c:layout/>
      <c:overlay val="0"/>
    </c:legend>
    <c:plotVisOnly val="1"/>
    <c:dispBlanksAs val="zero"/>
    <c:showDLblsOverMax val="0"/>
  </c:chart>
  <c:spPr>
    <a:ln>
      <a:noFill/>
    </a:ln>
  </c:spPr>
  <c:txPr>
    <a:bodyPr/>
    <a:lstStyle/>
    <a:p>
      <a:pPr>
        <a:defRPr sz="80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0"/>
    <c:plotArea>
      <c:layout/>
      <c:areaChart>
        <c:grouping val="standard"/>
        <c:varyColors val="0"/>
        <c:ser>
          <c:idx val="0"/>
          <c:order val="0"/>
          <c:tx>
            <c:strRef>
              <c:f>'ELV Model'!$Y$160</c:f>
              <c:strCache>
                <c:ptCount val="1"/>
                <c:pt idx="0">
                  <c:v>MAC</c:v>
                </c:pt>
              </c:strCache>
            </c:strRef>
          </c:tx>
          <c:cat>
            <c:numRef>
              <c:f>'ELV Model'!$X$161:$X$173</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Model'!$Y$161:$Y$173</c:f>
              <c:numCache>
                <c:formatCode>#,##0.00</c:formatCode>
                <c:ptCount val="13"/>
                <c:pt idx="0">
                  <c:v>1.8008515815602681</c:v>
                </c:pt>
                <c:pt idx="1">
                  <c:v>1.7032106704942158</c:v>
                </c:pt>
                <c:pt idx="2">
                  <c:v>1.6292569699172132</c:v>
                </c:pt>
                <c:pt idx="3">
                  <c:v>1.5650378654619581</c:v>
                </c:pt>
                <c:pt idx="4">
                  <c:v>1.5034892359195458</c:v>
                </c:pt>
                <c:pt idx="5">
                  <c:v>1.4332854568791078</c:v>
                </c:pt>
                <c:pt idx="6">
                  <c:v>1.3762363151412371</c:v>
                </c:pt>
                <c:pt idx="7">
                  <c:v>1.3145849193327017</c:v>
                </c:pt>
                <c:pt idx="8">
                  <c:v>1.239542353627235</c:v>
                </c:pt>
                <c:pt idx="9">
                  <c:v>1.1520531583895721</c:v>
                </c:pt>
                <c:pt idx="10">
                  <c:v>1.0529677375572559</c:v>
                </c:pt>
                <c:pt idx="11">
                  <c:v>0.94316301595839203</c:v>
                </c:pt>
                <c:pt idx="12">
                  <c:v>0.82352411664230929</c:v>
                </c:pt>
              </c:numCache>
            </c:numRef>
          </c:val>
        </c:ser>
        <c:ser>
          <c:idx val="1"/>
          <c:order val="1"/>
          <c:tx>
            <c:strRef>
              <c:f>'ELV Model'!$Z$160</c:f>
              <c:strCache>
                <c:ptCount val="1"/>
                <c:pt idx="0">
                  <c:v>ELVs</c:v>
                </c:pt>
              </c:strCache>
            </c:strRef>
          </c:tx>
          <c:cat>
            <c:numRef>
              <c:f>'ELV Model'!$X$161:$X$173</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Model'!$Z$161:$Z$173</c:f>
              <c:numCache>
                <c:formatCode>#,##0.00</c:formatCode>
                <c:ptCount val="13"/>
                <c:pt idx="0">
                  <c:v>0.46830015038362816</c:v>
                </c:pt>
                <c:pt idx="1">
                  <c:v>0.45510979233559401</c:v>
                </c:pt>
                <c:pt idx="2">
                  <c:v>0.44149768095005115</c:v>
                </c:pt>
                <c:pt idx="3">
                  <c:v>0.42833610450894416</c:v>
                </c:pt>
                <c:pt idx="4">
                  <c:v>0.42164245071857887</c:v>
                </c:pt>
                <c:pt idx="5">
                  <c:v>0.40537214822659801</c:v>
                </c:pt>
                <c:pt idx="6">
                  <c:v>0.39590468700000342</c:v>
                </c:pt>
                <c:pt idx="7">
                  <c:v>0.39084479687529533</c:v>
                </c:pt>
                <c:pt idx="8">
                  <c:v>0.38926201893722517</c:v>
                </c:pt>
                <c:pt idx="9">
                  <c:v>0.38842388471758532</c:v>
                </c:pt>
                <c:pt idx="10">
                  <c:v>0.39954140602296018</c:v>
                </c:pt>
                <c:pt idx="11">
                  <c:v>0.41305781282910314</c:v>
                </c:pt>
                <c:pt idx="12">
                  <c:v>0.42479720513004615</c:v>
                </c:pt>
              </c:numCache>
            </c:numRef>
          </c:val>
        </c:ser>
        <c:dLbls>
          <c:showLegendKey val="0"/>
          <c:showVal val="0"/>
          <c:showCatName val="0"/>
          <c:showSerName val="0"/>
          <c:showPercent val="0"/>
          <c:showBubbleSize val="0"/>
        </c:dLbls>
        <c:axId val="288819704"/>
        <c:axId val="288820096"/>
      </c:areaChart>
      <c:catAx>
        <c:axId val="288819704"/>
        <c:scaling>
          <c:orientation val="minMax"/>
        </c:scaling>
        <c:delete val="0"/>
        <c:axPos val="b"/>
        <c:numFmt formatCode="General" sourceLinked="1"/>
        <c:majorTickMark val="out"/>
        <c:minorTickMark val="none"/>
        <c:tickLblPos val="nextTo"/>
        <c:txPr>
          <a:bodyPr/>
          <a:lstStyle/>
          <a:p>
            <a:pPr>
              <a:defRPr sz="800"/>
            </a:pPr>
            <a:endParaRPr lang="en-US"/>
          </a:p>
        </c:txPr>
        <c:crossAx val="288820096"/>
        <c:crosses val="autoZero"/>
        <c:auto val="1"/>
        <c:lblAlgn val="ctr"/>
        <c:lblOffset val="100"/>
        <c:noMultiLvlLbl val="0"/>
      </c:catAx>
      <c:valAx>
        <c:axId val="288820096"/>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r>
                  <a:rPr lang="en-US" sz="800" b="1" i="0" baseline="0">
                    <a:effectLst/>
                  </a:rPr>
                  <a:t>Mt C0</a:t>
                </a:r>
                <a:r>
                  <a:rPr lang="en-US" sz="800" b="1" i="0" baseline="-25000">
                    <a:effectLst/>
                  </a:rPr>
                  <a:t>2</a:t>
                </a:r>
                <a:r>
                  <a:rPr lang="en-US" sz="800" b="1" i="0" baseline="0">
                    <a:effectLst/>
                  </a:rPr>
                  <a:t>e</a:t>
                </a:r>
                <a:endParaRPr lang="en-US" sz="800">
                  <a:effectLst/>
                </a:endParaRPr>
              </a:p>
            </c:rich>
          </c:tx>
          <c:overlay val="0"/>
        </c:title>
        <c:numFmt formatCode="#,##0.00" sourceLinked="1"/>
        <c:majorTickMark val="out"/>
        <c:minorTickMark val="none"/>
        <c:tickLblPos val="nextTo"/>
        <c:txPr>
          <a:bodyPr/>
          <a:lstStyle/>
          <a:p>
            <a:pPr>
              <a:defRPr sz="800"/>
            </a:pPr>
            <a:endParaRPr lang="en-US"/>
          </a:p>
        </c:txPr>
        <c:crossAx val="288819704"/>
        <c:crosses val="autoZero"/>
        <c:crossBetween val="midCat"/>
      </c:valAx>
    </c:plotArea>
    <c:legend>
      <c:legendPos val="b"/>
      <c:overlay val="0"/>
    </c:legend>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areaChart>
        <c:grouping val="standard"/>
        <c:varyColors val="0"/>
        <c:ser>
          <c:idx val="0"/>
          <c:order val="0"/>
          <c:tx>
            <c:strRef>
              <c:f>'ELV Model'!$U$160</c:f>
              <c:strCache>
                <c:ptCount val="1"/>
                <c:pt idx="0">
                  <c:v>Total Consumpsion</c:v>
                </c:pt>
              </c:strCache>
            </c:strRef>
          </c:tx>
          <c:cat>
            <c:numRef>
              <c:f>'ELV Model'!$T$161:$T$173</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Model'!$U$161:$U$173</c:f>
              <c:numCache>
                <c:formatCode>#,##0.00</c:formatCode>
                <c:ptCount val="13"/>
                <c:pt idx="0">
                  <c:v>8.8044779852946249</c:v>
                </c:pt>
                <c:pt idx="1">
                  <c:v>8.5054552387801561</c:v>
                </c:pt>
                <c:pt idx="2">
                  <c:v>8.1878878502989405</c:v>
                </c:pt>
                <c:pt idx="3">
                  <c:v>7.9736255117342063</c:v>
                </c:pt>
                <c:pt idx="4">
                  <c:v>7.6396524115050584</c:v>
                </c:pt>
                <c:pt idx="5">
                  <c:v>7.2932946673980661</c:v>
                </c:pt>
                <c:pt idx="6">
                  <c:v>6.9560768292441031</c:v>
                </c:pt>
                <c:pt idx="7">
                  <c:v>6.6082112051497006</c:v>
                </c:pt>
                <c:pt idx="8">
                  <c:v>6.2335750006460753</c:v>
                </c:pt>
                <c:pt idx="9">
                  <c:v>5.830105550874304</c:v>
                </c:pt>
                <c:pt idx="10">
                  <c:v>5.3954392658175356</c:v>
                </c:pt>
                <c:pt idx="11">
                  <c:v>4.9279221715315753</c:v>
                </c:pt>
                <c:pt idx="12">
                  <c:v>4.4272178164046379</c:v>
                </c:pt>
              </c:numCache>
            </c:numRef>
          </c:val>
        </c:ser>
        <c:ser>
          <c:idx val="1"/>
          <c:order val="1"/>
          <c:tx>
            <c:strRef>
              <c:f>'ELV Model'!$V$160</c:f>
              <c:strCache>
                <c:ptCount val="1"/>
                <c:pt idx="0">
                  <c:v>ELVs</c:v>
                </c:pt>
              </c:strCache>
            </c:strRef>
          </c:tx>
          <c:cat>
            <c:numRef>
              <c:f>'ELV Model'!$T$161:$T$173</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Model'!$V$161:$V$173</c:f>
              <c:numCache>
                <c:formatCode>#,##0.00</c:formatCode>
                <c:ptCount val="13"/>
                <c:pt idx="0">
                  <c:v>0.77196382241571349</c:v>
                </c:pt>
                <c:pt idx="1">
                  <c:v>0.73423639192345669</c:v>
                </c:pt>
                <c:pt idx="2">
                  <c:v>0.69390896797943802</c:v>
                </c:pt>
                <c:pt idx="3">
                  <c:v>0.65362174735697165</c:v>
                </c:pt>
                <c:pt idx="4">
                  <c:v>0.61577564403782348</c:v>
                </c:pt>
                <c:pt idx="5">
                  <c:v>0.5647169932665953</c:v>
                </c:pt>
                <c:pt idx="6">
                  <c:v>0.52795592622716103</c:v>
                </c:pt>
                <c:pt idx="7">
                  <c:v>0.50336046292135139</c:v>
                </c:pt>
                <c:pt idx="8">
                  <c:v>0.49029539262549199</c:v>
                </c:pt>
                <c:pt idx="9">
                  <c:v>0.48238778724348141</c:v>
                </c:pt>
                <c:pt idx="10">
                  <c:v>0.490599502016551</c:v>
                </c:pt>
                <c:pt idx="11">
                  <c:v>0.49849976671888124</c:v>
                </c:pt>
                <c:pt idx="12">
                  <c:v>0.50439307470219796</c:v>
                </c:pt>
              </c:numCache>
            </c:numRef>
          </c:val>
        </c:ser>
        <c:dLbls>
          <c:showLegendKey val="0"/>
          <c:showVal val="0"/>
          <c:showCatName val="0"/>
          <c:showSerName val="0"/>
          <c:showPercent val="0"/>
          <c:showBubbleSize val="0"/>
        </c:dLbls>
        <c:axId val="288820880"/>
        <c:axId val="288821272"/>
      </c:areaChart>
      <c:catAx>
        <c:axId val="288820880"/>
        <c:scaling>
          <c:orientation val="minMax"/>
        </c:scaling>
        <c:delete val="0"/>
        <c:axPos val="b"/>
        <c:numFmt formatCode="General" sourceLinked="1"/>
        <c:majorTickMark val="out"/>
        <c:minorTickMark val="none"/>
        <c:tickLblPos val="nextTo"/>
        <c:txPr>
          <a:bodyPr/>
          <a:lstStyle/>
          <a:p>
            <a:pPr>
              <a:defRPr sz="800"/>
            </a:pPr>
            <a:endParaRPr lang="en-US"/>
          </a:p>
        </c:txPr>
        <c:crossAx val="288821272"/>
        <c:crosses val="autoZero"/>
        <c:auto val="1"/>
        <c:lblAlgn val="ctr"/>
        <c:lblOffset val="100"/>
        <c:noMultiLvlLbl val="0"/>
      </c:catAx>
      <c:valAx>
        <c:axId val="288821272"/>
        <c:scaling>
          <c:orientation val="minMax"/>
        </c:scaling>
        <c:delete val="0"/>
        <c:axPos val="l"/>
        <c:majorGridlines/>
        <c:title>
          <c:tx>
            <c:rich>
              <a:bodyPr rot="-5400000" vert="horz"/>
              <a:lstStyle/>
              <a:p>
                <a:pPr>
                  <a:defRPr sz="800"/>
                </a:pPr>
                <a:r>
                  <a:rPr lang="en-US" sz="800" baseline="0"/>
                  <a:t>Mt C02e</a:t>
                </a:r>
                <a:endParaRPr lang="en-US" sz="800"/>
              </a:p>
            </c:rich>
          </c:tx>
          <c:overlay val="0"/>
        </c:title>
        <c:numFmt formatCode="#,##0.00" sourceLinked="1"/>
        <c:majorTickMark val="out"/>
        <c:minorTickMark val="none"/>
        <c:tickLblPos val="nextTo"/>
        <c:txPr>
          <a:bodyPr/>
          <a:lstStyle/>
          <a:p>
            <a:pPr>
              <a:defRPr sz="800"/>
            </a:pPr>
            <a:endParaRPr lang="en-US"/>
          </a:p>
        </c:txPr>
        <c:crossAx val="288820880"/>
        <c:crosses val="autoZero"/>
        <c:crossBetween val="midCat"/>
      </c:valAx>
    </c:plotArea>
    <c:legend>
      <c:legendPos val="b"/>
      <c:overlay val="0"/>
    </c:legend>
    <c:plotVisOnly val="1"/>
    <c:dispBlanksAs val="zero"/>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manualLayout>
          <c:layoutTarget val="inner"/>
          <c:xMode val="edge"/>
          <c:yMode val="edge"/>
          <c:x val="0.10431226865872498"/>
          <c:y val="7.0682730923695147E-2"/>
          <c:w val="0.86973968638535948"/>
          <c:h val="0.82752363785852334"/>
        </c:manualLayout>
      </c:layout>
      <c:barChart>
        <c:barDir val="col"/>
        <c:grouping val="clustered"/>
        <c:varyColors val="0"/>
        <c:ser>
          <c:idx val="0"/>
          <c:order val="0"/>
          <c:tx>
            <c:strRef>
              <c:f>'ELV Model'!$B$241</c:f>
              <c:strCache>
                <c:ptCount val="1"/>
                <c:pt idx="0">
                  <c:v> </c:v>
                </c:pt>
              </c:strCache>
            </c:strRef>
          </c:tx>
          <c:invertIfNegative val="0"/>
          <c:cat>
            <c:strRef>
              <c:f>'ELV Model'!$D$240:$E$240</c:f>
              <c:strCache>
                <c:ptCount val="2"/>
                <c:pt idx="0">
                  <c:v>CFC-12</c:v>
                </c:pt>
                <c:pt idx="1">
                  <c:v>HFC-134a</c:v>
                </c:pt>
              </c:strCache>
            </c:strRef>
          </c:cat>
          <c:val>
            <c:numRef>
              <c:f>'ELV Model'!$D$241:$E$241</c:f>
              <c:numCache>
                <c:formatCode>#,##0.00</c:formatCode>
                <c:ptCount val="2"/>
                <c:pt idx="0">
                  <c:v>1.0938898902140024</c:v>
                </c:pt>
                <c:pt idx="1">
                  <c:v>3.7856865566210014</c:v>
                </c:pt>
              </c:numCache>
            </c:numRef>
          </c:val>
        </c:ser>
        <c:dLbls>
          <c:showLegendKey val="0"/>
          <c:showVal val="0"/>
          <c:showCatName val="0"/>
          <c:showSerName val="0"/>
          <c:showPercent val="0"/>
          <c:showBubbleSize val="0"/>
        </c:dLbls>
        <c:gapWidth val="150"/>
        <c:axId val="288822448"/>
        <c:axId val="288822840"/>
      </c:barChart>
      <c:catAx>
        <c:axId val="288822448"/>
        <c:scaling>
          <c:orientation val="minMax"/>
        </c:scaling>
        <c:delete val="0"/>
        <c:axPos val="b"/>
        <c:numFmt formatCode="General" sourceLinked="0"/>
        <c:majorTickMark val="out"/>
        <c:minorTickMark val="none"/>
        <c:tickLblPos val="nextTo"/>
        <c:txPr>
          <a:bodyPr/>
          <a:lstStyle/>
          <a:p>
            <a:pPr>
              <a:defRPr sz="800"/>
            </a:pPr>
            <a:endParaRPr lang="en-US"/>
          </a:p>
        </c:txPr>
        <c:crossAx val="288822840"/>
        <c:crosses val="autoZero"/>
        <c:auto val="1"/>
        <c:lblAlgn val="ctr"/>
        <c:lblOffset val="100"/>
        <c:noMultiLvlLbl val="0"/>
      </c:catAx>
      <c:valAx>
        <c:axId val="288822840"/>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r>
                  <a:rPr lang="en-US" sz="800" b="1" i="0" baseline="0">
                    <a:effectLst/>
                  </a:rPr>
                  <a:t>Emissions (Mt CO</a:t>
                </a:r>
                <a:r>
                  <a:rPr lang="en-US" sz="800" b="1" i="0" baseline="-25000">
                    <a:effectLst/>
                  </a:rPr>
                  <a:t>2</a:t>
                </a:r>
                <a:r>
                  <a:rPr lang="en-US" sz="800" b="1" i="0" baseline="0">
                    <a:effectLst/>
                  </a:rPr>
                  <a:t>e)</a:t>
                </a:r>
                <a:endParaRPr lang="en-US" sz="800">
                  <a:effectLst/>
                </a:endParaRPr>
              </a:p>
            </c:rich>
          </c:tx>
          <c:overlay val="0"/>
        </c:title>
        <c:numFmt formatCode="#,##0.00" sourceLinked="1"/>
        <c:majorTickMark val="out"/>
        <c:minorTickMark val="none"/>
        <c:tickLblPos val="nextTo"/>
        <c:txPr>
          <a:bodyPr/>
          <a:lstStyle/>
          <a:p>
            <a:pPr>
              <a:defRPr sz="800"/>
            </a:pPr>
            <a:endParaRPr lang="en-US"/>
          </a:p>
        </c:txPr>
        <c:crossAx val="288822448"/>
        <c:crosses val="autoZero"/>
        <c:crossBetween val="between"/>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marker>
            <c:symbol val="none"/>
          </c:marker>
          <c:cat>
            <c:numRef>
              <c:f>'ELV Model'!$AM$248:$DM$248</c:f>
              <c:numCache>
                <c:formatCode>General</c:formatCode>
                <c:ptCount val="7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numCache>
            </c:numRef>
          </c:cat>
          <c:val>
            <c:numRef>
              <c:f>'ELV Model'!$AM$251:$DM$251</c:f>
              <c:numCache>
                <c:formatCode>0.0%</c:formatCode>
                <c:ptCount val="79"/>
                <c:pt idx="0">
                  <c:v>1</c:v>
                </c:pt>
                <c:pt idx="1">
                  <c:v>0.99962052899999998</c:v>
                </c:pt>
                <c:pt idx="2">
                  <c:v>0.99853058499999647</c:v>
                </c:pt>
                <c:pt idx="3">
                  <c:v>0.99681970399999997</c:v>
                </c:pt>
                <c:pt idx="4">
                  <c:v>0.994204011</c:v>
                </c:pt>
                <c:pt idx="5">
                  <c:v>0.99030902899999873</c:v>
                </c:pt>
                <c:pt idx="6">
                  <c:v>0.98465997400000005</c:v>
                </c:pt>
                <c:pt idx="7">
                  <c:v>0.97668007000000234</c:v>
                </c:pt>
                <c:pt idx="8">
                  <c:v>0.96570085600000466</c:v>
                </c:pt>
                <c:pt idx="9">
                  <c:v>0.9509880150000013</c:v>
                </c:pt>
                <c:pt idx="10">
                  <c:v>0.93178481800000235</c:v>
                </c:pt>
                <c:pt idx="11">
                  <c:v>0.90737287999999872</c:v>
                </c:pt>
                <c:pt idx="12">
                  <c:v>0.87714673700000234</c:v>
                </c:pt>
                <c:pt idx="13">
                  <c:v>0.84069527400000466</c:v>
                </c:pt>
                <c:pt idx="14">
                  <c:v>0.79787997600000349</c:v>
                </c:pt>
                <c:pt idx="15">
                  <c:v>0.74889817600000463</c:v>
                </c:pt>
                <c:pt idx="16">
                  <c:v>0.69431958399999871</c:v>
                </c:pt>
                <c:pt idx="17">
                  <c:v>0.635086861</c:v>
                </c:pt>
                <c:pt idx="18">
                  <c:v>0.57247553900000003</c:v>
                </c:pt>
                <c:pt idx="19">
                  <c:v>0.50801471300000001</c:v>
                </c:pt>
                <c:pt idx="20">
                  <c:v>0.44337630400000116</c:v>
                </c:pt>
                <c:pt idx="21">
                  <c:v>0.38024608900000118</c:v>
                </c:pt>
                <c:pt idx="22">
                  <c:v>0.32019295400000014</c:v>
                </c:pt>
                <c:pt idx="23">
                  <c:v>0.26455311100000001</c:v>
                </c:pt>
                <c:pt idx="24">
                  <c:v>0.21434337700000008</c:v>
                </c:pt>
                <c:pt idx="25">
                  <c:v>0.17021258300000008</c:v>
                </c:pt>
                <c:pt idx="26">
                  <c:v>0.13243385500000004</c:v>
                </c:pt>
                <c:pt idx="27">
                  <c:v>0.10093427900000004</c:v>
                </c:pt>
                <c:pt idx="28">
                  <c:v>4.2030933000000339E-2</c:v>
                </c:pt>
                <c:pt idx="29">
                  <c:v>4.0909229000000012E-2</c:v>
                </c:pt>
                <c:pt idx="30">
                  <c:v>3.9787526000000004E-2</c:v>
                </c:pt>
                <c:pt idx="31">
                  <c:v>3.8665822000000009E-2</c:v>
                </c:pt>
                <c:pt idx="32">
                  <c:v>3.7544118000000119E-2</c:v>
                </c:pt>
                <c:pt idx="33">
                  <c:v>3.6422415000000014E-2</c:v>
                </c:pt>
                <c:pt idx="34">
                  <c:v>3.5300711000000005E-2</c:v>
                </c:pt>
                <c:pt idx="35">
                  <c:v>3.4179007000000011E-2</c:v>
                </c:pt>
                <c:pt idx="36">
                  <c:v>3.305730300000001E-2</c:v>
                </c:pt>
                <c:pt idx="37">
                  <c:v>3.1935599999999911E-2</c:v>
                </c:pt>
                <c:pt idx="38">
                  <c:v>3.0813896000000007E-2</c:v>
                </c:pt>
                <c:pt idx="39">
                  <c:v>2.9692191999999902E-2</c:v>
                </c:pt>
                <c:pt idx="40">
                  <c:v>2.8570488999999994E-2</c:v>
                </c:pt>
                <c:pt idx="41">
                  <c:v>2.744878500000001E-2</c:v>
                </c:pt>
                <c:pt idx="42">
                  <c:v>2.6327080999999999E-2</c:v>
                </c:pt>
                <c:pt idx="43">
                  <c:v>2.5205378000000129E-2</c:v>
                </c:pt>
                <c:pt idx="44">
                  <c:v>2.4083674000000006E-2</c:v>
                </c:pt>
                <c:pt idx="45">
                  <c:v>2.296197000000013E-2</c:v>
                </c:pt>
                <c:pt idx="46">
                  <c:v>2.1840267000000118E-2</c:v>
                </c:pt>
                <c:pt idx="47">
                  <c:v>2.0718562999999992E-2</c:v>
                </c:pt>
                <c:pt idx="48">
                  <c:v>1.9596859000000109E-2</c:v>
                </c:pt>
                <c:pt idx="49">
                  <c:v>1.8475156000000006E-2</c:v>
                </c:pt>
                <c:pt idx="50">
                  <c:v>1.7353452000000009E-2</c:v>
                </c:pt>
                <c:pt idx="51">
                  <c:v>1.6231748000000001E-2</c:v>
                </c:pt>
                <c:pt idx="52">
                  <c:v>1.5110045000000003E-2</c:v>
                </c:pt>
                <c:pt idx="53">
                  <c:v>1.3988341000000001E-2</c:v>
                </c:pt>
                <c:pt idx="54">
                  <c:v>1.2866637000000002E-2</c:v>
                </c:pt>
                <c:pt idx="55">
                  <c:v>1.1744933000000008E-2</c:v>
                </c:pt>
                <c:pt idx="56">
                  <c:v>1.0623230000000001E-2</c:v>
                </c:pt>
                <c:pt idx="57">
                  <c:v>9.5015260000000223E-3</c:v>
                </c:pt>
                <c:pt idx="58">
                  <c:v>8.3798220000000246E-3</c:v>
                </c:pt>
                <c:pt idx="59">
                  <c:v>7.2581189999999509E-3</c:v>
                </c:pt>
                <c:pt idx="60">
                  <c:v>6.1364149999999507E-3</c:v>
                </c:pt>
                <c:pt idx="61">
                  <c:v>5.0147109999999495E-3</c:v>
                </c:pt>
                <c:pt idx="62">
                  <c:v>3.8930080000000311E-3</c:v>
                </c:pt>
                <c:pt idx="63">
                  <c:v>2.7713040000000425E-3</c:v>
                </c:pt>
                <c:pt idx="64">
                  <c:v>1.6496000000000303E-3</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numCache>
            </c:numRef>
          </c:val>
          <c:smooth val="0"/>
        </c:ser>
        <c:dLbls>
          <c:showLegendKey val="0"/>
          <c:showVal val="0"/>
          <c:showCatName val="0"/>
          <c:showSerName val="0"/>
          <c:showPercent val="0"/>
          <c:showBubbleSize val="0"/>
        </c:dLbls>
        <c:smooth val="0"/>
        <c:axId val="290593304"/>
        <c:axId val="290593696"/>
      </c:lineChart>
      <c:catAx>
        <c:axId val="290593304"/>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290593696"/>
        <c:crosses val="autoZero"/>
        <c:auto val="1"/>
        <c:lblAlgn val="ctr"/>
        <c:lblOffset val="100"/>
        <c:tickLblSkip val="5"/>
        <c:tickMarkSkip val="1"/>
        <c:noMultiLvlLbl val="0"/>
      </c:catAx>
      <c:valAx>
        <c:axId val="290593696"/>
        <c:scaling>
          <c:orientation val="minMax"/>
          <c:max val="1"/>
        </c:scaling>
        <c:delete val="0"/>
        <c:axPos val="l"/>
        <c:majorGridlines/>
        <c:title>
          <c:tx>
            <c:rich>
              <a:bodyPr rot="-5400000" vert="horz"/>
              <a:lstStyle/>
              <a:p>
                <a:pPr>
                  <a:defRPr/>
                </a:pPr>
                <a:r>
                  <a:rPr lang="en-US"/>
                  <a:t>% Vehicles remaining after year X</a:t>
                </a:r>
              </a:p>
            </c:rich>
          </c:tx>
          <c:overlay val="0"/>
        </c:title>
        <c:numFmt formatCode="0.0%" sourceLinked="1"/>
        <c:majorTickMark val="out"/>
        <c:minorTickMark val="none"/>
        <c:tickLblPos val="nextTo"/>
        <c:crossAx val="290593304"/>
        <c:crosses val="autoZero"/>
        <c:crossBetween val="between"/>
      </c:valAx>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'2013 Vehicle Age-Year mfr'!$T$60</c:f>
              <c:strCache>
                <c:ptCount val="1"/>
                <c:pt idx="0">
                  <c:v>Model Year of Mfr</c:v>
                </c:pt>
              </c:strCache>
            </c:strRef>
          </c:tx>
          <c:marker>
            <c:symbol val="square"/>
            <c:size val="6"/>
          </c:marker>
          <c:cat>
            <c:numRef>
              <c:f>'2013 Vehicle Age-Year mfr'!$S$61:$S$124</c:f>
              <c:numCache>
                <c:formatCode>General</c:formatCode>
                <c:ptCount val="6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numCache>
            </c:numRef>
          </c:cat>
          <c:val>
            <c:numRef>
              <c:f>'2013 Vehicle Age-Year mfr'!$T$61:$T$124</c:f>
              <c:numCache>
                <c:formatCode>_-* #,##0_-;\-* #,##0_-;_-* "-"??_-;_-@_-</c:formatCode>
                <c:ptCount val="64"/>
                <c:pt idx="0">
                  <c:v>165.93066979708971</c:v>
                </c:pt>
                <c:pt idx="1">
                  <c:v>402.11549140344431</c:v>
                </c:pt>
                <c:pt idx="2">
                  <c:v>673.6873675535885</c:v>
                </c:pt>
                <c:pt idx="3">
                  <c:v>980.64629824730389</c:v>
                </c:pt>
                <c:pt idx="4">
                  <c:v>1322.9922834850211</c:v>
                </c:pt>
                <c:pt idx="5">
                  <c:v>1700.7253232665259</c:v>
                </c:pt>
                <c:pt idx="6">
                  <c:v>2113.845417591835</c:v>
                </c:pt>
                <c:pt idx="7">
                  <c:v>2562.3525664606332</c:v>
                </c:pt>
                <c:pt idx="8">
                  <c:v>3046.246769873535</c:v>
                </c:pt>
                <c:pt idx="9">
                  <c:v>3565.5280278302002</c:v>
                </c:pt>
                <c:pt idx="10">
                  <c:v>4120.1963403306527</c:v>
                </c:pt>
                <c:pt idx="11">
                  <c:v>4705.9881040431374</c:v>
                </c:pt>
                <c:pt idx="12">
                  <c:v>5326.4450703872326</c:v>
                </c:pt>
                <c:pt idx="13">
                  <c:v>5981.5672393626273</c:v>
                </c:pt>
                <c:pt idx="14">
                  <c:v>6671.3546109692734</c:v>
                </c:pt>
                <c:pt idx="15">
                  <c:v>7395.8071852068069</c:v>
                </c:pt>
                <c:pt idx="16">
                  <c:v>8154.9249620760138</c:v>
                </c:pt>
                <c:pt idx="17">
                  <c:v>8948.7079415765129</c:v>
                </c:pt>
                <c:pt idx="18">
                  <c:v>9777.1561237076585</c:v>
                </c:pt>
                <c:pt idx="19">
                  <c:v>10640.26950847091</c:v>
                </c:pt>
                <c:pt idx="20">
                  <c:v>11755.481623657379</c:v>
                </c:pt>
                <c:pt idx="21">
                  <c:v>12926.2529943916</c:v>
                </c:pt>
                <c:pt idx="22">
                  <c:v>14152.583620672829</c:v>
                </c:pt>
                <c:pt idx="23">
                  <c:v>15434.473502502215</c:v>
                </c:pt>
                <c:pt idx="24">
                  <c:v>16771.922639879096</c:v>
                </c:pt>
                <c:pt idx="25">
                  <c:v>17098.175957948079</c:v>
                </c:pt>
                <c:pt idx="26">
                  <c:v>17397.33585336402</c:v>
                </c:pt>
                <c:pt idx="27">
                  <c:v>17669.402326125517</c:v>
                </c:pt>
                <c:pt idx="28">
                  <c:v>17914.375376234057</c:v>
                </c:pt>
                <c:pt idx="29">
                  <c:v>18132.255003688981</c:v>
                </c:pt>
                <c:pt idx="30">
                  <c:v>19346.462596237841</c:v>
                </c:pt>
                <c:pt idx="31">
                  <c:v>20600.00475219006</c:v>
                </c:pt>
                <c:pt idx="32">
                  <c:v>21892.881471545057</c:v>
                </c:pt>
                <c:pt idx="33">
                  <c:v>23225.092754302899</c:v>
                </c:pt>
                <c:pt idx="34">
                  <c:v>24596.638600462917</c:v>
                </c:pt>
                <c:pt idx="35">
                  <c:v>24998.981752162621</c:v>
                </c:pt>
                <c:pt idx="36">
                  <c:v>25384.336990653381</c:v>
                </c:pt>
                <c:pt idx="37">
                  <c:v>55958.02513414844</c:v>
                </c:pt>
                <c:pt idx="38">
                  <c:v>74203.166513734875</c:v>
                </c:pt>
                <c:pt idx="39">
                  <c:v>96043.25507913559</c:v>
                </c:pt>
                <c:pt idx="40">
                  <c:v>122023.49613299599</c:v>
                </c:pt>
                <c:pt idx="41">
                  <c:v>151489.99475331898</c:v>
                </c:pt>
                <c:pt idx="42">
                  <c:v>183900.36983647945</c:v>
                </c:pt>
                <c:pt idx="43">
                  <c:v>218464.48375605929</c:v>
                </c:pt>
                <c:pt idx="44">
                  <c:v>275115.52199959179</c:v>
                </c:pt>
                <c:pt idx="45">
                  <c:v>329867.38788655179</c:v>
                </c:pt>
                <c:pt idx="46">
                  <c:v>376687.02657586522</c:v>
                </c:pt>
                <c:pt idx="47">
                  <c:v>464543.29034969385</c:v>
                </c:pt>
                <c:pt idx="48">
                  <c:v>566810.67093793233</c:v>
                </c:pt>
                <c:pt idx="49">
                  <c:v>594048.08336490823</c:v>
                </c:pt>
                <c:pt idx="50">
                  <c:v>630965.50707967626</c:v>
                </c:pt>
                <c:pt idx="51">
                  <c:v>650045.66028593481</c:v>
                </c:pt>
                <c:pt idx="52">
                  <c:v>720455.50425067428</c:v>
                </c:pt>
                <c:pt idx="53">
                  <c:v>819033.36064208241</c:v>
                </c:pt>
                <c:pt idx="54">
                  <c:v>879383.64749713941</c:v>
                </c:pt>
                <c:pt idx="55">
                  <c:v>924992.48732157529</c:v>
                </c:pt>
                <c:pt idx="56">
                  <c:v>911864.2622312156</c:v>
                </c:pt>
                <c:pt idx="57">
                  <c:v>1002970.5775663001</c:v>
                </c:pt>
                <c:pt idx="58">
                  <c:v>972430.00830261933</c:v>
                </c:pt>
                <c:pt idx="59">
                  <c:v>903991.59464819846</c:v>
                </c:pt>
                <c:pt idx="60">
                  <c:v>1001227.0843323297</c:v>
                </c:pt>
                <c:pt idx="61">
                  <c:v>976514.8873329839</c:v>
                </c:pt>
                <c:pt idx="62">
                  <c:v>1077859.3371474803</c:v>
                </c:pt>
                <c:pt idx="63">
                  <c:v>1101935.00171554</c:v>
                </c:pt>
              </c:numCache>
            </c:numRef>
          </c:val>
          <c:smooth val="0"/>
        </c:ser>
        <c:ser>
          <c:idx val="1"/>
          <c:order val="1"/>
          <c:tx>
            <c:strRef>
              <c:f>'2013 Vehicle Age-Year mfr'!$U$60</c:f>
              <c:strCache>
                <c:ptCount val="1"/>
                <c:pt idx="0">
                  <c:v>ABS Year of Mfr (registrations)</c:v>
                </c:pt>
              </c:strCache>
            </c:strRef>
          </c:tx>
          <c:marker>
            <c:symbol val="square"/>
            <c:size val="6"/>
          </c:marker>
          <c:cat>
            <c:numRef>
              <c:f>'2013 Vehicle Age-Year mfr'!$S$61:$S$124</c:f>
              <c:numCache>
                <c:formatCode>General</c:formatCode>
                <c:ptCount val="6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numCache>
            </c:numRef>
          </c:cat>
          <c:val>
            <c:numRef>
              <c:f>'2013 Vehicle Age-Year mfr'!$U$61:$U$124</c:f>
              <c:numCache>
                <c:formatCode>_-* #,##0_-;\-* #,##0_-;_-* "-"??_-;_-@_-</c:formatCode>
                <c:ptCount val="64"/>
                <c:pt idx="0">
                  <c:v>1014</c:v>
                </c:pt>
                <c:pt idx="1">
                  <c:v>1018</c:v>
                </c:pt>
                <c:pt idx="2">
                  <c:v>906</c:v>
                </c:pt>
                <c:pt idx="3">
                  <c:v>1235</c:v>
                </c:pt>
                <c:pt idx="4">
                  <c:v>1979</c:v>
                </c:pt>
                <c:pt idx="5">
                  <c:v>2420</c:v>
                </c:pt>
                <c:pt idx="6">
                  <c:v>2161</c:v>
                </c:pt>
                <c:pt idx="7">
                  <c:v>2546</c:v>
                </c:pt>
                <c:pt idx="8">
                  <c:v>2202</c:v>
                </c:pt>
                <c:pt idx="9">
                  <c:v>2668</c:v>
                </c:pt>
                <c:pt idx="10">
                  <c:v>2833</c:v>
                </c:pt>
                <c:pt idx="11">
                  <c:v>2388</c:v>
                </c:pt>
                <c:pt idx="12">
                  <c:v>4100</c:v>
                </c:pt>
                <c:pt idx="13">
                  <c:v>5034</c:v>
                </c:pt>
                <c:pt idx="14">
                  <c:v>8387</c:v>
                </c:pt>
                <c:pt idx="15">
                  <c:v>7488</c:v>
                </c:pt>
                <c:pt idx="16">
                  <c:v>9196</c:v>
                </c:pt>
                <c:pt idx="17">
                  <c:v>9373</c:v>
                </c:pt>
                <c:pt idx="18">
                  <c:v>9498</c:v>
                </c:pt>
                <c:pt idx="19">
                  <c:v>10658</c:v>
                </c:pt>
                <c:pt idx="20">
                  <c:v>13931</c:v>
                </c:pt>
                <c:pt idx="21">
                  <c:v>14928</c:v>
                </c:pt>
                <c:pt idx="22">
                  <c:v>12366</c:v>
                </c:pt>
                <c:pt idx="23">
                  <c:v>12965</c:v>
                </c:pt>
                <c:pt idx="24">
                  <c:v>15693</c:v>
                </c:pt>
                <c:pt idx="25">
                  <c:v>14109</c:v>
                </c:pt>
                <c:pt idx="26">
                  <c:v>16136</c:v>
                </c:pt>
                <c:pt idx="27">
                  <c:v>17017</c:v>
                </c:pt>
                <c:pt idx="28">
                  <c:v>18878</c:v>
                </c:pt>
                <c:pt idx="29">
                  <c:v>16583</c:v>
                </c:pt>
                <c:pt idx="30">
                  <c:v>15001</c:v>
                </c:pt>
                <c:pt idx="31">
                  <c:v>18591</c:v>
                </c:pt>
                <c:pt idx="32">
                  <c:v>21858</c:v>
                </c:pt>
                <c:pt idx="33">
                  <c:v>23779</c:v>
                </c:pt>
                <c:pt idx="34">
                  <c:v>38540</c:v>
                </c:pt>
                <c:pt idx="35">
                  <c:v>52313</c:v>
                </c:pt>
                <c:pt idx="36">
                  <c:v>43662</c:v>
                </c:pt>
                <c:pt idx="37">
                  <c:v>41137</c:v>
                </c:pt>
                <c:pt idx="38">
                  <c:v>71691</c:v>
                </c:pt>
                <c:pt idx="39">
                  <c:v>111641</c:v>
                </c:pt>
                <c:pt idx="40">
                  <c:v>144361</c:v>
                </c:pt>
                <c:pt idx="41">
                  <c:v>142669</c:v>
                </c:pt>
                <c:pt idx="42">
                  <c:v>176569</c:v>
                </c:pt>
                <c:pt idx="43">
                  <c:v>208488</c:v>
                </c:pt>
                <c:pt idx="44">
                  <c:v>267441</c:v>
                </c:pt>
                <c:pt idx="45">
                  <c:v>306257</c:v>
                </c:pt>
                <c:pt idx="46">
                  <c:v>340675</c:v>
                </c:pt>
                <c:pt idx="47">
                  <c:v>436148</c:v>
                </c:pt>
                <c:pt idx="48">
                  <c:v>552887</c:v>
                </c:pt>
                <c:pt idx="49">
                  <c:v>572595</c:v>
                </c:pt>
                <c:pt idx="50">
                  <c:v>630606</c:v>
                </c:pt>
                <c:pt idx="51">
                  <c:v>646145</c:v>
                </c:pt>
                <c:pt idx="52">
                  <c:v>703684</c:v>
                </c:pt>
                <c:pt idx="53">
                  <c:v>812327</c:v>
                </c:pt>
                <c:pt idx="54">
                  <c:v>851792</c:v>
                </c:pt>
                <c:pt idx="55">
                  <c:v>912410</c:v>
                </c:pt>
                <c:pt idx="56">
                  <c:v>890217</c:v>
                </c:pt>
                <c:pt idx="57">
                  <c:v>954345</c:v>
                </c:pt>
                <c:pt idx="58">
                  <c:v>948200</c:v>
                </c:pt>
                <c:pt idx="59">
                  <c:v>871715</c:v>
                </c:pt>
                <c:pt idx="60">
                  <c:v>1001662.9999999995</c:v>
                </c:pt>
                <c:pt idx="61">
                  <c:v>945342</c:v>
                </c:pt>
                <c:pt idx="62">
                  <c:v>1076700</c:v>
                </c:pt>
                <c:pt idx="63">
                  <c:v>998154</c:v>
                </c:pt>
              </c:numCache>
            </c:numRef>
          </c:val>
          <c:smooth val="0"/>
        </c:ser>
        <c:dLbls>
          <c:showLegendKey val="0"/>
          <c:showVal val="0"/>
          <c:showCatName val="0"/>
          <c:showSerName val="0"/>
          <c:showPercent val="0"/>
          <c:showBubbleSize val="0"/>
        </c:dLbls>
        <c:marker val="1"/>
        <c:smooth val="0"/>
        <c:axId val="290594480"/>
        <c:axId val="290594872"/>
      </c:lineChart>
      <c:catAx>
        <c:axId val="290594480"/>
        <c:scaling>
          <c:orientation val="minMax"/>
        </c:scaling>
        <c:delete val="0"/>
        <c:axPos val="b"/>
        <c:numFmt formatCode="General" sourceLinked="1"/>
        <c:majorTickMark val="none"/>
        <c:minorTickMark val="none"/>
        <c:tickLblPos val="nextTo"/>
        <c:crossAx val="290594872"/>
        <c:crosses val="autoZero"/>
        <c:auto val="1"/>
        <c:lblAlgn val="ctr"/>
        <c:lblOffset val="100"/>
        <c:tickLblSkip val="5"/>
        <c:noMultiLvlLbl val="0"/>
      </c:catAx>
      <c:valAx>
        <c:axId val="290594872"/>
        <c:scaling>
          <c:orientation val="minMax"/>
        </c:scaling>
        <c:delete val="0"/>
        <c:axPos val="l"/>
        <c:majorGridlines/>
        <c:numFmt formatCode="_-* #,##0_-;\-* #,##0_-;_-* &quot;-&quot;??_-;_-@_-" sourceLinked="1"/>
        <c:majorTickMark val="none"/>
        <c:minorTickMark val="none"/>
        <c:tickLblPos val="nextTo"/>
        <c:spPr>
          <a:ln w="9525">
            <a:noFill/>
          </a:ln>
        </c:spPr>
        <c:crossAx val="290594480"/>
        <c:crosses val="autoZero"/>
        <c:crossBetween val="between"/>
      </c:valAx>
    </c:plotArea>
    <c:legend>
      <c:legendPos val="b"/>
      <c:overlay val="0"/>
    </c:legend>
    <c:plotVisOnly val="1"/>
    <c:dispBlanksAs val="gap"/>
    <c:showDLblsOverMax val="0"/>
  </c:chart>
  <c:spPr>
    <a:ln>
      <a:noFill/>
    </a:ln>
  </c:spPr>
  <c:txPr>
    <a:bodyPr/>
    <a:lstStyle/>
    <a:p>
      <a:pPr>
        <a:defRPr sz="800"/>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'ELV Model'!$AL$226</c:f>
              <c:strCache>
                <c:ptCount val="1"/>
                <c:pt idx="0">
                  <c:v>Model Stock</c:v>
                </c:pt>
              </c:strCache>
            </c:strRef>
          </c:tx>
          <c:marker>
            <c:symbol val="square"/>
            <c:size val="6"/>
          </c:marker>
          <c:cat>
            <c:numRef>
              <c:f>'ELV Model'!$CK$211:$DO$211</c:f>
              <c:numCache>
                <c:formatCode>General</c:formatCode>
                <c:ptCount val="3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pt idx="30">
                  <c:v>2025</c:v>
                </c:pt>
              </c:numCache>
            </c:numRef>
          </c:cat>
          <c:val>
            <c:numRef>
              <c:f>'ELV Model'!$CK$226:$DO$226</c:f>
              <c:numCache>
                <c:formatCode>#,##0</c:formatCode>
                <c:ptCount val="31"/>
                <c:pt idx="0">
                  <c:v>10780652.155633204</c:v>
                </c:pt>
                <c:pt idx="1">
                  <c:v>10873440.197158895</c:v>
                </c:pt>
                <c:pt idx="2">
                  <c:v>11030680.005702203</c:v>
                </c:pt>
                <c:pt idx="3">
                  <c:v>11265169.139989801</c:v>
                </c:pt>
                <c:pt idx="4">
                  <c:v>11474802.026835496</c:v>
                </c:pt>
                <c:pt idx="5">
                  <c:v>11680564.939445598</c:v>
                </c:pt>
                <c:pt idx="6">
                  <c:v>11868531.414988307</c:v>
                </c:pt>
                <c:pt idx="7">
                  <c:v>12104132.713996593</c:v>
                </c:pt>
                <c:pt idx="8">
                  <c:v>12419513.570490193</c:v>
                </c:pt>
                <c:pt idx="9">
                  <c:v>12775042.291823693</c:v>
                </c:pt>
                <c:pt idx="10">
                  <c:v>13157893.365776105</c:v>
                </c:pt>
                <c:pt idx="11">
                  <c:v>13510257.63072459</c:v>
                </c:pt>
                <c:pt idx="12">
                  <c:v>13939609.351793502</c:v>
                </c:pt>
                <c:pt idx="13">
                  <c:v>14323821.147206495</c:v>
                </c:pt>
                <c:pt idx="14">
                  <c:v>14625922.553340895</c:v>
                </c:pt>
                <c:pt idx="15">
                  <c:v>15012652.68296</c:v>
                </c:pt>
                <c:pt idx="16">
                  <c:v>15360857.203930503</c:v>
                </c:pt>
                <c:pt idx="17">
                  <c:v>15796490.411779203</c:v>
                </c:pt>
                <c:pt idx="18">
                  <c:v>16240312.729235394</c:v>
                </c:pt>
                <c:pt idx="19">
                  <c:v>16682885.472571405</c:v>
                </c:pt>
                <c:pt idx="20">
                  <c:v>17130993.637567401</c:v>
                </c:pt>
                <c:pt idx="21">
                  <c:v>17583020.133466601</c:v>
                </c:pt>
                <c:pt idx="22">
                  <c:v>18037526.696965709</c:v>
                </c:pt>
                <c:pt idx="23">
                  <c:v>18493522.178547401</c:v>
                </c:pt>
                <c:pt idx="24">
                  <c:v>18950290.612369407</c:v>
                </c:pt>
                <c:pt idx="25">
                  <c:v>19407373.298388805</c:v>
                </c:pt>
                <c:pt idx="26">
                  <c:v>19863021.47372631</c:v>
                </c:pt>
                <c:pt idx="27">
                  <c:v>20318568.857547991</c:v>
                </c:pt>
                <c:pt idx="28">
                  <c:v>20775059.93992411</c:v>
                </c:pt>
                <c:pt idx="29">
                  <c:v>21230450.096847996</c:v>
                </c:pt>
                <c:pt idx="30">
                  <c:v>21685632.354968</c:v>
                </c:pt>
              </c:numCache>
            </c:numRef>
          </c:val>
          <c:smooth val="0"/>
        </c:ser>
        <c:ser>
          <c:idx val="1"/>
          <c:order val="1"/>
          <c:tx>
            <c:strRef>
              <c:f>'ELV Model'!$AL$227</c:f>
              <c:strCache>
                <c:ptCount val="1"/>
                <c:pt idx="0">
                  <c:v>ABS Stock (registrations)</c:v>
                </c:pt>
              </c:strCache>
            </c:strRef>
          </c:tx>
          <c:marker>
            <c:symbol val="square"/>
            <c:size val="6"/>
          </c:marker>
          <c:cat>
            <c:numRef>
              <c:f>'ELV Model'!$CK$211:$DO$211</c:f>
              <c:numCache>
                <c:formatCode>General</c:formatCode>
                <c:ptCount val="3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pt idx="30">
                  <c:v>2025</c:v>
                </c:pt>
              </c:numCache>
            </c:numRef>
          </c:cat>
          <c:val>
            <c:numRef>
              <c:f>'ELV Model'!$CK$227:$DO$227</c:f>
              <c:numCache>
                <c:formatCode>#,##0</c:formatCode>
                <c:ptCount val="31"/>
                <c:pt idx="0">
                  <c:v>10444978</c:v>
                </c:pt>
                <c:pt idx="1">
                  <c:v>10838455</c:v>
                </c:pt>
                <c:pt idx="2">
                  <c:v>11213165.999999994</c:v>
                </c:pt>
                <c:pt idx="3">
                  <c:v>11407469.000000002</c:v>
                </c:pt>
                <c:pt idx="4">
                  <c:v>11506468</c:v>
                </c:pt>
                <c:pt idx="5">
                  <c:v>11605467</c:v>
                </c:pt>
                <c:pt idx="6">
                  <c:v>11921434.000000002</c:v>
                </c:pt>
                <c:pt idx="7">
                  <c:v>12245695.999999993</c:v>
                </c:pt>
                <c:pt idx="8">
                  <c:v>12581887</c:v>
                </c:pt>
                <c:pt idx="9">
                  <c:v>12926663.999999994</c:v>
                </c:pt>
                <c:pt idx="10">
                  <c:v>13303212.999999994</c:v>
                </c:pt>
                <c:pt idx="11">
                  <c:v>13651959</c:v>
                </c:pt>
                <c:pt idx="12">
                  <c:v>14091751.999999994</c:v>
                </c:pt>
                <c:pt idx="13">
                  <c:v>14340180</c:v>
                </c:pt>
                <c:pt idx="14">
                  <c:v>14729873</c:v>
                </c:pt>
                <c:pt idx="15">
                  <c:v>15004674</c:v>
                </c:pt>
                <c:pt idx="16">
                  <c:v>15332033.999999994</c:v>
                </c:pt>
                <c:pt idx="17">
                  <c:v>15717693.999999994</c:v>
                </c:pt>
                <c:pt idx="18">
                  <c:v>16121311.999999994</c:v>
                </c:pt>
              </c:numCache>
            </c:numRef>
          </c:val>
          <c:smooth val="0"/>
        </c:ser>
        <c:dLbls>
          <c:showLegendKey val="0"/>
          <c:showVal val="0"/>
          <c:showCatName val="0"/>
          <c:showSerName val="0"/>
          <c:showPercent val="0"/>
          <c:showBubbleSize val="0"/>
        </c:dLbls>
        <c:marker val="1"/>
        <c:smooth val="0"/>
        <c:axId val="290595656"/>
        <c:axId val="290596048"/>
      </c:lineChart>
      <c:catAx>
        <c:axId val="290595656"/>
        <c:scaling>
          <c:orientation val="minMax"/>
        </c:scaling>
        <c:delete val="0"/>
        <c:axPos val="b"/>
        <c:numFmt formatCode="General" sourceLinked="1"/>
        <c:majorTickMark val="none"/>
        <c:minorTickMark val="none"/>
        <c:tickLblPos val="nextTo"/>
        <c:crossAx val="290596048"/>
        <c:crosses val="autoZero"/>
        <c:auto val="1"/>
        <c:lblAlgn val="ctr"/>
        <c:lblOffset val="100"/>
        <c:tickLblSkip val="5"/>
        <c:noMultiLvlLbl val="0"/>
      </c:catAx>
      <c:valAx>
        <c:axId val="290596048"/>
        <c:scaling>
          <c:orientation val="minMax"/>
        </c:scaling>
        <c:delete val="0"/>
        <c:axPos val="l"/>
        <c:majorGridlines/>
        <c:numFmt formatCode="#,##0" sourceLinked="1"/>
        <c:majorTickMark val="none"/>
        <c:minorTickMark val="none"/>
        <c:tickLblPos val="nextTo"/>
        <c:spPr>
          <a:ln w="9525">
            <a:noFill/>
          </a:ln>
        </c:spPr>
        <c:crossAx val="290595656"/>
        <c:crosses val="autoZero"/>
        <c:crossBetween val="between"/>
      </c:valAx>
    </c:plotArea>
    <c:legend>
      <c:legendPos val="b"/>
      <c:overlay val="0"/>
    </c:legend>
    <c:plotVisOnly val="1"/>
    <c:dispBlanksAs val="gap"/>
    <c:showDLblsOverMax val="0"/>
  </c:chart>
  <c:spPr>
    <a:ln>
      <a:noFill/>
    </a:ln>
  </c:spPr>
  <c:txPr>
    <a:bodyPr/>
    <a:lstStyle/>
    <a:p>
      <a:pPr>
        <a:defRPr sz="800"/>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'ELV Model'!$AL$4</c:f>
              <c:strCache>
                <c:ptCount val="1"/>
                <c:pt idx="0">
                  <c:v>Sales</c:v>
                </c:pt>
              </c:strCache>
            </c:strRef>
          </c:tx>
          <c:marker>
            <c:symbol val="none"/>
          </c:marker>
          <c:cat>
            <c:numRef>
              <c:f>'ELV Model'!$AM$3:$DO$3</c:f>
              <c:numCache>
                <c:formatCode>General</c:formatCode>
                <c:ptCount val="81"/>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pt idx="75">
                  <c:v>2020</c:v>
                </c:pt>
                <c:pt idx="76">
                  <c:v>2021</c:v>
                </c:pt>
                <c:pt idx="77">
                  <c:v>2022</c:v>
                </c:pt>
                <c:pt idx="78">
                  <c:v>2023</c:v>
                </c:pt>
                <c:pt idx="79">
                  <c:v>2024</c:v>
                </c:pt>
                <c:pt idx="80">
                  <c:v>2025</c:v>
                </c:pt>
              </c:numCache>
            </c:numRef>
          </c:cat>
          <c:val>
            <c:numRef>
              <c:f>'ELV Model'!$AM$4:$DO$4</c:f>
              <c:numCache>
                <c:formatCode>#,##0</c:formatCode>
                <c:ptCount val="81"/>
                <c:pt idx="0">
                  <c:v>100000</c:v>
                </c:pt>
                <c:pt idx="1">
                  <c:v>115300.584</c:v>
                </c:pt>
                <c:pt idx="2">
                  <c:v>130601.16800000002</c:v>
                </c:pt>
                <c:pt idx="3">
                  <c:v>145901.75199999969</c:v>
                </c:pt>
                <c:pt idx="4">
                  <c:v>161202.33599999998</c:v>
                </c:pt>
                <c:pt idx="5">
                  <c:v>176502.9199999999</c:v>
                </c:pt>
                <c:pt idx="6">
                  <c:v>191803.5039999999</c:v>
                </c:pt>
                <c:pt idx="7">
                  <c:v>207104.08799999999</c:v>
                </c:pt>
                <c:pt idx="8">
                  <c:v>222404.67200000011</c:v>
                </c:pt>
                <c:pt idx="9">
                  <c:v>237705.25599999979</c:v>
                </c:pt>
                <c:pt idx="10">
                  <c:v>253005.83999999968</c:v>
                </c:pt>
                <c:pt idx="11">
                  <c:v>268306.42400000099</c:v>
                </c:pt>
                <c:pt idx="12">
                  <c:v>283607.0079999998</c:v>
                </c:pt>
                <c:pt idx="13">
                  <c:v>298907.59199999995</c:v>
                </c:pt>
                <c:pt idx="14">
                  <c:v>314208.1759999998</c:v>
                </c:pt>
                <c:pt idx="15">
                  <c:v>329508.76</c:v>
                </c:pt>
                <c:pt idx="16">
                  <c:v>344497.23111111217</c:v>
                </c:pt>
                <c:pt idx="17">
                  <c:v>359485.70222222211</c:v>
                </c:pt>
                <c:pt idx="18">
                  <c:v>374474.17333333322</c:v>
                </c:pt>
                <c:pt idx="19">
                  <c:v>389462.64444444416</c:v>
                </c:pt>
                <c:pt idx="20">
                  <c:v>404451.11555555539</c:v>
                </c:pt>
                <c:pt idx="21">
                  <c:v>419439.58666666661</c:v>
                </c:pt>
                <c:pt idx="22">
                  <c:v>434428.05777777749</c:v>
                </c:pt>
                <c:pt idx="23">
                  <c:v>449416.52888888784</c:v>
                </c:pt>
                <c:pt idx="24">
                  <c:v>464405</c:v>
                </c:pt>
                <c:pt idx="25">
                  <c:v>488427.6</c:v>
                </c:pt>
                <c:pt idx="26">
                  <c:v>512450.2</c:v>
                </c:pt>
                <c:pt idx="27">
                  <c:v>536472.80000000005</c:v>
                </c:pt>
                <c:pt idx="28">
                  <c:v>560495.4</c:v>
                </c:pt>
                <c:pt idx="29">
                  <c:v>584518</c:v>
                </c:pt>
                <c:pt idx="30">
                  <c:v>572803.4</c:v>
                </c:pt>
                <c:pt idx="31">
                  <c:v>561088.80000000005</c:v>
                </c:pt>
                <c:pt idx="32">
                  <c:v>549374.19999999134</c:v>
                </c:pt>
                <c:pt idx="33">
                  <c:v>537659.6</c:v>
                </c:pt>
                <c:pt idx="34">
                  <c:v>525945</c:v>
                </c:pt>
                <c:pt idx="35">
                  <c:v>542952.4</c:v>
                </c:pt>
                <c:pt idx="36">
                  <c:v>559959.80000000005</c:v>
                </c:pt>
                <c:pt idx="37">
                  <c:v>576967.19999999134</c:v>
                </c:pt>
                <c:pt idx="38">
                  <c:v>593974.6</c:v>
                </c:pt>
                <c:pt idx="39">
                  <c:v>610982</c:v>
                </c:pt>
                <c:pt idx="40">
                  <c:v>603636.80000000005</c:v>
                </c:pt>
                <c:pt idx="41">
                  <c:v>596291.6</c:v>
                </c:pt>
                <c:pt idx="42">
                  <c:v>588946.4</c:v>
                </c:pt>
                <c:pt idx="43">
                  <c:v>581601.19999999134</c:v>
                </c:pt>
                <c:pt idx="44">
                  <c:v>574256</c:v>
                </c:pt>
                <c:pt idx="45">
                  <c:v>569867.25</c:v>
                </c:pt>
                <c:pt idx="46">
                  <c:v>565478.5</c:v>
                </c:pt>
                <c:pt idx="47">
                  <c:v>561089.75</c:v>
                </c:pt>
                <c:pt idx="48">
                  <c:v>556701</c:v>
                </c:pt>
                <c:pt idx="49">
                  <c:v>597768.3199999989</c:v>
                </c:pt>
                <c:pt idx="50">
                  <c:v>623280.28999998968</c:v>
                </c:pt>
                <c:pt idx="51">
                  <c:v>630547.53</c:v>
                </c:pt>
                <c:pt idx="52">
                  <c:v>700962.74</c:v>
                </c:pt>
                <c:pt idx="53">
                  <c:v>783438.92999999889</c:v>
                </c:pt>
                <c:pt idx="54">
                  <c:v>763210.54999999888</c:v>
                </c:pt>
                <c:pt idx="55">
                  <c:v>763487</c:v>
                </c:pt>
                <c:pt idx="56">
                  <c:v>749500.5699999989</c:v>
                </c:pt>
                <c:pt idx="57">
                  <c:v>799579.73</c:v>
                </c:pt>
                <c:pt idx="58">
                  <c:v>882516.66999999888</c:v>
                </c:pt>
                <c:pt idx="59">
                  <c:v>926572.13</c:v>
                </c:pt>
                <c:pt idx="60">
                  <c:v>958620.92999999889</c:v>
                </c:pt>
                <c:pt idx="61">
                  <c:v>933786.02</c:v>
                </c:pt>
                <c:pt idx="62">
                  <c:v>1018482.5400000004</c:v>
                </c:pt>
                <c:pt idx="63">
                  <c:v>981800.04999999888</c:v>
                </c:pt>
                <c:pt idx="64">
                  <c:v>909208.16</c:v>
                </c:pt>
                <c:pt idx="65">
                  <c:v>1004506.7799999993</c:v>
                </c:pt>
                <c:pt idx="66">
                  <c:v>978183.89</c:v>
                </c:pt>
                <c:pt idx="67">
                  <c:v>1078671.04</c:v>
                </c:pt>
                <c:pt idx="68">
                  <c:v>1102140.1900000006</c:v>
                </c:pt>
                <c:pt idx="69">
                  <c:v>1118229.1666666707</c:v>
                </c:pt>
                <c:pt idx="70">
                  <c:v>1142962.8421052808</c:v>
                </c:pt>
                <c:pt idx="71">
                  <c:v>1167696.5175438703</c:v>
                </c:pt>
                <c:pt idx="72">
                  <c:v>1192430.1929824608</c:v>
                </c:pt>
                <c:pt idx="73">
                  <c:v>1217163.86842106</c:v>
                </c:pt>
                <c:pt idx="74">
                  <c:v>1241897.5438596602</c:v>
                </c:pt>
                <c:pt idx="75">
                  <c:v>1266631.2192982498</c:v>
                </c:pt>
                <c:pt idx="76">
                  <c:v>1291364.8947368504</c:v>
                </c:pt>
                <c:pt idx="77">
                  <c:v>1316098.5701754405</c:v>
                </c:pt>
                <c:pt idx="78">
                  <c:v>1340832.2456140397</c:v>
                </c:pt>
                <c:pt idx="79">
                  <c:v>1365565.9210526396</c:v>
                </c:pt>
                <c:pt idx="80">
                  <c:v>1390299.5964912407</c:v>
                </c:pt>
              </c:numCache>
            </c:numRef>
          </c:val>
          <c:smooth val="0"/>
        </c:ser>
        <c:dLbls>
          <c:showLegendKey val="0"/>
          <c:showVal val="0"/>
          <c:showCatName val="0"/>
          <c:showSerName val="0"/>
          <c:showPercent val="0"/>
          <c:showBubbleSize val="0"/>
        </c:dLbls>
        <c:smooth val="0"/>
        <c:axId val="290596832"/>
        <c:axId val="290597224"/>
      </c:lineChart>
      <c:catAx>
        <c:axId val="290596832"/>
        <c:scaling>
          <c:orientation val="minMax"/>
        </c:scaling>
        <c:delete val="0"/>
        <c:axPos val="b"/>
        <c:numFmt formatCode="General" sourceLinked="1"/>
        <c:majorTickMark val="out"/>
        <c:minorTickMark val="none"/>
        <c:tickLblPos val="nextTo"/>
        <c:crossAx val="290597224"/>
        <c:crosses val="autoZero"/>
        <c:auto val="1"/>
        <c:lblAlgn val="ctr"/>
        <c:lblOffset val="100"/>
        <c:tickLblSkip val="5"/>
        <c:noMultiLvlLbl val="0"/>
      </c:catAx>
      <c:valAx>
        <c:axId val="290597224"/>
        <c:scaling>
          <c:orientation val="minMax"/>
        </c:scaling>
        <c:delete val="0"/>
        <c:axPos val="l"/>
        <c:majorGridlines/>
        <c:title>
          <c:tx>
            <c:rich>
              <a:bodyPr rot="-5400000" vert="horz"/>
              <a:lstStyle/>
              <a:p>
                <a:pPr>
                  <a:defRPr/>
                </a:pPr>
                <a:r>
                  <a:rPr lang="en-US"/>
                  <a:t>New vehicle sales per annum</a:t>
                </a:r>
              </a:p>
            </c:rich>
          </c:tx>
          <c:overlay val="0"/>
        </c:title>
        <c:numFmt formatCode="#,##0" sourceLinked="1"/>
        <c:majorTickMark val="out"/>
        <c:minorTickMark val="none"/>
        <c:tickLblPos val="nextTo"/>
        <c:crossAx val="290596832"/>
        <c:crosses val="autoZero"/>
        <c:crossBetween val="between"/>
      </c:valAx>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'ELV Model'!$AL$244</c:f>
              <c:strCache>
                <c:ptCount val="1"/>
                <c:pt idx="0">
                  <c:v>Model</c:v>
                </c:pt>
              </c:strCache>
            </c:strRef>
          </c:tx>
          <c:marker>
            <c:symbol val="square"/>
            <c:size val="4"/>
          </c:marker>
          <c:cat>
            <c:numRef>
              <c:f>'ELV Model'!$CX$229:$DO$229</c:f>
              <c:numCache>
                <c:formatCode>General</c:formatCode>
                <c:ptCount val="18"/>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numCache>
            </c:numRef>
          </c:cat>
          <c:val>
            <c:numRef>
              <c:f>'ELV Model'!$CX$244:$DO$244</c:f>
              <c:numCache>
                <c:formatCode>#,##0</c:formatCode>
                <c:ptCount val="18"/>
                <c:pt idx="0">
                  <c:v>597588.2545870099</c:v>
                </c:pt>
                <c:pt idx="1">
                  <c:v>607106.75386563945</c:v>
                </c:pt>
                <c:pt idx="2">
                  <c:v>617776.65038089489</c:v>
                </c:pt>
                <c:pt idx="3">
                  <c:v>629979.36902946641</c:v>
                </c:pt>
                <c:pt idx="4">
                  <c:v>643037.83215132402</c:v>
                </c:pt>
                <c:pt idx="5">
                  <c:v>658317.87254382193</c:v>
                </c:pt>
                <c:pt idx="6">
                  <c:v>675656.42333066731</c:v>
                </c:pt>
                <c:pt idx="7">
                  <c:v>694854.67710934626</c:v>
                </c:pt>
                <c:pt idx="8">
                  <c:v>715670.02164458425</c:v>
                </c:pt>
                <c:pt idx="9">
                  <c:v>737923.62948334904</c:v>
                </c:pt>
                <c:pt idx="10">
                  <c:v>761168.38683936582</c:v>
                </c:pt>
                <c:pt idx="11">
                  <c:v>785129.11003759853</c:v>
                </c:pt>
                <c:pt idx="12">
                  <c:v>809548.53327890125</c:v>
                </c:pt>
                <c:pt idx="13">
                  <c:v>835716.71939930331</c:v>
                </c:pt>
                <c:pt idx="14">
                  <c:v>860551.1863538092</c:v>
                </c:pt>
                <c:pt idx="15">
                  <c:v>884341.16323787742</c:v>
                </c:pt>
                <c:pt idx="16">
                  <c:v>910175.76412864926</c:v>
                </c:pt>
                <c:pt idx="17">
                  <c:v>935117.33837133471</c:v>
                </c:pt>
              </c:numCache>
            </c:numRef>
          </c:val>
          <c:smooth val="0"/>
        </c:ser>
        <c:ser>
          <c:idx val="1"/>
          <c:order val="1"/>
          <c:tx>
            <c:strRef>
              <c:f>'ELV Model'!$AL$245</c:f>
              <c:strCache>
                <c:ptCount val="1"/>
                <c:pt idx="0">
                  <c:v>ABS Attrition</c:v>
                </c:pt>
              </c:strCache>
            </c:strRef>
          </c:tx>
          <c:marker>
            <c:symbol val="square"/>
            <c:size val="4"/>
          </c:marker>
          <c:cat>
            <c:numRef>
              <c:f>'ELV Model'!$CX$229:$DO$229</c:f>
              <c:numCache>
                <c:formatCode>General</c:formatCode>
                <c:ptCount val="18"/>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numCache>
            </c:numRef>
          </c:cat>
          <c:val>
            <c:numRef>
              <c:f>'ELV Model'!$CX$245:$DO$245</c:f>
              <c:numCache>
                <c:formatCode>#,##0</c:formatCode>
                <c:ptCount val="18"/>
                <c:pt idx="0">
                  <c:v>614695.67999999062</c:v>
                </c:pt>
                <c:pt idx="1">
                  <c:v>600519.36000000045</c:v>
                </c:pt>
                <c:pt idx="2">
                  <c:v>545979.84000000043</c:v>
                </c:pt>
                <c:pt idx="3">
                  <c:v>642118.08000000007</c:v>
                </c:pt>
                <c:pt idx="4">
                  <c:v>688484.15999999887</c:v>
                </c:pt>
                <c:pt idx="5">
                  <c:v>687001.91999999888</c:v>
                </c:pt>
              </c:numCache>
            </c:numRef>
          </c:val>
          <c:smooth val="0"/>
        </c:ser>
        <c:dLbls>
          <c:showLegendKey val="0"/>
          <c:showVal val="0"/>
          <c:showCatName val="0"/>
          <c:showSerName val="0"/>
          <c:showPercent val="0"/>
          <c:showBubbleSize val="0"/>
        </c:dLbls>
        <c:marker val="1"/>
        <c:smooth val="0"/>
        <c:axId val="290598008"/>
        <c:axId val="290598400"/>
      </c:lineChart>
      <c:catAx>
        <c:axId val="290598008"/>
        <c:scaling>
          <c:orientation val="minMax"/>
        </c:scaling>
        <c:delete val="0"/>
        <c:axPos val="b"/>
        <c:numFmt formatCode="General" sourceLinked="1"/>
        <c:majorTickMark val="none"/>
        <c:minorTickMark val="none"/>
        <c:tickLblPos val="nextTo"/>
        <c:txPr>
          <a:bodyPr/>
          <a:lstStyle/>
          <a:p>
            <a:pPr>
              <a:defRPr sz="800"/>
            </a:pPr>
            <a:endParaRPr lang="en-US"/>
          </a:p>
        </c:txPr>
        <c:crossAx val="290598400"/>
        <c:crosses val="autoZero"/>
        <c:auto val="1"/>
        <c:lblAlgn val="ctr"/>
        <c:lblOffset val="100"/>
        <c:noMultiLvlLbl val="0"/>
      </c:catAx>
      <c:valAx>
        <c:axId val="290598400"/>
        <c:scaling>
          <c:orientation val="minMax"/>
        </c:scaling>
        <c:delete val="0"/>
        <c:axPos val="l"/>
        <c:majorGridlines/>
        <c:title>
          <c:tx>
            <c:rich>
              <a:bodyPr rot="-5400000" vert="horz"/>
              <a:lstStyle/>
              <a:p>
                <a:pPr>
                  <a:defRPr sz="800"/>
                </a:pPr>
                <a:r>
                  <a:rPr lang="en-US" sz="800"/>
                  <a:t>ELVs (vehices)</a:t>
                </a:r>
              </a:p>
            </c:rich>
          </c:tx>
          <c:layout>
            <c:manualLayout>
              <c:xMode val="edge"/>
              <c:yMode val="edge"/>
              <c:x val="2.6047319296722517E-2"/>
              <c:y val="0.25490050693509808"/>
            </c:manualLayout>
          </c:layout>
          <c:overlay val="0"/>
        </c:title>
        <c:numFmt formatCode="#,##0" sourceLinked="1"/>
        <c:majorTickMark val="none"/>
        <c:minorTickMark val="none"/>
        <c:tickLblPos val="nextTo"/>
        <c:spPr>
          <a:ln w="9525">
            <a:noFill/>
          </a:ln>
        </c:spPr>
        <c:txPr>
          <a:bodyPr/>
          <a:lstStyle/>
          <a:p>
            <a:pPr>
              <a:defRPr sz="800"/>
            </a:pPr>
            <a:endParaRPr lang="en-US"/>
          </a:p>
        </c:txPr>
        <c:crossAx val="290598008"/>
        <c:crosses val="autoZero"/>
        <c:crossBetween val="between"/>
      </c:valAx>
    </c:plotArea>
    <c:legend>
      <c:legendPos val="b"/>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4.6189336763984679E-2"/>
          <c:y val="5.4303278688524713E-2"/>
          <c:w val="0.57876530069185705"/>
          <c:h val="0.89139344262295073"/>
        </c:manualLayout>
      </c:layout>
      <c:pieChart>
        <c:varyColors val="1"/>
        <c:ser>
          <c:idx val="8"/>
          <c:order val="8"/>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'1f Bank by equipment segment'!$B$72:$B$75</c:f>
              <c:strCache>
                <c:ptCount val="4"/>
                <c:pt idx="0">
                  <c:v>Stationary AC</c:v>
                </c:pt>
                <c:pt idx="1">
                  <c:v>Mobile AC</c:v>
                </c:pt>
                <c:pt idx="2">
                  <c:v>Domestic refrigeration</c:v>
                </c:pt>
                <c:pt idx="3">
                  <c:v>Refrigerated cold food chain</c:v>
                </c:pt>
              </c:strCache>
            </c:strRef>
          </c:cat>
          <c:val>
            <c:numRef>
              <c:f>'1f Bank by equipment segment'!$C$72:$C$75</c:f>
              <c:numCache>
                <c:formatCode>#,##0</c:formatCode>
                <c:ptCount val="4"/>
                <c:pt idx="0">
                  <c:v>28816.430827590557</c:v>
                </c:pt>
                <c:pt idx="1">
                  <c:v>9474.5617074887214</c:v>
                </c:pt>
                <c:pt idx="2">
                  <c:v>2236.6852840671613</c:v>
                </c:pt>
                <c:pt idx="3">
                  <c:v>5110.1221704343143</c:v>
                </c:pt>
              </c:numCache>
            </c:numRef>
          </c:val>
        </c:ser>
        <c:ser>
          <c:idx val="9"/>
          <c:order val="9"/>
          <c:cat>
            <c:strRef>
              <c:f>'1f Bank by equipment segment'!$B$72:$B$75</c:f>
              <c:strCache>
                <c:ptCount val="4"/>
                <c:pt idx="0">
                  <c:v>Stationary AC</c:v>
                </c:pt>
                <c:pt idx="1">
                  <c:v>Mobile AC</c:v>
                </c:pt>
                <c:pt idx="2">
                  <c:v>Domestic refrigeration</c:v>
                </c:pt>
                <c:pt idx="3">
                  <c:v>Refrigerated cold food chain</c:v>
                </c:pt>
              </c:strCache>
            </c:strRef>
          </c:cat>
          <c:val>
            <c:numRef>
              <c:f>'1f Bank by equipment segment'!$C$72:$C$75</c:f>
              <c:numCache>
                <c:formatCode>#,##0</c:formatCode>
                <c:ptCount val="4"/>
                <c:pt idx="0">
                  <c:v>28816.430827590557</c:v>
                </c:pt>
                <c:pt idx="1">
                  <c:v>9474.5617074887214</c:v>
                </c:pt>
                <c:pt idx="2">
                  <c:v>2236.6852840671613</c:v>
                </c:pt>
                <c:pt idx="3">
                  <c:v>5110.1221704343143</c:v>
                </c:pt>
              </c:numCache>
            </c:numRef>
          </c:val>
        </c:ser>
        <c:ser>
          <c:idx val="10"/>
          <c:order val="10"/>
          <c:cat>
            <c:strRef>
              <c:f>'1f Bank by equipment segment'!$B$72:$B$75</c:f>
              <c:strCache>
                <c:ptCount val="4"/>
                <c:pt idx="0">
                  <c:v>Stationary AC</c:v>
                </c:pt>
                <c:pt idx="1">
                  <c:v>Mobile AC</c:v>
                </c:pt>
                <c:pt idx="2">
                  <c:v>Domestic refrigeration</c:v>
                </c:pt>
                <c:pt idx="3">
                  <c:v>Refrigerated cold food chain</c:v>
                </c:pt>
              </c:strCache>
            </c:strRef>
          </c:cat>
          <c:val>
            <c:numRef>
              <c:f>'1f Bank by equipment segment'!$C$72:$C$75</c:f>
              <c:numCache>
                <c:formatCode>#,##0</c:formatCode>
                <c:ptCount val="4"/>
                <c:pt idx="0">
                  <c:v>28816.430827590557</c:v>
                </c:pt>
                <c:pt idx="1">
                  <c:v>9474.5617074887214</c:v>
                </c:pt>
                <c:pt idx="2">
                  <c:v>2236.6852840671613</c:v>
                </c:pt>
                <c:pt idx="3">
                  <c:v>5110.1221704343143</c:v>
                </c:pt>
              </c:numCache>
            </c:numRef>
          </c:val>
        </c:ser>
        <c:ser>
          <c:idx val="11"/>
          <c:order val="11"/>
          <c:cat>
            <c:strRef>
              <c:f>'1f Bank by equipment segment'!$B$72:$B$75</c:f>
              <c:strCache>
                <c:ptCount val="4"/>
                <c:pt idx="0">
                  <c:v>Stationary AC</c:v>
                </c:pt>
                <c:pt idx="1">
                  <c:v>Mobile AC</c:v>
                </c:pt>
                <c:pt idx="2">
                  <c:v>Domestic refrigeration</c:v>
                </c:pt>
                <c:pt idx="3">
                  <c:v>Refrigerated cold food chain</c:v>
                </c:pt>
              </c:strCache>
            </c:strRef>
          </c:cat>
          <c:val>
            <c:numRef>
              <c:f>'1f Bank by equipment segment'!$C$72:$C$75</c:f>
              <c:numCache>
                <c:formatCode>#,##0</c:formatCode>
                <c:ptCount val="4"/>
                <c:pt idx="0">
                  <c:v>28816.430827590557</c:v>
                </c:pt>
                <c:pt idx="1">
                  <c:v>9474.5617074887214</c:v>
                </c:pt>
                <c:pt idx="2">
                  <c:v>2236.6852840671613</c:v>
                </c:pt>
                <c:pt idx="3">
                  <c:v>5110.1221704343143</c:v>
                </c:pt>
              </c:numCache>
            </c:numRef>
          </c:val>
        </c:ser>
        <c:ser>
          <c:idx val="12"/>
          <c:order val="12"/>
          <c:cat>
            <c:strRef>
              <c:f>'1f Bank by equipment segment'!$B$72:$B$75</c:f>
              <c:strCache>
                <c:ptCount val="4"/>
                <c:pt idx="0">
                  <c:v>Stationary AC</c:v>
                </c:pt>
                <c:pt idx="1">
                  <c:v>Mobile AC</c:v>
                </c:pt>
                <c:pt idx="2">
                  <c:v>Domestic refrigeration</c:v>
                </c:pt>
                <c:pt idx="3">
                  <c:v>Refrigerated cold food chain</c:v>
                </c:pt>
              </c:strCache>
            </c:strRef>
          </c:cat>
          <c:val>
            <c:numRef>
              <c:f>'1f Bank by equipment segment'!$C$72:$C$75</c:f>
              <c:numCache>
                <c:formatCode>#,##0</c:formatCode>
                <c:ptCount val="4"/>
                <c:pt idx="0">
                  <c:v>28816.430827590557</c:v>
                </c:pt>
                <c:pt idx="1">
                  <c:v>9474.5617074887214</c:v>
                </c:pt>
                <c:pt idx="2">
                  <c:v>2236.6852840671613</c:v>
                </c:pt>
                <c:pt idx="3">
                  <c:v>5110.1221704343143</c:v>
                </c:pt>
              </c:numCache>
            </c:numRef>
          </c:val>
        </c:ser>
        <c:ser>
          <c:idx val="13"/>
          <c:order val="13"/>
          <c:cat>
            <c:strRef>
              <c:f>'1f Bank by equipment segment'!$B$72:$B$75</c:f>
              <c:strCache>
                <c:ptCount val="4"/>
                <c:pt idx="0">
                  <c:v>Stationary AC</c:v>
                </c:pt>
                <c:pt idx="1">
                  <c:v>Mobile AC</c:v>
                </c:pt>
                <c:pt idx="2">
                  <c:v>Domestic refrigeration</c:v>
                </c:pt>
                <c:pt idx="3">
                  <c:v>Refrigerated cold food chain</c:v>
                </c:pt>
              </c:strCache>
            </c:strRef>
          </c:cat>
          <c:val>
            <c:numRef>
              <c:f>'1f Bank by equipment segment'!$C$72:$C$75</c:f>
              <c:numCache>
                <c:formatCode>#,##0</c:formatCode>
                <c:ptCount val="4"/>
                <c:pt idx="0">
                  <c:v>28816.430827590557</c:v>
                </c:pt>
                <c:pt idx="1">
                  <c:v>9474.5617074887214</c:v>
                </c:pt>
                <c:pt idx="2">
                  <c:v>2236.6852840671613</c:v>
                </c:pt>
                <c:pt idx="3">
                  <c:v>5110.1221704343143</c:v>
                </c:pt>
              </c:numCache>
            </c:numRef>
          </c:val>
        </c:ser>
        <c:ser>
          <c:idx val="14"/>
          <c:order val="14"/>
          <c:cat>
            <c:strRef>
              <c:f>'1f Bank by equipment segment'!$B$72:$B$75</c:f>
              <c:strCache>
                <c:ptCount val="4"/>
                <c:pt idx="0">
                  <c:v>Stationary AC</c:v>
                </c:pt>
                <c:pt idx="1">
                  <c:v>Mobile AC</c:v>
                </c:pt>
                <c:pt idx="2">
                  <c:v>Domestic refrigeration</c:v>
                </c:pt>
                <c:pt idx="3">
                  <c:v>Refrigerated cold food chain</c:v>
                </c:pt>
              </c:strCache>
            </c:strRef>
          </c:cat>
          <c:val>
            <c:numRef>
              <c:f>'1f Bank by equipment segment'!$C$72:$C$75</c:f>
              <c:numCache>
                <c:formatCode>#,##0</c:formatCode>
                <c:ptCount val="4"/>
                <c:pt idx="0">
                  <c:v>28816.430827590557</c:v>
                </c:pt>
                <c:pt idx="1">
                  <c:v>9474.5617074887214</c:v>
                </c:pt>
                <c:pt idx="2">
                  <c:v>2236.6852840671613</c:v>
                </c:pt>
                <c:pt idx="3">
                  <c:v>5110.1221704343143</c:v>
                </c:pt>
              </c:numCache>
            </c:numRef>
          </c:val>
        </c:ser>
        <c:ser>
          <c:idx val="15"/>
          <c:order val="15"/>
          <c:cat>
            <c:strRef>
              <c:f>'1f Bank by equipment segment'!$B$72:$B$75</c:f>
              <c:strCache>
                <c:ptCount val="4"/>
                <c:pt idx="0">
                  <c:v>Stationary AC</c:v>
                </c:pt>
                <c:pt idx="1">
                  <c:v>Mobile AC</c:v>
                </c:pt>
                <c:pt idx="2">
                  <c:v>Domestic refrigeration</c:v>
                </c:pt>
                <c:pt idx="3">
                  <c:v>Refrigerated cold food chain</c:v>
                </c:pt>
              </c:strCache>
            </c:strRef>
          </c:cat>
          <c:val>
            <c:numRef>
              <c:f>'1f Bank by equipment segment'!$C$72:$C$75</c:f>
              <c:numCache>
                <c:formatCode>#,##0</c:formatCode>
                <c:ptCount val="4"/>
                <c:pt idx="0">
                  <c:v>28816.430827590557</c:v>
                </c:pt>
                <c:pt idx="1">
                  <c:v>9474.5617074887214</c:v>
                </c:pt>
                <c:pt idx="2">
                  <c:v>2236.6852840671613</c:v>
                </c:pt>
                <c:pt idx="3">
                  <c:v>5110.1221704343143</c:v>
                </c:pt>
              </c:numCache>
            </c:numRef>
          </c:val>
        </c:ser>
        <c:ser>
          <c:idx val="4"/>
          <c:order val="4"/>
          <c:cat>
            <c:strRef>
              <c:f>'1f Bank by equipment segment'!$B$72:$B$75</c:f>
              <c:strCache>
                <c:ptCount val="4"/>
                <c:pt idx="0">
                  <c:v>Stationary AC</c:v>
                </c:pt>
                <c:pt idx="1">
                  <c:v>Mobile AC</c:v>
                </c:pt>
                <c:pt idx="2">
                  <c:v>Domestic refrigeration</c:v>
                </c:pt>
                <c:pt idx="3">
                  <c:v>Refrigerated cold food chain</c:v>
                </c:pt>
              </c:strCache>
            </c:strRef>
          </c:cat>
          <c:val>
            <c:numRef>
              <c:f>'1f Bank by equipment segment'!$C$72:$C$75</c:f>
              <c:numCache>
                <c:formatCode>#,##0</c:formatCode>
                <c:ptCount val="4"/>
                <c:pt idx="0">
                  <c:v>28816.430827590557</c:v>
                </c:pt>
                <c:pt idx="1">
                  <c:v>9474.5617074887214</c:v>
                </c:pt>
                <c:pt idx="2">
                  <c:v>2236.6852840671613</c:v>
                </c:pt>
                <c:pt idx="3">
                  <c:v>5110.1221704343143</c:v>
                </c:pt>
              </c:numCache>
            </c:numRef>
          </c:val>
        </c:ser>
        <c:ser>
          <c:idx val="5"/>
          <c:order val="5"/>
          <c:cat>
            <c:strRef>
              <c:f>'1f Bank by equipment segment'!$B$72:$B$75</c:f>
              <c:strCache>
                <c:ptCount val="4"/>
                <c:pt idx="0">
                  <c:v>Stationary AC</c:v>
                </c:pt>
                <c:pt idx="1">
                  <c:v>Mobile AC</c:v>
                </c:pt>
                <c:pt idx="2">
                  <c:v>Domestic refrigeration</c:v>
                </c:pt>
                <c:pt idx="3">
                  <c:v>Refrigerated cold food chain</c:v>
                </c:pt>
              </c:strCache>
            </c:strRef>
          </c:cat>
          <c:val>
            <c:numRef>
              <c:f>'1f Bank by equipment segment'!$C$72:$C$75</c:f>
              <c:numCache>
                <c:formatCode>#,##0</c:formatCode>
                <c:ptCount val="4"/>
                <c:pt idx="0">
                  <c:v>28816.430827590557</c:v>
                </c:pt>
                <c:pt idx="1">
                  <c:v>9474.5617074887214</c:v>
                </c:pt>
                <c:pt idx="2">
                  <c:v>2236.6852840671613</c:v>
                </c:pt>
                <c:pt idx="3">
                  <c:v>5110.1221704343143</c:v>
                </c:pt>
              </c:numCache>
            </c:numRef>
          </c:val>
        </c:ser>
        <c:ser>
          <c:idx val="6"/>
          <c:order val="6"/>
          <c:cat>
            <c:strRef>
              <c:f>'1f Bank by equipment segment'!$B$72:$B$75</c:f>
              <c:strCache>
                <c:ptCount val="4"/>
                <c:pt idx="0">
                  <c:v>Stationary AC</c:v>
                </c:pt>
                <c:pt idx="1">
                  <c:v>Mobile AC</c:v>
                </c:pt>
                <c:pt idx="2">
                  <c:v>Domestic refrigeration</c:v>
                </c:pt>
                <c:pt idx="3">
                  <c:v>Refrigerated cold food chain</c:v>
                </c:pt>
              </c:strCache>
            </c:strRef>
          </c:cat>
          <c:val>
            <c:numRef>
              <c:f>'1f Bank by equipment segment'!$C$72:$C$75</c:f>
              <c:numCache>
                <c:formatCode>#,##0</c:formatCode>
                <c:ptCount val="4"/>
                <c:pt idx="0">
                  <c:v>28816.430827590557</c:v>
                </c:pt>
                <c:pt idx="1">
                  <c:v>9474.5617074887214</c:v>
                </c:pt>
                <c:pt idx="2">
                  <c:v>2236.6852840671613</c:v>
                </c:pt>
                <c:pt idx="3">
                  <c:v>5110.1221704343143</c:v>
                </c:pt>
              </c:numCache>
            </c:numRef>
          </c:val>
        </c:ser>
        <c:ser>
          <c:idx val="7"/>
          <c:order val="7"/>
          <c:cat>
            <c:strRef>
              <c:f>'1f Bank by equipment segment'!$B$72:$B$75</c:f>
              <c:strCache>
                <c:ptCount val="4"/>
                <c:pt idx="0">
                  <c:v>Stationary AC</c:v>
                </c:pt>
                <c:pt idx="1">
                  <c:v>Mobile AC</c:v>
                </c:pt>
                <c:pt idx="2">
                  <c:v>Domestic refrigeration</c:v>
                </c:pt>
                <c:pt idx="3">
                  <c:v>Refrigerated cold food chain</c:v>
                </c:pt>
              </c:strCache>
            </c:strRef>
          </c:cat>
          <c:val>
            <c:numRef>
              <c:f>'1f Bank by equipment segment'!$C$72:$C$75</c:f>
              <c:numCache>
                <c:formatCode>#,##0</c:formatCode>
                <c:ptCount val="4"/>
                <c:pt idx="0">
                  <c:v>28816.430827590557</c:v>
                </c:pt>
                <c:pt idx="1">
                  <c:v>9474.5617074887214</c:v>
                </c:pt>
                <c:pt idx="2">
                  <c:v>2236.6852840671613</c:v>
                </c:pt>
                <c:pt idx="3">
                  <c:v>5110.1221704343143</c:v>
                </c:pt>
              </c:numCache>
            </c:numRef>
          </c:val>
        </c:ser>
        <c:ser>
          <c:idx val="2"/>
          <c:order val="2"/>
          <c:cat>
            <c:strRef>
              <c:f>'1f Bank by equipment segment'!$B$72:$B$75</c:f>
              <c:strCache>
                <c:ptCount val="4"/>
                <c:pt idx="0">
                  <c:v>Stationary AC</c:v>
                </c:pt>
                <c:pt idx="1">
                  <c:v>Mobile AC</c:v>
                </c:pt>
                <c:pt idx="2">
                  <c:v>Domestic refrigeration</c:v>
                </c:pt>
                <c:pt idx="3">
                  <c:v>Refrigerated cold food chain</c:v>
                </c:pt>
              </c:strCache>
            </c:strRef>
          </c:cat>
          <c:val>
            <c:numRef>
              <c:f>'1f Bank by equipment segment'!$C$72:$C$75</c:f>
              <c:numCache>
                <c:formatCode>#,##0</c:formatCode>
                <c:ptCount val="4"/>
                <c:pt idx="0">
                  <c:v>28816.430827590557</c:v>
                </c:pt>
                <c:pt idx="1">
                  <c:v>9474.5617074887214</c:v>
                </c:pt>
                <c:pt idx="2">
                  <c:v>2236.6852840671613</c:v>
                </c:pt>
                <c:pt idx="3">
                  <c:v>5110.1221704343143</c:v>
                </c:pt>
              </c:numCache>
            </c:numRef>
          </c:val>
        </c:ser>
        <c:ser>
          <c:idx val="3"/>
          <c:order val="3"/>
          <c:cat>
            <c:strRef>
              <c:f>'1f Bank by equipment segment'!$B$72:$B$75</c:f>
              <c:strCache>
                <c:ptCount val="4"/>
                <c:pt idx="0">
                  <c:v>Stationary AC</c:v>
                </c:pt>
                <c:pt idx="1">
                  <c:v>Mobile AC</c:v>
                </c:pt>
                <c:pt idx="2">
                  <c:v>Domestic refrigeration</c:v>
                </c:pt>
                <c:pt idx="3">
                  <c:v>Refrigerated cold food chain</c:v>
                </c:pt>
              </c:strCache>
            </c:strRef>
          </c:cat>
          <c:val>
            <c:numRef>
              <c:f>'1f Bank by equipment segment'!$C$72:$C$75</c:f>
              <c:numCache>
                <c:formatCode>#,##0</c:formatCode>
                <c:ptCount val="4"/>
                <c:pt idx="0">
                  <c:v>28816.430827590557</c:v>
                </c:pt>
                <c:pt idx="1">
                  <c:v>9474.5617074887214</c:v>
                </c:pt>
                <c:pt idx="2">
                  <c:v>2236.6852840671613</c:v>
                </c:pt>
                <c:pt idx="3">
                  <c:v>5110.1221704343143</c:v>
                </c:pt>
              </c:numCache>
            </c:numRef>
          </c:val>
        </c:ser>
        <c:ser>
          <c:idx val="1"/>
          <c:order val="1"/>
          <c:cat>
            <c:strRef>
              <c:f>'1f Bank by equipment segment'!$B$72:$B$75</c:f>
              <c:strCache>
                <c:ptCount val="4"/>
                <c:pt idx="0">
                  <c:v>Stationary AC</c:v>
                </c:pt>
                <c:pt idx="1">
                  <c:v>Mobile AC</c:v>
                </c:pt>
                <c:pt idx="2">
                  <c:v>Domestic refrigeration</c:v>
                </c:pt>
                <c:pt idx="3">
                  <c:v>Refrigerated cold food chain</c:v>
                </c:pt>
              </c:strCache>
            </c:strRef>
          </c:cat>
          <c:val>
            <c:numRef>
              <c:f>'1f Bank by equipment segment'!$C$72:$C$75</c:f>
              <c:numCache>
                <c:formatCode>#,##0</c:formatCode>
                <c:ptCount val="4"/>
                <c:pt idx="0">
                  <c:v>28816.430827590557</c:v>
                </c:pt>
                <c:pt idx="1">
                  <c:v>9474.5617074887214</c:v>
                </c:pt>
                <c:pt idx="2">
                  <c:v>2236.6852840671613</c:v>
                </c:pt>
                <c:pt idx="3">
                  <c:v>5110.1221704343143</c:v>
                </c:pt>
              </c:numCache>
            </c:numRef>
          </c:val>
        </c:ser>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'1f Bank by equipment segment'!$B$72:$B$75</c:f>
              <c:strCache>
                <c:ptCount val="4"/>
                <c:pt idx="0">
                  <c:v>Stationary AC</c:v>
                </c:pt>
                <c:pt idx="1">
                  <c:v>Mobile AC</c:v>
                </c:pt>
                <c:pt idx="2">
                  <c:v>Domestic refrigeration</c:v>
                </c:pt>
                <c:pt idx="3">
                  <c:v>Refrigerated cold food chain</c:v>
                </c:pt>
              </c:strCache>
            </c:strRef>
          </c:cat>
          <c:val>
            <c:numRef>
              <c:f>'1f Bank by equipment segment'!$C$72:$C$75</c:f>
              <c:numCache>
                <c:formatCode>#,##0</c:formatCode>
                <c:ptCount val="4"/>
                <c:pt idx="0">
                  <c:v>28816.430827590557</c:v>
                </c:pt>
                <c:pt idx="1">
                  <c:v>9474.5617074887214</c:v>
                </c:pt>
                <c:pt idx="2">
                  <c:v>2236.6852840671613</c:v>
                </c:pt>
                <c:pt idx="3">
                  <c:v>5110.1221704343143</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3398574754129816"/>
          <c:y val="5.6461725914924502E-2"/>
          <c:w val="0.75359177289890433"/>
          <c:h val="0.85565893205239163"/>
        </c:manualLayout>
      </c:layout>
      <c:barChart>
        <c:barDir val="col"/>
        <c:grouping val="stacked"/>
        <c:varyColors val="0"/>
        <c:ser>
          <c:idx val="0"/>
          <c:order val="0"/>
          <c:tx>
            <c:strRef>
              <c:f>Sheet1!$B$42</c:f>
              <c:strCache>
                <c:ptCount val="1"/>
                <c:pt idx="0">
                  <c:v>NSW </c:v>
                </c:pt>
              </c:strCache>
            </c:strRef>
          </c:tx>
          <c:invertIfNegative val="0"/>
          <c:cat>
            <c:numRef>
              <c:f>Sheet1!$C$41:$H$41</c:f>
              <c:numCache>
                <c:formatCode>General</c:formatCode>
                <c:ptCount val="6"/>
                <c:pt idx="0">
                  <c:v>2008</c:v>
                </c:pt>
                <c:pt idx="1">
                  <c:v>2009</c:v>
                </c:pt>
                <c:pt idx="2">
                  <c:v>2010</c:v>
                </c:pt>
                <c:pt idx="3">
                  <c:v>2011</c:v>
                </c:pt>
                <c:pt idx="4">
                  <c:v>2012</c:v>
                </c:pt>
                <c:pt idx="5">
                  <c:v>2013</c:v>
                </c:pt>
              </c:numCache>
            </c:numRef>
          </c:cat>
          <c:val>
            <c:numRef>
              <c:f>Sheet1!$C$42:$H$42</c:f>
              <c:numCache>
                <c:formatCode>_-* #,##0_-;\-* #,##0_-;_-* "-"??_-;_-@_-</c:formatCode>
                <c:ptCount val="6"/>
                <c:pt idx="0">
                  <c:v>246593.28</c:v>
                </c:pt>
                <c:pt idx="1">
                  <c:v>189912.95999999941</c:v>
                </c:pt>
                <c:pt idx="2">
                  <c:v>164444.16</c:v>
                </c:pt>
                <c:pt idx="3">
                  <c:v>221592</c:v>
                </c:pt>
                <c:pt idx="4">
                  <c:v>230618.87999999998</c:v>
                </c:pt>
                <c:pt idx="5">
                  <c:v>235594.56</c:v>
                </c:pt>
              </c:numCache>
            </c:numRef>
          </c:val>
        </c:ser>
        <c:ser>
          <c:idx val="1"/>
          <c:order val="1"/>
          <c:tx>
            <c:strRef>
              <c:f>Sheet1!$B$43</c:f>
              <c:strCache>
                <c:ptCount val="1"/>
                <c:pt idx="0">
                  <c:v>Vic.</c:v>
                </c:pt>
              </c:strCache>
            </c:strRef>
          </c:tx>
          <c:invertIfNegative val="0"/>
          <c:cat>
            <c:numRef>
              <c:f>Sheet1!$C$41:$H$41</c:f>
              <c:numCache>
                <c:formatCode>General</c:formatCode>
                <c:ptCount val="6"/>
                <c:pt idx="0">
                  <c:v>2008</c:v>
                </c:pt>
                <c:pt idx="1">
                  <c:v>2009</c:v>
                </c:pt>
                <c:pt idx="2">
                  <c:v>2010</c:v>
                </c:pt>
                <c:pt idx="3">
                  <c:v>2011</c:v>
                </c:pt>
                <c:pt idx="4">
                  <c:v>2012</c:v>
                </c:pt>
                <c:pt idx="5">
                  <c:v>2013</c:v>
                </c:pt>
              </c:numCache>
            </c:numRef>
          </c:cat>
          <c:val>
            <c:numRef>
              <c:f>Sheet1!$C$43:$H$43</c:f>
              <c:numCache>
                <c:formatCode>_-* #,##0_-;\-* #,##0_-;_-* "-"??_-;_-@_-</c:formatCode>
                <c:ptCount val="6"/>
                <c:pt idx="0">
                  <c:v>169608.95999999941</c:v>
                </c:pt>
                <c:pt idx="1">
                  <c:v>158879.04000000001</c:v>
                </c:pt>
                <c:pt idx="2">
                  <c:v>146383.67999999999</c:v>
                </c:pt>
                <c:pt idx="3">
                  <c:v>177008.64000000001</c:v>
                </c:pt>
                <c:pt idx="4">
                  <c:v>195226.56</c:v>
                </c:pt>
                <c:pt idx="5">
                  <c:v>203015.04000000001</c:v>
                </c:pt>
              </c:numCache>
            </c:numRef>
          </c:val>
        </c:ser>
        <c:ser>
          <c:idx val="2"/>
          <c:order val="2"/>
          <c:tx>
            <c:strRef>
              <c:f>Sheet1!$B$44</c:f>
              <c:strCache>
                <c:ptCount val="1"/>
                <c:pt idx="0">
                  <c:v>Qld</c:v>
                </c:pt>
              </c:strCache>
            </c:strRef>
          </c:tx>
          <c:invertIfNegative val="0"/>
          <c:cat>
            <c:numRef>
              <c:f>Sheet1!$C$41:$H$41</c:f>
              <c:numCache>
                <c:formatCode>General</c:formatCode>
                <c:ptCount val="6"/>
                <c:pt idx="0">
                  <c:v>2008</c:v>
                </c:pt>
                <c:pt idx="1">
                  <c:v>2009</c:v>
                </c:pt>
                <c:pt idx="2">
                  <c:v>2010</c:v>
                </c:pt>
                <c:pt idx="3">
                  <c:v>2011</c:v>
                </c:pt>
                <c:pt idx="4">
                  <c:v>2012</c:v>
                </c:pt>
                <c:pt idx="5">
                  <c:v>2013</c:v>
                </c:pt>
              </c:numCache>
            </c:numRef>
          </c:cat>
          <c:val>
            <c:numRef>
              <c:f>Sheet1!$C$44:$H$44</c:f>
              <c:numCache>
                <c:formatCode>_-* #,##0_-;\-* #,##0_-;_-* "-"??_-;_-@_-</c:formatCode>
                <c:ptCount val="6"/>
                <c:pt idx="0">
                  <c:v>101333.75999999999</c:v>
                </c:pt>
                <c:pt idx="1">
                  <c:v>129860.16</c:v>
                </c:pt>
                <c:pt idx="2">
                  <c:v>122321.28</c:v>
                </c:pt>
                <c:pt idx="3">
                  <c:v>125621.75999999999</c:v>
                </c:pt>
                <c:pt idx="4">
                  <c:v>126193.92</c:v>
                </c:pt>
                <c:pt idx="5">
                  <c:v>135646.07999999999</c:v>
                </c:pt>
              </c:numCache>
            </c:numRef>
          </c:val>
        </c:ser>
        <c:ser>
          <c:idx val="3"/>
          <c:order val="3"/>
          <c:tx>
            <c:strRef>
              <c:f>Sheet1!$B$45</c:f>
              <c:strCache>
                <c:ptCount val="1"/>
                <c:pt idx="0">
                  <c:v>SA</c:v>
                </c:pt>
              </c:strCache>
            </c:strRef>
          </c:tx>
          <c:invertIfNegative val="0"/>
          <c:cat>
            <c:numRef>
              <c:f>Sheet1!$C$41:$H$41</c:f>
              <c:numCache>
                <c:formatCode>General</c:formatCode>
                <c:ptCount val="6"/>
                <c:pt idx="0">
                  <c:v>2008</c:v>
                </c:pt>
                <c:pt idx="1">
                  <c:v>2009</c:v>
                </c:pt>
                <c:pt idx="2">
                  <c:v>2010</c:v>
                </c:pt>
                <c:pt idx="3">
                  <c:v>2011</c:v>
                </c:pt>
                <c:pt idx="4">
                  <c:v>2012</c:v>
                </c:pt>
                <c:pt idx="5">
                  <c:v>2013</c:v>
                </c:pt>
              </c:numCache>
            </c:numRef>
          </c:cat>
          <c:val>
            <c:numRef>
              <c:f>Sheet1!$C$45:$H$45</c:f>
              <c:numCache>
                <c:formatCode>_-* #,##0_-;\-* #,##0_-;_-* "-"??_-;_-@_-</c:formatCode>
                <c:ptCount val="6"/>
                <c:pt idx="0">
                  <c:v>35124.480000000003</c:v>
                </c:pt>
                <c:pt idx="1">
                  <c:v>33795.840000000011</c:v>
                </c:pt>
                <c:pt idx="2">
                  <c:v>32293.43999999993</c:v>
                </c:pt>
                <c:pt idx="3">
                  <c:v>48412.800000000003</c:v>
                </c:pt>
                <c:pt idx="4">
                  <c:v>45984.960000000006</c:v>
                </c:pt>
                <c:pt idx="5">
                  <c:v>41502.719999999994</c:v>
                </c:pt>
              </c:numCache>
            </c:numRef>
          </c:val>
        </c:ser>
        <c:ser>
          <c:idx val="4"/>
          <c:order val="4"/>
          <c:tx>
            <c:strRef>
              <c:f>Sheet1!$B$46</c:f>
              <c:strCache>
                <c:ptCount val="1"/>
                <c:pt idx="0">
                  <c:v>WA</c:v>
                </c:pt>
              </c:strCache>
            </c:strRef>
          </c:tx>
          <c:invertIfNegative val="0"/>
          <c:cat>
            <c:numRef>
              <c:f>Sheet1!$C$41:$H$41</c:f>
              <c:numCache>
                <c:formatCode>General</c:formatCode>
                <c:ptCount val="6"/>
                <c:pt idx="0">
                  <c:v>2008</c:v>
                </c:pt>
                <c:pt idx="1">
                  <c:v>2009</c:v>
                </c:pt>
                <c:pt idx="2">
                  <c:v>2010</c:v>
                </c:pt>
                <c:pt idx="3">
                  <c:v>2011</c:v>
                </c:pt>
                <c:pt idx="4">
                  <c:v>2012</c:v>
                </c:pt>
                <c:pt idx="5">
                  <c:v>2013</c:v>
                </c:pt>
              </c:numCache>
            </c:numRef>
          </c:cat>
          <c:val>
            <c:numRef>
              <c:f>Sheet1!$C$46:$H$46</c:f>
              <c:numCache>
                <c:formatCode>_-* #,##0_-;\-* #,##0_-;_-* "-"??_-;_-@_-</c:formatCode>
                <c:ptCount val="6"/>
                <c:pt idx="0">
                  <c:v>37128</c:v>
                </c:pt>
                <c:pt idx="1">
                  <c:v>66086.399999999994</c:v>
                </c:pt>
                <c:pt idx="2">
                  <c:v>58902.719999999994</c:v>
                </c:pt>
                <c:pt idx="3">
                  <c:v>50882.880000000012</c:v>
                </c:pt>
                <c:pt idx="4">
                  <c:v>62605.440000000002</c:v>
                </c:pt>
                <c:pt idx="5">
                  <c:v>37659.840000000011</c:v>
                </c:pt>
              </c:numCache>
            </c:numRef>
          </c:val>
        </c:ser>
        <c:ser>
          <c:idx val="5"/>
          <c:order val="5"/>
          <c:tx>
            <c:strRef>
              <c:f>Sheet1!$B$47</c:f>
              <c:strCache>
                <c:ptCount val="1"/>
                <c:pt idx="0">
                  <c:v>Tas. </c:v>
                </c:pt>
              </c:strCache>
            </c:strRef>
          </c:tx>
          <c:invertIfNegative val="0"/>
          <c:cat>
            <c:numRef>
              <c:f>Sheet1!$C$41:$H$41</c:f>
              <c:numCache>
                <c:formatCode>General</c:formatCode>
                <c:ptCount val="6"/>
                <c:pt idx="0">
                  <c:v>2008</c:v>
                </c:pt>
                <c:pt idx="1">
                  <c:v>2009</c:v>
                </c:pt>
                <c:pt idx="2">
                  <c:v>2010</c:v>
                </c:pt>
                <c:pt idx="3">
                  <c:v>2011</c:v>
                </c:pt>
                <c:pt idx="4">
                  <c:v>2012</c:v>
                </c:pt>
                <c:pt idx="5">
                  <c:v>2013</c:v>
                </c:pt>
              </c:numCache>
            </c:numRef>
          </c:cat>
          <c:val>
            <c:numRef>
              <c:f>Sheet1!$C$47:$H$47</c:f>
              <c:numCache>
                <c:formatCode>_-* #,##0_-;\-* #,##0_-;_-* "-"??_-;_-@_-</c:formatCode>
                <c:ptCount val="6"/>
                <c:pt idx="0">
                  <c:v>9706.5599999998212</c:v>
                </c:pt>
                <c:pt idx="1">
                  <c:v>9274.5599999998212</c:v>
                </c:pt>
                <c:pt idx="2">
                  <c:v>7609.92</c:v>
                </c:pt>
                <c:pt idx="3">
                  <c:v>4684.8</c:v>
                </c:pt>
                <c:pt idx="4">
                  <c:v>12843.84</c:v>
                </c:pt>
                <c:pt idx="5">
                  <c:v>13907.52</c:v>
                </c:pt>
              </c:numCache>
            </c:numRef>
          </c:val>
        </c:ser>
        <c:ser>
          <c:idx val="6"/>
          <c:order val="6"/>
          <c:tx>
            <c:strRef>
              <c:f>Sheet1!$B$48</c:f>
              <c:strCache>
                <c:ptCount val="1"/>
                <c:pt idx="0">
                  <c:v>NT </c:v>
                </c:pt>
              </c:strCache>
            </c:strRef>
          </c:tx>
          <c:invertIfNegative val="0"/>
          <c:cat>
            <c:numRef>
              <c:f>Sheet1!$C$41:$H$41</c:f>
              <c:numCache>
                <c:formatCode>General</c:formatCode>
                <c:ptCount val="6"/>
                <c:pt idx="0">
                  <c:v>2008</c:v>
                </c:pt>
                <c:pt idx="1">
                  <c:v>2009</c:v>
                </c:pt>
                <c:pt idx="2">
                  <c:v>2010</c:v>
                </c:pt>
                <c:pt idx="3">
                  <c:v>2011</c:v>
                </c:pt>
                <c:pt idx="4">
                  <c:v>2012</c:v>
                </c:pt>
                <c:pt idx="5">
                  <c:v>2013</c:v>
                </c:pt>
              </c:numCache>
            </c:numRef>
          </c:cat>
          <c:val>
            <c:numRef>
              <c:f>Sheet1!$C$48:$H$48</c:f>
              <c:numCache>
                <c:formatCode>_-* #,##0_-;\-* #,##0_-;_-* "-"??_-;_-@_-</c:formatCode>
                <c:ptCount val="6"/>
                <c:pt idx="0">
                  <c:v>4570.5600000000004</c:v>
                </c:pt>
                <c:pt idx="1">
                  <c:v>3872.64</c:v>
                </c:pt>
                <c:pt idx="2">
                  <c:v>5800.3200000000024</c:v>
                </c:pt>
                <c:pt idx="3">
                  <c:v>6012.48</c:v>
                </c:pt>
                <c:pt idx="4">
                  <c:v>4412.1600000000044</c:v>
                </c:pt>
                <c:pt idx="5">
                  <c:v>7741.44</c:v>
                </c:pt>
              </c:numCache>
            </c:numRef>
          </c:val>
        </c:ser>
        <c:ser>
          <c:idx val="7"/>
          <c:order val="7"/>
          <c:tx>
            <c:strRef>
              <c:f>Sheet1!$B$49</c:f>
              <c:strCache>
                <c:ptCount val="1"/>
                <c:pt idx="0">
                  <c:v>ACT </c:v>
                </c:pt>
              </c:strCache>
            </c:strRef>
          </c:tx>
          <c:invertIfNegative val="0"/>
          <c:cat>
            <c:numRef>
              <c:f>Sheet1!$C$41:$H$41</c:f>
              <c:numCache>
                <c:formatCode>General</c:formatCode>
                <c:ptCount val="6"/>
                <c:pt idx="0">
                  <c:v>2008</c:v>
                </c:pt>
                <c:pt idx="1">
                  <c:v>2009</c:v>
                </c:pt>
                <c:pt idx="2">
                  <c:v>2010</c:v>
                </c:pt>
                <c:pt idx="3">
                  <c:v>2011</c:v>
                </c:pt>
                <c:pt idx="4">
                  <c:v>2012</c:v>
                </c:pt>
                <c:pt idx="5">
                  <c:v>2013</c:v>
                </c:pt>
              </c:numCache>
            </c:numRef>
          </c:cat>
          <c:val>
            <c:numRef>
              <c:f>Sheet1!$C$49:$H$49</c:f>
              <c:numCache>
                <c:formatCode>_-* #,##0_-;\-* #,##0_-;_-* "-"??_-;_-@_-</c:formatCode>
                <c:ptCount val="6"/>
                <c:pt idx="0">
                  <c:v>10630.08</c:v>
                </c:pt>
                <c:pt idx="1">
                  <c:v>8837.76</c:v>
                </c:pt>
                <c:pt idx="2">
                  <c:v>8224.32</c:v>
                </c:pt>
                <c:pt idx="3">
                  <c:v>7902.72</c:v>
                </c:pt>
                <c:pt idx="4">
                  <c:v>10598.4</c:v>
                </c:pt>
                <c:pt idx="5">
                  <c:v>11934.72000000001</c:v>
                </c:pt>
              </c:numCache>
            </c:numRef>
          </c:val>
        </c:ser>
        <c:dLbls>
          <c:showLegendKey val="0"/>
          <c:showVal val="0"/>
          <c:showCatName val="0"/>
          <c:showSerName val="0"/>
          <c:showPercent val="0"/>
          <c:showBubbleSize val="0"/>
        </c:dLbls>
        <c:gapWidth val="100"/>
        <c:overlap val="100"/>
        <c:axId val="182621520"/>
        <c:axId val="289481560"/>
      </c:barChart>
      <c:catAx>
        <c:axId val="182621520"/>
        <c:scaling>
          <c:orientation val="minMax"/>
        </c:scaling>
        <c:delete val="0"/>
        <c:axPos val="b"/>
        <c:numFmt formatCode="General" sourceLinked="1"/>
        <c:majorTickMark val="out"/>
        <c:minorTickMark val="none"/>
        <c:tickLblPos val="nextTo"/>
        <c:crossAx val="289481560"/>
        <c:crosses val="autoZero"/>
        <c:auto val="1"/>
        <c:lblAlgn val="ctr"/>
        <c:lblOffset val="100"/>
        <c:noMultiLvlLbl val="0"/>
      </c:catAx>
      <c:valAx>
        <c:axId val="289481560"/>
        <c:scaling>
          <c:orientation val="minMax"/>
        </c:scaling>
        <c:delete val="0"/>
        <c:axPos val="l"/>
        <c:majorGridlines/>
        <c:title>
          <c:tx>
            <c:rich>
              <a:bodyPr rot="-5400000" vert="horz"/>
              <a:lstStyle/>
              <a:p>
                <a:pPr>
                  <a:defRPr sz="800"/>
                </a:pPr>
                <a:r>
                  <a:rPr lang="en-US" sz="800"/>
                  <a:t>Number</a:t>
                </a:r>
                <a:r>
                  <a:rPr lang="en-US" sz="800" baseline="0"/>
                  <a:t> of </a:t>
                </a:r>
                <a:r>
                  <a:rPr lang="en-US" sz="800"/>
                  <a:t>ELVs</a:t>
                </a:r>
              </a:p>
            </c:rich>
          </c:tx>
          <c:layout>
            <c:manualLayout>
              <c:xMode val="edge"/>
              <c:yMode val="edge"/>
              <c:x val="1.7491212053959008E-3"/>
              <c:y val="0.34856979928968246"/>
            </c:manualLayout>
          </c:layout>
          <c:overlay val="0"/>
        </c:title>
        <c:numFmt formatCode="_-* #,##0_-;\-* #,##0_-;_-* &quot;-&quot;??_-;_-@_-" sourceLinked="1"/>
        <c:majorTickMark val="out"/>
        <c:minorTickMark val="none"/>
        <c:tickLblPos val="nextTo"/>
        <c:txPr>
          <a:bodyPr/>
          <a:lstStyle/>
          <a:p>
            <a:pPr>
              <a:defRPr sz="800"/>
            </a:pPr>
            <a:endParaRPr lang="en-US"/>
          </a:p>
        </c:txPr>
        <c:crossAx val="182621520"/>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Sheet1!$J$41</c:f>
              <c:strCache>
                <c:ptCount val="1"/>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Sheet1!$I$42:$I$49</c:f>
              <c:strCache>
                <c:ptCount val="8"/>
                <c:pt idx="0">
                  <c:v>NSW </c:v>
                </c:pt>
                <c:pt idx="1">
                  <c:v>Vic.</c:v>
                </c:pt>
                <c:pt idx="2">
                  <c:v>Qld</c:v>
                </c:pt>
                <c:pt idx="3">
                  <c:v>SA</c:v>
                </c:pt>
                <c:pt idx="4">
                  <c:v>WA</c:v>
                </c:pt>
                <c:pt idx="5">
                  <c:v>Tas. </c:v>
                </c:pt>
                <c:pt idx="6">
                  <c:v>NT </c:v>
                </c:pt>
                <c:pt idx="7">
                  <c:v>ACT </c:v>
                </c:pt>
              </c:strCache>
            </c:strRef>
          </c:cat>
          <c:val>
            <c:numRef>
              <c:f>Sheet1!$J$42:$J$49</c:f>
              <c:numCache>
                <c:formatCode>_-* #,##0_-;\-* #,##0_-;_-* "-"??_-;_-@_-</c:formatCode>
                <c:ptCount val="8"/>
                <c:pt idx="0">
                  <c:v>1288755.8400000001</c:v>
                </c:pt>
                <c:pt idx="1">
                  <c:v>1050121.9200000002</c:v>
                </c:pt>
                <c:pt idx="2">
                  <c:v>740976.96000000043</c:v>
                </c:pt>
                <c:pt idx="3">
                  <c:v>237114.24000000011</c:v>
                </c:pt>
                <c:pt idx="4">
                  <c:v>313265.2800000002</c:v>
                </c:pt>
                <c:pt idx="5">
                  <c:v>58027.199999999997</c:v>
                </c:pt>
                <c:pt idx="6">
                  <c:v>32409.5999999999</c:v>
                </c:pt>
                <c:pt idx="7">
                  <c:v>58128</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'ELV Model'!$AL$244</c:f>
              <c:strCache>
                <c:ptCount val="1"/>
                <c:pt idx="0">
                  <c:v>Model</c:v>
                </c:pt>
              </c:strCache>
            </c:strRef>
          </c:tx>
          <c:marker>
            <c:symbol val="square"/>
            <c:size val="4"/>
          </c:marker>
          <c:cat>
            <c:numRef>
              <c:f>'ELV Model'!$CX$229:$DO$229</c:f>
              <c:numCache>
                <c:formatCode>General</c:formatCode>
                <c:ptCount val="18"/>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numCache>
            </c:numRef>
          </c:cat>
          <c:val>
            <c:numRef>
              <c:f>'ELV Model'!$CX$244:$DO$244</c:f>
              <c:numCache>
                <c:formatCode>#,##0</c:formatCode>
                <c:ptCount val="18"/>
                <c:pt idx="0">
                  <c:v>597588.2545870099</c:v>
                </c:pt>
                <c:pt idx="1">
                  <c:v>607106.75386563945</c:v>
                </c:pt>
                <c:pt idx="2">
                  <c:v>617776.65038089489</c:v>
                </c:pt>
                <c:pt idx="3">
                  <c:v>629979.36902946641</c:v>
                </c:pt>
                <c:pt idx="4">
                  <c:v>643037.83215132402</c:v>
                </c:pt>
                <c:pt idx="5">
                  <c:v>658317.87254382193</c:v>
                </c:pt>
                <c:pt idx="6">
                  <c:v>675656.42333066731</c:v>
                </c:pt>
                <c:pt idx="7">
                  <c:v>694854.67710934626</c:v>
                </c:pt>
                <c:pt idx="8">
                  <c:v>715670.02164458425</c:v>
                </c:pt>
                <c:pt idx="9">
                  <c:v>737923.62948334904</c:v>
                </c:pt>
                <c:pt idx="10">
                  <c:v>761168.38683936582</c:v>
                </c:pt>
                <c:pt idx="11">
                  <c:v>785129.11003759853</c:v>
                </c:pt>
                <c:pt idx="12">
                  <c:v>809548.53327890125</c:v>
                </c:pt>
                <c:pt idx="13">
                  <c:v>835716.71939930366</c:v>
                </c:pt>
                <c:pt idx="14">
                  <c:v>860551.1863538092</c:v>
                </c:pt>
                <c:pt idx="15">
                  <c:v>884341.16323787742</c:v>
                </c:pt>
                <c:pt idx="16">
                  <c:v>910175.76412864926</c:v>
                </c:pt>
                <c:pt idx="17">
                  <c:v>935117.33837133471</c:v>
                </c:pt>
              </c:numCache>
            </c:numRef>
          </c:val>
          <c:smooth val="0"/>
        </c:ser>
        <c:ser>
          <c:idx val="1"/>
          <c:order val="1"/>
          <c:tx>
            <c:strRef>
              <c:f>'ELV Model'!$AL$245</c:f>
              <c:strCache>
                <c:ptCount val="1"/>
                <c:pt idx="0">
                  <c:v>ABS Attrition</c:v>
                </c:pt>
              </c:strCache>
            </c:strRef>
          </c:tx>
          <c:marker>
            <c:symbol val="square"/>
            <c:size val="4"/>
          </c:marker>
          <c:cat>
            <c:numRef>
              <c:f>'ELV Model'!$CX$229:$DO$229</c:f>
              <c:numCache>
                <c:formatCode>General</c:formatCode>
                <c:ptCount val="18"/>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numCache>
            </c:numRef>
          </c:cat>
          <c:val>
            <c:numRef>
              <c:f>'ELV Model'!$CX$245:$DO$245</c:f>
              <c:numCache>
                <c:formatCode>#,##0</c:formatCode>
                <c:ptCount val="18"/>
                <c:pt idx="0">
                  <c:v>614695.67999999062</c:v>
                </c:pt>
                <c:pt idx="1">
                  <c:v>600519.36000000045</c:v>
                </c:pt>
                <c:pt idx="2">
                  <c:v>545979.84000000043</c:v>
                </c:pt>
                <c:pt idx="3">
                  <c:v>642118.08000000007</c:v>
                </c:pt>
                <c:pt idx="4">
                  <c:v>688484.15999999887</c:v>
                </c:pt>
                <c:pt idx="5">
                  <c:v>687001.91999999888</c:v>
                </c:pt>
              </c:numCache>
            </c:numRef>
          </c:val>
          <c:smooth val="0"/>
        </c:ser>
        <c:dLbls>
          <c:showLegendKey val="0"/>
          <c:showVal val="0"/>
          <c:showCatName val="0"/>
          <c:showSerName val="0"/>
          <c:showPercent val="0"/>
          <c:showBubbleSize val="0"/>
        </c:dLbls>
        <c:marker val="1"/>
        <c:smooth val="0"/>
        <c:axId val="288893192"/>
        <c:axId val="182686936"/>
      </c:lineChart>
      <c:catAx>
        <c:axId val="288893192"/>
        <c:scaling>
          <c:orientation val="minMax"/>
        </c:scaling>
        <c:delete val="0"/>
        <c:axPos val="b"/>
        <c:numFmt formatCode="General" sourceLinked="1"/>
        <c:majorTickMark val="none"/>
        <c:minorTickMark val="none"/>
        <c:tickLblPos val="nextTo"/>
        <c:txPr>
          <a:bodyPr/>
          <a:lstStyle/>
          <a:p>
            <a:pPr>
              <a:defRPr sz="800"/>
            </a:pPr>
            <a:endParaRPr lang="en-US"/>
          </a:p>
        </c:txPr>
        <c:crossAx val="182686936"/>
        <c:crosses val="autoZero"/>
        <c:auto val="1"/>
        <c:lblAlgn val="ctr"/>
        <c:lblOffset val="100"/>
        <c:noMultiLvlLbl val="0"/>
      </c:catAx>
      <c:valAx>
        <c:axId val="182686936"/>
        <c:scaling>
          <c:orientation val="minMax"/>
        </c:scaling>
        <c:delete val="0"/>
        <c:axPos val="l"/>
        <c:majorGridlines/>
        <c:title>
          <c:tx>
            <c:rich>
              <a:bodyPr rot="-5400000" vert="horz"/>
              <a:lstStyle/>
              <a:p>
                <a:pPr>
                  <a:defRPr sz="800"/>
                </a:pPr>
                <a:r>
                  <a:rPr lang="en-US" sz="800"/>
                  <a:t>ELVs (vehices)</a:t>
                </a:r>
              </a:p>
            </c:rich>
          </c:tx>
          <c:layout>
            <c:manualLayout>
              <c:xMode val="edge"/>
              <c:yMode val="edge"/>
              <c:x val="2.6047319296722517E-2"/>
              <c:y val="0.25490050693509808"/>
            </c:manualLayout>
          </c:layout>
          <c:overlay val="0"/>
        </c:title>
        <c:numFmt formatCode="#,##0" sourceLinked="1"/>
        <c:majorTickMark val="none"/>
        <c:minorTickMark val="none"/>
        <c:tickLblPos val="nextTo"/>
        <c:spPr>
          <a:ln w="9525">
            <a:noFill/>
          </a:ln>
        </c:spPr>
        <c:txPr>
          <a:bodyPr/>
          <a:lstStyle/>
          <a:p>
            <a:pPr>
              <a:defRPr sz="800"/>
            </a:pPr>
            <a:endParaRPr lang="en-US"/>
          </a:p>
        </c:txPr>
        <c:crossAx val="28889319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'ELV Model'!$AL$283</c:f>
              <c:strCache>
                <c:ptCount val="1"/>
                <c:pt idx="0">
                  <c:v>ELVs Cumulative</c:v>
                </c:pt>
              </c:strCache>
            </c:strRef>
          </c:tx>
          <c:marker>
            <c:symbol val="none"/>
          </c:marker>
          <c:cat>
            <c:numRef>
              <c:f>'ELV Model'!$AM$282:$AY$282</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Model'!$AM$283:$AY$283</c:f>
              <c:numCache>
                <c:formatCode>#,##0</c:formatCode>
                <c:ptCount val="13"/>
                <c:pt idx="0">
                  <c:v>658317.87254382193</c:v>
                </c:pt>
                <c:pt idx="1">
                  <c:v>1333974.2958744897</c:v>
                </c:pt>
                <c:pt idx="2">
                  <c:v>2028828.9729838402</c:v>
                </c:pt>
                <c:pt idx="3">
                  <c:v>2744498.9946284187</c:v>
                </c:pt>
                <c:pt idx="4">
                  <c:v>3482422.6241117697</c:v>
                </c:pt>
                <c:pt idx="5">
                  <c:v>4243591.0109511409</c:v>
                </c:pt>
                <c:pt idx="6">
                  <c:v>5028720.1209887285</c:v>
                </c:pt>
                <c:pt idx="7">
                  <c:v>5838268.6542676184</c:v>
                </c:pt>
                <c:pt idx="8">
                  <c:v>6673985.3736669477</c:v>
                </c:pt>
                <c:pt idx="9">
                  <c:v>7534536.5600207606</c:v>
                </c:pt>
                <c:pt idx="10">
                  <c:v>8418877.7232586276</c:v>
                </c:pt>
                <c:pt idx="11">
                  <c:v>9329053.487387279</c:v>
                </c:pt>
                <c:pt idx="12">
                  <c:v>10264170.825758606</c:v>
                </c:pt>
              </c:numCache>
            </c:numRef>
          </c:val>
          <c:smooth val="0"/>
        </c:ser>
        <c:dLbls>
          <c:showLegendKey val="0"/>
          <c:showVal val="0"/>
          <c:showCatName val="0"/>
          <c:showSerName val="0"/>
          <c:showPercent val="0"/>
          <c:showBubbleSize val="0"/>
        </c:dLbls>
        <c:smooth val="0"/>
        <c:axId val="180198504"/>
        <c:axId val="180198112"/>
      </c:lineChart>
      <c:catAx>
        <c:axId val="180198504"/>
        <c:scaling>
          <c:orientation val="minMax"/>
        </c:scaling>
        <c:delete val="0"/>
        <c:axPos val="b"/>
        <c:numFmt formatCode="General" sourceLinked="1"/>
        <c:majorTickMark val="out"/>
        <c:minorTickMark val="none"/>
        <c:tickLblPos val="nextTo"/>
        <c:txPr>
          <a:bodyPr/>
          <a:lstStyle/>
          <a:p>
            <a:pPr>
              <a:defRPr sz="800"/>
            </a:pPr>
            <a:endParaRPr lang="en-US"/>
          </a:p>
        </c:txPr>
        <c:crossAx val="180198112"/>
        <c:crosses val="autoZero"/>
        <c:auto val="1"/>
        <c:lblAlgn val="ctr"/>
        <c:lblOffset val="100"/>
        <c:noMultiLvlLbl val="0"/>
      </c:catAx>
      <c:valAx>
        <c:axId val="180198112"/>
        <c:scaling>
          <c:orientation val="minMax"/>
        </c:scaling>
        <c:delete val="0"/>
        <c:axPos val="l"/>
        <c:majorGridlines/>
        <c:title>
          <c:tx>
            <c:rich>
              <a:bodyPr rot="-5400000" vert="horz"/>
              <a:lstStyle/>
              <a:p>
                <a:pPr>
                  <a:defRPr sz="800"/>
                </a:pPr>
                <a:r>
                  <a:rPr lang="en-US" sz="800"/>
                  <a:t>Cumulative</a:t>
                </a:r>
                <a:r>
                  <a:rPr lang="en-US" sz="800" baseline="0"/>
                  <a:t> ELVs (Millions)</a:t>
                </a:r>
                <a:endParaRPr lang="en-US" sz="800"/>
              </a:p>
            </c:rich>
          </c:tx>
          <c:layout>
            <c:manualLayout>
              <c:xMode val="edge"/>
              <c:yMode val="edge"/>
              <c:x val="1.6999575010624716E-2"/>
              <c:y val="9.6969991318548512E-2"/>
            </c:manualLayout>
          </c:layout>
          <c:overlay val="0"/>
        </c:title>
        <c:numFmt formatCode="#,##0.0" sourceLinked="0"/>
        <c:majorTickMark val="out"/>
        <c:minorTickMark val="none"/>
        <c:tickLblPos val="nextTo"/>
        <c:txPr>
          <a:bodyPr/>
          <a:lstStyle/>
          <a:p>
            <a:pPr>
              <a:defRPr sz="800"/>
            </a:pPr>
            <a:endParaRPr lang="en-US"/>
          </a:p>
        </c:txPr>
        <c:crossAx val="180198504"/>
        <c:crosses val="autoZero"/>
        <c:crossBetween val="between"/>
        <c:dispUnits>
          <c:builtInUnit val="millions"/>
        </c:dispUnits>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areaChart>
        <c:grouping val="stacked"/>
        <c:varyColors val="0"/>
        <c:ser>
          <c:idx val="0"/>
          <c:order val="0"/>
          <c:tx>
            <c:strRef>
              <c:f>'ELV Model'!$U$119</c:f>
              <c:strCache>
                <c:ptCount val="1"/>
                <c:pt idx="0">
                  <c:v>HCFC-22</c:v>
                </c:pt>
              </c:strCache>
            </c:strRef>
          </c:tx>
          <c:spPr>
            <a:solidFill>
              <a:srgbClr val="FF0000"/>
            </a:solidFill>
          </c:spPr>
          <c:cat>
            <c:numRef>
              <c:f>'ELV Model'!$T$120:$T$132</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Model'!$U$120:$U$132</c:f>
              <c:numCache>
                <c:formatCode>#,##0</c:formatCode>
                <c:ptCount val="13"/>
                <c:pt idx="0">
                  <c:v>697.6822354355694</c:v>
                </c:pt>
                <c:pt idx="1">
                  <c:v>598.49138640445108</c:v>
                </c:pt>
                <c:pt idx="2">
                  <c:v>492.36193388145381</c:v>
                </c:pt>
                <c:pt idx="3">
                  <c:v>387.14527865973702</c:v>
                </c:pt>
                <c:pt idx="4">
                  <c:v>291.24444861536142</c:v>
                </c:pt>
                <c:pt idx="5">
                  <c:v>210.88100157213219</c:v>
                </c:pt>
                <c:pt idx="6">
                  <c:v>148.48033444315641</c:v>
                </c:pt>
                <c:pt idx="7">
                  <c:v>102.88996747534584</c:v>
                </c:pt>
                <c:pt idx="8">
                  <c:v>70.843334932497655</c:v>
                </c:pt>
                <c:pt idx="9">
                  <c:v>48.55716057011599</c:v>
                </c:pt>
                <c:pt idx="10">
                  <c:v>32.799357723211671</c:v>
                </c:pt>
                <c:pt idx="11">
                  <c:v>21.35912910362407</c:v>
                </c:pt>
                <c:pt idx="12">
                  <c:v>13.030351915913368</c:v>
                </c:pt>
              </c:numCache>
            </c:numRef>
          </c:val>
        </c:ser>
        <c:ser>
          <c:idx val="1"/>
          <c:order val="1"/>
          <c:tx>
            <c:strRef>
              <c:f>'ELV Model'!$V$119</c:f>
              <c:strCache>
                <c:ptCount val="1"/>
                <c:pt idx="0">
                  <c:v>HCFC-123</c:v>
                </c:pt>
              </c:strCache>
            </c:strRef>
          </c:tx>
          <c:cat>
            <c:numRef>
              <c:f>'ELV Model'!$T$120:$T$132</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Model'!$V$120:$V$132</c:f>
              <c:numCache>
                <c:formatCode>#,##0</c:formatCode>
                <c:ptCount val="13"/>
                <c:pt idx="0">
                  <c:v>16.59895897483182</c:v>
                </c:pt>
                <c:pt idx="1">
                  <c:v>16.52044362803381</c:v>
                </c:pt>
                <c:pt idx="2">
                  <c:v>1.4404266560593895</c:v>
                </c:pt>
                <c:pt idx="3">
                  <c:v>1.3591264577875033</c:v>
                </c:pt>
                <c:pt idx="4">
                  <c:v>1.276617547484352</c:v>
                </c:pt>
                <c:pt idx="5">
                  <c:v>1.1929486193223919</c:v>
                </c:pt>
                <c:pt idx="6">
                  <c:v>1.1081790922565011</c:v>
                </c:pt>
                <c:pt idx="7">
                  <c:v>1.0223791101520339</c:v>
                </c:pt>
                <c:pt idx="8">
                  <c:v>0.93561380225516833</c:v>
                </c:pt>
                <c:pt idx="9">
                  <c:v>0.84792886083169028</c:v>
                </c:pt>
                <c:pt idx="10">
                  <c:v>0.75934849864614562</c:v>
                </c:pt>
                <c:pt idx="11">
                  <c:v>0.66989016750551267</c:v>
                </c:pt>
                <c:pt idx="12">
                  <c:v>0.579612504388614</c:v>
                </c:pt>
              </c:numCache>
            </c:numRef>
          </c:val>
        </c:ser>
        <c:ser>
          <c:idx val="2"/>
          <c:order val="2"/>
          <c:tx>
            <c:strRef>
              <c:f>'ELV Model'!$W$119</c:f>
              <c:strCache>
                <c:ptCount val="1"/>
                <c:pt idx="0">
                  <c:v>HFC-134a</c:v>
                </c:pt>
              </c:strCache>
            </c:strRef>
          </c:tx>
          <c:cat>
            <c:numRef>
              <c:f>'ELV Model'!$T$120:$T$132</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Model'!$W$120:$W$132</c:f>
              <c:numCache>
                <c:formatCode>#,##0</c:formatCode>
                <c:ptCount val="13"/>
                <c:pt idx="0">
                  <c:v>1725.6885789138728</c:v>
                </c:pt>
                <c:pt idx="1">
                  <c:v>1681.0896414206611</c:v>
                </c:pt>
                <c:pt idx="2">
                  <c:v>1658.4830351850501</c:v>
                </c:pt>
                <c:pt idx="3">
                  <c:v>1606.5807146211421</c:v>
                </c:pt>
                <c:pt idx="4">
                  <c:v>1558.9244224817551</c:v>
                </c:pt>
                <c:pt idx="5">
                  <c:v>1495.356556654061</c:v>
                </c:pt>
                <c:pt idx="6">
                  <c:v>1438.2075520343471</c:v>
                </c:pt>
                <c:pt idx="7">
                  <c:v>1375.440039903468</c:v>
                </c:pt>
                <c:pt idx="8">
                  <c:v>1299.6066537342833</c:v>
                </c:pt>
                <c:pt idx="9">
                  <c:v>1211.263730583707</c:v>
                </c:pt>
                <c:pt idx="10">
                  <c:v>1110.6094513822011</c:v>
                </c:pt>
                <c:pt idx="11">
                  <c:v>997.59566843596212</c:v>
                </c:pt>
                <c:pt idx="12">
                  <c:v>872.88958980947291</c:v>
                </c:pt>
              </c:numCache>
            </c:numRef>
          </c:val>
        </c:ser>
        <c:ser>
          <c:idx val="3"/>
          <c:order val="3"/>
          <c:tx>
            <c:strRef>
              <c:f>'ELV Model'!$X$119</c:f>
              <c:strCache>
                <c:ptCount val="1"/>
                <c:pt idx="0">
                  <c:v>HFC-404A</c:v>
                </c:pt>
              </c:strCache>
            </c:strRef>
          </c:tx>
          <c:cat>
            <c:numRef>
              <c:f>'ELV Model'!$T$120:$T$132</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Model'!$X$120:$X$132</c:f>
              <c:numCache>
                <c:formatCode>#,##0</c:formatCode>
                <c:ptCount val="13"/>
                <c:pt idx="0">
                  <c:v>647.17272147717767</c:v>
                </c:pt>
                <c:pt idx="1">
                  <c:v>646.32792514509413</c:v>
                </c:pt>
                <c:pt idx="2">
                  <c:v>606.87032839994617</c:v>
                </c:pt>
                <c:pt idx="3">
                  <c:v>584.58704275606954</c:v>
                </c:pt>
                <c:pt idx="4">
                  <c:v>560.08767629956083</c:v>
                </c:pt>
                <c:pt idx="5">
                  <c:v>533.22668086966951</c:v>
                </c:pt>
                <c:pt idx="6">
                  <c:v>504.01544988395756</c:v>
                </c:pt>
                <c:pt idx="7">
                  <c:v>471.69814700353459</c:v>
                </c:pt>
                <c:pt idx="8">
                  <c:v>436.92904091743696</c:v>
                </c:pt>
                <c:pt idx="9">
                  <c:v>399.78324693673267</c:v>
                </c:pt>
                <c:pt idx="10">
                  <c:v>360.36008144644831</c:v>
                </c:pt>
                <c:pt idx="11">
                  <c:v>318.73359245515104</c:v>
                </c:pt>
                <c:pt idx="12">
                  <c:v>274.89561293011195</c:v>
                </c:pt>
              </c:numCache>
            </c:numRef>
          </c:val>
        </c:ser>
        <c:ser>
          <c:idx val="4"/>
          <c:order val="4"/>
          <c:tx>
            <c:strRef>
              <c:f>'ELV Model'!$Y$119</c:f>
              <c:strCache>
                <c:ptCount val="1"/>
                <c:pt idx="0">
                  <c:v>HFC-410A</c:v>
                </c:pt>
              </c:strCache>
            </c:strRef>
          </c:tx>
          <c:cat>
            <c:numRef>
              <c:f>'ELV Model'!$T$120:$T$132</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Model'!$Y$120:$Y$132</c:f>
              <c:numCache>
                <c:formatCode>#,##0</c:formatCode>
                <c:ptCount val="13"/>
                <c:pt idx="0">
                  <c:v>657.40564800576237</c:v>
                </c:pt>
                <c:pt idx="1">
                  <c:v>729.23886694020302</c:v>
                </c:pt>
                <c:pt idx="2">
                  <c:v>796.2611412321985</c:v>
                </c:pt>
                <c:pt idx="3">
                  <c:v>844.42876536698805</c:v>
                </c:pt>
                <c:pt idx="4">
                  <c:v>873.92205721060589</c:v>
                </c:pt>
                <c:pt idx="5">
                  <c:v>881.33289339039936</c:v>
                </c:pt>
                <c:pt idx="6">
                  <c:v>872.74384237392371</c:v>
                </c:pt>
                <c:pt idx="7">
                  <c:v>849.79931314421867</c:v>
                </c:pt>
                <c:pt idx="8">
                  <c:v>810.61570696791455</c:v>
                </c:pt>
                <c:pt idx="9">
                  <c:v>757.12923228120576</c:v>
                </c:pt>
                <c:pt idx="10">
                  <c:v>690.81715464850788</c:v>
                </c:pt>
                <c:pt idx="11">
                  <c:v>612.81231688540618</c:v>
                </c:pt>
                <c:pt idx="12">
                  <c:v>524.13340928081675</c:v>
                </c:pt>
              </c:numCache>
            </c:numRef>
          </c:val>
        </c:ser>
        <c:ser>
          <c:idx val="5"/>
          <c:order val="5"/>
          <c:tx>
            <c:strRef>
              <c:f>'ELV Model'!$Z$119</c:f>
              <c:strCache>
                <c:ptCount val="1"/>
                <c:pt idx="0">
                  <c:v>HFC-407C</c:v>
                </c:pt>
              </c:strCache>
            </c:strRef>
          </c:tx>
          <c:cat>
            <c:numRef>
              <c:f>'ELV Model'!$T$120:$T$132</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Model'!$Z$120:$Z$132</c:f>
              <c:numCache>
                <c:formatCode>#,##0</c:formatCode>
                <c:ptCount val="13"/>
                <c:pt idx="0">
                  <c:v>128.6276580670216</c:v>
                </c:pt>
                <c:pt idx="1">
                  <c:v>130.08415258857931</c:v>
                </c:pt>
                <c:pt idx="2">
                  <c:v>108.67999088993128</c:v>
                </c:pt>
                <c:pt idx="3">
                  <c:v>92.931382070321419</c:v>
                </c:pt>
                <c:pt idx="4">
                  <c:v>78.383149201478943</c:v>
                </c:pt>
                <c:pt idx="5">
                  <c:v>66.986772293115408</c:v>
                </c:pt>
                <c:pt idx="6">
                  <c:v>57.662367018224813</c:v>
                </c:pt>
                <c:pt idx="7">
                  <c:v>49.778989725828659</c:v>
                </c:pt>
                <c:pt idx="8">
                  <c:v>42.912613942395581</c:v>
                </c:pt>
                <c:pt idx="9">
                  <c:v>36.744139905370353</c:v>
                </c:pt>
                <c:pt idx="10">
                  <c:v>31.02755699185272</c:v>
                </c:pt>
                <c:pt idx="11">
                  <c:v>25.59936346910024</c:v>
                </c:pt>
                <c:pt idx="12">
                  <c:v>19.85496048257723</c:v>
                </c:pt>
              </c:numCache>
            </c:numRef>
          </c:val>
        </c:ser>
        <c:ser>
          <c:idx val="6"/>
          <c:order val="6"/>
          <c:tx>
            <c:strRef>
              <c:f>'ELV Model'!$AA$119</c:f>
              <c:strCache>
                <c:ptCount val="1"/>
                <c:pt idx="0">
                  <c:v>HFC-32</c:v>
                </c:pt>
              </c:strCache>
            </c:strRef>
          </c:tx>
          <c:cat>
            <c:numRef>
              <c:f>'ELV Model'!$T$120:$T$132</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Model'!$AA$120:$AA$132</c:f>
              <c:numCache>
                <c:formatCode>#,##0</c:formatCode>
                <c:ptCount val="13"/>
                <c:pt idx="0">
                  <c:v>0</c:v>
                </c:pt>
                <c:pt idx="1">
                  <c:v>0.83333333333333304</c:v>
                </c:pt>
                <c:pt idx="2">
                  <c:v>16.566641539375375</c:v>
                </c:pt>
                <c:pt idx="3">
                  <c:v>39.62126398370377</c:v>
                </c:pt>
                <c:pt idx="4">
                  <c:v>66.781367224924352</c:v>
                </c:pt>
                <c:pt idx="5">
                  <c:v>98.153904709017937</c:v>
                </c:pt>
                <c:pt idx="6">
                  <c:v>133.8482302506508</c:v>
                </c:pt>
                <c:pt idx="7">
                  <c:v>173.9739837925959</c:v>
                </c:pt>
                <c:pt idx="8">
                  <c:v>220.96080614547267</c:v>
                </c:pt>
                <c:pt idx="9">
                  <c:v>274.94563846672719</c:v>
                </c:pt>
                <c:pt idx="10">
                  <c:v>335.979490591012</c:v>
                </c:pt>
                <c:pt idx="11">
                  <c:v>403.94932216056372</c:v>
                </c:pt>
                <c:pt idx="12">
                  <c:v>478.52115172132619</c:v>
                </c:pt>
              </c:numCache>
            </c:numRef>
          </c:val>
        </c:ser>
        <c:ser>
          <c:idx val="7"/>
          <c:order val="7"/>
          <c:tx>
            <c:strRef>
              <c:f>'ELV Model'!$AB$119</c:f>
              <c:strCache>
                <c:ptCount val="1"/>
                <c:pt idx="0">
                  <c:v>HFC-Mix</c:v>
                </c:pt>
              </c:strCache>
            </c:strRef>
          </c:tx>
          <c:cat>
            <c:numRef>
              <c:f>'ELV Model'!$T$120:$T$132</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Model'!$AB$120:$AB$132</c:f>
              <c:numCache>
                <c:formatCode>#,##0</c:formatCode>
                <c:ptCount val="13"/>
                <c:pt idx="0">
                  <c:v>289.67813279677495</c:v>
                </c:pt>
                <c:pt idx="1">
                  <c:v>225.16498309770498</c:v>
                </c:pt>
                <c:pt idx="2">
                  <c:v>201.68287362575151</c:v>
                </c:pt>
                <c:pt idx="3">
                  <c:v>208.22365619503722</c:v>
                </c:pt>
                <c:pt idx="4">
                  <c:v>182.17427907645651</c:v>
                </c:pt>
                <c:pt idx="5">
                  <c:v>162.61647391946119</c:v>
                </c:pt>
                <c:pt idx="6">
                  <c:v>143.07002674199344</c:v>
                </c:pt>
                <c:pt idx="7">
                  <c:v>123.5348123809534</c:v>
                </c:pt>
                <c:pt idx="8">
                  <c:v>104.01106976366835</c:v>
                </c:pt>
                <c:pt idx="9">
                  <c:v>84.500211054573498</c:v>
                </c:pt>
                <c:pt idx="10">
                  <c:v>65.006501468203524</c:v>
                </c:pt>
                <c:pt idx="11">
                  <c:v>45.539260179321992</c:v>
                </c:pt>
                <c:pt idx="12">
                  <c:v>26.11383245482433</c:v>
                </c:pt>
              </c:numCache>
            </c:numRef>
          </c:val>
        </c:ser>
        <c:ser>
          <c:idx val="8"/>
          <c:order val="8"/>
          <c:tx>
            <c:strRef>
              <c:f>'ELV Model'!$AC$119</c:f>
              <c:strCache>
                <c:ptCount val="1"/>
                <c:pt idx="0">
                  <c:v>GWP &lt;2150</c:v>
                </c:pt>
              </c:strCache>
            </c:strRef>
          </c:tx>
          <c:cat>
            <c:numRef>
              <c:f>'ELV Model'!$T$120:$T$132</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Model'!$AC$120:$AC$132</c:f>
              <c:numCache>
                <c:formatCode>#,##0</c:formatCode>
                <c:ptCount val="13"/>
                <c:pt idx="0">
                  <c:v>0</c:v>
                </c:pt>
                <c:pt idx="1">
                  <c:v>1.25</c:v>
                </c:pt>
                <c:pt idx="2">
                  <c:v>11.78063636363637</c:v>
                </c:pt>
                <c:pt idx="3">
                  <c:v>23.46809183132115</c:v>
                </c:pt>
                <c:pt idx="4">
                  <c:v>36.342082536896847</c:v>
                </c:pt>
                <c:pt idx="5">
                  <c:v>50.433499401268165</c:v>
                </c:pt>
                <c:pt idx="6">
                  <c:v>65.774433784308727</c:v>
                </c:pt>
                <c:pt idx="7">
                  <c:v>82.39820056371191</c:v>
                </c:pt>
                <c:pt idx="8">
                  <c:v>100.53371648790252</c:v>
                </c:pt>
                <c:pt idx="9">
                  <c:v>120.232641548209</c:v>
                </c:pt>
                <c:pt idx="10">
                  <c:v>141.5473232206885</c:v>
                </c:pt>
                <c:pt idx="11">
                  <c:v>164.52810208898009</c:v>
                </c:pt>
                <c:pt idx="12">
                  <c:v>189.21591398932799</c:v>
                </c:pt>
              </c:numCache>
            </c:numRef>
          </c:val>
        </c:ser>
        <c:ser>
          <c:idx val="9"/>
          <c:order val="9"/>
          <c:tx>
            <c:strRef>
              <c:f>'ELV Model'!$AD$119</c:f>
              <c:strCache>
                <c:ptCount val="1"/>
                <c:pt idx="0">
                  <c:v>GWP &lt;1000</c:v>
                </c:pt>
              </c:strCache>
            </c:strRef>
          </c:tx>
          <c:cat>
            <c:numRef>
              <c:f>'ELV Model'!$T$120:$T$132</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Model'!$AD$120:$AD$132</c:f>
              <c:numCache>
                <c:formatCode>#,##0</c:formatCode>
                <c:ptCount val="13"/>
                <c:pt idx="0">
                  <c:v>0</c:v>
                </c:pt>
                <c:pt idx="1">
                  <c:v>0.41666666666666824</c:v>
                </c:pt>
                <c:pt idx="2">
                  <c:v>19.44015151515152</c:v>
                </c:pt>
                <c:pt idx="3">
                  <c:v>41.357828140005992</c:v>
                </c:pt>
                <c:pt idx="4">
                  <c:v>69.347958069928865</c:v>
                </c:pt>
                <c:pt idx="5">
                  <c:v>110.24403635878356</c:v>
                </c:pt>
                <c:pt idx="6">
                  <c:v>154.2431251898461</c:v>
                </c:pt>
                <c:pt idx="7">
                  <c:v>201.41962348989998</c:v>
                </c:pt>
                <c:pt idx="8">
                  <c:v>252.85994864834919</c:v>
                </c:pt>
                <c:pt idx="9">
                  <c:v>308.65762487208781</c:v>
                </c:pt>
                <c:pt idx="10">
                  <c:v>368.89544637652131</c:v>
                </c:pt>
                <c:pt idx="11">
                  <c:v>433.62180559199112</c:v>
                </c:pt>
                <c:pt idx="12">
                  <c:v>502.81194270213359</c:v>
                </c:pt>
              </c:numCache>
            </c:numRef>
          </c:val>
        </c:ser>
        <c:ser>
          <c:idx val="10"/>
          <c:order val="10"/>
          <c:tx>
            <c:strRef>
              <c:f>'ELV Model'!$AE$119</c:f>
              <c:strCache>
                <c:ptCount val="1"/>
                <c:pt idx="0">
                  <c:v>GWP &lt;10</c:v>
                </c:pt>
              </c:strCache>
            </c:strRef>
          </c:tx>
          <c:cat>
            <c:numRef>
              <c:f>'ELV Model'!$T$120:$T$132</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Model'!$AE$120:$AE$132</c:f>
              <c:numCache>
                <c:formatCode>#,##0</c:formatCode>
                <c:ptCount val="13"/>
                <c:pt idx="0">
                  <c:v>209.22294558034858</c:v>
                </c:pt>
                <c:pt idx="1">
                  <c:v>240.08145170405783</c:v>
                </c:pt>
                <c:pt idx="2">
                  <c:v>360.43391829421648</c:v>
                </c:pt>
                <c:pt idx="3">
                  <c:v>373.49729806098384</c:v>
                </c:pt>
                <c:pt idx="4">
                  <c:v>452.30072045557836</c:v>
                </c:pt>
                <c:pt idx="5">
                  <c:v>531.11617374306434</c:v>
                </c:pt>
                <c:pt idx="6">
                  <c:v>614.5658727534726</c:v>
                </c:pt>
                <c:pt idx="7">
                  <c:v>702.92752052118442</c:v>
                </c:pt>
                <c:pt idx="8">
                  <c:v>803.99942780750018</c:v>
                </c:pt>
                <c:pt idx="9">
                  <c:v>917.01724628338786</c:v>
                </c:pt>
                <c:pt idx="10">
                  <c:v>1041.3249222913669</c:v>
                </c:pt>
                <c:pt idx="11">
                  <c:v>1176.2390555887307</c:v>
                </c:pt>
                <c:pt idx="12">
                  <c:v>1321.0308021552141</c:v>
                </c:pt>
              </c:numCache>
            </c:numRef>
          </c:val>
        </c:ser>
        <c:dLbls>
          <c:showLegendKey val="0"/>
          <c:showVal val="0"/>
          <c:showCatName val="0"/>
          <c:showSerName val="0"/>
          <c:showPercent val="0"/>
          <c:showBubbleSize val="0"/>
        </c:dLbls>
        <c:axId val="180197328"/>
        <c:axId val="288816568"/>
      </c:areaChart>
      <c:catAx>
        <c:axId val="180197328"/>
        <c:scaling>
          <c:orientation val="minMax"/>
        </c:scaling>
        <c:delete val="0"/>
        <c:axPos val="b"/>
        <c:numFmt formatCode="General" sourceLinked="1"/>
        <c:majorTickMark val="out"/>
        <c:minorTickMark val="none"/>
        <c:tickLblPos val="nextTo"/>
        <c:crossAx val="288816568"/>
        <c:crosses val="autoZero"/>
        <c:auto val="1"/>
        <c:lblAlgn val="ctr"/>
        <c:lblOffset val="100"/>
        <c:noMultiLvlLbl val="0"/>
      </c:catAx>
      <c:valAx>
        <c:axId val="288816568"/>
        <c:scaling>
          <c:orientation val="minMax"/>
        </c:scaling>
        <c:delete val="0"/>
        <c:axPos val="l"/>
        <c:majorGridlines/>
        <c:title>
          <c:tx>
            <c:rich>
              <a:bodyPr rot="-5400000" vert="horz"/>
              <a:lstStyle/>
              <a:p>
                <a:pPr algn="ctr" rtl="0">
                  <a:defRPr/>
                </a:pPr>
                <a:r>
                  <a:rPr lang="en-US"/>
                  <a:t>Refrigerant consumption (tonnes) </a:t>
                </a:r>
              </a:p>
            </c:rich>
          </c:tx>
          <c:layout>
            <c:manualLayout>
              <c:xMode val="edge"/>
              <c:yMode val="edge"/>
              <c:x val="8.1490104772991706E-3"/>
              <c:y val="0.26102598763137402"/>
            </c:manualLayout>
          </c:layout>
          <c:overlay val="0"/>
        </c:title>
        <c:numFmt formatCode="#,##0" sourceLinked="1"/>
        <c:majorTickMark val="out"/>
        <c:minorTickMark val="none"/>
        <c:tickLblPos val="nextTo"/>
        <c:crossAx val="180197328"/>
        <c:crosses val="autoZero"/>
        <c:crossBetween val="midCat"/>
      </c:valAx>
    </c:plotArea>
    <c:legend>
      <c:legendPos val="r"/>
      <c:overlay val="0"/>
    </c:legend>
    <c:plotVisOnly val="1"/>
    <c:dispBlanksAs val="zero"/>
    <c:showDLblsOverMax val="0"/>
  </c:chart>
  <c:spPr>
    <a:ln>
      <a:noFill/>
    </a:ln>
  </c:spPr>
  <c:txPr>
    <a:bodyPr/>
    <a:lstStyle/>
    <a:p>
      <a:pPr>
        <a:defRPr sz="8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areaChart>
        <c:grouping val="stacked"/>
        <c:varyColors val="0"/>
        <c:ser>
          <c:idx val="0"/>
          <c:order val="0"/>
          <c:tx>
            <c:strRef>
              <c:f>'ELV Model'!$U$82</c:f>
              <c:strCache>
                <c:ptCount val="1"/>
                <c:pt idx="0">
                  <c:v>DR</c:v>
                </c:pt>
              </c:strCache>
            </c:strRef>
          </c:tx>
          <c:cat>
            <c:numRef>
              <c:f>'ELV Model'!$T$83:$T$95</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Model'!$U$83:$U$95</c:f>
              <c:numCache>
                <c:formatCode>#,##0.00</c:formatCode>
                <c:ptCount val="13"/>
                <c:pt idx="0">
                  <c:v>3.5989438665892395E-2</c:v>
                </c:pt>
                <c:pt idx="1">
                  <c:v>3.5271389607864127E-2</c:v>
                </c:pt>
                <c:pt idx="2">
                  <c:v>3.4375539218382913E-2</c:v>
                </c:pt>
                <c:pt idx="3">
                  <c:v>3.3159503851062297E-2</c:v>
                </c:pt>
                <c:pt idx="4">
                  <c:v>3.1742054799648305E-2</c:v>
                </c:pt>
                <c:pt idx="5">
                  <c:v>3.0047375364745919E-2</c:v>
                </c:pt>
                <c:pt idx="6">
                  <c:v>2.8038556778483711E-2</c:v>
                </c:pt>
                <c:pt idx="7">
                  <c:v>2.5705171945065011E-2</c:v>
                </c:pt>
                <c:pt idx="8">
                  <c:v>2.3068854462095507E-2</c:v>
                </c:pt>
                <c:pt idx="9">
                  <c:v>2.0368462036839098E-2</c:v>
                </c:pt>
                <c:pt idx="10">
                  <c:v>1.7666538977612813E-2</c:v>
                </c:pt>
                <c:pt idx="11">
                  <c:v>1.5025459388632209E-2</c:v>
                </c:pt>
                <c:pt idx="12">
                  <c:v>1.2503565209944506E-2</c:v>
                </c:pt>
              </c:numCache>
            </c:numRef>
          </c:val>
        </c:ser>
        <c:ser>
          <c:idx val="1"/>
          <c:order val="1"/>
          <c:tx>
            <c:strRef>
              <c:f>'ELV Model'!$V$82</c:f>
              <c:strCache>
                <c:ptCount val="1"/>
                <c:pt idx="0">
                  <c:v>RCFC</c:v>
                </c:pt>
              </c:strCache>
            </c:strRef>
          </c:tx>
          <c:cat>
            <c:numRef>
              <c:f>'ELV Model'!$T$83:$T$95</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Model'!$V$83:$V$95</c:f>
              <c:numCache>
                <c:formatCode>#,##0.00</c:formatCode>
                <c:ptCount val="13"/>
                <c:pt idx="0">
                  <c:v>3.1121683841070578</c:v>
                </c:pt>
                <c:pt idx="1">
                  <c:v>3.0966012320084038</c:v>
                </c:pt>
                <c:pt idx="2">
                  <c:v>2.9637563545854841</c:v>
                </c:pt>
                <c:pt idx="3">
                  <c:v>2.8780570753908377</c:v>
                </c:pt>
                <c:pt idx="4">
                  <c:v>2.7802683739257361</c:v>
                </c:pt>
                <c:pt idx="5">
                  <c:v>2.6855591263413112</c:v>
                </c:pt>
                <c:pt idx="6">
                  <c:v>2.5822590221882327</c:v>
                </c:pt>
                <c:pt idx="7">
                  <c:v>2.4673014482023241</c:v>
                </c:pt>
                <c:pt idx="8">
                  <c:v>2.3418697792354477</c:v>
                </c:pt>
                <c:pt idx="9">
                  <c:v>2.2060852650651048</c:v>
                </c:pt>
                <c:pt idx="10">
                  <c:v>2.0601725245984732</c:v>
                </c:pt>
                <c:pt idx="11">
                  <c:v>1.9043658511117922</c:v>
                </c:pt>
                <c:pt idx="12">
                  <c:v>1.7390012592642223</c:v>
                </c:pt>
              </c:numCache>
            </c:numRef>
          </c:val>
        </c:ser>
        <c:ser>
          <c:idx val="2"/>
          <c:order val="2"/>
          <c:tx>
            <c:strRef>
              <c:f>'ELV Model'!$W$82</c:f>
              <c:strCache>
                <c:ptCount val="1"/>
                <c:pt idx="0">
                  <c:v>AC</c:v>
                </c:pt>
              </c:strCache>
            </c:strRef>
          </c:tx>
          <c:cat>
            <c:numRef>
              <c:f>'ELV Model'!$T$83:$T$95</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Model'!$W$83:$W$95</c:f>
              <c:numCache>
                <c:formatCode>#,##0.00</c:formatCode>
                <c:ptCount val="13"/>
                <c:pt idx="0">
                  <c:v>2.8879945809614229</c:v>
                </c:pt>
                <c:pt idx="1">
                  <c:v>2.8767196133362543</c:v>
                </c:pt>
                <c:pt idx="2">
                  <c:v>2.8188137544566478</c:v>
                </c:pt>
                <c:pt idx="3">
                  <c:v>2.7201438250121281</c:v>
                </c:pt>
                <c:pt idx="4">
                  <c:v>2.6088380199975232</c:v>
                </c:pt>
                <c:pt idx="5">
                  <c:v>2.4910004764998157</c:v>
                </c:pt>
                <c:pt idx="6">
                  <c:v>2.3780531765605577</c:v>
                </c:pt>
                <c:pt idx="7">
                  <c:v>2.2710423598113381</c:v>
                </c:pt>
                <c:pt idx="8">
                  <c:v>2.1614291389498668</c:v>
                </c:pt>
                <c:pt idx="9">
                  <c:v>2.0458462010555238</c:v>
                </c:pt>
                <c:pt idx="10">
                  <c:v>1.9207923887439891</c:v>
                </c:pt>
                <c:pt idx="11">
                  <c:v>1.783440135645856</c:v>
                </c:pt>
                <c:pt idx="12">
                  <c:v>1.6321735102821311</c:v>
                </c:pt>
              </c:numCache>
            </c:numRef>
          </c:val>
        </c:ser>
        <c:ser>
          <c:idx val="3"/>
          <c:order val="3"/>
          <c:tx>
            <c:strRef>
              <c:f>'ELV Model'!$X$82</c:f>
              <c:strCache>
                <c:ptCount val="1"/>
                <c:pt idx="0">
                  <c:v>MAC</c:v>
                </c:pt>
              </c:strCache>
            </c:strRef>
          </c:tx>
          <c:cat>
            <c:numRef>
              <c:f>'ELV Model'!$T$83:$T$95</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Model'!$X$83:$X$95</c:f>
              <c:numCache>
                <c:formatCode>#,##0.00</c:formatCode>
                <c:ptCount val="13"/>
                <c:pt idx="0">
                  <c:v>1.8008515815602681</c:v>
                </c:pt>
                <c:pt idx="1">
                  <c:v>1.7032106704942158</c:v>
                </c:pt>
                <c:pt idx="2">
                  <c:v>1.6292569699172132</c:v>
                </c:pt>
                <c:pt idx="3">
                  <c:v>1.5650378654619581</c:v>
                </c:pt>
                <c:pt idx="4">
                  <c:v>1.5034892359195458</c:v>
                </c:pt>
                <c:pt idx="5">
                  <c:v>1.4332854568791078</c:v>
                </c:pt>
                <c:pt idx="6">
                  <c:v>1.3762363151412371</c:v>
                </c:pt>
                <c:pt idx="7">
                  <c:v>1.3145849193327017</c:v>
                </c:pt>
                <c:pt idx="8">
                  <c:v>1.239542353627235</c:v>
                </c:pt>
                <c:pt idx="9">
                  <c:v>1.1520531583895721</c:v>
                </c:pt>
                <c:pt idx="10">
                  <c:v>1.0529677375572559</c:v>
                </c:pt>
                <c:pt idx="11">
                  <c:v>0.94316301595839203</c:v>
                </c:pt>
                <c:pt idx="12">
                  <c:v>0.82352411664230929</c:v>
                </c:pt>
              </c:numCache>
            </c:numRef>
          </c:val>
        </c:ser>
        <c:ser>
          <c:idx val="4"/>
          <c:order val="4"/>
          <c:tx>
            <c:strRef>
              <c:f>'ELV Model'!$Y$82</c:f>
              <c:strCache>
                <c:ptCount val="1"/>
                <c:pt idx="0">
                  <c:v>Fm</c:v>
                </c:pt>
              </c:strCache>
            </c:strRef>
          </c:tx>
          <c:cat>
            <c:numRef>
              <c:f>'ELV Model'!$T$83:$T$95</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Model'!$Y$83:$Y$95</c:f>
              <c:numCache>
                <c:formatCode>#,##0.00</c:formatCode>
                <c:ptCount val="13"/>
                <c:pt idx="0">
                  <c:v>0.64400000000000235</c:v>
                </c:pt>
                <c:pt idx="1">
                  <c:v>0.48300000000000015</c:v>
                </c:pt>
                <c:pt idx="2">
                  <c:v>0.44385454545454617</c:v>
                </c:pt>
                <c:pt idx="3">
                  <c:v>0.49221818181818316</c:v>
                </c:pt>
                <c:pt idx="4">
                  <c:v>0.44312727272727315</c:v>
                </c:pt>
                <c:pt idx="5">
                  <c:v>0.39403636363636524</c:v>
                </c:pt>
                <c:pt idx="6">
                  <c:v>0.344945454545455</c:v>
                </c:pt>
                <c:pt idx="7">
                  <c:v>0.29585454545454631</c:v>
                </c:pt>
                <c:pt idx="8">
                  <c:v>0.24676363636363607</c:v>
                </c:pt>
                <c:pt idx="9">
                  <c:v>0.19767272727272689</c:v>
                </c:pt>
                <c:pt idx="10">
                  <c:v>0.14858181818181801</c:v>
                </c:pt>
                <c:pt idx="11">
                  <c:v>9.9490909090909227E-2</c:v>
                </c:pt>
                <c:pt idx="12">
                  <c:v>5.0400000000000014E-2</c:v>
                </c:pt>
              </c:numCache>
            </c:numRef>
          </c:val>
        </c:ser>
        <c:ser>
          <c:idx val="5"/>
          <c:order val="5"/>
          <c:tx>
            <c:strRef>
              <c:f>'ELV Model'!$Z$82</c:f>
              <c:strCache>
                <c:ptCount val="1"/>
                <c:pt idx="0">
                  <c:v>FP</c:v>
                </c:pt>
              </c:strCache>
            </c:strRef>
          </c:tx>
          <c:cat>
            <c:numRef>
              <c:f>'ELV Model'!$T$83:$T$95</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Model'!$Z$83:$Z$95</c:f>
              <c:numCache>
                <c:formatCode>#,##0.00</c:formatCode>
                <c:ptCount val="13"/>
                <c:pt idx="0">
                  <c:v>0.161</c:v>
                </c:pt>
                <c:pt idx="1">
                  <c:v>0.15430200000000008</c:v>
                </c:pt>
                <c:pt idx="2">
                  <c:v>0.14760402</c:v>
                </c:pt>
                <c:pt idx="3">
                  <c:v>0.14090606020000004</c:v>
                </c:pt>
                <c:pt idx="4">
                  <c:v>0.13420812080200009</c:v>
                </c:pt>
                <c:pt idx="5">
                  <c:v>0.12751020201002009</c:v>
                </c:pt>
                <c:pt idx="6">
                  <c:v>0.12081230403012</c:v>
                </c:pt>
                <c:pt idx="7">
                  <c:v>0.11411442707042102</c:v>
                </c:pt>
                <c:pt idx="8">
                  <c:v>0.10741657134112605</c:v>
                </c:pt>
                <c:pt idx="9">
                  <c:v>0.100718737054537</c:v>
                </c:pt>
                <c:pt idx="10">
                  <c:v>9.4020924425082891E-2</c:v>
                </c:pt>
                <c:pt idx="11">
                  <c:v>8.7323133669332989E-2</c:v>
                </c:pt>
                <c:pt idx="12">
                  <c:v>8.0625365006027405E-2</c:v>
                </c:pt>
              </c:numCache>
            </c:numRef>
          </c:val>
        </c:ser>
        <c:ser>
          <c:idx val="6"/>
          <c:order val="6"/>
          <c:tx>
            <c:strRef>
              <c:f>'ELV Model'!$AA$82</c:f>
              <c:strCache>
                <c:ptCount val="1"/>
                <c:pt idx="0">
                  <c:v>Other</c:v>
                </c:pt>
              </c:strCache>
            </c:strRef>
          </c:tx>
          <c:cat>
            <c:numRef>
              <c:f>'ELV Model'!$T$83:$T$95</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Model'!$AA$83:$AA$95</c:f>
              <c:numCache>
                <c:formatCode>#,##0.00</c:formatCode>
                <c:ptCount val="13"/>
                <c:pt idx="0">
                  <c:v>0.16247400000000001</c:v>
                </c:pt>
                <c:pt idx="1">
                  <c:v>0.15635033333333309</c:v>
                </c:pt>
                <c:pt idx="2">
                  <c:v>0.15022666666666701</c:v>
                </c:pt>
                <c:pt idx="3">
                  <c:v>0.14410300000000001</c:v>
                </c:pt>
                <c:pt idx="4">
                  <c:v>0.13797933333333312</c:v>
                </c:pt>
                <c:pt idx="5">
                  <c:v>0.13185566666666693</c:v>
                </c:pt>
                <c:pt idx="6">
                  <c:v>0.12573200000000001</c:v>
                </c:pt>
                <c:pt idx="7">
                  <c:v>0.119608333333333</c:v>
                </c:pt>
                <c:pt idx="8">
                  <c:v>0.113484666666667</c:v>
                </c:pt>
                <c:pt idx="9">
                  <c:v>0.10736100000000004</c:v>
                </c:pt>
                <c:pt idx="10">
                  <c:v>0.101237333333333</c:v>
                </c:pt>
                <c:pt idx="11">
                  <c:v>9.5113666666666707E-2</c:v>
                </c:pt>
                <c:pt idx="12">
                  <c:v>8.8990000000000374E-2</c:v>
                </c:pt>
              </c:numCache>
            </c:numRef>
          </c:val>
        </c:ser>
        <c:dLbls>
          <c:showLegendKey val="0"/>
          <c:showVal val="0"/>
          <c:showCatName val="0"/>
          <c:showSerName val="0"/>
          <c:showPercent val="0"/>
          <c:showBubbleSize val="0"/>
        </c:dLbls>
        <c:axId val="288817352"/>
        <c:axId val="288817744"/>
      </c:areaChart>
      <c:catAx>
        <c:axId val="288817352"/>
        <c:scaling>
          <c:orientation val="minMax"/>
        </c:scaling>
        <c:delete val="0"/>
        <c:axPos val="b"/>
        <c:numFmt formatCode="General" sourceLinked="1"/>
        <c:majorTickMark val="out"/>
        <c:minorTickMark val="none"/>
        <c:tickLblPos val="nextTo"/>
        <c:crossAx val="288817744"/>
        <c:crosses val="autoZero"/>
        <c:auto val="1"/>
        <c:lblAlgn val="ctr"/>
        <c:lblOffset val="100"/>
        <c:noMultiLvlLbl val="0"/>
      </c:catAx>
      <c:valAx>
        <c:axId val="288817744"/>
        <c:scaling>
          <c:orientation val="minMax"/>
        </c:scaling>
        <c:delete val="0"/>
        <c:axPos val="l"/>
        <c:majorGridlines/>
        <c:title>
          <c:tx>
            <c:rich>
              <a:bodyPr rot="-5400000" vert="horz"/>
              <a:lstStyle/>
              <a:p>
                <a:pPr algn="ctr" rtl="0">
                  <a:defRPr/>
                </a:pPr>
                <a:r>
                  <a:rPr lang="en-US"/>
                  <a:t>Refrigerant consumption </a:t>
                </a:r>
              </a:p>
              <a:p>
                <a:pPr algn="ctr" rtl="0">
                  <a:defRPr/>
                </a:pPr>
                <a:r>
                  <a:rPr lang="en-US"/>
                  <a:t>(Mt CO2e) </a:t>
                </a:r>
              </a:p>
            </c:rich>
          </c:tx>
          <c:overlay val="0"/>
        </c:title>
        <c:numFmt formatCode="#,##0.00" sourceLinked="1"/>
        <c:majorTickMark val="out"/>
        <c:minorTickMark val="none"/>
        <c:tickLblPos val="nextTo"/>
        <c:crossAx val="288817352"/>
        <c:crosses val="autoZero"/>
        <c:crossBetween val="midCat"/>
      </c:valAx>
    </c:plotArea>
    <c:legend>
      <c:legendPos val="r"/>
      <c:overlay val="0"/>
    </c:legend>
    <c:plotVisOnly val="1"/>
    <c:dispBlanksAs val="zero"/>
    <c:showDLblsOverMax val="0"/>
  </c:chart>
  <c:spPr>
    <a:ln>
      <a:noFill/>
    </a:ln>
  </c:spPr>
  <c:txPr>
    <a:bodyPr/>
    <a:lstStyle/>
    <a:p>
      <a:pPr>
        <a:defRPr sz="8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areaChart>
        <c:grouping val="stacked"/>
        <c:varyColors val="0"/>
        <c:ser>
          <c:idx val="0"/>
          <c:order val="0"/>
          <c:tx>
            <c:strRef>
              <c:f>'ELV Model'!$C$134</c:f>
              <c:strCache>
                <c:ptCount val="1"/>
                <c:pt idx="0">
                  <c:v>No-MAC</c:v>
                </c:pt>
              </c:strCache>
            </c:strRef>
          </c:tx>
          <c:cat>
            <c:numRef>
              <c:f>'ELV Model'!$B$135:$B$147</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Model'!$C$135:$C$147</c:f>
              <c:numCache>
                <c:formatCode>#,##0</c:formatCode>
                <c:ptCount val="13"/>
                <c:pt idx="0">
                  <c:v>616047.5994941243</c:v>
                </c:pt>
                <c:pt idx="1">
                  <c:v>538817.65484669164</c:v>
                </c:pt>
                <c:pt idx="2">
                  <c:v>475534.61443214701</c:v>
                </c:pt>
                <c:pt idx="3">
                  <c:v>423771.48664612276</c:v>
                </c:pt>
                <c:pt idx="4">
                  <c:v>381372.09754087136</c:v>
                </c:pt>
                <c:pt idx="5">
                  <c:v>344998.82772649894</c:v>
                </c:pt>
                <c:pt idx="6">
                  <c:v>313949.67114976561</c:v>
                </c:pt>
                <c:pt idx="7">
                  <c:v>287518.64875441615</c:v>
                </c:pt>
                <c:pt idx="8">
                  <c:v>264830.27568845218</c:v>
                </c:pt>
                <c:pt idx="9">
                  <c:v>245435.96719262091</c:v>
                </c:pt>
                <c:pt idx="10">
                  <c:v>228816.65963929475</c:v>
                </c:pt>
                <c:pt idx="11">
                  <c:v>214253.26894061014</c:v>
                </c:pt>
                <c:pt idx="12">
                  <c:v>201357.12435063571</c:v>
                </c:pt>
              </c:numCache>
            </c:numRef>
          </c:val>
        </c:ser>
        <c:ser>
          <c:idx val="1"/>
          <c:order val="1"/>
          <c:tx>
            <c:strRef>
              <c:f>'ELV Model'!$D$134</c:f>
              <c:strCache>
                <c:ptCount val="1"/>
                <c:pt idx="0">
                  <c:v>CFC-12</c:v>
                </c:pt>
              </c:strCache>
            </c:strRef>
          </c:tx>
          <c:cat>
            <c:numRef>
              <c:f>'ELV Model'!$B$135:$B$147</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Model'!$D$135:$D$147</c:f>
              <c:numCache>
                <c:formatCode>#,##0</c:formatCode>
                <c:ptCount val="13"/>
                <c:pt idx="0">
                  <c:v>677074.83415125648</c:v>
                </c:pt>
                <c:pt idx="1">
                  <c:v>554670.40068791562</c:v>
                </c:pt>
                <c:pt idx="2">
                  <c:v>450071.0994251864</c:v>
                </c:pt>
                <c:pt idx="3">
                  <c:v>363014.76673899649</c:v>
                </c:pt>
                <c:pt idx="4">
                  <c:v>292501.97843340522</c:v>
                </c:pt>
                <c:pt idx="5">
                  <c:v>242059.39463045329</c:v>
                </c:pt>
                <c:pt idx="6">
                  <c:v>207132.56340823948</c:v>
                </c:pt>
                <c:pt idx="7">
                  <c:v>183762.11313362821</c:v>
                </c:pt>
                <c:pt idx="8">
                  <c:v>168357.04016821101</c:v>
                </c:pt>
                <c:pt idx="9">
                  <c:v>158788.41893590681</c:v>
                </c:pt>
                <c:pt idx="10">
                  <c:v>149547.0064121559</c:v>
                </c:pt>
                <c:pt idx="11">
                  <c:v>140649.9653125029</c:v>
                </c:pt>
                <c:pt idx="12">
                  <c:v>132114.62279208968</c:v>
                </c:pt>
              </c:numCache>
            </c:numRef>
          </c:val>
        </c:ser>
        <c:ser>
          <c:idx val="2"/>
          <c:order val="2"/>
          <c:tx>
            <c:strRef>
              <c:f>'ELV Model'!$E$134</c:f>
              <c:strCache>
                <c:ptCount val="1"/>
                <c:pt idx="0">
                  <c:v>HFC-134a</c:v>
                </c:pt>
              </c:strCache>
            </c:strRef>
          </c:tx>
          <c:cat>
            <c:numRef>
              <c:f>'ELV Model'!$B$135:$B$147</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Model'!$E$135:$E$147</c:f>
              <c:numCache>
                <c:formatCode>#,##0</c:formatCode>
                <c:ptCount val="13"/>
                <c:pt idx="0">
                  <c:v>14008863.544129694</c:v>
                </c:pt>
                <c:pt idx="1">
                  <c:v>14512633.815262999</c:v>
                </c:pt>
                <c:pt idx="2">
                  <c:v>14936298.299872799</c:v>
                </c:pt>
                <c:pt idx="3">
                  <c:v>15279228.031793097</c:v>
                </c:pt>
                <c:pt idx="4">
                  <c:v>15541514.018185798</c:v>
                </c:pt>
                <c:pt idx="5">
                  <c:v>15720426.891497102</c:v>
                </c:pt>
                <c:pt idx="6">
                  <c:v>15819040.4489333</c:v>
                </c:pt>
                <c:pt idx="7">
                  <c:v>15840186.983331595</c:v>
                </c:pt>
                <c:pt idx="8">
                  <c:v>15693665.828030296</c:v>
                </c:pt>
                <c:pt idx="9">
                  <c:v>15378841.490621299</c:v>
                </c:pt>
                <c:pt idx="10">
                  <c:v>14898460.156944795</c:v>
                </c:pt>
                <c:pt idx="11">
                  <c:v>14247134.920560993</c:v>
                </c:pt>
                <c:pt idx="12">
                  <c:v>13422442.699178196</c:v>
                </c:pt>
              </c:numCache>
            </c:numRef>
          </c:val>
        </c:ser>
        <c:ser>
          <c:idx val="3"/>
          <c:order val="3"/>
          <c:tx>
            <c:strRef>
              <c:f>'ELV Model'!$F$134</c:f>
              <c:strCache>
                <c:ptCount val="1"/>
                <c:pt idx="0">
                  <c:v>GWP &lt;10</c:v>
                </c:pt>
              </c:strCache>
            </c:strRef>
          </c:tx>
          <c:cat>
            <c:numRef>
              <c:f>'ELV Model'!$B$135:$B$147</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'ELV Model'!$F$135:$F$147</c:f>
              <c:numCache>
                <c:formatCode>#,##0</c:formatCode>
                <c:ptCount val="13"/>
                <c:pt idx="0">
                  <c:v>938326.75146031904</c:v>
                </c:pt>
                <c:pt idx="1">
                  <c:v>1076763.60177375</c:v>
                </c:pt>
                <c:pt idx="2">
                  <c:v>1269089.6238371702</c:v>
                </c:pt>
                <c:pt idx="3">
                  <c:v>1517005.8482883296</c:v>
                </c:pt>
                <c:pt idx="4">
                  <c:v>1822138.6028056003</c:v>
                </c:pt>
                <c:pt idx="5">
                  <c:v>2186037.06469328</c:v>
                </c:pt>
                <c:pt idx="6">
                  <c:v>2610167.9288781299</c:v>
                </c:pt>
                <c:pt idx="7">
                  <c:v>3095905.5531690889</c:v>
                </c:pt>
                <c:pt idx="8">
                  <c:v>3736168.3298393786</c:v>
                </c:pt>
                <c:pt idx="9">
                  <c:v>4535502.9807981709</c:v>
                </c:pt>
                <c:pt idx="10">
                  <c:v>5498236.1169279097</c:v>
                </c:pt>
                <c:pt idx="11">
                  <c:v>6628411.9420340294</c:v>
                </c:pt>
                <c:pt idx="12">
                  <c:v>7929717.9086471302</c:v>
                </c:pt>
              </c:numCache>
            </c:numRef>
          </c:val>
        </c:ser>
        <c:dLbls>
          <c:showLegendKey val="0"/>
          <c:showVal val="0"/>
          <c:showCatName val="0"/>
          <c:showSerName val="0"/>
          <c:showPercent val="0"/>
          <c:showBubbleSize val="0"/>
        </c:dLbls>
        <c:axId val="288818528"/>
        <c:axId val="288818920"/>
      </c:areaChart>
      <c:catAx>
        <c:axId val="288818528"/>
        <c:scaling>
          <c:orientation val="minMax"/>
        </c:scaling>
        <c:delete val="0"/>
        <c:axPos val="b"/>
        <c:numFmt formatCode="General" sourceLinked="1"/>
        <c:majorTickMark val="out"/>
        <c:minorTickMark val="none"/>
        <c:tickLblPos val="nextTo"/>
        <c:crossAx val="288818920"/>
        <c:crosses val="autoZero"/>
        <c:auto val="1"/>
        <c:lblAlgn val="ctr"/>
        <c:lblOffset val="100"/>
        <c:noMultiLvlLbl val="0"/>
      </c:catAx>
      <c:valAx>
        <c:axId val="288818920"/>
        <c:scaling>
          <c:orientation val="minMax"/>
        </c:scaling>
        <c:delete val="0"/>
        <c:axPos val="l"/>
        <c:majorGridlines/>
        <c:title>
          <c:tx>
            <c:rich>
              <a:bodyPr rot="-5400000" vert="horz"/>
              <a:lstStyle/>
              <a:p>
                <a:pPr>
                  <a:defRPr/>
                </a:pPr>
                <a:r>
                  <a:rPr lang="en-US"/>
                  <a:t>Number of vehicles (Millions)</a:t>
                </a:r>
              </a:p>
            </c:rich>
          </c:tx>
          <c:layout>
            <c:manualLayout>
              <c:xMode val="edge"/>
              <c:yMode val="edge"/>
              <c:x val="1.9058359129910905E-2"/>
              <c:y val="0.20495990632750008"/>
            </c:manualLayout>
          </c:layout>
          <c:overlay val="0"/>
        </c:title>
        <c:numFmt formatCode="#,##0.0" sourceLinked="0"/>
        <c:majorTickMark val="out"/>
        <c:minorTickMark val="none"/>
        <c:tickLblPos val="nextTo"/>
        <c:crossAx val="288818528"/>
        <c:crosses val="autoZero"/>
        <c:crossBetween val="midCat"/>
        <c:dispUnits>
          <c:builtInUnit val="millions"/>
        </c:dispUnits>
      </c:valAx>
    </c:plotArea>
    <c:legend>
      <c:legendPos val="r"/>
      <c:overlay val="0"/>
    </c:legend>
    <c:plotVisOnly val="1"/>
    <c:dispBlanksAs val="zero"/>
    <c:showDLblsOverMax val="0"/>
  </c:chart>
  <c:spPr>
    <a:ln>
      <a:noFill/>
    </a:ln>
  </c:spPr>
  <c:txPr>
    <a:bodyPr/>
    <a:lstStyle/>
    <a:p>
      <a:pPr>
        <a:defRPr sz="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D0F97593.dotm</Template>
  <TotalTime>0</TotalTime>
  <Pages>60</Pages>
  <Words>22220</Words>
  <Characters>126654</Characters>
  <Application>Microsoft Office Word</Application>
  <DocSecurity>4</DocSecurity>
  <Lines>1055</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Impacts of Refrigerant gas in End of Life Vehicles in Australia</dc:title>
  <dc:creator/>
  <cp:lastModifiedBy/>
  <cp:revision>1</cp:revision>
  <dcterms:created xsi:type="dcterms:W3CDTF">2016-12-21T02:56:00Z</dcterms:created>
  <dcterms:modified xsi:type="dcterms:W3CDTF">2016-12-21T02:56:00Z</dcterms:modified>
</cp:coreProperties>
</file>