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04EB" w:rsidRDefault="00C704EB" w:rsidP="00C704EB">
      <w:pPr>
        <w:pStyle w:val="title"/>
        <w:rPr>
          <w:b/>
        </w:rPr>
      </w:pPr>
      <w:bookmarkStart w:id="0" w:name="_Toc159401311"/>
      <w:bookmarkStart w:id="1" w:name="_Toc159401135"/>
      <w:bookmarkStart w:id="2" w:name="_Toc159400730"/>
      <w:bookmarkStart w:id="3" w:name="_Toc159315372"/>
      <w:r>
        <w:rPr>
          <w:b/>
        </w:rPr>
        <w:t>Environment Protection and Biodiversity Conservation Act 1999 (</w:t>
      </w:r>
      <w:proofErr w:type="spellStart"/>
      <w:r>
        <w:rPr>
          <w:b/>
        </w:rPr>
        <w:t>Cwlth</w:t>
      </w:r>
      <w:proofErr w:type="spellEnd"/>
      <w:r>
        <w:rPr>
          <w:b/>
        </w:rPr>
        <w:t>)</w:t>
      </w:r>
    </w:p>
    <w:p w:rsidR="00C704EB" w:rsidRDefault="00C704EB" w:rsidP="00C704EB">
      <w:pPr>
        <w:rPr>
          <w:rFonts w:ascii="Times New Roman" w:hAnsi="Times New Roman"/>
          <w:b/>
          <w:sz w:val="28"/>
        </w:rPr>
      </w:pPr>
    </w:p>
    <w:p w:rsidR="00C704EB" w:rsidRDefault="00C4719A" w:rsidP="00C704EB">
      <w:pPr>
        <w:pStyle w:val="title"/>
      </w:pPr>
      <w:bookmarkStart w:id="4" w:name="OLE_LINK12"/>
      <w:bookmarkStart w:id="5" w:name="OLE_LINK11"/>
      <w:r>
        <w:t>Policy Statement</w:t>
      </w:r>
    </w:p>
    <w:bookmarkEnd w:id="4"/>
    <w:bookmarkEnd w:id="5"/>
    <w:p w:rsidR="00C704EB" w:rsidRDefault="00C704EB" w:rsidP="00C704EB">
      <w:pPr>
        <w:rPr>
          <w:rFonts w:ascii="Times New Roman" w:hAnsi="Times New Roman"/>
          <w:b/>
          <w:sz w:val="28"/>
        </w:rPr>
      </w:pPr>
    </w:p>
    <w:p w:rsidR="00C704EB" w:rsidRDefault="00C704EB" w:rsidP="00C704EB">
      <w:pPr>
        <w:rPr>
          <w:sz w:val="52"/>
        </w:rPr>
      </w:pPr>
      <w:bookmarkStart w:id="6" w:name="OLE_LINK14"/>
      <w:bookmarkStart w:id="7" w:name="OLE_LINK13"/>
      <w:r>
        <w:rPr>
          <w:sz w:val="52"/>
        </w:rPr>
        <w:t>Definition of ‘action’: Section 523, section 524, and section 524A of the EPBC Act</w:t>
      </w:r>
      <w:bookmarkEnd w:id="6"/>
      <w:bookmarkEnd w:id="7"/>
      <w:r>
        <w:rPr>
          <w:sz w:val="52"/>
        </w:rPr>
        <w:t xml:space="preserve"> </w:t>
      </w:r>
    </w:p>
    <w:p w:rsidR="00C704EB" w:rsidRDefault="00C704EB" w:rsidP="00C704EB">
      <w:pPr>
        <w:rPr>
          <w:rFonts w:ascii="Times New Roman" w:hAnsi="Times New Roman"/>
        </w:rPr>
      </w:pPr>
    </w:p>
    <w:p w:rsidR="00C704EB" w:rsidRDefault="00C704EB" w:rsidP="00C704EB">
      <w:pPr>
        <w:rPr>
          <w:rFonts w:ascii="Times New Roman" w:hAnsi="Times New Roman"/>
        </w:rPr>
      </w:pPr>
    </w:p>
    <w:p w:rsidR="00C704EB" w:rsidRDefault="00C704EB" w:rsidP="00C704EB"/>
    <w:p w:rsidR="00C704EB" w:rsidRDefault="00C704EB" w:rsidP="00C704EB">
      <w:pPr>
        <w:spacing w:before="0"/>
        <w:sectPr w:rsidR="00C704EB">
          <w:pgSz w:w="16838" w:h="11906" w:orient="landscape"/>
          <w:pgMar w:top="720" w:right="1440" w:bottom="1440" w:left="1440" w:header="709" w:footer="709" w:gutter="0"/>
          <w:pgNumType w:start="1"/>
          <w:cols w:space="720"/>
        </w:sectPr>
      </w:pPr>
    </w:p>
    <w:p w:rsidR="00C704EB" w:rsidRDefault="00C704EB" w:rsidP="00C704EB">
      <w:pPr>
        <w:pStyle w:val="title"/>
        <w:rPr>
          <w:b/>
          <w:sz w:val="40"/>
          <w:szCs w:val="40"/>
        </w:rPr>
      </w:pPr>
      <w:r>
        <w:rPr>
          <w:b/>
        </w:rPr>
        <w:lastRenderedPageBreak/>
        <w:br w:type="page"/>
      </w:r>
      <w:bookmarkEnd w:id="0"/>
      <w:bookmarkEnd w:id="1"/>
      <w:bookmarkEnd w:id="2"/>
      <w:bookmarkEnd w:id="3"/>
      <w:r>
        <w:rPr>
          <w:b/>
          <w:sz w:val="40"/>
          <w:szCs w:val="40"/>
        </w:rPr>
        <w:lastRenderedPageBreak/>
        <w:t>Contents</w:t>
      </w:r>
    </w:p>
    <w:p w:rsidR="00C704EB" w:rsidRDefault="00C704EB" w:rsidP="00C704EB">
      <w:pPr>
        <w:pStyle w:val="TOCHeading"/>
        <w:rPr>
          <w:rFonts w:ascii="Tahoma" w:hAnsi="Tahoma" w:cs="Tahoma"/>
          <w:color w:val="auto"/>
        </w:rPr>
      </w:pPr>
      <w:r>
        <w:rPr>
          <w:rFonts w:ascii="Tahoma" w:hAnsi="Tahoma" w:cs="Tahoma"/>
          <w:color w:val="auto"/>
        </w:rPr>
        <w:t>Table of Contents</w:t>
      </w:r>
    </w:p>
    <w:p w:rsidR="00C704EB" w:rsidRDefault="00945EF9" w:rsidP="00C704EB">
      <w:pPr>
        <w:pStyle w:val="TOC1"/>
        <w:tabs>
          <w:tab w:val="right" w:leader="dot" w:pos="4170"/>
        </w:tabs>
        <w:rPr>
          <w:rStyle w:val="Hyperlink"/>
          <w:color w:val="auto"/>
          <w:u w:val="none"/>
        </w:rPr>
      </w:pPr>
      <w:r>
        <w:fldChar w:fldCharType="begin"/>
      </w:r>
      <w:r w:rsidR="00C704EB">
        <w:instrText xml:space="preserve"> TOC \o "1-3" \h \z \u </w:instrText>
      </w:r>
      <w:r>
        <w:fldChar w:fldCharType="separate"/>
      </w:r>
      <w:hyperlink r:id="rId11" w:anchor="_Toc311128028" w:history="1">
        <w:r w:rsidR="00C704EB">
          <w:rPr>
            <w:rStyle w:val="Hyperlink"/>
            <w:rFonts w:cs="Tahoma"/>
            <w:noProof/>
          </w:rPr>
          <w:t>Overview</w:t>
        </w:r>
        <w:r w:rsidR="00C704EB">
          <w:rPr>
            <w:rStyle w:val="Hyperlink"/>
            <w:noProof/>
            <w:webHidden/>
          </w:rPr>
          <w:tab/>
        </w:r>
        <w:r>
          <w:rPr>
            <w:rStyle w:val="Hyperlink"/>
            <w:noProof/>
            <w:webHidden/>
          </w:rPr>
          <w:fldChar w:fldCharType="begin"/>
        </w:r>
        <w:r w:rsidR="00C704EB">
          <w:rPr>
            <w:rStyle w:val="Hyperlink"/>
            <w:noProof/>
            <w:webHidden/>
          </w:rPr>
          <w:instrText xml:space="preserve"> PAGEREF _Toc311128028 \h </w:instrText>
        </w:r>
        <w:r>
          <w:rPr>
            <w:rStyle w:val="Hyperlink"/>
            <w:noProof/>
            <w:webHidden/>
          </w:rPr>
        </w:r>
        <w:r>
          <w:rPr>
            <w:rStyle w:val="Hyperlink"/>
            <w:noProof/>
            <w:webHidden/>
          </w:rPr>
          <w:fldChar w:fldCharType="separate"/>
        </w:r>
        <w:r w:rsidR="00C704EB">
          <w:rPr>
            <w:rStyle w:val="Hyperlink"/>
            <w:noProof/>
            <w:webHidden/>
          </w:rPr>
          <w:t>2</w:t>
        </w:r>
        <w:r>
          <w:rPr>
            <w:rStyle w:val="Hyperlink"/>
            <w:noProof/>
            <w:webHidden/>
          </w:rPr>
          <w:fldChar w:fldCharType="end"/>
        </w:r>
      </w:hyperlink>
    </w:p>
    <w:p w:rsidR="00C704EB" w:rsidRDefault="00945EF9" w:rsidP="00C704EB">
      <w:pPr>
        <w:pStyle w:val="TOC1"/>
        <w:tabs>
          <w:tab w:val="right" w:leader="dot" w:pos="4170"/>
        </w:tabs>
      </w:pPr>
      <w:hyperlink r:id="rId12" w:anchor="_Toc311128029" w:history="1">
        <w:r w:rsidR="00C704EB">
          <w:rPr>
            <w:rStyle w:val="Hyperlink"/>
          </w:rPr>
          <w:t>Determining whether a proposal constitutes an action ………………………………………………………2</w:t>
        </w:r>
      </w:hyperlink>
    </w:p>
    <w:p w:rsidR="00C704EB" w:rsidRDefault="00C704EB" w:rsidP="00C704EB">
      <w:pPr>
        <w:pStyle w:val="TOC1"/>
        <w:tabs>
          <w:tab w:val="right" w:leader="dot" w:pos="4170"/>
        </w:tabs>
        <w:rPr>
          <w:noProof/>
        </w:rPr>
      </w:pPr>
      <w:r>
        <w:rPr>
          <w:noProof/>
        </w:rPr>
        <w:t xml:space="preserve"> </w:t>
      </w:r>
      <w:hyperlink r:id="rId13" w:anchor="_Toc311128030" w:history="1">
        <w:r>
          <w:rPr>
            <w:rStyle w:val="Hyperlink"/>
            <w:noProof/>
          </w:rPr>
          <w:t>Step 1: Does the referral include an ‘action’, as defined by the EPBC Act?</w:t>
        </w:r>
        <w:r>
          <w:rPr>
            <w:rStyle w:val="Hyperlink"/>
            <w:noProof/>
            <w:webHidden/>
          </w:rPr>
          <w:tab/>
        </w:r>
        <w:r w:rsidR="00945EF9">
          <w:rPr>
            <w:rStyle w:val="Hyperlink"/>
            <w:noProof/>
            <w:webHidden/>
          </w:rPr>
          <w:fldChar w:fldCharType="begin"/>
        </w:r>
        <w:r>
          <w:rPr>
            <w:rStyle w:val="Hyperlink"/>
            <w:noProof/>
            <w:webHidden/>
          </w:rPr>
          <w:instrText xml:space="preserve"> PAGEREF _Toc311128030 \h </w:instrText>
        </w:r>
        <w:r w:rsidR="00945EF9">
          <w:rPr>
            <w:rStyle w:val="Hyperlink"/>
            <w:noProof/>
            <w:webHidden/>
          </w:rPr>
        </w:r>
        <w:r w:rsidR="00945EF9">
          <w:rPr>
            <w:rStyle w:val="Hyperlink"/>
            <w:noProof/>
            <w:webHidden/>
          </w:rPr>
          <w:fldChar w:fldCharType="separate"/>
        </w:r>
        <w:r>
          <w:rPr>
            <w:rStyle w:val="Hyperlink"/>
            <w:noProof/>
            <w:webHidden/>
          </w:rPr>
          <w:t>2</w:t>
        </w:r>
        <w:r w:rsidR="00945EF9">
          <w:rPr>
            <w:rStyle w:val="Hyperlink"/>
            <w:noProof/>
            <w:webHidden/>
          </w:rPr>
          <w:fldChar w:fldCharType="end"/>
        </w:r>
      </w:hyperlink>
    </w:p>
    <w:p w:rsidR="00C704EB" w:rsidRDefault="00945EF9" w:rsidP="00C704EB">
      <w:pPr>
        <w:pStyle w:val="TOC3"/>
        <w:tabs>
          <w:tab w:val="right" w:leader="dot" w:pos="4170"/>
        </w:tabs>
        <w:rPr>
          <w:noProof/>
        </w:rPr>
      </w:pPr>
      <w:hyperlink r:id="rId14" w:anchor="_Toc311128032" w:history="1">
        <w:r w:rsidR="00C704EB">
          <w:rPr>
            <w:rStyle w:val="Hyperlink"/>
            <w:noProof/>
          </w:rPr>
          <w:t>Related activities</w:t>
        </w:r>
        <w:r w:rsidR="00C704EB">
          <w:rPr>
            <w:rStyle w:val="Hyperlink"/>
            <w:noProof/>
            <w:webHidden/>
          </w:rPr>
          <w:tab/>
        </w:r>
        <w:r>
          <w:rPr>
            <w:rStyle w:val="Hyperlink"/>
            <w:noProof/>
            <w:webHidden/>
          </w:rPr>
          <w:fldChar w:fldCharType="begin"/>
        </w:r>
        <w:r w:rsidR="00C704EB">
          <w:rPr>
            <w:rStyle w:val="Hyperlink"/>
            <w:noProof/>
            <w:webHidden/>
          </w:rPr>
          <w:instrText xml:space="preserve"> PAGEREF _Toc311128032 \h </w:instrText>
        </w:r>
        <w:r>
          <w:rPr>
            <w:rStyle w:val="Hyperlink"/>
            <w:noProof/>
            <w:webHidden/>
          </w:rPr>
        </w:r>
        <w:r>
          <w:rPr>
            <w:rStyle w:val="Hyperlink"/>
            <w:noProof/>
            <w:webHidden/>
          </w:rPr>
          <w:fldChar w:fldCharType="separate"/>
        </w:r>
        <w:r w:rsidR="00C704EB">
          <w:rPr>
            <w:rStyle w:val="Hyperlink"/>
            <w:noProof/>
            <w:webHidden/>
          </w:rPr>
          <w:t>2</w:t>
        </w:r>
        <w:r>
          <w:rPr>
            <w:rStyle w:val="Hyperlink"/>
            <w:noProof/>
            <w:webHidden/>
          </w:rPr>
          <w:fldChar w:fldCharType="end"/>
        </w:r>
      </w:hyperlink>
    </w:p>
    <w:p w:rsidR="00C704EB" w:rsidRDefault="00945EF9" w:rsidP="00C704EB">
      <w:pPr>
        <w:pStyle w:val="TOC3"/>
        <w:tabs>
          <w:tab w:val="right" w:leader="dot" w:pos="4170"/>
        </w:tabs>
        <w:rPr>
          <w:noProof/>
        </w:rPr>
      </w:pPr>
      <w:hyperlink r:id="rId15" w:anchor="_Toc311128033" w:history="1">
        <w:r w:rsidR="00C704EB">
          <w:rPr>
            <w:rStyle w:val="Hyperlink"/>
            <w:noProof/>
          </w:rPr>
          <w:t>Non-physical actions</w:t>
        </w:r>
        <w:r w:rsidR="00C704EB">
          <w:rPr>
            <w:rStyle w:val="Hyperlink"/>
            <w:noProof/>
            <w:webHidden/>
          </w:rPr>
          <w:tab/>
        </w:r>
      </w:hyperlink>
      <w:r w:rsidR="00C704EB">
        <w:rPr>
          <w:rStyle w:val="Hyperlink"/>
          <w:noProof/>
        </w:rPr>
        <w:t>3</w:t>
      </w:r>
    </w:p>
    <w:p w:rsidR="00C704EB" w:rsidRDefault="00945EF9" w:rsidP="00C704EB">
      <w:pPr>
        <w:pStyle w:val="TOC1"/>
        <w:tabs>
          <w:tab w:val="right" w:leader="dot" w:pos="4170"/>
        </w:tabs>
        <w:rPr>
          <w:rStyle w:val="Hyperlink"/>
        </w:rPr>
      </w:pPr>
      <w:hyperlink r:id="rId16" w:anchor="_Toc311128034" w:history="1">
        <w:r w:rsidR="00C704EB">
          <w:rPr>
            <w:rStyle w:val="Hyperlink"/>
            <w:noProof/>
          </w:rPr>
          <w:t xml:space="preserve">Step 2: Things that are not actions - is the activity a governmental authorisation or provision of grant funding? ………………………..3 </w:t>
        </w:r>
      </w:hyperlink>
    </w:p>
    <w:p w:rsidR="00C704EB" w:rsidRDefault="00945EF9" w:rsidP="00C704EB">
      <w:pPr>
        <w:pStyle w:val="TOC3"/>
        <w:tabs>
          <w:tab w:val="right" w:leader="dot" w:pos="4170"/>
        </w:tabs>
      </w:pPr>
      <w:hyperlink r:id="rId17" w:anchor="_Toc311128036" w:history="1">
        <w:r w:rsidR="00C704EB">
          <w:rPr>
            <w:rStyle w:val="Hyperlink"/>
            <w:noProof/>
          </w:rPr>
          <w:t>Grant Funding</w:t>
        </w:r>
        <w:r w:rsidR="00C704EB">
          <w:rPr>
            <w:rStyle w:val="Hyperlink"/>
            <w:noProof/>
            <w:webHidden/>
          </w:rPr>
          <w:tab/>
        </w:r>
        <w:r>
          <w:rPr>
            <w:rStyle w:val="Hyperlink"/>
            <w:noProof/>
            <w:webHidden/>
          </w:rPr>
          <w:fldChar w:fldCharType="begin"/>
        </w:r>
        <w:r w:rsidR="00C704EB">
          <w:rPr>
            <w:rStyle w:val="Hyperlink"/>
            <w:noProof/>
            <w:webHidden/>
          </w:rPr>
          <w:instrText xml:space="preserve"> PAGEREF _Toc311128036 \h </w:instrText>
        </w:r>
        <w:r>
          <w:rPr>
            <w:rStyle w:val="Hyperlink"/>
            <w:noProof/>
            <w:webHidden/>
          </w:rPr>
        </w:r>
        <w:r>
          <w:rPr>
            <w:rStyle w:val="Hyperlink"/>
            <w:noProof/>
            <w:webHidden/>
          </w:rPr>
          <w:fldChar w:fldCharType="separate"/>
        </w:r>
        <w:r w:rsidR="00C704EB">
          <w:rPr>
            <w:rStyle w:val="Hyperlink"/>
            <w:noProof/>
            <w:webHidden/>
          </w:rPr>
          <w:t>3</w:t>
        </w:r>
        <w:r>
          <w:rPr>
            <w:rStyle w:val="Hyperlink"/>
            <w:noProof/>
            <w:webHidden/>
          </w:rPr>
          <w:fldChar w:fldCharType="end"/>
        </w:r>
      </w:hyperlink>
    </w:p>
    <w:p w:rsidR="00C704EB" w:rsidRDefault="00945EF9" w:rsidP="00C704EB">
      <w:pPr>
        <w:pStyle w:val="TOC3"/>
        <w:tabs>
          <w:tab w:val="right" w:leader="dot" w:pos="4170"/>
        </w:tabs>
        <w:rPr>
          <w:noProof/>
        </w:rPr>
      </w:pPr>
      <w:hyperlink r:id="rId18" w:anchor="_Toc311128038" w:history="1">
        <w:r w:rsidR="00C704EB">
          <w:rPr>
            <w:rStyle w:val="Hyperlink"/>
            <w:noProof/>
          </w:rPr>
          <w:t>Is failure to act an ‘action’?</w:t>
        </w:r>
        <w:r w:rsidR="00C704EB">
          <w:rPr>
            <w:rStyle w:val="Hyperlink"/>
            <w:noProof/>
            <w:webHidden/>
          </w:rPr>
          <w:tab/>
        </w:r>
        <w:r>
          <w:rPr>
            <w:rStyle w:val="Hyperlink"/>
            <w:noProof/>
            <w:webHidden/>
          </w:rPr>
          <w:fldChar w:fldCharType="begin"/>
        </w:r>
        <w:r w:rsidR="00C704EB">
          <w:rPr>
            <w:rStyle w:val="Hyperlink"/>
            <w:noProof/>
            <w:webHidden/>
          </w:rPr>
          <w:instrText xml:space="preserve"> PAGEREF _Toc311128038 \h </w:instrText>
        </w:r>
        <w:r>
          <w:rPr>
            <w:rStyle w:val="Hyperlink"/>
            <w:noProof/>
            <w:webHidden/>
          </w:rPr>
        </w:r>
        <w:r>
          <w:rPr>
            <w:rStyle w:val="Hyperlink"/>
            <w:noProof/>
            <w:webHidden/>
          </w:rPr>
          <w:fldChar w:fldCharType="separate"/>
        </w:r>
        <w:r w:rsidR="00C704EB">
          <w:rPr>
            <w:rStyle w:val="Hyperlink"/>
            <w:noProof/>
            <w:webHidden/>
          </w:rPr>
          <w:t>4</w:t>
        </w:r>
        <w:r>
          <w:rPr>
            <w:rStyle w:val="Hyperlink"/>
            <w:noProof/>
            <w:webHidden/>
          </w:rPr>
          <w:fldChar w:fldCharType="end"/>
        </w:r>
      </w:hyperlink>
    </w:p>
    <w:p w:rsidR="00C704EB" w:rsidRDefault="00945EF9" w:rsidP="00C704EB">
      <w:pPr>
        <w:pStyle w:val="TOC1"/>
        <w:tabs>
          <w:tab w:val="right" w:leader="dot" w:pos="4170"/>
        </w:tabs>
        <w:rPr>
          <w:noProof/>
        </w:rPr>
      </w:pPr>
      <w:hyperlink r:id="rId19" w:anchor="_Toc311128039" w:history="1">
        <w:r w:rsidR="00C704EB">
          <w:rPr>
            <w:rStyle w:val="Hyperlink"/>
            <w:rFonts w:cs="Tahoma"/>
            <w:noProof/>
          </w:rPr>
          <w:t>Examples</w:t>
        </w:r>
        <w:r w:rsidR="00C704EB">
          <w:rPr>
            <w:rStyle w:val="Hyperlink"/>
            <w:noProof/>
            <w:webHidden/>
          </w:rPr>
          <w:tab/>
        </w:r>
        <w:r>
          <w:rPr>
            <w:rStyle w:val="Hyperlink"/>
            <w:noProof/>
            <w:webHidden/>
          </w:rPr>
          <w:fldChar w:fldCharType="begin"/>
        </w:r>
        <w:r w:rsidR="00C704EB">
          <w:rPr>
            <w:rStyle w:val="Hyperlink"/>
            <w:noProof/>
            <w:webHidden/>
          </w:rPr>
          <w:instrText xml:space="preserve"> PAGEREF _Toc311128039 \h </w:instrText>
        </w:r>
        <w:r>
          <w:rPr>
            <w:rStyle w:val="Hyperlink"/>
            <w:noProof/>
            <w:webHidden/>
          </w:rPr>
        </w:r>
        <w:r>
          <w:rPr>
            <w:rStyle w:val="Hyperlink"/>
            <w:noProof/>
            <w:webHidden/>
          </w:rPr>
          <w:fldChar w:fldCharType="separate"/>
        </w:r>
        <w:r w:rsidR="00C704EB">
          <w:rPr>
            <w:rStyle w:val="Hyperlink"/>
            <w:noProof/>
            <w:webHidden/>
          </w:rPr>
          <w:t>4</w:t>
        </w:r>
        <w:r>
          <w:rPr>
            <w:rStyle w:val="Hyperlink"/>
            <w:noProof/>
            <w:webHidden/>
          </w:rPr>
          <w:fldChar w:fldCharType="end"/>
        </w:r>
      </w:hyperlink>
    </w:p>
    <w:p w:rsidR="00C704EB" w:rsidRDefault="00945EF9" w:rsidP="00C704EB">
      <w:pPr>
        <w:pStyle w:val="TOC2"/>
        <w:tabs>
          <w:tab w:val="right" w:leader="dot" w:pos="4170"/>
        </w:tabs>
        <w:rPr>
          <w:noProof/>
        </w:rPr>
      </w:pPr>
      <w:hyperlink r:id="rId20" w:anchor="_Toc311128040" w:history="1">
        <w:r w:rsidR="00C704EB">
          <w:rPr>
            <w:rStyle w:val="Hyperlink"/>
            <w:noProof/>
          </w:rPr>
          <w:t>Example 1 – Residential subdivision</w:t>
        </w:r>
        <w:r w:rsidR="00C704EB">
          <w:rPr>
            <w:rStyle w:val="Hyperlink"/>
            <w:noProof/>
            <w:webHidden/>
          </w:rPr>
          <w:tab/>
        </w:r>
        <w:r>
          <w:rPr>
            <w:rStyle w:val="Hyperlink"/>
            <w:noProof/>
            <w:webHidden/>
          </w:rPr>
          <w:fldChar w:fldCharType="begin"/>
        </w:r>
        <w:r w:rsidR="00C704EB">
          <w:rPr>
            <w:rStyle w:val="Hyperlink"/>
            <w:noProof/>
            <w:webHidden/>
          </w:rPr>
          <w:instrText xml:space="preserve"> PAGEREF _Toc311128040 \h </w:instrText>
        </w:r>
        <w:r>
          <w:rPr>
            <w:rStyle w:val="Hyperlink"/>
            <w:noProof/>
            <w:webHidden/>
          </w:rPr>
        </w:r>
        <w:r>
          <w:rPr>
            <w:rStyle w:val="Hyperlink"/>
            <w:noProof/>
            <w:webHidden/>
          </w:rPr>
          <w:fldChar w:fldCharType="separate"/>
        </w:r>
        <w:r w:rsidR="00C704EB">
          <w:rPr>
            <w:rStyle w:val="Hyperlink"/>
            <w:noProof/>
            <w:webHidden/>
          </w:rPr>
          <w:t>4</w:t>
        </w:r>
        <w:r>
          <w:rPr>
            <w:rStyle w:val="Hyperlink"/>
            <w:noProof/>
            <w:webHidden/>
          </w:rPr>
          <w:fldChar w:fldCharType="end"/>
        </w:r>
      </w:hyperlink>
    </w:p>
    <w:p w:rsidR="00C704EB" w:rsidRDefault="00945EF9" w:rsidP="00C704EB">
      <w:pPr>
        <w:pStyle w:val="TOC2"/>
        <w:tabs>
          <w:tab w:val="right" w:leader="dot" w:pos="4170"/>
        </w:tabs>
        <w:rPr>
          <w:noProof/>
        </w:rPr>
      </w:pPr>
      <w:hyperlink r:id="rId21" w:anchor="_Toc311128041" w:history="1">
        <w:r w:rsidR="00C704EB">
          <w:rPr>
            <w:rStyle w:val="Hyperlink"/>
            <w:noProof/>
          </w:rPr>
          <w:t>Example 2 – Failure to act</w:t>
        </w:r>
        <w:r w:rsidR="00C704EB">
          <w:rPr>
            <w:rStyle w:val="Hyperlink"/>
            <w:noProof/>
            <w:webHidden/>
          </w:rPr>
          <w:tab/>
          <w:t>4</w:t>
        </w:r>
      </w:hyperlink>
    </w:p>
    <w:p w:rsidR="00C704EB" w:rsidRDefault="00945EF9" w:rsidP="00C704EB">
      <w:r>
        <w:fldChar w:fldCharType="end"/>
      </w:r>
    </w:p>
    <w:p w:rsidR="00C704EB" w:rsidRDefault="00C704EB" w:rsidP="00C704EB">
      <w:pPr>
        <w:rPr>
          <w:b/>
        </w:rPr>
      </w:pPr>
    </w:p>
    <w:p w:rsidR="00C704EB" w:rsidRDefault="00C704EB" w:rsidP="00C704EB">
      <w:pPr>
        <w:pStyle w:val="headingsection"/>
        <w:spacing w:after="120"/>
        <w:ind w:left="357"/>
        <w:rPr>
          <w:sz w:val="28"/>
          <w:szCs w:val="28"/>
        </w:rPr>
      </w:pPr>
    </w:p>
    <w:p w:rsidR="00C704EB" w:rsidRDefault="00C704EB" w:rsidP="00C704EB">
      <w:pPr>
        <w:pStyle w:val="headingsection"/>
        <w:spacing w:after="120"/>
        <w:ind w:left="357"/>
        <w:rPr>
          <w:sz w:val="28"/>
          <w:szCs w:val="28"/>
        </w:rPr>
      </w:pPr>
    </w:p>
    <w:p w:rsidR="00C704EB" w:rsidRDefault="00C704EB" w:rsidP="00C704EB">
      <w:pPr>
        <w:pStyle w:val="headingsection"/>
        <w:spacing w:after="120"/>
        <w:ind w:left="357"/>
        <w:rPr>
          <w:sz w:val="28"/>
          <w:szCs w:val="28"/>
        </w:rPr>
      </w:pPr>
    </w:p>
    <w:p w:rsidR="00C704EB" w:rsidRDefault="00C704EB" w:rsidP="00C704EB">
      <w:pPr>
        <w:pStyle w:val="Heading1"/>
        <w:rPr>
          <w:rFonts w:cs="Tahoma"/>
          <w:sz w:val="32"/>
          <w:szCs w:val="32"/>
        </w:rPr>
      </w:pPr>
      <w:bookmarkStart w:id="8" w:name="_Toc311128028"/>
      <w:bookmarkStart w:id="9" w:name="_Toc304470328"/>
      <w:bookmarkStart w:id="10" w:name="_Toc307834214"/>
      <w:r>
        <w:rPr>
          <w:rFonts w:cs="Tahoma"/>
        </w:rPr>
        <w:lastRenderedPageBreak/>
        <w:t>Overview</w:t>
      </w:r>
      <w:bookmarkEnd w:id="8"/>
      <w:bookmarkEnd w:id="9"/>
      <w:bookmarkEnd w:id="10"/>
    </w:p>
    <w:p w:rsidR="00C704EB" w:rsidRDefault="00C704EB" w:rsidP="00C704EB">
      <w:pPr>
        <w:rPr>
          <w:rFonts w:cs="Tahoma"/>
          <w:szCs w:val="20"/>
        </w:rPr>
      </w:pPr>
      <w:r>
        <w:rPr>
          <w:rFonts w:cs="Tahoma"/>
          <w:szCs w:val="20"/>
        </w:rPr>
        <w:t xml:space="preserve">This </w:t>
      </w:r>
      <w:r w:rsidR="00C4719A">
        <w:rPr>
          <w:rFonts w:cs="Tahoma"/>
          <w:szCs w:val="20"/>
        </w:rPr>
        <w:t>Policy Statement</w:t>
      </w:r>
      <w:r>
        <w:rPr>
          <w:rFonts w:cs="Tahoma"/>
          <w:szCs w:val="20"/>
        </w:rPr>
        <w:t xml:space="preserve"> outlines the meaning of the term ‘action’ under the EPBC Act.  The EPBC Act prohibits taking an ‘action’ that has, will have, or is likely to have a significant impact on the matters protected under Part 3 of the EPBC Act, without approval. </w:t>
      </w:r>
    </w:p>
    <w:p w:rsidR="00C704EB" w:rsidRDefault="00C704EB" w:rsidP="00C704EB">
      <w:pPr>
        <w:rPr>
          <w:rFonts w:cs="Tahoma"/>
          <w:szCs w:val="20"/>
        </w:rPr>
      </w:pPr>
      <w:r>
        <w:rPr>
          <w:rFonts w:cs="Tahoma"/>
          <w:szCs w:val="20"/>
        </w:rPr>
        <w:t xml:space="preserve">Understanding the definition of an ‘action’ is therefore crucial to understanding whether the EPBC Act applies. </w:t>
      </w:r>
    </w:p>
    <w:p w:rsidR="00C704EB" w:rsidRDefault="00C704EB" w:rsidP="00C704EB">
      <w:pPr>
        <w:pStyle w:val="Heading1"/>
        <w:rPr>
          <w:rFonts w:cs="Tahoma"/>
          <w:szCs w:val="32"/>
        </w:rPr>
      </w:pPr>
      <w:r>
        <w:rPr>
          <w:rFonts w:cs="Tahoma"/>
        </w:rPr>
        <w:t>Determining whether a proposal constitutes an action</w:t>
      </w:r>
    </w:p>
    <w:p w:rsidR="00C704EB" w:rsidRDefault="00C704EB" w:rsidP="00C704EB">
      <w:pPr>
        <w:rPr>
          <w:rFonts w:cs="Tahoma"/>
          <w:szCs w:val="20"/>
        </w:rPr>
      </w:pPr>
      <w:r>
        <w:rPr>
          <w:rFonts w:cs="Tahoma"/>
          <w:szCs w:val="20"/>
        </w:rPr>
        <w:t xml:space="preserve">The following steps outline how to determine whether a proposal involves an ‘action’ and whether a relevant exception applies. </w:t>
      </w:r>
    </w:p>
    <w:p w:rsidR="00C704EB" w:rsidRDefault="00C704EB" w:rsidP="00C704EB">
      <w:pPr>
        <w:pStyle w:val="EAB1"/>
        <w:rPr>
          <w:sz w:val="28"/>
          <w:szCs w:val="28"/>
        </w:rPr>
      </w:pPr>
      <w:bookmarkStart w:id="11" w:name="_Toc311128030"/>
      <w:bookmarkStart w:id="12" w:name="_Toc304470330"/>
      <w:bookmarkStart w:id="13" w:name="_Toc307834216"/>
      <w:r>
        <w:rPr>
          <w:sz w:val="28"/>
          <w:szCs w:val="28"/>
        </w:rPr>
        <w:t>Step 1: Does the referral include an ‘action’, as defined by the EPBC Act?</w:t>
      </w:r>
      <w:bookmarkEnd w:id="11"/>
      <w:bookmarkEnd w:id="12"/>
      <w:bookmarkEnd w:id="13"/>
      <w:r>
        <w:rPr>
          <w:sz w:val="28"/>
          <w:szCs w:val="28"/>
        </w:rPr>
        <w:t xml:space="preserve"> </w:t>
      </w:r>
    </w:p>
    <w:p w:rsidR="00C704EB" w:rsidRDefault="00C704EB" w:rsidP="00C704EB">
      <w:pPr>
        <w:rPr>
          <w:rFonts w:cs="Tahoma"/>
          <w:szCs w:val="20"/>
        </w:rPr>
      </w:pPr>
      <w:r>
        <w:rPr>
          <w:rFonts w:cs="Tahoma"/>
          <w:szCs w:val="20"/>
        </w:rPr>
        <w:t xml:space="preserve">A proposal must be an ‘action’ to be validly referred under the EPBC Act. Section 523 of the EPBC Act defines an action as including a project, development, undertaking, activity, or series of activities, or an alteration to any of those things. (The terms ‘project’, ‘development’, ‘undertaking’ and ‘activity’ have their ordinary dictionary meaning under this section.) </w:t>
      </w:r>
    </w:p>
    <w:p w:rsidR="00C704EB" w:rsidRDefault="00C704EB" w:rsidP="00C704EB">
      <w:pPr>
        <w:rPr>
          <w:rFonts w:cs="Tahoma"/>
          <w:szCs w:val="20"/>
        </w:rPr>
      </w:pPr>
      <w:r>
        <w:rPr>
          <w:rFonts w:cs="Tahoma"/>
          <w:szCs w:val="20"/>
        </w:rPr>
        <w:t xml:space="preserve">Almost all proposals which will have a direct or indirect physical impact are likely to fall within the definition of an action under section 523. </w:t>
      </w:r>
    </w:p>
    <w:p w:rsidR="00C704EB" w:rsidRDefault="00C704EB" w:rsidP="00C704EB">
      <w:pPr>
        <w:rPr>
          <w:rFonts w:cs="Tahoma"/>
          <w:szCs w:val="20"/>
        </w:rPr>
      </w:pPr>
      <w:r>
        <w:rPr>
          <w:rFonts w:cs="Tahoma"/>
          <w:szCs w:val="20"/>
        </w:rPr>
        <w:t xml:space="preserve">Section 523 of the EPBC Act includes (non-physical) undertakings to do something within the definition of an ‘action’, if these non-physical acts </w:t>
      </w:r>
      <w:r>
        <w:rPr>
          <w:rFonts w:cs="Tahoma"/>
          <w:szCs w:val="20"/>
        </w:rPr>
        <w:lastRenderedPageBreak/>
        <w:t xml:space="preserve">have a direct or indirect impact on a matter of national environmental significance (MNES) protected under Part 3.  </w:t>
      </w:r>
    </w:p>
    <w:p w:rsidR="00C704EB" w:rsidRDefault="00C704EB" w:rsidP="00C704EB">
      <w:pPr>
        <w:rPr>
          <w:rFonts w:cs="Tahoma"/>
          <w:szCs w:val="20"/>
        </w:rPr>
      </w:pPr>
      <w:r>
        <w:rPr>
          <w:rFonts w:cs="Tahoma"/>
          <w:szCs w:val="20"/>
        </w:rPr>
        <w:t xml:space="preserve">For example, the sale, lease or disposal of land (whether Commonwealth or other land) may be an action. While these activities may not have any direct impacts on any MNES in themselves, they may have indirect impacts, including those resulting from third party activities, which could result in significant impacts on matters protected under Part 3. </w:t>
      </w:r>
    </w:p>
    <w:p w:rsidR="00C704EB" w:rsidRDefault="00C704EB" w:rsidP="00C704EB">
      <w:pPr>
        <w:rPr>
          <w:rFonts w:cs="Tahoma"/>
          <w:szCs w:val="20"/>
        </w:rPr>
      </w:pPr>
      <w:r>
        <w:rPr>
          <w:rFonts w:cs="Tahoma"/>
          <w:szCs w:val="20"/>
        </w:rPr>
        <w:t>The definition of an action under section 523 is inclusive, not exclusive, which means that other things not listed in this definition may also be determined to be an action, although most matters referred under the EPBC Act are covered by this definition.</w:t>
      </w:r>
    </w:p>
    <w:p w:rsidR="00C704EB" w:rsidRDefault="00C704EB" w:rsidP="00C704EB">
      <w:pPr>
        <w:pStyle w:val="EAB2"/>
      </w:pPr>
      <w:bookmarkStart w:id="14" w:name="_Toc311128032"/>
      <w:bookmarkStart w:id="15" w:name="_Toc304470332"/>
      <w:bookmarkStart w:id="16" w:name="_Toc307834218"/>
      <w:r>
        <w:t>Related activities</w:t>
      </w:r>
      <w:bookmarkEnd w:id="14"/>
      <w:bookmarkEnd w:id="15"/>
      <w:bookmarkEnd w:id="16"/>
    </w:p>
    <w:p w:rsidR="00C704EB" w:rsidRDefault="00C704EB" w:rsidP="00C704EB">
      <w:pPr>
        <w:rPr>
          <w:rFonts w:cs="Tahoma"/>
          <w:szCs w:val="20"/>
        </w:rPr>
      </w:pPr>
      <w:r>
        <w:rPr>
          <w:rFonts w:cs="Tahoma"/>
          <w:szCs w:val="20"/>
        </w:rPr>
        <w:t xml:space="preserve">The use of terms such as ‘project’, ‘development’ and ‘series of activities’ within a referral indicates that a group of related activities could be treated as a single action. There is often a point at which each activity, whilst itself falling within the definition of an ‘action’, cannot be considered in isolation from the other activities it relates to. This may involve a determination of whether a referred action is a ‘split referral’ and, if so, whether the minister or delegate may, under section 74A of the EPBC Act, refuse to accept the referral on the basis that it is a component of a larger action the person proposes to take. </w:t>
      </w:r>
    </w:p>
    <w:p w:rsidR="00C4719A" w:rsidRDefault="00C4719A">
      <w:pPr>
        <w:spacing w:before="0"/>
        <w:rPr>
          <w:rFonts w:eastAsiaTheme="majorEastAsia" w:cs="Tahoma"/>
          <w:b/>
          <w:bCs/>
          <w:i/>
          <w:iCs/>
          <w:color w:val="4F81BD" w:themeColor="accent1"/>
          <w:sz w:val="28"/>
          <w:szCs w:val="28"/>
        </w:rPr>
      </w:pPr>
      <w:bookmarkStart w:id="17" w:name="_Toc311128034"/>
      <w:bookmarkStart w:id="18" w:name="_Toc304470334"/>
      <w:bookmarkStart w:id="19" w:name="_Toc307834220"/>
      <w:r>
        <w:rPr>
          <w:sz w:val="28"/>
          <w:szCs w:val="28"/>
        </w:rPr>
        <w:br w:type="page"/>
      </w:r>
    </w:p>
    <w:p w:rsidR="00C704EB" w:rsidRDefault="00C704EB" w:rsidP="00C704EB">
      <w:pPr>
        <w:pStyle w:val="EAB1"/>
        <w:rPr>
          <w:sz w:val="28"/>
          <w:szCs w:val="28"/>
        </w:rPr>
      </w:pPr>
      <w:r>
        <w:rPr>
          <w:sz w:val="28"/>
          <w:szCs w:val="28"/>
        </w:rPr>
        <w:lastRenderedPageBreak/>
        <w:t>Step 2: Things that are not actions - is the activity a governmental authorisation or provision of grant funding?</w:t>
      </w:r>
      <w:bookmarkEnd w:id="17"/>
      <w:bookmarkEnd w:id="18"/>
      <w:bookmarkEnd w:id="19"/>
      <w:r>
        <w:rPr>
          <w:sz w:val="28"/>
          <w:szCs w:val="28"/>
        </w:rPr>
        <w:t xml:space="preserve"> </w:t>
      </w:r>
    </w:p>
    <w:p w:rsidR="00C704EB" w:rsidRDefault="00C704EB" w:rsidP="00C704EB">
      <w:pPr>
        <w:rPr>
          <w:rFonts w:cs="Tahoma"/>
          <w:szCs w:val="20"/>
        </w:rPr>
      </w:pPr>
      <w:r>
        <w:rPr>
          <w:rFonts w:cs="Tahoma"/>
          <w:szCs w:val="20"/>
        </w:rPr>
        <w:t>Section 524 of the EPBC Act defines things that are not actions in relation to government bodies. Section 524 (1) applies to decisions by each of the following government bodies:</w:t>
      </w:r>
    </w:p>
    <w:p w:rsidR="00C704EB" w:rsidRDefault="00C704EB" w:rsidP="00C704EB">
      <w:pPr>
        <w:spacing w:after="120"/>
        <w:ind w:left="720" w:hanging="720"/>
        <w:rPr>
          <w:rFonts w:cs="Tahoma"/>
          <w:szCs w:val="20"/>
        </w:rPr>
      </w:pPr>
      <w:r>
        <w:rPr>
          <w:rFonts w:cs="Tahoma"/>
          <w:szCs w:val="20"/>
        </w:rPr>
        <w:t xml:space="preserve">(a) </w:t>
      </w:r>
      <w:r>
        <w:rPr>
          <w:rFonts w:cs="Tahoma"/>
          <w:szCs w:val="20"/>
        </w:rPr>
        <w:tab/>
      </w:r>
      <w:proofErr w:type="gramStart"/>
      <w:r>
        <w:rPr>
          <w:rFonts w:cs="Tahoma"/>
          <w:szCs w:val="20"/>
        </w:rPr>
        <w:t>the</w:t>
      </w:r>
      <w:proofErr w:type="gramEnd"/>
      <w:r>
        <w:rPr>
          <w:rFonts w:cs="Tahoma"/>
          <w:szCs w:val="20"/>
        </w:rPr>
        <w:t xml:space="preserve"> Commonwealth;</w:t>
      </w:r>
    </w:p>
    <w:p w:rsidR="00C704EB" w:rsidRDefault="00C704EB" w:rsidP="00C704EB">
      <w:pPr>
        <w:spacing w:after="120"/>
        <w:ind w:left="720" w:hanging="720"/>
        <w:rPr>
          <w:rFonts w:cs="Tahoma"/>
          <w:szCs w:val="20"/>
        </w:rPr>
      </w:pPr>
      <w:r>
        <w:rPr>
          <w:rFonts w:cs="Tahoma"/>
          <w:szCs w:val="20"/>
        </w:rPr>
        <w:t>(b)</w:t>
      </w:r>
      <w:r>
        <w:rPr>
          <w:rFonts w:cs="Tahoma"/>
          <w:szCs w:val="20"/>
        </w:rPr>
        <w:tab/>
        <w:t xml:space="preserve"> </w:t>
      </w:r>
      <w:proofErr w:type="gramStart"/>
      <w:r>
        <w:rPr>
          <w:rFonts w:cs="Tahoma"/>
          <w:szCs w:val="20"/>
        </w:rPr>
        <w:t>a</w:t>
      </w:r>
      <w:proofErr w:type="gramEnd"/>
      <w:r>
        <w:rPr>
          <w:rFonts w:cs="Tahoma"/>
          <w:szCs w:val="20"/>
        </w:rPr>
        <w:t xml:space="preserve"> Commonwealth agency;</w:t>
      </w:r>
    </w:p>
    <w:p w:rsidR="00C704EB" w:rsidRDefault="00C704EB" w:rsidP="00C704EB">
      <w:pPr>
        <w:spacing w:after="120"/>
        <w:ind w:left="720" w:hanging="720"/>
        <w:rPr>
          <w:rFonts w:cs="Tahoma"/>
          <w:szCs w:val="20"/>
        </w:rPr>
      </w:pPr>
      <w:r>
        <w:rPr>
          <w:rFonts w:cs="Tahoma"/>
          <w:szCs w:val="20"/>
        </w:rPr>
        <w:t xml:space="preserve">(c) </w:t>
      </w:r>
      <w:r>
        <w:rPr>
          <w:rFonts w:cs="Tahoma"/>
          <w:szCs w:val="20"/>
        </w:rPr>
        <w:tab/>
      </w:r>
      <w:proofErr w:type="gramStart"/>
      <w:r>
        <w:rPr>
          <w:rFonts w:cs="Tahoma"/>
          <w:szCs w:val="20"/>
        </w:rPr>
        <w:t>a</w:t>
      </w:r>
      <w:proofErr w:type="gramEnd"/>
      <w:r>
        <w:rPr>
          <w:rFonts w:cs="Tahoma"/>
          <w:szCs w:val="20"/>
        </w:rPr>
        <w:t xml:space="preserve"> State;</w:t>
      </w:r>
    </w:p>
    <w:p w:rsidR="00C704EB" w:rsidRDefault="00C704EB" w:rsidP="00C704EB">
      <w:pPr>
        <w:spacing w:after="120"/>
        <w:ind w:left="720" w:hanging="720"/>
        <w:rPr>
          <w:rFonts w:cs="Tahoma"/>
          <w:szCs w:val="20"/>
        </w:rPr>
      </w:pPr>
      <w:r>
        <w:rPr>
          <w:rFonts w:cs="Tahoma"/>
          <w:szCs w:val="20"/>
        </w:rPr>
        <w:t xml:space="preserve">(d) </w:t>
      </w:r>
      <w:r>
        <w:rPr>
          <w:rFonts w:cs="Tahoma"/>
          <w:szCs w:val="20"/>
        </w:rPr>
        <w:tab/>
      </w:r>
      <w:proofErr w:type="gramStart"/>
      <w:r>
        <w:rPr>
          <w:rFonts w:cs="Tahoma"/>
          <w:szCs w:val="20"/>
        </w:rPr>
        <w:t>a</w:t>
      </w:r>
      <w:proofErr w:type="gramEnd"/>
      <w:r>
        <w:rPr>
          <w:rFonts w:cs="Tahoma"/>
          <w:szCs w:val="20"/>
        </w:rPr>
        <w:t xml:space="preserve"> self-governing Territory;</w:t>
      </w:r>
    </w:p>
    <w:p w:rsidR="00C704EB" w:rsidRDefault="00C704EB" w:rsidP="00C704EB">
      <w:pPr>
        <w:spacing w:after="120"/>
        <w:ind w:left="720" w:hanging="720"/>
        <w:rPr>
          <w:rFonts w:cs="Tahoma"/>
          <w:szCs w:val="20"/>
        </w:rPr>
      </w:pPr>
      <w:r>
        <w:rPr>
          <w:rFonts w:cs="Tahoma"/>
          <w:szCs w:val="20"/>
        </w:rPr>
        <w:t xml:space="preserve">(e) </w:t>
      </w:r>
      <w:r>
        <w:rPr>
          <w:rFonts w:cs="Tahoma"/>
          <w:szCs w:val="20"/>
        </w:rPr>
        <w:tab/>
      </w:r>
      <w:proofErr w:type="gramStart"/>
      <w:r>
        <w:rPr>
          <w:rFonts w:cs="Tahoma"/>
          <w:szCs w:val="20"/>
        </w:rPr>
        <w:t>an</w:t>
      </w:r>
      <w:proofErr w:type="gramEnd"/>
      <w:r>
        <w:rPr>
          <w:rFonts w:cs="Tahoma"/>
          <w:szCs w:val="20"/>
        </w:rPr>
        <w:t xml:space="preserve"> agency of a State or self-governing Territory; or </w:t>
      </w:r>
    </w:p>
    <w:p w:rsidR="00C704EB" w:rsidRDefault="00C704EB" w:rsidP="00C704EB">
      <w:pPr>
        <w:spacing w:after="120"/>
        <w:ind w:left="720" w:hanging="720"/>
        <w:rPr>
          <w:rFonts w:cs="Tahoma"/>
          <w:szCs w:val="20"/>
        </w:rPr>
      </w:pPr>
      <w:r>
        <w:rPr>
          <w:rFonts w:cs="Tahoma"/>
          <w:szCs w:val="20"/>
        </w:rPr>
        <w:t>(f)</w:t>
      </w:r>
      <w:r>
        <w:rPr>
          <w:rFonts w:cs="Tahoma"/>
          <w:szCs w:val="20"/>
        </w:rPr>
        <w:tab/>
      </w:r>
      <w:proofErr w:type="gramStart"/>
      <w:r>
        <w:rPr>
          <w:rFonts w:cs="Tahoma"/>
          <w:szCs w:val="20"/>
        </w:rPr>
        <w:t>an</w:t>
      </w:r>
      <w:proofErr w:type="gramEnd"/>
      <w:r>
        <w:rPr>
          <w:rFonts w:cs="Tahoma"/>
          <w:szCs w:val="20"/>
        </w:rPr>
        <w:t xml:space="preserve"> authority established by a law applying in a Territory that is not a self-governing Territory.</w:t>
      </w:r>
    </w:p>
    <w:p w:rsidR="00C704EB" w:rsidRDefault="00C704EB" w:rsidP="00C704EB">
      <w:pPr>
        <w:rPr>
          <w:rFonts w:cs="Tahoma"/>
          <w:szCs w:val="20"/>
        </w:rPr>
      </w:pPr>
      <w:r>
        <w:rPr>
          <w:rFonts w:cs="Tahoma"/>
          <w:szCs w:val="20"/>
        </w:rPr>
        <w:t xml:space="preserve">Subsection 524(2) provides that a decision by any of these bodies to grant a governmental authorisation (however described) for another person to take an action is not an ‘action’ as defined by the EPBC Act. </w:t>
      </w:r>
    </w:p>
    <w:p w:rsidR="00C704EB" w:rsidRDefault="00C704EB" w:rsidP="00C704EB">
      <w:pPr>
        <w:rPr>
          <w:rFonts w:cs="Tahoma"/>
          <w:szCs w:val="20"/>
        </w:rPr>
      </w:pPr>
      <w:r>
        <w:rPr>
          <w:rFonts w:cs="Tahoma"/>
          <w:szCs w:val="20"/>
        </w:rPr>
        <w:t>Subsection 524(3) further states that, to avoid doubt, a decision by the Commonwealth or a Commonwealth agency to grant a governmental authorisation under one of the following acts is not an action:</w:t>
      </w:r>
    </w:p>
    <w:p w:rsidR="00C704EB" w:rsidRDefault="00C704EB" w:rsidP="00C704EB">
      <w:pPr>
        <w:rPr>
          <w:rFonts w:cs="Tahoma"/>
          <w:szCs w:val="20"/>
        </w:rPr>
      </w:pPr>
    </w:p>
    <w:p w:rsidR="00C704EB" w:rsidRDefault="00C704EB" w:rsidP="00C704EB">
      <w:pPr>
        <w:numPr>
          <w:ilvl w:val="0"/>
          <w:numId w:val="49"/>
        </w:numPr>
        <w:spacing w:before="0" w:after="200" w:line="276" w:lineRule="auto"/>
        <w:rPr>
          <w:rFonts w:cs="Tahoma"/>
          <w:szCs w:val="20"/>
        </w:rPr>
      </w:pPr>
      <w:r>
        <w:rPr>
          <w:rFonts w:cs="Tahoma"/>
          <w:i/>
          <w:szCs w:val="20"/>
        </w:rPr>
        <w:t>Customs Act 1901;</w:t>
      </w:r>
    </w:p>
    <w:p w:rsidR="00C704EB" w:rsidRDefault="00C704EB" w:rsidP="00C704EB">
      <w:pPr>
        <w:numPr>
          <w:ilvl w:val="0"/>
          <w:numId w:val="49"/>
        </w:numPr>
        <w:spacing w:before="0" w:after="200" w:line="276" w:lineRule="auto"/>
        <w:rPr>
          <w:rFonts w:cs="Tahoma"/>
          <w:szCs w:val="20"/>
        </w:rPr>
      </w:pPr>
      <w:r>
        <w:rPr>
          <w:rFonts w:cs="Tahoma"/>
          <w:i/>
          <w:szCs w:val="20"/>
        </w:rPr>
        <w:t>Export Control Act 1982</w:t>
      </w:r>
      <w:r>
        <w:rPr>
          <w:rFonts w:cs="Tahoma"/>
          <w:szCs w:val="20"/>
        </w:rPr>
        <w:t>:</w:t>
      </w:r>
    </w:p>
    <w:p w:rsidR="00C704EB" w:rsidRDefault="00C704EB" w:rsidP="00C704EB">
      <w:pPr>
        <w:numPr>
          <w:ilvl w:val="0"/>
          <w:numId w:val="49"/>
        </w:numPr>
        <w:spacing w:before="0" w:after="200" w:line="276" w:lineRule="auto"/>
        <w:rPr>
          <w:rFonts w:cs="Tahoma"/>
          <w:szCs w:val="20"/>
        </w:rPr>
      </w:pPr>
      <w:r>
        <w:rPr>
          <w:rFonts w:cs="Tahoma"/>
          <w:i/>
          <w:szCs w:val="20"/>
        </w:rPr>
        <w:lastRenderedPageBreak/>
        <w:t>Export Finance and Insurance Corporation Act 1991</w:t>
      </w:r>
      <w:r>
        <w:rPr>
          <w:rFonts w:cs="Tahoma"/>
          <w:szCs w:val="20"/>
        </w:rPr>
        <w:t xml:space="preserve">; </w:t>
      </w:r>
    </w:p>
    <w:p w:rsidR="00C704EB" w:rsidRDefault="00C704EB" w:rsidP="00C704EB">
      <w:pPr>
        <w:numPr>
          <w:ilvl w:val="0"/>
          <w:numId w:val="49"/>
        </w:numPr>
        <w:spacing w:before="0" w:after="200" w:line="276" w:lineRule="auto"/>
        <w:rPr>
          <w:rFonts w:cs="Tahoma"/>
          <w:szCs w:val="20"/>
        </w:rPr>
      </w:pPr>
      <w:r>
        <w:rPr>
          <w:rFonts w:cs="Tahoma"/>
          <w:szCs w:val="20"/>
        </w:rPr>
        <w:t xml:space="preserve"> </w:t>
      </w:r>
      <w:r>
        <w:rPr>
          <w:rFonts w:cs="Tahoma"/>
          <w:i/>
          <w:szCs w:val="20"/>
        </w:rPr>
        <w:t>Fisheries Management Act 1991</w:t>
      </w:r>
      <w:r>
        <w:rPr>
          <w:rFonts w:cs="Tahoma"/>
          <w:szCs w:val="20"/>
        </w:rPr>
        <w:t xml:space="preserve">; </w:t>
      </w:r>
    </w:p>
    <w:p w:rsidR="00C704EB" w:rsidRDefault="00C704EB" w:rsidP="00C704EB">
      <w:pPr>
        <w:numPr>
          <w:ilvl w:val="0"/>
          <w:numId w:val="49"/>
        </w:numPr>
        <w:spacing w:before="0" w:after="200" w:line="276" w:lineRule="auto"/>
        <w:rPr>
          <w:rFonts w:cs="Tahoma"/>
          <w:szCs w:val="20"/>
        </w:rPr>
      </w:pPr>
      <w:r>
        <w:rPr>
          <w:rFonts w:cs="Tahoma"/>
          <w:i/>
          <w:szCs w:val="20"/>
        </w:rPr>
        <w:t>Foreign Acquisitions and Takeovers Act 1975</w:t>
      </w:r>
      <w:r>
        <w:rPr>
          <w:rFonts w:cs="Tahoma"/>
          <w:szCs w:val="20"/>
        </w:rPr>
        <w:t xml:space="preserve">; </w:t>
      </w:r>
    </w:p>
    <w:p w:rsidR="00C704EB" w:rsidRDefault="00C704EB" w:rsidP="00C704EB">
      <w:pPr>
        <w:numPr>
          <w:ilvl w:val="0"/>
          <w:numId w:val="49"/>
        </w:numPr>
        <w:spacing w:before="0" w:after="200" w:line="276" w:lineRule="auto"/>
        <w:rPr>
          <w:rFonts w:cs="Tahoma"/>
          <w:szCs w:val="20"/>
        </w:rPr>
      </w:pPr>
      <w:r>
        <w:rPr>
          <w:rFonts w:cs="Tahoma"/>
          <w:szCs w:val="20"/>
        </w:rPr>
        <w:t xml:space="preserve"> </w:t>
      </w:r>
      <w:r>
        <w:rPr>
          <w:rFonts w:cs="Tahoma"/>
          <w:i/>
          <w:szCs w:val="20"/>
        </w:rPr>
        <w:t>Offshore Petroleum and Greenhouse Gas Storage Act 2006</w:t>
      </w:r>
      <w:r>
        <w:rPr>
          <w:rFonts w:cs="Tahoma"/>
          <w:szCs w:val="20"/>
        </w:rPr>
        <w:t xml:space="preserve">; </w:t>
      </w:r>
    </w:p>
    <w:p w:rsidR="00C704EB" w:rsidRDefault="00C704EB" w:rsidP="00C704EB">
      <w:pPr>
        <w:numPr>
          <w:ilvl w:val="0"/>
          <w:numId w:val="49"/>
        </w:numPr>
        <w:spacing w:before="0" w:after="200" w:line="276" w:lineRule="auto"/>
        <w:rPr>
          <w:rFonts w:cs="Tahoma"/>
          <w:szCs w:val="20"/>
        </w:rPr>
      </w:pPr>
      <w:r>
        <w:rPr>
          <w:rFonts w:cs="Tahoma"/>
          <w:i/>
          <w:szCs w:val="20"/>
        </w:rPr>
        <w:t>Quarantine Act 1908</w:t>
      </w:r>
      <w:r>
        <w:rPr>
          <w:rFonts w:cs="Tahoma"/>
          <w:szCs w:val="20"/>
        </w:rPr>
        <w:t>; and</w:t>
      </w:r>
    </w:p>
    <w:p w:rsidR="00C704EB" w:rsidRDefault="00C704EB" w:rsidP="00C704EB">
      <w:pPr>
        <w:numPr>
          <w:ilvl w:val="0"/>
          <w:numId w:val="49"/>
        </w:numPr>
        <w:spacing w:before="0" w:after="200" w:line="276" w:lineRule="auto"/>
        <w:rPr>
          <w:rFonts w:cs="Tahoma"/>
          <w:szCs w:val="20"/>
        </w:rPr>
      </w:pPr>
      <w:r>
        <w:rPr>
          <w:rFonts w:cs="Tahoma"/>
          <w:i/>
          <w:szCs w:val="20"/>
        </w:rPr>
        <w:t>Competition and Consumer Act 2010</w:t>
      </w:r>
      <w:r>
        <w:rPr>
          <w:rFonts w:cs="Tahoma"/>
          <w:szCs w:val="20"/>
        </w:rPr>
        <w:t>.</w:t>
      </w:r>
    </w:p>
    <w:p w:rsidR="00C704EB" w:rsidRDefault="00C704EB" w:rsidP="00C704EB">
      <w:pPr>
        <w:rPr>
          <w:rFonts w:cs="Tahoma"/>
          <w:szCs w:val="20"/>
        </w:rPr>
      </w:pPr>
      <w:r>
        <w:rPr>
          <w:rFonts w:cs="Tahoma"/>
          <w:szCs w:val="20"/>
        </w:rPr>
        <w:t>Examples of governmental authorisations include work approvals granted by a government body for highway constructions, issuing of permits, and granting of licences.</w:t>
      </w:r>
    </w:p>
    <w:p w:rsidR="00C704EB" w:rsidRDefault="00C704EB" w:rsidP="00C704EB">
      <w:pPr>
        <w:rPr>
          <w:rFonts w:cs="Tahoma"/>
          <w:szCs w:val="20"/>
        </w:rPr>
      </w:pPr>
      <w:r>
        <w:rPr>
          <w:rFonts w:cs="Tahoma"/>
          <w:szCs w:val="20"/>
        </w:rPr>
        <w:t xml:space="preserve">The majority of the Full Federal Court in </w:t>
      </w:r>
      <w:r>
        <w:rPr>
          <w:rFonts w:cs="Tahoma"/>
          <w:i/>
          <w:szCs w:val="20"/>
        </w:rPr>
        <w:t xml:space="preserve">Save the Ridge Inc v Commonwealth </w:t>
      </w:r>
      <w:r>
        <w:rPr>
          <w:rFonts w:cs="Tahoma"/>
          <w:szCs w:val="20"/>
        </w:rPr>
        <w:t xml:space="preserve">[2005] FCAFC 203 (the </w:t>
      </w:r>
      <w:r>
        <w:rPr>
          <w:rFonts w:cs="Tahoma"/>
          <w:b/>
          <w:szCs w:val="20"/>
        </w:rPr>
        <w:t>Gungahlin Drive Extension Case</w:t>
      </w:r>
      <w:r>
        <w:rPr>
          <w:rFonts w:cs="Tahoma"/>
          <w:szCs w:val="20"/>
        </w:rPr>
        <w:t xml:space="preserve">) held that the concept of a ‘governmental authorisation’ should be interpreted broadly. </w:t>
      </w:r>
    </w:p>
    <w:p w:rsidR="00C704EB" w:rsidRDefault="00C704EB" w:rsidP="00C704EB">
      <w:pPr>
        <w:rPr>
          <w:rFonts w:cs="Tahoma"/>
          <w:szCs w:val="20"/>
        </w:rPr>
      </w:pPr>
      <w:r>
        <w:rPr>
          <w:rFonts w:cs="Tahoma"/>
          <w:szCs w:val="20"/>
        </w:rPr>
        <w:t>In that case, the Court determined that amendments to the National Capital Plan were ‘governmental authorisations’, because they removed a legislative constraint on the construction of the Gungahlin Drive Extension (the Gungahlin Drive Extension Case). It did not matter that the government authorisations did not take the form of a permit or licence granted to the relevant ACT authority that was proposing to undertake the projects.</w:t>
      </w:r>
    </w:p>
    <w:p w:rsidR="00C704EB" w:rsidRDefault="00C704EB" w:rsidP="00C704EB">
      <w:pPr>
        <w:rPr>
          <w:rFonts w:cs="Tahoma"/>
          <w:szCs w:val="20"/>
        </w:rPr>
      </w:pPr>
      <w:r>
        <w:rPr>
          <w:rFonts w:cs="Tahoma"/>
          <w:szCs w:val="20"/>
        </w:rPr>
        <w:t xml:space="preserve">Section 524 of the EPBC Act is not intended to exclude only the final or operative decision. It also excludes earlier decisions which are directly </w:t>
      </w:r>
      <w:r>
        <w:rPr>
          <w:rFonts w:cs="Tahoma"/>
          <w:szCs w:val="20"/>
        </w:rPr>
        <w:lastRenderedPageBreak/>
        <w:t>connected to the making of the final</w:t>
      </w:r>
      <w:r>
        <w:rPr>
          <w:rFonts w:cs="Tahoma"/>
          <w:sz w:val="24"/>
        </w:rPr>
        <w:t xml:space="preserve"> </w:t>
      </w:r>
      <w:r>
        <w:rPr>
          <w:rFonts w:cs="Tahoma"/>
          <w:szCs w:val="20"/>
        </w:rPr>
        <w:t>decision. As such, in the Gungahlin Drive Extension Case the decisions and related steps taken in formulating and proposing the amendments to the National Capital Plan and the Minister’s decision to formally approve the amendments, constituted a governmental authorisation.</w:t>
      </w:r>
    </w:p>
    <w:p w:rsidR="00C704EB" w:rsidRDefault="00C704EB" w:rsidP="00C704EB">
      <w:pPr>
        <w:rPr>
          <w:rFonts w:cs="Tahoma"/>
          <w:szCs w:val="20"/>
        </w:rPr>
      </w:pPr>
      <w:r>
        <w:rPr>
          <w:rFonts w:cs="Tahoma"/>
          <w:szCs w:val="20"/>
        </w:rPr>
        <w:t xml:space="preserve">In the Gungahlin Drive Extension Case, the Federal Court stated that it cannot be assumed that the actions of a planning authority could never be an ‘action’ under the EPBC Act. This will depend on what the authority did and the direct and indirect consequences of these actions. When considering whether the steps taken by a government authority are ‘governmental authorisations’, consideration must be given to the context in which those steps are taken. </w:t>
      </w:r>
    </w:p>
    <w:p w:rsidR="00C704EB" w:rsidRDefault="00C704EB" w:rsidP="00C704EB">
      <w:pPr>
        <w:pStyle w:val="EAB2"/>
      </w:pPr>
      <w:bookmarkStart w:id="20" w:name="_Toc311128036"/>
      <w:bookmarkStart w:id="21" w:name="_Toc304470336"/>
      <w:bookmarkStart w:id="22" w:name="_Toc307834222"/>
      <w:r>
        <w:t>Grant Funding</w:t>
      </w:r>
      <w:bookmarkEnd w:id="20"/>
      <w:bookmarkEnd w:id="21"/>
      <w:bookmarkEnd w:id="22"/>
    </w:p>
    <w:p w:rsidR="00C704EB" w:rsidRDefault="00C704EB" w:rsidP="00C704EB">
      <w:pPr>
        <w:pStyle w:val="Heading3"/>
        <w:rPr>
          <w:rFonts w:cs="Tahoma"/>
          <w:b w:val="0"/>
          <w:szCs w:val="20"/>
        </w:rPr>
      </w:pPr>
      <w:bookmarkStart w:id="23" w:name="_Toc311128037"/>
      <w:r>
        <w:rPr>
          <w:rFonts w:cs="Tahoma"/>
          <w:b w:val="0"/>
          <w:szCs w:val="20"/>
        </w:rPr>
        <w:t xml:space="preserve">Under section 524A of the EPBC Act the provision of grant funding from a government body, as defined in paragraphs 524(1)(a) to  (f), is not an ‘action’ for the purposes of the EPBC Act. </w:t>
      </w:r>
      <w:bookmarkStart w:id="24" w:name="_Toc304470337"/>
      <w:bookmarkStart w:id="25" w:name="_Toc307834223"/>
      <w:r>
        <w:rPr>
          <w:rFonts w:cs="Tahoma"/>
          <w:b w:val="0"/>
          <w:szCs w:val="20"/>
        </w:rPr>
        <w:t>A referral must be an ‘action’</w:t>
      </w:r>
      <w:bookmarkEnd w:id="23"/>
      <w:bookmarkEnd w:id="24"/>
      <w:bookmarkEnd w:id="25"/>
      <w:r>
        <w:rPr>
          <w:rFonts w:cs="Tahoma"/>
          <w:b w:val="0"/>
          <w:szCs w:val="20"/>
        </w:rPr>
        <w:t xml:space="preserve">. </w:t>
      </w:r>
    </w:p>
    <w:p w:rsidR="00C704EB" w:rsidRDefault="00C704EB" w:rsidP="00C704EB">
      <w:r>
        <w:t>However, grant funding could be provided for acts which might themselves fall under the definition of an action under section 523. For example, if grant funding were provided to Project Y, while the grant funding would not constitute an action, Project Y may.</w:t>
      </w:r>
    </w:p>
    <w:p w:rsidR="00C4719A" w:rsidRDefault="00C4719A" w:rsidP="00C704EB">
      <w:pPr>
        <w:pStyle w:val="EAB2"/>
      </w:pPr>
      <w:bookmarkStart w:id="26" w:name="_Toc311128038"/>
      <w:bookmarkStart w:id="27" w:name="_Toc304470338"/>
      <w:bookmarkStart w:id="28" w:name="_Toc307834224"/>
    </w:p>
    <w:p w:rsidR="00C4719A" w:rsidRDefault="00C4719A">
      <w:pPr>
        <w:spacing w:before="0"/>
        <w:rPr>
          <w:rFonts w:eastAsia="Times New Roman" w:cs="Tahoma"/>
          <w:b/>
          <w:bCs/>
          <w:sz w:val="24"/>
          <w:szCs w:val="26"/>
        </w:rPr>
      </w:pPr>
      <w:r>
        <w:br w:type="page"/>
      </w:r>
    </w:p>
    <w:p w:rsidR="00C704EB" w:rsidRDefault="00C704EB" w:rsidP="00C704EB">
      <w:pPr>
        <w:pStyle w:val="EAB2"/>
      </w:pPr>
      <w:r>
        <w:lastRenderedPageBreak/>
        <w:t>Is failure to act an ‘action’?</w:t>
      </w:r>
      <w:bookmarkEnd w:id="26"/>
      <w:bookmarkEnd w:id="27"/>
      <w:bookmarkEnd w:id="28"/>
      <w:r>
        <w:t xml:space="preserve"> </w:t>
      </w:r>
    </w:p>
    <w:p w:rsidR="00C704EB" w:rsidRDefault="00C704EB" w:rsidP="00C704EB">
      <w:pPr>
        <w:rPr>
          <w:rFonts w:cs="Tahoma"/>
          <w:szCs w:val="20"/>
        </w:rPr>
      </w:pPr>
      <w:r>
        <w:rPr>
          <w:rFonts w:cs="Tahoma"/>
          <w:szCs w:val="20"/>
        </w:rPr>
        <w:t>A failure to act is generally not an action.</w:t>
      </w:r>
    </w:p>
    <w:p w:rsidR="00C704EB" w:rsidRDefault="00C704EB" w:rsidP="00C704EB">
      <w:pPr>
        <w:rPr>
          <w:rFonts w:cs="Tahoma"/>
          <w:szCs w:val="20"/>
        </w:rPr>
      </w:pPr>
      <w:r>
        <w:rPr>
          <w:rFonts w:cs="Tahoma"/>
          <w:szCs w:val="20"/>
        </w:rPr>
        <w:t>The description of an action in section 523 of the EPBC Act describes something that is done. Section 67 of the EPBC Act also refers to an action that a person proposes to ‘take’. This means that a person needs to propose to do something for an act to meet the definition of action under section 523 - an ‘action’ does not include a failure to act.</w:t>
      </w:r>
    </w:p>
    <w:p w:rsidR="00C704EB" w:rsidRDefault="00BF2C3E" w:rsidP="00C704EB">
      <w:pPr>
        <w:rPr>
          <w:rFonts w:cs="Tahoma"/>
          <w:szCs w:val="20"/>
        </w:rPr>
      </w:pPr>
      <w:r>
        <w:rPr>
          <w:rFonts w:cs="Tahoma"/>
          <w:szCs w:val="20"/>
        </w:rPr>
        <w:t>Departmental officers will</w:t>
      </w:r>
      <w:r w:rsidR="00C704EB">
        <w:rPr>
          <w:rFonts w:cs="Tahoma"/>
          <w:szCs w:val="20"/>
        </w:rPr>
        <w:t xml:space="preserve"> consider the circumstances of any failure to act to identify any related intended actions, and</w:t>
      </w:r>
      <w:r>
        <w:rPr>
          <w:rFonts w:cs="Tahoma"/>
          <w:szCs w:val="20"/>
        </w:rPr>
        <w:t xml:space="preserve"> wil</w:t>
      </w:r>
      <w:r w:rsidR="00796FDF">
        <w:rPr>
          <w:rFonts w:cs="Tahoma"/>
          <w:szCs w:val="20"/>
        </w:rPr>
        <w:t>l</w:t>
      </w:r>
      <w:r w:rsidR="00C704EB">
        <w:rPr>
          <w:rFonts w:cs="Tahoma"/>
          <w:szCs w:val="20"/>
        </w:rPr>
        <w:t xml:space="preserve"> also consider the comments made under ‘Step 1’ about ‘non-physical actions’. </w:t>
      </w:r>
    </w:p>
    <w:p w:rsidR="00C704EB" w:rsidRDefault="00C704EB" w:rsidP="00C704EB">
      <w:pPr>
        <w:pStyle w:val="Heading1"/>
        <w:rPr>
          <w:rFonts w:cs="Tahoma"/>
          <w:sz w:val="24"/>
        </w:rPr>
      </w:pPr>
      <w:bookmarkStart w:id="29" w:name="_Toc311128039"/>
      <w:bookmarkStart w:id="30" w:name="_Toc304470339"/>
      <w:bookmarkStart w:id="31" w:name="_Toc307834225"/>
      <w:r>
        <w:rPr>
          <w:rFonts w:cs="Tahoma"/>
          <w:sz w:val="24"/>
        </w:rPr>
        <w:t>Examples</w:t>
      </w:r>
      <w:bookmarkEnd w:id="29"/>
      <w:bookmarkEnd w:id="30"/>
      <w:bookmarkEnd w:id="31"/>
    </w:p>
    <w:p w:rsidR="00C704EB" w:rsidRDefault="00C704EB" w:rsidP="00C704EB">
      <w:pPr>
        <w:pStyle w:val="EAB1"/>
        <w:rPr>
          <w:sz w:val="20"/>
          <w:szCs w:val="20"/>
        </w:rPr>
      </w:pPr>
      <w:bookmarkStart w:id="32" w:name="_Toc311128040"/>
      <w:bookmarkStart w:id="33" w:name="_Toc304470340"/>
      <w:bookmarkStart w:id="34" w:name="_Toc307834226"/>
      <w:r>
        <w:rPr>
          <w:sz w:val="20"/>
          <w:szCs w:val="20"/>
        </w:rPr>
        <w:t>Example 1 – Residential subdivision</w:t>
      </w:r>
      <w:bookmarkEnd w:id="32"/>
      <w:bookmarkEnd w:id="33"/>
      <w:bookmarkEnd w:id="34"/>
    </w:p>
    <w:p w:rsidR="00C704EB" w:rsidRDefault="00C704EB" w:rsidP="00C704EB">
      <w:pPr>
        <w:keepNext/>
        <w:rPr>
          <w:rFonts w:cs="Tahoma"/>
          <w:szCs w:val="20"/>
        </w:rPr>
      </w:pPr>
      <w:r>
        <w:rPr>
          <w:rFonts w:cs="Tahoma"/>
          <w:szCs w:val="20"/>
        </w:rPr>
        <w:t xml:space="preserve">A proponent owns a large expanse of land that contains habitat for a listed threatened species. The proponent applies for a subdivision of the land and the subdivision is approved by the relevant State Department. The proponent then subdivides the land. </w:t>
      </w:r>
    </w:p>
    <w:p w:rsidR="00C4719A" w:rsidRDefault="00C4719A" w:rsidP="00C704EB">
      <w:pPr>
        <w:rPr>
          <w:rFonts w:cs="Tahoma"/>
          <w:i/>
          <w:szCs w:val="20"/>
        </w:rPr>
      </w:pPr>
    </w:p>
    <w:p w:rsidR="00C704EB" w:rsidRDefault="00C704EB" w:rsidP="00C704EB">
      <w:pPr>
        <w:rPr>
          <w:rFonts w:cs="Tahoma"/>
          <w:i/>
          <w:szCs w:val="20"/>
        </w:rPr>
      </w:pPr>
      <w:r>
        <w:rPr>
          <w:rFonts w:cs="Tahoma"/>
          <w:i/>
          <w:szCs w:val="20"/>
        </w:rPr>
        <w:lastRenderedPageBreak/>
        <w:t>Is the subdivision an action?</w:t>
      </w:r>
    </w:p>
    <w:p w:rsidR="00C704EB" w:rsidRDefault="00C704EB" w:rsidP="00C704EB">
      <w:pPr>
        <w:rPr>
          <w:rFonts w:cs="Tahoma"/>
          <w:szCs w:val="20"/>
        </w:rPr>
      </w:pPr>
      <w:r>
        <w:rPr>
          <w:rFonts w:cs="Tahoma"/>
          <w:szCs w:val="20"/>
        </w:rPr>
        <w:t>Yes. Even though at this point no physical actions have been taken to the subdivided land, the definition of action covers non-physical actions.</w:t>
      </w:r>
    </w:p>
    <w:p w:rsidR="00C704EB" w:rsidRDefault="00C704EB" w:rsidP="00C704EB">
      <w:pPr>
        <w:rPr>
          <w:rFonts w:cs="Tahoma"/>
          <w:i/>
          <w:szCs w:val="20"/>
        </w:rPr>
      </w:pPr>
      <w:r>
        <w:rPr>
          <w:rFonts w:cs="Tahoma"/>
          <w:i/>
          <w:szCs w:val="20"/>
        </w:rPr>
        <w:t>Is the approval of the subdivision an action?</w:t>
      </w:r>
    </w:p>
    <w:p w:rsidR="00C704EB" w:rsidRDefault="00C704EB" w:rsidP="00C704EB">
      <w:pPr>
        <w:rPr>
          <w:rFonts w:cs="Tahoma"/>
          <w:szCs w:val="20"/>
        </w:rPr>
      </w:pPr>
      <w:r>
        <w:rPr>
          <w:rFonts w:cs="Tahoma"/>
          <w:szCs w:val="20"/>
        </w:rPr>
        <w:t xml:space="preserve">No. The approval by the State Department is not an action. The State Department is using its power to allow the subdivision, which otherwise the proponent could not do. </w:t>
      </w:r>
    </w:p>
    <w:p w:rsidR="00C704EB" w:rsidRDefault="00C704EB" w:rsidP="00C704EB">
      <w:pPr>
        <w:rPr>
          <w:rFonts w:cs="Tahoma"/>
          <w:i/>
          <w:szCs w:val="20"/>
        </w:rPr>
      </w:pPr>
      <w:r>
        <w:rPr>
          <w:rFonts w:cs="Tahoma"/>
          <w:i/>
          <w:szCs w:val="20"/>
        </w:rPr>
        <w:t>If the proponent sells the subdivided lots is this considered an action?</w:t>
      </w:r>
    </w:p>
    <w:p w:rsidR="00C704EB" w:rsidRDefault="00C704EB" w:rsidP="00C704EB">
      <w:pPr>
        <w:rPr>
          <w:rFonts w:cs="Tahoma"/>
          <w:szCs w:val="20"/>
        </w:rPr>
      </w:pPr>
      <w:r>
        <w:rPr>
          <w:rFonts w:cs="Tahoma"/>
          <w:szCs w:val="20"/>
        </w:rPr>
        <w:t>Yes. Once again while not a physical action, the selling of subdivided land is an action because the foreseeable and likely consequences are the development of that land for residential development.</w:t>
      </w:r>
    </w:p>
    <w:p w:rsidR="00C704EB" w:rsidRDefault="00C704EB" w:rsidP="00C704EB">
      <w:pPr>
        <w:rPr>
          <w:rFonts w:cs="Tahoma"/>
          <w:i/>
          <w:szCs w:val="20"/>
        </w:rPr>
      </w:pPr>
      <w:r>
        <w:rPr>
          <w:rFonts w:cs="Tahoma"/>
          <w:i/>
          <w:szCs w:val="20"/>
        </w:rPr>
        <w:t xml:space="preserve">If the proponent builds a residential development on the subdivided land, is that an action? </w:t>
      </w:r>
    </w:p>
    <w:p w:rsidR="00C704EB" w:rsidRDefault="00C704EB" w:rsidP="00C704EB">
      <w:pPr>
        <w:rPr>
          <w:rFonts w:cs="Tahoma"/>
          <w:szCs w:val="20"/>
        </w:rPr>
      </w:pPr>
      <w:r>
        <w:rPr>
          <w:rFonts w:cs="Tahoma"/>
          <w:szCs w:val="20"/>
        </w:rPr>
        <w:t xml:space="preserve">Yes. The definition of ‘action’ includes a development. Any activity, even if approved by a governmental authorisation, is still considered to be an action under the EPBC Act and must go through EPBC Act processes if it is likely to have a significant impact on a protected matter. It is the </w:t>
      </w:r>
      <w:r>
        <w:rPr>
          <w:rFonts w:cs="Tahoma"/>
          <w:szCs w:val="20"/>
        </w:rPr>
        <w:lastRenderedPageBreak/>
        <w:t>actual decision by the government body to grant an authorisation which does not constitute an action.</w:t>
      </w:r>
    </w:p>
    <w:p w:rsidR="00C704EB" w:rsidRDefault="00C704EB" w:rsidP="00C704EB">
      <w:pPr>
        <w:pStyle w:val="EAB1"/>
        <w:rPr>
          <w:sz w:val="20"/>
          <w:szCs w:val="20"/>
        </w:rPr>
      </w:pPr>
      <w:bookmarkStart w:id="35" w:name="_Toc304470341"/>
      <w:bookmarkStart w:id="36" w:name="_Toc311128041"/>
      <w:bookmarkStart w:id="37" w:name="_Toc307834227"/>
      <w:r>
        <w:rPr>
          <w:sz w:val="20"/>
          <w:szCs w:val="20"/>
        </w:rPr>
        <w:t>Example 2</w:t>
      </w:r>
      <w:bookmarkEnd w:id="35"/>
      <w:r>
        <w:rPr>
          <w:sz w:val="20"/>
          <w:szCs w:val="20"/>
        </w:rPr>
        <w:t xml:space="preserve"> – </w:t>
      </w:r>
      <w:bookmarkEnd w:id="36"/>
      <w:bookmarkEnd w:id="37"/>
      <w:r>
        <w:rPr>
          <w:sz w:val="20"/>
          <w:szCs w:val="20"/>
        </w:rPr>
        <w:t>Failure to Act</w:t>
      </w:r>
    </w:p>
    <w:p w:rsidR="00C704EB" w:rsidRDefault="00C704EB" w:rsidP="00C704EB">
      <w:pPr>
        <w:keepNext/>
        <w:rPr>
          <w:rFonts w:cs="Tahoma"/>
          <w:szCs w:val="20"/>
        </w:rPr>
      </w:pPr>
      <w:r>
        <w:rPr>
          <w:rFonts w:cs="Tahoma"/>
          <w:szCs w:val="20"/>
        </w:rPr>
        <w:t>A person owns land on which there are a large number of kangaroos. Over the years, the population of the kangaroos has increased which places pressure on a threatened flora species. The landowner becomes aware of this, but does nothing.</w:t>
      </w:r>
    </w:p>
    <w:p w:rsidR="00C704EB" w:rsidRDefault="00C704EB" w:rsidP="00C704EB">
      <w:pPr>
        <w:rPr>
          <w:rFonts w:cs="Tahoma"/>
          <w:i/>
          <w:szCs w:val="20"/>
        </w:rPr>
      </w:pPr>
      <w:r>
        <w:rPr>
          <w:rFonts w:cs="Tahoma"/>
          <w:i/>
          <w:szCs w:val="20"/>
        </w:rPr>
        <w:t>Is the fact that the person did nothing to control the population of kangaroos an action?</w:t>
      </w:r>
    </w:p>
    <w:p w:rsidR="00C704EB" w:rsidRDefault="00C704EB" w:rsidP="00C704EB">
      <w:pPr>
        <w:rPr>
          <w:lang w:eastAsia="en-AU"/>
        </w:rPr>
      </w:pPr>
      <w:r>
        <w:rPr>
          <w:rFonts w:cs="Tahoma"/>
          <w:szCs w:val="20"/>
        </w:rPr>
        <w:t>No. A person must have undertaken a deliberate action (rather than doing nothing) for the action to be assessable under the EPBC Act. A failure to mitigate damage done by the increased kangaroo population, and therefore the pressure on the threatened species, is not by itself an action.</w:t>
      </w:r>
      <w:r>
        <w:rPr>
          <w:lang w:eastAsia="en-AU"/>
        </w:rPr>
        <w:t xml:space="preserve"> </w:t>
      </w:r>
    </w:p>
    <w:p w:rsidR="00C704EB" w:rsidRDefault="00C704EB" w:rsidP="00C704EB">
      <w:pPr>
        <w:rPr>
          <w:rFonts w:cs="Tahoma"/>
        </w:rPr>
        <w:sectPr w:rsidR="00C704EB" w:rsidSect="00C704EB">
          <w:headerReference w:type="even" r:id="rId22"/>
          <w:headerReference w:type="default" r:id="rId23"/>
          <w:footerReference w:type="even" r:id="rId24"/>
          <w:footerReference w:type="default" r:id="rId25"/>
          <w:headerReference w:type="first" r:id="rId26"/>
          <w:footerReference w:type="first" r:id="rId27"/>
          <w:type w:val="continuous"/>
          <w:pgSz w:w="16838" w:h="11906" w:orient="landscape"/>
          <w:pgMar w:top="1418" w:right="1418" w:bottom="1276" w:left="567" w:header="425" w:footer="425" w:gutter="0"/>
          <w:pgNumType w:start="1"/>
          <w:cols w:num="3" w:space="708"/>
          <w:titlePg/>
          <w:docGrid w:linePitch="360"/>
        </w:sectPr>
      </w:pPr>
    </w:p>
    <w:p w:rsidR="00C704EB" w:rsidRDefault="00C704EB" w:rsidP="00C704EB">
      <w:pPr>
        <w:rPr>
          <w:rFonts w:cs="Tahoma"/>
        </w:rPr>
      </w:pPr>
    </w:p>
    <w:p w:rsidR="006B14DB" w:rsidRPr="00EF53FF" w:rsidRDefault="006B14DB" w:rsidP="00932861"/>
    <w:sectPr w:rsidR="006B14DB" w:rsidRPr="00EF53FF" w:rsidSect="00C704EB">
      <w:type w:val="continuous"/>
      <w:pgSz w:w="16838" w:h="11906" w:orient="landscape"/>
      <w:pgMar w:top="1418" w:right="1418" w:bottom="1276" w:left="567" w:header="425" w:footer="425"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2C3E" w:rsidRDefault="00BF2C3E" w:rsidP="00A60185">
      <w:r>
        <w:separator/>
      </w:r>
    </w:p>
  </w:endnote>
  <w:endnote w:type="continuationSeparator" w:id="0">
    <w:p w:rsidR="00BF2C3E" w:rsidRDefault="00BF2C3E" w:rsidP="00A6018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E" w:rsidRDefault="00BF2C3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43830"/>
      <w:docPartObj>
        <w:docPartGallery w:val="Page Numbers (Bottom of Page)"/>
        <w:docPartUnique/>
      </w:docPartObj>
    </w:sdtPr>
    <w:sdtContent>
      <w:p w:rsidR="00BF2C3E" w:rsidRDefault="00945EF9">
        <w:pPr>
          <w:pStyle w:val="Footer"/>
          <w:jc w:val="center"/>
        </w:pPr>
        <w:fldSimple w:instr=" PAGE   \* MERGEFORMAT ">
          <w:r w:rsidR="00C552A6">
            <w:rPr>
              <w:noProof/>
            </w:rPr>
            <w:t>4</w:t>
          </w:r>
        </w:fldSimple>
      </w:p>
    </w:sdtContent>
  </w:sdt>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E" w:rsidRDefault="00BF2C3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2C3E" w:rsidRDefault="00BF2C3E" w:rsidP="00A60185">
      <w:r>
        <w:separator/>
      </w:r>
    </w:p>
  </w:footnote>
  <w:footnote w:type="continuationSeparator" w:id="0">
    <w:p w:rsidR="00BF2C3E" w:rsidRDefault="00BF2C3E" w:rsidP="00A6018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E" w:rsidRDefault="00945EF9" w:rsidP="00E45765">
    <w:pPr>
      <w:pStyle w:val="Classification"/>
    </w:pPr>
    <w:fldSimple w:instr=" DOCPROPERTY SecurityClassification \* MERGEFORMAT ">
      <w:r w:rsidR="00BF2C3E">
        <w:t>Cabinet-in-Confidence</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E" w:rsidRDefault="00BF2C3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2C3E" w:rsidRDefault="00BF2C3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F6A4D88"/>
    <w:lvl w:ilvl="0">
      <w:start w:val="1"/>
      <w:numFmt w:val="decimal"/>
      <w:lvlText w:val="%1."/>
      <w:lvlJc w:val="left"/>
      <w:pPr>
        <w:tabs>
          <w:tab w:val="num" w:pos="1492"/>
        </w:tabs>
        <w:ind w:left="1492" w:hanging="360"/>
      </w:pPr>
    </w:lvl>
  </w:abstractNum>
  <w:abstractNum w:abstractNumId="1">
    <w:nsid w:val="FFFFFF7D"/>
    <w:multiLevelType w:val="singleLevel"/>
    <w:tmpl w:val="2090A8FA"/>
    <w:lvl w:ilvl="0">
      <w:start w:val="1"/>
      <w:numFmt w:val="decimal"/>
      <w:lvlText w:val="%1."/>
      <w:lvlJc w:val="left"/>
      <w:pPr>
        <w:tabs>
          <w:tab w:val="num" w:pos="1209"/>
        </w:tabs>
        <w:ind w:left="1209" w:hanging="360"/>
      </w:pPr>
    </w:lvl>
  </w:abstractNum>
  <w:abstractNum w:abstractNumId="2">
    <w:nsid w:val="FFFFFF7E"/>
    <w:multiLevelType w:val="singleLevel"/>
    <w:tmpl w:val="8D462BDC"/>
    <w:lvl w:ilvl="0">
      <w:start w:val="1"/>
      <w:numFmt w:val="decimal"/>
      <w:lvlText w:val="%1."/>
      <w:lvlJc w:val="left"/>
      <w:pPr>
        <w:tabs>
          <w:tab w:val="num" w:pos="926"/>
        </w:tabs>
        <w:ind w:left="926" w:hanging="360"/>
      </w:pPr>
    </w:lvl>
  </w:abstractNum>
  <w:abstractNum w:abstractNumId="3">
    <w:nsid w:val="FFFFFF7F"/>
    <w:multiLevelType w:val="singleLevel"/>
    <w:tmpl w:val="77B8748C"/>
    <w:lvl w:ilvl="0">
      <w:start w:val="1"/>
      <w:numFmt w:val="decimal"/>
      <w:lvlText w:val="%1."/>
      <w:lvlJc w:val="left"/>
      <w:pPr>
        <w:tabs>
          <w:tab w:val="num" w:pos="643"/>
        </w:tabs>
        <w:ind w:left="643" w:hanging="360"/>
      </w:pPr>
    </w:lvl>
  </w:abstractNum>
  <w:abstractNum w:abstractNumId="4">
    <w:nsid w:val="FFFFFF80"/>
    <w:multiLevelType w:val="singleLevel"/>
    <w:tmpl w:val="F32A3D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70446F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E7428BB0"/>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995CEE9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3D68994"/>
    <w:lvl w:ilvl="0">
      <w:start w:val="1"/>
      <w:numFmt w:val="decimal"/>
      <w:lvlText w:val="%1."/>
      <w:lvlJc w:val="left"/>
      <w:pPr>
        <w:tabs>
          <w:tab w:val="num" w:pos="360"/>
        </w:tabs>
        <w:ind w:left="360" w:hanging="360"/>
      </w:pPr>
    </w:lvl>
  </w:abstractNum>
  <w:abstractNum w:abstractNumId="9">
    <w:nsid w:val="FFFFFF89"/>
    <w:multiLevelType w:val="singleLevel"/>
    <w:tmpl w:val="FA5AF63A"/>
    <w:lvl w:ilvl="0">
      <w:start w:val="1"/>
      <w:numFmt w:val="bullet"/>
      <w:lvlText w:val=""/>
      <w:lvlJc w:val="left"/>
      <w:pPr>
        <w:tabs>
          <w:tab w:val="num" w:pos="360"/>
        </w:tabs>
        <w:ind w:left="360" w:hanging="360"/>
      </w:pPr>
      <w:rPr>
        <w:rFonts w:ascii="Symbol" w:hAnsi="Symbol" w:hint="default"/>
      </w:rPr>
    </w:lvl>
  </w:abstractNum>
  <w:abstractNum w:abstractNumId="1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1">
    <w:nsid w:val="05EC64B3"/>
    <w:multiLevelType w:val="multilevel"/>
    <w:tmpl w:val="E5E89F92"/>
    <w:numStyleLink w:val="BulletList"/>
  </w:abstractNum>
  <w:abstractNum w:abstractNumId="12">
    <w:nsid w:val="073123A7"/>
    <w:multiLevelType w:val="hybridMultilevel"/>
    <w:tmpl w:val="0C09000F"/>
    <w:lvl w:ilvl="0" w:tplc="95706B16">
      <w:start w:val="1"/>
      <w:numFmt w:val="decimal"/>
      <w:lvlText w:val="%1."/>
      <w:lvlJc w:val="left"/>
      <w:pPr>
        <w:ind w:left="720" w:hanging="360"/>
      </w:pPr>
      <w:rPr>
        <w:rFonts w:hint="default"/>
      </w:rPr>
    </w:lvl>
    <w:lvl w:ilvl="1" w:tplc="8342DD4A" w:tentative="1">
      <w:start w:val="1"/>
      <w:numFmt w:val="lowerLetter"/>
      <w:lvlText w:val="%2."/>
      <w:lvlJc w:val="left"/>
      <w:pPr>
        <w:ind w:left="1440" w:hanging="360"/>
      </w:pPr>
      <w:rPr>
        <w:rFonts w:hint="default"/>
      </w:rPr>
    </w:lvl>
    <w:lvl w:ilvl="2" w:tplc="23329D6A">
      <w:start w:val="1"/>
      <w:numFmt w:val="lowerRoman"/>
      <w:lvlText w:val="%3."/>
      <w:lvlJc w:val="right"/>
      <w:pPr>
        <w:ind w:left="2160" w:hanging="180"/>
      </w:pPr>
      <w:rPr>
        <w:rFonts w:hint="default"/>
      </w:rPr>
    </w:lvl>
    <w:lvl w:ilvl="3" w:tplc="64522FCE">
      <w:start w:val="1"/>
      <w:numFmt w:val="decimal"/>
      <w:lvlText w:val="%4."/>
      <w:lvlJc w:val="left"/>
      <w:pPr>
        <w:ind w:left="2880" w:hanging="360"/>
      </w:pPr>
      <w:rPr>
        <w:rFonts w:hint="default"/>
      </w:rPr>
    </w:lvl>
    <w:lvl w:ilvl="4" w:tplc="7FDCB4C0" w:tentative="1">
      <w:start w:val="1"/>
      <w:numFmt w:val="lowerLetter"/>
      <w:lvlText w:val="%5."/>
      <w:lvlJc w:val="left"/>
      <w:pPr>
        <w:ind w:left="3600" w:hanging="360"/>
      </w:pPr>
      <w:rPr>
        <w:rFonts w:hint="default"/>
      </w:rPr>
    </w:lvl>
    <w:lvl w:ilvl="5" w:tplc="DDE6527E" w:tentative="1">
      <w:start w:val="1"/>
      <w:numFmt w:val="lowerRoman"/>
      <w:lvlText w:val="%6."/>
      <w:lvlJc w:val="right"/>
      <w:pPr>
        <w:ind w:left="4320" w:hanging="180"/>
      </w:pPr>
      <w:rPr>
        <w:rFonts w:hint="default"/>
      </w:rPr>
    </w:lvl>
    <w:lvl w:ilvl="6" w:tplc="189C8CAC" w:tentative="1">
      <w:start w:val="1"/>
      <w:numFmt w:val="decimal"/>
      <w:lvlText w:val="%7."/>
      <w:lvlJc w:val="left"/>
      <w:pPr>
        <w:ind w:left="5040" w:hanging="360"/>
      </w:pPr>
      <w:rPr>
        <w:rFonts w:hint="default"/>
      </w:rPr>
    </w:lvl>
    <w:lvl w:ilvl="7" w:tplc="1D6AD1D4" w:tentative="1">
      <w:start w:val="1"/>
      <w:numFmt w:val="lowerLetter"/>
      <w:lvlText w:val="%8."/>
      <w:lvlJc w:val="left"/>
      <w:pPr>
        <w:ind w:left="5760" w:hanging="360"/>
      </w:pPr>
      <w:rPr>
        <w:rFonts w:hint="default"/>
      </w:rPr>
    </w:lvl>
    <w:lvl w:ilvl="8" w:tplc="48BA8832" w:tentative="1">
      <w:start w:val="1"/>
      <w:numFmt w:val="lowerRoman"/>
      <w:lvlText w:val="%9."/>
      <w:lvlJc w:val="right"/>
      <w:pPr>
        <w:ind w:left="6480" w:hanging="180"/>
      </w:pPr>
      <w:rPr>
        <w:rFonts w:hint="default"/>
      </w:rPr>
    </w:lvl>
  </w:abstractNum>
  <w:abstractNum w:abstractNumId="13">
    <w:nsid w:val="0DCC7901"/>
    <w:multiLevelType w:val="hybridMultilevel"/>
    <w:tmpl w:val="F97493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14AB21CC"/>
    <w:multiLevelType w:val="multilevel"/>
    <w:tmpl w:val="E898CC72"/>
    <w:numStyleLink w:val="KeyPoints"/>
  </w:abstractNum>
  <w:abstractNum w:abstractNumId="15">
    <w:nsid w:val="1784511A"/>
    <w:multiLevelType w:val="multilevel"/>
    <w:tmpl w:val="E898CC72"/>
    <w:numStyleLink w:val="KeyPoints"/>
  </w:abstractNum>
  <w:abstractNum w:abstractNumId="16">
    <w:nsid w:val="198F4124"/>
    <w:multiLevelType w:val="hybridMultilevel"/>
    <w:tmpl w:val="929E361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nsid w:val="1C291970"/>
    <w:multiLevelType w:val="multilevel"/>
    <w:tmpl w:val="E898CC72"/>
    <w:numStyleLink w:val="KeyPoints"/>
  </w:abstractNum>
  <w:abstractNum w:abstractNumId="18">
    <w:nsid w:val="1F745BC2"/>
    <w:multiLevelType w:val="multilevel"/>
    <w:tmpl w:val="E5E89F92"/>
    <w:numStyleLink w:val="BulletList"/>
  </w:abstractNum>
  <w:abstractNum w:abstractNumId="19">
    <w:nsid w:val="21F90D7B"/>
    <w:multiLevelType w:val="hybridMultilevel"/>
    <w:tmpl w:val="9E0479D4"/>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20">
    <w:nsid w:val="29253B4A"/>
    <w:multiLevelType w:val="multilevel"/>
    <w:tmpl w:val="E898CC72"/>
    <w:numStyleLink w:val="KeyPoints"/>
  </w:abstractNum>
  <w:abstractNum w:abstractNumId="21">
    <w:nsid w:val="2C1B4F6C"/>
    <w:multiLevelType w:val="multilevel"/>
    <w:tmpl w:val="E898CC72"/>
    <w:numStyleLink w:val="KeyPoints"/>
  </w:abstractNum>
  <w:abstractNum w:abstractNumId="22">
    <w:nsid w:val="30225151"/>
    <w:multiLevelType w:val="multilevel"/>
    <w:tmpl w:val="3B2C8142"/>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23">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nsid w:val="38816F9C"/>
    <w:multiLevelType w:val="multilevel"/>
    <w:tmpl w:val="E5E89F92"/>
    <w:numStyleLink w:val="BulletList"/>
  </w:abstractNum>
  <w:abstractNum w:abstractNumId="26">
    <w:nsid w:val="3B351B82"/>
    <w:multiLevelType w:val="multilevel"/>
    <w:tmpl w:val="E5E89F92"/>
    <w:numStyleLink w:val="BulletList"/>
  </w:abstractNum>
  <w:abstractNum w:abstractNumId="27">
    <w:nsid w:val="48B871CF"/>
    <w:multiLevelType w:val="multilevel"/>
    <w:tmpl w:val="E5E89F92"/>
    <w:numStyleLink w:val="BulletList"/>
  </w:abstractNum>
  <w:abstractNum w:abstractNumId="28">
    <w:nsid w:val="49016841"/>
    <w:multiLevelType w:val="multilevel"/>
    <w:tmpl w:val="E5E89F92"/>
    <w:numStyleLink w:val="BulletList"/>
  </w:abstractNum>
  <w:abstractNum w:abstractNumId="29">
    <w:nsid w:val="51A44175"/>
    <w:multiLevelType w:val="multilevel"/>
    <w:tmpl w:val="E5E89F92"/>
    <w:numStyleLink w:val="BulletList"/>
  </w:abstractNum>
  <w:abstractNum w:abstractNumId="30">
    <w:nsid w:val="59683F9E"/>
    <w:multiLevelType w:val="hybridMultilevel"/>
    <w:tmpl w:val="AA84FF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65456429"/>
    <w:multiLevelType w:val="multilevel"/>
    <w:tmpl w:val="E898CC72"/>
    <w:numStyleLink w:val="KeyPoints"/>
  </w:abstractNum>
  <w:abstractNum w:abstractNumId="32">
    <w:nsid w:val="672E0C2A"/>
    <w:multiLevelType w:val="multilevel"/>
    <w:tmpl w:val="E5E89F92"/>
    <w:numStyleLink w:val="BulletList"/>
  </w:abstractNum>
  <w:abstractNum w:abstractNumId="33">
    <w:nsid w:val="674B011C"/>
    <w:multiLevelType w:val="multilevel"/>
    <w:tmpl w:val="72C09BA0"/>
    <w:lvl w:ilvl="0">
      <w:start w:val="1"/>
      <w:numFmt w:val="decimal"/>
      <w:lvlText w:val="%1."/>
      <w:lvlJc w:val="left"/>
      <w:pPr>
        <w:ind w:left="360" w:hanging="360"/>
      </w:pPr>
      <w:rPr>
        <w:rFonts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Symbol" w:hAnsi="Symbol" w:hint="default"/>
        <w:color w:val="auto"/>
      </w:rPr>
    </w:lvl>
    <w:lvl w:ilvl="4">
      <w:start w:val="1"/>
      <w:numFmt w:val="bullet"/>
      <w:lvlText w:val=""/>
      <w:lvlJc w:val="left"/>
      <w:pPr>
        <w:ind w:left="1800" w:hanging="360"/>
      </w:pPr>
      <w:rPr>
        <w:rFonts w:ascii="Symbol" w:hAnsi="Symbol" w:hint="default"/>
        <w:color w:val="auto"/>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34">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nsid w:val="6A823B13"/>
    <w:multiLevelType w:val="multilevel"/>
    <w:tmpl w:val="E5E89F92"/>
    <w:numStyleLink w:val="BulletList"/>
  </w:abstractNum>
  <w:abstractNum w:abstractNumId="36">
    <w:nsid w:val="6DF2198A"/>
    <w:multiLevelType w:val="multilevel"/>
    <w:tmpl w:val="E5E89F92"/>
    <w:numStyleLink w:val="BulletList"/>
  </w:abstractNum>
  <w:abstractNum w:abstractNumId="37">
    <w:nsid w:val="6F032444"/>
    <w:multiLevelType w:val="multilevel"/>
    <w:tmpl w:val="E5E89F92"/>
    <w:numStyleLink w:val="BulletList"/>
  </w:abstractNum>
  <w:abstractNum w:abstractNumId="38">
    <w:nsid w:val="6F5C7C61"/>
    <w:multiLevelType w:val="hybridMultilevel"/>
    <w:tmpl w:val="D58E68B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6F7D6BDE"/>
    <w:multiLevelType w:val="hybridMultilevel"/>
    <w:tmpl w:val="E1006C1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2C700E0"/>
    <w:multiLevelType w:val="multilevel"/>
    <w:tmpl w:val="E898CC72"/>
    <w:numStyleLink w:val="KeyPoints"/>
  </w:abstractNum>
  <w:abstractNum w:abstractNumId="41">
    <w:nsid w:val="762964D5"/>
    <w:multiLevelType w:val="multilevel"/>
    <w:tmpl w:val="E898CC72"/>
    <w:styleLink w:val="KeyPoints"/>
    <w:lvl w:ilvl="0">
      <w:start w:val="1"/>
      <w:numFmt w:val="decimal"/>
      <w:pStyle w:val="ListNumber"/>
      <w:lvlText w:val="%1."/>
      <w:lvlJc w:val="left"/>
      <w:pPr>
        <w:ind w:left="369" w:hanging="369"/>
      </w:pPr>
      <w:rPr>
        <w:rFonts w:ascii="Arial" w:hAnsi="Arial"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2">
    <w:nsid w:val="788260C9"/>
    <w:multiLevelType w:val="multilevel"/>
    <w:tmpl w:val="E898CC72"/>
    <w:numStyleLink w:val="KeyPoints"/>
  </w:abstractNum>
  <w:abstractNum w:abstractNumId="43">
    <w:nsid w:val="78A52985"/>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nsid w:val="7C314760"/>
    <w:multiLevelType w:val="hybridMultilevel"/>
    <w:tmpl w:val="6F9C46BE"/>
    <w:lvl w:ilvl="0" w:tplc="2D70B124">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D3708B3"/>
    <w:multiLevelType w:val="multilevel"/>
    <w:tmpl w:val="E5E89F92"/>
    <w:numStyleLink w:val="BulletList"/>
  </w:abstractNum>
  <w:num w:numId="1">
    <w:abstractNumId w:val="41"/>
  </w:num>
  <w:num w:numId="2">
    <w:abstractNumId w:val="15"/>
    <w:lvlOverride w:ilvl="0">
      <w:lvl w:ilvl="0">
        <w:start w:val="1"/>
        <w:numFmt w:val="decimal"/>
        <w:lvlText w:val="%1."/>
        <w:lvlJc w:val="left"/>
        <w:pPr>
          <w:ind w:left="369" w:hanging="369"/>
        </w:pPr>
        <w:rPr>
          <w:rFonts w:ascii="Arial" w:hAnsi="Arial" w:cs="Arial" w:hint="default"/>
          <w:sz w:val="22"/>
        </w:rPr>
      </w:lvl>
    </w:lvlOverride>
  </w:num>
  <w:num w:numId="3">
    <w:abstractNumId w:val="10"/>
  </w:num>
  <w:num w:numId="4">
    <w:abstractNumId w:val="27"/>
  </w:num>
  <w:num w:numId="5">
    <w:abstractNumId w:val="38"/>
  </w:num>
  <w:num w:numId="6">
    <w:abstractNumId w:val="39"/>
  </w:num>
  <w:num w:numId="7">
    <w:abstractNumId w:val="34"/>
  </w:num>
  <w:num w:numId="8">
    <w:abstractNumId w:val="22"/>
  </w:num>
  <w:num w:numId="9">
    <w:abstractNumId w:val="9"/>
  </w:num>
  <w:num w:numId="10">
    <w:abstractNumId w:val="7"/>
  </w:num>
  <w:num w:numId="11">
    <w:abstractNumId w:val="6"/>
  </w:num>
  <w:num w:numId="12">
    <w:abstractNumId w:val="5"/>
  </w:num>
  <w:num w:numId="13">
    <w:abstractNumId w:val="4"/>
  </w:num>
  <w:num w:numId="14">
    <w:abstractNumId w:val="24"/>
  </w:num>
  <w:num w:numId="15">
    <w:abstractNumId w:val="16"/>
  </w:num>
  <w:num w:numId="16">
    <w:abstractNumId w:val="43"/>
  </w:num>
  <w:num w:numId="17">
    <w:abstractNumId w:val="12"/>
  </w:num>
  <w:num w:numId="18">
    <w:abstractNumId w:val="32"/>
  </w:num>
  <w:num w:numId="19">
    <w:abstractNumId w:val="11"/>
  </w:num>
  <w:num w:numId="20">
    <w:abstractNumId w:val="21"/>
  </w:num>
  <w:num w:numId="21">
    <w:abstractNumId w:val="14"/>
  </w:num>
  <w:num w:numId="22">
    <w:abstractNumId w:val="20"/>
  </w:num>
  <w:num w:numId="23">
    <w:abstractNumId w:val="28"/>
  </w:num>
  <w:num w:numId="24">
    <w:abstractNumId w:val="37"/>
  </w:num>
  <w:num w:numId="25">
    <w:abstractNumId w:val="33"/>
  </w:num>
  <w:num w:numId="26">
    <w:abstractNumId w:val="26"/>
  </w:num>
  <w:num w:numId="27">
    <w:abstractNumId w:val="40"/>
  </w:num>
  <w:num w:numId="2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5"/>
  </w:num>
  <w:num w:numId="31">
    <w:abstractNumId w:val="36"/>
  </w:num>
  <w:num w:numId="32">
    <w:abstractNumId w:val="33"/>
  </w:num>
  <w:num w:numId="33">
    <w:abstractNumId w:val="29"/>
  </w:num>
  <w:num w:numId="34">
    <w:abstractNumId w:val="17"/>
  </w:num>
  <w:num w:numId="35">
    <w:abstractNumId w:val="30"/>
  </w:num>
  <w:num w:numId="36">
    <w:abstractNumId w:val="44"/>
  </w:num>
  <w:num w:numId="37">
    <w:abstractNumId w:val="44"/>
    <w:lvlOverride w:ilvl="0">
      <w:startOverride w:val="1"/>
    </w:lvlOverride>
  </w:num>
  <w:num w:numId="38">
    <w:abstractNumId w:val="8"/>
  </w:num>
  <w:num w:numId="39">
    <w:abstractNumId w:val="23"/>
  </w:num>
  <w:num w:numId="40">
    <w:abstractNumId w:val="3"/>
  </w:num>
  <w:num w:numId="41">
    <w:abstractNumId w:val="2"/>
  </w:num>
  <w:num w:numId="42">
    <w:abstractNumId w:val="1"/>
  </w:num>
  <w:num w:numId="43">
    <w:abstractNumId w:val="0"/>
  </w:num>
  <w:num w:numId="44">
    <w:abstractNumId w:val="42"/>
  </w:num>
  <w:num w:numId="45">
    <w:abstractNumId w:val="35"/>
  </w:num>
  <w:num w:numId="46">
    <w:abstractNumId w:val="45"/>
  </w:num>
  <w:num w:numId="47">
    <w:abstractNumId w:val="31"/>
  </w:num>
  <w:num w:numId="48">
    <w:abstractNumId w:val="18"/>
  </w:num>
  <w:num w:numId="4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docVars>
    <w:docVar w:name="SecurityClassificationInHeader" w:val="False"/>
  </w:docVars>
  <w:rsids>
    <w:rsidRoot w:val="00BF2C3E"/>
    <w:rsid w:val="00004AEE"/>
    <w:rsid w:val="00005CAA"/>
    <w:rsid w:val="00010210"/>
    <w:rsid w:val="00012D66"/>
    <w:rsid w:val="00015ADA"/>
    <w:rsid w:val="00020C99"/>
    <w:rsid w:val="0002707B"/>
    <w:rsid w:val="0005148E"/>
    <w:rsid w:val="00072C5A"/>
    <w:rsid w:val="000759E5"/>
    <w:rsid w:val="00084AC6"/>
    <w:rsid w:val="00091608"/>
    <w:rsid w:val="0009333C"/>
    <w:rsid w:val="0009704F"/>
    <w:rsid w:val="000A0F11"/>
    <w:rsid w:val="000A125A"/>
    <w:rsid w:val="000A57CD"/>
    <w:rsid w:val="000B3758"/>
    <w:rsid w:val="000B7681"/>
    <w:rsid w:val="000B7B42"/>
    <w:rsid w:val="000C02B7"/>
    <w:rsid w:val="000C5100"/>
    <w:rsid w:val="000C5342"/>
    <w:rsid w:val="000C706A"/>
    <w:rsid w:val="000D2887"/>
    <w:rsid w:val="000D6D63"/>
    <w:rsid w:val="000E0081"/>
    <w:rsid w:val="000E07CF"/>
    <w:rsid w:val="000E31C1"/>
    <w:rsid w:val="000F2CF2"/>
    <w:rsid w:val="00100BEF"/>
    <w:rsid w:val="00111326"/>
    <w:rsid w:val="001114C4"/>
    <w:rsid w:val="0011498E"/>
    <w:rsid w:val="00117A45"/>
    <w:rsid w:val="001224AE"/>
    <w:rsid w:val="001337D4"/>
    <w:rsid w:val="00147C12"/>
    <w:rsid w:val="001527A1"/>
    <w:rsid w:val="001530DC"/>
    <w:rsid w:val="00154989"/>
    <w:rsid w:val="00155A9F"/>
    <w:rsid w:val="00160262"/>
    <w:rsid w:val="0016780A"/>
    <w:rsid w:val="001713FA"/>
    <w:rsid w:val="00173EBF"/>
    <w:rsid w:val="00175ED3"/>
    <w:rsid w:val="001842A2"/>
    <w:rsid w:val="00187FA8"/>
    <w:rsid w:val="00192F5E"/>
    <w:rsid w:val="00197772"/>
    <w:rsid w:val="001A51C8"/>
    <w:rsid w:val="001B4CA8"/>
    <w:rsid w:val="001B5EA1"/>
    <w:rsid w:val="001C4F3D"/>
    <w:rsid w:val="001D0CDC"/>
    <w:rsid w:val="001D1D82"/>
    <w:rsid w:val="001E1182"/>
    <w:rsid w:val="00202C90"/>
    <w:rsid w:val="00213DE8"/>
    <w:rsid w:val="00216118"/>
    <w:rsid w:val="002209AB"/>
    <w:rsid w:val="002251E3"/>
    <w:rsid w:val="00227A95"/>
    <w:rsid w:val="002316BD"/>
    <w:rsid w:val="002473FC"/>
    <w:rsid w:val="00252E3C"/>
    <w:rsid w:val="00262198"/>
    <w:rsid w:val="00285F1B"/>
    <w:rsid w:val="00292B81"/>
    <w:rsid w:val="002B18AE"/>
    <w:rsid w:val="002C1C93"/>
    <w:rsid w:val="002C5066"/>
    <w:rsid w:val="002C5813"/>
    <w:rsid w:val="002D4AAC"/>
    <w:rsid w:val="002F045A"/>
    <w:rsid w:val="0030039D"/>
    <w:rsid w:val="0030326F"/>
    <w:rsid w:val="00310701"/>
    <w:rsid w:val="00315980"/>
    <w:rsid w:val="00316F7F"/>
    <w:rsid w:val="003218E8"/>
    <w:rsid w:val="00325E34"/>
    <w:rsid w:val="00330DCE"/>
    <w:rsid w:val="00331E11"/>
    <w:rsid w:val="00334761"/>
    <w:rsid w:val="00337EBC"/>
    <w:rsid w:val="00341DCD"/>
    <w:rsid w:val="0034563E"/>
    <w:rsid w:val="003518D6"/>
    <w:rsid w:val="0035460C"/>
    <w:rsid w:val="003556BD"/>
    <w:rsid w:val="00365147"/>
    <w:rsid w:val="0037016E"/>
    <w:rsid w:val="00372908"/>
    <w:rsid w:val="00383020"/>
    <w:rsid w:val="00394D7E"/>
    <w:rsid w:val="003975FD"/>
    <w:rsid w:val="003B057D"/>
    <w:rsid w:val="003B60CC"/>
    <w:rsid w:val="003C1B25"/>
    <w:rsid w:val="003C2443"/>
    <w:rsid w:val="003C5DA3"/>
    <w:rsid w:val="003D4BCD"/>
    <w:rsid w:val="003D6C2B"/>
    <w:rsid w:val="003E01D8"/>
    <w:rsid w:val="003E2100"/>
    <w:rsid w:val="003F6F5B"/>
    <w:rsid w:val="0040342D"/>
    <w:rsid w:val="0041192D"/>
    <w:rsid w:val="00413EE1"/>
    <w:rsid w:val="0042128E"/>
    <w:rsid w:val="00432B60"/>
    <w:rsid w:val="00440698"/>
    <w:rsid w:val="004540E2"/>
    <w:rsid w:val="00454454"/>
    <w:rsid w:val="00467924"/>
    <w:rsid w:val="004712A5"/>
    <w:rsid w:val="0047266F"/>
    <w:rsid w:val="00476D6B"/>
    <w:rsid w:val="00492C16"/>
    <w:rsid w:val="004A0678"/>
    <w:rsid w:val="004A48A3"/>
    <w:rsid w:val="004B0D92"/>
    <w:rsid w:val="004B0EC0"/>
    <w:rsid w:val="004B66F1"/>
    <w:rsid w:val="004C3EA0"/>
    <w:rsid w:val="004F7169"/>
    <w:rsid w:val="00500D66"/>
    <w:rsid w:val="00514C8E"/>
    <w:rsid w:val="00531DBF"/>
    <w:rsid w:val="00545759"/>
    <w:rsid w:val="00545BE0"/>
    <w:rsid w:val="00546930"/>
    <w:rsid w:val="00554C6A"/>
    <w:rsid w:val="00562E85"/>
    <w:rsid w:val="0056332F"/>
    <w:rsid w:val="005719B3"/>
    <w:rsid w:val="0057295E"/>
    <w:rsid w:val="00581C39"/>
    <w:rsid w:val="005903B6"/>
    <w:rsid w:val="005A0247"/>
    <w:rsid w:val="005A126E"/>
    <w:rsid w:val="005A452F"/>
    <w:rsid w:val="005B140D"/>
    <w:rsid w:val="005C1FEA"/>
    <w:rsid w:val="005C3495"/>
    <w:rsid w:val="005E3DFC"/>
    <w:rsid w:val="005E5942"/>
    <w:rsid w:val="005E60AF"/>
    <w:rsid w:val="005F1DEA"/>
    <w:rsid w:val="00607FC9"/>
    <w:rsid w:val="00622FE1"/>
    <w:rsid w:val="0062521C"/>
    <w:rsid w:val="00630A2B"/>
    <w:rsid w:val="00632DC7"/>
    <w:rsid w:val="006357FB"/>
    <w:rsid w:val="006406FC"/>
    <w:rsid w:val="00640E57"/>
    <w:rsid w:val="00646122"/>
    <w:rsid w:val="00653E16"/>
    <w:rsid w:val="00657220"/>
    <w:rsid w:val="00657362"/>
    <w:rsid w:val="0066104B"/>
    <w:rsid w:val="006655EE"/>
    <w:rsid w:val="00667C10"/>
    <w:rsid w:val="00667EF4"/>
    <w:rsid w:val="00676FCA"/>
    <w:rsid w:val="00677177"/>
    <w:rsid w:val="0068612E"/>
    <w:rsid w:val="00687C92"/>
    <w:rsid w:val="0069534E"/>
    <w:rsid w:val="0069669C"/>
    <w:rsid w:val="006A1200"/>
    <w:rsid w:val="006A4F4E"/>
    <w:rsid w:val="006A6C23"/>
    <w:rsid w:val="006B14DB"/>
    <w:rsid w:val="006B21C4"/>
    <w:rsid w:val="006C4A1A"/>
    <w:rsid w:val="006D0393"/>
    <w:rsid w:val="006D1A83"/>
    <w:rsid w:val="006E1CFE"/>
    <w:rsid w:val="006F10C4"/>
    <w:rsid w:val="006F40E9"/>
    <w:rsid w:val="006F5603"/>
    <w:rsid w:val="00701400"/>
    <w:rsid w:val="007037CF"/>
    <w:rsid w:val="007167C0"/>
    <w:rsid w:val="00720481"/>
    <w:rsid w:val="00733193"/>
    <w:rsid w:val="00744DDA"/>
    <w:rsid w:val="00745E03"/>
    <w:rsid w:val="0075732A"/>
    <w:rsid w:val="007600F8"/>
    <w:rsid w:val="00760262"/>
    <w:rsid w:val="0076310C"/>
    <w:rsid w:val="0076744F"/>
    <w:rsid w:val="00767BCE"/>
    <w:rsid w:val="00767EFC"/>
    <w:rsid w:val="007707DE"/>
    <w:rsid w:val="00770B5D"/>
    <w:rsid w:val="007752F1"/>
    <w:rsid w:val="00776768"/>
    <w:rsid w:val="0078187A"/>
    <w:rsid w:val="00796FDF"/>
    <w:rsid w:val="007A2573"/>
    <w:rsid w:val="007B106C"/>
    <w:rsid w:val="007B1A4E"/>
    <w:rsid w:val="007B3D05"/>
    <w:rsid w:val="007B5503"/>
    <w:rsid w:val="007C179C"/>
    <w:rsid w:val="007C6BB3"/>
    <w:rsid w:val="007D14B4"/>
    <w:rsid w:val="007D3AD7"/>
    <w:rsid w:val="007E24F6"/>
    <w:rsid w:val="00800F64"/>
    <w:rsid w:val="00801050"/>
    <w:rsid w:val="00802F0B"/>
    <w:rsid w:val="00810A67"/>
    <w:rsid w:val="00833CF7"/>
    <w:rsid w:val="00834CDE"/>
    <w:rsid w:val="00842464"/>
    <w:rsid w:val="00845601"/>
    <w:rsid w:val="00855C5C"/>
    <w:rsid w:val="008A3C96"/>
    <w:rsid w:val="008B4019"/>
    <w:rsid w:val="008B65C9"/>
    <w:rsid w:val="008C2D4A"/>
    <w:rsid w:val="008D3900"/>
    <w:rsid w:val="008D6E1D"/>
    <w:rsid w:val="008F39B4"/>
    <w:rsid w:val="008F4162"/>
    <w:rsid w:val="00903E02"/>
    <w:rsid w:val="00913175"/>
    <w:rsid w:val="00916EDB"/>
    <w:rsid w:val="00920861"/>
    <w:rsid w:val="00922B13"/>
    <w:rsid w:val="009242EF"/>
    <w:rsid w:val="00932291"/>
    <w:rsid w:val="00932861"/>
    <w:rsid w:val="0093408E"/>
    <w:rsid w:val="00945EF9"/>
    <w:rsid w:val="00952DDF"/>
    <w:rsid w:val="00963B6A"/>
    <w:rsid w:val="00970950"/>
    <w:rsid w:val="009812D4"/>
    <w:rsid w:val="009920D8"/>
    <w:rsid w:val="009B38BE"/>
    <w:rsid w:val="009C3D0F"/>
    <w:rsid w:val="009E1B19"/>
    <w:rsid w:val="009E4BBB"/>
    <w:rsid w:val="009F35E2"/>
    <w:rsid w:val="009F65F9"/>
    <w:rsid w:val="009F68BA"/>
    <w:rsid w:val="00A06277"/>
    <w:rsid w:val="00A079DC"/>
    <w:rsid w:val="00A111C2"/>
    <w:rsid w:val="00A338E7"/>
    <w:rsid w:val="00A35CAA"/>
    <w:rsid w:val="00A36E7F"/>
    <w:rsid w:val="00A41E65"/>
    <w:rsid w:val="00A43E0A"/>
    <w:rsid w:val="00A530C7"/>
    <w:rsid w:val="00A55F5B"/>
    <w:rsid w:val="00A60185"/>
    <w:rsid w:val="00A661EA"/>
    <w:rsid w:val="00A830E5"/>
    <w:rsid w:val="00A87135"/>
    <w:rsid w:val="00A93280"/>
    <w:rsid w:val="00A951EA"/>
    <w:rsid w:val="00AA2548"/>
    <w:rsid w:val="00AA58C4"/>
    <w:rsid w:val="00AB11C8"/>
    <w:rsid w:val="00AC08A8"/>
    <w:rsid w:val="00AC5616"/>
    <w:rsid w:val="00AD56C8"/>
    <w:rsid w:val="00AD58F2"/>
    <w:rsid w:val="00B0512A"/>
    <w:rsid w:val="00B0529F"/>
    <w:rsid w:val="00B1418B"/>
    <w:rsid w:val="00B21195"/>
    <w:rsid w:val="00B24B22"/>
    <w:rsid w:val="00B25310"/>
    <w:rsid w:val="00B32F8F"/>
    <w:rsid w:val="00B54DE9"/>
    <w:rsid w:val="00B553EC"/>
    <w:rsid w:val="00B55E3F"/>
    <w:rsid w:val="00B93DD0"/>
    <w:rsid w:val="00B97732"/>
    <w:rsid w:val="00BA1F8D"/>
    <w:rsid w:val="00BA65A8"/>
    <w:rsid w:val="00BA6D19"/>
    <w:rsid w:val="00BA7461"/>
    <w:rsid w:val="00BA7DA9"/>
    <w:rsid w:val="00BC4215"/>
    <w:rsid w:val="00BD1A6F"/>
    <w:rsid w:val="00BE6D3C"/>
    <w:rsid w:val="00BE7852"/>
    <w:rsid w:val="00BF2C3E"/>
    <w:rsid w:val="00BF7CEE"/>
    <w:rsid w:val="00C03880"/>
    <w:rsid w:val="00C135CF"/>
    <w:rsid w:val="00C2683F"/>
    <w:rsid w:val="00C3184D"/>
    <w:rsid w:val="00C4714E"/>
    <w:rsid w:val="00C4719A"/>
    <w:rsid w:val="00C51CCA"/>
    <w:rsid w:val="00C5504F"/>
    <w:rsid w:val="00C552A6"/>
    <w:rsid w:val="00C57B55"/>
    <w:rsid w:val="00C63376"/>
    <w:rsid w:val="00C704EB"/>
    <w:rsid w:val="00C74F97"/>
    <w:rsid w:val="00C76102"/>
    <w:rsid w:val="00C8276E"/>
    <w:rsid w:val="00C842AC"/>
    <w:rsid w:val="00C96688"/>
    <w:rsid w:val="00CA0723"/>
    <w:rsid w:val="00CB1690"/>
    <w:rsid w:val="00CC4365"/>
    <w:rsid w:val="00CD11B0"/>
    <w:rsid w:val="00CE71C2"/>
    <w:rsid w:val="00CF42D5"/>
    <w:rsid w:val="00CF4EDA"/>
    <w:rsid w:val="00D021CB"/>
    <w:rsid w:val="00D10F1A"/>
    <w:rsid w:val="00D116F8"/>
    <w:rsid w:val="00D17596"/>
    <w:rsid w:val="00D22640"/>
    <w:rsid w:val="00D26D3A"/>
    <w:rsid w:val="00D3614F"/>
    <w:rsid w:val="00D45EE3"/>
    <w:rsid w:val="00D50618"/>
    <w:rsid w:val="00D509E9"/>
    <w:rsid w:val="00D53B1C"/>
    <w:rsid w:val="00DA1B12"/>
    <w:rsid w:val="00DA54C9"/>
    <w:rsid w:val="00DA6739"/>
    <w:rsid w:val="00DA6CAE"/>
    <w:rsid w:val="00DB1A9E"/>
    <w:rsid w:val="00DB31D6"/>
    <w:rsid w:val="00DB4005"/>
    <w:rsid w:val="00DC34EB"/>
    <w:rsid w:val="00DF1E5B"/>
    <w:rsid w:val="00DF2275"/>
    <w:rsid w:val="00DF3F5E"/>
    <w:rsid w:val="00DF5653"/>
    <w:rsid w:val="00E0596E"/>
    <w:rsid w:val="00E06F66"/>
    <w:rsid w:val="00E356E5"/>
    <w:rsid w:val="00E36F81"/>
    <w:rsid w:val="00E45765"/>
    <w:rsid w:val="00E5098C"/>
    <w:rsid w:val="00E60213"/>
    <w:rsid w:val="00E661B2"/>
    <w:rsid w:val="00E74D29"/>
    <w:rsid w:val="00E83C74"/>
    <w:rsid w:val="00E83CEE"/>
    <w:rsid w:val="00E91F18"/>
    <w:rsid w:val="00E9226D"/>
    <w:rsid w:val="00EA416C"/>
    <w:rsid w:val="00EA5941"/>
    <w:rsid w:val="00EB60CE"/>
    <w:rsid w:val="00EB7D53"/>
    <w:rsid w:val="00EE3146"/>
    <w:rsid w:val="00EF50BB"/>
    <w:rsid w:val="00EF53FF"/>
    <w:rsid w:val="00F00192"/>
    <w:rsid w:val="00F01DF6"/>
    <w:rsid w:val="00F0340D"/>
    <w:rsid w:val="00F059A6"/>
    <w:rsid w:val="00F23756"/>
    <w:rsid w:val="00F2523A"/>
    <w:rsid w:val="00F25FFA"/>
    <w:rsid w:val="00F310D2"/>
    <w:rsid w:val="00F36F3D"/>
    <w:rsid w:val="00F477BD"/>
    <w:rsid w:val="00F53491"/>
    <w:rsid w:val="00F65A1C"/>
    <w:rsid w:val="00F66F50"/>
    <w:rsid w:val="00F82FF8"/>
    <w:rsid w:val="00F8330D"/>
    <w:rsid w:val="00F84305"/>
    <w:rsid w:val="00F8485C"/>
    <w:rsid w:val="00F87149"/>
    <w:rsid w:val="00F87FFE"/>
    <w:rsid w:val="00F954C9"/>
    <w:rsid w:val="00FA4CF0"/>
    <w:rsid w:val="00FA61AA"/>
    <w:rsid w:val="00FA69A4"/>
    <w:rsid w:val="00FB1279"/>
    <w:rsid w:val="00FB1495"/>
    <w:rsid w:val="00FD1694"/>
    <w:rsid w:val="00FD7636"/>
    <w:rsid w:val="00FE3229"/>
    <w:rsid w:val="00FE74C3"/>
    <w:rsid w:val="00FF215C"/>
    <w:rsid w:val="00FF49E8"/>
    <w:rsid w:val="00FF672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semiHidden="0" w:unhideWhenUsed="0"/>
    <w:lsdException w:name="List Bullet" w:qFormat="1"/>
    <w:lsdException w:name="List Number" w:semiHidden="0" w:unhideWhenUsed="0" w:qFormat="1"/>
    <w:lsdException w:name="List Number 2" w:semiHidden="0" w:unhideWhenUsed="0"/>
    <w:lsdException w:name="List Number 3" w:semiHidden="0" w:unhideWhenUsed="0"/>
    <w:lsdException w:name="List Number 4" w:semiHidden="0" w:unhideWhenUsed="0"/>
    <w:lsdException w:name="List Number 5" w:semiHidden="0" w:unhideWhenUsed="0"/>
    <w:lsdException w:name="Title" w:uiPriority="10" w:qFormat="1"/>
    <w:lsdException w:name="Default Paragraph Font" w:uiPriority="1"/>
    <w:lsdException w:name="List Continue" w:semiHidden="0" w:unhideWhenUsed="0"/>
    <w:lsdException w:name="Subtitle" w:uiPriority="11" w:qFormat="1"/>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C704EB"/>
    <w:pPr>
      <w:spacing w:before="120"/>
    </w:pPr>
    <w:rPr>
      <w:rFonts w:ascii="Tahoma" w:eastAsia="MS Mincho" w:hAnsi="Tahoma"/>
      <w:szCs w:val="24"/>
      <w:lang w:eastAsia="ja-JP"/>
    </w:rPr>
  </w:style>
  <w:style w:type="paragraph" w:styleId="Heading1">
    <w:name w:val="heading 1"/>
    <w:basedOn w:val="Normal"/>
    <w:next w:val="Normal"/>
    <w:link w:val="Heading1Char"/>
    <w:qFormat/>
    <w:rsid w:val="00C51CCA"/>
    <w:pPr>
      <w:keepNext/>
      <w:outlineLvl w:val="0"/>
    </w:pPr>
    <w:rPr>
      <w:rFonts w:cs="Arial"/>
      <w:b/>
      <w:caps/>
    </w:rPr>
  </w:style>
  <w:style w:type="paragraph" w:styleId="Heading2">
    <w:name w:val="heading 2"/>
    <w:basedOn w:val="Normal"/>
    <w:next w:val="Normal"/>
    <w:link w:val="Heading2Char"/>
    <w:uiPriority w:val="9"/>
    <w:qFormat/>
    <w:rsid w:val="000E31C1"/>
    <w:pPr>
      <w:keepNext/>
      <w:outlineLvl w:val="1"/>
    </w:pPr>
    <w:rPr>
      <w:rFonts w:cs="Arial"/>
      <w:b/>
    </w:rPr>
  </w:style>
  <w:style w:type="paragraph" w:styleId="Heading3">
    <w:name w:val="heading 3"/>
    <w:basedOn w:val="Normal"/>
    <w:next w:val="Normal"/>
    <w:link w:val="Heading3Char"/>
    <w:qFormat/>
    <w:rsid w:val="000E31C1"/>
    <w:pPr>
      <w:keepNext/>
      <w:outlineLvl w:val="2"/>
    </w:pPr>
    <w:rPr>
      <w:rFonts w:cs="Arial"/>
      <w:b/>
      <w:i/>
    </w:rPr>
  </w:style>
  <w:style w:type="paragraph" w:styleId="Heading4">
    <w:name w:val="heading 4"/>
    <w:basedOn w:val="Normal"/>
    <w:next w:val="Normal"/>
    <w:link w:val="Heading4Char"/>
    <w:uiPriority w:val="9"/>
    <w:qFormat/>
    <w:rsid w:val="000E31C1"/>
    <w:pPr>
      <w:keepNext/>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rsid w:val="00A60185"/>
    <w:pPr>
      <w:tabs>
        <w:tab w:val="center" w:pos="4513"/>
        <w:tab w:val="right" w:pos="9026"/>
      </w:tabs>
    </w:pPr>
  </w:style>
  <w:style w:type="character" w:customStyle="1" w:styleId="FooterChar">
    <w:name w:val="Footer Char"/>
    <w:basedOn w:val="DefaultParagraphFont"/>
    <w:link w:val="Footer"/>
    <w:uiPriority w:val="99"/>
    <w:rsid w:val="00A60185"/>
  </w:style>
  <w:style w:type="paragraph" w:styleId="BalloonText">
    <w:name w:val="Balloon Text"/>
    <w:basedOn w:val="Normal"/>
    <w:link w:val="BalloonTextChar"/>
    <w:uiPriority w:val="99"/>
    <w:semiHidden/>
    <w:unhideWhenUsed/>
    <w:rsid w:val="00A60185"/>
    <w:rPr>
      <w:rFonts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3"/>
      </w:numPr>
    </w:pPr>
  </w:style>
  <w:style w:type="paragraph" w:customStyle="1" w:styleId="1BulletStyleList">
    <w:name w:val="1. Bullet Style List"/>
    <w:basedOn w:val="Normal"/>
    <w:rsid w:val="00CE71C2"/>
    <w:rPr>
      <w:rFonts w:eastAsia="Times New Roman"/>
      <w:szCs w:val="20"/>
      <w:lang w:eastAsia="en-AU"/>
    </w:rPr>
  </w:style>
  <w:style w:type="character" w:customStyle="1" w:styleId="Heading1Char">
    <w:name w:val="Heading 1 Char"/>
    <w:basedOn w:val="DefaultParagraphFont"/>
    <w:link w:val="Heading1"/>
    <w:rsid w:val="00C51CCA"/>
    <w:rPr>
      <w:rFonts w:cs="Arial"/>
      <w:b/>
      <w:caps/>
      <w:sz w:val="22"/>
      <w:szCs w:val="22"/>
      <w:lang w:eastAsia="en-US"/>
    </w:rPr>
  </w:style>
  <w:style w:type="character" w:customStyle="1" w:styleId="Heading2Char">
    <w:name w:val="Heading 2 Char"/>
    <w:basedOn w:val="DefaultParagraphFont"/>
    <w:link w:val="Heading2"/>
    <w:uiPriority w:val="9"/>
    <w:rsid w:val="000E31C1"/>
    <w:rPr>
      <w:rFonts w:cs="Arial"/>
      <w:b/>
      <w:sz w:val="22"/>
      <w:szCs w:val="22"/>
      <w:lang w:eastAsia="en-US"/>
    </w:rPr>
  </w:style>
  <w:style w:type="character" w:customStyle="1" w:styleId="Heading3Char">
    <w:name w:val="Heading 3 Char"/>
    <w:basedOn w:val="DefaultParagraphFont"/>
    <w:link w:val="Heading3"/>
    <w:rsid w:val="000E31C1"/>
    <w:rPr>
      <w:rFonts w:cs="Arial"/>
      <w:b/>
      <w:i/>
      <w:sz w:val="22"/>
      <w:szCs w:val="22"/>
      <w:lang w:eastAsia="en-US"/>
    </w:rPr>
  </w:style>
  <w:style w:type="character" w:customStyle="1" w:styleId="Heading4Char">
    <w:name w:val="Heading 4 Char"/>
    <w:basedOn w:val="DefaultParagraphFont"/>
    <w:link w:val="Heading4"/>
    <w:uiPriority w:val="9"/>
    <w:rsid w:val="000E31C1"/>
    <w:rPr>
      <w:rFonts w:cs="Arial"/>
      <w:i/>
      <w:sz w:val="22"/>
      <w:szCs w:val="22"/>
      <w:lang w:eastAsia="en-US"/>
    </w:rPr>
  </w:style>
  <w:style w:type="paragraph" w:styleId="ListBullet">
    <w:name w:val="List Bullet"/>
    <w:basedOn w:val="Normal"/>
    <w:uiPriority w:val="99"/>
    <w:unhideWhenUsed/>
    <w:qFormat/>
    <w:rsid w:val="00091608"/>
    <w:pPr>
      <w:numPr>
        <w:numId w:val="48"/>
      </w:numPr>
    </w:pPr>
  </w:style>
  <w:style w:type="paragraph" w:styleId="ListBullet2">
    <w:name w:val="List Bullet 2"/>
    <w:basedOn w:val="Normal"/>
    <w:uiPriority w:val="99"/>
    <w:unhideWhenUsed/>
    <w:rsid w:val="00091608"/>
    <w:pPr>
      <w:numPr>
        <w:ilvl w:val="1"/>
        <w:numId w:val="48"/>
      </w:numPr>
    </w:pPr>
  </w:style>
  <w:style w:type="paragraph" w:styleId="ListBullet3">
    <w:name w:val="List Bullet 3"/>
    <w:basedOn w:val="Normal"/>
    <w:uiPriority w:val="99"/>
    <w:unhideWhenUsed/>
    <w:rsid w:val="00091608"/>
    <w:pPr>
      <w:numPr>
        <w:ilvl w:val="2"/>
        <w:numId w:val="48"/>
      </w:numPr>
    </w:pPr>
  </w:style>
  <w:style w:type="paragraph" w:styleId="ListBullet4">
    <w:name w:val="List Bullet 4"/>
    <w:basedOn w:val="Normal"/>
    <w:uiPriority w:val="99"/>
    <w:unhideWhenUsed/>
    <w:rsid w:val="00091608"/>
    <w:pPr>
      <w:numPr>
        <w:ilvl w:val="3"/>
        <w:numId w:val="48"/>
      </w:numPr>
    </w:pPr>
  </w:style>
  <w:style w:type="paragraph" w:styleId="ListBullet5">
    <w:name w:val="List Bullet 5"/>
    <w:basedOn w:val="Normal"/>
    <w:uiPriority w:val="99"/>
    <w:unhideWhenUsed/>
    <w:rsid w:val="00091608"/>
    <w:pPr>
      <w:numPr>
        <w:ilvl w:val="4"/>
        <w:numId w:val="48"/>
      </w:numPr>
    </w:pPr>
  </w:style>
  <w:style w:type="numbering" w:customStyle="1" w:styleId="Attach">
    <w:name w:val="Attach"/>
    <w:basedOn w:val="NoList"/>
    <w:uiPriority w:val="99"/>
    <w:rsid w:val="00607FC9"/>
    <w:pPr>
      <w:numPr>
        <w:numId w:val="14"/>
      </w:numPr>
    </w:pPr>
  </w:style>
  <w:style w:type="paragraph" w:customStyle="1" w:styleId="Classification">
    <w:name w:val="Classification"/>
    <w:basedOn w:val="Normal"/>
    <w:uiPriority w:val="10"/>
    <w:qFormat/>
    <w:rsid w:val="00646122"/>
    <w:pPr>
      <w:tabs>
        <w:tab w:val="center" w:pos="4536"/>
        <w:tab w:val="center" w:pos="4819"/>
        <w:tab w:val="right" w:pos="9356"/>
      </w:tabs>
      <w:spacing w:after="240"/>
      <w:jc w:val="center"/>
    </w:pPr>
    <w:rPr>
      <w:rFonts w:eastAsia="Times New Roman" w:cs="Arial"/>
      <w:color w:val="FF0000"/>
      <w:sz w:val="28"/>
      <w:szCs w:val="28"/>
      <w:lang w:eastAsia="en-AU"/>
    </w:rPr>
  </w:style>
  <w:style w:type="paragraph" w:styleId="ListParagraph">
    <w:name w:val="List Paragraph"/>
    <w:basedOn w:val="Normal"/>
    <w:uiPriority w:val="34"/>
    <w:rsid w:val="003556BD"/>
    <w:pPr>
      <w:numPr>
        <w:numId w:val="39"/>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005CAA"/>
    <w:pPr>
      <w:numPr>
        <w:numId w:val="47"/>
      </w:numPr>
    </w:pPr>
  </w:style>
  <w:style w:type="paragraph" w:styleId="ListNumber2">
    <w:name w:val="List Number 2"/>
    <w:basedOn w:val="Normal"/>
    <w:uiPriority w:val="99"/>
    <w:rsid w:val="00005CAA"/>
    <w:pPr>
      <w:numPr>
        <w:ilvl w:val="1"/>
        <w:numId w:val="47"/>
      </w:numPr>
    </w:pPr>
  </w:style>
  <w:style w:type="paragraph" w:styleId="ListNumber3">
    <w:name w:val="List Number 3"/>
    <w:basedOn w:val="Normal"/>
    <w:uiPriority w:val="99"/>
    <w:rsid w:val="00005CAA"/>
    <w:pPr>
      <w:numPr>
        <w:ilvl w:val="2"/>
        <w:numId w:val="47"/>
      </w:numPr>
    </w:pPr>
  </w:style>
  <w:style w:type="paragraph" w:styleId="ListNumber4">
    <w:name w:val="List Number 4"/>
    <w:basedOn w:val="Normal"/>
    <w:uiPriority w:val="99"/>
    <w:rsid w:val="00005CAA"/>
    <w:pPr>
      <w:numPr>
        <w:ilvl w:val="3"/>
        <w:numId w:val="47"/>
      </w:numPr>
    </w:pPr>
  </w:style>
  <w:style w:type="paragraph" w:styleId="ListNumber5">
    <w:name w:val="List Number 5"/>
    <w:basedOn w:val="Normal"/>
    <w:uiPriority w:val="99"/>
    <w:rsid w:val="00005CAA"/>
    <w:pPr>
      <w:numPr>
        <w:ilvl w:val="4"/>
        <w:numId w:val="47"/>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5A126E"/>
  </w:style>
  <w:style w:type="paragraph" w:customStyle="1" w:styleId="Classificationsensitivity">
    <w:name w:val="Classification sensitivity"/>
    <w:basedOn w:val="Classification"/>
    <w:rsid w:val="002C5813"/>
    <w:rPr>
      <w:sz w:val="22"/>
    </w:rPr>
  </w:style>
  <w:style w:type="character" w:styleId="Hyperlink">
    <w:name w:val="Hyperlink"/>
    <w:basedOn w:val="DefaultParagraphFont"/>
    <w:uiPriority w:val="99"/>
    <w:semiHidden/>
    <w:unhideWhenUsed/>
    <w:rsid w:val="00C704EB"/>
    <w:rPr>
      <w:color w:val="0000FF"/>
      <w:u w:val="single"/>
    </w:rPr>
  </w:style>
  <w:style w:type="paragraph" w:styleId="TOC1">
    <w:name w:val="toc 1"/>
    <w:basedOn w:val="Normal"/>
    <w:next w:val="Normal"/>
    <w:autoRedefine/>
    <w:uiPriority w:val="39"/>
    <w:semiHidden/>
    <w:unhideWhenUsed/>
    <w:rsid w:val="00C704EB"/>
  </w:style>
  <w:style w:type="paragraph" w:styleId="TOC2">
    <w:name w:val="toc 2"/>
    <w:basedOn w:val="Normal"/>
    <w:next w:val="Normal"/>
    <w:autoRedefine/>
    <w:uiPriority w:val="39"/>
    <w:semiHidden/>
    <w:unhideWhenUsed/>
    <w:rsid w:val="00C704EB"/>
    <w:pPr>
      <w:ind w:left="200"/>
    </w:pPr>
  </w:style>
  <w:style w:type="paragraph" w:styleId="TOC3">
    <w:name w:val="toc 3"/>
    <w:basedOn w:val="Normal"/>
    <w:next w:val="Normal"/>
    <w:autoRedefine/>
    <w:uiPriority w:val="39"/>
    <w:semiHidden/>
    <w:unhideWhenUsed/>
    <w:rsid w:val="00C704EB"/>
    <w:pPr>
      <w:ind w:left="400"/>
    </w:pPr>
  </w:style>
  <w:style w:type="paragraph" w:styleId="TOCHeading">
    <w:name w:val="TOC Heading"/>
    <w:basedOn w:val="Heading1"/>
    <w:next w:val="Normal"/>
    <w:uiPriority w:val="39"/>
    <w:semiHidden/>
    <w:unhideWhenUsed/>
    <w:qFormat/>
    <w:rsid w:val="00C704EB"/>
    <w:pPr>
      <w:keepLines/>
      <w:spacing w:before="480"/>
      <w:outlineLvl w:val="9"/>
    </w:pPr>
    <w:rPr>
      <w:rFonts w:ascii="Cambria" w:eastAsia="Times New Roman" w:hAnsi="Cambria" w:cs="Times New Roman"/>
      <w:bCs/>
      <w:caps w:val="0"/>
      <w:color w:val="365F91"/>
      <w:sz w:val="28"/>
      <w:szCs w:val="28"/>
      <w:lang w:val="en-US"/>
    </w:rPr>
  </w:style>
  <w:style w:type="paragraph" w:customStyle="1" w:styleId="title">
    <w:name w:val="title"/>
    <w:basedOn w:val="Normal"/>
    <w:rsid w:val="00C704EB"/>
    <w:rPr>
      <w:sz w:val="52"/>
    </w:rPr>
  </w:style>
  <w:style w:type="character" w:customStyle="1" w:styleId="headingsectionChar">
    <w:name w:val="heading section Char"/>
    <w:basedOn w:val="DefaultParagraphFont"/>
    <w:link w:val="headingsection"/>
    <w:locked/>
    <w:rsid w:val="00C704EB"/>
    <w:rPr>
      <w:rFonts w:ascii="Tahoma" w:eastAsia="MS Mincho" w:hAnsi="Tahoma" w:cs="Tahoma"/>
      <w:b/>
      <w:bCs/>
      <w:kern w:val="32"/>
      <w:sz w:val="40"/>
      <w:szCs w:val="40"/>
      <w:lang w:eastAsia="ja-JP"/>
    </w:rPr>
  </w:style>
  <w:style w:type="paragraph" w:customStyle="1" w:styleId="headingsection">
    <w:name w:val="heading section"/>
    <w:link w:val="headingsectionChar"/>
    <w:rsid w:val="00C704EB"/>
    <w:rPr>
      <w:rFonts w:ascii="Tahoma" w:eastAsia="MS Mincho" w:hAnsi="Tahoma" w:cs="Tahoma"/>
      <w:b/>
      <w:bCs/>
      <w:kern w:val="32"/>
      <w:sz w:val="40"/>
      <w:szCs w:val="40"/>
      <w:lang w:eastAsia="ja-JP"/>
    </w:rPr>
  </w:style>
  <w:style w:type="character" w:customStyle="1" w:styleId="EAB1Char">
    <w:name w:val="EAB 1 Char"/>
    <w:basedOn w:val="DefaultParagraphFont"/>
    <w:link w:val="EAB1"/>
    <w:locked/>
    <w:rsid w:val="00C704EB"/>
    <w:rPr>
      <w:rFonts w:ascii="Tahoma" w:eastAsiaTheme="majorEastAsia" w:hAnsi="Tahoma" w:cs="Tahoma"/>
      <w:b/>
      <w:bCs/>
      <w:i/>
      <w:iCs/>
      <w:color w:val="4F81BD" w:themeColor="accent1"/>
      <w:sz w:val="24"/>
      <w:szCs w:val="24"/>
      <w:lang w:eastAsia="ja-JP"/>
    </w:rPr>
  </w:style>
  <w:style w:type="paragraph" w:customStyle="1" w:styleId="EAB1">
    <w:name w:val="EAB 1"/>
    <w:basedOn w:val="Heading2"/>
    <w:link w:val="EAB1Char"/>
    <w:qFormat/>
    <w:rsid w:val="00C704EB"/>
    <w:pPr>
      <w:spacing w:before="240" w:after="60"/>
    </w:pPr>
    <w:rPr>
      <w:rFonts w:eastAsiaTheme="majorEastAsia" w:cs="Tahoma"/>
      <w:bCs/>
      <w:i/>
      <w:iCs/>
      <w:color w:val="4F81BD" w:themeColor="accent1"/>
      <w:sz w:val="24"/>
    </w:rPr>
  </w:style>
  <w:style w:type="character" w:customStyle="1" w:styleId="EAB2Char">
    <w:name w:val="EAB2 Char"/>
    <w:basedOn w:val="Heading3Char"/>
    <w:link w:val="EAB2"/>
    <w:locked/>
    <w:rsid w:val="00C704EB"/>
    <w:rPr>
      <w:rFonts w:ascii="Tahoma" w:eastAsia="Times New Roman" w:hAnsi="Tahoma" w:cs="Tahoma"/>
      <w:b/>
      <w:bCs/>
      <w:sz w:val="24"/>
      <w:szCs w:val="26"/>
      <w:lang w:eastAsia="ja-JP"/>
    </w:rPr>
  </w:style>
  <w:style w:type="paragraph" w:customStyle="1" w:styleId="EAB2">
    <w:name w:val="EAB2"/>
    <w:basedOn w:val="Heading3"/>
    <w:link w:val="EAB2Char"/>
    <w:qFormat/>
    <w:rsid w:val="00C704EB"/>
    <w:pPr>
      <w:spacing w:before="240" w:after="60"/>
    </w:pPr>
    <w:rPr>
      <w:rFonts w:eastAsia="Times New Roman" w:cs="Tahoma"/>
      <w:bCs/>
      <w:i w:val="0"/>
      <w:sz w:val="24"/>
      <w:szCs w:val="26"/>
    </w:rPr>
  </w:style>
</w:styles>
</file>

<file path=word/webSettings.xml><?xml version="1.0" encoding="utf-8"?>
<w:webSettings xmlns:r="http://schemas.openxmlformats.org/officeDocument/2006/relationships" xmlns:w="http://schemas.openxmlformats.org/wordprocessingml/2006/main">
  <w:divs>
    <w:div w:id="166602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vironment.gov.au/epbc/publications/pubs/guidance-note-3-definition-of-action.docx" TargetMode="External"/><Relationship Id="rId18" Type="http://schemas.openxmlformats.org/officeDocument/2006/relationships/hyperlink" Target="http://www.environment.gov.au/epbc/publications/pubs/guidance-note-3-definition-of-action.docx"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www.environment.gov.au/epbc/publications/pubs/guidance-note-3-definition-of-action.docx" TargetMode="External"/><Relationship Id="rId7" Type="http://schemas.openxmlformats.org/officeDocument/2006/relationships/settings" Target="settings.xml"/><Relationship Id="rId12" Type="http://schemas.openxmlformats.org/officeDocument/2006/relationships/hyperlink" Target="http://www.environment.gov.au/epbc/publications/pubs/guidance-note-3-definition-of-action.docx" TargetMode="External"/><Relationship Id="rId17" Type="http://schemas.openxmlformats.org/officeDocument/2006/relationships/hyperlink" Target="http://www.environment.gov.au/epbc/publications/pubs/guidance-note-3-definition-of-action.docx"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environment.gov.au/epbc/publications/pubs/guidance-note-3-definition-of-action.docx" TargetMode="External"/><Relationship Id="rId20" Type="http://schemas.openxmlformats.org/officeDocument/2006/relationships/hyperlink" Target="http://www.environment.gov.au/epbc/publications/pubs/guidance-note-3-definition-of-action.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vironment.gov.au/epbc/publications/pubs/guidance-note-3-definition-of-action.docx"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environment.gov.au/epbc/publications/pubs/guidance-note-3-definition-of-action.docx"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environment.gov.au/epbc/publications/pubs/guidance-note-3-definition-of-action.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nvironment.gov.au/epbc/publications/pubs/guidance-note-3-definition-of-action.docx"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Departmental_x0020_Keywords xmlns="94e070df-f2d7-4164-8c33-edbc83da752d" xsi:nil="true"/>
    <Keywords1 xmlns="d3d3a9f2-d6b9-4ac6-938b-c1d69a470220"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CCFDE829610E747A8B1C44A08AE0B0B" ma:contentTypeVersion="9" ma:contentTypeDescription="Create a new document." ma:contentTypeScope="" ma:versionID="d09eea2a8e8698ecfc0c782480046285">
  <xsd:schema xmlns:xsd="http://www.w3.org/2001/XMLSchema" xmlns:xs="http://www.w3.org/2001/XMLSchema" xmlns:p="http://schemas.microsoft.com/office/2006/metadata/properties" xmlns:ns2="94e070df-f2d7-4164-8c33-edbc83da752d" xmlns:ns3="d3d3a9f2-d6b9-4ac6-938b-c1d69a470220" targetNamespace="http://schemas.microsoft.com/office/2006/metadata/properties" ma:root="true" ma:fieldsID="cb9376840c0f170640048030a0fa3fd6" ns2:_="" ns3:_="">
    <xsd:import namespace="94e070df-f2d7-4164-8c33-edbc83da752d"/>
    <xsd:import namespace="d3d3a9f2-d6b9-4ac6-938b-c1d69a470220"/>
    <xsd:element name="properties">
      <xsd:complexType>
        <xsd:sequence>
          <xsd:element name="documentManagement">
            <xsd:complexType>
              <xsd:all>
                <xsd:element ref="ns2:Departmental_x0020_Keywords" minOccurs="0"/>
                <xsd:element ref="ns3:Keywords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e070df-f2d7-4164-8c33-edbc83da752d" elementFormDefault="qualified">
    <xsd:import namespace="http://schemas.microsoft.com/office/2006/documentManagement/types"/>
    <xsd:import namespace="http://schemas.microsoft.com/office/infopath/2007/PartnerControls"/>
    <xsd:element name="Departmental_x0020_Keywords" ma:index="8" nillable="true" ma:displayName="Departmental Keywords" ma:internalName="Departmental_x0020_Keyword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3d3a9f2-d6b9-4ac6-938b-c1d69a470220" elementFormDefault="qualified">
    <xsd:import namespace="http://schemas.microsoft.com/office/2006/documentManagement/types"/>
    <xsd:import namespace="http://schemas.microsoft.com/office/infopath/2007/PartnerControls"/>
    <xsd:element name="Keywords1" ma:index="9" nillable="true" ma:displayName="Category keywords" ma:default="" ma:internalName="Keywords1" ma:readOnly="fals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ma:index="10" ma:displayName="Comments"/>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39E57-FC39-4C66-BEA5-6F17030C41BC}">
  <ds:schemaRefs>
    <ds:schemaRef ds:uri="http://schemas.microsoft.com/sharepoint/v3/contenttype/forms"/>
  </ds:schemaRefs>
</ds:datastoreItem>
</file>

<file path=customXml/itemProps2.xml><?xml version="1.0" encoding="utf-8"?>
<ds:datastoreItem xmlns:ds="http://schemas.openxmlformats.org/officeDocument/2006/customXml" ds:itemID="{9BAD3DB7-147D-407B-B034-A63C38F3EB9D}">
  <ds:schemaRefs>
    <ds:schemaRef ds:uri="http://schemas.microsoft.com/office/2006/metadata/properties"/>
    <ds:schemaRef ds:uri="94e070df-f2d7-4164-8c33-edbc83da752d"/>
    <ds:schemaRef ds:uri="d3d3a9f2-d6b9-4ac6-938b-c1d69a470220"/>
  </ds:schemaRefs>
</ds:datastoreItem>
</file>

<file path=customXml/itemProps3.xml><?xml version="1.0" encoding="utf-8"?>
<ds:datastoreItem xmlns:ds="http://schemas.openxmlformats.org/officeDocument/2006/customXml" ds:itemID="{FE5CDB15-4804-4A75-9EAE-FBED1B0F44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e070df-f2d7-4164-8c33-edbc83da752d"/>
    <ds:schemaRef ds:uri="d3d3a9f2-d6b9-4ac6-938b-c1d69a4702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457AD2-B254-450E-AA2A-B4E7C8C63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1676</Words>
  <Characters>9555</Characters>
  <Application>Microsoft Office Word</Application>
  <DocSecurity>4</DocSecurity>
  <Lines>79</Lines>
  <Paragraphs>22</Paragraphs>
  <ScaleCrop>false</ScaleCrop>
  <HeadingPairs>
    <vt:vector size="2" baseType="variant">
      <vt:variant>
        <vt:lpstr>Title</vt:lpstr>
      </vt:variant>
      <vt:variant>
        <vt:i4>1</vt:i4>
      </vt:variant>
    </vt:vector>
  </HeadingPairs>
  <TitlesOfParts>
    <vt:vector size="1" baseType="lpstr">
      <vt:lpstr>Blank document</vt:lpstr>
    </vt:vector>
  </TitlesOfParts>
  <Company>DEWHA</Company>
  <LinksUpToDate>false</LinksUpToDate>
  <CharactersWithSpaces>11209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EPBC Policy Statement - Definition of ‘action’: Section 523, section 524, and section 524A of the EPBC Act</dc:title>
  <dc:creator>A16474</dc:creator>
  <cp:lastModifiedBy>Rebecca Durack</cp:lastModifiedBy>
  <cp:revision>2</cp:revision>
  <dcterms:created xsi:type="dcterms:W3CDTF">2013-07-02T05:28:00Z</dcterms:created>
  <dcterms:modified xsi:type="dcterms:W3CDTF">2013-07-02T05:28:00Z</dcterms:modified>
</cp:coreProperties>
</file>