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664" w:rsidRDefault="00AB1664" w:rsidP="00AB1664">
      <w:pPr>
        <w:pStyle w:val="title0"/>
      </w:pPr>
      <w:bookmarkStart w:id="0" w:name="_Toc159315372"/>
      <w:bookmarkStart w:id="1" w:name="_Toc159400730"/>
      <w:bookmarkStart w:id="2" w:name="_Toc159401135"/>
      <w:bookmarkStart w:id="3" w:name="_Toc159401311"/>
    </w:p>
    <w:p w:rsidR="00904C7A" w:rsidRPr="00AB1664" w:rsidRDefault="00904C7A" w:rsidP="00AB1664">
      <w:pPr>
        <w:pStyle w:val="title0"/>
        <w:jc w:val="center"/>
        <w:rPr>
          <w:b/>
        </w:rPr>
      </w:pPr>
      <w:r w:rsidRPr="00AB1664">
        <w:rPr>
          <w:b/>
        </w:rPr>
        <w:t>Environment Protection and Biodiversity Conservation Act</w:t>
      </w:r>
      <w:bookmarkEnd w:id="0"/>
      <w:bookmarkEnd w:id="1"/>
      <w:bookmarkEnd w:id="2"/>
      <w:bookmarkEnd w:id="3"/>
      <w:r w:rsidRPr="00AB1664">
        <w:rPr>
          <w:b/>
        </w:rPr>
        <w:t xml:space="preserve"> 1999 (</w:t>
      </w:r>
      <w:proofErr w:type="spellStart"/>
      <w:r w:rsidRPr="00AB1664">
        <w:rPr>
          <w:b/>
        </w:rPr>
        <w:t>Cth</w:t>
      </w:r>
      <w:proofErr w:type="spellEnd"/>
      <w:r w:rsidRPr="00AB1664">
        <w:rPr>
          <w:b/>
        </w:rPr>
        <w:t>)</w:t>
      </w:r>
    </w:p>
    <w:p w:rsidR="00700546" w:rsidRPr="00AB1664" w:rsidRDefault="00700546" w:rsidP="00AB1664">
      <w:pPr>
        <w:pStyle w:val="title0"/>
      </w:pPr>
    </w:p>
    <w:p w:rsidR="00904C7A" w:rsidRPr="00AB1664" w:rsidRDefault="00060393" w:rsidP="00AB1664">
      <w:pPr>
        <w:pStyle w:val="title0"/>
        <w:jc w:val="center"/>
      </w:pPr>
      <w:r>
        <w:t>Policy Statement</w:t>
      </w:r>
    </w:p>
    <w:p w:rsidR="00700546" w:rsidRPr="00AB1664" w:rsidRDefault="00700546" w:rsidP="00AB1664">
      <w:pPr>
        <w:pStyle w:val="title0"/>
        <w:jc w:val="center"/>
      </w:pPr>
    </w:p>
    <w:p w:rsidR="00904C7A" w:rsidRPr="00AB1664" w:rsidRDefault="00904C7A" w:rsidP="00AB1664">
      <w:pPr>
        <w:pStyle w:val="title0"/>
        <w:jc w:val="center"/>
      </w:pPr>
      <w:r w:rsidRPr="00AB1664">
        <w:t xml:space="preserve">Consideration of a Person’s Environmental History </w:t>
      </w:r>
      <w:r w:rsidR="00051B54" w:rsidRPr="00AB1664">
        <w:t>when making</w:t>
      </w:r>
      <w:r w:rsidRPr="00AB1664">
        <w:t xml:space="preserve"> Decisions under the EPBC Act</w:t>
      </w:r>
    </w:p>
    <w:p w:rsidR="00904C7A" w:rsidRDefault="00904C7A" w:rsidP="00AB1664"/>
    <w:p w:rsidR="00700546" w:rsidRDefault="00700546" w:rsidP="00AB1664"/>
    <w:p w:rsidR="00700546" w:rsidRPr="00AB1664" w:rsidRDefault="00700546" w:rsidP="00AB1664">
      <w:pPr>
        <w:pStyle w:val="Heading2"/>
      </w:pPr>
    </w:p>
    <w:p w:rsidR="00904C7A" w:rsidRPr="00AB1664" w:rsidRDefault="00904C7A" w:rsidP="00AB1664">
      <w:pPr>
        <w:sectPr w:rsidR="00904C7A" w:rsidRPr="00AB1664" w:rsidSect="001B36C6">
          <w:footerReference w:type="default" r:id="rId11"/>
          <w:footerReference w:type="first" r:id="rId12"/>
          <w:pgSz w:w="16838" w:h="11906" w:orient="landscape" w:code="9"/>
          <w:pgMar w:top="720" w:right="1440" w:bottom="1440" w:left="1440" w:header="709" w:footer="709" w:gutter="0"/>
          <w:pgNumType w:start="1"/>
          <w:cols w:space="709"/>
          <w:titlePg/>
          <w:docGrid w:linePitch="360"/>
        </w:sectPr>
      </w:pPr>
    </w:p>
    <w:p w:rsidR="00904C7A" w:rsidRPr="00904C7A" w:rsidRDefault="00904C7A" w:rsidP="00AB1664">
      <w:pPr>
        <w:pStyle w:val="TOCHeading"/>
      </w:pPr>
      <w:r w:rsidRPr="00904C7A">
        <w:lastRenderedPageBreak/>
        <w:t>Contents</w:t>
      </w:r>
    </w:p>
    <w:p w:rsidR="00DF18D6" w:rsidRPr="00DF18D6" w:rsidRDefault="00D15A0B" w:rsidP="00AB1664">
      <w:pPr>
        <w:pStyle w:val="TOC1"/>
        <w:rPr>
          <w:rFonts w:eastAsiaTheme="minorEastAsia"/>
          <w:noProof/>
          <w:sz w:val="22"/>
          <w:szCs w:val="22"/>
          <w:lang w:val="en-AU" w:eastAsia="en-AU" w:bidi="ar-SA"/>
        </w:rPr>
      </w:pPr>
      <w:r w:rsidRPr="00D15A0B">
        <w:rPr>
          <w:sz w:val="22"/>
          <w:szCs w:val="22"/>
        </w:rPr>
        <w:fldChar w:fldCharType="begin"/>
      </w:r>
      <w:r w:rsidR="00904C7A" w:rsidRPr="00DF18D6">
        <w:rPr>
          <w:sz w:val="22"/>
          <w:szCs w:val="22"/>
        </w:rPr>
        <w:instrText xml:space="preserve"> TOC \o "1-3" \h \z \u </w:instrText>
      </w:r>
      <w:r w:rsidRPr="00D15A0B">
        <w:rPr>
          <w:sz w:val="22"/>
          <w:szCs w:val="22"/>
        </w:rPr>
        <w:fldChar w:fldCharType="separate"/>
      </w:r>
      <w:hyperlink w:anchor="_Toc335724787" w:history="1">
        <w:r w:rsidR="00DF18D6" w:rsidRPr="00DF18D6">
          <w:rPr>
            <w:rStyle w:val="Hyperlink"/>
            <w:noProof/>
          </w:rPr>
          <w:t>Overview</w:t>
        </w:r>
        <w:r w:rsidR="00DF18D6" w:rsidRPr="00DF18D6">
          <w:rPr>
            <w:noProof/>
            <w:webHidden/>
          </w:rPr>
          <w:tab/>
        </w:r>
        <w:r w:rsidRPr="00DF18D6">
          <w:rPr>
            <w:noProof/>
            <w:webHidden/>
          </w:rPr>
          <w:fldChar w:fldCharType="begin"/>
        </w:r>
        <w:r w:rsidR="00DF18D6" w:rsidRPr="00DF18D6">
          <w:rPr>
            <w:noProof/>
            <w:webHidden/>
          </w:rPr>
          <w:instrText xml:space="preserve"> PAGEREF _Toc335724787 \h </w:instrText>
        </w:r>
        <w:r w:rsidRPr="00DF18D6">
          <w:rPr>
            <w:noProof/>
            <w:webHidden/>
          </w:rPr>
        </w:r>
        <w:r w:rsidRPr="00DF18D6">
          <w:rPr>
            <w:noProof/>
            <w:webHidden/>
          </w:rPr>
          <w:fldChar w:fldCharType="separate"/>
        </w:r>
        <w:r w:rsidR="00700CDF">
          <w:rPr>
            <w:noProof/>
            <w:webHidden/>
          </w:rPr>
          <w:t>1</w:t>
        </w:r>
        <w:r w:rsidRPr="00DF18D6">
          <w:rPr>
            <w:noProof/>
            <w:webHidden/>
          </w:rPr>
          <w:fldChar w:fldCharType="end"/>
        </w:r>
      </w:hyperlink>
    </w:p>
    <w:p w:rsidR="00DF18D6" w:rsidRPr="00DF18D6" w:rsidRDefault="00D15A0B" w:rsidP="00AB1664">
      <w:pPr>
        <w:pStyle w:val="TOC1"/>
        <w:rPr>
          <w:rFonts w:eastAsiaTheme="minorEastAsia"/>
          <w:noProof/>
          <w:sz w:val="22"/>
          <w:szCs w:val="22"/>
          <w:lang w:val="en-AU" w:eastAsia="en-AU" w:bidi="ar-SA"/>
        </w:rPr>
      </w:pPr>
      <w:hyperlink w:anchor="_Toc335724788" w:history="1">
        <w:r w:rsidR="00DF18D6" w:rsidRPr="00DF18D6">
          <w:rPr>
            <w:rStyle w:val="Hyperlink"/>
            <w:noProof/>
          </w:rPr>
          <w:t>Decisions involving consideration of a person’s environmental history</w:t>
        </w:r>
        <w:r w:rsidR="00DF18D6" w:rsidRPr="00DF18D6">
          <w:rPr>
            <w:noProof/>
            <w:webHidden/>
          </w:rPr>
          <w:tab/>
        </w:r>
        <w:r w:rsidRPr="00DF18D6">
          <w:rPr>
            <w:noProof/>
            <w:webHidden/>
          </w:rPr>
          <w:fldChar w:fldCharType="begin"/>
        </w:r>
        <w:r w:rsidR="00DF18D6" w:rsidRPr="00DF18D6">
          <w:rPr>
            <w:noProof/>
            <w:webHidden/>
          </w:rPr>
          <w:instrText xml:space="preserve"> PAGEREF _Toc335724788 \h </w:instrText>
        </w:r>
        <w:r w:rsidRPr="00DF18D6">
          <w:rPr>
            <w:noProof/>
            <w:webHidden/>
          </w:rPr>
        </w:r>
        <w:r w:rsidRPr="00DF18D6">
          <w:rPr>
            <w:noProof/>
            <w:webHidden/>
          </w:rPr>
          <w:fldChar w:fldCharType="separate"/>
        </w:r>
        <w:r w:rsidR="00700CDF">
          <w:rPr>
            <w:noProof/>
            <w:webHidden/>
          </w:rPr>
          <w:t>1</w:t>
        </w:r>
        <w:r w:rsidRPr="00DF18D6">
          <w:rPr>
            <w:noProof/>
            <w:webHidden/>
          </w:rPr>
          <w:fldChar w:fldCharType="end"/>
        </w:r>
      </w:hyperlink>
    </w:p>
    <w:p w:rsidR="00DF18D6" w:rsidRPr="00DF18D6" w:rsidRDefault="00D15A0B" w:rsidP="00AB1664">
      <w:pPr>
        <w:pStyle w:val="TOC2"/>
        <w:rPr>
          <w:rFonts w:eastAsiaTheme="minorEastAsia"/>
          <w:noProof/>
          <w:sz w:val="22"/>
          <w:szCs w:val="22"/>
          <w:lang w:val="en-AU" w:eastAsia="en-AU" w:bidi="ar-SA"/>
        </w:rPr>
      </w:pPr>
      <w:hyperlink w:anchor="_Toc335724789" w:history="1">
        <w:r w:rsidR="00DF18D6" w:rsidRPr="00DF18D6">
          <w:rPr>
            <w:rStyle w:val="Hyperlink"/>
            <w:noProof/>
          </w:rPr>
          <w:t>Approval of actions (Chapter 4)</w:t>
        </w:r>
        <w:r w:rsidR="00DF18D6" w:rsidRPr="00DF18D6">
          <w:rPr>
            <w:noProof/>
            <w:webHidden/>
          </w:rPr>
          <w:tab/>
        </w:r>
        <w:r w:rsidRPr="00DF18D6">
          <w:rPr>
            <w:noProof/>
            <w:webHidden/>
          </w:rPr>
          <w:fldChar w:fldCharType="begin"/>
        </w:r>
        <w:r w:rsidR="00DF18D6" w:rsidRPr="00DF18D6">
          <w:rPr>
            <w:noProof/>
            <w:webHidden/>
          </w:rPr>
          <w:instrText xml:space="preserve"> PAGEREF _Toc335724789 \h </w:instrText>
        </w:r>
        <w:r w:rsidRPr="00DF18D6">
          <w:rPr>
            <w:noProof/>
            <w:webHidden/>
          </w:rPr>
        </w:r>
        <w:r w:rsidRPr="00DF18D6">
          <w:rPr>
            <w:noProof/>
            <w:webHidden/>
          </w:rPr>
          <w:fldChar w:fldCharType="separate"/>
        </w:r>
        <w:r w:rsidR="00700CDF">
          <w:rPr>
            <w:noProof/>
            <w:webHidden/>
          </w:rPr>
          <w:t>1</w:t>
        </w:r>
        <w:r w:rsidRPr="00DF18D6">
          <w:rPr>
            <w:noProof/>
            <w:webHidden/>
          </w:rPr>
          <w:fldChar w:fldCharType="end"/>
        </w:r>
      </w:hyperlink>
    </w:p>
    <w:p w:rsidR="00DF18D6" w:rsidRPr="00DF18D6" w:rsidRDefault="00D15A0B" w:rsidP="00AB1664">
      <w:pPr>
        <w:pStyle w:val="TOC2"/>
        <w:rPr>
          <w:rFonts w:eastAsiaTheme="minorEastAsia"/>
          <w:noProof/>
          <w:sz w:val="22"/>
          <w:szCs w:val="22"/>
          <w:lang w:val="en-AU" w:eastAsia="en-AU" w:bidi="ar-SA"/>
        </w:rPr>
      </w:pPr>
      <w:hyperlink w:anchor="_Toc335724790" w:history="1">
        <w:r w:rsidR="00DF18D6" w:rsidRPr="00DF18D6">
          <w:rPr>
            <w:rStyle w:val="Hyperlink"/>
            <w:noProof/>
            <w:kern w:val="32"/>
          </w:rPr>
          <w:t>Permit applications (Parts 13 and 13A)</w:t>
        </w:r>
        <w:r w:rsidR="00DF18D6" w:rsidRPr="00DF18D6">
          <w:rPr>
            <w:noProof/>
            <w:webHidden/>
          </w:rPr>
          <w:tab/>
        </w:r>
        <w:r w:rsidRPr="00DF18D6">
          <w:rPr>
            <w:noProof/>
            <w:webHidden/>
          </w:rPr>
          <w:fldChar w:fldCharType="begin"/>
        </w:r>
        <w:r w:rsidR="00DF18D6" w:rsidRPr="00DF18D6">
          <w:rPr>
            <w:noProof/>
            <w:webHidden/>
          </w:rPr>
          <w:instrText xml:space="preserve"> PAGEREF _Toc335724790 \h </w:instrText>
        </w:r>
        <w:r w:rsidRPr="00DF18D6">
          <w:rPr>
            <w:noProof/>
            <w:webHidden/>
          </w:rPr>
        </w:r>
        <w:r w:rsidRPr="00DF18D6">
          <w:rPr>
            <w:noProof/>
            <w:webHidden/>
          </w:rPr>
          <w:fldChar w:fldCharType="separate"/>
        </w:r>
        <w:r w:rsidR="00700CDF">
          <w:rPr>
            <w:noProof/>
            <w:webHidden/>
          </w:rPr>
          <w:t>2</w:t>
        </w:r>
        <w:r w:rsidRPr="00DF18D6">
          <w:rPr>
            <w:noProof/>
            <w:webHidden/>
          </w:rPr>
          <w:fldChar w:fldCharType="end"/>
        </w:r>
      </w:hyperlink>
    </w:p>
    <w:p w:rsidR="00DF18D6" w:rsidRPr="00DF18D6" w:rsidRDefault="00D15A0B" w:rsidP="00AB1664">
      <w:pPr>
        <w:pStyle w:val="TOC2"/>
        <w:rPr>
          <w:rFonts w:eastAsiaTheme="minorEastAsia"/>
          <w:noProof/>
          <w:sz w:val="22"/>
          <w:szCs w:val="22"/>
          <w:lang w:val="en-AU" w:eastAsia="en-AU" w:bidi="ar-SA"/>
        </w:rPr>
      </w:pPr>
      <w:hyperlink w:anchor="_Toc335724791" w:history="1">
        <w:r w:rsidR="00DF18D6" w:rsidRPr="00DF18D6">
          <w:rPr>
            <w:rStyle w:val="Hyperlink"/>
            <w:noProof/>
          </w:rPr>
          <w:t>Bodies corporate, subsidiaries and executive officers</w:t>
        </w:r>
        <w:r w:rsidR="00DF18D6" w:rsidRPr="00DF18D6">
          <w:rPr>
            <w:noProof/>
            <w:webHidden/>
          </w:rPr>
          <w:tab/>
        </w:r>
        <w:r w:rsidRPr="00DF18D6">
          <w:rPr>
            <w:noProof/>
            <w:webHidden/>
          </w:rPr>
          <w:fldChar w:fldCharType="begin"/>
        </w:r>
        <w:r w:rsidR="00DF18D6" w:rsidRPr="00DF18D6">
          <w:rPr>
            <w:noProof/>
            <w:webHidden/>
          </w:rPr>
          <w:instrText xml:space="preserve"> PAGEREF _Toc335724791 \h </w:instrText>
        </w:r>
        <w:r w:rsidRPr="00DF18D6">
          <w:rPr>
            <w:noProof/>
            <w:webHidden/>
          </w:rPr>
        </w:r>
        <w:r w:rsidRPr="00DF18D6">
          <w:rPr>
            <w:noProof/>
            <w:webHidden/>
          </w:rPr>
          <w:fldChar w:fldCharType="separate"/>
        </w:r>
        <w:r w:rsidR="00700CDF">
          <w:rPr>
            <w:noProof/>
            <w:webHidden/>
          </w:rPr>
          <w:t>2</w:t>
        </w:r>
        <w:r w:rsidRPr="00DF18D6">
          <w:rPr>
            <w:noProof/>
            <w:webHidden/>
          </w:rPr>
          <w:fldChar w:fldCharType="end"/>
        </w:r>
      </w:hyperlink>
    </w:p>
    <w:p w:rsidR="00DF18D6" w:rsidRPr="00DF18D6" w:rsidRDefault="00D15A0B" w:rsidP="00AB1664">
      <w:pPr>
        <w:pStyle w:val="TOC1"/>
        <w:rPr>
          <w:rFonts w:eastAsiaTheme="minorEastAsia"/>
          <w:noProof/>
          <w:sz w:val="22"/>
          <w:szCs w:val="22"/>
          <w:lang w:val="en-AU" w:eastAsia="en-AU" w:bidi="ar-SA"/>
        </w:rPr>
      </w:pPr>
      <w:hyperlink w:anchor="_Toc335724792" w:history="1">
        <w:r w:rsidR="00DF18D6" w:rsidRPr="00DF18D6">
          <w:rPr>
            <w:rStyle w:val="Hyperlink"/>
            <w:noProof/>
          </w:rPr>
          <w:t>Information relevant to a person’s environmental history</w:t>
        </w:r>
        <w:r w:rsidR="00DF18D6" w:rsidRPr="00DF18D6">
          <w:rPr>
            <w:noProof/>
            <w:webHidden/>
          </w:rPr>
          <w:tab/>
        </w:r>
        <w:r w:rsidRPr="00DF18D6">
          <w:rPr>
            <w:noProof/>
            <w:webHidden/>
          </w:rPr>
          <w:fldChar w:fldCharType="begin"/>
        </w:r>
        <w:r w:rsidR="00DF18D6" w:rsidRPr="00DF18D6">
          <w:rPr>
            <w:noProof/>
            <w:webHidden/>
          </w:rPr>
          <w:instrText xml:space="preserve"> PAGEREF _Toc335724792 \h </w:instrText>
        </w:r>
        <w:r w:rsidRPr="00DF18D6">
          <w:rPr>
            <w:noProof/>
            <w:webHidden/>
          </w:rPr>
        </w:r>
        <w:r w:rsidRPr="00DF18D6">
          <w:rPr>
            <w:noProof/>
            <w:webHidden/>
          </w:rPr>
          <w:fldChar w:fldCharType="separate"/>
        </w:r>
        <w:r w:rsidR="00700CDF">
          <w:rPr>
            <w:noProof/>
            <w:webHidden/>
          </w:rPr>
          <w:t>2</w:t>
        </w:r>
        <w:r w:rsidRPr="00DF18D6">
          <w:rPr>
            <w:noProof/>
            <w:webHidden/>
          </w:rPr>
          <w:fldChar w:fldCharType="end"/>
        </w:r>
      </w:hyperlink>
    </w:p>
    <w:p w:rsidR="00DF18D6" w:rsidRPr="00DF18D6" w:rsidRDefault="00D15A0B" w:rsidP="00AB1664">
      <w:pPr>
        <w:pStyle w:val="TOC2"/>
        <w:rPr>
          <w:rFonts w:eastAsiaTheme="minorEastAsia"/>
          <w:noProof/>
          <w:sz w:val="22"/>
          <w:szCs w:val="22"/>
          <w:lang w:val="en-AU" w:eastAsia="en-AU" w:bidi="ar-SA"/>
        </w:rPr>
      </w:pPr>
      <w:hyperlink w:anchor="_Toc335724793" w:history="1">
        <w:r w:rsidR="00DF18D6" w:rsidRPr="00DF18D6">
          <w:rPr>
            <w:rStyle w:val="Hyperlink"/>
            <w:noProof/>
          </w:rPr>
          <w:t>Non-compliance without a conviction</w:t>
        </w:r>
        <w:r w:rsidR="00DF18D6" w:rsidRPr="00DF18D6">
          <w:rPr>
            <w:noProof/>
            <w:webHidden/>
          </w:rPr>
          <w:tab/>
        </w:r>
        <w:r w:rsidRPr="00DF18D6">
          <w:rPr>
            <w:noProof/>
            <w:webHidden/>
          </w:rPr>
          <w:fldChar w:fldCharType="begin"/>
        </w:r>
        <w:r w:rsidR="00DF18D6" w:rsidRPr="00DF18D6">
          <w:rPr>
            <w:noProof/>
            <w:webHidden/>
          </w:rPr>
          <w:instrText xml:space="preserve"> PAGEREF _Toc335724793 \h </w:instrText>
        </w:r>
        <w:r w:rsidRPr="00DF18D6">
          <w:rPr>
            <w:noProof/>
            <w:webHidden/>
          </w:rPr>
        </w:r>
        <w:r w:rsidRPr="00DF18D6">
          <w:rPr>
            <w:noProof/>
            <w:webHidden/>
          </w:rPr>
          <w:fldChar w:fldCharType="separate"/>
        </w:r>
        <w:r w:rsidR="00700CDF">
          <w:rPr>
            <w:noProof/>
            <w:webHidden/>
          </w:rPr>
          <w:t>3</w:t>
        </w:r>
        <w:r w:rsidRPr="00DF18D6">
          <w:rPr>
            <w:noProof/>
            <w:webHidden/>
          </w:rPr>
          <w:fldChar w:fldCharType="end"/>
        </w:r>
      </w:hyperlink>
    </w:p>
    <w:p w:rsidR="00DF18D6" w:rsidRPr="00DF18D6" w:rsidRDefault="00D15A0B" w:rsidP="00AB1664">
      <w:pPr>
        <w:pStyle w:val="TOC2"/>
        <w:rPr>
          <w:rFonts w:eastAsiaTheme="minorEastAsia"/>
          <w:noProof/>
          <w:sz w:val="22"/>
          <w:szCs w:val="22"/>
          <w:lang w:val="en-AU" w:eastAsia="en-AU" w:bidi="ar-SA"/>
        </w:rPr>
      </w:pPr>
      <w:hyperlink w:anchor="_Toc335724794" w:history="1">
        <w:r w:rsidR="00DF18D6" w:rsidRPr="00DF18D6">
          <w:rPr>
            <w:rStyle w:val="Hyperlink"/>
            <w:noProof/>
          </w:rPr>
          <w:t>Non-compliance without proceedings being initiated</w:t>
        </w:r>
        <w:r w:rsidR="00DF18D6" w:rsidRPr="00DF18D6">
          <w:rPr>
            <w:noProof/>
            <w:webHidden/>
          </w:rPr>
          <w:tab/>
        </w:r>
        <w:r w:rsidRPr="00DF18D6">
          <w:rPr>
            <w:noProof/>
            <w:webHidden/>
          </w:rPr>
          <w:fldChar w:fldCharType="begin"/>
        </w:r>
        <w:r w:rsidR="00DF18D6" w:rsidRPr="00DF18D6">
          <w:rPr>
            <w:noProof/>
            <w:webHidden/>
          </w:rPr>
          <w:instrText xml:space="preserve"> PAGEREF _Toc335724794 \h </w:instrText>
        </w:r>
        <w:r w:rsidRPr="00DF18D6">
          <w:rPr>
            <w:noProof/>
            <w:webHidden/>
          </w:rPr>
        </w:r>
        <w:r w:rsidRPr="00DF18D6">
          <w:rPr>
            <w:noProof/>
            <w:webHidden/>
          </w:rPr>
          <w:fldChar w:fldCharType="separate"/>
        </w:r>
        <w:r w:rsidR="00700CDF">
          <w:rPr>
            <w:noProof/>
            <w:webHidden/>
          </w:rPr>
          <w:t>3</w:t>
        </w:r>
        <w:r w:rsidRPr="00DF18D6">
          <w:rPr>
            <w:noProof/>
            <w:webHidden/>
          </w:rPr>
          <w:fldChar w:fldCharType="end"/>
        </w:r>
      </w:hyperlink>
    </w:p>
    <w:p w:rsidR="00DF18D6" w:rsidRPr="00DF18D6" w:rsidRDefault="00D15A0B" w:rsidP="00AB1664">
      <w:pPr>
        <w:pStyle w:val="TOC2"/>
        <w:rPr>
          <w:rFonts w:eastAsiaTheme="minorEastAsia"/>
          <w:noProof/>
          <w:sz w:val="22"/>
          <w:szCs w:val="22"/>
          <w:lang w:val="en-AU" w:eastAsia="en-AU" w:bidi="ar-SA"/>
        </w:rPr>
      </w:pPr>
      <w:hyperlink w:anchor="_Toc335724795" w:history="1">
        <w:r w:rsidR="00DF18D6" w:rsidRPr="00DF18D6">
          <w:rPr>
            <w:rStyle w:val="Hyperlink"/>
            <w:noProof/>
          </w:rPr>
          <w:t>Remediation determinations, enforceable undertakings etc under the EPBC Act</w:t>
        </w:r>
        <w:r w:rsidR="00DF18D6" w:rsidRPr="00DF18D6">
          <w:rPr>
            <w:noProof/>
            <w:webHidden/>
          </w:rPr>
          <w:tab/>
        </w:r>
        <w:r w:rsidRPr="00DF18D6">
          <w:rPr>
            <w:noProof/>
            <w:webHidden/>
          </w:rPr>
          <w:fldChar w:fldCharType="begin"/>
        </w:r>
        <w:r w:rsidR="00DF18D6" w:rsidRPr="00DF18D6">
          <w:rPr>
            <w:noProof/>
            <w:webHidden/>
          </w:rPr>
          <w:instrText xml:space="preserve"> PAGEREF _Toc335724795 \h </w:instrText>
        </w:r>
        <w:r w:rsidRPr="00DF18D6">
          <w:rPr>
            <w:noProof/>
            <w:webHidden/>
          </w:rPr>
        </w:r>
        <w:r w:rsidRPr="00DF18D6">
          <w:rPr>
            <w:noProof/>
            <w:webHidden/>
          </w:rPr>
          <w:fldChar w:fldCharType="separate"/>
        </w:r>
        <w:r w:rsidR="00700CDF">
          <w:rPr>
            <w:noProof/>
            <w:webHidden/>
          </w:rPr>
          <w:t>3</w:t>
        </w:r>
        <w:r w:rsidRPr="00DF18D6">
          <w:rPr>
            <w:noProof/>
            <w:webHidden/>
          </w:rPr>
          <w:fldChar w:fldCharType="end"/>
        </w:r>
      </w:hyperlink>
    </w:p>
    <w:p w:rsidR="00DF18D6" w:rsidRPr="00DF18D6" w:rsidRDefault="00D15A0B" w:rsidP="00AB1664">
      <w:pPr>
        <w:pStyle w:val="TOC1"/>
        <w:rPr>
          <w:rFonts w:eastAsiaTheme="minorEastAsia"/>
          <w:noProof/>
          <w:sz w:val="22"/>
          <w:szCs w:val="22"/>
          <w:lang w:val="en-AU" w:eastAsia="en-AU" w:bidi="ar-SA"/>
        </w:rPr>
      </w:pPr>
      <w:hyperlink w:anchor="_Toc335724796" w:history="1">
        <w:r w:rsidR="00DF18D6" w:rsidRPr="00DF18D6">
          <w:rPr>
            <w:rStyle w:val="Hyperlink"/>
            <w:noProof/>
          </w:rPr>
          <w:t>Sources of information about a person’s environmental history</w:t>
        </w:r>
        <w:r w:rsidR="00DF18D6" w:rsidRPr="00DF18D6">
          <w:rPr>
            <w:noProof/>
            <w:webHidden/>
          </w:rPr>
          <w:tab/>
        </w:r>
        <w:r w:rsidRPr="00DF18D6">
          <w:rPr>
            <w:noProof/>
            <w:webHidden/>
          </w:rPr>
          <w:fldChar w:fldCharType="begin"/>
        </w:r>
        <w:r w:rsidR="00DF18D6" w:rsidRPr="00DF18D6">
          <w:rPr>
            <w:noProof/>
            <w:webHidden/>
          </w:rPr>
          <w:instrText xml:space="preserve"> PAGEREF _Toc335724796 \h </w:instrText>
        </w:r>
        <w:r w:rsidRPr="00DF18D6">
          <w:rPr>
            <w:noProof/>
            <w:webHidden/>
          </w:rPr>
        </w:r>
        <w:r w:rsidRPr="00DF18D6">
          <w:rPr>
            <w:noProof/>
            <w:webHidden/>
          </w:rPr>
          <w:fldChar w:fldCharType="separate"/>
        </w:r>
        <w:r w:rsidR="00700CDF">
          <w:rPr>
            <w:noProof/>
            <w:webHidden/>
          </w:rPr>
          <w:t>4</w:t>
        </w:r>
        <w:r w:rsidRPr="00DF18D6">
          <w:rPr>
            <w:noProof/>
            <w:webHidden/>
          </w:rPr>
          <w:fldChar w:fldCharType="end"/>
        </w:r>
      </w:hyperlink>
    </w:p>
    <w:p w:rsidR="00DF18D6" w:rsidRPr="00DF18D6" w:rsidRDefault="00D15A0B" w:rsidP="00AB1664">
      <w:pPr>
        <w:pStyle w:val="TOC1"/>
        <w:rPr>
          <w:rFonts w:eastAsiaTheme="minorEastAsia"/>
          <w:noProof/>
          <w:sz w:val="22"/>
          <w:szCs w:val="22"/>
          <w:lang w:val="en-AU" w:eastAsia="en-AU" w:bidi="ar-SA"/>
        </w:rPr>
      </w:pPr>
      <w:hyperlink w:anchor="_Toc335724797" w:history="1">
        <w:r w:rsidR="00DF18D6" w:rsidRPr="00DF18D6">
          <w:rPr>
            <w:rStyle w:val="Hyperlink"/>
            <w:noProof/>
          </w:rPr>
          <w:t>Natural Justice</w:t>
        </w:r>
        <w:r w:rsidR="00DF18D6" w:rsidRPr="00DF18D6">
          <w:rPr>
            <w:noProof/>
            <w:webHidden/>
          </w:rPr>
          <w:tab/>
        </w:r>
        <w:r w:rsidRPr="00DF18D6">
          <w:rPr>
            <w:noProof/>
            <w:webHidden/>
          </w:rPr>
          <w:fldChar w:fldCharType="begin"/>
        </w:r>
        <w:r w:rsidR="00DF18D6" w:rsidRPr="00DF18D6">
          <w:rPr>
            <w:noProof/>
            <w:webHidden/>
          </w:rPr>
          <w:instrText xml:space="preserve"> PAGEREF _Toc335724797 \h </w:instrText>
        </w:r>
        <w:r w:rsidRPr="00DF18D6">
          <w:rPr>
            <w:noProof/>
            <w:webHidden/>
          </w:rPr>
        </w:r>
        <w:r w:rsidRPr="00DF18D6">
          <w:rPr>
            <w:noProof/>
            <w:webHidden/>
          </w:rPr>
          <w:fldChar w:fldCharType="separate"/>
        </w:r>
        <w:r w:rsidR="00700CDF">
          <w:rPr>
            <w:noProof/>
            <w:webHidden/>
          </w:rPr>
          <w:t>4</w:t>
        </w:r>
        <w:r w:rsidRPr="00DF18D6">
          <w:rPr>
            <w:noProof/>
            <w:webHidden/>
          </w:rPr>
          <w:fldChar w:fldCharType="end"/>
        </w:r>
      </w:hyperlink>
    </w:p>
    <w:p w:rsidR="00904C7A" w:rsidRPr="00904C7A" w:rsidRDefault="00D15A0B" w:rsidP="00AB1664">
      <w:r w:rsidRPr="00DF18D6">
        <w:fldChar w:fldCharType="end"/>
      </w:r>
    </w:p>
    <w:p w:rsidR="00904C7A" w:rsidRPr="00904C7A" w:rsidRDefault="00904C7A" w:rsidP="00AB1664">
      <w:pPr>
        <w:pStyle w:val="Heading1"/>
      </w:pPr>
      <w:bookmarkStart w:id="4" w:name="_Toc335724787"/>
      <w:r w:rsidRPr="00904C7A">
        <w:t>Overview</w:t>
      </w:r>
      <w:bookmarkEnd w:id="4"/>
    </w:p>
    <w:p w:rsidR="00904C7A" w:rsidRPr="00904C7A" w:rsidRDefault="00904C7A" w:rsidP="00AB1664">
      <w:r w:rsidRPr="00904C7A">
        <w:t xml:space="preserve">This </w:t>
      </w:r>
      <w:r w:rsidR="00060393">
        <w:t>Policy Statement</w:t>
      </w:r>
      <w:r w:rsidRPr="00904C7A">
        <w:t xml:space="preserve"> </w:t>
      </w:r>
      <w:r w:rsidR="00B4527E">
        <w:t>relates</w:t>
      </w:r>
      <w:r w:rsidRPr="00904C7A">
        <w:t xml:space="preserve"> assessing a person’s ‘environmental history’ for the purposes of</w:t>
      </w:r>
      <w:r w:rsidR="00051B54">
        <w:t xml:space="preserve"> making decisions under</w:t>
      </w:r>
      <w:r w:rsidRPr="00904C7A">
        <w:t xml:space="preserve"> the </w:t>
      </w:r>
      <w:r w:rsidRPr="00904C7A">
        <w:rPr>
          <w:i/>
        </w:rPr>
        <w:t>Environment Protection and Biodiversity Conservation Act 1999</w:t>
      </w:r>
      <w:r w:rsidRPr="00904C7A">
        <w:t xml:space="preserve"> (EPBC Act) and </w:t>
      </w:r>
      <w:r w:rsidRPr="00904C7A">
        <w:rPr>
          <w:i/>
        </w:rPr>
        <w:t>Environment Protection and Biodiversity Conservation Regulations 2000</w:t>
      </w:r>
      <w:r w:rsidRPr="00904C7A">
        <w:t xml:space="preserve"> (EPBC Regulations). </w:t>
      </w:r>
    </w:p>
    <w:p w:rsidR="00904C7A" w:rsidRPr="00904C7A" w:rsidRDefault="00904C7A" w:rsidP="00AB1664"/>
    <w:p w:rsidR="00904C7A" w:rsidRDefault="00904C7A" w:rsidP="00AB1664">
      <w:r w:rsidRPr="00E355F1">
        <w:lastRenderedPageBreak/>
        <w:t>In particular, environmental history is a relevant consideration for decisions under subsections 136(4), 143(3), 144(3), and 145(3)</w:t>
      </w:r>
      <w:r w:rsidR="00B4527E">
        <w:t xml:space="preserve"> of the EPBC Act</w:t>
      </w:r>
      <w:r w:rsidRPr="00E355F1">
        <w:t xml:space="preserve">. </w:t>
      </w:r>
    </w:p>
    <w:p w:rsidR="005246D2" w:rsidRDefault="005246D2" w:rsidP="00AB1664"/>
    <w:p w:rsidR="005246D2" w:rsidRDefault="005246D2" w:rsidP="00AB1664">
      <w:r>
        <w:t xml:space="preserve">The </w:t>
      </w:r>
      <w:r w:rsidR="00060393">
        <w:t>Policy Statement</w:t>
      </w:r>
      <w:r>
        <w:t xml:space="preserve"> sets out:</w:t>
      </w:r>
    </w:p>
    <w:p w:rsidR="005246D2" w:rsidRPr="003A457F" w:rsidRDefault="005246D2" w:rsidP="00AB1664">
      <w:pPr>
        <w:pStyle w:val="ListBullet"/>
      </w:pPr>
      <w:r w:rsidRPr="003A457F">
        <w:t xml:space="preserve">the decisions under the EPBC </w:t>
      </w:r>
      <w:r w:rsidR="00B4527E">
        <w:t>A</w:t>
      </w:r>
      <w:r w:rsidRPr="003A457F">
        <w:t>ct which require consideration of a person’s environmental history;</w:t>
      </w:r>
    </w:p>
    <w:p w:rsidR="005246D2" w:rsidRPr="003A457F" w:rsidRDefault="005246D2" w:rsidP="00AB1664">
      <w:pPr>
        <w:pStyle w:val="ListBullet"/>
      </w:pPr>
      <w:r w:rsidRPr="003A457F">
        <w:t>the kind of information relevant to a person’s environmental history;</w:t>
      </w:r>
    </w:p>
    <w:p w:rsidR="005246D2" w:rsidRPr="003A457F" w:rsidRDefault="005246D2" w:rsidP="00AB1664">
      <w:pPr>
        <w:pStyle w:val="ListBullet"/>
      </w:pPr>
      <w:r w:rsidRPr="003A457F">
        <w:t>sources of information relating to a person’s environmental history; and</w:t>
      </w:r>
    </w:p>
    <w:p w:rsidR="005246D2" w:rsidRPr="003A457F" w:rsidRDefault="005246D2" w:rsidP="00AB1664">
      <w:pPr>
        <w:pStyle w:val="ListBullet"/>
      </w:pPr>
      <w:proofErr w:type="gramStart"/>
      <w:r w:rsidRPr="003A457F">
        <w:t>how</w:t>
      </w:r>
      <w:proofErr w:type="gramEnd"/>
      <w:r w:rsidRPr="003A457F">
        <w:t xml:space="preserve"> to ensure that a person has an opportunity to comment on any information relied on in the decision-making process. </w:t>
      </w:r>
    </w:p>
    <w:p w:rsidR="00E355F1" w:rsidRDefault="00E355F1" w:rsidP="00AB1664"/>
    <w:p w:rsidR="00904C7A" w:rsidRPr="00904C7A" w:rsidRDefault="00904C7A" w:rsidP="00AB1664">
      <w:pPr>
        <w:pStyle w:val="Heading1"/>
      </w:pPr>
      <w:bookmarkStart w:id="5" w:name="_Toc335724788"/>
      <w:r w:rsidRPr="00E355F1">
        <w:t>Decisions involving</w:t>
      </w:r>
      <w:r w:rsidRPr="00904C7A">
        <w:t xml:space="preserve"> consideration of a person’s environmental history</w:t>
      </w:r>
      <w:bookmarkEnd w:id="5"/>
    </w:p>
    <w:p w:rsidR="00904C7A" w:rsidRPr="00904C7A" w:rsidRDefault="00904C7A" w:rsidP="00AB1664">
      <w:pPr>
        <w:pStyle w:val="Heading2"/>
      </w:pPr>
      <w:bookmarkStart w:id="6" w:name="_Toc335724789"/>
      <w:r w:rsidRPr="00904C7A">
        <w:t>Approval of actions (Chapter 4)</w:t>
      </w:r>
      <w:bookmarkEnd w:id="6"/>
    </w:p>
    <w:p w:rsidR="00904C7A" w:rsidRPr="00904C7A" w:rsidRDefault="00904C7A" w:rsidP="00AB1664">
      <w:r w:rsidRPr="00904C7A">
        <w:t xml:space="preserve">The Minister </w:t>
      </w:r>
      <w:r w:rsidR="00E355F1">
        <w:t xml:space="preserve">responsible for administering the EPBC Act </w:t>
      </w:r>
      <w:r w:rsidRPr="00904C7A">
        <w:t>or the</w:t>
      </w:r>
      <w:r w:rsidR="00E355F1">
        <w:t xml:space="preserve">ir </w:t>
      </w:r>
      <w:r w:rsidRPr="00904C7A">
        <w:t>delegate</w:t>
      </w:r>
      <w:r w:rsidR="00E355F1">
        <w:t xml:space="preserve"> (</w:t>
      </w:r>
      <w:r w:rsidR="00E355F1" w:rsidRPr="00051B54">
        <w:rPr>
          <w:b/>
        </w:rPr>
        <w:t>Minister</w:t>
      </w:r>
      <w:r w:rsidR="00E355F1">
        <w:t>)</w:t>
      </w:r>
      <w:r w:rsidRPr="00904C7A">
        <w:t xml:space="preserve"> may have regard to a person’s </w:t>
      </w:r>
      <w:r w:rsidRPr="00904C7A">
        <w:rPr>
          <w:i/>
        </w:rPr>
        <w:t>history in relation to environmental matters</w:t>
      </w:r>
      <w:r w:rsidRPr="00904C7A">
        <w:t xml:space="preserve"> (their </w:t>
      </w:r>
      <w:r w:rsidRPr="00F02346">
        <w:rPr>
          <w:b/>
        </w:rPr>
        <w:t>environmental history</w:t>
      </w:r>
      <w:r w:rsidRPr="00904C7A">
        <w:t xml:space="preserve">) </w:t>
      </w:r>
      <w:r w:rsidR="00F02346">
        <w:t>when making</w:t>
      </w:r>
      <w:r w:rsidRPr="00904C7A">
        <w:t xml:space="preserve"> certain decisions under the EPBC Act. </w:t>
      </w:r>
      <w:r w:rsidR="00721F44">
        <w:t>(For ease of reference, the Minister and Ministerial delegates are subsequently referred to as the Minister.)</w:t>
      </w:r>
      <w:r w:rsidR="00E13BEF">
        <w:t xml:space="preserve"> </w:t>
      </w:r>
      <w:r w:rsidRPr="00904C7A">
        <w:t xml:space="preserve">This consideration of </w:t>
      </w:r>
      <w:r w:rsidR="00F02346">
        <w:t xml:space="preserve">a </w:t>
      </w:r>
      <w:r w:rsidRPr="00904C7A">
        <w:t>person</w:t>
      </w:r>
      <w:r w:rsidR="00F02346">
        <w:t>’</w:t>
      </w:r>
      <w:r w:rsidRPr="00904C7A">
        <w:t>s environmental history applies in particular to decisions concerning:</w:t>
      </w:r>
    </w:p>
    <w:p w:rsidR="00904C7A" w:rsidRPr="00904C7A" w:rsidRDefault="00904C7A" w:rsidP="00AB1664"/>
    <w:p w:rsidR="00904C7A" w:rsidRPr="00904C7A" w:rsidRDefault="00904C7A" w:rsidP="00AB1664">
      <w:pPr>
        <w:rPr>
          <w:b/>
          <w:i/>
        </w:rPr>
      </w:pPr>
      <w:r w:rsidRPr="00904C7A">
        <w:rPr>
          <w:b/>
          <w:i/>
        </w:rPr>
        <w:lastRenderedPageBreak/>
        <w:t>Assessment approach: referral documentation</w:t>
      </w:r>
      <w:r w:rsidRPr="00904C7A">
        <w:rPr>
          <w:i/>
        </w:rPr>
        <w:t xml:space="preserve"> – </w:t>
      </w:r>
      <w:r w:rsidRPr="00904C7A">
        <w:t>under</w:t>
      </w:r>
      <w:r w:rsidRPr="00904C7A">
        <w:rPr>
          <w:i/>
        </w:rPr>
        <w:t xml:space="preserve"> </w:t>
      </w:r>
      <w:r w:rsidRPr="00904C7A">
        <w:t>subsection 87(4A) of the EPBC Act the Minister may only decide</w:t>
      </w:r>
      <w:r w:rsidR="00F02346">
        <w:t xml:space="preserve"> on</w:t>
      </w:r>
      <w:r w:rsidRPr="00904C7A">
        <w:t xml:space="preserve"> an assessment on referral information if satisfied that the action meets the prescribed criteria</w:t>
      </w:r>
      <w:r w:rsidR="001B36C6">
        <w:t xml:space="preserve"> </w:t>
      </w:r>
      <w:r w:rsidRPr="00904C7A">
        <w:t>set out in Division 5.1A of the EPBC Regulations</w:t>
      </w:r>
      <w:r w:rsidR="00F02346">
        <w:t xml:space="preserve">, </w:t>
      </w:r>
      <w:r w:rsidRPr="00904C7A">
        <w:t>which include</w:t>
      </w:r>
      <w:r w:rsidR="001B36C6">
        <w:t>s</w:t>
      </w:r>
      <w:r w:rsidRPr="00904C7A">
        <w:t xml:space="preserve"> </w:t>
      </w:r>
      <w:r w:rsidR="00F02346">
        <w:t>(</w:t>
      </w:r>
      <w:r w:rsidRPr="00904C7A">
        <w:t>if the information is available</w:t>
      </w:r>
      <w:r w:rsidR="00F02346">
        <w:t>) that</w:t>
      </w:r>
      <w:r w:rsidRPr="00904C7A">
        <w:t xml:space="preserve"> the person proposing to take the action has a satisfactory record of responsible environmental management and compliance with environmental laws (</w:t>
      </w:r>
      <w:r w:rsidR="00675AB8">
        <w:t>regulation</w:t>
      </w:r>
      <w:r w:rsidRPr="00904C7A">
        <w:t xml:space="preserve"> 5.03A(1)(e) of the </w:t>
      </w:r>
      <w:r w:rsidR="00F02346">
        <w:t xml:space="preserve">EPBC </w:t>
      </w:r>
      <w:r w:rsidRPr="00904C7A">
        <w:t>Regulations);</w:t>
      </w:r>
    </w:p>
    <w:p w:rsidR="00904C7A" w:rsidRPr="00904C7A" w:rsidRDefault="00904C7A" w:rsidP="00AB1664"/>
    <w:p w:rsidR="009A2950" w:rsidRDefault="00904C7A" w:rsidP="00AB1664">
      <w:r w:rsidRPr="00904C7A">
        <w:rPr>
          <w:b/>
          <w:i/>
        </w:rPr>
        <w:t>Approval of an action</w:t>
      </w:r>
      <w:r w:rsidRPr="00904C7A">
        <w:rPr>
          <w:i/>
        </w:rPr>
        <w:t xml:space="preserve"> </w:t>
      </w:r>
      <w:r w:rsidRPr="00904C7A">
        <w:t>- under subsection 136(4) the Minister may hav</w:t>
      </w:r>
      <w:r w:rsidR="00F02346">
        <w:t>e</w:t>
      </w:r>
      <w:r w:rsidRPr="00904C7A">
        <w:t xml:space="preserve"> regard to </w:t>
      </w:r>
      <w:r w:rsidR="00F02346">
        <w:t>a</w:t>
      </w:r>
      <w:r w:rsidRPr="00904C7A">
        <w:t xml:space="preserve"> person’s environmental history</w:t>
      </w:r>
      <w:r w:rsidR="00F02346">
        <w:t xml:space="preserve"> when considering whether to grant an approval to that person for the taking of an action and/or attach conditions to that approval</w:t>
      </w:r>
      <w:r w:rsidRPr="00904C7A">
        <w:t>;</w:t>
      </w:r>
    </w:p>
    <w:p w:rsidR="00904C7A" w:rsidRPr="00904C7A" w:rsidRDefault="00904C7A" w:rsidP="00AB1664"/>
    <w:p w:rsidR="00E355F1" w:rsidRPr="00E43EDA" w:rsidRDefault="00904C7A" w:rsidP="00AB1664">
      <w:pPr>
        <w:rPr>
          <w:b/>
          <w:i/>
        </w:rPr>
      </w:pPr>
      <w:r w:rsidRPr="00904C7A">
        <w:rPr>
          <w:b/>
          <w:i/>
        </w:rPr>
        <w:t xml:space="preserve">Variation, suspension or revocation of approval </w:t>
      </w:r>
      <w:r w:rsidRPr="00904C7A">
        <w:t xml:space="preserve">- the Minister may take into account </w:t>
      </w:r>
      <w:r w:rsidR="00A012E2">
        <w:t>an</w:t>
      </w:r>
      <w:r w:rsidRPr="00904C7A">
        <w:t xml:space="preserve"> approval holder’s environmental history </w:t>
      </w:r>
      <w:r w:rsidR="00A012E2">
        <w:t>when</w:t>
      </w:r>
      <w:r w:rsidRPr="00904C7A">
        <w:t xml:space="preserve"> </w:t>
      </w:r>
      <w:r w:rsidRPr="003A457F">
        <w:t xml:space="preserve">deciding whether </w:t>
      </w:r>
      <w:r w:rsidRPr="00904C7A">
        <w:t xml:space="preserve">to </w:t>
      </w:r>
      <w:r w:rsidR="00675AB8">
        <w:t xml:space="preserve">revoke, </w:t>
      </w:r>
      <w:r w:rsidRPr="00904C7A">
        <w:t>vary</w:t>
      </w:r>
      <w:r w:rsidR="00675AB8">
        <w:t xml:space="preserve"> or add to</w:t>
      </w:r>
      <w:r w:rsidRPr="00904C7A">
        <w:t xml:space="preserve"> conditions (subsection 143(3)), or suspend or revoke an approval (subsections 144(3) and 145(3)); and</w:t>
      </w:r>
    </w:p>
    <w:p w:rsidR="00904C7A" w:rsidRPr="00904C7A" w:rsidRDefault="00904C7A" w:rsidP="00AB1664"/>
    <w:p w:rsidR="009A2950" w:rsidRDefault="00904C7A" w:rsidP="00AB1664">
      <w:r w:rsidRPr="00904C7A">
        <w:rPr>
          <w:b/>
          <w:i/>
        </w:rPr>
        <w:t xml:space="preserve">Consent to transfer an approval </w:t>
      </w:r>
      <w:r w:rsidRPr="00904C7A">
        <w:t xml:space="preserve">- under subsection </w:t>
      </w:r>
      <w:proofErr w:type="gramStart"/>
      <w:r w:rsidRPr="00904C7A">
        <w:t>145B(</w:t>
      </w:r>
      <w:proofErr w:type="gramEnd"/>
      <w:r w:rsidRPr="00904C7A">
        <w:t xml:space="preserve">4) the Minister may consider the transferee’s environmental history </w:t>
      </w:r>
      <w:r w:rsidR="00A012E2">
        <w:t>when</w:t>
      </w:r>
      <w:r w:rsidRPr="00904C7A">
        <w:t xml:space="preserve"> deciding whether to consent to the transfer of an approval.</w:t>
      </w:r>
    </w:p>
    <w:p w:rsidR="00904C7A" w:rsidRPr="00904C7A" w:rsidRDefault="00904C7A" w:rsidP="00AB1664">
      <w:pPr>
        <w:pStyle w:val="Heading2"/>
        <w:rPr>
          <w:kern w:val="32"/>
        </w:rPr>
      </w:pPr>
      <w:bookmarkStart w:id="7" w:name="_Toc335724790"/>
      <w:r w:rsidRPr="00904C7A">
        <w:rPr>
          <w:kern w:val="32"/>
        </w:rPr>
        <w:t>Permit applications (Parts 13 and 13A)</w:t>
      </w:r>
      <w:bookmarkEnd w:id="7"/>
    </w:p>
    <w:p w:rsidR="00A012E2" w:rsidRDefault="00A012E2" w:rsidP="00AB1664">
      <w:r>
        <w:t>T</w:t>
      </w:r>
      <w:r w:rsidR="00904C7A" w:rsidRPr="00904C7A">
        <w:t xml:space="preserve">he Minister </w:t>
      </w:r>
      <w:r>
        <w:t>may</w:t>
      </w:r>
      <w:r w:rsidR="00F00FFD">
        <w:t>, in deciding whether to grant a permit to a person under Parts 13 or 13A of the EPBC Act,</w:t>
      </w:r>
      <w:r w:rsidR="00904C7A" w:rsidRPr="00904C7A">
        <w:t xml:space="preserve"> consider </w:t>
      </w:r>
      <w:r w:rsidR="00F00FFD">
        <w:t xml:space="preserve">whether the person has, in the </w:t>
      </w:r>
      <w:r w:rsidR="00F00FFD">
        <w:lastRenderedPageBreak/>
        <w:t>10 years before the application, been convicted of an offence mentioned</w:t>
      </w:r>
      <w:r w:rsidR="00675AB8">
        <w:t xml:space="preserve"> in </w:t>
      </w:r>
      <w:r w:rsidR="00F00FFD">
        <w:t xml:space="preserve">regulation 17.07(1) of the EPBC Regulations or, is subject to proceedings for such an offence. </w:t>
      </w:r>
      <w:r w:rsidR="00904C7A" w:rsidRPr="00904C7A">
        <w:t xml:space="preserve">The Minister could </w:t>
      </w:r>
      <w:r w:rsidR="00B75BA2">
        <w:t>also</w:t>
      </w:r>
      <w:r w:rsidR="00B75BA2" w:rsidRPr="00904C7A">
        <w:t xml:space="preserve"> </w:t>
      </w:r>
      <w:r w:rsidR="00904C7A" w:rsidRPr="00904C7A">
        <w:t xml:space="preserve">consider </w:t>
      </w:r>
      <w:r w:rsidR="00B75BA2">
        <w:t>other</w:t>
      </w:r>
      <w:r w:rsidR="00B75BA2" w:rsidRPr="00904C7A">
        <w:t xml:space="preserve"> </w:t>
      </w:r>
      <w:r w:rsidR="00904C7A" w:rsidRPr="00904C7A">
        <w:t xml:space="preserve">information about a person’s environmental history </w:t>
      </w:r>
      <w:r w:rsidR="00B75BA2">
        <w:t>if relevant to the grant of the</w:t>
      </w:r>
      <w:r w:rsidR="00904C7A" w:rsidRPr="00904C7A">
        <w:t xml:space="preserve"> permit. </w:t>
      </w:r>
    </w:p>
    <w:p w:rsidR="00904C7A" w:rsidRPr="00904C7A" w:rsidRDefault="00904C7A" w:rsidP="00AB1664">
      <w:pPr>
        <w:pStyle w:val="Heading2"/>
      </w:pPr>
      <w:bookmarkStart w:id="8" w:name="_Toc335724791"/>
      <w:r w:rsidRPr="00904C7A">
        <w:t>Bodies corporate, subsidiaries and executive officers</w:t>
      </w:r>
      <w:bookmarkEnd w:id="8"/>
    </w:p>
    <w:p w:rsidR="00904C7A" w:rsidRPr="00904C7A" w:rsidRDefault="00904C7A" w:rsidP="00AB1664">
      <w:r w:rsidRPr="00904C7A">
        <w:t>The EPBC Act does not define ‘body corporate’, but the term ordinarily means any artificial person</w:t>
      </w:r>
      <w:r w:rsidRPr="00904C7A">
        <w:rPr>
          <w:rStyle w:val="FootnoteReference"/>
          <w:color w:val="000000"/>
          <w:sz w:val="22"/>
          <w:szCs w:val="22"/>
        </w:rPr>
        <w:footnoteReference w:id="1"/>
      </w:r>
      <w:r w:rsidRPr="00904C7A">
        <w:t xml:space="preserve"> which has a separate legal identity and is identified by a particular name. These entities have perpetual succession</w:t>
      </w:r>
      <w:r w:rsidRPr="00904C7A">
        <w:rPr>
          <w:rStyle w:val="FootnoteReference"/>
          <w:color w:val="000000"/>
          <w:sz w:val="22"/>
          <w:szCs w:val="22"/>
        </w:rPr>
        <w:footnoteReference w:id="2"/>
      </w:r>
      <w:r w:rsidRPr="00904C7A">
        <w:t xml:space="preserve">. They have the power to act, hold property, enter into legal contracts, and can sue and </w:t>
      </w:r>
      <w:proofErr w:type="gramStart"/>
      <w:r w:rsidRPr="00904C7A">
        <w:t>be</w:t>
      </w:r>
      <w:proofErr w:type="gramEnd"/>
      <w:r w:rsidRPr="00904C7A">
        <w:t xml:space="preserve"> sued in their own name. Bodies corporate include entities created </w:t>
      </w:r>
      <w:r w:rsidR="00B75BA2">
        <w:t>by</w:t>
      </w:r>
      <w:r w:rsidRPr="00904C7A">
        <w:t xml:space="preserve"> statute, by registration</w:t>
      </w:r>
      <w:r w:rsidR="00B75BA2">
        <w:t xml:space="preserve"> under statute</w:t>
      </w:r>
      <w:r w:rsidRPr="00904C7A">
        <w:t>, and under common law. Bodies corporate can apply for approvals and permits under the EPBC Act.</w:t>
      </w:r>
    </w:p>
    <w:p w:rsidR="00904C7A" w:rsidRPr="00904C7A" w:rsidRDefault="00904C7A" w:rsidP="00AB1664"/>
    <w:p w:rsidR="00675AB8" w:rsidRDefault="00904C7A" w:rsidP="00AB1664">
      <w:r w:rsidRPr="00904C7A">
        <w:t>Under section</w:t>
      </w:r>
      <w:r w:rsidR="00B75BA2">
        <w:t>s</w:t>
      </w:r>
      <w:r w:rsidRPr="00904C7A">
        <w:t xml:space="preserve"> 136 (4</w:t>
      </w:r>
      <w:r w:rsidR="00E355F1">
        <w:t>)</w:t>
      </w:r>
      <w:r w:rsidR="00B75BA2">
        <w:t>, 143(3)</w:t>
      </w:r>
      <w:r w:rsidR="00675AB8">
        <w:t>, 144(3),</w:t>
      </w:r>
      <w:r w:rsidR="00B75BA2">
        <w:t xml:space="preserve"> 145(3)</w:t>
      </w:r>
      <w:r w:rsidR="00E355F1">
        <w:t xml:space="preserve"> </w:t>
      </w:r>
      <w:r w:rsidR="00675AB8">
        <w:t xml:space="preserve">and 145B(4) </w:t>
      </w:r>
      <w:r w:rsidR="00E355F1">
        <w:t>of the EPBC Act, i</w:t>
      </w:r>
      <w:r w:rsidRPr="00904C7A">
        <w:t xml:space="preserve">f the relevant person (i.e. the proponent of an action, approval </w:t>
      </w:r>
      <w:r w:rsidRPr="00904C7A">
        <w:lastRenderedPageBreak/>
        <w:t>holder or transferee of an approval) is a body corporate, the Minister may also consider the environmental history of the executive officers of the body corporate</w:t>
      </w:r>
      <w:r w:rsidR="00675AB8" w:rsidRPr="00904C7A">
        <w:t xml:space="preserve">. </w:t>
      </w:r>
    </w:p>
    <w:p w:rsidR="00675AB8" w:rsidRDefault="00675AB8" w:rsidP="00AB1664"/>
    <w:p w:rsidR="00904C7A" w:rsidRPr="00904C7A" w:rsidRDefault="00904C7A" w:rsidP="00AB1664">
      <w:r w:rsidRPr="00904C7A">
        <w:t xml:space="preserve">An executive officer of a body corporate is defined under section 493 of the EPBC Act as </w:t>
      </w:r>
      <w:r w:rsidR="00D9654D">
        <w:t>“</w:t>
      </w:r>
      <w:r w:rsidRPr="00904C7A">
        <w:t>a person, by whatever name called and whether or not a director of the body, who is concerned in, or takes part in, the management of the body</w:t>
      </w:r>
      <w:r w:rsidR="00D9654D">
        <w:t>”</w:t>
      </w:r>
      <w:r w:rsidRPr="00904C7A">
        <w:t>.</w:t>
      </w:r>
      <w:r w:rsidR="003A5126">
        <w:t xml:space="preserve"> </w:t>
      </w:r>
      <w:r w:rsidR="00675AB8" w:rsidRPr="00904C7A" w:rsidDel="00675AB8">
        <w:t xml:space="preserve"> </w:t>
      </w:r>
      <w:r w:rsidR="00675AB8" w:rsidDel="00675AB8">
        <w:t xml:space="preserve"> </w:t>
      </w:r>
    </w:p>
    <w:p w:rsidR="00904C7A" w:rsidRPr="00904C7A" w:rsidRDefault="00904C7A" w:rsidP="00AB1664">
      <w:pPr>
        <w:pStyle w:val="Heading1"/>
      </w:pPr>
      <w:bookmarkStart w:id="9" w:name="_Toc335724792"/>
      <w:r w:rsidRPr="00904C7A">
        <w:t>Information relevant to a person’s environmental history</w:t>
      </w:r>
      <w:bookmarkEnd w:id="9"/>
    </w:p>
    <w:p w:rsidR="00904C7A" w:rsidRPr="00904C7A" w:rsidRDefault="00904C7A" w:rsidP="00AB1664"/>
    <w:p w:rsidR="00904C7A" w:rsidRPr="00904C7A" w:rsidRDefault="00904C7A" w:rsidP="00AB1664">
      <w:r w:rsidRPr="00904C7A">
        <w:t xml:space="preserve">The provisions of </w:t>
      </w:r>
      <w:r w:rsidR="00555438">
        <w:t xml:space="preserve">Chapter 4 of </w:t>
      </w:r>
      <w:r w:rsidRPr="00904C7A">
        <w:t xml:space="preserve">the EPBC Act that allow a person’s environmental history to be taken into account are expressed broadly. </w:t>
      </w:r>
      <w:r w:rsidR="00E13BEF">
        <w:t>The provisions do not limit the information relevant to a person’s environmental history</w:t>
      </w:r>
      <w:r w:rsidRPr="00904C7A">
        <w:t xml:space="preserve"> to the person’s past environmental criminal convictions or civil penalties awarded against them. </w:t>
      </w:r>
    </w:p>
    <w:p w:rsidR="00904C7A" w:rsidRPr="00904C7A" w:rsidRDefault="00904C7A" w:rsidP="00AB1664"/>
    <w:p w:rsidR="00904C7A" w:rsidRPr="00904C7A" w:rsidRDefault="005A1170" w:rsidP="00AB1664">
      <w:r>
        <w:t>Information r</w:t>
      </w:r>
      <w:r w:rsidR="00904C7A" w:rsidRPr="00904C7A">
        <w:t xml:space="preserve">elevant </w:t>
      </w:r>
      <w:r>
        <w:t xml:space="preserve">to the person’s environmental history </w:t>
      </w:r>
      <w:r w:rsidR="00904C7A" w:rsidRPr="00904C7A">
        <w:t xml:space="preserve">is that which will indicate whether a person is likely to comply with the conditions of an approval. </w:t>
      </w:r>
    </w:p>
    <w:p w:rsidR="00904C7A" w:rsidRPr="00904C7A" w:rsidRDefault="00904C7A" w:rsidP="00AB1664"/>
    <w:p w:rsidR="00904C7A" w:rsidRPr="00904C7A" w:rsidRDefault="00904C7A" w:rsidP="00AB1664">
      <w:r w:rsidRPr="00904C7A">
        <w:t>Such information may include, for example:</w:t>
      </w:r>
    </w:p>
    <w:p w:rsidR="00904C7A" w:rsidRPr="00904C7A" w:rsidRDefault="00904C7A" w:rsidP="00AB1664"/>
    <w:p w:rsidR="005A1170" w:rsidRPr="00904C7A" w:rsidRDefault="00904C7A" w:rsidP="00AB1664">
      <w:pPr>
        <w:pStyle w:val="ListBullet"/>
      </w:pPr>
      <w:proofErr w:type="gramStart"/>
      <w:r w:rsidRPr="00904C7A">
        <w:t>records</w:t>
      </w:r>
      <w:proofErr w:type="gramEnd"/>
      <w:r w:rsidRPr="00904C7A">
        <w:t xml:space="preserve"> of State, Territory or Commonwealth court or tribunal proceedings against the person involving compliance with environmental laws. The general principles regarding evidence of instances of non-compliance with the EPBC Act would also apply to alleged instances of non-compliance </w:t>
      </w:r>
      <w:r w:rsidRPr="00904C7A">
        <w:lastRenderedPageBreak/>
        <w:t>with State or Territory environmental legislation</w:t>
      </w:r>
      <w:r w:rsidR="005A1170">
        <w:t>;</w:t>
      </w:r>
      <w:r w:rsidRPr="00904C7A">
        <w:t xml:space="preserve"> </w:t>
      </w:r>
    </w:p>
    <w:p w:rsidR="005A1170" w:rsidRPr="005A1170" w:rsidRDefault="00904C7A" w:rsidP="00AB1664">
      <w:pPr>
        <w:pStyle w:val="ListBullet"/>
      </w:pPr>
      <w:r w:rsidRPr="005A1170">
        <w:t xml:space="preserve">where the person is a body corporate, the person’s environmental policies and corporate plans; </w:t>
      </w:r>
    </w:p>
    <w:p w:rsidR="005A1170" w:rsidRPr="005A1170" w:rsidRDefault="00904C7A" w:rsidP="00AB1664">
      <w:pPr>
        <w:pStyle w:val="ListBullet"/>
      </w:pPr>
      <w:r w:rsidRPr="005A1170">
        <w:t>details of previous EPBC Act approvals and permits held and the level of compliance with the approval and permit conditions; and</w:t>
      </w:r>
    </w:p>
    <w:p w:rsidR="00904C7A" w:rsidRPr="005A1170" w:rsidRDefault="00904C7A" w:rsidP="00AB1664">
      <w:pPr>
        <w:pStyle w:val="ListBullet"/>
      </w:pPr>
      <w:proofErr w:type="gramStart"/>
      <w:r w:rsidRPr="005A1170">
        <w:t>details</w:t>
      </w:r>
      <w:proofErr w:type="gramEnd"/>
      <w:r w:rsidRPr="005A1170">
        <w:t xml:space="preserve"> of audits in relation to environmental matters. </w:t>
      </w:r>
    </w:p>
    <w:p w:rsidR="00904C7A" w:rsidRPr="00904C7A" w:rsidRDefault="00904C7A" w:rsidP="00AB1664"/>
    <w:p w:rsidR="00904C7A" w:rsidRDefault="00904C7A" w:rsidP="00AB1664">
      <w:r w:rsidRPr="00904C7A">
        <w:t xml:space="preserve">Whether information regarding a person’s environmental history is relevant will depend on the particular circumstances relating to a decision. Not all information about a person’s environmental performance may necessarily be relevant in the context of the decision at hand. For example, evidence of good environmental performance in a particular area will usually provide a broad indication of a person’s general approach to environmental management. However, this information is only relevant to a specific decision under the EPBC Act insofar as it can be used to usefully predict their future compliance with the requirements of that decision. </w:t>
      </w:r>
    </w:p>
    <w:p w:rsidR="00E517C3" w:rsidRDefault="00E517C3" w:rsidP="00AB1664"/>
    <w:p w:rsidR="00E517C3" w:rsidRPr="00904C7A" w:rsidRDefault="00E517C3" w:rsidP="00AB1664">
      <w:r>
        <w:t xml:space="preserve">In the case of the grant of a permit under Chapter 13 or 13A of the EPBC Act, the above considerations generally apply in relation to the matters mentioned in </w:t>
      </w:r>
      <w:proofErr w:type="spellStart"/>
      <w:r>
        <w:t>subregulation</w:t>
      </w:r>
      <w:proofErr w:type="spellEnd"/>
      <w:r>
        <w:t xml:space="preserve"> 17.07(1) of the EPBC Regulations, as well as any other aspect of an applicant’s environmental history that is relevant to the grant of the permit.</w:t>
      </w:r>
    </w:p>
    <w:p w:rsidR="00904C7A" w:rsidRDefault="00904C7A" w:rsidP="00AB1664">
      <w:pPr>
        <w:pStyle w:val="Heading2"/>
      </w:pPr>
      <w:bookmarkStart w:id="10" w:name="_Toc335724793"/>
      <w:r w:rsidRPr="00904C7A">
        <w:t>Non-compliance without a conviction</w:t>
      </w:r>
      <w:bookmarkEnd w:id="10"/>
    </w:p>
    <w:p w:rsidR="00AC7291" w:rsidRPr="00A65A50" w:rsidRDefault="00B4527E" w:rsidP="00AB1664">
      <w:r>
        <w:t>Evidence of non-compliance, without a conviction, is</w:t>
      </w:r>
      <w:r w:rsidR="00AC7291" w:rsidRPr="00A65A50">
        <w:t xml:space="preserve"> equally </w:t>
      </w:r>
      <w:r>
        <w:t xml:space="preserve">relevant </w:t>
      </w:r>
      <w:r w:rsidR="00AC7291" w:rsidRPr="00A65A50">
        <w:t xml:space="preserve">to matters arising under State </w:t>
      </w:r>
      <w:r w:rsidR="00AC7291" w:rsidRPr="00A65A50">
        <w:lastRenderedPageBreak/>
        <w:t>or Territory environment laws</w:t>
      </w:r>
      <w:r w:rsidR="005A1170">
        <w:t xml:space="preserve">, </w:t>
      </w:r>
      <w:r w:rsidR="00AC7291" w:rsidRPr="00A65A50">
        <w:t xml:space="preserve">or other Commonwealth </w:t>
      </w:r>
      <w:r w:rsidR="00B753EF">
        <w:t>environmental laws.</w:t>
      </w:r>
    </w:p>
    <w:p w:rsidR="00AC7291" w:rsidRPr="00AC7291" w:rsidRDefault="00AC7291" w:rsidP="00AB1664"/>
    <w:p w:rsidR="00904C7A" w:rsidRPr="00904C7A" w:rsidRDefault="00904C7A" w:rsidP="00AB1664">
      <w:r w:rsidRPr="00904C7A">
        <w:t>The Minister may consider information indicating incidents of non-compliance by a proponent or an approval holder with provisions of the EPBC Act</w:t>
      </w:r>
      <w:r w:rsidR="00E517C3">
        <w:t xml:space="preserve"> (or other </w:t>
      </w:r>
      <w:r w:rsidR="00C823A8">
        <w:t>Commonwealth, State or Territory environmental legislation</w:t>
      </w:r>
      <w:r w:rsidR="00E517C3">
        <w:t>)</w:t>
      </w:r>
      <w:r w:rsidRPr="00904C7A">
        <w:t xml:space="preserve"> as part of a person’s environmental history, including cases where those incidents did not involve the person being convicted of an offence. The absence of sufficient evidence to establish a conviction for an offence does not </w:t>
      </w:r>
      <w:r w:rsidR="00E517C3">
        <w:t>of</w:t>
      </w:r>
      <w:r w:rsidRPr="00904C7A">
        <w:t xml:space="preserve"> itself prevent the Minister from being satisfied that the incident occurred. </w:t>
      </w:r>
    </w:p>
    <w:p w:rsidR="00904C7A" w:rsidRPr="00904C7A" w:rsidRDefault="00904C7A" w:rsidP="00AB1664"/>
    <w:p w:rsidR="00904C7A" w:rsidRPr="00904C7A" w:rsidRDefault="00904C7A" w:rsidP="00AB1664">
      <w:r w:rsidRPr="00904C7A">
        <w:t>However, the evidentiary weight that can be given to information about such non-compliance will depend upon the reason why there was no conviction. In cases where the proponent or approval holder has admitted that the non-compliance occurred, it would generally be reasonable for the Minister to consider that information in relation to the person’s environmental history.</w:t>
      </w:r>
    </w:p>
    <w:p w:rsidR="00904C7A" w:rsidRPr="00904C7A" w:rsidRDefault="00904C7A" w:rsidP="00AB1664"/>
    <w:p w:rsidR="00904C7A" w:rsidRPr="00904C7A" w:rsidRDefault="00904C7A" w:rsidP="00AB1664">
      <w:r w:rsidRPr="00904C7A">
        <w:t>In cases where a person was acquitted of a prosecution, or where criminal proceedings were otherwise resolved with no admission of guilt by the person, information relating to the alleged incident should not generally be taken into account as part of a person’s environmental history.</w:t>
      </w:r>
    </w:p>
    <w:p w:rsidR="00904C7A" w:rsidRPr="00904C7A" w:rsidRDefault="00904C7A" w:rsidP="00AB1664">
      <w:pPr>
        <w:pStyle w:val="Heading2"/>
      </w:pPr>
      <w:bookmarkStart w:id="11" w:name="_Toc335724794"/>
      <w:r w:rsidRPr="00904C7A">
        <w:t>Non-compliance without proceedings being initiated</w:t>
      </w:r>
      <w:bookmarkEnd w:id="11"/>
    </w:p>
    <w:p w:rsidR="005A1170" w:rsidRPr="00A65A50" w:rsidRDefault="00B4527E" w:rsidP="00AB1664">
      <w:r>
        <w:t xml:space="preserve">Evidence of non-compliance, without proceedings being initiated is </w:t>
      </w:r>
      <w:r w:rsidR="005A1170" w:rsidRPr="00A65A50">
        <w:t xml:space="preserve">equally </w:t>
      </w:r>
      <w:r>
        <w:t xml:space="preserve">relevant </w:t>
      </w:r>
      <w:r w:rsidR="005A1170" w:rsidRPr="00A65A50">
        <w:t xml:space="preserve">to matters </w:t>
      </w:r>
      <w:r w:rsidR="005A1170" w:rsidRPr="00A65A50">
        <w:lastRenderedPageBreak/>
        <w:t>arising under State</w:t>
      </w:r>
      <w:r w:rsidR="005A1170">
        <w:t xml:space="preserve"> or Territory environment laws</w:t>
      </w:r>
      <w:r w:rsidR="00212A1E">
        <w:t>,</w:t>
      </w:r>
      <w:r w:rsidR="005A1170">
        <w:t xml:space="preserve"> </w:t>
      </w:r>
      <w:r w:rsidR="005A1170" w:rsidRPr="00A65A50">
        <w:t xml:space="preserve">or other Commonwealth </w:t>
      </w:r>
      <w:r w:rsidR="00212A1E">
        <w:t>environmental laws</w:t>
      </w:r>
      <w:r w:rsidR="005A1170">
        <w:t>.</w:t>
      </w:r>
    </w:p>
    <w:p w:rsidR="005A1170" w:rsidRDefault="005A1170" w:rsidP="00AB1664"/>
    <w:p w:rsidR="00904C7A" w:rsidRPr="00904C7A" w:rsidRDefault="00904C7A" w:rsidP="00AB1664">
      <w:r w:rsidRPr="00904C7A">
        <w:t>If evidence of a person’s non-compliance is identified (e.g. through monitoring and audit activities) this evidence may be included in relation to the person’s environmental history, even if no proceedings</w:t>
      </w:r>
      <w:r w:rsidRPr="00904C7A">
        <w:rPr>
          <w:rStyle w:val="FootnoteReference"/>
          <w:sz w:val="22"/>
          <w:szCs w:val="22"/>
        </w:rPr>
        <w:footnoteReference w:id="3"/>
      </w:r>
      <w:r w:rsidRPr="00904C7A">
        <w:t xml:space="preserve"> were commenced against the person. In these cases </w:t>
      </w:r>
      <w:r w:rsidR="00B4527E">
        <w:t>the department’s recommendations to the Minister</w:t>
      </w:r>
      <w:r w:rsidR="00B4527E" w:rsidRPr="00904C7A">
        <w:t xml:space="preserve"> </w:t>
      </w:r>
      <w:r w:rsidRPr="00904C7A">
        <w:t xml:space="preserve">should state why the department did not take legal action – this may reflect policy reasons such as the availability of alternative administrative mechanisms. The degree of non-compliance involved in these cases </w:t>
      </w:r>
      <w:r w:rsidR="00B4527E">
        <w:t>would</w:t>
      </w:r>
      <w:r w:rsidR="00B4527E" w:rsidRPr="00904C7A">
        <w:t xml:space="preserve"> </w:t>
      </w:r>
      <w:r w:rsidRPr="00904C7A">
        <w:t xml:space="preserve">be made clear in the </w:t>
      </w:r>
      <w:r w:rsidR="00B4527E">
        <w:t>recommendation</w:t>
      </w:r>
      <w:r w:rsidR="00B4527E" w:rsidRPr="00904C7A">
        <w:t xml:space="preserve"> </w:t>
      </w:r>
      <w:r w:rsidRPr="00904C7A">
        <w:t>provided to the Minister or a delegate.</w:t>
      </w:r>
    </w:p>
    <w:p w:rsidR="00904C7A" w:rsidRPr="00904C7A" w:rsidRDefault="00904C7A" w:rsidP="00AB1664"/>
    <w:p w:rsidR="00904C7A" w:rsidRPr="00904C7A" w:rsidRDefault="00904C7A" w:rsidP="00AB1664">
      <w:proofErr w:type="gramStart"/>
      <w:r w:rsidRPr="00904C7A">
        <w:t xml:space="preserve">Where information about a non-compliance incident is taken into account as part of a person’s environmental history, </w:t>
      </w:r>
      <w:r w:rsidR="00050113">
        <w:t xml:space="preserve">no implication or suggestion would be drawn </w:t>
      </w:r>
      <w:r w:rsidRPr="00904C7A">
        <w:t>that the person would have been convicted or subject to a civil penalty if proceedings had been initiated against that person.</w:t>
      </w:r>
      <w:proofErr w:type="gramEnd"/>
    </w:p>
    <w:p w:rsidR="00E23EE3" w:rsidRDefault="00E23EE3" w:rsidP="00AB1664"/>
    <w:p w:rsidR="00904C7A" w:rsidRDefault="00050113" w:rsidP="00AB1664">
      <w:r>
        <w:t>An</w:t>
      </w:r>
      <w:r w:rsidR="00883CE2" w:rsidRPr="00B753EF">
        <w:t xml:space="preserve"> incomplete</w:t>
      </w:r>
      <w:r w:rsidR="009A2950" w:rsidRPr="00B753EF">
        <w:t xml:space="preserve"> investigation </w:t>
      </w:r>
      <w:r>
        <w:t>would</w:t>
      </w:r>
      <w:r w:rsidRPr="00B753EF">
        <w:t xml:space="preserve"> </w:t>
      </w:r>
      <w:r w:rsidR="009A2950" w:rsidRPr="00B753EF">
        <w:t>not be considered</w:t>
      </w:r>
      <w:r w:rsidR="00883CE2" w:rsidRPr="00B753EF">
        <w:t xml:space="preserve"> as part of a person’s environmental history</w:t>
      </w:r>
      <w:r w:rsidR="009A2950" w:rsidRPr="00B753EF">
        <w:t>, as no proceedings may result or the person may be found not to have contravened any environmental requirements.</w:t>
      </w:r>
    </w:p>
    <w:p w:rsidR="00904C7A" w:rsidRPr="00904C7A" w:rsidRDefault="00904C7A" w:rsidP="00AB1664">
      <w:pPr>
        <w:pStyle w:val="Heading2"/>
      </w:pPr>
      <w:bookmarkStart w:id="12" w:name="_Toc335724795"/>
      <w:r w:rsidRPr="00904C7A">
        <w:lastRenderedPageBreak/>
        <w:t>Remediation determinations, enforceable undertakings etc under the EPBC Act</w:t>
      </w:r>
      <w:bookmarkEnd w:id="12"/>
    </w:p>
    <w:p w:rsidR="00904C7A" w:rsidRPr="00904C7A" w:rsidRDefault="00904C7A" w:rsidP="00AB1664">
      <w:r w:rsidRPr="00904C7A">
        <w:t xml:space="preserve">If the Minister considers that an action taken by a person has contravened a civil penalty provision of Part 3, the Minister may make certain administrative ‘penalty’ decisions, including remediation determinations (section 480D) and accepting an enforceable undertaking (section 486DA). </w:t>
      </w:r>
    </w:p>
    <w:p w:rsidR="00904C7A" w:rsidRPr="00904C7A" w:rsidRDefault="00904C7A" w:rsidP="00AB1664"/>
    <w:p w:rsidR="00904C7A" w:rsidRPr="00904C7A" w:rsidRDefault="00297136" w:rsidP="00AB1664">
      <w:r>
        <w:t xml:space="preserve">A </w:t>
      </w:r>
      <w:r w:rsidR="00904C7A" w:rsidRPr="00904C7A">
        <w:t xml:space="preserve">court determination </w:t>
      </w:r>
      <w:r>
        <w:t xml:space="preserve">stating </w:t>
      </w:r>
      <w:r w:rsidR="00904C7A" w:rsidRPr="00904C7A">
        <w:t>a contravention</w:t>
      </w:r>
      <w:r>
        <w:t xml:space="preserve"> occurred is not necessary</w:t>
      </w:r>
      <w:r w:rsidR="00904C7A" w:rsidRPr="00904C7A">
        <w:t xml:space="preserve"> for </w:t>
      </w:r>
      <w:r>
        <w:t>this</w:t>
      </w:r>
      <w:r w:rsidR="00904C7A" w:rsidRPr="00904C7A">
        <w:t xml:space="preserve"> decision. Nevertheless, the Minister must consider that a contravention has occurred, and would only make such a decision where strong evidence supports that view.</w:t>
      </w:r>
    </w:p>
    <w:p w:rsidR="00904C7A" w:rsidRPr="00904C7A" w:rsidRDefault="00904C7A" w:rsidP="00AB1664"/>
    <w:p w:rsidR="00904C7A" w:rsidRPr="00904C7A" w:rsidRDefault="00904C7A" w:rsidP="00AB1664">
      <w:r w:rsidRPr="00904C7A">
        <w:t xml:space="preserve">If the Minister makes, for example, a remediation order, and the decision is supported by an admission by the relevant person, the evidence used to support the decision about the contravention would be relevant to the person’s environmental history. However, if the person </w:t>
      </w:r>
      <w:r w:rsidR="00050113">
        <w:t>has</w:t>
      </w:r>
      <w:r w:rsidR="00050113" w:rsidRPr="00904C7A">
        <w:t xml:space="preserve"> </w:t>
      </w:r>
      <w:r w:rsidRPr="00904C7A">
        <w:t>not admi</w:t>
      </w:r>
      <w:r w:rsidR="00050113">
        <w:t>t</w:t>
      </w:r>
      <w:r w:rsidRPr="00904C7A">
        <w:t>t</w:t>
      </w:r>
      <w:r w:rsidR="00050113">
        <w:t>ed</w:t>
      </w:r>
      <w:r w:rsidRPr="00904C7A">
        <w:t xml:space="preserve"> to the contravention, then </w:t>
      </w:r>
      <w:r w:rsidR="00050113">
        <w:t xml:space="preserve">the department would not usually </w:t>
      </w:r>
      <w:r w:rsidR="00050113" w:rsidRPr="00904C7A">
        <w:t>tak</w:t>
      </w:r>
      <w:r w:rsidR="00050113">
        <w:t>e</w:t>
      </w:r>
      <w:r w:rsidR="00050113" w:rsidRPr="00904C7A">
        <w:t xml:space="preserve"> </w:t>
      </w:r>
      <w:r w:rsidRPr="00904C7A">
        <w:t xml:space="preserve">the information into account as part of a person’s environmental history. In such cases, a Ministerial remediation determination or enforceable undertaking </w:t>
      </w:r>
      <w:r w:rsidR="00050113">
        <w:t>would</w:t>
      </w:r>
      <w:r w:rsidR="00050113" w:rsidRPr="00904C7A">
        <w:t xml:space="preserve"> </w:t>
      </w:r>
      <w:r w:rsidRPr="00904C7A">
        <w:t xml:space="preserve">not be considered in isolation, but in relation to the evidence about the circumstances of the alleged contravention which led to the Minister issuing the determination or undertaking. </w:t>
      </w:r>
    </w:p>
    <w:p w:rsidR="00904C7A" w:rsidRPr="00904C7A" w:rsidRDefault="00904C7A" w:rsidP="00AB1664">
      <w:pPr>
        <w:pStyle w:val="Heading1"/>
      </w:pPr>
      <w:bookmarkStart w:id="13" w:name="_Toc335724796"/>
      <w:r w:rsidRPr="00904C7A">
        <w:lastRenderedPageBreak/>
        <w:t>Sources of information about a person’s environmental history</w:t>
      </w:r>
      <w:bookmarkEnd w:id="13"/>
    </w:p>
    <w:p w:rsidR="00904C7A" w:rsidRPr="00904C7A" w:rsidRDefault="00904C7A" w:rsidP="00AB1664">
      <w:r w:rsidRPr="00904C7A">
        <w:t xml:space="preserve">The EPBC Act does not limit the type of information that could be relevant to a person’s environmental history. Information may be obtained from various sources, including </w:t>
      </w:r>
      <w:r w:rsidR="00050113">
        <w:t xml:space="preserve">by the department from its own records </w:t>
      </w:r>
      <w:r w:rsidRPr="00904C7A">
        <w:t xml:space="preserve">(e.g. audit reports), directly from the proponent (e.g. admissions to failing to comply with approval conditions), or from other external sources (e.g. court reports and Commonwealth/State/Territory agencies). </w:t>
      </w:r>
    </w:p>
    <w:p w:rsidR="00904C7A" w:rsidRPr="00904C7A" w:rsidRDefault="00904C7A" w:rsidP="00AB1664"/>
    <w:p w:rsidR="00904C7A" w:rsidRPr="00904C7A" w:rsidRDefault="00904C7A" w:rsidP="00AB1664">
      <w:r w:rsidRPr="00904C7A">
        <w:t xml:space="preserve">Section 6 of the </w:t>
      </w:r>
      <w:r w:rsidR="00297136">
        <w:t>D</w:t>
      </w:r>
      <w:r w:rsidRPr="00904C7A">
        <w:t xml:space="preserve">epartment’s ‘Referral of proposed action’ form requires proponents to set out their environmental history, including whether their record is satisfactory, and whether they have been subject to proceedings under an Australian environmental law. This information is supplemented by the </w:t>
      </w:r>
      <w:r w:rsidR="00297136">
        <w:t>D</w:t>
      </w:r>
      <w:r w:rsidRPr="00904C7A">
        <w:t>epartment’s records of proponent compliance.</w:t>
      </w:r>
    </w:p>
    <w:p w:rsidR="00904C7A" w:rsidRPr="00904C7A" w:rsidRDefault="00904C7A" w:rsidP="00AB1664"/>
    <w:p w:rsidR="00904C7A" w:rsidRPr="00904C7A" w:rsidRDefault="009A2950" w:rsidP="00AB1664">
      <w:r w:rsidRPr="009A2950">
        <w:t>Other sources of information of a person’s environmental history are Public Environment Reports (PER) or Environmental Impact Statements (EIS) pursuant to paragraphs 97(2</w:t>
      </w:r>
      <w:proofErr w:type="gramStart"/>
      <w:r w:rsidRPr="009A2950">
        <w:t>)(</w:t>
      </w:r>
      <w:proofErr w:type="gramEnd"/>
      <w:r w:rsidRPr="009A2950">
        <w:t xml:space="preserve">b) and 102(2)(b).  These </w:t>
      </w:r>
      <w:r w:rsidR="00286960" w:rsidRPr="00EF5614">
        <w:t>paragraphs</w:t>
      </w:r>
      <w:r w:rsidRPr="009A2950">
        <w:t xml:space="preserve"> require the proponent to comply with any matters specified in the regulations.  EPBC Regulation 5.04 requires the person proposing to take the action to address the matters in </w:t>
      </w:r>
      <w:r w:rsidR="00EF5614">
        <w:t>S</w:t>
      </w:r>
      <w:r w:rsidRPr="009A2950">
        <w:t xml:space="preserve">chedule 4 of the EPBC Regulations.  Among other things, </w:t>
      </w:r>
      <w:r w:rsidR="00EF5614">
        <w:t>S</w:t>
      </w:r>
      <w:r w:rsidRPr="009A2950">
        <w:t>chedule 4 requires that the person proposing to take the action provide d</w:t>
      </w:r>
      <w:r w:rsidRPr="009A2950">
        <w:rPr>
          <w:snapToGrid w:val="0"/>
        </w:rPr>
        <w:t xml:space="preserve">etails of any proceedings under a Commonwealth, State or Territory law for the protection of the environment or the conservation </w:t>
      </w:r>
      <w:r w:rsidRPr="009A2950">
        <w:rPr>
          <w:snapToGrid w:val="0"/>
        </w:rPr>
        <w:lastRenderedPageBreak/>
        <w:t>and sustainable use of natural resources against</w:t>
      </w:r>
      <w:r w:rsidR="000939E8">
        <w:rPr>
          <w:snapToGrid w:val="0"/>
        </w:rPr>
        <w:t xml:space="preserve"> the person proposing to take the action</w:t>
      </w:r>
      <w:r w:rsidRPr="009A2950">
        <w:rPr>
          <w:snapToGrid w:val="0"/>
        </w:rPr>
        <w:t>.  In the case of corporations, corporations are also required to provide details of their environmental policies and planning framework.</w:t>
      </w:r>
      <w:r w:rsidR="00904C7A" w:rsidRPr="00904C7A">
        <w:rPr>
          <w:snapToGrid w:val="0"/>
        </w:rPr>
        <w:t xml:space="preserve">  </w:t>
      </w:r>
    </w:p>
    <w:p w:rsidR="00904C7A" w:rsidRPr="00904C7A" w:rsidRDefault="00904C7A" w:rsidP="00AB1664"/>
    <w:p w:rsidR="00904C7A" w:rsidRPr="00904C7A" w:rsidRDefault="00050113" w:rsidP="00AB1664">
      <w:r>
        <w:t>The department will</w:t>
      </w:r>
      <w:r w:rsidR="00904C7A" w:rsidRPr="00904C7A">
        <w:t xml:space="preserve"> check the accuracy of any information provided by individuals or agencies against publicly available sources (e.g. checking whether particular offence proceedings against a person resulted in an acquittal).</w:t>
      </w:r>
    </w:p>
    <w:p w:rsidR="00904C7A" w:rsidRPr="00904C7A" w:rsidRDefault="00904C7A" w:rsidP="00AB1664"/>
    <w:p w:rsidR="00904C7A" w:rsidRPr="00904C7A" w:rsidRDefault="00904C7A" w:rsidP="00AB1664">
      <w:r w:rsidRPr="00904C7A">
        <w:t>For example, if searching for case law, a useful starting point is the Australasian Legal Information Institute (</w:t>
      </w:r>
      <w:hyperlink r:id="rId13" w:history="1">
        <w:r w:rsidRPr="00904C7A">
          <w:rPr>
            <w:rStyle w:val="Hyperlink"/>
            <w:sz w:val="22"/>
            <w:szCs w:val="22"/>
          </w:rPr>
          <w:t>www.austlii.edu.au</w:t>
        </w:r>
      </w:hyperlink>
      <w:r w:rsidRPr="00904C7A">
        <w:t xml:space="preserve">). Alternatively, State and Territory law court sites provide copies of recent cases (e.g. NSW: </w:t>
      </w:r>
      <w:hyperlink r:id="rId14" w:history="1">
        <w:r w:rsidRPr="00904C7A">
          <w:rPr>
            <w:rStyle w:val="Hyperlink"/>
            <w:sz w:val="22"/>
            <w:szCs w:val="22"/>
          </w:rPr>
          <w:t>www.lawlink.nsw.gov.au</w:t>
        </w:r>
      </w:hyperlink>
      <w:r w:rsidRPr="00904C7A">
        <w:t>).</w:t>
      </w:r>
    </w:p>
    <w:p w:rsidR="00904C7A" w:rsidRPr="00904C7A" w:rsidRDefault="003A167C" w:rsidP="00AB1664">
      <w:pPr>
        <w:pStyle w:val="Heading1"/>
      </w:pPr>
      <w:bookmarkStart w:id="14" w:name="_Toc335724797"/>
      <w:r>
        <w:t>Natural Justice</w:t>
      </w:r>
      <w:bookmarkEnd w:id="14"/>
      <w:r w:rsidR="00904C7A" w:rsidRPr="00904C7A">
        <w:t xml:space="preserve"> </w:t>
      </w:r>
    </w:p>
    <w:p w:rsidR="00904C7A" w:rsidRPr="00904C7A" w:rsidRDefault="00904C7A" w:rsidP="00AB1664">
      <w:r w:rsidRPr="00904C7A">
        <w:t xml:space="preserve">If information about the person’s environmental history is before the Minister the person </w:t>
      </w:r>
      <w:r w:rsidR="00050113">
        <w:t>will</w:t>
      </w:r>
      <w:r w:rsidR="00050113" w:rsidRPr="00904C7A">
        <w:t xml:space="preserve"> </w:t>
      </w:r>
      <w:r w:rsidRPr="00904C7A">
        <w:t xml:space="preserve">be given an opportunity to comment on any adverse findings and its relevance to the decision being made before the decision is </w:t>
      </w:r>
      <w:proofErr w:type="spellStart"/>
      <w:r w:rsidRPr="00904C7A">
        <w:t>finalised</w:t>
      </w:r>
      <w:proofErr w:type="spellEnd"/>
      <w:r w:rsidR="00D2441F">
        <w:t xml:space="preserve"> (known as the </w:t>
      </w:r>
      <w:r w:rsidR="00D2441F" w:rsidRPr="00D2441F">
        <w:rPr>
          <w:b/>
        </w:rPr>
        <w:t>natural justice hearing rule</w:t>
      </w:r>
      <w:r w:rsidR="003A167C">
        <w:rPr>
          <w:b/>
        </w:rPr>
        <w:t xml:space="preserve"> </w:t>
      </w:r>
      <w:r w:rsidR="003A167C">
        <w:t xml:space="preserve">or in this note, simply referred to as </w:t>
      </w:r>
      <w:r w:rsidR="003A167C">
        <w:rPr>
          <w:b/>
        </w:rPr>
        <w:t>natural justice</w:t>
      </w:r>
      <w:r w:rsidR="00D2441F">
        <w:t>)</w:t>
      </w:r>
      <w:r w:rsidRPr="00904C7A">
        <w:t xml:space="preserve">. </w:t>
      </w:r>
      <w:r w:rsidR="00E23EE3">
        <w:t>F</w:t>
      </w:r>
      <w:r w:rsidRPr="00904C7A">
        <w:t>ailure to</w:t>
      </w:r>
      <w:r w:rsidR="00E23EE3">
        <w:t xml:space="preserve"> adhere </w:t>
      </w:r>
      <w:r w:rsidR="00A51E43">
        <w:t xml:space="preserve">to </w:t>
      </w:r>
      <w:r w:rsidR="00E23EE3">
        <w:t>the requirements of natural justice</w:t>
      </w:r>
      <w:r w:rsidRPr="00904C7A">
        <w:t xml:space="preserve"> can result in the decision being challenged under the </w:t>
      </w:r>
      <w:r w:rsidRPr="004949F0">
        <w:rPr>
          <w:i/>
        </w:rPr>
        <w:t>Administrative Decisions (Judicial Review) Act</w:t>
      </w:r>
      <w:r w:rsidR="00297136">
        <w:rPr>
          <w:i/>
        </w:rPr>
        <w:t xml:space="preserve"> 1977 </w:t>
      </w:r>
      <w:r w:rsidR="009A2950" w:rsidRPr="009A2950">
        <w:t>(</w:t>
      </w:r>
      <w:proofErr w:type="spellStart"/>
      <w:r w:rsidR="009A2950" w:rsidRPr="009A2950">
        <w:t>Cth</w:t>
      </w:r>
      <w:proofErr w:type="spellEnd"/>
      <w:r w:rsidR="009A2950" w:rsidRPr="009A2950">
        <w:t>)</w:t>
      </w:r>
      <w:r w:rsidRPr="00297136">
        <w:t>.</w:t>
      </w:r>
    </w:p>
    <w:p w:rsidR="00904C7A" w:rsidRPr="00904C7A" w:rsidRDefault="00904C7A" w:rsidP="00AB1664"/>
    <w:p w:rsidR="005F1A04" w:rsidRPr="00AB1664" w:rsidRDefault="005F1A04" w:rsidP="00050113">
      <w:pPr>
        <w:pStyle w:val="LegalClauseLevel3"/>
        <w:tabs>
          <w:tab w:val="clear" w:pos="1418"/>
          <w:tab w:val="num" w:pos="426"/>
        </w:tabs>
        <w:ind w:left="426" w:right="0" w:hanging="426"/>
        <w:rPr>
          <w:rFonts w:ascii="Tahoma" w:hAnsi="Tahoma" w:cs="Tahoma"/>
          <w:sz w:val="20"/>
          <w:szCs w:val="20"/>
        </w:rPr>
      </w:pPr>
      <w:r w:rsidRPr="00AB1664">
        <w:rPr>
          <w:rFonts w:ascii="Tahoma" w:hAnsi="Tahoma" w:cs="Tahoma"/>
          <w:sz w:val="20"/>
          <w:szCs w:val="20"/>
        </w:rPr>
        <w:t xml:space="preserve">The </w:t>
      </w:r>
      <w:r w:rsidR="00B0607B" w:rsidRPr="00AB1664">
        <w:rPr>
          <w:rFonts w:ascii="Tahoma" w:hAnsi="Tahoma" w:cs="Tahoma"/>
          <w:sz w:val="20"/>
          <w:szCs w:val="20"/>
        </w:rPr>
        <w:t xml:space="preserve">nature of the Department’s natural justice obligations (i.e. the amount and type of information that must be provided to a person and the period they should be given </w:t>
      </w:r>
      <w:r w:rsidR="00B0607B" w:rsidRPr="00AB1664">
        <w:rPr>
          <w:rFonts w:ascii="Tahoma" w:hAnsi="Tahoma" w:cs="Tahoma"/>
          <w:sz w:val="20"/>
          <w:szCs w:val="20"/>
        </w:rPr>
        <w:lastRenderedPageBreak/>
        <w:t xml:space="preserve">to provide comments) </w:t>
      </w:r>
      <w:r w:rsidRPr="00AB1664">
        <w:rPr>
          <w:rFonts w:ascii="Tahoma" w:hAnsi="Tahoma" w:cs="Tahoma"/>
          <w:sz w:val="20"/>
          <w:szCs w:val="20"/>
        </w:rPr>
        <w:t>depends on the circumstances of the particular case, including:</w:t>
      </w:r>
    </w:p>
    <w:p w:rsidR="005F1A04" w:rsidRPr="00AB1664" w:rsidRDefault="005F1A04" w:rsidP="00050113">
      <w:pPr>
        <w:pStyle w:val="LegalClauseLevel4"/>
        <w:tabs>
          <w:tab w:val="clear" w:pos="1985"/>
          <w:tab w:val="left" w:pos="851"/>
        </w:tabs>
        <w:ind w:left="851" w:right="0" w:hanging="425"/>
        <w:rPr>
          <w:rFonts w:ascii="Tahoma" w:hAnsi="Tahoma" w:cs="Tahoma"/>
          <w:sz w:val="20"/>
          <w:szCs w:val="20"/>
        </w:rPr>
      </w:pPr>
      <w:r w:rsidRPr="00AB1664">
        <w:rPr>
          <w:rFonts w:ascii="Tahoma" w:hAnsi="Tahoma" w:cs="Tahoma"/>
          <w:sz w:val="20"/>
          <w:szCs w:val="20"/>
        </w:rPr>
        <w:t xml:space="preserve">the particular </w:t>
      </w:r>
      <w:r w:rsidR="002F3CAA">
        <w:rPr>
          <w:rFonts w:ascii="Tahoma" w:hAnsi="Tahoma" w:cs="Tahoma"/>
          <w:sz w:val="20"/>
          <w:szCs w:val="20"/>
        </w:rPr>
        <w:t>provisions of the EPBC Act</w:t>
      </w:r>
      <w:r w:rsidRPr="00AB1664">
        <w:rPr>
          <w:rFonts w:ascii="Tahoma" w:hAnsi="Tahoma" w:cs="Tahoma"/>
          <w:sz w:val="20"/>
          <w:szCs w:val="20"/>
        </w:rPr>
        <w:t>;</w:t>
      </w:r>
    </w:p>
    <w:p w:rsidR="005F1A04" w:rsidRPr="00AB1664" w:rsidRDefault="005F1A04" w:rsidP="00050113">
      <w:pPr>
        <w:pStyle w:val="LegalClauseLevel4"/>
        <w:tabs>
          <w:tab w:val="clear" w:pos="1985"/>
          <w:tab w:val="left" w:pos="851"/>
        </w:tabs>
        <w:ind w:left="851" w:right="0" w:hanging="425"/>
        <w:rPr>
          <w:rFonts w:ascii="Tahoma" w:hAnsi="Tahoma" w:cs="Tahoma"/>
          <w:sz w:val="20"/>
          <w:szCs w:val="20"/>
        </w:rPr>
      </w:pPr>
      <w:r w:rsidRPr="00AB1664">
        <w:rPr>
          <w:rFonts w:ascii="Tahoma" w:hAnsi="Tahoma" w:cs="Tahoma"/>
          <w:sz w:val="20"/>
          <w:szCs w:val="20"/>
        </w:rPr>
        <w:t>the nature of the interest affected by the decision, and the consequences of the decision for the person;</w:t>
      </w:r>
    </w:p>
    <w:p w:rsidR="005F1A04" w:rsidRPr="00AB1664" w:rsidRDefault="005F1A04" w:rsidP="00050113">
      <w:pPr>
        <w:pStyle w:val="LegalClauseLevel4"/>
        <w:tabs>
          <w:tab w:val="clear" w:pos="1985"/>
          <w:tab w:val="left" w:pos="851"/>
        </w:tabs>
        <w:ind w:left="851" w:right="0" w:hanging="425"/>
        <w:rPr>
          <w:rFonts w:ascii="Tahoma" w:hAnsi="Tahoma" w:cs="Tahoma"/>
          <w:sz w:val="20"/>
          <w:szCs w:val="20"/>
        </w:rPr>
      </w:pPr>
      <w:r w:rsidRPr="00AB1664">
        <w:rPr>
          <w:rFonts w:ascii="Tahoma" w:hAnsi="Tahoma" w:cs="Tahoma"/>
          <w:sz w:val="20"/>
          <w:szCs w:val="20"/>
        </w:rPr>
        <w:t>the degree of urgency with which the decision must be made;</w:t>
      </w:r>
    </w:p>
    <w:p w:rsidR="005F1A04" w:rsidRPr="00AB1664" w:rsidRDefault="005F1A04" w:rsidP="00050113">
      <w:pPr>
        <w:pStyle w:val="LegalClauseLevel4"/>
        <w:tabs>
          <w:tab w:val="clear" w:pos="1985"/>
          <w:tab w:val="left" w:pos="851"/>
        </w:tabs>
        <w:ind w:left="851" w:right="0" w:hanging="425"/>
        <w:rPr>
          <w:rFonts w:ascii="Tahoma" w:hAnsi="Tahoma" w:cs="Tahoma"/>
          <w:sz w:val="20"/>
          <w:szCs w:val="20"/>
        </w:rPr>
      </w:pPr>
      <w:r w:rsidRPr="00AB1664">
        <w:rPr>
          <w:rFonts w:ascii="Tahoma" w:hAnsi="Tahoma" w:cs="Tahoma"/>
          <w:sz w:val="20"/>
          <w:szCs w:val="20"/>
        </w:rPr>
        <w:t>whether it is an area of high-volume decision-making; and</w:t>
      </w:r>
    </w:p>
    <w:p w:rsidR="005F1A04" w:rsidRPr="00AB1664" w:rsidRDefault="005F1A04" w:rsidP="00050113">
      <w:pPr>
        <w:pStyle w:val="LegalClauseLevel4"/>
        <w:tabs>
          <w:tab w:val="clear" w:pos="1985"/>
          <w:tab w:val="left" w:pos="851"/>
        </w:tabs>
        <w:ind w:left="851" w:right="0" w:hanging="425"/>
        <w:rPr>
          <w:rFonts w:ascii="Tahoma" w:hAnsi="Tahoma" w:cs="Tahoma"/>
          <w:sz w:val="20"/>
          <w:szCs w:val="20"/>
        </w:rPr>
      </w:pPr>
      <w:proofErr w:type="gramStart"/>
      <w:r w:rsidRPr="00AB1664">
        <w:rPr>
          <w:rFonts w:ascii="Tahoma" w:hAnsi="Tahoma" w:cs="Tahoma"/>
          <w:sz w:val="20"/>
          <w:szCs w:val="20"/>
        </w:rPr>
        <w:t>the</w:t>
      </w:r>
      <w:proofErr w:type="gramEnd"/>
      <w:r w:rsidRPr="00AB1664">
        <w:rPr>
          <w:rFonts w:ascii="Tahoma" w:hAnsi="Tahoma" w:cs="Tahoma"/>
          <w:sz w:val="20"/>
          <w:szCs w:val="20"/>
        </w:rPr>
        <w:t xml:space="preserve"> existence of merits review or of a staged decision-making process.</w:t>
      </w:r>
    </w:p>
    <w:p w:rsidR="00286960" w:rsidRDefault="00286960" w:rsidP="00AB1664"/>
    <w:p w:rsidR="00E23EE3" w:rsidRDefault="00E23EE3" w:rsidP="00AB1664">
      <w:r w:rsidRPr="00904C7A">
        <w:t xml:space="preserve">In the case of information indicating an incident of non-compliance, the person </w:t>
      </w:r>
      <w:r w:rsidR="002F3CAA">
        <w:t xml:space="preserve">would </w:t>
      </w:r>
      <w:r>
        <w:t>generally</w:t>
      </w:r>
      <w:r w:rsidRPr="00904C7A">
        <w:t xml:space="preserve"> be invited to comment on whether the incident occurred, any mitigating circumstances and any subsequent steps the person has taken to remediate the incident.</w:t>
      </w:r>
      <w:r>
        <w:t xml:space="preserve"> </w:t>
      </w:r>
    </w:p>
    <w:p w:rsidR="00E23EE3" w:rsidRDefault="00E23EE3" w:rsidP="00AB1664"/>
    <w:p w:rsidR="00E23EE3" w:rsidRDefault="00E23EE3" w:rsidP="00AB1664">
      <w:r>
        <w:t>However, in certain circumstances, the Minister may not be required to comply with the requirements of natural justice or, may do so by doing less than set out in the previous paragraph. Examples of this include:</w:t>
      </w:r>
    </w:p>
    <w:p w:rsidR="00E23EE3" w:rsidRDefault="00E23EE3" w:rsidP="00AB1664"/>
    <w:p w:rsidR="00E23EE3" w:rsidRDefault="00E23EE3" w:rsidP="002F3CAA">
      <w:pPr>
        <w:pStyle w:val="ListParagraph"/>
        <w:numPr>
          <w:ilvl w:val="0"/>
          <w:numId w:val="13"/>
        </w:numPr>
        <w:ind w:left="426" w:hanging="426"/>
      </w:pPr>
      <w:r w:rsidRPr="00904C7A">
        <w:t xml:space="preserve">a decision under </w:t>
      </w:r>
      <w:r>
        <w:t>sub</w:t>
      </w:r>
      <w:r w:rsidRPr="00904C7A">
        <w:t>section 87(4A) to assess a proposed action on referral information</w:t>
      </w:r>
      <w:r>
        <w:t xml:space="preserve"> – in this instance </w:t>
      </w:r>
      <w:r w:rsidRPr="00904C7A">
        <w:t>the decision-maker is generally not required to provide procedural fairness as an assessment approach decision does not directly affect</w:t>
      </w:r>
      <w:r>
        <w:t xml:space="preserve"> the </w:t>
      </w:r>
      <w:r w:rsidR="002F3CAA">
        <w:t>interests</w:t>
      </w:r>
      <w:r>
        <w:t xml:space="preserve"> of the person; and</w:t>
      </w:r>
    </w:p>
    <w:p w:rsidR="003A167C" w:rsidRDefault="003A167C" w:rsidP="00AB1664"/>
    <w:p w:rsidR="00904C7A" w:rsidRPr="00904C7A" w:rsidRDefault="00E23EE3" w:rsidP="002F3CAA">
      <w:pPr>
        <w:pStyle w:val="ListParagraph"/>
        <w:numPr>
          <w:ilvl w:val="0"/>
          <w:numId w:val="13"/>
        </w:numPr>
      </w:pPr>
      <w:r>
        <w:t xml:space="preserve">a decision under section 133 or 134 – in this instance, section </w:t>
      </w:r>
      <w:r w:rsidR="00904C7A" w:rsidRPr="00904C7A">
        <w:t xml:space="preserve">131AA of the EPBC Act provides an exhaustive statement of the Minister’s </w:t>
      </w:r>
      <w:r w:rsidR="003A167C">
        <w:t>natural justice</w:t>
      </w:r>
      <w:r w:rsidR="00904C7A" w:rsidRPr="00904C7A">
        <w:t xml:space="preserve"> obligations in relation to a decision on whether or not to approve an action under section 133 of the Act, and a</w:t>
      </w:r>
      <w:r w:rsidR="00B0607B">
        <w:t>ttach any</w:t>
      </w:r>
      <w:r w:rsidR="00904C7A" w:rsidRPr="00904C7A">
        <w:t xml:space="preserve"> conditions to </w:t>
      </w:r>
      <w:r w:rsidR="00B0607B">
        <w:t>the</w:t>
      </w:r>
      <w:r w:rsidR="00904C7A" w:rsidRPr="00904C7A">
        <w:t xml:space="preserve"> approval</w:t>
      </w:r>
      <w:r w:rsidR="00B0607B">
        <w:t xml:space="preserve"> under </w:t>
      </w:r>
      <w:r w:rsidR="00D2441F">
        <w:t>section 134</w:t>
      </w:r>
      <w:r w:rsidR="00904C7A" w:rsidRPr="00904C7A">
        <w:t xml:space="preserve">, including the Minister’s consideration of a person’s environmental history as part of this decision. </w:t>
      </w:r>
    </w:p>
    <w:p w:rsidR="00904C7A" w:rsidRPr="00904C7A" w:rsidRDefault="00904C7A" w:rsidP="00AB1664"/>
    <w:p w:rsidR="00D2441F" w:rsidRPr="00904C7A" w:rsidRDefault="005419FC" w:rsidP="00AB1664">
      <w:r>
        <w:t>In these circumstances</w:t>
      </w:r>
      <w:r w:rsidR="00904C7A" w:rsidRPr="00904C7A">
        <w:t>, the Minister</w:t>
      </w:r>
      <w:r>
        <w:t xml:space="preserve"> may nevertheless decide to afford natural justice, or do more than lawfully required to afford natural justice to a person</w:t>
      </w:r>
      <w:r w:rsidR="003A167C">
        <w:t>.</w:t>
      </w:r>
      <w:r w:rsidR="00904C7A" w:rsidRPr="00904C7A">
        <w:t xml:space="preserve"> </w:t>
      </w:r>
      <w:r w:rsidR="003A167C">
        <w:t>F</w:t>
      </w:r>
      <w:r w:rsidR="00904C7A" w:rsidRPr="00904C7A">
        <w:t xml:space="preserve">or example, </w:t>
      </w:r>
      <w:r w:rsidR="003D6959">
        <w:t xml:space="preserve">if </w:t>
      </w:r>
      <w:r w:rsidR="00904C7A" w:rsidRPr="00904C7A">
        <w:t xml:space="preserve">a particular approval condition is proposed because of the information that the Minister has about a person’s environmental history, it </w:t>
      </w:r>
      <w:r w:rsidR="002F3CAA">
        <w:t>may</w:t>
      </w:r>
      <w:r w:rsidR="002F3CAA" w:rsidRPr="00904C7A">
        <w:t xml:space="preserve"> </w:t>
      </w:r>
      <w:r w:rsidR="00904C7A" w:rsidRPr="00904C7A">
        <w:t>be consistent with the spirit of procedural fairness requirements to give the relevant person a chance to comment on that information</w:t>
      </w:r>
      <w:r w:rsidR="003D6959">
        <w:t xml:space="preserve"> even though section 131AA does not expressly require the Minister to do so</w:t>
      </w:r>
      <w:r w:rsidR="00904C7A" w:rsidRPr="00904C7A">
        <w:t>.</w:t>
      </w:r>
      <w:r w:rsidR="003D6959">
        <w:t xml:space="preserve"> Similarly,</w:t>
      </w:r>
      <w:r w:rsidR="00D2441F" w:rsidRPr="00904C7A">
        <w:t xml:space="preserve"> if unfavorable information about the person’s environmental his</w:t>
      </w:r>
      <w:r>
        <w:t>tory is taken into account</w:t>
      </w:r>
      <w:r w:rsidR="00D2441F" w:rsidRPr="00904C7A">
        <w:t xml:space="preserve"> for the purposes of regulation 5.03A(1)(e), then it </w:t>
      </w:r>
      <w:r w:rsidR="002F3CAA">
        <w:t>would usually be</w:t>
      </w:r>
      <w:r w:rsidR="002F3CAA" w:rsidRPr="00904C7A">
        <w:t xml:space="preserve"> </w:t>
      </w:r>
      <w:r w:rsidR="00D2441F" w:rsidRPr="00904C7A">
        <w:t>appropriate to provide the person an opportunity to comment on the information, as a right to procedural fairness may be considered to arise because the information could be damaging to the person’s reputation.</w:t>
      </w:r>
    </w:p>
    <w:p w:rsidR="00904C7A" w:rsidRPr="00904C7A" w:rsidRDefault="00904C7A" w:rsidP="00AB1664"/>
    <w:p w:rsidR="006B14DB" w:rsidRPr="00904C7A" w:rsidRDefault="006B14DB" w:rsidP="00AB1664"/>
    <w:sectPr w:rsidR="006B14DB" w:rsidRPr="00904C7A" w:rsidSect="00DF18D6">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080" w:bottom="1440" w:left="1080" w:header="425" w:footer="425" w:gutter="0"/>
      <w:pgNumType w:start="1"/>
      <w:cols w:num="3"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BEE" w:rsidRDefault="00A84BEE" w:rsidP="00AB1664">
      <w:r>
        <w:separator/>
      </w:r>
    </w:p>
  </w:endnote>
  <w:endnote w:type="continuationSeparator" w:id="0">
    <w:p w:rsidR="00A84BEE" w:rsidRDefault="00A84BEE" w:rsidP="00AB16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BEE" w:rsidRDefault="00D15A0B" w:rsidP="00AB1664">
    <w:pPr>
      <w:pStyle w:val="Footer"/>
    </w:pPr>
    <w:fldSimple w:instr=" PAGE   \* MERGEFORMAT ">
      <w:r w:rsidR="00A84BEE">
        <w:rPr>
          <w:noProof/>
        </w:rPr>
        <w:t>2</w:t>
      </w:r>
    </w:fldSimple>
  </w:p>
  <w:p w:rsidR="00A84BEE" w:rsidRPr="006D59BB" w:rsidRDefault="00A84BEE" w:rsidP="00AB16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BEE" w:rsidRDefault="00D15A0B" w:rsidP="00AB1664">
    <w:pPr>
      <w:pStyle w:val="Footer"/>
    </w:pPr>
    <w:fldSimple w:instr=" PAGE   \* MERGEFORMAT ">
      <w:r w:rsidR="00373CD7">
        <w:rPr>
          <w:noProof/>
        </w:rPr>
        <w:t>1</w:t>
      </w:r>
    </w:fldSimple>
  </w:p>
  <w:p w:rsidR="00A84BEE" w:rsidRDefault="00A84BEE" w:rsidP="00AB166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BEE" w:rsidRDefault="00A84BEE" w:rsidP="00AB166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BEE" w:rsidRDefault="00D15A0B" w:rsidP="00AB1664">
    <w:pPr>
      <w:pStyle w:val="Footer"/>
    </w:pPr>
    <w:fldSimple w:instr=" PAGE   \* MERGEFORMAT ">
      <w:r w:rsidR="00373CD7">
        <w:rPr>
          <w:noProof/>
        </w:rPr>
        <w:t>3</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BEE" w:rsidRDefault="00A84BEE" w:rsidP="00AB16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BEE" w:rsidRDefault="00A84BEE" w:rsidP="00AB1664">
      <w:r>
        <w:separator/>
      </w:r>
    </w:p>
  </w:footnote>
  <w:footnote w:type="continuationSeparator" w:id="0">
    <w:p w:rsidR="00A84BEE" w:rsidRDefault="00A84BEE" w:rsidP="00AB1664">
      <w:r>
        <w:continuationSeparator/>
      </w:r>
    </w:p>
  </w:footnote>
  <w:footnote w:id="1">
    <w:p w:rsidR="00A84BEE" w:rsidRPr="00904C7A" w:rsidRDefault="00A84BEE" w:rsidP="00AB1664">
      <w:pPr>
        <w:pStyle w:val="FootnoteText"/>
      </w:pPr>
      <w:r>
        <w:rPr>
          <w:rStyle w:val="FootnoteReference"/>
        </w:rPr>
        <w:footnoteRef/>
      </w:r>
      <w:r>
        <w:t xml:space="preserve"> </w:t>
      </w:r>
      <w:proofErr w:type="spellStart"/>
      <w:r w:rsidRPr="00904C7A">
        <w:t>Butterworths</w:t>
      </w:r>
      <w:proofErr w:type="spellEnd"/>
      <w:r w:rsidRPr="00904C7A">
        <w:t xml:space="preserve"> Concise Australian Legal Dictionary, 2</w:t>
      </w:r>
      <w:r w:rsidRPr="00904C7A">
        <w:rPr>
          <w:vertAlign w:val="superscript"/>
        </w:rPr>
        <w:t>nd</w:t>
      </w:r>
      <w:r w:rsidRPr="00904C7A">
        <w:t xml:space="preserve"> edition, 1998 defines an ‘artificial person’ as “</w:t>
      </w:r>
      <w:r w:rsidRPr="00904C7A">
        <w:rPr>
          <w:i/>
        </w:rPr>
        <w:t xml:space="preserve">an entity </w:t>
      </w:r>
      <w:proofErr w:type="spellStart"/>
      <w:r w:rsidRPr="00904C7A">
        <w:rPr>
          <w:i/>
        </w:rPr>
        <w:t>recognised</w:t>
      </w:r>
      <w:proofErr w:type="spellEnd"/>
      <w:r w:rsidRPr="00904C7A">
        <w:rPr>
          <w:i/>
        </w:rPr>
        <w:t xml:space="preserve"> by law but which is not a real person, for example a company.”</w:t>
      </w:r>
    </w:p>
  </w:footnote>
  <w:footnote w:id="2">
    <w:p w:rsidR="00A84BEE" w:rsidRPr="00904C7A" w:rsidRDefault="00A84BEE" w:rsidP="00AB1664">
      <w:pPr>
        <w:pStyle w:val="FootnoteText"/>
      </w:pPr>
      <w:r w:rsidRPr="00904C7A">
        <w:rPr>
          <w:rStyle w:val="FootnoteReference"/>
          <w:sz w:val="18"/>
          <w:szCs w:val="18"/>
        </w:rPr>
        <w:footnoteRef/>
      </w:r>
      <w:r w:rsidRPr="00904C7A">
        <w:t xml:space="preserve"> Ibid</w:t>
      </w:r>
      <w:proofErr w:type="gramStart"/>
      <w:r w:rsidRPr="00904C7A">
        <w:t>,  ‘perpetual</w:t>
      </w:r>
      <w:proofErr w:type="gramEnd"/>
      <w:r w:rsidRPr="00904C7A">
        <w:t xml:space="preserve"> succession’ is defined as “that characteristic of a company which makes it a continuing entity in law with its own identity regardless of changes in its membership.  A registered company is declared to have perpetual succession.” </w:t>
      </w:r>
    </w:p>
  </w:footnote>
  <w:footnote w:id="3">
    <w:p w:rsidR="00A84BEE" w:rsidRPr="00904C7A" w:rsidRDefault="00A84BEE" w:rsidP="00AB1664">
      <w:pPr>
        <w:pStyle w:val="FootnoteText"/>
      </w:pPr>
      <w:r w:rsidRPr="00904C7A">
        <w:rPr>
          <w:rStyle w:val="FootnoteReference"/>
          <w:sz w:val="18"/>
          <w:szCs w:val="18"/>
        </w:rPr>
        <w:footnoteRef/>
      </w:r>
      <w:r w:rsidRPr="00904C7A">
        <w:t xml:space="preserve"> Ibid, </w:t>
      </w:r>
      <w:proofErr w:type="gramStart"/>
      <w:r w:rsidRPr="00904C7A">
        <w:t>proceedings is</w:t>
      </w:r>
      <w:proofErr w:type="gramEnd"/>
      <w:r w:rsidRPr="00904C7A">
        <w:t xml:space="preserve"> defined as “</w:t>
      </w:r>
      <w:r w:rsidRPr="00904C7A">
        <w:rPr>
          <w:i/>
        </w:rPr>
        <w:t>an action commenced in a court</w:t>
      </w:r>
      <w:r w:rsidRPr="00904C7A">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BEE" w:rsidRDefault="00D15A0B" w:rsidP="00AB1664">
    <w:pPr>
      <w:pStyle w:val="Classification"/>
    </w:pPr>
    <w:r>
      <w:fldChar w:fldCharType="begin"/>
    </w:r>
    <w:r w:rsidR="00A84BEE">
      <w:instrText xml:space="preserve"> DOCPROPERTY SecurityClassification \* MERGEFORMAT </w:instrText>
    </w:r>
    <w:r>
      <w:fldChar w:fldCharType="separate"/>
    </w:r>
    <w:r w:rsidR="00A84BEE">
      <w:rPr>
        <w:b/>
        <w:bCs/>
      </w:rPr>
      <w:t>Error! Unknown document property name.</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BEE" w:rsidRDefault="00A84BEE" w:rsidP="00AB166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BEE" w:rsidRDefault="00A84BEE" w:rsidP="00AB166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14860420"/>
    <w:multiLevelType w:val="hybridMultilevel"/>
    <w:tmpl w:val="D5F26170"/>
    <w:lvl w:ilvl="0" w:tplc="1E785C2A">
      <w:start w:val="1"/>
      <w:numFmt w:val="bullet"/>
      <w:lvlText w:val=""/>
      <w:lvlJc w:val="left"/>
      <w:pPr>
        <w:tabs>
          <w:tab w:val="num" w:pos="153"/>
        </w:tabs>
        <w:ind w:left="153" w:hanging="226"/>
      </w:pPr>
      <w:rPr>
        <w:rFonts w:ascii="Symbol" w:hAnsi="Symbol" w:hint="default"/>
        <w:sz w:val="20"/>
      </w:rPr>
    </w:lvl>
    <w:lvl w:ilvl="1" w:tplc="0C090003" w:tentative="1">
      <w:start w:val="1"/>
      <w:numFmt w:val="bullet"/>
      <w:lvlText w:val="o"/>
      <w:lvlJc w:val="left"/>
      <w:pPr>
        <w:tabs>
          <w:tab w:val="num" w:pos="1083"/>
        </w:tabs>
        <w:ind w:left="1083" w:hanging="360"/>
      </w:pPr>
      <w:rPr>
        <w:rFonts w:ascii="Courier New" w:hAnsi="Courier New" w:cs="Courier New" w:hint="default"/>
      </w:rPr>
    </w:lvl>
    <w:lvl w:ilvl="2" w:tplc="0C090005" w:tentative="1">
      <w:start w:val="1"/>
      <w:numFmt w:val="bullet"/>
      <w:lvlText w:val=""/>
      <w:lvlJc w:val="left"/>
      <w:pPr>
        <w:tabs>
          <w:tab w:val="num" w:pos="1803"/>
        </w:tabs>
        <w:ind w:left="1803" w:hanging="360"/>
      </w:pPr>
      <w:rPr>
        <w:rFonts w:ascii="Wingdings" w:hAnsi="Wingdings" w:hint="default"/>
      </w:rPr>
    </w:lvl>
    <w:lvl w:ilvl="3" w:tplc="0C090001" w:tentative="1">
      <w:start w:val="1"/>
      <w:numFmt w:val="bullet"/>
      <w:lvlText w:val=""/>
      <w:lvlJc w:val="left"/>
      <w:pPr>
        <w:tabs>
          <w:tab w:val="num" w:pos="2523"/>
        </w:tabs>
        <w:ind w:left="2523" w:hanging="360"/>
      </w:pPr>
      <w:rPr>
        <w:rFonts w:ascii="Symbol" w:hAnsi="Symbol" w:hint="default"/>
      </w:rPr>
    </w:lvl>
    <w:lvl w:ilvl="4" w:tplc="0C090003" w:tentative="1">
      <w:start w:val="1"/>
      <w:numFmt w:val="bullet"/>
      <w:lvlText w:val="o"/>
      <w:lvlJc w:val="left"/>
      <w:pPr>
        <w:tabs>
          <w:tab w:val="num" w:pos="3243"/>
        </w:tabs>
        <w:ind w:left="3243" w:hanging="360"/>
      </w:pPr>
      <w:rPr>
        <w:rFonts w:ascii="Courier New" w:hAnsi="Courier New" w:cs="Courier New" w:hint="default"/>
      </w:rPr>
    </w:lvl>
    <w:lvl w:ilvl="5" w:tplc="0C090005" w:tentative="1">
      <w:start w:val="1"/>
      <w:numFmt w:val="bullet"/>
      <w:lvlText w:val=""/>
      <w:lvlJc w:val="left"/>
      <w:pPr>
        <w:tabs>
          <w:tab w:val="num" w:pos="3963"/>
        </w:tabs>
        <w:ind w:left="3963" w:hanging="360"/>
      </w:pPr>
      <w:rPr>
        <w:rFonts w:ascii="Wingdings" w:hAnsi="Wingdings" w:hint="default"/>
      </w:rPr>
    </w:lvl>
    <w:lvl w:ilvl="6" w:tplc="0C090001" w:tentative="1">
      <w:start w:val="1"/>
      <w:numFmt w:val="bullet"/>
      <w:lvlText w:val=""/>
      <w:lvlJc w:val="left"/>
      <w:pPr>
        <w:tabs>
          <w:tab w:val="num" w:pos="4683"/>
        </w:tabs>
        <w:ind w:left="4683" w:hanging="360"/>
      </w:pPr>
      <w:rPr>
        <w:rFonts w:ascii="Symbol" w:hAnsi="Symbol" w:hint="default"/>
      </w:rPr>
    </w:lvl>
    <w:lvl w:ilvl="7" w:tplc="0C090003" w:tentative="1">
      <w:start w:val="1"/>
      <w:numFmt w:val="bullet"/>
      <w:lvlText w:val="o"/>
      <w:lvlJc w:val="left"/>
      <w:pPr>
        <w:tabs>
          <w:tab w:val="num" w:pos="5403"/>
        </w:tabs>
        <w:ind w:left="5403" w:hanging="360"/>
      </w:pPr>
      <w:rPr>
        <w:rFonts w:ascii="Courier New" w:hAnsi="Courier New" w:cs="Courier New" w:hint="default"/>
      </w:rPr>
    </w:lvl>
    <w:lvl w:ilvl="8" w:tplc="0C090005" w:tentative="1">
      <w:start w:val="1"/>
      <w:numFmt w:val="bullet"/>
      <w:lvlText w:val=""/>
      <w:lvlJc w:val="left"/>
      <w:pPr>
        <w:tabs>
          <w:tab w:val="num" w:pos="6123"/>
        </w:tabs>
        <w:ind w:left="6123" w:hanging="360"/>
      </w:pPr>
      <w:rPr>
        <w:rFonts w:ascii="Wingdings" w:hAnsi="Wingdings" w:hint="default"/>
      </w:rPr>
    </w:lvl>
  </w:abstractNum>
  <w:abstractNum w:abstractNumId="2">
    <w:nsid w:val="1E571729"/>
    <w:multiLevelType w:val="multilevel"/>
    <w:tmpl w:val="3D963324"/>
    <w:styleLink w:val="LegalTemplate"/>
    <w:lvl w:ilvl="0">
      <w:start w:val="1"/>
      <w:numFmt w:val="decimal"/>
      <w:pStyle w:val="LegalClauseLevel1"/>
      <w:lvlText w:val="%1."/>
      <w:lvlJc w:val="left"/>
      <w:pPr>
        <w:tabs>
          <w:tab w:val="num" w:pos="851"/>
        </w:tabs>
        <w:ind w:left="851" w:hanging="851"/>
      </w:pPr>
      <w:rPr>
        <w:rFonts w:ascii="Arial" w:hAnsi="Arial" w:hint="default"/>
        <w:b/>
        <w:sz w:val="28"/>
      </w:rPr>
    </w:lvl>
    <w:lvl w:ilvl="1">
      <w:start w:val="1"/>
      <w:numFmt w:val="decimal"/>
      <w:pStyle w:val="LegalClauseLevel2"/>
      <w:lvlText w:val="%1.%2"/>
      <w:lvlJc w:val="left"/>
      <w:pPr>
        <w:tabs>
          <w:tab w:val="num" w:pos="851"/>
        </w:tabs>
        <w:ind w:left="851" w:hanging="851"/>
      </w:pPr>
      <w:rPr>
        <w:rFonts w:ascii="Arial" w:hAnsi="Arial" w:hint="default"/>
        <w:b/>
        <w:i w:val="0"/>
        <w:sz w:val="24"/>
      </w:rPr>
    </w:lvl>
    <w:lvl w:ilvl="2">
      <w:start w:val="1"/>
      <w:numFmt w:val="lowerLetter"/>
      <w:pStyle w:val="LegalClauseLevel3"/>
      <w:lvlText w:val="(%3)"/>
      <w:lvlJc w:val="left"/>
      <w:pPr>
        <w:tabs>
          <w:tab w:val="num" w:pos="1418"/>
        </w:tabs>
        <w:ind w:left="1418" w:hanging="567"/>
      </w:pPr>
      <w:rPr>
        <w:rFonts w:ascii="Arial" w:hAnsi="Arial" w:hint="default"/>
        <w:b w:val="0"/>
        <w:i w:val="0"/>
        <w:sz w:val="22"/>
      </w:rPr>
    </w:lvl>
    <w:lvl w:ilvl="3">
      <w:start w:val="1"/>
      <w:numFmt w:val="lowerRoman"/>
      <w:pStyle w:val="LegalClauseLevel4"/>
      <w:lvlText w:val="(%4)"/>
      <w:lvlJc w:val="left"/>
      <w:pPr>
        <w:tabs>
          <w:tab w:val="num" w:pos="1985"/>
        </w:tabs>
        <w:ind w:left="1985" w:hanging="567"/>
      </w:pPr>
      <w:rPr>
        <w:rFonts w:ascii="Arial" w:hAnsi="Arial" w:hint="default"/>
        <w:b w:val="0"/>
        <w:i w:val="0"/>
        <w:sz w:val="22"/>
      </w:rPr>
    </w:lvl>
    <w:lvl w:ilvl="4">
      <w:start w:val="1"/>
      <w:numFmt w:val="upperLetter"/>
      <w:pStyle w:val="LegalClauseLevel5"/>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E9B54BC"/>
    <w:multiLevelType w:val="hybridMultilevel"/>
    <w:tmpl w:val="01A6A49A"/>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4">
    <w:nsid w:val="1F745BC2"/>
    <w:multiLevelType w:val="multilevel"/>
    <w:tmpl w:val="E5E89F92"/>
    <w:numStyleLink w:val="BulletList"/>
  </w:abstractNum>
  <w:abstractNum w:abstractNumId="5">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97E626F"/>
    <w:multiLevelType w:val="hybridMultilevel"/>
    <w:tmpl w:val="2BDAB13A"/>
    <w:lvl w:ilvl="0" w:tplc="0C090017">
      <w:start w:val="1"/>
      <w:numFmt w:val="lowerLetter"/>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B7E5348"/>
    <w:multiLevelType w:val="hybridMultilevel"/>
    <w:tmpl w:val="4B4AA818"/>
    <w:lvl w:ilvl="0" w:tplc="0C090001">
      <w:start w:val="1"/>
      <w:numFmt w:val="bullet"/>
      <w:lvlText w:val=""/>
      <w:lvlJc w:val="left"/>
      <w:pPr>
        <w:ind w:left="628" w:hanging="360"/>
      </w:pPr>
      <w:rPr>
        <w:rFonts w:ascii="Symbol" w:hAnsi="Symbol" w:hint="default"/>
      </w:rPr>
    </w:lvl>
    <w:lvl w:ilvl="1" w:tplc="0C090003" w:tentative="1">
      <w:start w:val="1"/>
      <w:numFmt w:val="bullet"/>
      <w:lvlText w:val="o"/>
      <w:lvlJc w:val="left"/>
      <w:pPr>
        <w:ind w:left="1348" w:hanging="360"/>
      </w:pPr>
      <w:rPr>
        <w:rFonts w:ascii="Courier New" w:hAnsi="Courier New" w:cs="Courier New" w:hint="default"/>
      </w:rPr>
    </w:lvl>
    <w:lvl w:ilvl="2" w:tplc="0C090005" w:tentative="1">
      <w:start w:val="1"/>
      <w:numFmt w:val="bullet"/>
      <w:lvlText w:val=""/>
      <w:lvlJc w:val="left"/>
      <w:pPr>
        <w:ind w:left="2068" w:hanging="360"/>
      </w:pPr>
      <w:rPr>
        <w:rFonts w:ascii="Wingdings" w:hAnsi="Wingdings" w:hint="default"/>
      </w:rPr>
    </w:lvl>
    <w:lvl w:ilvl="3" w:tplc="0C090001" w:tentative="1">
      <w:start w:val="1"/>
      <w:numFmt w:val="bullet"/>
      <w:lvlText w:val=""/>
      <w:lvlJc w:val="left"/>
      <w:pPr>
        <w:ind w:left="2788" w:hanging="360"/>
      </w:pPr>
      <w:rPr>
        <w:rFonts w:ascii="Symbol" w:hAnsi="Symbol" w:hint="default"/>
      </w:rPr>
    </w:lvl>
    <w:lvl w:ilvl="4" w:tplc="0C090003" w:tentative="1">
      <w:start w:val="1"/>
      <w:numFmt w:val="bullet"/>
      <w:lvlText w:val="o"/>
      <w:lvlJc w:val="left"/>
      <w:pPr>
        <w:ind w:left="3508" w:hanging="360"/>
      </w:pPr>
      <w:rPr>
        <w:rFonts w:ascii="Courier New" w:hAnsi="Courier New" w:cs="Courier New" w:hint="default"/>
      </w:rPr>
    </w:lvl>
    <w:lvl w:ilvl="5" w:tplc="0C090005" w:tentative="1">
      <w:start w:val="1"/>
      <w:numFmt w:val="bullet"/>
      <w:lvlText w:val=""/>
      <w:lvlJc w:val="left"/>
      <w:pPr>
        <w:ind w:left="4228" w:hanging="360"/>
      </w:pPr>
      <w:rPr>
        <w:rFonts w:ascii="Wingdings" w:hAnsi="Wingdings" w:hint="default"/>
      </w:rPr>
    </w:lvl>
    <w:lvl w:ilvl="6" w:tplc="0C090001" w:tentative="1">
      <w:start w:val="1"/>
      <w:numFmt w:val="bullet"/>
      <w:lvlText w:val=""/>
      <w:lvlJc w:val="left"/>
      <w:pPr>
        <w:ind w:left="4948" w:hanging="360"/>
      </w:pPr>
      <w:rPr>
        <w:rFonts w:ascii="Symbol" w:hAnsi="Symbol" w:hint="default"/>
      </w:rPr>
    </w:lvl>
    <w:lvl w:ilvl="7" w:tplc="0C090003" w:tentative="1">
      <w:start w:val="1"/>
      <w:numFmt w:val="bullet"/>
      <w:lvlText w:val="o"/>
      <w:lvlJc w:val="left"/>
      <w:pPr>
        <w:ind w:left="5668" w:hanging="360"/>
      </w:pPr>
      <w:rPr>
        <w:rFonts w:ascii="Courier New" w:hAnsi="Courier New" w:cs="Courier New" w:hint="default"/>
      </w:rPr>
    </w:lvl>
    <w:lvl w:ilvl="8" w:tplc="0C090005" w:tentative="1">
      <w:start w:val="1"/>
      <w:numFmt w:val="bullet"/>
      <w:lvlText w:val=""/>
      <w:lvlJc w:val="left"/>
      <w:pPr>
        <w:ind w:left="6388" w:hanging="360"/>
      </w:pPr>
      <w:rPr>
        <w:rFonts w:ascii="Wingdings" w:hAnsi="Wingdings" w:hint="default"/>
      </w:rPr>
    </w:lvl>
  </w:abstractNum>
  <w:abstractNum w:abstractNumId="8">
    <w:nsid w:val="65456429"/>
    <w:multiLevelType w:val="multilevel"/>
    <w:tmpl w:val="E898CC72"/>
    <w:numStyleLink w:val="KeyPoints"/>
  </w:abstractNum>
  <w:abstractNum w:abstractNumId="9">
    <w:nsid w:val="681C3F59"/>
    <w:multiLevelType w:val="multilevel"/>
    <w:tmpl w:val="B4DE2806"/>
    <w:lvl w:ilvl="0">
      <w:start w:val="1"/>
      <w:numFmt w:val="decimal"/>
      <w:lvlText w:val="%1."/>
      <w:lvlJc w:val="left"/>
      <w:pPr>
        <w:tabs>
          <w:tab w:val="num" w:pos="851"/>
        </w:tabs>
        <w:ind w:left="851" w:hanging="851"/>
      </w:pPr>
      <w:rPr>
        <w:rFonts w:ascii="Arial" w:hAnsi="Arial" w:hint="default"/>
        <w:b/>
        <w:sz w:val="28"/>
      </w:rPr>
    </w:lvl>
    <w:lvl w:ilvl="1">
      <w:start w:val="1"/>
      <w:numFmt w:val="decimal"/>
      <w:lvlText w:val="%1.%2"/>
      <w:lvlJc w:val="left"/>
      <w:pPr>
        <w:tabs>
          <w:tab w:val="num" w:pos="851"/>
        </w:tabs>
        <w:ind w:left="851" w:hanging="851"/>
      </w:pPr>
      <w:rPr>
        <w:rFonts w:ascii="Arial" w:hAnsi="Arial" w:hint="default"/>
        <w:b/>
        <w:i w:val="0"/>
        <w:sz w:val="24"/>
      </w:rPr>
    </w:lvl>
    <w:lvl w:ilvl="2">
      <w:start w:val="1"/>
      <w:numFmt w:val="lowerLetter"/>
      <w:lvlText w:val="(%3)"/>
      <w:lvlJc w:val="left"/>
      <w:pPr>
        <w:tabs>
          <w:tab w:val="num" w:pos="1418"/>
        </w:tabs>
        <w:ind w:left="1418" w:hanging="567"/>
      </w:pPr>
      <w:rPr>
        <w:rFonts w:ascii="Arial" w:hAnsi="Arial" w:hint="default"/>
        <w:b w:val="0"/>
        <w:i w:val="0"/>
        <w:sz w:val="22"/>
      </w:rPr>
    </w:lvl>
    <w:lvl w:ilvl="3">
      <w:start w:val="1"/>
      <w:numFmt w:val="lowerRoman"/>
      <w:lvlText w:val="(%4)"/>
      <w:lvlJc w:val="left"/>
      <w:pPr>
        <w:tabs>
          <w:tab w:val="num" w:pos="1985"/>
        </w:tabs>
        <w:ind w:left="1985" w:hanging="567"/>
      </w:pPr>
      <w:rPr>
        <w:rFonts w:ascii="Arial" w:hAnsi="Arial" w:hint="default"/>
        <w:b w:val="0"/>
        <w:i w:val="0"/>
        <w:sz w:val="22"/>
      </w:rPr>
    </w:lvl>
    <w:lvl w:ilvl="4">
      <w:start w:val="1"/>
      <w:numFmt w:val="upperLetter"/>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72DE705D"/>
    <w:multiLevelType w:val="hybridMultilevel"/>
    <w:tmpl w:val="D0A00674"/>
    <w:lvl w:ilvl="0" w:tplc="1E785C2A">
      <w:start w:val="1"/>
      <w:numFmt w:val="bullet"/>
      <w:lvlText w:val=""/>
      <w:lvlJc w:val="left"/>
      <w:pPr>
        <w:tabs>
          <w:tab w:val="num" w:pos="153"/>
        </w:tabs>
        <w:ind w:left="153" w:hanging="226"/>
      </w:pPr>
      <w:rPr>
        <w:rFonts w:ascii="Symbol" w:hAnsi="Symbol" w:hint="default"/>
        <w:sz w:val="20"/>
      </w:rPr>
    </w:lvl>
    <w:lvl w:ilvl="1" w:tplc="0C090003" w:tentative="1">
      <w:start w:val="1"/>
      <w:numFmt w:val="bullet"/>
      <w:lvlText w:val="o"/>
      <w:lvlJc w:val="left"/>
      <w:pPr>
        <w:tabs>
          <w:tab w:val="num" w:pos="1083"/>
        </w:tabs>
        <w:ind w:left="1083" w:hanging="360"/>
      </w:pPr>
      <w:rPr>
        <w:rFonts w:ascii="Courier New" w:hAnsi="Courier New" w:cs="Courier New" w:hint="default"/>
      </w:rPr>
    </w:lvl>
    <w:lvl w:ilvl="2" w:tplc="0C090005" w:tentative="1">
      <w:start w:val="1"/>
      <w:numFmt w:val="bullet"/>
      <w:lvlText w:val=""/>
      <w:lvlJc w:val="left"/>
      <w:pPr>
        <w:tabs>
          <w:tab w:val="num" w:pos="1803"/>
        </w:tabs>
        <w:ind w:left="1803" w:hanging="360"/>
      </w:pPr>
      <w:rPr>
        <w:rFonts w:ascii="Wingdings" w:hAnsi="Wingdings" w:hint="default"/>
      </w:rPr>
    </w:lvl>
    <w:lvl w:ilvl="3" w:tplc="0C090001" w:tentative="1">
      <w:start w:val="1"/>
      <w:numFmt w:val="bullet"/>
      <w:lvlText w:val=""/>
      <w:lvlJc w:val="left"/>
      <w:pPr>
        <w:tabs>
          <w:tab w:val="num" w:pos="2523"/>
        </w:tabs>
        <w:ind w:left="2523" w:hanging="360"/>
      </w:pPr>
      <w:rPr>
        <w:rFonts w:ascii="Symbol" w:hAnsi="Symbol" w:hint="default"/>
      </w:rPr>
    </w:lvl>
    <w:lvl w:ilvl="4" w:tplc="0C090003" w:tentative="1">
      <w:start w:val="1"/>
      <w:numFmt w:val="bullet"/>
      <w:lvlText w:val="o"/>
      <w:lvlJc w:val="left"/>
      <w:pPr>
        <w:tabs>
          <w:tab w:val="num" w:pos="3243"/>
        </w:tabs>
        <w:ind w:left="3243" w:hanging="360"/>
      </w:pPr>
      <w:rPr>
        <w:rFonts w:ascii="Courier New" w:hAnsi="Courier New" w:cs="Courier New" w:hint="default"/>
      </w:rPr>
    </w:lvl>
    <w:lvl w:ilvl="5" w:tplc="0C090005" w:tentative="1">
      <w:start w:val="1"/>
      <w:numFmt w:val="bullet"/>
      <w:lvlText w:val=""/>
      <w:lvlJc w:val="left"/>
      <w:pPr>
        <w:tabs>
          <w:tab w:val="num" w:pos="3963"/>
        </w:tabs>
        <w:ind w:left="3963" w:hanging="360"/>
      </w:pPr>
      <w:rPr>
        <w:rFonts w:ascii="Wingdings" w:hAnsi="Wingdings" w:hint="default"/>
      </w:rPr>
    </w:lvl>
    <w:lvl w:ilvl="6" w:tplc="0C090001" w:tentative="1">
      <w:start w:val="1"/>
      <w:numFmt w:val="bullet"/>
      <w:lvlText w:val=""/>
      <w:lvlJc w:val="left"/>
      <w:pPr>
        <w:tabs>
          <w:tab w:val="num" w:pos="4683"/>
        </w:tabs>
        <w:ind w:left="4683" w:hanging="360"/>
      </w:pPr>
      <w:rPr>
        <w:rFonts w:ascii="Symbol" w:hAnsi="Symbol" w:hint="default"/>
      </w:rPr>
    </w:lvl>
    <w:lvl w:ilvl="7" w:tplc="0C090003" w:tentative="1">
      <w:start w:val="1"/>
      <w:numFmt w:val="bullet"/>
      <w:lvlText w:val="o"/>
      <w:lvlJc w:val="left"/>
      <w:pPr>
        <w:tabs>
          <w:tab w:val="num" w:pos="5403"/>
        </w:tabs>
        <w:ind w:left="5403" w:hanging="360"/>
      </w:pPr>
      <w:rPr>
        <w:rFonts w:ascii="Courier New" w:hAnsi="Courier New" w:cs="Courier New" w:hint="default"/>
      </w:rPr>
    </w:lvl>
    <w:lvl w:ilvl="8" w:tplc="0C090005" w:tentative="1">
      <w:start w:val="1"/>
      <w:numFmt w:val="bullet"/>
      <w:lvlText w:val=""/>
      <w:lvlJc w:val="left"/>
      <w:pPr>
        <w:tabs>
          <w:tab w:val="num" w:pos="6123"/>
        </w:tabs>
        <w:ind w:left="6123" w:hanging="360"/>
      </w:pPr>
      <w:rPr>
        <w:rFonts w:ascii="Wingdings" w:hAnsi="Wingdings" w:hint="default"/>
      </w:rPr>
    </w:lvl>
  </w:abstractNum>
  <w:abstractNum w:abstractNumId="11">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1"/>
  </w:num>
  <w:num w:numId="2">
    <w:abstractNumId w:val="0"/>
  </w:num>
  <w:num w:numId="3">
    <w:abstractNumId w:val="5"/>
  </w:num>
  <w:num w:numId="4">
    <w:abstractNumId w:val="8"/>
  </w:num>
  <w:num w:numId="5">
    <w:abstractNumId w:val="4"/>
  </w:num>
  <w:num w:numId="6">
    <w:abstractNumId w:val="1"/>
  </w:num>
  <w:num w:numId="7">
    <w:abstractNumId w:val="10"/>
  </w:num>
  <w:num w:numId="8">
    <w:abstractNumId w:val="3"/>
  </w:num>
  <w:num w:numId="9">
    <w:abstractNumId w:val="7"/>
  </w:num>
  <w:num w:numId="10">
    <w:abstractNumId w:val="9"/>
  </w:num>
  <w:num w:numId="11">
    <w:abstractNumId w:val="2"/>
    <w:lvlOverride w:ilvl="0">
      <w:lvl w:ilvl="0">
        <w:numFmt w:val="decimal"/>
        <w:pStyle w:val="LegalClauseLevel1"/>
        <w:lvlText w:val=""/>
        <w:lvlJc w:val="left"/>
      </w:lvl>
    </w:lvlOverride>
    <w:lvlOverride w:ilvl="1">
      <w:lvl w:ilvl="1">
        <w:numFmt w:val="decimal"/>
        <w:pStyle w:val="LegalClauseLevel2"/>
        <w:lvlText w:val=""/>
        <w:lvlJc w:val="left"/>
      </w:lvl>
    </w:lvlOverride>
    <w:lvlOverride w:ilvl="2">
      <w:lvl w:ilvl="2">
        <w:start w:val="1"/>
        <w:numFmt w:val="lowerLetter"/>
        <w:pStyle w:val="LegalClauseLevel3"/>
        <w:lvlText w:val="(%3)"/>
        <w:lvlJc w:val="left"/>
        <w:pPr>
          <w:tabs>
            <w:tab w:val="num" w:pos="1418"/>
          </w:tabs>
          <w:ind w:left="1418" w:hanging="567"/>
        </w:pPr>
        <w:rPr>
          <w:rFonts w:ascii="Tahoma" w:hAnsi="Tahoma" w:cs="Tahoma" w:hint="default"/>
          <w:b w:val="0"/>
          <w:i w:val="0"/>
          <w:sz w:val="20"/>
          <w:szCs w:val="20"/>
        </w:rPr>
      </w:lvl>
    </w:lvlOverride>
  </w:num>
  <w:num w:numId="12">
    <w:abstractNumId w:val="2"/>
  </w:num>
  <w:num w:numId="13">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docVars>
    <w:docVar w:name="SecurityClassificationInHeader" w:val="False"/>
  </w:docVars>
  <w:rsids>
    <w:rsidRoot w:val="00700546"/>
    <w:rsid w:val="00004AEE"/>
    <w:rsid w:val="00005CAA"/>
    <w:rsid w:val="00010210"/>
    <w:rsid w:val="00012D66"/>
    <w:rsid w:val="00015ADA"/>
    <w:rsid w:val="00020C99"/>
    <w:rsid w:val="0002707B"/>
    <w:rsid w:val="00050113"/>
    <w:rsid w:val="0005148E"/>
    <w:rsid w:val="00051B54"/>
    <w:rsid w:val="00060393"/>
    <w:rsid w:val="000759E5"/>
    <w:rsid w:val="00084AC6"/>
    <w:rsid w:val="00091608"/>
    <w:rsid w:val="0009333C"/>
    <w:rsid w:val="000939E8"/>
    <w:rsid w:val="0009704F"/>
    <w:rsid w:val="000A0F11"/>
    <w:rsid w:val="000A125A"/>
    <w:rsid w:val="000A57CD"/>
    <w:rsid w:val="000B3758"/>
    <w:rsid w:val="000B7681"/>
    <w:rsid w:val="000B7B42"/>
    <w:rsid w:val="000C02B7"/>
    <w:rsid w:val="000C2B8A"/>
    <w:rsid w:val="000C5342"/>
    <w:rsid w:val="000C706A"/>
    <w:rsid w:val="000D0DEA"/>
    <w:rsid w:val="000D2887"/>
    <w:rsid w:val="000D6D63"/>
    <w:rsid w:val="000E0081"/>
    <w:rsid w:val="000E07CF"/>
    <w:rsid w:val="00100BEF"/>
    <w:rsid w:val="0011498E"/>
    <w:rsid w:val="00117A45"/>
    <w:rsid w:val="001224AE"/>
    <w:rsid w:val="001337D4"/>
    <w:rsid w:val="00147C12"/>
    <w:rsid w:val="001527A1"/>
    <w:rsid w:val="001530DC"/>
    <w:rsid w:val="00154989"/>
    <w:rsid w:val="00155A9F"/>
    <w:rsid w:val="00160262"/>
    <w:rsid w:val="00161B61"/>
    <w:rsid w:val="0016780A"/>
    <w:rsid w:val="001713FA"/>
    <w:rsid w:val="00173EBF"/>
    <w:rsid w:val="0017596F"/>
    <w:rsid w:val="0017770D"/>
    <w:rsid w:val="001842A2"/>
    <w:rsid w:val="00187FA8"/>
    <w:rsid w:val="00192F5E"/>
    <w:rsid w:val="00193F34"/>
    <w:rsid w:val="00197772"/>
    <w:rsid w:val="001A4233"/>
    <w:rsid w:val="001A51C8"/>
    <w:rsid w:val="001B36C6"/>
    <w:rsid w:val="001B4CA8"/>
    <w:rsid w:val="001C4F3D"/>
    <w:rsid w:val="001D0CDC"/>
    <w:rsid w:val="001D1D82"/>
    <w:rsid w:val="001E10CF"/>
    <w:rsid w:val="001E1182"/>
    <w:rsid w:val="00201599"/>
    <w:rsid w:val="00202C90"/>
    <w:rsid w:val="00212A1E"/>
    <w:rsid w:val="00213DE8"/>
    <w:rsid w:val="00216118"/>
    <w:rsid w:val="002209AB"/>
    <w:rsid w:val="002251E3"/>
    <w:rsid w:val="00227A95"/>
    <w:rsid w:val="002316BD"/>
    <w:rsid w:val="002473FC"/>
    <w:rsid w:val="00252E3C"/>
    <w:rsid w:val="00261CE3"/>
    <w:rsid w:val="00262198"/>
    <w:rsid w:val="00285F1B"/>
    <w:rsid w:val="00286960"/>
    <w:rsid w:val="00292B81"/>
    <w:rsid w:val="00294B9E"/>
    <w:rsid w:val="00297136"/>
    <w:rsid w:val="002B18AE"/>
    <w:rsid w:val="002C1C93"/>
    <w:rsid w:val="002C5066"/>
    <w:rsid w:val="002D111C"/>
    <w:rsid w:val="002D3061"/>
    <w:rsid w:val="002D4AAC"/>
    <w:rsid w:val="002F045A"/>
    <w:rsid w:val="002F3CAA"/>
    <w:rsid w:val="0030039D"/>
    <w:rsid w:val="0030326F"/>
    <w:rsid w:val="003047AB"/>
    <w:rsid w:val="00310701"/>
    <w:rsid w:val="00315980"/>
    <w:rsid w:val="00316F7F"/>
    <w:rsid w:val="003218E8"/>
    <w:rsid w:val="003305D5"/>
    <w:rsid w:val="00330DCE"/>
    <w:rsid w:val="00331E11"/>
    <w:rsid w:val="00334761"/>
    <w:rsid w:val="00337EBC"/>
    <w:rsid w:val="00341DCD"/>
    <w:rsid w:val="0034563E"/>
    <w:rsid w:val="003518D6"/>
    <w:rsid w:val="0035460C"/>
    <w:rsid w:val="003556BD"/>
    <w:rsid w:val="00365147"/>
    <w:rsid w:val="0037016E"/>
    <w:rsid w:val="00372908"/>
    <w:rsid w:val="00373CD7"/>
    <w:rsid w:val="00383020"/>
    <w:rsid w:val="003902AF"/>
    <w:rsid w:val="003975FD"/>
    <w:rsid w:val="003A167C"/>
    <w:rsid w:val="003A457F"/>
    <w:rsid w:val="003A5126"/>
    <w:rsid w:val="003B60CC"/>
    <w:rsid w:val="003C1B25"/>
    <w:rsid w:val="003C2443"/>
    <w:rsid w:val="003C5DA3"/>
    <w:rsid w:val="003D4BCD"/>
    <w:rsid w:val="003D6533"/>
    <w:rsid w:val="003D6959"/>
    <w:rsid w:val="003E01D8"/>
    <w:rsid w:val="003E2100"/>
    <w:rsid w:val="003F6F5B"/>
    <w:rsid w:val="0040342D"/>
    <w:rsid w:val="0041192D"/>
    <w:rsid w:val="00413EE1"/>
    <w:rsid w:val="00414CD2"/>
    <w:rsid w:val="0042128E"/>
    <w:rsid w:val="00432B60"/>
    <w:rsid w:val="00440698"/>
    <w:rsid w:val="004540E2"/>
    <w:rsid w:val="00454454"/>
    <w:rsid w:val="00467924"/>
    <w:rsid w:val="004712A5"/>
    <w:rsid w:val="0047266F"/>
    <w:rsid w:val="00476D6B"/>
    <w:rsid w:val="00492C16"/>
    <w:rsid w:val="004949F0"/>
    <w:rsid w:val="004A0678"/>
    <w:rsid w:val="004A48A3"/>
    <w:rsid w:val="004B0D92"/>
    <w:rsid w:val="004B0EC0"/>
    <w:rsid w:val="004B66F1"/>
    <w:rsid w:val="004B7B49"/>
    <w:rsid w:val="004C3EA0"/>
    <w:rsid w:val="004F4621"/>
    <w:rsid w:val="004F7169"/>
    <w:rsid w:val="00500D66"/>
    <w:rsid w:val="00514C8E"/>
    <w:rsid w:val="005246D2"/>
    <w:rsid w:val="00525D11"/>
    <w:rsid w:val="0053044E"/>
    <w:rsid w:val="00531DBF"/>
    <w:rsid w:val="005419FC"/>
    <w:rsid w:val="00543B1D"/>
    <w:rsid w:val="00543C93"/>
    <w:rsid w:val="00545759"/>
    <w:rsid w:val="00545BE0"/>
    <w:rsid w:val="00554C6A"/>
    <w:rsid w:val="00555438"/>
    <w:rsid w:val="00560C6C"/>
    <w:rsid w:val="00562E85"/>
    <w:rsid w:val="0056332F"/>
    <w:rsid w:val="00581C39"/>
    <w:rsid w:val="005903B6"/>
    <w:rsid w:val="005A0247"/>
    <w:rsid w:val="005A1170"/>
    <w:rsid w:val="005A126E"/>
    <w:rsid w:val="005A452F"/>
    <w:rsid w:val="005B140D"/>
    <w:rsid w:val="005B3387"/>
    <w:rsid w:val="005C1FEA"/>
    <w:rsid w:val="005C3495"/>
    <w:rsid w:val="005E3DFC"/>
    <w:rsid w:val="005E60AF"/>
    <w:rsid w:val="005F1A04"/>
    <w:rsid w:val="005F1DEA"/>
    <w:rsid w:val="00607FC9"/>
    <w:rsid w:val="00622FE1"/>
    <w:rsid w:val="0062521C"/>
    <w:rsid w:val="00630A2B"/>
    <w:rsid w:val="00632DC7"/>
    <w:rsid w:val="006357FB"/>
    <w:rsid w:val="006406FC"/>
    <w:rsid w:val="00646122"/>
    <w:rsid w:val="006500CC"/>
    <w:rsid w:val="00653E16"/>
    <w:rsid w:val="00657220"/>
    <w:rsid w:val="0066104B"/>
    <w:rsid w:val="006655EE"/>
    <w:rsid w:val="00667C10"/>
    <w:rsid w:val="00667EF4"/>
    <w:rsid w:val="00675AB8"/>
    <w:rsid w:val="00676FCA"/>
    <w:rsid w:val="00677177"/>
    <w:rsid w:val="0068612E"/>
    <w:rsid w:val="00687C92"/>
    <w:rsid w:val="0069534E"/>
    <w:rsid w:val="0069669C"/>
    <w:rsid w:val="006A0B9B"/>
    <w:rsid w:val="006A1200"/>
    <w:rsid w:val="006A2AB3"/>
    <w:rsid w:val="006A4453"/>
    <w:rsid w:val="006A4F4E"/>
    <w:rsid w:val="006B14DB"/>
    <w:rsid w:val="006B21C4"/>
    <w:rsid w:val="006C4A1A"/>
    <w:rsid w:val="006D0393"/>
    <w:rsid w:val="006D1A83"/>
    <w:rsid w:val="006E1CFE"/>
    <w:rsid w:val="006F10C4"/>
    <w:rsid w:val="006F40E9"/>
    <w:rsid w:val="006F5603"/>
    <w:rsid w:val="00700546"/>
    <w:rsid w:val="00700CDF"/>
    <w:rsid w:val="00701400"/>
    <w:rsid w:val="007037CF"/>
    <w:rsid w:val="007167C0"/>
    <w:rsid w:val="00720481"/>
    <w:rsid w:val="007219A6"/>
    <w:rsid w:val="00721F44"/>
    <w:rsid w:val="00733193"/>
    <w:rsid w:val="0075732A"/>
    <w:rsid w:val="00760262"/>
    <w:rsid w:val="0076310C"/>
    <w:rsid w:val="0076744F"/>
    <w:rsid w:val="00767BCE"/>
    <w:rsid w:val="00767EFC"/>
    <w:rsid w:val="007707DE"/>
    <w:rsid w:val="00770B5D"/>
    <w:rsid w:val="007752F1"/>
    <w:rsid w:val="00776768"/>
    <w:rsid w:val="007842E0"/>
    <w:rsid w:val="007A2573"/>
    <w:rsid w:val="007B106C"/>
    <w:rsid w:val="007B1A4E"/>
    <w:rsid w:val="007B3D05"/>
    <w:rsid w:val="007B5503"/>
    <w:rsid w:val="007C6BB3"/>
    <w:rsid w:val="007D14B4"/>
    <w:rsid w:val="007D3AD7"/>
    <w:rsid w:val="007E24F6"/>
    <w:rsid w:val="00800F64"/>
    <w:rsid w:val="00802F0B"/>
    <w:rsid w:val="00810A67"/>
    <w:rsid w:val="00833CF7"/>
    <w:rsid w:val="00845601"/>
    <w:rsid w:val="00855C5C"/>
    <w:rsid w:val="00883CE2"/>
    <w:rsid w:val="00895426"/>
    <w:rsid w:val="008A3C96"/>
    <w:rsid w:val="008B4019"/>
    <w:rsid w:val="008B65C9"/>
    <w:rsid w:val="008C2D4A"/>
    <w:rsid w:val="008D3900"/>
    <w:rsid w:val="008D6E1D"/>
    <w:rsid w:val="008F39B4"/>
    <w:rsid w:val="008F4162"/>
    <w:rsid w:val="008F5B02"/>
    <w:rsid w:val="00903E02"/>
    <w:rsid w:val="00904C7A"/>
    <w:rsid w:val="00905D1F"/>
    <w:rsid w:val="00913175"/>
    <w:rsid w:val="00916EDB"/>
    <w:rsid w:val="00920861"/>
    <w:rsid w:val="009228A4"/>
    <w:rsid w:val="00922B13"/>
    <w:rsid w:val="009242EF"/>
    <w:rsid w:val="00932291"/>
    <w:rsid w:val="0093408E"/>
    <w:rsid w:val="00952DDF"/>
    <w:rsid w:val="00960E59"/>
    <w:rsid w:val="00967C1E"/>
    <w:rsid w:val="009812D4"/>
    <w:rsid w:val="009920D8"/>
    <w:rsid w:val="009A2950"/>
    <w:rsid w:val="009A4E2D"/>
    <w:rsid w:val="009B38BE"/>
    <w:rsid w:val="009C3D0F"/>
    <w:rsid w:val="009E1B19"/>
    <w:rsid w:val="009F35E2"/>
    <w:rsid w:val="009F65F9"/>
    <w:rsid w:val="009F68BA"/>
    <w:rsid w:val="00A012E2"/>
    <w:rsid w:val="00A06277"/>
    <w:rsid w:val="00A079DC"/>
    <w:rsid w:val="00A111C2"/>
    <w:rsid w:val="00A338E7"/>
    <w:rsid w:val="00A35CAA"/>
    <w:rsid w:val="00A36E7F"/>
    <w:rsid w:val="00A41E65"/>
    <w:rsid w:val="00A43E0A"/>
    <w:rsid w:val="00A51E43"/>
    <w:rsid w:val="00A52609"/>
    <w:rsid w:val="00A530C7"/>
    <w:rsid w:val="00A55F5B"/>
    <w:rsid w:val="00A60185"/>
    <w:rsid w:val="00A65A50"/>
    <w:rsid w:val="00A661EA"/>
    <w:rsid w:val="00A830E5"/>
    <w:rsid w:val="00A84BEE"/>
    <w:rsid w:val="00A87135"/>
    <w:rsid w:val="00A93280"/>
    <w:rsid w:val="00A951EA"/>
    <w:rsid w:val="00AA2548"/>
    <w:rsid w:val="00AA58C4"/>
    <w:rsid w:val="00AB11C8"/>
    <w:rsid w:val="00AB1664"/>
    <w:rsid w:val="00AB19F3"/>
    <w:rsid w:val="00AC08A8"/>
    <w:rsid w:val="00AC12E8"/>
    <w:rsid w:val="00AC3392"/>
    <w:rsid w:val="00AC7291"/>
    <w:rsid w:val="00AD4F79"/>
    <w:rsid w:val="00AD56C8"/>
    <w:rsid w:val="00AD58F2"/>
    <w:rsid w:val="00B04934"/>
    <w:rsid w:val="00B0512A"/>
    <w:rsid w:val="00B0529F"/>
    <w:rsid w:val="00B0607B"/>
    <w:rsid w:val="00B1418B"/>
    <w:rsid w:val="00B21195"/>
    <w:rsid w:val="00B24B22"/>
    <w:rsid w:val="00B25310"/>
    <w:rsid w:val="00B32F8F"/>
    <w:rsid w:val="00B4527E"/>
    <w:rsid w:val="00B54DE9"/>
    <w:rsid w:val="00B553EC"/>
    <w:rsid w:val="00B753EF"/>
    <w:rsid w:val="00B75BA2"/>
    <w:rsid w:val="00B93DD0"/>
    <w:rsid w:val="00B97732"/>
    <w:rsid w:val="00BA65A8"/>
    <w:rsid w:val="00BA6D19"/>
    <w:rsid w:val="00BA7461"/>
    <w:rsid w:val="00BA7DA9"/>
    <w:rsid w:val="00BC4215"/>
    <w:rsid w:val="00BD1A6F"/>
    <w:rsid w:val="00BE6D3C"/>
    <w:rsid w:val="00BE7852"/>
    <w:rsid w:val="00BF4112"/>
    <w:rsid w:val="00BF7CEE"/>
    <w:rsid w:val="00C03880"/>
    <w:rsid w:val="00C1248A"/>
    <w:rsid w:val="00C135CF"/>
    <w:rsid w:val="00C2683F"/>
    <w:rsid w:val="00C3184D"/>
    <w:rsid w:val="00C42FA7"/>
    <w:rsid w:val="00C4714E"/>
    <w:rsid w:val="00C5504F"/>
    <w:rsid w:val="00C63376"/>
    <w:rsid w:val="00C74F97"/>
    <w:rsid w:val="00C823A8"/>
    <w:rsid w:val="00C8276E"/>
    <w:rsid w:val="00C842AC"/>
    <w:rsid w:val="00C96688"/>
    <w:rsid w:val="00CA0723"/>
    <w:rsid w:val="00CB1690"/>
    <w:rsid w:val="00CC13EB"/>
    <w:rsid w:val="00CC4365"/>
    <w:rsid w:val="00CD031E"/>
    <w:rsid w:val="00CD11B0"/>
    <w:rsid w:val="00CE71C2"/>
    <w:rsid w:val="00CF42D5"/>
    <w:rsid w:val="00CF4EDA"/>
    <w:rsid w:val="00D021CB"/>
    <w:rsid w:val="00D075C2"/>
    <w:rsid w:val="00D10F1A"/>
    <w:rsid w:val="00D113E5"/>
    <w:rsid w:val="00D116F8"/>
    <w:rsid w:val="00D15A0B"/>
    <w:rsid w:val="00D17596"/>
    <w:rsid w:val="00D22640"/>
    <w:rsid w:val="00D2441F"/>
    <w:rsid w:val="00D26D3A"/>
    <w:rsid w:val="00D40504"/>
    <w:rsid w:val="00D45EE3"/>
    <w:rsid w:val="00D50618"/>
    <w:rsid w:val="00D509E9"/>
    <w:rsid w:val="00D53B1C"/>
    <w:rsid w:val="00D72C76"/>
    <w:rsid w:val="00D9654D"/>
    <w:rsid w:val="00DA1B12"/>
    <w:rsid w:val="00DA54C9"/>
    <w:rsid w:val="00DA6739"/>
    <w:rsid w:val="00DA6CAE"/>
    <w:rsid w:val="00DB1A9E"/>
    <w:rsid w:val="00DB274B"/>
    <w:rsid w:val="00DB31D6"/>
    <w:rsid w:val="00DB4005"/>
    <w:rsid w:val="00DC34EB"/>
    <w:rsid w:val="00DE6F80"/>
    <w:rsid w:val="00DF18D6"/>
    <w:rsid w:val="00DF1E5B"/>
    <w:rsid w:val="00DF2275"/>
    <w:rsid w:val="00DF3F5E"/>
    <w:rsid w:val="00DF5653"/>
    <w:rsid w:val="00E0596E"/>
    <w:rsid w:val="00E06F66"/>
    <w:rsid w:val="00E13BEF"/>
    <w:rsid w:val="00E23EE3"/>
    <w:rsid w:val="00E348FC"/>
    <w:rsid w:val="00E355F1"/>
    <w:rsid w:val="00E356E5"/>
    <w:rsid w:val="00E36F81"/>
    <w:rsid w:val="00E43EDA"/>
    <w:rsid w:val="00E45765"/>
    <w:rsid w:val="00E5098C"/>
    <w:rsid w:val="00E517C3"/>
    <w:rsid w:val="00E60213"/>
    <w:rsid w:val="00E661B2"/>
    <w:rsid w:val="00E74D29"/>
    <w:rsid w:val="00E82F2A"/>
    <w:rsid w:val="00E83C74"/>
    <w:rsid w:val="00E83CEE"/>
    <w:rsid w:val="00E90FF6"/>
    <w:rsid w:val="00E91F18"/>
    <w:rsid w:val="00E9226D"/>
    <w:rsid w:val="00EA0AD5"/>
    <w:rsid w:val="00EA416C"/>
    <w:rsid w:val="00EA5941"/>
    <w:rsid w:val="00EB60CE"/>
    <w:rsid w:val="00EB7D53"/>
    <w:rsid w:val="00EE3146"/>
    <w:rsid w:val="00EF50BB"/>
    <w:rsid w:val="00EF5614"/>
    <w:rsid w:val="00F00192"/>
    <w:rsid w:val="00F00FFD"/>
    <w:rsid w:val="00F01DF6"/>
    <w:rsid w:val="00F022FF"/>
    <w:rsid w:val="00F02346"/>
    <w:rsid w:val="00F0340D"/>
    <w:rsid w:val="00F059A6"/>
    <w:rsid w:val="00F23756"/>
    <w:rsid w:val="00F2523A"/>
    <w:rsid w:val="00F25FFA"/>
    <w:rsid w:val="00F310D2"/>
    <w:rsid w:val="00F36F3D"/>
    <w:rsid w:val="00F477BD"/>
    <w:rsid w:val="00F53491"/>
    <w:rsid w:val="00F65A1C"/>
    <w:rsid w:val="00F66F50"/>
    <w:rsid w:val="00F7191E"/>
    <w:rsid w:val="00F80A5C"/>
    <w:rsid w:val="00F82FF8"/>
    <w:rsid w:val="00F8330D"/>
    <w:rsid w:val="00F84305"/>
    <w:rsid w:val="00F8485C"/>
    <w:rsid w:val="00F87149"/>
    <w:rsid w:val="00F87FFE"/>
    <w:rsid w:val="00F954C9"/>
    <w:rsid w:val="00FA4CF0"/>
    <w:rsid w:val="00FA61AA"/>
    <w:rsid w:val="00FA69A4"/>
    <w:rsid w:val="00FB1279"/>
    <w:rsid w:val="00FB1495"/>
    <w:rsid w:val="00FC52B7"/>
    <w:rsid w:val="00FD1694"/>
    <w:rsid w:val="00FD7636"/>
    <w:rsid w:val="00FE3229"/>
    <w:rsid w:val="00FE74C3"/>
    <w:rsid w:val="00FF215C"/>
    <w:rsid w:val="00FF47EF"/>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List" w:semiHidden="0" w:unhideWhenUsed="0"/>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664"/>
    <w:pPr>
      <w:ind w:right="-73"/>
    </w:pPr>
    <w:rPr>
      <w:rFonts w:ascii="Tahoma" w:eastAsia="Times New Roman" w:hAnsi="Tahoma" w:cs="Tahoma"/>
      <w:lang w:val="en-US" w:eastAsia="en-US" w:bidi="en-US"/>
    </w:rPr>
  </w:style>
  <w:style w:type="paragraph" w:styleId="Heading1">
    <w:name w:val="heading 1"/>
    <w:basedOn w:val="Normal"/>
    <w:next w:val="Normal"/>
    <w:link w:val="Heading1Char"/>
    <w:uiPriority w:val="9"/>
    <w:qFormat/>
    <w:rsid w:val="00904C7A"/>
    <w:pPr>
      <w:keepNext/>
      <w:spacing w:before="240" w:after="60"/>
      <w:outlineLvl w:val="0"/>
    </w:pPr>
    <w:rPr>
      <w:b/>
      <w:bCs/>
      <w:kern w:val="32"/>
      <w:sz w:val="28"/>
      <w:szCs w:val="28"/>
    </w:rPr>
  </w:style>
  <w:style w:type="paragraph" w:styleId="Heading2">
    <w:name w:val="heading 2"/>
    <w:basedOn w:val="Normal"/>
    <w:next w:val="Normal"/>
    <w:link w:val="Heading2Char"/>
    <w:uiPriority w:val="9"/>
    <w:unhideWhenUsed/>
    <w:qFormat/>
    <w:rsid w:val="00AB1664"/>
    <w:pPr>
      <w:keepNext/>
      <w:spacing w:before="240" w:after="60"/>
      <w:outlineLvl w:val="1"/>
    </w:pPr>
    <w:rPr>
      <w:b/>
      <w:bCs/>
      <w:iCs/>
    </w:rPr>
  </w:style>
  <w:style w:type="paragraph" w:styleId="Heading3">
    <w:name w:val="heading 3"/>
    <w:basedOn w:val="Normal"/>
    <w:next w:val="Normal"/>
    <w:link w:val="Heading3Char"/>
    <w:uiPriority w:val="9"/>
    <w:unhideWhenUsed/>
    <w:qFormat/>
    <w:rsid w:val="003902AF"/>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3902AF"/>
    <w:pPr>
      <w:keepNext/>
      <w:spacing w:before="240" w:after="60"/>
      <w:outlineLvl w:val="3"/>
    </w:pPr>
    <w:rPr>
      <w:rFonts w:ascii="Times New Roman" w:hAnsi="Times New Roman"/>
      <w:bCs/>
      <w:i/>
      <w:szCs w:val="28"/>
    </w:rPr>
  </w:style>
  <w:style w:type="paragraph" w:styleId="Heading5">
    <w:name w:val="heading 5"/>
    <w:basedOn w:val="Normal"/>
    <w:next w:val="Normal"/>
    <w:link w:val="Heading5Char"/>
    <w:uiPriority w:val="9"/>
    <w:semiHidden/>
    <w:unhideWhenUsed/>
    <w:qFormat/>
    <w:rsid w:val="003902A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902A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902AF"/>
    <w:pPr>
      <w:spacing w:before="240" w:after="60"/>
      <w:outlineLvl w:val="6"/>
    </w:pPr>
  </w:style>
  <w:style w:type="paragraph" w:styleId="Heading8">
    <w:name w:val="heading 8"/>
    <w:basedOn w:val="Normal"/>
    <w:next w:val="Normal"/>
    <w:link w:val="Heading8Char"/>
    <w:uiPriority w:val="9"/>
    <w:semiHidden/>
    <w:unhideWhenUsed/>
    <w:qFormat/>
    <w:rsid w:val="003902AF"/>
    <w:pPr>
      <w:spacing w:before="240" w:after="60"/>
      <w:outlineLvl w:val="7"/>
    </w:pPr>
    <w:rPr>
      <w:i/>
      <w:iCs/>
    </w:rPr>
  </w:style>
  <w:style w:type="paragraph" w:styleId="Heading9">
    <w:name w:val="heading 9"/>
    <w:basedOn w:val="Normal"/>
    <w:next w:val="Normal"/>
    <w:link w:val="Heading9Char"/>
    <w:uiPriority w:val="9"/>
    <w:semiHidden/>
    <w:unhideWhenUsed/>
    <w:qFormat/>
    <w:rsid w:val="003902A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ind w:left="0"/>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904C7A"/>
    <w:rPr>
      <w:rFonts w:ascii="Tahoma" w:eastAsia="Times New Roman" w:hAnsi="Tahoma" w:cs="Tahoma"/>
      <w:b/>
      <w:bCs/>
      <w:kern w:val="32"/>
      <w:sz w:val="28"/>
      <w:szCs w:val="28"/>
    </w:rPr>
  </w:style>
  <w:style w:type="character" w:customStyle="1" w:styleId="Heading2Char">
    <w:name w:val="Heading 2 Char"/>
    <w:basedOn w:val="DefaultParagraphFont"/>
    <w:link w:val="Heading2"/>
    <w:uiPriority w:val="9"/>
    <w:rsid w:val="00AB1664"/>
    <w:rPr>
      <w:rFonts w:ascii="Tahoma" w:eastAsia="Times New Roman" w:hAnsi="Tahoma" w:cs="Tahoma"/>
      <w:b/>
      <w:bCs/>
      <w:iCs/>
      <w:lang w:val="en-US" w:eastAsia="en-US" w:bidi="en-US"/>
    </w:rPr>
  </w:style>
  <w:style w:type="character" w:customStyle="1" w:styleId="Heading3Char">
    <w:name w:val="Heading 3 Char"/>
    <w:basedOn w:val="DefaultParagraphFont"/>
    <w:link w:val="Heading3"/>
    <w:uiPriority w:val="9"/>
    <w:rsid w:val="003902AF"/>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3902AF"/>
    <w:rPr>
      <w:rFonts w:ascii="Times New Roman" w:hAnsi="Times New Roman" w:cs="Times New Roman"/>
      <w:bCs/>
      <w:i/>
      <w:sz w:val="24"/>
      <w:szCs w:val="28"/>
    </w:rPr>
  </w:style>
  <w:style w:type="paragraph" w:styleId="ListBullet">
    <w:name w:val="List Bullet"/>
    <w:basedOn w:val="Normal"/>
    <w:uiPriority w:val="99"/>
    <w:unhideWhenUsed/>
    <w:rsid w:val="00091608"/>
    <w:pPr>
      <w:numPr>
        <w:numId w:val="5"/>
      </w:numPr>
    </w:pPr>
  </w:style>
  <w:style w:type="paragraph" w:styleId="ListBullet2">
    <w:name w:val="List Bullet 2"/>
    <w:basedOn w:val="Normal"/>
    <w:uiPriority w:val="99"/>
    <w:unhideWhenUsed/>
    <w:rsid w:val="00091608"/>
    <w:pPr>
      <w:numPr>
        <w:ilvl w:val="1"/>
        <w:numId w:val="5"/>
      </w:numPr>
    </w:pPr>
  </w:style>
  <w:style w:type="paragraph" w:styleId="ListBullet3">
    <w:name w:val="List Bullet 3"/>
    <w:basedOn w:val="Normal"/>
    <w:uiPriority w:val="99"/>
    <w:unhideWhenUsed/>
    <w:rsid w:val="00091608"/>
    <w:pPr>
      <w:numPr>
        <w:ilvl w:val="2"/>
        <w:numId w:val="5"/>
      </w:numPr>
    </w:pPr>
  </w:style>
  <w:style w:type="paragraph" w:styleId="ListBullet4">
    <w:name w:val="List Bullet 4"/>
    <w:basedOn w:val="Normal"/>
    <w:uiPriority w:val="99"/>
    <w:unhideWhenUsed/>
    <w:rsid w:val="00091608"/>
    <w:pPr>
      <w:numPr>
        <w:ilvl w:val="3"/>
        <w:numId w:val="5"/>
      </w:numPr>
    </w:pPr>
  </w:style>
  <w:style w:type="paragraph" w:styleId="ListBullet5">
    <w:name w:val="List Bullet 5"/>
    <w:basedOn w:val="Normal"/>
    <w:uiPriority w:val="99"/>
    <w:unhideWhenUsed/>
    <w:rsid w:val="00091608"/>
    <w:pPr>
      <w:numPr>
        <w:ilvl w:val="4"/>
        <w:numId w:val="5"/>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qFormat/>
    <w:rsid w:val="003902AF"/>
    <w:pPr>
      <w:ind w:left="720"/>
      <w:contextualSpacing/>
    </w:pPr>
  </w:style>
  <w:style w:type="character" w:styleId="BookTitle">
    <w:name w:val="Book Title"/>
    <w:basedOn w:val="DefaultParagraphFont"/>
    <w:uiPriority w:val="33"/>
    <w:qFormat/>
    <w:rsid w:val="003902AF"/>
    <w:rPr>
      <w:rFonts w:ascii="Cambria" w:eastAsia="Times New Roman" w:hAnsi="Cambria"/>
      <w:b/>
      <w:i/>
      <w:sz w:val="24"/>
      <w:szCs w:val="24"/>
    </w:rPr>
  </w:style>
  <w:style w:type="paragraph" w:styleId="ListNumber">
    <w:name w:val="List Number"/>
    <w:basedOn w:val="Normal"/>
    <w:uiPriority w:val="99"/>
    <w:rsid w:val="00005CAA"/>
    <w:pPr>
      <w:numPr>
        <w:numId w:val="4"/>
      </w:numPr>
    </w:pPr>
  </w:style>
  <w:style w:type="paragraph" w:styleId="ListNumber2">
    <w:name w:val="List Number 2"/>
    <w:basedOn w:val="Normal"/>
    <w:uiPriority w:val="99"/>
    <w:rsid w:val="00005CAA"/>
    <w:pPr>
      <w:numPr>
        <w:ilvl w:val="1"/>
        <w:numId w:val="4"/>
      </w:numPr>
    </w:pPr>
  </w:style>
  <w:style w:type="paragraph" w:styleId="ListNumber3">
    <w:name w:val="List Number 3"/>
    <w:basedOn w:val="Normal"/>
    <w:uiPriority w:val="99"/>
    <w:rsid w:val="00005CAA"/>
    <w:pPr>
      <w:numPr>
        <w:ilvl w:val="2"/>
        <w:numId w:val="4"/>
      </w:numPr>
    </w:pPr>
  </w:style>
  <w:style w:type="paragraph" w:styleId="ListNumber4">
    <w:name w:val="List Number 4"/>
    <w:basedOn w:val="Normal"/>
    <w:uiPriority w:val="99"/>
    <w:rsid w:val="00005CAA"/>
    <w:pPr>
      <w:numPr>
        <w:ilvl w:val="3"/>
        <w:numId w:val="4"/>
      </w:numPr>
    </w:pPr>
  </w:style>
  <w:style w:type="paragraph" w:styleId="ListNumber5">
    <w:name w:val="List Number 5"/>
    <w:basedOn w:val="Normal"/>
    <w:uiPriority w:val="99"/>
    <w:rsid w:val="00005CAA"/>
    <w:pPr>
      <w:numPr>
        <w:ilvl w:val="4"/>
        <w:numId w:val="4"/>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rsid w:val="005A126E"/>
  </w:style>
  <w:style w:type="character" w:customStyle="1" w:styleId="Heading5Char">
    <w:name w:val="Heading 5 Char"/>
    <w:basedOn w:val="DefaultParagraphFont"/>
    <w:link w:val="Heading5"/>
    <w:uiPriority w:val="9"/>
    <w:semiHidden/>
    <w:rsid w:val="003902AF"/>
    <w:rPr>
      <w:rFonts w:cs="Times New Roman"/>
      <w:b/>
      <w:bCs/>
      <w:i/>
      <w:iCs/>
      <w:sz w:val="26"/>
      <w:szCs w:val="26"/>
    </w:rPr>
  </w:style>
  <w:style w:type="character" w:customStyle="1" w:styleId="Heading6Char">
    <w:name w:val="Heading 6 Char"/>
    <w:basedOn w:val="DefaultParagraphFont"/>
    <w:link w:val="Heading6"/>
    <w:uiPriority w:val="9"/>
    <w:semiHidden/>
    <w:rsid w:val="003902AF"/>
    <w:rPr>
      <w:rFonts w:cs="Times New Roman"/>
      <w:b/>
      <w:bCs/>
    </w:rPr>
  </w:style>
  <w:style w:type="character" w:customStyle="1" w:styleId="Heading7Char">
    <w:name w:val="Heading 7 Char"/>
    <w:basedOn w:val="DefaultParagraphFont"/>
    <w:link w:val="Heading7"/>
    <w:uiPriority w:val="9"/>
    <w:semiHidden/>
    <w:rsid w:val="003902AF"/>
    <w:rPr>
      <w:rFonts w:cs="Times New Roman"/>
      <w:sz w:val="24"/>
      <w:szCs w:val="24"/>
    </w:rPr>
  </w:style>
  <w:style w:type="character" w:customStyle="1" w:styleId="Heading8Char">
    <w:name w:val="Heading 8 Char"/>
    <w:basedOn w:val="DefaultParagraphFont"/>
    <w:link w:val="Heading8"/>
    <w:uiPriority w:val="9"/>
    <w:semiHidden/>
    <w:rsid w:val="003902AF"/>
    <w:rPr>
      <w:rFonts w:cs="Times New Roman"/>
      <w:i/>
      <w:iCs/>
      <w:sz w:val="24"/>
      <w:szCs w:val="24"/>
    </w:rPr>
  </w:style>
  <w:style w:type="character" w:customStyle="1" w:styleId="Heading9Char">
    <w:name w:val="Heading 9 Char"/>
    <w:basedOn w:val="DefaultParagraphFont"/>
    <w:link w:val="Heading9"/>
    <w:uiPriority w:val="9"/>
    <w:semiHidden/>
    <w:rsid w:val="003902AF"/>
    <w:rPr>
      <w:rFonts w:ascii="Cambria" w:eastAsia="Times New Roman" w:hAnsi="Cambria" w:cs="Times New Roman"/>
    </w:rPr>
  </w:style>
  <w:style w:type="paragraph" w:styleId="Title">
    <w:name w:val="Title"/>
    <w:basedOn w:val="Normal"/>
    <w:next w:val="Normal"/>
    <w:link w:val="TitleChar"/>
    <w:uiPriority w:val="10"/>
    <w:qFormat/>
    <w:rsid w:val="003902AF"/>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3902AF"/>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3902AF"/>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3902AF"/>
    <w:rPr>
      <w:rFonts w:ascii="Cambria" w:eastAsia="Times New Roman" w:hAnsi="Cambria"/>
      <w:sz w:val="24"/>
      <w:szCs w:val="24"/>
    </w:rPr>
  </w:style>
  <w:style w:type="character" w:styleId="Strong">
    <w:name w:val="Strong"/>
    <w:basedOn w:val="DefaultParagraphFont"/>
    <w:uiPriority w:val="22"/>
    <w:qFormat/>
    <w:rsid w:val="003902AF"/>
    <w:rPr>
      <w:b/>
      <w:bCs/>
    </w:rPr>
  </w:style>
  <w:style w:type="character" w:styleId="Emphasis">
    <w:name w:val="Emphasis"/>
    <w:basedOn w:val="DefaultParagraphFont"/>
    <w:uiPriority w:val="20"/>
    <w:qFormat/>
    <w:rsid w:val="003902AF"/>
    <w:rPr>
      <w:rFonts w:ascii="Calibri" w:hAnsi="Calibri"/>
      <w:b/>
      <w:i/>
      <w:iCs/>
    </w:rPr>
  </w:style>
  <w:style w:type="paragraph" w:styleId="NoSpacing">
    <w:name w:val="No Spacing"/>
    <w:basedOn w:val="Normal"/>
    <w:link w:val="NoSpacingChar"/>
    <w:uiPriority w:val="1"/>
    <w:qFormat/>
    <w:rsid w:val="003902AF"/>
    <w:rPr>
      <w:szCs w:val="32"/>
    </w:rPr>
  </w:style>
  <w:style w:type="character" w:customStyle="1" w:styleId="NoSpacingChar">
    <w:name w:val="No Spacing Char"/>
    <w:basedOn w:val="DefaultParagraphFont"/>
    <w:link w:val="NoSpacing"/>
    <w:uiPriority w:val="1"/>
    <w:rsid w:val="003902AF"/>
    <w:rPr>
      <w:sz w:val="24"/>
      <w:szCs w:val="32"/>
    </w:rPr>
  </w:style>
  <w:style w:type="paragraph" w:styleId="Quote">
    <w:name w:val="Quote"/>
    <w:basedOn w:val="Normal"/>
    <w:next w:val="Normal"/>
    <w:link w:val="QuoteChar"/>
    <w:uiPriority w:val="29"/>
    <w:qFormat/>
    <w:rsid w:val="003902AF"/>
    <w:rPr>
      <w:i/>
    </w:rPr>
  </w:style>
  <w:style w:type="character" w:customStyle="1" w:styleId="QuoteChar">
    <w:name w:val="Quote Char"/>
    <w:basedOn w:val="DefaultParagraphFont"/>
    <w:link w:val="Quote"/>
    <w:uiPriority w:val="29"/>
    <w:rsid w:val="003902AF"/>
    <w:rPr>
      <w:rFonts w:cs="Times New Roman"/>
      <w:i/>
      <w:sz w:val="24"/>
      <w:szCs w:val="24"/>
    </w:rPr>
  </w:style>
  <w:style w:type="paragraph" w:styleId="IntenseQuote">
    <w:name w:val="Intense Quote"/>
    <w:basedOn w:val="Normal"/>
    <w:next w:val="Normal"/>
    <w:link w:val="IntenseQuoteChar"/>
    <w:uiPriority w:val="30"/>
    <w:qFormat/>
    <w:rsid w:val="003902AF"/>
    <w:pPr>
      <w:ind w:left="720" w:right="720"/>
    </w:pPr>
    <w:rPr>
      <w:b/>
      <w:i/>
      <w:szCs w:val="22"/>
    </w:rPr>
  </w:style>
  <w:style w:type="character" w:customStyle="1" w:styleId="IntenseQuoteChar">
    <w:name w:val="Intense Quote Char"/>
    <w:basedOn w:val="DefaultParagraphFont"/>
    <w:link w:val="IntenseQuote"/>
    <w:uiPriority w:val="30"/>
    <w:rsid w:val="003902AF"/>
    <w:rPr>
      <w:rFonts w:cs="Times New Roman"/>
      <w:b/>
      <w:i/>
      <w:sz w:val="24"/>
    </w:rPr>
  </w:style>
  <w:style w:type="character" w:styleId="SubtleEmphasis">
    <w:name w:val="Subtle Emphasis"/>
    <w:uiPriority w:val="19"/>
    <w:qFormat/>
    <w:rsid w:val="003902AF"/>
    <w:rPr>
      <w:i/>
      <w:color w:val="5A5A5A"/>
    </w:rPr>
  </w:style>
  <w:style w:type="character" w:styleId="IntenseEmphasis">
    <w:name w:val="Intense Emphasis"/>
    <w:basedOn w:val="DefaultParagraphFont"/>
    <w:uiPriority w:val="21"/>
    <w:qFormat/>
    <w:rsid w:val="003902AF"/>
    <w:rPr>
      <w:b/>
      <w:i/>
      <w:sz w:val="24"/>
      <w:szCs w:val="24"/>
      <w:u w:val="single"/>
    </w:rPr>
  </w:style>
  <w:style w:type="character" w:styleId="SubtleReference">
    <w:name w:val="Subtle Reference"/>
    <w:basedOn w:val="DefaultParagraphFont"/>
    <w:uiPriority w:val="31"/>
    <w:qFormat/>
    <w:rsid w:val="003902AF"/>
    <w:rPr>
      <w:sz w:val="24"/>
      <w:szCs w:val="24"/>
      <w:u w:val="single"/>
    </w:rPr>
  </w:style>
  <w:style w:type="character" w:styleId="IntenseReference">
    <w:name w:val="Intense Reference"/>
    <w:basedOn w:val="DefaultParagraphFont"/>
    <w:uiPriority w:val="32"/>
    <w:qFormat/>
    <w:rsid w:val="003902AF"/>
    <w:rPr>
      <w:b/>
      <w:sz w:val="24"/>
      <w:u w:val="single"/>
    </w:rPr>
  </w:style>
  <w:style w:type="paragraph" w:styleId="TOCHeading">
    <w:name w:val="TOC Heading"/>
    <w:basedOn w:val="Heading1"/>
    <w:next w:val="Normal"/>
    <w:uiPriority w:val="39"/>
    <w:unhideWhenUsed/>
    <w:qFormat/>
    <w:rsid w:val="003902AF"/>
    <w:pPr>
      <w:outlineLvl w:val="9"/>
    </w:pPr>
  </w:style>
  <w:style w:type="paragraph" w:customStyle="1" w:styleId="title0">
    <w:name w:val="title"/>
    <w:basedOn w:val="Normal"/>
    <w:rsid w:val="00904C7A"/>
    <w:rPr>
      <w:sz w:val="52"/>
    </w:rPr>
  </w:style>
  <w:style w:type="paragraph" w:customStyle="1" w:styleId="headingsection">
    <w:name w:val="heading section"/>
    <w:link w:val="headingsectionChar"/>
    <w:rsid w:val="00904C7A"/>
    <w:pPr>
      <w:spacing w:after="200" w:line="276" w:lineRule="auto"/>
    </w:pPr>
    <w:rPr>
      <w:rFonts w:ascii="Tahoma" w:eastAsia="MS Mincho" w:hAnsi="Tahoma" w:cs="Tahoma"/>
      <w:b/>
      <w:bCs/>
      <w:kern w:val="32"/>
      <w:sz w:val="40"/>
      <w:szCs w:val="40"/>
      <w:lang w:val="en-US" w:eastAsia="ja-JP" w:bidi="en-US"/>
    </w:rPr>
  </w:style>
  <w:style w:type="character" w:customStyle="1" w:styleId="headingsectionChar">
    <w:name w:val="heading section Char"/>
    <w:basedOn w:val="DefaultParagraphFont"/>
    <w:link w:val="headingsection"/>
    <w:rsid w:val="00904C7A"/>
    <w:rPr>
      <w:rFonts w:ascii="Tahoma" w:eastAsia="MS Mincho" w:hAnsi="Tahoma" w:cs="Tahoma"/>
      <w:b/>
      <w:bCs/>
      <w:kern w:val="32"/>
      <w:sz w:val="40"/>
      <w:szCs w:val="40"/>
      <w:lang w:val="en-US" w:eastAsia="ja-JP" w:bidi="en-US"/>
    </w:rPr>
  </w:style>
  <w:style w:type="character" w:styleId="Hyperlink">
    <w:name w:val="Hyperlink"/>
    <w:basedOn w:val="DefaultParagraphFont"/>
    <w:uiPriority w:val="99"/>
    <w:rsid w:val="00904C7A"/>
    <w:rPr>
      <w:color w:val="0000FF"/>
      <w:u w:val="single"/>
    </w:rPr>
  </w:style>
  <w:style w:type="paragraph" w:styleId="FootnoteText">
    <w:name w:val="footnote text"/>
    <w:basedOn w:val="Normal"/>
    <w:link w:val="FootnoteTextChar"/>
    <w:rsid w:val="00904C7A"/>
  </w:style>
  <w:style w:type="character" w:customStyle="1" w:styleId="FootnoteTextChar">
    <w:name w:val="Footnote Text Char"/>
    <w:basedOn w:val="DefaultParagraphFont"/>
    <w:link w:val="FootnoteText"/>
    <w:rsid w:val="00904C7A"/>
    <w:rPr>
      <w:rFonts w:eastAsia="Times New Roman"/>
      <w:sz w:val="24"/>
      <w:szCs w:val="20"/>
    </w:rPr>
  </w:style>
  <w:style w:type="character" w:styleId="FootnoteReference">
    <w:name w:val="footnote reference"/>
    <w:basedOn w:val="DefaultParagraphFont"/>
    <w:rsid w:val="00904C7A"/>
    <w:rPr>
      <w:vertAlign w:val="superscript"/>
    </w:rPr>
  </w:style>
  <w:style w:type="paragraph" w:styleId="TOC1">
    <w:name w:val="toc 1"/>
    <w:basedOn w:val="Normal"/>
    <w:next w:val="Normal"/>
    <w:autoRedefine/>
    <w:uiPriority w:val="39"/>
    <w:unhideWhenUsed/>
    <w:rsid w:val="00904C7A"/>
    <w:pPr>
      <w:spacing w:after="100"/>
    </w:pPr>
  </w:style>
  <w:style w:type="paragraph" w:styleId="TOC2">
    <w:name w:val="toc 2"/>
    <w:basedOn w:val="Normal"/>
    <w:next w:val="Normal"/>
    <w:autoRedefine/>
    <w:uiPriority w:val="39"/>
    <w:unhideWhenUsed/>
    <w:rsid w:val="00904C7A"/>
    <w:pPr>
      <w:spacing w:after="100"/>
      <w:ind w:left="240"/>
    </w:pPr>
  </w:style>
  <w:style w:type="character" w:styleId="CommentReference">
    <w:name w:val="annotation reference"/>
    <w:basedOn w:val="DefaultParagraphFont"/>
    <w:uiPriority w:val="99"/>
    <w:semiHidden/>
    <w:unhideWhenUsed/>
    <w:rsid w:val="004949F0"/>
    <w:rPr>
      <w:sz w:val="16"/>
      <w:szCs w:val="16"/>
    </w:rPr>
  </w:style>
  <w:style w:type="paragraph" w:styleId="CommentText">
    <w:name w:val="annotation text"/>
    <w:basedOn w:val="Normal"/>
    <w:link w:val="CommentTextChar"/>
    <w:uiPriority w:val="99"/>
    <w:semiHidden/>
    <w:unhideWhenUsed/>
    <w:rsid w:val="004949F0"/>
  </w:style>
  <w:style w:type="character" w:customStyle="1" w:styleId="CommentTextChar">
    <w:name w:val="Comment Text Char"/>
    <w:basedOn w:val="DefaultParagraphFont"/>
    <w:link w:val="CommentText"/>
    <w:uiPriority w:val="99"/>
    <w:semiHidden/>
    <w:rsid w:val="004949F0"/>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4949F0"/>
    <w:rPr>
      <w:b/>
      <w:bCs/>
    </w:rPr>
  </w:style>
  <w:style w:type="character" w:customStyle="1" w:styleId="CommentSubjectChar">
    <w:name w:val="Comment Subject Char"/>
    <w:basedOn w:val="CommentTextChar"/>
    <w:link w:val="CommentSubject"/>
    <w:uiPriority w:val="99"/>
    <w:semiHidden/>
    <w:rsid w:val="004949F0"/>
    <w:rPr>
      <w:b/>
      <w:bCs/>
    </w:rPr>
  </w:style>
  <w:style w:type="paragraph" w:customStyle="1" w:styleId="LegalClauseLevel1">
    <w:name w:val="Legal Clause Level 1"/>
    <w:basedOn w:val="ListParagraph"/>
    <w:qFormat/>
    <w:rsid w:val="005F1A04"/>
    <w:pPr>
      <w:numPr>
        <w:numId w:val="11"/>
      </w:numPr>
      <w:spacing w:before="240" w:after="120"/>
      <w:contextualSpacing w:val="0"/>
    </w:pPr>
    <w:rPr>
      <w:rFonts w:ascii="Arial" w:eastAsia="Calibri" w:hAnsi="Arial" w:cs="Arial"/>
      <w:b/>
      <w:sz w:val="32"/>
      <w:szCs w:val="32"/>
      <w:lang w:bidi="ar-SA"/>
    </w:rPr>
  </w:style>
  <w:style w:type="paragraph" w:customStyle="1" w:styleId="LegalClauseLevel2">
    <w:name w:val="Legal Clause Level 2"/>
    <w:basedOn w:val="ListParagraph"/>
    <w:qFormat/>
    <w:rsid w:val="005F1A04"/>
    <w:pPr>
      <w:numPr>
        <w:ilvl w:val="1"/>
        <w:numId w:val="11"/>
      </w:numPr>
      <w:spacing w:before="120" w:after="120"/>
      <w:contextualSpacing w:val="0"/>
    </w:pPr>
    <w:rPr>
      <w:rFonts w:ascii="Arial" w:eastAsia="Calibri" w:hAnsi="Arial" w:cs="Arial"/>
      <w:b/>
      <w:lang w:bidi="ar-SA"/>
    </w:rPr>
  </w:style>
  <w:style w:type="paragraph" w:customStyle="1" w:styleId="LegalClauseLevel3">
    <w:name w:val="Legal Clause Level 3"/>
    <w:basedOn w:val="ListParagraph"/>
    <w:qFormat/>
    <w:rsid w:val="005F1A04"/>
    <w:pPr>
      <w:numPr>
        <w:ilvl w:val="2"/>
        <w:numId w:val="11"/>
      </w:numPr>
      <w:spacing w:before="120" w:after="120"/>
      <w:contextualSpacing w:val="0"/>
    </w:pPr>
    <w:rPr>
      <w:rFonts w:ascii="Arial" w:eastAsia="Calibri" w:hAnsi="Arial" w:cs="Arial"/>
      <w:sz w:val="22"/>
      <w:szCs w:val="22"/>
      <w:lang w:bidi="ar-SA"/>
    </w:rPr>
  </w:style>
  <w:style w:type="paragraph" w:customStyle="1" w:styleId="LegalClauseLevel4">
    <w:name w:val="Legal Clause Level 4"/>
    <w:basedOn w:val="ListParagraph"/>
    <w:qFormat/>
    <w:rsid w:val="005F1A04"/>
    <w:pPr>
      <w:numPr>
        <w:ilvl w:val="3"/>
        <w:numId w:val="11"/>
      </w:numPr>
      <w:spacing w:before="120" w:after="120"/>
      <w:contextualSpacing w:val="0"/>
    </w:pPr>
    <w:rPr>
      <w:rFonts w:ascii="Arial" w:eastAsia="Calibri" w:hAnsi="Arial" w:cs="Arial"/>
      <w:sz w:val="22"/>
      <w:szCs w:val="22"/>
      <w:lang w:bidi="ar-SA"/>
    </w:rPr>
  </w:style>
  <w:style w:type="paragraph" w:customStyle="1" w:styleId="LegalClauseLevel5">
    <w:name w:val="Legal Clause Level 5"/>
    <w:basedOn w:val="ListParagraph"/>
    <w:qFormat/>
    <w:rsid w:val="005F1A04"/>
    <w:pPr>
      <w:numPr>
        <w:ilvl w:val="4"/>
        <w:numId w:val="11"/>
      </w:numPr>
      <w:spacing w:before="120" w:after="120"/>
      <w:contextualSpacing w:val="0"/>
    </w:pPr>
    <w:rPr>
      <w:rFonts w:ascii="Arial" w:eastAsia="Calibri" w:hAnsi="Arial" w:cs="Arial"/>
      <w:sz w:val="22"/>
      <w:szCs w:val="22"/>
      <w:lang w:val="en-AU" w:bidi="ar-SA"/>
    </w:rPr>
  </w:style>
  <w:style w:type="numbering" w:customStyle="1" w:styleId="LegalTemplate">
    <w:name w:val="Legal Template"/>
    <w:uiPriority w:val="99"/>
    <w:rsid w:val="005F1A04"/>
    <w:pPr>
      <w:numPr>
        <w:numId w:val="12"/>
      </w:numPr>
    </w:pPr>
  </w:style>
  <w:style w:type="paragraph" w:styleId="Revision">
    <w:name w:val="Revision"/>
    <w:hidden/>
    <w:uiPriority w:val="99"/>
    <w:semiHidden/>
    <w:rsid w:val="005A1170"/>
    <w:rPr>
      <w:rFonts w:eastAsia="Times New Roman"/>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ustlii.edu.au" TargetMode="Externa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awlink.nsw.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0" ma:contentTypeDescription="Create a new document." ma:contentTypeScope="" ma:versionID="c7c617b1882f84e75610d9da663beecf">
  <xsd:schema xmlns:xsd="http://www.w3.org/2001/XMLSchema" xmlns:p="http://schemas.microsoft.com/office/2006/metadata/properties" xmlns:ns2="94e070df-f2d7-4164-8c33-edbc83da752d" xmlns:ns3="d3d3a9f2-d6b9-4ac6-938b-c1d69a470220" targetNamespace="http://schemas.microsoft.com/office/2006/metadata/properties" ma:root="true" ma:fieldsID="69176c769530bb380d2d457a3163e4cc"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dms="http://schemas.microsoft.com/office/2006/documentManagement/types" targetNamespace="94e070df-f2d7-4164-8c33-edbc83da752d" elementFormDefault="qualified">
    <xsd:import namespace="http://schemas.microsoft.com/office/2006/documentManagement/type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dms="http://schemas.microsoft.com/office/2006/documentManagement/types" targetNamespace="d3d3a9f2-d6b9-4ac6-938b-c1d69a470220" elementFormDefault="qualified">
    <xsd:import namespace="http://schemas.microsoft.com/office/2006/documentManagement/type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2.xml><?xml version="1.0" encoding="utf-8"?>
<ds:datastoreItem xmlns:ds="http://schemas.openxmlformats.org/officeDocument/2006/customXml" ds:itemID="{FDBC6EC7-9A8E-4911-BF01-B94B704C4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994338A-45A8-4ED7-BB84-0F6FC3A5238D}">
  <ds:schemaRefs>
    <ds:schemaRef ds:uri="http://schemas.microsoft.com/office/2006/metadata/properties"/>
    <ds:schemaRef ds:uri="94e070df-f2d7-4164-8c33-edbc83da752d"/>
    <ds:schemaRef ds:uri="d3d3a9f2-d6b9-4ac6-938b-c1d69a470220"/>
  </ds:schemaRefs>
</ds:datastoreItem>
</file>

<file path=customXml/itemProps4.xml><?xml version="1.0" encoding="utf-8"?>
<ds:datastoreItem xmlns:ds="http://schemas.openxmlformats.org/officeDocument/2006/customXml" ds:itemID="{4D5B9DF1-AD82-43E5-9E31-938AE54E0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2587</Words>
  <Characters>14746</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Blank document</vt:lpstr>
    </vt:vector>
  </TitlesOfParts>
  <Company>DEWHA</Company>
  <LinksUpToDate>false</LinksUpToDate>
  <CharactersWithSpaces>17299</CharactersWithSpaces>
  <SharedDoc>false</SharedDoc>
  <HLinks>
    <vt:vector size="78" baseType="variant">
      <vt:variant>
        <vt:i4>7602292</vt:i4>
      </vt:variant>
      <vt:variant>
        <vt:i4>72</vt:i4>
      </vt:variant>
      <vt:variant>
        <vt:i4>0</vt:i4>
      </vt:variant>
      <vt:variant>
        <vt:i4>5</vt:i4>
      </vt:variant>
      <vt:variant>
        <vt:lpwstr>http://www.lawlink.nsw.gov.au/</vt:lpwstr>
      </vt:variant>
      <vt:variant>
        <vt:lpwstr/>
      </vt:variant>
      <vt:variant>
        <vt:i4>6422569</vt:i4>
      </vt:variant>
      <vt:variant>
        <vt:i4>69</vt:i4>
      </vt:variant>
      <vt:variant>
        <vt:i4>0</vt:i4>
      </vt:variant>
      <vt:variant>
        <vt:i4>5</vt:i4>
      </vt:variant>
      <vt:variant>
        <vt:lpwstr>http://www.austlii.edu.au/</vt:lpwstr>
      </vt:variant>
      <vt:variant>
        <vt:lpwstr/>
      </vt:variant>
      <vt:variant>
        <vt:i4>1507385</vt:i4>
      </vt:variant>
      <vt:variant>
        <vt:i4>62</vt:i4>
      </vt:variant>
      <vt:variant>
        <vt:i4>0</vt:i4>
      </vt:variant>
      <vt:variant>
        <vt:i4>5</vt:i4>
      </vt:variant>
      <vt:variant>
        <vt:lpwstr/>
      </vt:variant>
      <vt:variant>
        <vt:lpwstr>_Toc320797329</vt:lpwstr>
      </vt:variant>
      <vt:variant>
        <vt:i4>1507385</vt:i4>
      </vt:variant>
      <vt:variant>
        <vt:i4>56</vt:i4>
      </vt:variant>
      <vt:variant>
        <vt:i4>0</vt:i4>
      </vt:variant>
      <vt:variant>
        <vt:i4>5</vt:i4>
      </vt:variant>
      <vt:variant>
        <vt:lpwstr/>
      </vt:variant>
      <vt:variant>
        <vt:lpwstr>_Toc320797328</vt:lpwstr>
      </vt:variant>
      <vt:variant>
        <vt:i4>1507385</vt:i4>
      </vt:variant>
      <vt:variant>
        <vt:i4>50</vt:i4>
      </vt:variant>
      <vt:variant>
        <vt:i4>0</vt:i4>
      </vt:variant>
      <vt:variant>
        <vt:i4>5</vt:i4>
      </vt:variant>
      <vt:variant>
        <vt:lpwstr/>
      </vt:variant>
      <vt:variant>
        <vt:lpwstr>_Toc320797327</vt:lpwstr>
      </vt:variant>
      <vt:variant>
        <vt:i4>1507385</vt:i4>
      </vt:variant>
      <vt:variant>
        <vt:i4>44</vt:i4>
      </vt:variant>
      <vt:variant>
        <vt:i4>0</vt:i4>
      </vt:variant>
      <vt:variant>
        <vt:i4>5</vt:i4>
      </vt:variant>
      <vt:variant>
        <vt:lpwstr/>
      </vt:variant>
      <vt:variant>
        <vt:lpwstr>_Toc320797326</vt:lpwstr>
      </vt:variant>
      <vt:variant>
        <vt:i4>1507385</vt:i4>
      </vt:variant>
      <vt:variant>
        <vt:i4>38</vt:i4>
      </vt:variant>
      <vt:variant>
        <vt:i4>0</vt:i4>
      </vt:variant>
      <vt:variant>
        <vt:i4>5</vt:i4>
      </vt:variant>
      <vt:variant>
        <vt:lpwstr/>
      </vt:variant>
      <vt:variant>
        <vt:lpwstr>_Toc320797325</vt:lpwstr>
      </vt:variant>
      <vt:variant>
        <vt:i4>1507385</vt:i4>
      </vt:variant>
      <vt:variant>
        <vt:i4>32</vt:i4>
      </vt:variant>
      <vt:variant>
        <vt:i4>0</vt:i4>
      </vt:variant>
      <vt:variant>
        <vt:i4>5</vt:i4>
      </vt:variant>
      <vt:variant>
        <vt:lpwstr/>
      </vt:variant>
      <vt:variant>
        <vt:lpwstr>_Toc320797324</vt:lpwstr>
      </vt:variant>
      <vt:variant>
        <vt:i4>1507385</vt:i4>
      </vt:variant>
      <vt:variant>
        <vt:i4>26</vt:i4>
      </vt:variant>
      <vt:variant>
        <vt:i4>0</vt:i4>
      </vt:variant>
      <vt:variant>
        <vt:i4>5</vt:i4>
      </vt:variant>
      <vt:variant>
        <vt:lpwstr/>
      </vt:variant>
      <vt:variant>
        <vt:lpwstr>_Toc320797323</vt:lpwstr>
      </vt:variant>
      <vt:variant>
        <vt:i4>1507385</vt:i4>
      </vt:variant>
      <vt:variant>
        <vt:i4>20</vt:i4>
      </vt:variant>
      <vt:variant>
        <vt:i4>0</vt:i4>
      </vt:variant>
      <vt:variant>
        <vt:i4>5</vt:i4>
      </vt:variant>
      <vt:variant>
        <vt:lpwstr/>
      </vt:variant>
      <vt:variant>
        <vt:lpwstr>_Toc320797322</vt:lpwstr>
      </vt:variant>
      <vt:variant>
        <vt:i4>1507385</vt:i4>
      </vt:variant>
      <vt:variant>
        <vt:i4>14</vt:i4>
      </vt:variant>
      <vt:variant>
        <vt:i4>0</vt:i4>
      </vt:variant>
      <vt:variant>
        <vt:i4>5</vt:i4>
      </vt:variant>
      <vt:variant>
        <vt:lpwstr/>
      </vt:variant>
      <vt:variant>
        <vt:lpwstr>_Toc320797321</vt:lpwstr>
      </vt:variant>
      <vt:variant>
        <vt:i4>1507385</vt:i4>
      </vt:variant>
      <vt:variant>
        <vt:i4>8</vt:i4>
      </vt:variant>
      <vt:variant>
        <vt:i4>0</vt:i4>
      </vt:variant>
      <vt:variant>
        <vt:i4>5</vt:i4>
      </vt:variant>
      <vt:variant>
        <vt:lpwstr/>
      </vt:variant>
      <vt:variant>
        <vt:lpwstr>_Toc320797320</vt:lpwstr>
      </vt:variant>
      <vt:variant>
        <vt:i4>1310777</vt:i4>
      </vt:variant>
      <vt:variant>
        <vt:i4>2</vt:i4>
      </vt:variant>
      <vt:variant>
        <vt:i4>0</vt:i4>
      </vt:variant>
      <vt:variant>
        <vt:i4>5</vt:i4>
      </vt:variant>
      <vt:variant>
        <vt:lpwstr/>
      </vt:variant>
      <vt:variant>
        <vt:lpwstr>_Toc320797319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EPBC Policy Statement - Consideration of a Person’s Environmental History when making Decisions under the EPBC Act</dc:title>
  <dc:creator>CLW</dc:creator>
  <cp:lastModifiedBy>Rebecca Durack</cp:lastModifiedBy>
  <cp:revision>2</cp:revision>
  <cp:lastPrinted>2013-03-20T06:24:00Z</cp:lastPrinted>
  <dcterms:created xsi:type="dcterms:W3CDTF">2013-07-02T05:32:00Z</dcterms:created>
  <dcterms:modified xsi:type="dcterms:W3CDTF">2013-07-02T05:32:00Z</dcterms:modified>
</cp:coreProperties>
</file>