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06" w:rsidRPr="003B088A" w:rsidRDefault="00505306" w:rsidP="00505306">
      <w:pPr>
        <w:pStyle w:val="title"/>
        <w:rPr>
          <w:b/>
        </w:rPr>
      </w:pPr>
      <w:r w:rsidRPr="003B088A">
        <w:rPr>
          <w:b/>
        </w:rPr>
        <w:t>Environment Protection and Biodiversity Conservation Act 1999 (</w:t>
      </w:r>
      <w:proofErr w:type="spellStart"/>
      <w:r w:rsidRPr="003B088A">
        <w:rPr>
          <w:b/>
        </w:rPr>
        <w:t>C</w:t>
      </w:r>
      <w:r>
        <w:rPr>
          <w:b/>
        </w:rPr>
        <w:t>wl</w:t>
      </w:r>
      <w:r w:rsidRPr="003B088A">
        <w:rPr>
          <w:b/>
        </w:rPr>
        <w:t>th</w:t>
      </w:r>
      <w:proofErr w:type="spellEnd"/>
      <w:r w:rsidRPr="003B088A">
        <w:rPr>
          <w:b/>
        </w:rPr>
        <w:t>)</w:t>
      </w:r>
    </w:p>
    <w:p w:rsidR="00505306" w:rsidRPr="004C10DB" w:rsidRDefault="00505306" w:rsidP="00505306">
      <w:pPr>
        <w:rPr>
          <w:rFonts w:ascii="Times New Roman" w:hAnsi="Times New Roman"/>
          <w:sz w:val="28"/>
          <w:szCs w:val="28"/>
        </w:rPr>
      </w:pPr>
    </w:p>
    <w:p w:rsidR="00505306" w:rsidRPr="003B088A" w:rsidRDefault="00C955CD" w:rsidP="00505306">
      <w:pPr>
        <w:pStyle w:val="title"/>
      </w:pPr>
      <w:bookmarkStart w:id="0" w:name="OLE_LINK7"/>
      <w:bookmarkStart w:id="1" w:name="OLE_LINK8"/>
      <w:r>
        <w:t>Policy Statement</w:t>
      </w:r>
    </w:p>
    <w:bookmarkEnd w:id="0"/>
    <w:bookmarkEnd w:id="1"/>
    <w:p w:rsidR="00505306" w:rsidRPr="004C10DB" w:rsidRDefault="00505306" w:rsidP="00505306">
      <w:pPr>
        <w:jc w:val="center"/>
        <w:rPr>
          <w:rFonts w:ascii="Times New Roman" w:hAnsi="Times New Roman"/>
          <w:b/>
          <w:sz w:val="28"/>
          <w:szCs w:val="28"/>
        </w:rPr>
      </w:pPr>
    </w:p>
    <w:p w:rsidR="00505306" w:rsidRPr="00412966" w:rsidRDefault="00505306" w:rsidP="00505306">
      <w:pPr>
        <w:pStyle w:val="title"/>
        <w:rPr>
          <w:szCs w:val="52"/>
        </w:rPr>
      </w:pPr>
      <w:bookmarkStart w:id="2" w:name="OLE_LINK9"/>
      <w:bookmarkStart w:id="3" w:name="OLE_LINK10"/>
      <w:r w:rsidRPr="00412966">
        <w:rPr>
          <w:szCs w:val="52"/>
        </w:rPr>
        <w:t>Expiry Dates for Approvals</w:t>
      </w:r>
      <w:bookmarkEnd w:id="2"/>
      <w:bookmarkEnd w:id="3"/>
      <w:r w:rsidRPr="00412966">
        <w:rPr>
          <w:szCs w:val="52"/>
        </w:rPr>
        <w:t xml:space="preserve"> </w:t>
      </w:r>
    </w:p>
    <w:p w:rsidR="00505306" w:rsidRDefault="00505306" w:rsidP="00505306">
      <w:pPr>
        <w:rPr>
          <w:rFonts w:ascii="Times New Roman" w:hAnsi="Times New Roman"/>
          <w:sz w:val="24"/>
        </w:rPr>
      </w:pPr>
    </w:p>
    <w:p w:rsidR="00505306" w:rsidRDefault="00505306" w:rsidP="00505306">
      <w:pPr>
        <w:rPr>
          <w:rFonts w:ascii="Times New Roman" w:hAnsi="Times New Roman"/>
          <w:sz w:val="24"/>
        </w:rPr>
      </w:pPr>
    </w:p>
    <w:p w:rsidR="00505306" w:rsidRPr="003B088A" w:rsidRDefault="00505306" w:rsidP="00505306">
      <w:pPr>
        <w:rPr>
          <w:rFonts w:ascii="Arial" w:hAnsi="Arial" w:cs="Arial"/>
          <w:sz w:val="24"/>
        </w:rPr>
      </w:pPr>
    </w:p>
    <w:p w:rsidR="00505306" w:rsidRDefault="00505306" w:rsidP="00505306">
      <w:pPr>
        <w:rPr>
          <w:rFonts w:ascii="Times New Roman" w:hAnsi="Times New Roman"/>
          <w:sz w:val="24"/>
        </w:rPr>
        <w:sectPr w:rsidR="00505306" w:rsidSect="00F9673D">
          <w:headerReference w:type="even" r:id="rId11"/>
          <w:headerReference w:type="default" r:id="rId12"/>
          <w:footerReference w:type="even" r:id="rId13"/>
          <w:footerReference w:type="default" r:id="rId14"/>
          <w:headerReference w:type="first" r:id="rId15"/>
          <w:footerReference w:type="first" r:id="rId16"/>
          <w:footnotePr>
            <w:numStart w:val="2"/>
          </w:footnotePr>
          <w:pgSz w:w="16838" w:h="11906" w:orient="landscape" w:code="9"/>
          <w:pgMar w:top="1134" w:right="1134" w:bottom="1134" w:left="1134" w:header="709" w:footer="567" w:gutter="0"/>
          <w:pgNumType w:start="1"/>
          <w:cols w:space="720"/>
          <w:docGrid w:linePitch="360"/>
        </w:sectPr>
      </w:pPr>
    </w:p>
    <w:p w:rsidR="00505306" w:rsidRDefault="00505306" w:rsidP="00505306">
      <w:r>
        <w:rPr>
          <w:rFonts w:ascii="Times New Roman" w:hAnsi="Times New Roman"/>
          <w:sz w:val="24"/>
        </w:rPr>
        <w:lastRenderedPageBreak/>
        <w:br w:type="page"/>
      </w:r>
    </w:p>
    <w:p w:rsidR="00505306" w:rsidRDefault="00505306" w:rsidP="00505306">
      <w:pPr>
        <w:rPr>
          <w:b/>
        </w:rPr>
        <w:sectPr w:rsidR="00505306" w:rsidSect="00F9673D">
          <w:footnotePr>
            <w:numStart w:val="2"/>
          </w:footnotePr>
          <w:type w:val="continuous"/>
          <w:pgSz w:w="16838" w:h="11906" w:orient="landscape" w:code="9"/>
          <w:pgMar w:top="1134" w:right="1134" w:bottom="1134" w:left="1134" w:header="709" w:footer="567" w:gutter="0"/>
          <w:cols w:num="3" w:space="397" w:equalWidth="0">
            <w:col w:w="4376" w:space="720"/>
            <w:col w:w="4376" w:space="720"/>
            <w:col w:w="4376"/>
          </w:cols>
          <w:docGrid w:linePitch="360"/>
        </w:sectPr>
      </w:pPr>
      <w:bookmarkStart w:id="4" w:name="_Toc140030408"/>
      <w:bookmarkStart w:id="5" w:name="_Toc140031087"/>
      <w:bookmarkStart w:id="6" w:name="_Toc140031250"/>
      <w:bookmarkStart w:id="7" w:name="_Toc140031415"/>
      <w:bookmarkStart w:id="8" w:name="_Toc140312889"/>
      <w:bookmarkStart w:id="9" w:name="_Toc140314087"/>
      <w:bookmarkStart w:id="10" w:name="_Toc140314321"/>
      <w:bookmarkStart w:id="11" w:name="_Toc141176475"/>
      <w:bookmarkStart w:id="12" w:name="_Toc147138593"/>
      <w:bookmarkStart w:id="13" w:name="_Toc157396955"/>
      <w:bookmarkStart w:id="14" w:name="_Toc147138596"/>
      <w:bookmarkStart w:id="15" w:name="_Toc157396959"/>
    </w:p>
    <w:p w:rsidR="00505306" w:rsidRDefault="00505306" w:rsidP="00505306">
      <w:pPr>
        <w:rPr>
          <w:b/>
          <w:sz w:val="40"/>
          <w:szCs w:val="40"/>
        </w:rPr>
      </w:pPr>
      <w:bookmarkStart w:id="16" w:name="_Toc159315373"/>
      <w:bookmarkStart w:id="17" w:name="_Toc159400731"/>
      <w:bookmarkStart w:id="18" w:name="_Toc159401136"/>
      <w:bookmarkStart w:id="19" w:name="_Toc159401312"/>
      <w:bookmarkStart w:id="20" w:name="_Toc159315377"/>
      <w:bookmarkStart w:id="21" w:name="_Toc159400733"/>
      <w:bookmarkStart w:id="22" w:name="_Toc159401138"/>
      <w:bookmarkStart w:id="23" w:name="_Toc159401314"/>
      <w:bookmarkStart w:id="24" w:name="_Toc191703678"/>
      <w:bookmarkEnd w:id="4"/>
      <w:bookmarkEnd w:id="5"/>
      <w:bookmarkEnd w:id="6"/>
      <w:bookmarkEnd w:id="7"/>
      <w:bookmarkEnd w:id="8"/>
      <w:bookmarkEnd w:id="9"/>
      <w:bookmarkEnd w:id="10"/>
      <w:bookmarkEnd w:id="11"/>
      <w:bookmarkEnd w:id="12"/>
      <w:bookmarkEnd w:id="13"/>
      <w:bookmarkEnd w:id="14"/>
      <w:bookmarkEnd w:id="15"/>
      <w:r>
        <w:rPr>
          <w:b/>
          <w:sz w:val="40"/>
          <w:szCs w:val="40"/>
        </w:rPr>
        <w:lastRenderedPageBreak/>
        <w:t>Contents</w:t>
      </w:r>
      <w:bookmarkEnd w:id="16"/>
      <w:bookmarkEnd w:id="17"/>
      <w:bookmarkEnd w:id="18"/>
      <w:bookmarkEnd w:id="19"/>
    </w:p>
    <w:p w:rsidR="00505306" w:rsidRPr="00C6630F" w:rsidRDefault="00505306" w:rsidP="00505306">
      <w:pPr>
        <w:pStyle w:val="TOCHeading"/>
        <w:rPr>
          <w:rFonts w:ascii="Tahoma" w:hAnsi="Tahoma" w:cs="Tahoma"/>
          <w:color w:val="auto"/>
        </w:rPr>
      </w:pPr>
      <w:r w:rsidRPr="00C6630F">
        <w:rPr>
          <w:rFonts w:ascii="Tahoma" w:hAnsi="Tahoma" w:cs="Tahoma"/>
          <w:color w:val="auto"/>
        </w:rPr>
        <w:t>Table of Contents</w:t>
      </w:r>
    </w:p>
    <w:p w:rsidR="00505306" w:rsidRPr="00C6630F" w:rsidRDefault="00CC56D4" w:rsidP="00505306">
      <w:pPr>
        <w:pStyle w:val="TOC1"/>
        <w:tabs>
          <w:tab w:val="right" w:leader="dot" w:pos="4170"/>
        </w:tabs>
        <w:rPr>
          <w:rFonts w:cs="Tahoma"/>
          <w:noProof/>
        </w:rPr>
      </w:pPr>
      <w:r w:rsidRPr="00C6630F">
        <w:rPr>
          <w:rFonts w:cs="Tahoma"/>
        </w:rPr>
        <w:fldChar w:fldCharType="begin"/>
      </w:r>
      <w:r w:rsidR="00505306" w:rsidRPr="00C6630F">
        <w:rPr>
          <w:rFonts w:cs="Tahoma"/>
        </w:rPr>
        <w:instrText xml:space="preserve"> TOC \o "1-3" \h \z \u </w:instrText>
      </w:r>
      <w:r w:rsidRPr="00C6630F">
        <w:rPr>
          <w:rFonts w:cs="Tahoma"/>
        </w:rPr>
        <w:fldChar w:fldCharType="separate"/>
      </w:r>
      <w:hyperlink w:anchor="_Toc311129518" w:history="1">
        <w:r w:rsidR="00505306" w:rsidRPr="00C6630F">
          <w:rPr>
            <w:rStyle w:val="Hyperlink"/>
            <w:rFonts w:cs="Tahoma"/>
            <w:noProof/>
          </w:rPr>
          <w:t>Overview</w:t>
        </w:r>
        <w:r w:rsidR="00505306" w:rsidRPr="00C6630F">
          <w:rPr>
            <w:rFonts w:cs="Tahoma"/>
            <w:noProof/>
            <w:webHidden/>
          </w:rPr>
          <w:tab/>
        </w:r>
        <w:r w:rsidR="00505306">
          <w:rPr>
            <w:rFonts w:cs="Tahoma"/>
            <w:noProof/>
            <w:webHidden/>
          </w:rPr>
          <w:t>2</w:t>
        </w:r>
      </w:hyperlink>
    </w:p>
    <w:p w:rsidR="00505306" w:rsidRPr="00C6630F" w:rsidRDefault="00CC56D4" w:rsidP="00505306">
      <w:pPr>
        <w:pStyle w:val="TOC1"/>
        <w:tabs>
          <w:tab w:val="right" w:leader="dot" w:pos="4170"/>
        </w:tabs>
        <w:rPr>
          <w:rFonts w:cs="Tahoma"/>
          <w:noProof/>
        </w:rPr>
      </w:pPr>
      <w:hyperlink w:anchor="_Toc311129519" w:history="1">
        <w:r w:rsidR="00341EE1">
          <w:rPr>
            <w:rStyle w:val="Hyperlink"/>
            <w:rFonts w:cs="Tahoma"/>
            <w:noProof/>
          </w:rPr>
          <w:t>Approval periods for projects</w:t>
        </w:r>
        <w:r w:rsidR="00341EE1" w:rsidRPr="00C6630F">
          <w:rPr>
            <w:rFonts w:cs="Tahoma"/>
            <w:noProof/>
            <w:webHidden/>
          </w:rPr>
          <w:tab/>
        </w:r>
        <w:r w:rsidR="00341EE1">
          <w:rPr>
            <w:rFonts w:cs="Tahoma"/>
            <w:noProof/>
            <w:webHidden/>
          </w:rPr>
          <w:t>2</w:t>
        </w:r>
      </w:hyperlink>
    </w:p>
    <w:p w:rsidR="00505306" w:rsidRPr="00C6630F" w:rsidRDefault="00CC56D4" w:rsidP="00505306">
      <w:pPr>
        <w:pStyle w:val="TOC1"/>
        <w:tabs>
          <w:tab w:val="right" w:leader="dot" w:pos="4170"/>
        </w:tabs>
        <w:rPr>
          <w:rFonts w:cs="Tahoma"/>
          <w:noProof/>
        </w:rPr>
      </w:pPr>
      <w:hyperlink w:anchor="_Toc311129520" w:history="1">
        <w:r w:rsidR="00505306" w:rsidRPr="00C6630F">
          <w:rPr>
            <w:rStyle w:val="Hyperlink"/>
            <w:rFonts w:cs="Tahoma"/>
            <w:noProof/>
          </w:rPr>
          <w:t>Ongoing actions/impacts</w:t>
        </w:r>
        <w:r w:rsidR="00505306" w:rsidRPr="00C6630F">
          <w:rPr>
            <w:rFonts w:cs="Tahoma"/>
            <w:noProof/>
            <w:webHidden/>
          </w:rPr>
          <w:tab/>
        </w:r>
        <w:r w:rsidR="00505306">
          <w:rPr>
            <w:rFonts w:cs="Tahoma"/>
            <w:noProof/>
            <w:webHidden/>
          </w:rPr>
          <w:t>3</w:t>
        </w:r>
      </w:hyperlink>
    </w:p>
    <w:p w:rsidR="00505306" w:rsidRPr="00C6630F" w:rsidRDefault="00CC56D4" w:rsidP="00505306">
      <w:pPr>
        <w:pStyle w:val="TOC1"/>
        <w:tabs>
          <w:tab w:val="right" w:leader="dot" w:pos="4170"/>
        </w:tabs>
        <w:rPr>
          <w:rFonts w:cs="Tahoma"/>
          <w:noProof/>
        </w:rPr>
      </w:pPr>
      <w:hyperlink w:anchor="_Toc311129521" w:history="1">
        <w:r w:rsidR="00505306" w:rsidRPr="00C6630F">
          <w:rPr>
            <w:rStyle w:val="Hyperlink"/>
            <w:rFonts w:cs="Tahoma"/>
            <w:noProof/>
          </w:rPr>
          <w:t>Where conditions of approval require an offset ‘in-perpetuity’</w:t>
        </w:r>
        <w:r w:rsidR="00505306" w:rsidRPr="00C6630F">
          <w:rPr>
            <w:rFonts w:cs="Tahoma"/>
            <w:noProof/>
            <w:webHidden/>
          </w:rPr>
          <w:tab/>
        </w:r>
        <w:r w:rsidRPr="00C6630F">
          <w:rPr>
            <w:rFonts w:cs="Tahoma"/>
            <w:noProof/>
            <w:webHidden/>
          </w:rPr>
          <w:fldChar w:fldCharType="begin"/>
        </w:r>
        <w:r w:rsidR="00505306" w:rsidRPr="00C6630F">
          <w:rPr>
            <w:rFonts w:cs="Tahoma"/>
            <w:noProof/>
            <w:webHidden/>
          </w:rPr>
          <w:instrText xml:space="preserve"> PAGEREF _Toc311129521 \h </w:instrText>
        </w:r>
        <w:r w:rsidRPr="00C6630F">
          <w:rPr>
            <w:rFonts w:cs="Tahoma"/>
            <w:noProof/>
            <w:webHidden/>
          </w:rPr>
        </w:r>
        <w:r w:rsidRPr="00C6630F">
          <w:rPr>
            <w:rFonts w:cs="Tahoma"/>
            <w:noProof/>
            <w:webHidden/>
          </w:rPr>
          <w:fldChar w:fldCharType="separate"/>
        </w:r>
        <w:r w:rsidR="00382087">
          <w:rPr>
            <w:rFonts w:cs="Tahoma"/>
            <w:noProof/>
            <w:webHidden/>
          </w:rPr>
          <w:t>2</w:t>
        </w:r>
        <w:r w:rsidRPr="00C6630F">
          <w:rPr>
            <w:rFonts w:cs="Tahoma"/>
            <w:noProof/>
            <w:webHidden/>
          </w:rPr>
          <w:fldChar w:fldCharType="end"/>
        </w:r>
      </w:hyperlink>
    </w:p>
    <w:p w:rsidR="00505306" w:rsidRPr="00C6630F" w:rsidRDefault="00CC56D4" w:rsidP="00505306">
      <w:pPr>
        <w:pStyle w:val="TOC1"/>
        <w:tabs>
          <w:tab w:val="right" w:leader="dot" w:pos="4170"/>
        </w:tabs>
        <w:rPr>
          <w:rFonts w:cs="Tahoma"/>
          <w:noProof/>
        </w:rPr>
      </w:pPr>
      <w:hyperlink w:anchor="_Toc311129522" w:history="1">
        <w:r w:rsidR="00505306" w:rsidRPr="00C6630F">
          <w:rPr>
            <w:rStyle w:val="Hyperlink"/>
            <w:rFonts w:cs="Tahoma"/>
            <w:noProof/>
          </w:rPr>
          <w:t>Approval decision notice</w:t>
        </w:r>
        <w:r w:rsidR="00505306" w:rsidRPr="00C6630F">
          <w:rPr>
            <w:rFonts w:cs="Tahoma"/>
            <w:noProof/>
            <w:webHidden/>
          </w:rPr>
          <w:tab/>
        </w:r>
        <w:r w:rsidRPr="00C6630F">
          <w:rPr>
            <w:rFonts w:cs="Tahoma"/>
            <w:noProof/>
            <w:webHidden/>
          </w:rPr>
          <w:fldChar w:fldCharType="begin"/>
        </w:r>
        <w:r w:rsidR="00505306" w:rsidRPr="00C6630F">
          <w:rPr>
            <w:rFonts w:cs="Tahoma"/>
            <w:noProof/>
            <w:webHidden/>
          </w:rPr>
          <w:instrText xml:space="preserve"> PAGEREF _Toc311129522 \h </w:instrText>
        </w:r>
        <w:r w:rsidRPr="00C6630F">
          <w:rPr>
            <w:rFonts w:cs="Tahoma"/>
            <w:noProof/>
            <w:webHidden/>
          </w:rPr>
        </w:r>
        <w:r w:rsidRPr="00C6630F">
          <w:rPr>
            <w:rFonts w:cs="Tahoma"/>
            <w:noProof/>
            <w:webHidden/>
          </w:rPr>
          <w:fldChar w:fldCharType="separate"/>
        </w:r>
        <w:r w:rsidR="00382087">
          <w:rPr>
            <w:rFonts w:cs="Tahoma"/>
            <w:noProof/>
            <w:webHidden/>
          </w:rPr>
          <w:t>2</w:t>
        </w:r>
        <w:r w:rsidRPr="00C6630F">
          <w:rPr>
            <w:rFonts w:cs="Tahoma"/>
            <w:noProof/>
            <w:webHidden/>
          </w:rPr>
          <w:fldChar w:fldCharType="end"/>
        </w:r>
      </w:hyperlink>
    </w:p>
    <w:p w:rsidR="00505306" w:rsidRPr="00C6630F" w:rsidRDefault="00CC56D4" w:rsidP="00505306">
      <w:pPr>
        <w:pStyle w:val="TOC1"/>
        <w:tabs>
          <w:tab w:val="right" w:leader="dot" w:pos="4170"/>
        </w:tabs>
        <w:rPr>
          <w:rFonts w:cs="Tahoma"/>
          <w:noProof/>
        </w:rPr>
      </w:pPr>
      <w:hyperlink w:anchor="_Toc311129523" w:history="1">
        <w:r w:rsidR="00505306" w:rsidRPr="00C6630F">
          <w:rPr>
            <w:rStyle w:val="Hyperlink"/>
            <w:rFonts w:cs="Tahoma"/>
            <w:noProof/>
          </w:rPr>
          <w:t>After the expiry date has passed</w:t>
        </w:r>
        <w:r w:rsidR="00505306" w:rsidRPr="00C6630F">
          <w:rPr>
            <w:rFonts w:cs="Tahoma"/>
            <w:noProof/>
            <w:webHidden/>
          </w:rPr>
          <w:tab/>
        </w:r>
        <w:r w:rsidRPr="00C6630F">
          <w:rPr>
            <w:rFonts w:cs="Tahoma"/>
            <w:noProof/>
            <w:webHidden/>
          </w:rPr>
          <w:fldChar w:fldCharType="begin"/>
        </w:r>
        <w:r w:rsidR="00505306" w:rsidRPr="00C6630F">
          <w:rPr>
            <w:rFonts w:cs="Tahoma"/>
            <w:noProof/>
            <w:webHidden/>
          </w:rPr>
          <w:instrText xml:space="preserve"> PAGEREF _Toc311129523 \h </w:instrText>
        </w:r>
        <w:r w:rsidRPr="00C6630F">
          <w:rPr>
            <w:rFonts w:cs="Tahoma"/>
            <w:noProof/>
            <w:webHidden/>
          </w:rPr>
        </w:r>
        <w:r w:rsidRPr="00C6630F">
          <w:rPr>
            <w:rFonts w:cs="Tahoma"/>
            <w:noProof/>
            <w:webHidden/>
          </w:rPr>
          <w:fldChar w:fldCharType="separate"/>
        </w:r>
        <w:r w:rsidR="00382087">
          <w:rPr>
            <w:rFonts w:cs="Tahoma"/>
            <w:noProof/>
            <w:webHidden/>
          </w:rPr>
          <w:t>2</w:t>
        </w:r>
        <w:r w:rsidRPr="00C6630F">
          <w:rPr>
            <w:rFonts w:cs="Tahoma"/>
            <w:noProof/>
            <w:webHidden/>
          </w:rPr>
          <w:fldChar w:fldCharType="end"/>
        </w:r>
      </w:hyperlink>
      <w:r w:rsidRPr="00C6630F">
        <w:rPr>
          <w:rFonts w:cs="Tahoma"/>
        </w:rPr>
        <w:fldChar w:fldCharType="end"/>
      </w:r>
    </w:p>
    <w:p w:rsidR="00382087" w:rsidRDefault="00382087" w:rsidP="00505306">
      <w:pPr>
        <w:pStyle w:val="Heading1"/>
        <w:rPr>
          <w:rFonts w:cs="Tahoma"/>
        </w:rPr>
      </w:pPr>
      <w:bookmarkStart w:id="25" w:name="_Toc309049289"/>
      <w:bookmarkStart w:id="26" w:name="_Toc311129518"/>
      <w:bookmarkEnd w:id="20"/>
      <w:bookmarkEnd w:id="21"/>
      <w:bookmarkEnd w:id="22"/>
      <w:bookmarkEnd w:id="23"/>
      <w:bookmarkEnd w:id="24"/>
    </w:p>
    <w:p w:rsidR="00505306" w:rsidRPr="00977EC4" w:rsidRDefault="00505306" w:rsidP="00505306">
      <w:pPr>
        <w:pStyle w:val="Heading1"/>
        <w:rPr>
          <w:rFonts w:cs="Tahoma"/>
        </w:rPr>
      </w:pPr>
      <w:r w:rsidRPr="00977EC4">
        <w:rPr>
          <w:rFonts w:cs="Tahoma"/>
        </w:rPr>
        <w:t>Overview</w:t>
      </w:r>
      <w:bookmarkEnd w:id="25"/>
      <w:bookmarkEnd w:id="26"/>
    </w:p>
    <w:p w:rsidR="00505306" w:rsidRPr="007C20D1" w:rsidRDefault="00505306" w:rsidP="00505306">
      <w:pPr>
        <w:rPr>
          <w:rFonts w:cs="Tahoma"/>
          <w:szCs w:val="20"/>
        </w:rPr>
      </w:pPr>
      <w:r w:rsidRPr="007C20D1">
        <w:rPr>
          <w:rFonts w:cs="Tahoma"/>
          <w:szCs w:val="20"/>
        </w:rPr>
        <w:t>In accordance with paragraph 133(2</w:t>
      </w:r>
      <w:proofErr w:type="gramStart"/>
      <w:r w:rsidRPr="007C20D1">
        <w:rPr>
          <w:rFonts w:cs="Tahoma"/>
          <w:szCs w:val="20"/>
        </w:rPr>
        <w:t>)(</w:t>
      </w:r>
      <w:proofErr w:type="gramEnd"/>
      <w:r w:rsidRPr="007C20D1">
        <w:rPr>
          <w:rFonts w:cs="Tahoma"/>
          <w:szCs w:val="20"/>
        </w:rPr>
        <w:t xml:space="preserve">e) of the EPBC Act, an approval must specify the period for which the approval has effect (the </w:t>
      </w:r>
      <w:r w:rsidRPr="007C20D1">
        <w:rPr>
          <w:rFonts w:cs="Tahoma"/>
          <w:b/>
          <w:szCs w:val="20"/>
        </w:rPr>
        <w:t>approval period</w:t>
      </w:r>
      <w:r w:rsidRPr="007C20D1">
        <w:rPr>
          <w:rFonts w:cs="Tahoma"/>
          <w:szCs w:val="20"/>
        </w:rPr>
        <w:t xml:space="preserve">). This </w:t>
      </w:r>
      <w:r w:rsidR="00C955CD">
        <w:rPr>
          <w:rFonts w:cs="Tahoma"/>
          <w:szCs w:val="20"/>
        </w:rPr>
        <w:t>Policy Statement</w:t>
      </w:r>
      <w:r w:rsidRPr="007C20D1">
        <w:rPr>
          <w:rFonts w:cs="Tahoma"/>
          <w:szCs w:val="20"/>
        </w:rPr>
        <w:t xml:space="preserve"> provides information relevant to determining an appropriate approval period for actions approved under the EPBC Act.</w:t>
      </w:r>
    </w:p>
    <w:p w:rsidR="00505306" w:rsidRPr="00977EC4" w:rsidRDefault="00341EE1" w:rsidP="00505306">
      <w:pPr>
        <w:pStyle w:val="Heading1"/>
        <w:rPr>
          <w:rFonts w:cs="Tahoma"/>
        </w:rPr>
      </w:pPr>
      <w:r>
        <w:rPr>
          <w:rFonts w:cs="Tahoma"/>
        </w:rPr>
        <w:t>approval periods for projects</w:t>
      </w:r>
    </w:p>
    <w:p w:rsidR="00505306" w:rsidRPr="007C20D1" w:rsidRDefault="00505306" w:rsidP="00505306">
      <w:pPr>
        <w:rPr>
          <w:rFonts w:cs="Tahoma"/>
          <w:szCs w:val="20"/>
        </w:rPr>
      </w:pPr>
      <w:r w:rsidRPr="007C20D1">
        <w:rPr>
          <w:rFonts w:cs="Tahoma"/>
          <w:szCs w:val="20"/>
        </w:rPr>
        <w:t xml:space="preserve">There is no standard approval period that </w:t>
      </w:r>
      <w:r>
        <w:rPr>
          <w:rFonts w:cs="Tahoma"/>
          <w:szCs w:val="20"/>
        </w:rPr>
        <w:t>is</w:t>
      </w:r>
      <w:r w:rsidRPr="007C20D1">
        <w:rPr>
          <w:rFonts w:cs="Tahoma"/>
          <w:szCs w:val="20"/>
        </w:rPr>
        <w:t xml:space="preserve"> applied to all projects</w:t>
      </w:r>
      <w:r>
        <w:rPr>
          <w:rFonts w:cs="Tahoma"/>
          <w:szCs w:val="20"/>
        </w:rPr>
        <w:t xml:space="preserve"> </w:t>
      </w:r>
      <w:r w:rsidRPr="009220EC">
        <w:rPr>
          <w:rFonts w:cs="Tahoma"/>
          <w:szCs w:val="20"/>
        </w:rPr>
        <w:t>under the EPBC Act</w:t>
      </w:r>
      <w:r w:rsidRPr="007C20D1">
        <w:rPr>
          <w:rFonts w:cs="Tahoma"/>
          <w:szCs w:val="20"/>
        </w:rPr>
        <w:t xml:space="preserve">. As a guide, the approval period </w:t>
      </w:r>
      <w:r>
        <w:rPr>
          <w:rFonts w:cs="Tahoma"/>
          <w:szCs w:val="20"/>
        </w:rPr>
        <w:t>would</w:t>
      </w:r>
      <w:r w:rsidRPr="007C20D1">
        <w:rPr>
          <w:rFonts w:cs="Tahoma"/>
          <w:szCs w:val="20"/>
        </w:rPr>
        <w:t xml:space="preserve"> cover the expected duration of the action (or the part of the action that will impact on the relevant controlling provision(s)), as well as the expected timeframe to implement actions required as conditions of approval.</w:t>
      </w:r>
    </w:p>
    <w:p w:rsidR="00505306" w:rsidRDefault="00505306" w:rsidP="00505306">
      <w:pPr>
        <w:rPr>
          <w:rFonts w:cs="Tahoma"/>
          <w:szCs w:val="20"/>
        </w:rPr>
      </w:pPr>
      <w:r w:rsidRPr="007C20D1">
        <w:rPr>
          <w:rFonts w:cs="Tahoma"/>
          <w:szCs w:val="20"/>
        </w:rPr>
        <w:lastRenderedPageBreak/>
        <w:t xml:space="preserve">In determining an appropriate approval period, consideration </w:t>
      </w:r>
      <w:r>
        <w:rPr>
          <w:rFonts w:cs="Tahoma"/>
          <w:szCs w:val="20"/>
        </w:rPr>
        <w:t>would</w:t>
      </w:r>
      <w:r w:rsidRPr="007C20D1">
        <w:rPr>
          <w:rFonts w:cs="Tahoma"/>
          <w:szCs w:val="20"/>
        </w:rPr>
        <w:t xml:space="preserve"> be given to the following factors:</w:t>
      </w:r>
    </w:p>
    <w:p w:rsidR="00505306" w:rsidRPr="008E60F6" w:rsidRDefault="00505306" w:rsidP="00505306">
      <w:pPr>
        <w:pStyle w:val="ListParagraph"/>
        <w:numPr>
          <w:ilvl w:val="0"/>
          <w:numId w:val="49"/>
        </w:numPr>
        <w:ind w:left="567" w:hanging="567"/>
        <w:rPr>
          <w:rFonts w:cs="Tahoma"/>
          <w:szCs w:val="20"/>
        </w:rPr>
      </w:pPr>
      <w:proofErr w:type="gramStart"/>
      <w:r w:rsidRPr="007C20D1">
        <w:rPr>
          <w:rFonts w:cs="Tahoma"/>
          <w:szCs w:val="20"/>
        </w:rPr>
        <w:t>the</w:t>
      </w:r>
      <w:proofErr w:type="gramEnd"/>
      <w:r w:rsidRPr="007C20D1">
        <w:rPr>
          <w:rFonts w:cs="Tahoma"/>
          <w:szCs w:val="20"/>
        </w:rPr>
        <w:t xml:space="preserve"> expected duration of the action. </w:t>
      </w:r>
      <w:r>
        <w:rPr>
          <w:rFonts w:cs="Tahoma"/>
          <w:szCs w:val="20"/>
        </w:rPr>
        <w:t>Departmental officers will c</w:t>
      </w:r>
      <w:r w:rsidRPr="007C20D1">
        <w:rPr>
          <w:rFonts w:cs="Tahoma"/>
          <w:szCs w:val="20"/>
        </w:rPr>
        <w:t>onsider both the construction, operational and decommissioning (if relevant) phases of the action. Where impacts on controlling provisions are limited to the construction phase only, it may not be necessary for the approval period to also encompass the operational phase;</w:t>
      </w:r>
    </w:p>
    <w:p w:rsidR="00505306" w:rsidRPr="008E60F6" w:rsidRDefault="00505306" w:rsidP="00505306">
      <w:pPr>
        <w:pStyle w:val="ListParagraph"/>
        <w:numPr>
          <w:ilvl w:val="0"/>
          <w:numId w:val="49"/>
        </w:numPr>
        <w:ind w:left="567" w:hanging="567"/>
        <w:rPr>
          <w:rFonts w:cs="Tahoma"/>
          <w:szCs w:val="20"/>
        </w:rPr>
      </w:pPr>
      <w:proofErr w:type="gramStart"/>
      <w:r w:rsidRPr="007C20D1">
        <w:rPr>
          <w:rFonts w:cs="Tahoma"/>
          <w:szCs w:val="20"/>
        </w:rPr>
        <w:t>the</w:t>
      </w:r>
      <w:proofErr w:type="gramEnd"/>
      <w:r w:rsidRPr="007C20D1">
        <w:rPr>
          <w:rFonts w:cs="Tahoma"/>
          <w:szCs w:val="20"/>
        </w:rPr>
        <w:t xml:space="preserve"> expected duration of any remediation, mitigation, offset, monitoring and reporting actions that are required as conditions of approval. See further information about offsets ‘in-perpetuity’ below;</w:t>
      </w:r>
    </w:p>
    <w:p w:rsidR="00505306" w:rsidRDefault="00505306" w:rsidP="00505306">
      <w:pPr>
        <w:pStyle w:val="ListParagraph"/>
        <w:numPr>
          <w:ilvl w:val="0"/>
          <w:numId w:val="49"/>
        </w:numPr>
        <w:ind w:left="567" w:hanging="567"/>
        <w:rPr>
          <w:rFonts w:cs="Tahoma"/>
          <w:szCs w:val="20"/>
        </w:rPr>
      </w:pPr>
      <w:proofErr w:type="gramStart"/>
      <w:r w:rsidRPr="007C20D1">
        <w:rPr>
          <w:rFonts w:cs="Tahoma"/>
          <w:szCs w:val="20"/>
        </w:rPr>
        <w:t>administrative</w:t>
      </w:r>
      <w:proofErr w:type="gramEnd"/>
      <w:r w:rsidRPr="007C20D1">
        <w:rPr>
          <w:rFonts w:cs="Tahoma"/>
          <w:szCs w:val="20"/>
        </w:rPr>
        <w:t xml:space="preserve"> efficiency. Longer approval periods may reduce the number of requests for extension (and therefore the associated </w:t>
      </w:r>
      <w:r>
        <w:rPr>
          <w:rFonts w:cs="Tahoma"/>
          <w:szCs w:val="20"/>
        </w:rPr>
        <w:t>recommendations</w:t>
      </w:r>
      <w:r w:rsidRPr="007C20D1">
        <w:rPr>
          <w:rFonts w:cs="Tahoma"/>
          <w:szCs w:val="20"/>
        </w:rPr>
        <w:t xml:space="preserve"> and decision-making). It will, however, clearly be necessary to balance this consideration against the environmental benefits which could be derived from ensuring that approval periods only extend for as long as is necessary for the action to be undertaken, to minimise environmental impacts;</w:t>
      </w:r>
    </w:p>
    <w:p w:rsidR="00505306" w:rsidRPr="008E60F6" w:rsidRDefault="00505306" w:rsidP="00505306">
      <w:pPr>
        <w:pStyle w:val="ListParagraph"/>
        <w:numPr>
          <w:ilvl w:val="0"/>
          <w:numId w:val="49"/>
        </w:numPr>
        <w:ind w:left="567" w:hanging="567"/>
        <w:rPr>
          <w:rFonts w:cs="Tahoma"/>
          <w:szCs w:val="20"/>
        </w:rPr>
      </w:pPr>
      <w:proofErr w:type="gramStart"/>
      <w:r w:rsidRPr="007C20D1">
        <w:rPr>
          <w:rFonts w:cs="Tahoma"/>
          <w:szCs w:val="20"/>
        </w:rPr>
        <w:t>the</w:t>
      </w:r>
      <w:proofErr w:type="gramEnd"/>
      <w:r w:rsidRPr="007C20D1">
        <w:rPr>
          <w:rFonts w:cs="Tahoma"/>
          <w:szCs w:val="20"/>
        </w:rPr>
        <w:t xml:space="preserve"> need to provide certainty to the proponent. A proponent may seek a longer approval period than strictly necessary to give confidence to their shareholders/stakeholders and to avoid the need to seek extensions to the approval period (and the risks associated with a </w:t>
      </w:r>
      <w:r w:rsidRPr="007C20D1">
        <w:rPr>
          <w:rFonts w:cs="Tahoma"/>
          <w:szCs w:val="20"/>
        </w:rPr>
        <w:lastRenderedPageBreak/>
        <w:t>possible refusal to extend the approval period);</w:t>
      </w:r>
    </w:p>
    <w:p w:rsidR="00505306" w:rsidRPr="008E60F6" w:rsidRDefault="00505306" w:rsidP="00505306">
      <w:pPr>
        <w:pStyle w:val="ListParagraph"/>
        <w:numPr>
          <w:ilvl w:val="0"/>
          <w:numId w:val="49"/>
        </w:numPr>
        <w:ind w:left="567" w:hanging="567"/>
        <w:rPr>
          <w:rFonts w:cs="Tahoma"/>
          <w:szCs w:val="20"/>
        </w:rPr>
      </w:pPr>
      <w:proofErr w:type="gramStart"/>
      <w:r w:rsidRPr="007C20D1">
        <w:rPr>
          <w:rFonts w:cs="Tahoma"/>
          <w:szCs w:val="20"/>
        </w:rPr>
        <w:t>approval</w:t>
      </w:r>
      <w:proofErr w:type="gramEnd"/>
      <w:r w:rsidRPr="007C20D1">
        <w:rPr>
          <w:rFonts w:cs="Tahoma"/>
          <w:szCs w:val="20"/>
        </w:rPr>
        <w:t xml:space="preserve"> periods of other actions. It may be convenient to align the approval periods of component or related actions; and </w:t>
      </w:r>
    </w:p>
    <w:p w:rsidR="00505306" w:rsidRDefault="00505306" w:rsidP="00505306">
      <w:pPr>
        <w:pStyle w:val="ListParagraph"/>
        <w:numPr>
          <w:ilvl w:val="0"/>
          <w:numId w:val="49"/>
        </w:numPr>
        <w:ind w:left="567" w:hanging="567"/>
        <w:rPr>
          <w:rFonts w:cs="Tahoma"/>
          <w:szCs w:val="20"/>
        </w:rPr>
      </w:pPr>
      <w:proofErr w:type="gramStart"/>
      <w:r w:rsidRPr="007C20D1">
        <w:rPr>
          <w:rFonts w:cs="Tahoma"/>
          <w:szCs w:val="20"/>
        </w:rPr>
        <w:t>the</w:t>
      </w:r>
      <w:proofErr w:type="gramEnd"/>
      <w:r w:rsidRPr="007C20D1">
        <w:rPr>
          <w:rFonts w:cs="Tahoma"/>
          <w:szCs w:val="20"/>
        </w:rPr>
        <w:t xml:space="preserve"> duration of other approval periods related to the action. It may be convenient to align the approval period of the action with related state and local government approvals.</w:t>
      </w:r>
    </w:p>
    <w:p w:rsidR="00B74A9F" w:rsidRPr="00B74A9F" w:rsidRDefault="00B74A9F" w:rsidP="00B74A9F">
      <w:r w:rsidRPr="000329DC">
        <w:rPr>
          <w:highlight w:val="yellow"/>
        </w:rPr>
        <w:t>Departmental officers will check the referral form and other details provided by the proponent for information about the expected duration of the action. Expected timeframes may change during the assessment phase, so departmental officers will check this information with the proponent (including establishing if there have been any project delays) prior to finalising the approval decision.</w:t>
      </w:r>
      <w:r w:rsidRPr="00B74A9F">
        <w:t xml:space="preserve"> </w:t>
      </w:r>
    </w:p>
    <w:p w:rsidR="00505306" w:rsidRPr="007C20D1" w:rsidRDefault="00505306" w:rsidP="00505306">
      <w:pPr>
        <w:rPr>
          <w:rFonts w:cs="Tahoma"/>
          <w:szCs w:val="20"/>
        </w:rPr>
      </w:pPr>
      <w:r w:rsidRPr="00B74A9F">
        <w:rPr>
          <w:rFonts w:cs="Tahoma"/>
          <w:szCs w:val="20"/>
        </w:rPr>
        <w:t>If there have been substantia</w:t>
      </w:r>
      <w:r w:rsidRPr="007C20D1">
        <w:rPr>
          <w:rFonts w:cs="Tahoma"/>
          <w:szCs w:val="20"/>
        </w:rPr>
        <w:t>l changes to the expected duration from what was outlined in the referral documentation</w:t>
      </w:r>
      <w:r w:rsidR="00F9673D">
        <w:rPr>
          <w:rFonts w:cs="Tahoma"/>
          <w:szCs w:val="20"/>
        </w:rPr>
        <w:t xml:space="preserve"> </w:t>
      </w:r>
      <w:r w:rsidRPr="007C20D1">
        <w:rPr>
          <w:rFonts w:cs="Tahoma"/>
          <w:szCs w:val="20"/>
        </w:rPr>
        <w:t xml:space="preserve">a formal variation of the proposal </w:t>
      </w:r>
      <w:r w:rsidR="00F9673D">
        <w:rPr>
          <w:rFonts w:cs="Tahoma"/>
          <w:szCs w:val="20"/>
        </w:rPr>
        <w:t>may be</w:t>
      </w:r>
      <w:r w:rsidR="00F9673D" w:rsidRPr="007C20D1">
        <w:rPr>
          <w:rFonts w:cs="Tahoma"/>
          <w:szCs w:val="20"/>
        </w:rPr>
        <w:t xml:space="preserve"> </w:t>
      </w:r>
      <w:r w:rsidRPr="007C20D1">
        <w:rPr>
          <w:rFonts w:cs="Tahoma"/>
          <w:szCs w:val="20"/>
        </w:rPr>
        <w:t>required.</w:t>
      </w:r>
    </w:p>
    <w:p w:rsidR="00505306" w:rsidRPr="007C20D1" w:rsidRDefault="00505306" w:rsidP="00505306">
      <w:pPr>
        <w:rPr>
          <w:rFonts w:cs="Tahoma"/>
          <w:szCs w:val="20"/>
        </w:rPr>
      </w:pPr>
      <w:r w:rsidRPr="007C20D1">
        <w:rPr>
          <w:rFonts w:cs="Tahoma"/>
          <w:szCs w:val="20"/>
        </w:rPr>
        <w:t>For complex or lengthy projects, or where there is some uncertainty about expected timeframes, it may also be sensible for the approval period to extend beyond the expected timeframe for the action so that possible project delays may be accommodated.</w:t>
      </w:r>
    </w:p>
    <w:p w:rsidR="00505306" w:rsidRPr="007C20D1" w:rsidRDefault="00505306" w:rsidP="00505306">
      <w:pPr>
        <w:rPr>
          <w:rFonts w:cs="Tahoma"/>
          <w:szCs w:val="20"/>
        </w:rPr>
      </w:pPr>
      <w:r w:rsidRPr="007C20D1">
        <w:rPr>
          <w:rFonts w:cs="Tahoma"/>
          <w:szCs w:val="20"/>
        </w:rPr>
        <w:t xml:space="preserve">Details of the reasoning behind the recommended approval period </w:t>
      </w:r>
      <w:r w:rsidR="00F9673D">
        <w:rPr>
          <w:rFonts w:cs="Tahoma"/>
          <w:szCs w:val="20"/>
        </w:rPr>
        <w:t>would</w:t>
      </w:r>
      <w:r w:rsidR="00F9673D" w:rsidRPr="007C20D1">
        <w:rPr>
          <w:rFonts w:cs="Tahoma"/>
          <w:szCs w:val="20"/>
        </w:rPr>
        <w:t xml:space="preserve"> </w:t>
      </w:r>
      <w:r w:rsidRPr="007C20D1">
        <w:rPr>
          <w:rFonts w:cs="Tahoma"/>
          <w:szCs w:val="20"/>
        </w:rPr>
        <w:t xml:space="preserve">be included in the proposed approval decision </w:t>
      </w:r>
      <w:r w:rsidR="00F9673D">
        <w:rPr>
          <w:rFonts w:cs="Tahoma"/>
          <w:szCs w:val="20"/>
        </w:rPr>
        <w:t>recommendation</w:t>
      </w:r>
      <w:r w:rsidR="00F9673D" w:rsidRPr="007C20D1">
        <w:rPr>
          <w:rFonts w:cs="Tahoma"/>
          <w:szCs w:val="20"/>
        </w:rPr>
        <w:t xml:space="preserve"> </w:t>
      </w:r>
      <w:r w:rsidRPr="007C20D1">
        <w:rPr>
          <w:rFonts w:cs="Tahoma"/>
          <w:szCs w:val="20"/>
        </w:rPr>
        <w:t>package.</w:t>
      </w:r>
    </w:p>
    <w:p w:rsidR="00382087" w:rsidRDefault="00382087" w:rsidP="00505306">
      <w:pPr>
        <w:rPr>
          <w:rFonts w:cs="Tahoma"/>
          <w:szCs w:val="20"/>
        </w:rPr>
      </w:pPr>
    </w:p>
    <w:p w:rsidR="00505306" w:rsidRPr="007C20D1" w:rsidRDefault="00505306" w:rsidP="00505306">
      <w:pPr>
        <w:rPr>
          <w:rFonts w:cs="Tahoma"/>
          <w:szCs w:val="20"/>
        </w:rPr>
      </w:pPr>
      <w:r w:rsidRPr="007C20D1">
        <w:rPr>
          <w:rFonts w:cs="Tahoma"/>
          <w:szCs w:val="20"/>
        </w:rPr>
        <w:lastRenderedPageBreak/>
        <w:t xml:space="preserve">At the time that comments are sought on the proposed decision (under section 131AA of the EPBC Act) </w:t>
      </w:r>
      <w:r w:rsidR="00F9673D">
        <w:rPr>
          <w:rFonts w:cs="Tahoma"/>
          <w:szCs w:val="20"/>
        </w:rPr>
        <w:t>departmental officers would</w:t>
      </w:r>
      <w:r w:rsidRPr="007C20D1">
        <w:rPr>
          <w:rFonts w:cs="Tahoma"/>
          <w:szCs w:val="20"/>
        </w:rPr>
        <w:t xml:space="preserve"> discuss the proposed approval period (included in the draft decision notice) with the proponent.</w:t>
      </w:r>
    </w:p>
    <w:p w:rsidR="00C955CD" w:rsidRDefault="00C955CD">
      <w:pPr>
        <w:spacing w:before="0"/>
        <w:rPr>
          <w:rFonts w:cs="Tahoma"/>
          <w:b/>
          <w:caps/>
        </w:rPr>
      </w:pPr>
      <w:bookmarkStart w:id="27" w:name="_Toc309049291"/>
      <w:bookmarkStart w:id="28" w:name="_Toc311129520"/>
    </w:p>
    <w:p w:rsidR="00505306" w:rsidRPr="00C6630F" w:rsidRDefault="00505306" w:rsidP="00505306">
      <w:pPr>
        <w:pStyle w:val="Heading1"/>
        <w:rPr>
          <w:rFonts w:cs="Tahoma"/>
        </w:rPr>
      </w:pPr>
      <w:r w:rsidRPr="00C6630F">
        <w:rPr>
          <w:rFonts w:cs="Tahoma"/>
        </w:rPr>
        <w:t>Ongoing actions/impacts</w:t>
      </w:r>
      <w:bookmarkEnd w:id="27"/>
      <w:bookmarkEnd w:id="28"/>
    </w:p>
    <w:p w:rsidR="00505306" w:rsidRDefault="00505306" w:rsidP="00505306">
      <w:pPr>
        <w:rPr>
          <w:rFonts w:cs="Tahoma"/>
          <w:szCs w:val="20"/>
        </w:rPr>
      </w:pPr>
      <w:r w:rsidRPr="007C20D1">
        <w:rPr>
          <w:rFonts w:cs="Tahoma"/>
          <w:szCs w:val="20"/>
        </w:rPr>
        <w:t xml:space="preserve">In some cases the impact/s (or potential impact/s) of an action may continue indefinitely (for example the operation of a major road causing fragmentation and edge effects on grassland). Given the ongoing nature of the action and the associated impacts, it </w:t>
      </w:r>
      <w:r w:rsidR="00F9673D">
        <w:rPr>
          <w:rFonts w:cs="Tahoma"/>
          <w:szCs w:val="20"/>
        </w:rPr>
        <w:t>may be</w:t>
      </w:r>
      <w:r w:rsidRPr="007C20D1">
        <w:rPr>
          <w:rFonts w:cs="Tahoma"/>
          <w:szCs w:val="20"/>
        </w:rPr>
        <w:t xml:space="preserve"> difficult to determine an appropriate approval period. In these situations: </w:t>
      </w:r>
    </w:p>
    <w:p w:rsidR="00505306" w:rsidRPr="008E60F6" w:rsidRDefault="00505306" w:rsidP="00505306">
      <w:pPr>
        <w:pStyle w:val="ListParagraph"/>
        <w:numPr>
          <w:ilvl w:val="0"/>
          <w:numId w:val="50"/>
        </w:numPr>
        <w:rPr>
          <w:rFonts w:cs="Tahoma"/>
          <w:szCs w:val="20"/>
        </w:rPr>
      </w:pPr>
      <w:proofErr w:type="gramStart"/>
      <w:r w:rsidRPr="007C20D1">
        <w:rPr>
          <w:rFonts w:cs="Tahoma"/>
          <w:szCs w:val="20"/>
        </w:rPr>
        <w:t>measures</w:t>
      </w:r>
      <w:proofErr w:type="gramEnd"/>
      <w:r w:rsidRPr="007C20D1">
        <w:rPr>
          <w:rFonts w:cs="Tahoma"/>
          <w:szCs w:val="20"/>
        </w:rPr>
        <w:t xml:space="preserve"> to reduce the scale or severity of the ongoing impact/s (or the risk of a potential impact) </w:t>
      </w:r>
      <w:r w:rsidR="00F9673D">
        <w:rPr>
          <w:rFonts w:cs="Tahoma"/>
          <w:szCs w:val="20"/>
        </w:rPr>
        <w:t xml:space="preserve">may </w:t>
      </w:r>
      <w:r w:rsidRPr="007C20D1">
        <w:rPr>
          <w:rFonts w:cs="Tahoma"/>
          <w:szCs w:val="20"/>
        </w:rPr>
        <w:t xml:space="preserve">be put in place up front as conditions of approval (e.g. buffer zones). As discussed above, the approval period </w:t>
      </w:r>
      <w:r w:rsidR="00F9673D">
        <w:rPr>
          <w:rFonts w:cs="Tahoma"/>
          <w:szCs w:val="20"/>
        </w:rPr>
        <w:t>would</w:t>
      </w:r>
      <w:r w:rsidR="00F9673D" w:rsidRPr="007C20D1">
        <w:rPr>
          <w:rFonts w:cs="Tahoma"/>
          <w:szCs w:val="20"/>
        </w:rPr>
        <w:t xml:space="preserve"> </w:t>
      </w:r>
      <w:r w:rsidRPr="007C20D1">
        <w:rPr>
          <w:rFonts w:cs="Tahoma"/>
          <w:szCs w:val="20"/>
        </w:rPr>
        <w:t>(at a minimum) cover the expected timeframe to implement these measures and satisfy the conditions of approval; and</w:t>
      </w:r>
    </w:p>
    <w:p w:rsidR="00505306" w:rsidRDefault="00505306" w:rsidP="00505306">
      <w:pPr>
        <w:pStyle w:val="ListParagraph"/>
        <w:numPr>
          <w:ilvl w:val="0"/>
          <w:numId w:val="50"/>
        </w:numPr>
        <w:rPr>
          <w:rFonts w:cs="Tahoma"/>
          <w:szCs w:val="20"/>
        </w:rPr>
      </w:pPr>
      <w:r w:rsidRPr="007C20D1">
        <w:rPr>
          <w:rFonts w:cs="Tahoma"/>
          <w:szCs w:val="20"/>
        </w:rPr>
        <w:t xml:space="preserve">the approval period </w:t>
      </w:r>
      <w:r w:rsidR="00F9673D">
        <w:rPr>
          <w:rFonts w:cs="Tahoma"/>
          <w:szCs w:val="20"/>
        </w:rPr>
        <w:t xml:space="preserve">may </w:t>
      </w:r>
      <w:r w:rsidRPr="007C20D1">
        <w:rPr>
          <w:rFonts w:cs="Tahoma"/>
          <w:szCs w:val="20"/>
        </w:rPr>
        <w:t>be extended prior to expiry (section 145C of the EPBC Act) (it will be necessary to continue to extend the approval period for as long as the action will have or is likely to have a significant impact on a matter protected by the EPBC Act).</w:t>
      </w:r>
    </w:p>
    <w:p w:rsidR="00505306" w:rsidRPr="00411548" w:rsidRDefault="00505306" w:rsidP="00505306">
      <w:pPr>
        <w:rPr>
          <w:rFonts w:cs="Tahoma"/>
          <w:szCs w:val="20"/>
        </w:rPr>
      </w:pPr>
      <w:r w:rsidRPr="00411548">
        <w:rPr>
          <w:rFonts w:cs="Tahoma"/>
          <w:szCs w:val="20"/>
        </w:rPr>
        <w:t xml:space="preserve">The holder of an approval may apply, in writing, to extend their approval period (section 145C of the EPBC Act). </w:t>
      </w:r>
      <w:r w:rsidR="00F9673D">
        <w:rPr>
          <w:rFonts w:cs="Tahoma"/>
          <w:szCs w:val="20"/>
        </w:rPr>
        <w:t>A</w:t>
      </w:r>
      <w:r w:rsidRPr="00411548">
        <w:rPr>
          <w:rFonts w:cs="Tahoma"/>
          <w:szCs w:val="20"/>
        </w:rPr>
        <w:t xml:space="preserve">n extension can only be sought </w:t>
      </w:r>
      <w:r w:rsidRPr="00411548">
        <w:rPr>
          <w:rFonts w:cs="Tahoma"/>
          <w:szCs w:val="20"/>
        </w:rPr>
        <w:lastRenderedPageBreak/>
        <w:t xml:space="preserve">prior to the expiration of the approval period (paragraph </w:t>
      </w:r>
      <w:proofErr w:type="gramStart"/>
      <w:r w:rsidRPr="00411548">
        <w:rPr>
          <w:rFonts w:cs="Tahoma"/>
          <w:szCs w:val="20"/>
        </w:rPr>
        <w:t>145C(</w:t>
      </w:r>
      <w:proofErr w:type="gramEnd"/>
      <w:r w:rsidRPr="00411548">
        <w:rPr>
          <w:rFonts w:cs="Tahoma"/>
          <w:szCs w:val="20"/>
        </w:rPr>
        <w:t xml:space="preserve">2)(b) of the EPBC Act). </w:t>
      </w:r>
    </w:p>
    <w:p w:rsidR="00505306" w:rsidRPr="00411548" w:rsidRDefault="00505306" w:rsidP="00505306">
      <w:pPr>
        <w:rPr>
          <w:rFonts w:cs="Tahoma"/>
          <w:szCs w:val="20"/>
        </w:rPr>
      </w:pPr>
      <w:r w:rsidRPr="00411548">
        <w:rPr>
          <w:rFonts w:cs="Tahoma"/>
          <w:szCs w:val="20"/>
        </w:rPr>
        <w:t xml:space="preserve">The approval period can only be extended if the Minister, or delegate, is satisfied, under subsection </w:t>
      </w:r>
      <w:proofErr w:type="gramStart"/>
      <w:r w:rsidRPr="00411548">
        <w:rPr>
          <w:rFonts w:cs="Tahoma"/>
          <w:szCs w:val="20"/>
        </w:rPr>
        <w:t>145D(</w:t>
      </w:r>
      <w:proofErr w:type="gramEnd"/>
      <w:r w:rsidRPr="00411548">
        <w:rPr>
          <w:rFonts w:cs="Tahoma"/>
          <w:szCs w:val="20"/>
        </w:rPr>
        <w:t xml:space="preserve">2), that the extension will not have a substantial increase in, or substantial change in the nature of, the adverse impacts (if any) the action has or will have, or is likely to have on a matter or matters protected by Part 3 of the EPBC Act. Under subsection </w:t>
      </w:r>
      <w:proofErr w:type="gramStart"/>
      <w:r w:rsidRPr="00411548">
        <w:rPr>
          <w:rFonts w:cs="Tahoma"/>
          <w:szCs w:val="20"/>
        </w:rPr>
        <w:t>145D(</w:t>
      </w:r>
      <w:proofErr w:type="gramEnd"/>
      <w:r w:rsidRPr="00411548">
        <w:rPr>
          <w:rFonts w:cs="Tahoma"/>
          <w:szCs w:val="20"/>
        </w:rPr>
        <w:t>3),  the Minister or delegate must consider (so far as they are not inconsistent with any other requirements of Division 5) matters relevant to any matter protected by a provision of Part 3 for which the approval has effect, and economic and social matters.</w:t>
      </w:r>
    </w:p>
    <w:p w:rsidR="00505306" w:rsidRPr="00C6630F" w:rsidRDefault="00505306" w:rsidP="00505306">
      <w:pPr>
        <w:pStyle w:val="Heading1"/>
        <w:rPr>
          <w:rFonts w:cs="Tahoma"/>
        </w:rPr>
      </w:pPr>
      <w:bookmarkStart w:id="29" w:name="_Toc309049292"/>
      <w:bookmarkStart w:id="30" w:name="_Toc311129521"/>
      <w:r w:rsidRPr="00C6630F">
        <w:rPr>
          <w:rFonts w:cs="Tahoma"/>
        </w:rPr>
        <w:t>Where conditions of approval require an offset ‘in-perpetuity’</w:t>
      </w:r>
      <w:bookmarkEnd w:id="29"/>
      <w:bookmarkEnd w:id="30"/>
    </w:p>
    <w:p w:rsidR="00505306" w:rsidRPr="007C20D1" w:rsidRDefault="00505306" w:rsidP="00505306">
      <w:pPr>
        <w:rPr>
          <w:rFonts w:cs="Tahoma"/>
          <w:szCs w:val="20"/>
        </w:rPr>
      </w:pPr>
      <w:r w:rsidRPr="007C20D1">
        <w:rPr>
          <w:rFonts w:cs="Tahoma"/>
          <w:szCs w:val="20"/>
        </w:rPr>
        <w:t xml:space="preserve">Approval conditions that involve offsets </w:t>
      </w:r>
      <w:r w:rsidR="00F9673D">
        <w:rPr>
          <w:rFonts w:cs="Tahoma"/>
          <w:szCs w:val="20"/>
        </w:rPr>
        <w:t xml:space="preserve">may </w:t>
      </w:r>
      <w:r w:rsidRPr="007C20D1">
        <w:rPr>
          <w:rFonts w:cs="Tahoma"/>
          <w:szCs w:val="20"/>
        </w:rPr>
        <w:t xml:space="preserve">require that an area of land is protected and managed ‘in perpetuity’. However, it is not possible for an approval to have effect in perpetuity. In these cases, the approval period </w:t>
      </w:r>
      <w:r w:rsidR="00F9673D">
        <w:rPr>
          <w:rFonts w:cs="Tahoma"/>
          <w:szCs w:val="20"/>
        </w:rPr>
        <w:t>would</w:t>
      </w:r>
      <w:r w:rsidR="00F9673D" w:rsidRPr="007C20D1">
        <w:rPr>
          <w:rFonts w:cs="Tahoma"/>
          <w:szCs w:val="20"/>
        </w:rPr>
        <w:t xml:space="preserve"> </w:t>
      </w:r>
      <w:r w:rsidRPr="007C20D1">
        <w:rPr>
          <w:rFonts w:cs="Tahoma"/>
          <w:szCs w:val="20"/>
        </w:rPr>
        <w:t xml:space="preserve">cover the timeframe required to put in place the required contracts, agreements or covenants that will give effect to the conditions of approval. </w:t>
      </w:r>
    </w:p>
    <w:p w:rsidR="00505306" w:rsidRPr="00C6630F" w:rsidRDefault="00505306" w:rsidP="00505306">
      <w:pPr>
        <w:pStyle w:val="Heading1"/>
        <w:rPr>
          <w:rFonts w:cs="Tahoma"/>
        </w:rPr>
      </w:pPr>
      <w:bookmarkStart w:id="31" w:name="_Toc309049293"/>
      <w:bookmarkStart w:id="32" w:name="_Toc311129522"/>
      <w:r w:rsidRPr="00C6630F">
        <w:rPr>
          <w:rFonts w:cs="Tahoma"/>
        </w:rPr>
        <w:t>Approval decision notice</w:t>
      </w:r>
      <w:bookmarkEnd w:id="31"/>
      <w:bookmarkEnd w:id="32"/>
    </w:p>
    <w:p w:rsidR="00505306" w:rsidRPr="007C20D1" w:rsidRDefault="00505306" w:rsidP="00505306">
      <w:pPr>
        <w:rPr>
          <w:rFonts w:cs="Tahoma"/>
          <w:szCs w:val="20"/>
        </w:rPr>
      </w:pPr>
      <w:r w:rsidRPr="007C20D1">
        <w:rPr>
          <w:rFonts w:cs="Tahoma"/>
          <w:szCs w:val="20"/>
        </w:rPr>
        <w:t xml:space="preserve">The expiry date for the approval must be included in the approval decision notice issued under paragraph 133 (2) (e). The notice must specify a date (i.e. day, month, </w:t>
      </w:r>
      <w:proofErr w:type="gramStart"/>
      <w:r w:rsidRPr="007C20D1">
        <w:rPr>
          <w:rFonts w:cs="Tahoma"/>
          <w:szCs w:val="20"/>
        </w:rPr>
        <w:t>year</w:t>
      </w:r>
      <w:proofErr w:type="gramEnd"/>
      <w:r w:rsidRPr="007C20D1">
        <w:rPr>
          <w:rFonts w:cs="Tahoma"/>
          <w:szCs w:val="20"/>
        </w:rPr>
        <w:t>). It is not sufficient to only specify the year of expiry.</w:t>
      </w:r>
    </w:p>
    <w:p w:rsidR="00505306" w:rsidRPr="00C6630F" w:rsidRDefault="00505306" w:rsidP="00505306">
      <w:pPr>
        <w:pStyle w:val="Heading1"/>
        <w:rPr>
          <w:rFonts w:cs="Tahoma"/>
        </w:rPr>
      </w:pPr>
      <w:bookmarkStart w:id="33" w:name="_Toc309049294"/>
      <w:bookmarkStart w:id="34" w:name="_Toc311129523"/>
      <w:r w:rsidRPr="00C6630F">
        <w:rPr>
          <w:rFonts w:cs="Tahoma"/>
        </w:rPr>
        <w:lastRenderedPageBreak/>
        <w:t>After the expiry date has passed</w:t>
      </w:r>
      <w:bookmarkEnd w:id="33"/>
      <w:bookmarkEnd w:id="34"/>
    </w:p>
    <w:p w:rsidR="00505306" w:rsidRPr="007C20D1" w:rsidRDefault="00505306" w:rsidP="00505306">
      <w:pPr>
        <w:rPr>
          <w:rFonts w:cs="Tahoma"/>
          <w:szCs w:val="20"/>
        </w:rPr>
      </w:pPr>
      <w:r w:rsidRPr="007C20D1">
        <w:rPr>
          <w:rFonts w:cs="Tahoma"/>
          <w:szCs w:val="20"/>
        </w:rPr>
        <w:t>After the nominated approval period has passed, the approval ceases to apply to the action. Therefore, if the action will continue beyond the approval period specified in the approval notice and will have, or is likely to have, a significant impact on a matter protected under Part 3 of the EPBC Act, it will be necessary for the proponent to seek an extension to the approval period prior to the expiry date, or to re-refer the action (or that part of the action that is going to continue beyond the expiry date).</w:t>
      </w:r>
    </w:p>
    <w:p w:rsidR="00505306" w:rsidRPr="007C20D1" w:rsidRDefault="00505306" w:rsidP="00505306">
      <w:pPr>
        <w:rPr>
          <w:rFonts w:cs="Tahoma"/>
          <w:szCs w:val="20"/>
        </w:rPr>
      </w:pPr>
      <w:r w:rsidRPr="007C20D1">
        <w:rPr>
          <w:rFonts w:cs="Tahoma"/>
          <w:szCs w:val="20"/>
        </w:rPr>
        <w:t xml:space="preserve">If the approval has expired and the action is continuing it is necessary to re-refer the action. As conditions are attached to the approval it </w:t>
      </w:r>
      <w:r w:rsidR="00F9673D">
        <w:rPr>
          <w:rFonts w:cs="Tahoma"/>
          <w:szCs w:val="20"/>
        </w:rPr>
        <w:t>may</w:t>
      </w:r>
      <w:r w:rsidRPr="007C20D1">
        <w:rPr>
          <w:rFonts w:cs="Tahoma"/>
          <w:szCs w:val="20"/>
        </w:rPr>
        <w:t xml:space="preserve"> be difficult to require the proponent to implement these conditions after the approval has expired.</w:t>
      </w:r>
    </w:p>
    <w:p w:rsidR="006B14DB" w:rsidRPr="00EF53FF" w:rsidRDefault="006B14DB" w:rsidP="00932861"/>
    <w:sectPr w:rsidR="006B14DB" w:rsidRPr="00EF53FF" w:rsidSect="00505306">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418" w:bottom="1276" w:left="567" w:header="425" w:footer="425" w:gutter="0"/>
      <w:pgNumType w:start="1"/>
      <w:cols w:num="3"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A9F" w:rsidRDefault="00B74A9F" w:rsidP="00A60185">
      <w:r>
        <w:separator/>
      </w:r>
    </w:p>
  </w:endnote>
  <w:endnote w:type="continuationSeparator" w:id="0">
    <w:p w:rsidR="00B74A9F" w:rsidRDefault="00B74A9F"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CC56D4">
    <w:pPr>
      <w:pStyle w:val="Footer"/>
      <w:framePr w:wrap="around" w:vAnchor="text" w:hAnchor="margin" w:xAlign="right" w:y="1"/>
      <w:rPr>
        <w:rStyle w:val="PageNumber"/>
      </w:rPr>
    </w:pPr>
    <w:r>
      <w:rPr>
        <w:rStyle w:val="PageNumber"/>
      </w:rPr>
      <w:fldChar w:fldCharType="begin"/>
    </w:r>
    <w:r w:rsidR="00B74A9F">
      <w:rPr>
        <w:rStyle w:val="PageNumber"/>
      </w:rPr>
      <w:instrText xml:space="preserve">PAGE  </w:instrText>
    </w:r>
    <w:r>
      <w:rPr>
        <w:rStyle w:val="PageNumber"/>
      </w:rPr>
      <w:fldChar w:fldCharType="end"/>
    </w:r>
  </w:p>
  <w:p w:rsidR="00B74A9F" w:rsidRDefault="00B74A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85252"/>
      <w:docPartObj>
        <w:docPartGallery w:val="Page Numbers (Bottom of Page)"/>
        <w:docPartUnique/>
      </w:docPartObj>
    </w:sdtPr>
    <w:sdtContent>
      <w:p w:rsidR="00B74A9F" w:rsidRDefault="00CC56D4">
        <w:pPr>
          <w:pStyle w:val="Footer"/>
          <w:jc w:val="center"/>
        </w:pPr>
        <w:fldSimple w:instr=" PAGE   \* MERGEFORMAT ">
          <w:r w:rsidR="00B536F7">
            <w:rPr>
              <w:noProof/>
            </w:rPr>
            <w:t>1</w:t>
          </w:r>
        </w:fldSimple>
      </w:p>
    </w:sdtContent>
  </w:sdt>
  <w:p w:rsidR="00B74A9F" w:rsidRDefault="00B74A9F" w:rsidP="00F9673D">
    <w:pPr>
      <w:pStyle w:val="Footer"/>
      <w:tabs>
        <w:tab w:val="left" w:pos="5245"/>
        <w:tab w:val="left" w:pos="1080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Footer"/>
      <w:pBdr>
        <w:top w:val="single" w:sz="4" w:space="0" w:color="auto"/>
      </w:pBdr>
      <w:tabs>
        <w:tab w:val="left" w:pos="13860"/>
      </w:tabs>
      <w:ind w:right="360"/>
    </w:pPr>
    <w:r>
      <w:t xml:space="preserve">GN13 v1.0 Expiry dates for approvals </w:t>
    </w:r>
    <w:r>
      <w:sym w:font="Symbol" w:char="F0E3"/>
    </w:r>
    <w:r>
      <w:t xml:space="preserve"> DSEWPaC</w:t>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B74A9F" w:rsidRDefault="00CC56D4">
        <w:pPr>
          <w:pStyle w:val="Footer"/>
          <w:jc w:val="center"/>
        </w:pPr>
        <w:fldSimple w:instr=" PAGE   \* MERGEFORMAT ">
          <w:r w:rsidR="00B536F7">
            <w:rPr>
              <w:noProof/>
            </w:rPr>
            <w:t>2</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A9F" w:rsidRDefault="00B74A9F" w:rsidP="00A60185">
      <w:r>
        <w:separator/>
      </w:r>
    </w:p>
  </w:footnote>
  <w:footnote w:type="continuationSeparator" w:id="0">
    <w:p w:rsidR="00B74A9F" w:rsidRDefault="00B74A9F"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CC56D4" w:rsidP="00E45765">
    <w:pPr>
      <w:pStyle w:val="Classification"/>
    </w:pPr>
    <w:r>
      <w:fldChar w:fldCharType="begin"/>
    </w:r>
    <w:r w:rsidR="00B74A9F">
      <w:instrText xml:space="preserve"> DOCPROPERTY SecurityClassification \* MERGEFORMAT </w:instrText>
    </w:r>
    <w:r>
      <w:fldChar w:fldCharType="separate"/>
    </w:r>
    <w:r w:rsidR="00382087">
      <w:rPr>
        <w:b/>
        <w:bCs/>
        <w:lang w:val="en-US"/>
      </w:rPr>
      <w:t>Error! Unknown document property name.</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9F" w:rsidRDefault="00B74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3D4211"/>
    <w:multiLevelType w:val="hybridMultilevel"/>
    <w:tmpl w:val="600875CA"/>
    <w:lvl w:ilvl="0" w:tplc="42B6B990">
      <w:start w:val="1"/>
      <w:numFmt w:val="lowerLetter"/>
      <w:lvlText w:val="(%1)"/>
      <w:lvlJc w:val="left"/>
      <w:pPr>
        <w:ind w:left="720" w:hanging="720"/>
      </w:pPr>
      <w:rPr>
        <w:rFonts w:ascii="Tahoma" w:eastAsia="Times New Roman" w:hAnsi="Tahoma"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784511A"/>
    <w:multiLevelType w:val="multilevel"/>
    <w:tmpl w:val="E898CC72"/>
    <w:numStyleLink w:val="KeyPoints"/>
  </w:abstractNum>
  <w:abstractNum w:abstractNumId="17">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291970"/>
    <w:multiLevelType w:val="multilevel"/>
    <w:tmpl w:val="E898CC72"/>
    <w:numStyleLink w:val="KeyPoints"/>
  </w:abstractNum>
  <w:abstractNum w:abstractNumId="19">
    <w:nsid w:val="1F745BC2"/>
    <w:multiLevelType w:val="multilevel"/>
    <w:tmpl w:val="E5E89F92"/>
    <w:numStyleLink w:val="BulletList"/>
  </w:abstractNum>
  <w:abstractNum w:abstractNumId="20">
    <w:nsid w:val="29253B4A"/>
    <w:multiLevelType w:val="multilevel"/>
    <w:tmpl w:val="E898CC72"/>
    <w:numStyleLink w:val="KeyPoints"/>
  </w:abstractNum>
  <w:abstractNum w:abstractNumId="21">
    <w:nsid w:val="2C1B4F6C"/>
    <w:multiLevelType w:val="multilevel"/>
    <w:tmpl w:val="E898CC72"/>
    <w:numStyleLink w:val="KeyPoints"/>
  </w:abstractNum>
  <w:abstractNum w:abstractNumId="22">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B351B82"/>
    <w:multiLevelType w:val="multilevel"/>
    <w:tmpl w:val="E5E89F92"/>
    <w:numStyleLink w:val="BulletList"/>
  </w:abstractNum>
  <w:abstractNum w:abstractNumId="27">
    <w:nsid w:val="48B871CF"/>
    <w:multiLevelType w:val="multilevel"/>
    <w:tmpl w:val="E5E89F92"/>
    <w:numStyleLink w:val="BulletList"/>
  </w:abstractNum>
  <w:abstractNum w:abstractNumId="28">
    <w:nsid w:val="49016841"/>
    <w:multiLevelType w:val="multilevel"/>
    <w:tmpl w:val="E5E89F92"/>
    <w:numStyleLink w:val="BulletList"/>
  </w:abstractNum>
  <w:abstractNum w:abstractNumId="29">
    <w:nsid w:val="51A44175"/>
    <w:multiLevelType w:val="multilevel"/>
    <w:tmpl w:val="E5E89F92"/>
    <w:numStyleLink w:val="BulletList"/>
  </w:abstractNum>
  <w:abstractNum w:abstractNumId="3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456429"/>
    <w:multiLevelType w:val="multilevel"/>
    <w:tmpl w:val="E898CC72"/>
    <w:numStyleLink w:val="KeyPoints"/>
  </w:abstractNum>
  <w:abstractNum w:abstractNumId="32">
    <w:nsid w:val="657E712A"/>
    <w:multiLevelType w:val="hybridMultilevel"/>
    <w:tmpl w:val="600875CA"/>
    <w:lvl w:ilvl="0" w:tplc="42B6B990">
      <w:start w:val="1"/>
      <w:numFmt w:val="lowerLetter"/>
      <w:lvlText w:val="(%1)"/>
      <w:lvlJc w:val="left"/>
      <w:pPr>
        <w:ind w:left="1080" w:hanging="72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E0C2A"/>
    <w:multiLevelType w:val="multilevel"/>
    <w:tmpl w:val="E5E89F92"/>
    <w:numStyleLink w:val="BulletList"/>
  </w:abstractNum>
  <w:abstractNum w:abstractNumId="34">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823B13"/>
    <w:multiLevelType w:val="multilevel"/>
    <w:tmpl w:val="E5E89F92"/>
    <w:numStyleLink w:val="BulletList"/>
  </w:abstractNum>
  <w:abstractNum w:abstractNumId="37">
    <w:nsid w:val="6DF2198A"/>
    <w:multiLevelType w:val="multilevel"/>
    <w:tmpl w:val="E5E89F92"/>
    <w:numStyleLink w:val="BulletList"/>
  </w:abstractNum>
  <w:abstractNum w:abstractNumId="38">
    <w:nsid w:val="6F032444"/>
    <w:multiLevelType w:val="multilevel"/>
    <w:tmpl w:val="E5E89F92"/>
    <w:numStyleLink w:val="BulletList"/>
  </w:abstractNum>
  <w:abstractNum w:abstractNumId="39">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C700E0"/>
    <w:multiLevelType w:val="multilevel"/>
    <w:tmpl w:val="E898CC72"/>
    <w:numStyleLink w:val="KeyPoints"/>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88260C9"/>
    <w:multiLevelType w:val="multilevel"/>
    <w:tmpl w:val="E898CC72"/>
    <w:numStyleLink w:val="KeyPoints"/>
  </w:abstractNum>
  <w:abstractNum w:abstractNumId="44">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D3708B3"/>
    <w:multiLevelType w:val="multilevel"/>
    <w:tmpl w:val="E5E89F92"/>
    <w:numStyleLink w:val="BulletList"/>
  </w:abstractNum>
  <w:num w:numId="1">
    <w:abstractNumId w:val="42"/>
  </w:num>
  <w:num w:numId="2">
    <w:abstractNumId w:val="16"/>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9"/>
  </w:num>
  <w:num w:numId="6">
    <w:abstractNumId w:val="40"/>
  </w:num>
  <w:num w:numId="7">
    <w:abstractNumId w:val="35"/>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7"/>
  </w:num>
  <w:num w:numId="16">
    <w:abstractNumId w:val="44"/>
  </w:num>
  <w:num w:numId="17">
    <w:abstractNumId w:val="12"/>
  </w:num>
  <w:num w:numId="18">
    <w:abstractNumId w:val="33"/>
  </w:num>
  <w:num w:numId="19">
    <w:abstractNumId w:val="11"/>
  </w:num>
  <w:num w:numId="20">
    <w:abstractNumId w:val="21"/>
  </w:num>
  <w:num w:numId="21">
    <w:abstractNumId w:val="14"/>
  </w:num>
  <w:num w:numId="22">
    <w:abstractNumId w:val="20"/>
  </w:num>
  <w:num w:numId="23">
    <w:abstractNumId w:val="28"/>
  </w:num>
  <w:num w:numId="24">
    <w:abstractNumId w:val="38"/>
  </w:num>
  <w:num w:numId="25">
    <w:abstractNumId w:val="34"/>
  </w:num>
  <w:num w:numId="26">
    <w:abstractNumId w:val="26"/>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7"/>
  </w:num>
  <w:num w:numId="32">
    <w:abstractNumId w:val="34"/>
  </w:num>
  <w:num w:numId="33">
    <w:abstractNumId w:val="29"/>
  </w:num>
  <w:num w:numId="34">
    <w:abstractNumId w:val="18"/>
  </w:num>
  <w:num w:numId="35">
    <w:abstractNumId w:val="30"/>
  </w:num>
  <w:num w:numId="36">
    <w:abstractNumId w:val="45"/>
  </w:num>
  <w:num w:numId="37">
    <w:abstractNumId w:val="45"/>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3"/>
  </w:num>
  <w:num w:numId="45">
    <w:abstractNumId w:val="36"/>
  </w:num>
  <w:num w:numId="46">
    <w:abstractNumId w:val="46"/>
  </w:num>
  <w:num w:numId="47">
    <w:abstractNumId w:val="31"/>
  </w:num>
  <w:num w:numId="48">
    <w:abstractNumId w:val="19"/>
  </w:num>
  <w:num w:numId="49">
    <w:abstractNumId w:val="32"/>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docVars>
    <w:docVar w:name="SecurityClassificationInHeader" w:val="False"/>
  </w:docVars>
  <w:rsids>
    <w:rsidRoot w:val="00F9673D"/>
    <w:rsid w:val="00004AEE"/>
    <w:rsid w:val="00005CAA"/>
    <w:rsid w:val="00010210"/>
    <w:rsid w:val="00012D66"/>
    <w:rsid w:val="00015ADA"/>
    <w:rsid w:val="00020C99"/>
    <w:rsid w:val="0002707B"/>
    <w:rsid w:val="000329DC"/>
    <w:rsid w:val="00037888"/>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14C4"/>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1EE1"/>
    <w:rsid w:val="0034563E"/>
    <w:rsid w:val="003518D6"/>
    <w:rsid w:val="0035460C"/>
    <w:rsid w:val="003556BD"/>
    <w:rsid w:val="00365147"/>
    <w:rsid w:val="0037016E"/>
    <w:rsid w:val="00372908"/>
    <w:rsid w:val="00382087"/>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1DEA"/>
    <w:rsid w:val="004B66F1"/>
    <w:rsid w:val="004C3EA0"/>
    <w:rsid w:val="004F7169"/>
    <w:rsid w:val="00500D66"/>
    <w:rsid w:val="00505306"/>
    <w:rsid w:val="00514C8E"/>
    <w:rsid w:val="00531DBF"/>
    <w:rsid w:val="00545759"/>
    <w:rsid w:val="00545BE0"/>
    <w:rsid w:val="00546930"/>
    <w:rsid w:val="00554C6A"/>
    <w:rsid w:val="00562E85"/>
    <w:rsid w:val="0056332F"/>
    <w:rsid w:val="005719B3"/>
    <w:rsid w:val="0057295E"/>
    <w:rsid w:val="00575211"/>
    <w:rsid w:val="00581C39"/>
    <w:rsid w:val="005903B6"/>
    <w:rsid w:val="005A0247"/>
    <w:rsid w:val="005A126E"/>
    <w:rsid w:val="005A452F"/>
    <w:rsid w:val="005B140D"/>
    <w:rsid w:val="005C1FEA"/>
    <w:rsid w:val="005C3495"/>
    <w:rsid w:val="005E14F6"/>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E4BBB"/>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C5616"/>
    <w:rsid w:val="00AD56C8"/>
    <w:rsid w:val="00AD58F2"/>
    <w:rsid w:val="00B0512A"/>
    <w:rsid w:val="00B0529F"/>
    <w:rsid w:val="00B1418B"/>
    <w:rsid w:val="00B21195"/>
    <w:rsid w:val="00B24B22"/>
    <w:rsid w:val="00B25310"/>
    <w:rsid w:val="00B32F8F"/>
    <w:rsid w:val="00B536F7"/>
    <w:rsid w:val="00B54DE9"/>
    <w:rsid w:val="00B553EC"/>
    <w:rsid w:val="00B55E3F"/>
    <w:rsid w:val="00B74A9F"/>
    <w:rsid w:val="00B93DD0"/>
    <w:rsid w:val="00B97732"/>
    <w:rsid w:val="00BA1F8D"/>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55CD"/>
    <w:rsid w:val="00C96688"/>
    <w:rsid w:val="00CA0723"/>
    <w:rsid w:val="00CB1690"/>
    <w:rsid w:val="00CC4365"/>
    <w:rsid w:val="00CC56D4"/>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9673D"/>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05306"/>
    <w:pPr>
      <w:spacing w:before="120"/>
    </w:pPr>
    <w:rPr>
      <w:rFonts w:ascii="Tahoma" w:eastAsia="MS Mincho" w:hAnsi="Tahoma"/>
      <w:szCs w:val="24"/>
      <w:lang w:eastAsia="ja-JP"/>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PageNumber">
    <w:name w:val="page number"/>
    <w:basedOn w:val="DefaultParagraphFont"/>
    <w:rsid w:val="00505306"/>
    <w:rPr>
      <w:rFonts w:cs="Times New Roman"/>
    </w:rPr>
  </w:style>
  <w:style w:type="paragraph" w:customStyle="1" w:styleId="title">
    <w:name w:val="title"/>
    <w:basedOn w:val="Normal"/>
    <w:rsid w:val="00505306"/>
    <w:rPr>
      <w:sz w:val="52"/>
    </w:rPr>
  </w:style>
  <w:style w:type="paragraph" w:customStyle="1" w:styleId="headingsection">
    <w:name w:val="heading section"/>
    <w:link w:val="headingsectionChar"/>
    <w:rsid w:val="00505306"/>
    <w:rPr>
      <w:rFonts w:ascii="Tahoma" w:eastAsia="MS Mincho" w:hAnsi="Tahoma" w:cs="Tahoma"/>
      <w:b/>
      <w:bCs/>
      <w:kern w:val="32"/>
      <w:sz w:val="40"/>
      <w:szCs w:val="40"/>
      <w:lang w:eastAsia="ja-JP"/>
    </w:rPr>
  </w:style>
  <w:style w:type="character" w:customStyle="1" w:styleId="headingsectionChar">
    <w:name w:val="heading section Char"/>
    <w:basedOn w:val="DefaultParagraphFont"/>
    <w:link w:val="headingsection"/>
    <w:locked/>
    <w:rsid w:val="00505306"/>
    <w:rPr>
      <w:rFonts w:ascii="Tahoma" w:eastAsia="MS Mincho" w:hAnsi="Tahoma" w:cs="Tahoma"/>
      <w:b/>
      <w:bCs/>
      <w:kern w:val="32"/>
      <w:sz w:val="40"/>
      <w:szCs w:val="40"/>
      <w:lang w:eastAsia="ja-JP"/>
    </w:rPr>
  </w:style>
  <w:style w:type="paragraph" w:styleId="TOCHeading">
    <w:name w:val="TOC Heading"/>
    <w:basedOn w:val="Heading1"/>
    <w:next w:val="Normal"/>
    <w:uiPriority w:val="39"/>
    <w:semiHidden/>
    <w:unhideWhenUsed/>
    <w:qFormat/>
    <w:rsid w:val="00505306"/>
    <w:pPr>
      <w:keepLines/>
      <w:spacing w:before="480"/>
      <w:outlineLvl w:val="9"/>
    </w:pPr>
    <w:rPr>
      <w:rFonts w:ascii="Cambria" w:eastAsia="Times New Roman" w:hAnsi="Cambria" w:cs="Times New Roman"/>
      <w:bCs/>
      <w:caps w:val="0"/>
      <w:color w:val="365F91"/>
      <w:sz w:val="28"/>
      <w:szCs w:val="28"/>
      <w:lang w:val="en-US"/>
    </w:rPr>
  </w:style>
  <w:style w:type="paragraph" w:styleId="TOC1">
    <w:name w:val="toc 1"/>
    <w:basedOn w:val="Normal"/>
    <w:next w:val="Normal"/>
    <w:autoRedefine/>
    <w:uiPriority w:val="39"/>
    <w:rsid w:val="00505306"/>
  </w:style>
  <w:style w:type="character" w:styleId="Hyperlink">
    <w:name w:val="Hyperlink"/>
    <w:basedOn w:val="DefaultParagraphFont"/>
    <w:uiPriority w:val="99"/>
    <w:unhideWhenUsed/>
    <w:rsid w:val="00505306"/>
    <w:rPr>
      <w:color w:val="0000FF"/>
      <w:u w:val="single"/>
    </w:rPr>
  </w:style>
</w:styles>
</file>

<file path=word/webSettings.xml><?xml version="1.0" encoding="utf-8"?>
<w:webSettings xmlns:r="http://schemas.openxmlformats.org/officeDocument/2006/relationships" xmlns:w="http://schemas.openxmlformats.org/wordprocessingml/2006/main">
  <w:divs>
    <w:div w:id="18951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EBBBC-8BBA-401C-A6A8-05C203E7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1123</Words>
  <Characters>6404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Expiry Dates for Approvals</dc:title>
  <dc:creator>A16474</dc:creator>
  <cp:lastModifiedBy>Rebecca Durack</cp:lastModifiedBy>
  <cp:revision>2</cp:revision>
  <cp:lastPrinted>2013-05-23T22:51:00Z</cp:lastPrinted>
  <dcterms:created xsi:type="dcterms:W3CDTF">2013-07-02T05:38:00Z</dcterms:created>
  <dcterms:modified xsi:type="dcterms:W3CDTF">2013-07-02T05:38:00Z</dcterms:modified>
</cp:coreProperties>
</file>