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Default="00A54B82" w:rsidP="00372810">
      <w:pPr>
        <w:pStyle w:val="Text"/>
      </w:pPr>
      <w:r w:rsidRPr="00A54B82">
        <w:rPr>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A54B82" w:rsidRDefault="00A54B82" w:rsidP="00372810">
      <w:pPr>
        <w:pStyle w:val="Text"/>
      </w:pPr>
    </w:p>
    <w:p w:rsidR="0043526F" w:rsidRDefault="0043526F" w:rsidP="0043526F">
      <w:pPr>
        <w:pStyle w:val="CoverTitle"/>
        <w:rPr>
          <w:rStyle w:val="TextItalic"/>
          <w:spacing w:val="-12"/>
        </w:rPr>
      </w:pPr>
      <w:r>
        <w:rPr>
          <w:rStyle w:val="TextItalic"/>
          <w:spacing w:val="-12"/>
        </w:rPr>
        <w:t xml:space="preserve">Environment Protection and Biodiversity </w:t>
      </w:r>
      <w:bookmarkStart w:id="0" w:name="_GoBack"/>
      <w:bookmarkEnd w:id="0"/>
      <w:r>
        <w:rPr>
          <w:rStyle w:val="TextItalic"/>
          <w:spacing w:val="-12"/>
        </w:rPr>
        <w:t>Conservation Act 1999 (</w:t>
      </w:r>
      <w:proofErr w:type="spellStart"/>
      <w:r>
        <w:rPr>
          <w:rStyle w:val="TextItalic"/>
          <w:spacing w:val="-12"/>
        </w:rPr>
        <w:t>Cth</w:t>
      </w:r>
      <w:proofErr w:type="spellEnd"/>
      <w:r>
        <w:rPr>
          <w:rStyle w:val="TextItalic"/>
          <w:spacing w:val="-12"/>
        </w:rPr>
        <w:t>)</w:t>
      </w:r>
    </w:p>
    <w:p w:rsidR="0043526F" w:rsidRDefault="0043526F" w:rsidP="0043526F">
      <w:pPr>
        <w:pStyle w:val="CoverTitle"/>
      </w:pPr>
      <w:r>
        <w:t>Policy Statement</w:t>
      </w:r>
    </w:p>
    <w:p w:rsidR="0043526F" w:rsidRDefault="0043526F" w:rsidP="0043526F">
      <w:pPr>
        <w:pStyle w:val="CoverTitle"/>
      </w:pPr>
      <w:r>
        <w:t>Statements of reasons</w:t>
      </w:r>
    </w:p>
    <w:p w:rsidR="005328FF" w:rsidRDefault="005328FF" w:rsidP="005328FF">
      <w:pPr>
        <w:pStyle w:val="Text"/>
      </w:pPr>
    </w:p>
    <w:p w:rsidR="005328FF" w:rsidRDefault="005328FF" w:rsidP="005328FF">
      <w:pPr>
        <w:pStyle w:val="Text"/>
      </w:pPr>
    </w:p>
    <w:p w:rsidR="005328FF" w:rsidRDefault="005328FF" w:rsidP="005328FF">
      <w:pPr>
        <w:pStyle w:val="Text"/>
      </w:pPr>
    </w:p>
    <w:p w:rsidR="005328FF" w:rsidRDefault="005328FF" w:rsidP="005328FF">
      <w:pPr>
        <w:pStyle w:val="Text"/>
      </w:pPr>
    </w:p>
    <w:p w:rsidR="005328FF" w:rsidRPr="005328FF" w:rsidRDefault="005328FF" w:rsidP="005328FF">
      <w:pPr>
        <w:rPr>
          <w:b/>
          <w:lang w:val="en-GB" w:eastAsia="en-AU"/>
        </w:rPr>
      </w:pPr>
      <w:r w:rsidRPr="005328FF">
        <w:rPr>
          <w:b/>
          <w:lang w:val="en-GB" w:eastAsia="en-AU"/>
        </w:rPr>
        <w:t>© Commonwealth of Australia, 2019.</w:t>
      </w:r>
    </w:p>
    <w:p w:rsidR="005328FF" w:rsidRPr="005328FF" w:rsidRDefault="005328FF" w:rsidP="005328FF">
      <w:pPr>
        <w:rPr>
          <w:lang w:val="en-GB" w:eastAsia="en-AU"/>
        </w:rPr>
      </w:pPr>
      <w:r w:rsidRPr="005328FF">
        <w:rPr>
          <w:i/>
          <w:iCs/>
          <w:lang w:val="en-GB" w:eastAsia="en-AU"/>
        </w:rPr>
        <w:t>EPBC Act Policy Statement—Statements of reasons</w:t>
      </w:r>
      <w:r w:rsidRPr="005328FF">
        <w:rPr>
          <w:lang w:val="en-GB" w:eastAsia="en-AU"/>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w:t>
      </w:r>
      <w:hyperlink r:id="rId8" w:history="1">
        <w:r w:rsidRPr="0040328E">
          <w:rPr>
            <w:rStyle w:val="Hyperlink"/>
            <w:lang w:val="en-GB" w:eastAsia="en-AU"/>
          </w:rPr>
          <w:t>http://creativecommons.org/licenses/by/4.0/</w:t>
        </w:r>
      </w:hyperlink>
      <w:r>
        <w:rPr>
          <w:lang w:val="en-GB" w:eastAsia="en-AU"/>
        </w:rPr>
        <w:t xml:space="preserve"> </w:t>
      </w:r>
      <w:r w:rsidRPr="005328FF">
        <w:rPr>
          <w:lang w:val="en-GB" w:eastAsia="en-AU"/>
        </w:rPr>
        <w:t xml:space="preserve"> </w:t>
      </w:r>
    </w:p>
    <w:p w:rsidR="005328FF" w:rsidRPr="005328FF" w:rsidRDefault="005328FF" w:rsidP="005328FF">
      <w:pPr>
        <w:rPr>
          <w:lang w:val="en-GB" w:eastAsia="en-AU"/>
        </w:rPr>
      </w:pPr>
      <w:r w:rsidRPr="005328FF">
        <w:rPr>
          <w:lang w:val="en-GB" w:eastAsia="en-AU"/>
        </w:rPr>
        <w:t>This report should be attributed as ‘</w:t>
      </w:r>
      <w:r w:rsidRPr="005328FF">
        <w:rPr>
          <w:i/>
          <w:iCs/>
          <w:lang w:val="en-GB" w:eastAsia="en-AU"/>
        </w:rPr>
        <w:t>EPBC Act Policy Statement—Statements of reasons</w:t>
      </w:r>
      <w:r w:rsidRPr="005328FF">
        <w:rPr>
          <w:lang w:val="en-GB" w:eastAsia="en-AU"/>
        </w:rPr>
        <w:t>, Commonwealth of Australia 2019’.</w:t>
      </w:r>
    </w:p>
    <w:p w:rsidR="005328FF" w:rsidRPr="005328FF" w:rsidRDefault="005328FF" w:rsidP="005328FF">
      <w:pPr>
        <w:rPr>
          <w:lang w:val="en-GB" w:eastAsia="en-AU"/>
        </w:rPr>
      </w:pPr>
      <w:r w:rsidRPr="005328FF">
        <w:rPr>
          <w:lang w:val="en-GB" w:eastAsia="en-AU"/>
        </w:rPr>
        <w:t>The Commonwealth of Australia has made all reasonable efforts to identify content supplied by third parties using the following format ‘© Copyright, [name of third party] ’.</w:t>
      </w:r>
    </w:p>
    <w:p w:rsidR="005328FF" w:rsidRPr="005328FF" w:rsidRDefault="005328FF" w:rsidP="005328FF">
      <w:pPr>
        <w:rPr>
          <w:lang w:val="en-GB" w:eastAsia="en-AU"/>
        </w:rPr>
      </w:pPr>
      <w:r w:rsidRPr="005328FF">
        <w:rPr>
          <w:b/>
          <w:lang w:val="en-GB" w:eastAsia="en-AU"/>
        </w:rPr>
        <w:t>Disclaimer</w:t>
      </w:r>
      <w:r w:rsidRPr="005328FF">
        <w:rPr>
          <w:lang w:val="en-GB" w:eastAsia="en-AU"/>
        </w:rPr>
        <w:br/>
        <w:t>The views and opinions expressed in this publication are those of the authors and do not necessarily reflect those of the Australian Government or the Minister for the Environment and the Minister for Energy.</w:t>
      </w:r>
    </w:p>
    <w:p w:rsidR="005328FF" w:rsidRPr="005328FF" w:rsidRDefault="005328FF" w:rsidP="005328FF">
      <w:r w:rsidRPr="005328FF">
        <w:rPr>
          <w:b/>
          <w:lang w:val="en-GB" w:eastAsia="en-AU"/>
        </w:rPr>
        <w:t>Cover images</w:t>
      </w:r>
      <w:r w:rsidRPr="005328FF">
        <w:rPr>
          <w:lang w:val="en-GB" w:eastAsia="en-AU"/>
        </w:rPr>
        <w:t xml:space="preserve"> </w:t>
      </w:r>
      <w:r w:rsidRPr="005328FF">
        <w:rPr>
          <w:lang w:val="en-GB" w:eastAsia="en-AU"/>
        </w:rPr>
        <w:br/>
        <w:t>(Front) Rainforest Fruits, © Copyright Wet Tropics Management Authority and Department of the Environment and Energy.</w:t>
      </w:r>
      <w:r w:rsidRPr="005328FF">
        <w:rPr>
          <w:lang w:val="en-GB" w:eastAsia="en-AU"/>
        </w:rPr>
        <w:br/>
        <w:t xml:space="preserve">(Back) Sunset over the ancient landforms of the </w:t>
      </w:r>
      <w:proofErr w:type="spellStart"/>
      <w:r w:rsidRPr="005328FF">
        <w:rPr>
          <w:lang w:val="en-GB" w:eastAsia="en-AU"/>
        </w:rPr>
        <w:t>Kununurra</w:t>
      </w:r>
      <w:proofErr w:type="spellEnd"/>
      <w:r w:rsidRPr="005328FF">
        <w:rPr>
          <w:lang w:val="en-GB" w:eastAsia="en-AU"/>
        </w:rPr>
        <w:t xml:space="preserve"> region in Western Australia</w:t>
      </w:r>
    </w:p>
    <w:p w:rsidR="005328FF" w:rsidRDefault="005328FF">
      <w:pPr>
        <w:spacing w:after="0" w:line="240" w:lineRule="auto"/>
        <w:rPr>
          <w:rFonts w:cs="Arial"/>
          <w:b/>
          <w:sz w:val="36"/>
        </w:rPr>
      </w:pPr>
      <w:r>
        <w:br w:type="page"/>
      </w:r>
    </w:p>
    <w:p w:rsidR="0043526F" w:rsidRDefault="0043526F" w:rsidP="0043526F">
      <w:pPr>
        <w:pStyle w:val="Subhead1"/>
      </w:pPr>
      <w:r>
        <w:lastRenderedPageBreak/>
        <w:t>Overview</w:t>
      </w:r>
    </w:p>
    <w:p w:rsidR="0043526F" w:rsidRDefault="0043526F" w:rsidP="0043526F">
      <w:pPr>
        <w:pStyle w:val="Text"/>
      </w:pPr>
      <w:r>
        <w:t xml:space="preserve">This Policy Statement is designed to indicate how the Department will prepare statements of reasons for decisions made under the </w:t>
      </w:r>
      <w:r>
        <w:rPr>
          <w:rStyle w:val="TextItalic"/>
        </w:rPr>
        <w:t xml:space="preserve">Environment Protection and Biodiversity Conservation Act 1999 </w:t>
      </w:r>
      <w:r>
        <w:t>(‘the EPBC Act’).</w:t>
      </w:r>
    </w:p>
    <w:p w:rsidR="0043526F" w:rsidRDefault="0043526F" w:rsidP="0043526F">
      <w:pPr>
        <w:pStyle w:val="Text"/>
        <w:rPr>
          <w:spacing w:val="-4"/>
        </w:rPr>
      </w:pPr>
      <w:r>
        <w:t xml:space="preserve">Statements of reasons </w:t>
      </w:r>
      <w:r>
        <w:rPr>
          <w:spacing w:val="-3"/>
        </w:rPr>
        <w:t xml:space="preserve">give </w:t>
      </w:r>
      <w:r>
        <w:t xml:space="preserve">persons affected </w:t>
      </w:r>
      <w:r>
        <w:rPr>
          <w:spacing w:val="-3"/>
        </w:rPr>
        <w:t xml:space="preserve">by </w:t>
      </w:r>
      <w:r>
        <w:t xml:space="preserve">decisions under the </w:t>
      </w:r>
      <w:r>
        <w:rPr>
          <w:spacing w:val="-3"/>
        </w:rPr>
        <w:t xml:space="preserve">EPBC </w:t>
      </w:r>
      <w:r>
        <w:t xml:space="preserve">Act the opportunity to </w:t>
      </w:r>
      <w:r>
        <w:rPr>
          <w:spacing w:val="-3"/>
        </w:rPr>
        <w:t>have</w:t>
      </w:r>
      <w:r>
        <w:rPr>
          <w:spacing w:val="-10"/>
        </w:rPr>
        <w:t xml:space="preserve"> </w:t>
      </w:r>
      <w:r>
        <w:t>these</w:t>
      </w:r>
      <w:r>
        <w:rPr>
          <w:spacing w:val="-10"/>
        </w:rPr>
        <w:t xml:space="preserve"> </w:t>
      </w:r>
      <w:r>
        <w:t>decisions</w:t>
      </w:r>
      <w:r>
        <w:rPr>
          <w:spacing w:val="-10"/>
        </w:rPr>
        <w:t xml:space="preserve"> </w:t>
      </w:r>
      <w:r>
        <w:t>fully</w:t>
      </w:r>
      <w:r>
        <w:rPr>
          <w:spacing w:val="-10"/>
        </w:rPr>
        <w:t xml:space="preserve"> </w:t>
      </w:r>
      <w:r>
        <w:rPr>
          <w:spacing w:val="-3"/>
        </w:rPr>
        <w:t>explained</w:t>
      </w:r>
      <w:r>
        <w:rPr>
          <w:spacing w:val="-10"/>
        </w:rPr>
        <w:t xml:space="preserve"> </w:t>
      </w:r>
      <w:r>
        <w:t>to</w:t>
      </w:r>
      <w:r>
        <w:rPr>
          <w:spacing w:val="-10"/>
        </w:rPr>
        <w:t xml:space="preserve"> </w:t>
      </w:r>
      <w:r>
        <w:t>them,</w:t>
      </w:r>
      <w:r>
        <w:rPr>
          <w:spacing w:val="-9"/>
        </w:rPr>
        <w:t xml:space="preserve"> </w:t>
      </w:r>
      <w:r>
        <w:t xml:space="preserve">and then to </w:t>
      </w:r>
      <w:r>
        <w:rPr>
          <w:spacing w:val="-3"/>
        </w:rPr>
        <w:t xml:space="preserve">make </w:t>
      </w:r>
      <w:r>
        <w:t xml:space="preserve">informed decisions about whether to </w:t>
      </w:r>
      <w:r>
        <w:rPr>
          <w:spacing w:val="-3"/>
        </w:rPr>
        <w:t xml:space="preserve">exercise any </w:t>
      </w:r>
      <w:r>
        <w:t xml:space="preserve">rights of </w:t>
      </w:r>
      <w:r>
        <w:rPr>
          <w:spacing w:val="-3"/>
        </w:rPr>
        <w:t xml:space="preserve">review </w:t>
      </w:r>
      <w:r>
        <w:t xml:space="preserve">and appeal that </w:t>
      </w:r>
      <w:r>
        <w:rPr>
          <w:spacing w:val="-3"/>
        </w:rPr>
        <w:t>they may</w:t>
      </w:r>
      <w:r>
        <w:rPr>
          <w:spacing w:val="-5"/>
        </w:rPr>
        <w:t xml:space="preserve"> </w:t>
      </w:r>
      <w:r>
        <w:rPr>
          <w:spacing w:val="-4"/>
        </w:rPr>
        <w:t>have.</w:t>
      </w:r>
    </w:p>
    <w:p w:rsidR="0043526F" w:rsidRDefault="0043526F" w:rsidP="0043526F">
      <w:pPr>
        <w:pStyle w:val="Text"/>
        <w:ind w:right="113"/>
      </w:pPr>
      <w:r>
        <w:t>Publication of certain statements of reasons is a mandatory requirement under the EPBC Act—see</w:t>
      </w:r>
      <w:r>
        <w:rPr>
          <w:rStyle w:val="nobreak"/>
        </w:rPr>
        <w:t xml:space="preserve"> </w:t>
      </w:r>
      <w:r>
        <w:rPr>
          <w:spacing w:val="-5"/>
        </w:rPr>
        <w:t xml:space="preserve">Table </w:t>
      </w:r>
      <w:r>
        <w:rPr>
          <w:spacing w:val="-6"/>
        </w:rPr>
        <w:t xml:space="preserve">1. </w:t>
      </w:r>
      <w:r>
        <w:t xml:space="preserve">In other cases, and </w:t>
      </w:r>
      <w:r>
        <w:rPr>
          <w:spacing w:val="-3"/>
        </w:rPr>
        <w:t xml:space="preserve">consistent </w:t>
      </w:r>
      <w:r>
        <w:t xml:space="preserve">with the </w:t>
      </w:r>
      <w:r>
        <w:rPr>
          <w:spacing w:val="-3"/>
        </w:rPr>
        <w:t xml:space="preserve">government’s </w:t>
      </w:r>
      <w:r>
        <w:t xml:space="preserve">policies on transparency in </w:t>
      </w:r>
      <w:r>
        <w:rPr>
          <w:spacing w:val="-3"/>
        </w:rPr>
        <w:t xml:space="preserve">government </w:t>
      </w:r>
      <w:r>
        <w:t xml:space="preserve">decision-making, statements of reasons requested under other </w:t>
      </w:r>
      <w:r>
        <w:rPr>
          <w:spacing w:val="-3"/>
        </w:rPr>
        <w:t xml:space="preserve">provisions </w:t>
      </w:r>
      <w:r>
        <w:t>of the EPBC Act should also be published on the Department’s website.</w:t>
      </w:r>
    </w:p>
    <w:p w:rsidR="0043526F" w:rsidRDefault="0043526F" w:rsidP="0043526F">
      <w:pPr>
        <w:pStyle w:val="Text"/>
      </w:pPr>
      <w:r>
        <w:t>This Policy Statement focuses on statements of reasons concerning decisions in respect of:</w:t>
      </w:r>
    </w:p>
    <w:p w:rsidR="0043526F" w:rsidRDefault="0043526F" w:rsidP="0043526F">
      <w:pPr>
        <w:pStyle w:val="Bullets1"/>
        <w:ind w:right="680"/>
        <w:rPr>
          <w:spacing w:val="-3"/>
        </w:rPr>
      </w:pPr>
      <w:r>
        <w:t>whether</w:t>
      </w:r>
      <w:r>
        <w:rPr>
          <w:spacing w:val="-10"/>
        </w:rPr>
        <w:t xml:space="preserve"> </w:t>
      </w:r>
      <w:r>
        <w:t>a</w:t>
      </w:r>
      <w:r>
        <w:rPr>
          <w:spacing w:val="-11"/>
        </w:rPr>
        <w:t xml:space="preserve"> </w:t>
      </w:r>
      <w:r>
        <w:t>referral</w:t>
      </w:r>
      <w:r>
        <w:rPr>
          <w:spacing w:val="-11"/>
        </w:rPr>
        <w:t xml:space="preserve"> </w:t>
      </w:r>
      <w:r>
        <w:t>is</w:t>
      </w:r>
      <w:r>
        <w:rPr>
          <w:spacing w:val="-10"/>
        </w:rPr>
        <w:t xml:space="preserve"> </w:t>
      </w:r>
      <w:r>
        <w:t>a</w:t>
      </w:r>
      <w:r>
        <w:rPr>
          <w:spacing w:val="-11"/>
        </w:rPr>
        <w:t xml:space="preserve"> </w:t>
      </w:r>
      <w:r>
        <w:t>controlled</w:t>
      </w:r>
      <w:r>
        <w:rPr>
          <w:spacing w:val="-11"/>
        </w:rPr>
        <w:t xml:space="preserve"> </w:t>
      </w:r>
      <w:r>
        <w:t>action</w:t>
      </w:r>
      <w:r>
        <w:rPr>
          <w:spacing w:val="-11"/>
        </w:rPr>
        <w:t xml:space="preserve"> </w:t>
      </w:r>
      <w:r>
        <w:rPr>
          <w:spacing w:val="-4"/>
        </w:rPr>
        <w:t>(i.e.</w:t>
      </w:r>
      <w:r>
        <w:rPr>
          <w:spacing w:val="-10"/>
        </w:rPr>
        <w:t xml:space="preserve"> </w:t>
      </w:r>
      <w:r>
        <w:t>a controlled action/not a controlled action/or a protected</w:t>
      </w:r>
      <w:r>
        <w:rPr>
          <w:spacing w:val="-5"/>
        </w:rPr>
        <w:t xml:space="preserve"> </w:t>
      </w:r>
      <w:r>
        <w:rPr>
          <w:spacing w:val="-3"/>
        </w:rPr>
        <w:t>matter);</w:t>
      </w:r>
    </w:p>
    <w:p w:rsidR="0043526F" w:rsidRDefault="0043526F" w:rsidP="0043526F">
      <w:pPr>
        <w:pStyle w:val="Bullets1"/>
      </w:pPr>
      <w:r>
        <w:t xml:space="preserve">whether an action is clearly </w:t>
      </w:r>
      <w:r>
        <w:rPr>
          <w:spacing w:val="-3"/>
        </w:rPr>
        <w:t>unacceptable;</w:t>
      </w:r>
      <w:r>
        <w:rPr>
          <w:spacing w:val="-38"/>
        </w:rPr>
        <w:t xml:space="preserve"> </w:t>
      </w:r>
      <w:r>
        <w:t>and</w:t>
      </w:r>
    </w:p>
    <w:p w:rsidR="0043526F" w:rsidRDefault="0043526F" w:rsidP="0043526F">
      <w:pPr>
        <w:pStyle w:val="Bullets1"/>
      </w:pPr>
      <w:proofErr w:type="gramStart"/>
      <w:r>
        <w:t>whether</w:t>
      </w:r>
      <w:proofErr w:type="gramEnd"/>
      <w:r>
        <w:rPr>
          <w:spacing w:val="-8"/>
        </w:rPr>
        <w:t xml:space="preserve"> </w:t>
      </w:r>
      <w:r>
        <w:t>to</w:t>
      </w:r>
      <w:r>
        <w:rPr>
          <w:spacing w:val="-9"/>
        </w:rPr>
        <w:t xml:space="preserve"> </w:t>
      </w:r>
      <w:r>
        <w:rPr>
          <w:spacing w:val="-3"/>
        </w:rPr>
        <w:t>approve</w:t>
      </w:r>
      <w:r>
        <w:rPr>
          <w:spacing w:val="-9"/>
        </w:rPr>
        <w:t xml:space="preserve"> </w:t>
      </w:r>
      <w:r>
        <w:t>or</w:t>
      </w:r>
      <w:r>
        <w:rPr>
          <w:spacing w:val="-8"/>
        </w:rPr>
        <w:t xml:space="preserve"> </w:t>
      </w:r>
      <w:r>
        <w:t>not</w:t>
      </w:r>
      <w:r>
        <w:rPr>
          <w:spacing w:val="-8"/>
        </w:rPr>
        <w:t xml:space="preserve"> </w:t>
      </w:r>
      <w:r>
        <w:rPr>
          <w:spacing w:val="-3"/>
        </w:rPr>
        <w:t>approve</w:t>
      </w:r>
      <w:r>
        <w:rPr>
          <w:spacing w:val="-9"/>
        </w:rPr>
        <w:t xml:space="preserve"> </w:t>
      </w:r>
      <w:r>
        <w:t>the</w:t>
      </w:r>
      <w:r>
        <w:rPr>
          <w:spacing w:val="-9"/>
        </w:rPr>
        <w:t xml:space="preserve"> </w:t>
      </w:r>
      <w:r>
        <w:t>taking of an</w:t>
      </w:r>
      <w:r>
        <w:rPr>
          <w:spacing w:val="-10"/>
        </w:rPr>
        <w:t xml:space="preserve"> </w:t>
      </w:r>
      <w:r>
        <w:t>action.</w:t>
      </w:r>
    </w:p>
    <w:p w:rsidR="0043526F" w:rsidRDefault="0043526F" w:rsidP="0043526F">
      <w:pPr>
        <w:pStyle w:val="Subhead1"/>
      </w:pPr>
      <w:r>
        <w:t>Legislative framework</w:t>
      </w:r>
    </w:p>
    <w:p w:rsidR="0043526F" w:rsidRDefault="0043526F" w:rsidP="0043526F">
      <w:pPr>
        <w:pStyle w:val="Text"/>
      </w:pPr>
      <w:r>
        <w:t>The legislative requirements to provide statements of reasons for particular decisions under the EPBC Act are set out under:</w:t>
      </w:r>
    </w:p>
    <w:p w:rsidR="0043526F" w:rsidRDefault="0043526F" w:rsidP="0043526F">
      <w:pPr>
        <w:pStyle w:val="Bullets1"/>
      </w:pPr>
      <w:r>
        <w:t xml:space="preserve">particular </w:t>
      </w:r>
      <w:r>
        <w:rPr>
          <w:spacing w:val="-3"/>
        </w:rPr>
        <w:t xml:space="preserve">provisions </w:t>
      </w:r>
      <w:r>
        <w:t xml:space="preserve">of the </w:t>
      </w:r>
      <w:r>
        <w:rPr>
          <w:spacing w:val="-3"/>
        </w:rPr>
        <w:t>EPBC</w:t>
      </w:r>
      <w:r>
        <w:rPr>
          <w:spacing w:val="-21"/>
        </w:rPr>
        <w:t xml:space="preserve"> </w:t>
      </w:r>
      <w:r>
        <w:t>Act</w:t>
      </w:r>
    </w:p>
    <w:p w:rsidR="0043526F" w:rsidRDefault="0043526F" w:rsidP="0043526F">
      <w:pPr>
        <w:pStyle w:val="Bullets1"/>
      </w:pPr>
      <w:r>
        <w:t>section</w:t>
      </w:r>
      <w:r>
        <w:rPr>
          <w:spacing w:val="-16"/>
        </w:rPr>
        <w:t xml:space="preserve"> </w:t>
      </w:r>
      <w:r>
        <w:t>28</w:t>
      </w:r>
      <w:r>
        <w:rPr>
          <w:spacing w:val="-16"/>
        </w:rPr>
        <w:t xml:space="preserve"> </w:t>
      </w:r>
      <w:r>
        <w:t>of</w:t>
      </w:r>
      <w:r>
        <w:rPr>
          <w:spacing w:val="-15"/>
        </w:rPr>
        <w:t xml:space="preserve"> </w:t>
      </w:r>
      <w:r>
        <w:t>the</w:t>
      </w:r>
      <w:r>
        <w:rPr>
          <w:spacing w:val="-16"/>
        </w:rPr>
        <w:t xml:space="preserve"> </w:t>
      </w:r>
      <w:r>
        <w:rPr>
          <w:rStyle w:val="TextItalic"/>
        </w:rPr>
        <w:t>Administrative</w:t>
      </w:r>
      <w:r>
        <w:rPr>
          <w:rStyle w:val="TextItalic"/>
          <w:spacing w:val="-15"/>
        </w:rPr>
        <w:t xml:space="preserve"> </w:t>
      </w:r>
      <w:r>
        <w:rPr>
          <w:rStyle w:val="TextItalic"/>
        </w:rPr>
        <w:t xml:space="preserve">Appeals </w:t>
      </w:r>
      <w:r>
        <w:rPr>
          <w:rStyle w:val="TextItalic"/>
          <w:spacing w:val="-4"/>
        </w:rPr>
        <w:t xml:space="preserve">Tribunal </w:t>
      </w:r>
      <w:r>
        <w:rPr>
          <w:rStyle w:val="TextItalic"/>
        </w:rPr>
        <w:t>Act</w:t>
      </w:r>
      <w:r>
        <w:rPr>
          <w:rStyle w:val="nobreak"/>
        </w:rPr>
        <w:t xml:space="preserve"> </w:t>
      </w:r>
      <w:r>
        <w:rPr>
          <w:rStyle w:val="TextItalic"/>
          <w:spacing w:val="-6"/>
        </w:rPr>
        <w:t xml:space="preserve">1975 </w:t>
      </w:r>
      <w:r>
        <w:rPr>
          <w:spacing w:val="-3"/>
        </w:rPr>
        <w:t xml:space="preserve">(the AAT </w:t>
      </w:r>
      <w:r>
        <w:rPr>
          <w:spacing w:val="-4"/>
        </w:rPr>
        <w:t>Act),</w:t>
      </w:r>
      <w:r>
        <w:rPr>
          <w:spacing w:val="-8"/>
        </w:rPr>
        <w:t xml:space="preserve"> </w:t>
      </w:r>
      <w:r>
        <w:t>and</w:t>
      </w:r>
    </w:p>
    <w:p w:rsidR="0043526F" w:rsidRDefault="0043526F" w:rsidP="0043526F">
      <w:pPr>
        <w:pStyle w:val="Bullets1"/>
        <w:rPr>
          <w:spacing w:val="-3"/>
        </w:rPr>
      </w:pPr>
      <w:proofErr w:type="gramStart"/>
      <w:r>
        <w:t>section</w:t>
      </w:r>
      <w:proofErr w:type="gramEnd"/>
      <w:r>
        <w:t xml:space="preserve"> </w:t>
      </w:r>
      <w:r>
        <w:rPr>
          <w:spacing w:val="-6"/>
        </w:rPr>
        <w:t xml:space="preserve">13 </w:t>
      </w:r>
      <w:r>
        <w:t xml:space="preserve">of the </w:t>
      </w:r>
      <w:r>
        <w:rPr>
          <w:rStyle w:val="TextItalic"/>
        </w:rPr>
        <w:t xml:space="preserve">Administrative Decisions </w:t>
      </w:r>
      <w:r>
        <w:rPr>
          <w:rStyle w:val="TextItalic"/>
          <w:spacing w:val="-3"/>
        </w:rPr>
        <w:t>(Judicial</w:t>
      </w:r>
      <w:r>
        <w:rPr>
          <w:rStyle w:val="nobreak"/>
          <w:spacing w:val="-3"/>
        </w:rPr>
        <w:t xml:space="preserve"> </w:t>
      </w:r>
      <w:r>
        <w:rPr>
          <w:rStyle w:val="TextItalic"/>
          <w:spacing w:val="-3"/>
        </w:rPr>
        <w:t xml:space="preserve">Review) </w:t>
      </w:r>
      <w:r>
        <w:rPr>
          <w:rStyle w:val="TextItalic"/>
        </w:rPr>
        <w:t xml:space="preserve">Act </w:t>
      </w:r>
      <w:r>
        <w:rPr>
          <w:rStyle w:val="TextItalic"/>
          <w:spacing w:val="-4"/>
        </w:rPr>
        <w:t xml:space="preserve">1977 </w:t>
      </w:r>
      <w:r>
        <w:rPr>
          <w:spacing w:val="-3"/>
        </w:rPr>
        <w:t xml:space="preserve">(the </w:t>
      </w:r>
      <w:r>
        <w:t>ADJR</w:t>
      </w:r>
      <w:r>
        <w:rPr>
          <w:spacing w:val="-11"/>
        </w:rPr>
        <w:t xml:space="preserve"> </w:t>
      </w:r>
      <w:r>
        <w:rPr>
          <w:spacing w:val="-3"/>
        </w:rPr>
        <w:t>Act).</w:t>
      </w:r>
    </w:p>
    <w:p w:rsidR="0043526F" w:rsidRDefault="0043526F" w:rsidP="0043526F">
      <w:pPr>
        <w:pStyle w:val="Text"/>
      </w:pPr>
    </w:p>
    <w:p w:rsidR="0043526F" w:rsidRDefault="0043526F" w:rsidP="0043526F">
      <w:pPr>
        <w:pStyle w:val="Text"/>
      </w:pPr>
      <w:r>
        <w:t>These Acts define:</w:t>
      </w:r>
    </w:p>
    <w:p w:rsidR="0043526F" w:rsidRDefault="0043526F" w:rsidP="0043526F">
      <w:pPr>
        <w:pStyle w:val="Bullets1"/>
        <w:rPr>
          <w:spacing w:val="-3"/>
        </w:rPr>
      </w:pPr>
      <w:r>
        <w:t>which</w:t>
      </w:r>
      <w:r>
        <w:rPr>
          <w:spacing w:val="-15"/>
        </w:rPr>
        <w:t xml:space="preserve"> </w:t>
      </w:r>
      <w:r>
        <w:t>decisions</w:t>
      </w:r>
      <w:r>
        <w:rPr>
          <w:spacing w:val="-15"/>
        </w:rPr>
        <w:t xml:space="preserve"> </w:t>
      </w:r>
      <w:r>
        <w:t>will</w:t>
      </w:r>
      <w:r>
        <w:rPr>
          <w:spacing w:val="-15"/>
        </w:rPr>
        <w:t xml:space="preserve"> </w:t>
      </w:r>
      <w:r>
        <w:t>or</w:t>
      </w:r>
      <w:r>
        <w:rPr>
          <w:spacing w:val="-14"/>
        </w:rPr>
        <w:t xml:space="preserve"> </w:t>
      </w:r>
      <w:r>
        <w:rPr>
          <w:spacing w:val="-3"/>
        </w:rPr>
        <w:t>may</w:t>
      </w:r>
      <w:r>
        <w:rPr>
          <w:spacing w:val="-14"/>
        </w:rPr>
        <w:t xml:space="preserve"> </w:t>
      </w:r>
      <w:r>
        <w:t>require</w:t>
      </w:r>
      <w:r>
        <w:rPr>
          <w:spacing w:val="-15"/>
        </w:rPr>
        <w:t xml:space="preserve"> </w:t>
      </w:r>
      <w:r>
        <w:t>statements of reasons to be</w:t>
      </w:r>
      <w:r>
        <w:rPr>
          <w:spacing w:val="-21"/>
        </w:rPr>
        <w:t xml:space="preserve"> </w:t>
      </w:r>
      <w:r>
        <w:rPr>
          <w:spacing w:val="-3"/>
        </w:rPr>
        <w:t>prepared;</w:t>
      </w:r>
    </w:p>
    <w:p w:rsidR="0043526F" w:rsidRDefault="0043526F" w:rsidP="0043526F">
      <w:pPr>
        <w:pStyle w:val="Bullets1"/>
        <w:rPr>
          <w:spacing w:val="-3"/>
        </w:rPr>
      </w:pPr>
      <w:r>
        <w:rPr>
          <w:spacing w:val="-3"/>
        </w:rPr>
        <w:t>the persons entitled to receive statements of reasons;</w:t>
      </w:r>
      <w:r>
        <w:rPr>
          <w:rStyle w:val="nobreak"/>
          <w:spacing w:val="-3"/>
        </w:rPr>
        <w:t xml:space="preserve"> </w:t>
      </w:r>
      <w:r>
        <w:rPr>
          <w:spacing w:val="-3"/>
        </w:rPr>
        <w:t>and</w:t>
      </w:r>
    </w:p>
    <w:p w:rsidR="0043526F" w:rsidRDefault="0043526F" w:rsidP="0043526F">
      <w:pPr>
        <w:pStyle w:val="Bullets1"/>
      </w:pPr>
      <w:proofErr w:type="gramStart"/>
      <w:r>
        <w:t>the</w:t>
      </w:r>
      <w:proofErr w:type="gramEnd"/>
      <w:r>
        <w:rPr>
          <w:spacing w:val="-16"/>
        </w:rPr>
        <w:t xml:space="preserve"> </w:t>
      </w:r>
      <w:r>
        <w:t>timeframes</w:t>
      </w:r>
      <w:r>
        <w:rPr>
          <w:spacing w:val="-15"/>
        </w:rPr>
        <w:t xml:space="preserve"> </w:t>
      </w:r>
      <w:r>
        <w:t>within</w:t>
      </w:r>
      <w:r>
        <w:rPr>
          <w:spacing w:val="-16"/>
        </w:rPr>
        <w:t xml:space="preserve"> </w:t>
      </w:r>
      <w:r>
        <w:t>which</w:t>
      </w:r>
      <w:r>
        <w:rPr>
          <w:spacing w:val="-16"/>
        </w:rPr>
        <w:t xml:space="preserve"> </w:t>
      </w:r>
      <w:r>
        <w:t>statements</w:t>
      </w:r>
      <w:r>
        <w:rPr>
          <w:spacing w:val="-15"/>
        </w:rPr>
        <w:t xml:space="preserve"> </w:t>
      </w:r>
      <w:r>
        <w:t>of reasons must be</w:t>
      </w:r>
      <w:r>
        <w:rPr>
          <w:spacing w:val="-19"/>
        </w:rPr>
        <w:t xml:space="preserve"> </w:t>
      </w:r>
      <w:r>
        <w:t>prepared.</w:t>
      </w:r>
    </w:p>
    <w:p w:rsidR="0043526F" w:rsidRDefault="0043526F" w:rsidP="0043526F">
      <w:pPr>
        <w:pStyle w:val="Subhead2"/>
      </w:pPr>
      <w:r>
        <w:t>Which decisions require a</w:t>
      </w:r>
      <w:r>
        <w:rPr>
          <w:rStyle w:val="nobreak"/>
        </w:rPr>
        <w:t xml:space="preserve"> </w:t>
      </w:r>
      <w:r>
        <w:t>statement of reasons?</w:t>
      </w:r>
    </w:p>
    <w:p w:rsidR="0043526F" w:rsidRDefault="0043526F" w:rsidP="0043526F">
      <w:pPr>
        <w:pStyle w:val="Subhead3"/>
      </w:pPr>
      <w:r>
        <w:t>EPBC Act</w:t>
      </w:r>
    </w:p>
    <w:p w:rsidR="0043526F" w:rsidRDefault="0043526F" w:rsidP="0043526F">
      <w:pPr>
        <w:pStyle w:val="Text"/>
      </w:pPr>
      <w:r>
        <w:rPr>
          <w:rStyle w:val="TextBold"/>
        </w:rPr>
        <w:t>Table 1</w:t>
      </w:r>
      <w:r>
        <w:rPr>
          <w:rFonts w:ascii="Adobe Garamond Pro Bold" w:hAnsi="Adobe Garamond Pro Bold" w:cs="Adobe Garamond Pro Bold"/>
          <w:b/>
          <w:bCs/>
        </w:rPr>
        <w:t xml:space="preserve"> </w:t>
      </w:r>
      <w:r>
        <w:t xml:space="preserve">details the decisions under the </w:t>
      </w:r>
      <w:r>
        <w:rPr>
          <w:spacing w:val="-3"/>
        </w:rPr>
        <w:t xml:space="preserve">EPBC </w:t>
      </w:r>
      <w:r>
        <w:t xml:space="preserve">Act for which the Minister or the </w:t>
      </w:r>
      <w:r>
        <w:rPr>
          <w:spacing w:val="-3"/>
        </w:rPr>
        <w:t xml:space="preserve">Minister’s </w:t>
      </w:r>
      <w:r>
        <w:t xml:space="preserve">delegate is required to provide statements of </w:t>
      </w:r>
      <w:r>
        <w:rPr>
          <w:spacing w:val="-3"/>
        </w:rPr>
        <w:t xml:space="preserve">reasons. </w:t>
      </w:r>
      <w:r>
        <w:rPr>
          <w:spacing w:val="-5"/>
        </w:rPr>
        <w:t>Table</w:t>
      </w:r>
      <w:r>
        <w:rPr>
          <w:rStyle w:val="nobreak"/>
          <w:spacing w:val="-5"/>
        </w:rPr>
        <w:t xml:space="preserve"> </w:t>
      </w:r>
      <w:r>
        <w:t xml:space="preserve">1 also sets out the decisions for which statements of reasons are </w:t>
      </w:r>
      <w:r>
        <w:rPr>
          <w:spacing w:val="-3"/>
        </w:rPr>
        <w:t xml:space="preserve">always </w:t>
      </w:r>
      <w:r>
        <w:t>required to be provided as part of</w:t>
      </w:r>
      <w:r>
        <w:rPr>
          <w:spacing w:val="-12"/>
        </w:rPr>
        <w:t xml:space="preserve"> </w:t>
      </w:r>
      <w:r>
        <w:t>the</w:t>
      </w:r>
      <w:r>
        <w:rPr>
          <w:spacing w:val="-12"/>
        </w:rPr>
        <w:t xml:space="preserve"> </w:t>
      </w:r>
      <w:r>
        <w:t>decision-making</w:t>
      </w:r>
      <w:r>
        <w:rPr>
          <w:spacing w:val="-12"/>
        </w:rPr>
        <w:t xml:space="preserve"> </w:t>
      </w:r>
      <w:r>
        <w:t>process,</w:t>
      </w:r>
      <w:r>
        <w:rPr>
          <w:spacing w:val="-12"/>
        </w:rPr>
        <w:t xml:space="preserve"> </w:t>
      </w:r>
      <w:r>
        <w:t>and</w:t>
      </w:r>
      <w:r>
        <w:rPr>
          <w:spacing w:val="-12"/>
        </w:rPr>
        <w:t xml:space="preserve"> </w:t>
      </w:r>
      <w:r>
        <w:t>those</w:t>
      </w:r>
      <w:r>
        <w:rPr>
          <w:spacing w:val="-12"/>
        </w:rPr>
        <w:t xml:space="preserve"> </w:t>
      </w:r>
      <w:r>
        <w:t>for</w:t>
      </w:r>
      <w:r>
        <w:rPr>
          <w:spacing w:val="-12"/>
        </w:rPr>
        <w:t xml:space="preserve"> </w:t>
      </w:r>
      <w:r>
        <w:t xml:space="preserve">which a </w:t>
      </w:r>
      <w:r>
        <w:rPr>
          <w:spacing w:val="-3"/>
        </w:rPr>
        <w:t xml:space="preserve">statement </w:t>
      </w:r>
      <w:r>
        <w:t>is required on</w:t>
      </w:r>
      <w:r>
        <w:rPr>
          <w:spacing w:val="-24"/>
        </w:rPr>
        <w:t xml:space="preserve"> </w:t>
      </w:r>
      <w:r>
        <w:t>request.</w:t>
      </w:r>
    </w:p>
    <w:p w:rsidR="0043526F" w:rsidRDefault="0043526F" w:rsidP="0043526F">
      <w:pPr>
        <w:pStyle w:val="Subhead3"/>
      </w:pPr>
      <w:r>
        <w:t>AAT Act</w:t>
      </w:r>
    </w:p>
    <w:p w:rsidR="0043526F" w:rsidRDefault="0043526F" w:rsidP="0043526F">
      <w:pPr>
        <w:pStyle w:val="Text"/>
      </w:pPr>
      <w:r>
        <w:t>Under subsection 28(1) of the AAT Act, a person affected by a decision, who has a right to a review of the merits of that decision by the AAT, may request the decision-maker to provide a statement of reasons.</w:t>
      </w:r>
    </w:p>
    <w:p w:rsidR="0043526F" w:rsidRDefault="0043526F" w:rsidP="0043526F">
      <w:pPr>
        <w:pStyle w:val="Text"/>
      </w:pPr>
      <w:r>
        <w:t xml:space="preserve">A right to merits review only exists if specified in relevant legislation. </w:t>
      </w:r>
      <w:r>
        <w:rPr>
          <w:rStyle w:val="TextBold"/>
        </w:rPr>
        <w:t xml:space="preserve">Table 2 </w:t>
      </w:r>
      <w:r>
        <w:t>sets out where the EPBC</w:t>
      </w:r>
      <w:r>
        <w:rPr>
          <w:rStyle w:val="nobreak"/>
        </w:rPr>
        <w:t xml:space="preserve"> </w:t>
      </w:r>
      <w:r>
        <w:t>Act provides persons with a right to merits review. These rights apply only to decisions made by a</w:t>
      </w:r>
      <w:r>
        <w:rPr>
          <w:rStyle w:val="nobreak"/>
        </w:rPr>
        <w:t xml:space="preserve"> </w:t>
      </w:r>
      <w:r>
        <w:t>Ministerial delegate, and not to Ministerial decisions.</w:t>
      </w:r>
    </w:p>
    <w:p w:rsidR="0043526F" w:rsidRDefault="00CB76A4" w:rsidP="0043526F">
      <w:pPr>
        <w:pStyle w:val="Subhead3"/>
      </w:pPr>
      <w:r>
        <w:lastRenderedPageBreak/>
        <w:br/>
      </w:r>
      <w:r w:rsidR="0043526F">
        <w:t>ADJR Act</w:t>
      </w:r>
    </w:p>
    <w:p w:rsidR="0043526F" w:rsidRDefault="0043526F" w:rsidP="0043526F">
      <w:pPr>
        <w:pStyle w:val="Text"/>
        <w:rPr>
          <w:spacing w:val="-3"/>
        </w:rPr>
      </w:pPr>
      <w:r>
        <w:t xml:space="preserve">Subsection </w:t>
      </w:r>
      <w:r>
        <w:rPr>
          <w:spacing w:val="-9"/>
        </w:rPr>
        <w:t xml:space="preserve">13(1) </w:t>
      </w:r>
      <w:r>
        <w:t xml:space="preserve">of the ADJR Act enables a ‘person </w:t>
      </w:r>
      <w:r>
        <w:rPr>
          <w:spacing w:val="-4"/>
        </w:rPr>
        <w:t xml:space="preserve">aggrieved’, </w:t>
      </w:r>
      <w:r>
        <w:t xml:space="preserve">who has a right to a judicial </w:t>
      </w:r>
      <w:r>
        <w:rPr>
          <w:spacing w:val="-3"/>
        </w:rPr>
        <w:t xml:space="preserve">review </w:t>
      </w:r>
      <w:r>
        <w:t>under section</w:t>
      </w:r>
      <w:r>
        <w:rPr>
          <w:spacing w:val="-10"/>
        </w:rPr>
        <w:t xml:space="preserve"> </w:t>
      </w:r>
      <w:r>
        <w:t>5</w:t>
      </w:r>
      <w:r>
        <w:rPr>
          <w:spacing w:val="-10"/>
        </w:rPr>
        <w:t xml:space="preserve"> </w:t>
      </w:r>
      <w:r>
        <w:t>of</w:t>
      </w:r>
      <w:r>
        <w:rPr>
          <w:spacing w:val="-9"/>
        </w:rPr>
        <w:t xml:space="preserve"> </w:t>
      </w:r>
      <w:r>
        <w:t>that</w:t>
      </w:r>
      <w:r>
        <w:rPr>
          <w:spacing w:val="-9"/>
        </w:rPr>
        <w:t xml:space="preserve"> </w:t>
      </w:r>
      <w:r>
        <w:t>Act,</w:t>
      </w:r>
      <w:r>
        <w:rPr>
          <w:spacing w:val="-9"/>
        </w:rPr>
        <w:t xml:space="preserve"> </w:t>
      </w:r>
      <w:r>
        <w:t>to</w:t>
      </w:r>
      <w:r>
        <w:rPr>
          <w:spacing w:val="-10"/>
        </w:rPr>
        <w:t xml:space="preserve"> </w:t>
      </w:r>
      <w:r>
        <w:rPr>
          <w:spacing w:val="-3"/>
        </w:rPr>
        <w:t>make</w:t>
      </w:r>
      <w:r>
        <w:rPr>
          <w:spacing w:val="-10"/>
        </w:rPr>
        <w:t xml:space="preserve"> </w:t>
      </w:r>
      <w:r>
        <w:t>a</w:t>
      </w:r>
      <w:r>
        <w:rPr>
          <w:spacing w:val="-10"/>
        </w:rPr>
        <w:t xml:space="preserve"> </w:t>
      </w:r>
      <w:r>
        <w:t>written</w:t>
      </w:r>
      <w:r>
        <w:rPr>
          <w:spacing w:val="-10"/>
        </w:rPr>
        <w:t xml:space="preserve"> </w:t>
      </w:r>
      <w:r>
        <w:t>request</w:t>
      </w:r>
      <w:r>
        <w:rPr>
          <w:spacing w:val="-9"/>
        </w:rPr>
        <w:t xml:space="preserve"> </w:t>
      </w:r>
      <w:r>
        <w:t>to</w:t>
      </w:r>
      <w:r>
        <w:rPr>
          <w:spacing w:val="-10"/>
        </w:rPr>
        <w:t xml:space="preserve"> </w:t>
      </w:r>
      <w:r>
        <w:t xml:space="preserve">the decision-maker to provide a </w:t>
      </w:r>
      <w:r>
        <w:rPr>
          <w:spacing w:val="-3"/>
        </w:rPr>
        <w:t xml:space="preserve">statement </w:t>
      </w:r>
      <w:r>
        <w:t>of</w:t>
      </w:r>
      <w:r>
        <w:rPr>
          <w:spacing w:val="-39"/>
        </w:rPr>
        <w:t xml:space="preserve"> </w:t>
      </w:r>
      <w:r>
        <w:rPr>
          <w:spacing w:val="-3"/>
        </w:rPr>
        <w:t>reasons.</w:t>
      </w:r>
    </w:p>
    <w:p w:rsidR="0043526F" w:rsidRDefault="0043526F" w:rsidP="0043526F">
      <w:pPr>
        <w:pStyle w:val="Text"/>
      </w:pPr>
      <w:r>
        <w:t>These rights apply only to administrative decisions that are substantive, final or operative.</w:t>
      </w:r>
    </w:p>
    <w:p w:rsidR="0043526F" w:rsidRDefault="0043526F" w:rsidP="0043526F">
      <w:pPr>
        <w:pStyle w:val="Text"/>
      </w:pPr>
    </w:p>
    <w:p w:rsidR="0043526F" w:rsidRDefault="0043526F" w:rsidP="0043526F">
      <w:pPr>
        <w:pStyle w:val="Subhead1"/>
      </w:pPr>
      <w:r>
        <w:t>Policy approach</w:t>
      </w:r>
    </w:p>
    <w:p w:rsidR="0043526F" w:rsidRDefault="0043526F" w:rsidP="0043526F">
      <w:pPr>
        <w:pStyle w:val="Subhead2"/>
      </w:pPr>
      <w:r>
        <w:t>Who is entitled to a statement</w:t>
      </w:r>
      <w:r>
        <w:rPr>
          <w:rStyle w:val="nobreak"/>
        </w:rPr>
        <w:t xml:space="preserve"> </w:t>
      </w:r>
      <w:r>
        <w:t>of reasons?</w:t>
      </w:r>
    </w:p>
    <w:p w:rsidR="0043526F" w:rsidRDefault="0043526F" w:rsidP="0043526F">
      <w:pPr>
        <w:pStyle w:val="Text"/>
      </w:pPr>
      <w:r>
        <w:t>The Department generally provides statements of reasons to any person who requests one, regardless of their specified rights to receive a statement of reasons</w:t>
      </w:r>
      <w:r>
        <w:rPr>
          <w:rStyle w:val="nobreak"/>
        </w:rPr>
        <w:t xml:space="preserve"> </w:t>
      </w:r>
      <w:r>
        <w:t>under Commonwealth legislation.</w:t>
      </w:r>
    </w:p>
    <w:p w:rsidR="0043526F" w:rsidRDefault="0043526F" w:rsidP="0043526F">
      <w:pPr>
        <w:pStyle w:val="Text"/>
      </w:pPr>
      <w:r>
        <w:t>The Department’s approach is consistent with</w:t>
      </w:r>
      <w:r>
        <w:rPr>
          <w:rStyle w:val="nobreak"/>
        </w:rPr>
        <w:t xml:space="preserve"> </w:t>
      </w:r>
      <w:r>
        <w:t>the government’s broader policies on improving</w:t>
      </w:r>
      <w:r>
        <w:rPr>
          <w:rStyle w:val="nobreak"/>
        </w:rPr>
        <w:t xml:space="preserve"> </w:t>
      </w:r>
      <w:r>
        <w:t>citizens’ access to information on government decision-making.</w:t>
      </w:r>
    </w:p>
    <w:p w:rsidR="0043526F" w:rsidRDefault="0043526F" w:rsidP="0043526F">
      <w:pPr>
        <w:pStyle w:val="Subhead2"/>
      </w:pPr>
      <w:r>
        <w:t>Process for determining if a person is entitled to a</w:t>
      </w:r>
      <w:r>
        <w:rPr>
          <w:rStyle w:val="nobreak"/>
        </w:rPr>
        <w:t xml:space="preserve"> </w:t>
      </w:r>
      <w:r>
        <w:t>statement of reasons</w:t>
      </w:r>
    </w:p>
    <w:p w:rsidR="0043526F" w:rsidRDefault="0043526F" w:rsidP="0043526F">
      <w:pPr>
        <w:pStyle w:val="Text"/>
      </w:pPr>
      <w:r>
        <w:t xml:space="preserve">When </w:t>
      </w:r>
      <w:r>
        <w:rPr>
          <w:spacing w:val="-3"/>
        </w:rPr>
        <w:t xml:space="preserve">providing </w:t>
      </w:r>
      <w:r>
        <w:t xml:space="preserve">a </w:t>
      </w:r>
      <w:r>
        <w:rPr>
          <w:spacing w:val="-3"/>
        </w:rPr>
        <w:t xml:space="preserve">statement </w:t>
      </w:r>
      <w:r>
        <w:t xml:space="preserve">of </w:t>
      </w:r>
      <w:r>
        <w:rPr>
          <w:spacing w:val="-3"/>
        </w:rPr>
        <w:t xml:space="preserve">reasons, </w:t>
      </w:r>
      <w:r>
        <w:t xml:space="preserve">it is necessary to ascertain whether a person is </w:t>
      </w:r>
      <w:r>
        <w:rPr>
          <w:spacing w:val="-3"/>
        </w:rPr>
        <w:t xml:space="preserve">legally </w:t>
      </w:r>
      <w:r>
        <w:t xml:space="preserve">entitled to receive a </w:t>
      </w:r>
      <w:r>
        <w:rPr>
          <w:spacing w:val="-3"/>
        </w:rPr>
        <w:t xml:space="preserve">statement </w:t>
      </w:r>
      <w:r>
        <w:t xml:space="preserve">of reasons under the </w:t>
      </w:r>
      <w:r>
        <w:rPr>
          <w:spacing w:val="-7"/>
        </w:rPr>
        <w:t xml:space="preserve">AAT, </w:t>
      </w:r>
      <w:r>
        <w:t xml:space="preserve">ADJR, and </w:t>
      </w:r>
      <w:r>
        <w:rPr>
          <w:spacing w:val="-3"/>
        </w:rPr>
        <w:t xml:space="preserve">EPBC </w:t>
      </w:r>
      <w:r>
        <w:t>Acts.</w:t>
      </w:r>
    </w:p>
    <w:p w:rsidR="0043526F" w:rsidRDefault="0043526F" w:rsidP="0043526F">
      <w:pPr>
        <w:pStyle w:val="Text"/>
        <w:rPr>
          <w:spacing w:val="-4"/>
        </w:rPr>
      </w:pPr>
      <w:r>
        <w:rPr>
          <w:spacing w:val="-3"/>
        </w:rPr>
        <w:t xml:space="preserve">The </w:t>
      </w:r>
      <w:r>
        <w:rPr>
          <w:spacing w:val="-4"/>
        </w:rPr>
        <w:t xml:space="preserve">test </w:t>
      </w:r>
      <w:r>
        <w:rPr>
          <w:spacing w:val="-3"/>
        </w:rPr>
        <w:t xml:space="preserve">for </w:t>
      </w:r>
      <w:r>
        <w:rPr>
          <w:spacing w:val="-5"/>
        </w:rPr>
        <w:t xml:space="preserve">determining entitlement under </w:t>
      </w:r>
      <w:r>
        <w:rPr>
          <w:spacing w:val="-3"/>
        </w:rPr>
        <w:t xml:space="preserve">the </w:t>
      </w:r>
      <w:r>
        <w:rPr>
          <w:spacing w:val="-5"/>
        </w:rPr>
        <w:t xml:space="preserve">AAT </w:t>
      </w:r>
      <w:r>
        <w:rPr>
          <w:spacing w:val="-3"/>
        </w:rPr>
        <w:t xml:space="preserve">Act is </w:t>
      </w:r>
      <w:r>
        <w:rPr>
          <w:spacing w:val="-5"/>
        </w:rPr>
        <w:t xml:space="preserve">discussed </w:t>
      </w:r>
      <w:r>
        <w:rPr>
          <w:spacing w:val="-3"/>
        </w:rPr>
        <w:t xml:space="preserve">at 2.4 </w:t>
      </w:r>
      <w:r>
        <w:rPr>
          <w:spacing w:val="-4"/>
        </w:rPr>
        <w:t xml:space="preserve">and 2.5. </w:t>
      </w:r>
      <w:r>
        <w:rPr>
          <w:spacing w:val="-3"/>
        </w:rPr>
        <w:t xml:space="preserve">The </w:t>
      </w:r>
      <w:r>
        <w:rPr>
          <w:spacing w:val="-4"/>
        </w:rPr>
        <w:t xml:space="preserve">test </w:t>
      </w:r>
      <w:r>
        <w:rPr>
          <w:spacing w:val="-3"/>
        </w:rPr>
        <w:t xml:space="preserve">for </w:t>
      </w:r>
      <w:r>
        <w:rPr>
          <w:spacing w:val="-5"/>
        </w:rPr>
        <w:t xml:space="preserve">determining entitlement under </w:t>
      </w:r>
      <w:r>
        <w:rPr>
          <w:spacing w:val="-3"/>
        </w:rPr>
        <w:t xml:space="preserve">the ADJR Act is at </w:t>
      </w:r>
      <w:r>
        <w:rPr>
          <w:spacing w:val="-4"/>
        </w:rPr>
        <w:t>2.6.</w:t>
      </w:r>
    </w:p>
    <w:p w:rsidR="0043526F" w:rsidRDefault="0043526F" w:rsidP="0043526F">
      <w:pPr>
        <w:pStyle w:val="Subhead3"/>
      </w:pPr>
      <w:r>
        <w:t>EPBC Act</w:t>
      </w:r>
    </w:p>
    <w:p w:rsidR="0043526F" w:rsidRDefault="0043526F" w:rsidP="0043526F">
      <w:pPr>
        <w:pStyle w:val="Text"/>
      </w:pPr>
      <w:r>
        <w:t>Table 1 sets out where persons are entitled to receive a statement of reasons for particular decisions under the EPBC Act, including persons specified under sections 487 and 488 of that Act.</w:t>
      </w:r>
    </w:p>
    <w:p w:rsidR="0043526F" w:rsidRDefault="0043526F" w:rsidP="0043526F">
      <w:pPr>
        <w:pStyle w:val="Text"/>
      </w:pPr>
      <w:r>
        <w:t xml:space="preserve">Sections 487 and 488 </w:t>
      </w:r>
      <w:r>
        <w:rPr>
          <w:spacing w:val="-2"/>
        </w:rPr>
        <w:t xml:space="preserve">extend </w:t>
      </w:r>
      <w:r>
        <w:t>the meaning of the term</w:t>
      </w:r>
      <w:r>
        <w:rPr>
          <w:rStyle w:val="nobreak"/>
        </w:rPr>
        <w:t xml:space="preserve"> </w:t>
      </w:r>
      <w:r>
        <w:t xml:space="preserve">‘person </w:t>
      </w:r>
      <w:r>
        <w:rPr>
          <w:spacing w:val="-3"/>
        </w:rPr>
        <w:t xml:space="preserve">aggrieved’ </w:t>
      </w:r>
      <w:r>
        <w:t>under the ADJR Act,</w:t>
      </w:r>
      <w:r>
        <w:rPr>
          <w:spacing w:val="-15"/>
        </w:rPr>
        <w:t xml:space="preserve"> </w:t>
      </w:r>
      <w:r>
        <w:t>to</w:t>
      </w:r>
      <w:r>
        <w:rPr>
          <w:spacing w:val="-15"/>
        </w:rPr>
        <w:t xml:space="preserve"> </w:t>
      </w:r>
      <w:r>
        <w:t>individuals</w:t>
      </w:r>
      <w:r>
        <w:rPr>
          <w:spacing w:val="-15"/>
        </w:rPr>
        <w:t xml:space="preserve"> </w:t>
      </w:r>
      <w:r>
        <w:t>and</w:t>
      </w:r>
      <w:r>
        <w:rPr>
          <w:spacing w:val="-15"/>
        </w:rPr>
        <w:t xml:space="preserve"> </w:t>
      </w:r>
      <w:r>
        <w:t>organisations</w:t>
      </w:r>
      <w:r>
        <w:rPr>
          <w:spacing w:val="-15"/>
        </w:rPr>
        <w:t xml:space="preserve"> </w:t>
      </w:r>
      <w:r>
        <w:t>engaged</w:t>
      </w:r>
      <w:r>
        <w:rPr>
          <w:spacing w:val="-15"/>
        </w:rPr>
        <w:t xml:space="preserve"> </w:t>
      </w:r>
      <w:r>
        <w:t>in the</w:t>
      </w:r>
      <w:r>
        <w:rPr>
          <w:spacing w:val="-13"/>
        </w:rPr>
        <w:t xml:space="preserve"> </w:t>
      </w:r>
      <w:r>
        <w:t>protection,</w:t>
      </w:r>
      <w:r>
        <w:rPr>
          <w:spacing w:val="-12"/>
        </w:rPr>
        <w:t xml:space="preserve"> </w:t>
      </w:r>
      <w:r>
        <w:t>conservation</w:t>
      </w:r>
      <w:r>
        <w:rPr>
          <w:spacing w:val="-13"/>
        </w:rPr>
        <w:t xml:space="preserve"> </w:t>
      </w:r>
      <w:r>
        <w:t>or</w:t>
      </w:r>
      <w:r>
        <w:rPr>
          <w:spacing w:val="-12"/>
        </w:rPr>
        <w:t xml:space="preserve"> </w:t>
      </w:r>
      <w:r>
        <w:t>research</w:t>
      </w:r>
      <w:r>
        <w:rPr>
          <w:spacing w:val="-13"/>
        </w:rPr>
        <w:t xml:space="preserve"> </w:t>
      </w:r>
      <w:r>
        <w:rPr>
          <w:spacing w:val="-3"/>
        </w:rPr>
        <w:t>into</w:t>
      </w:r>
      <w:r>
        <w:rPr>
          <w:spacing w:val="-13"/>
        </w:rPr>
        <w:t xml:space="preserve"> </w:t>
      </w:r>
      <w:r>
        <w:t xml:space="preserve">the </w:t>
      </w:r>
      <w:r>
        <w:rPr>
          <w:spacing w:val="-3"/>
        </w:rPr>
        <w:t>environment</w:t>
      </w:r>
      <w:r>
        <w:rPr>
          <w:spacing w:val="-9"/>
        </w:rPr>
        <w:t xml:space="preserve"> </w:t>
      </w:r>
      <w:r>
        <w:t>within</w:t>
      </w:r>
      <w:r>
        <w:rPr>
          <w:spacing w:val="-10"/>
        </w:rPr>
        <w:t xml:space="preserve"> </w:t>
      </w:r>
      <w:r>
        <w:t>Australia</w:t>
      </w:r>
      <w:r>
        <w:rPr>
          <w:spacing w:val="-10"/>
        </w:rPr>
        <w:t xml:space="preserve"> </w:t>
      </w:r>
      <w:r>
        <w:t>and</w:t>
      </w:r>
      <w:r>
        <w:rPr>
          <w:spacing w:val="-10"/>
        </w:rPr>
        <w:t xml:space="preserve"> </w:t>
      </w:r>
      <w:r>
        <w:t>its</w:t>
      </w:r>
      <w:r>
        <w:rPr>
          <w:spacing w:val="-9"/>
        </w:rPr>
        <w:t xml:space="preserve"> </w:t>
      </w:r>
      <w:r>
        <w:t>territories.</w:t>
      </w:r>
    </w:p>
    <w:p w:rsidR="0043526F" w:rsidRDefault="0043526F" w:rsidP="0043526F">
      <w:pPr>
        <w:pStyle w:val="Text"/>
        <w:rPr>
          <w:spacing w:val="-5"/>
        </w:rPr>
      </w:pPr>
      <w:r>
        <w:rPr>
          <w:spacing w:val="-4"/>
        </w:rPr>
        <w:t xml:space="preserve">This </w:t>
      </w:r>
      <w:r>
        <w:rPr>
          <w:spacing w:val="-5"/>
        </w:rPr>
        <w:t xml:space="preserve">standing </w:t>
      </w:r>
      <w:r>
        <w:rPr>
          <w:spacing w:val="-3"/>
        </w:rPr>
        <w:t xml:space="preserve">is </w:t>
      </w:r>
      <w:r>
        <w:rPr>
          <w:spacing w:val="-5"/>
        </w:rPr>
        <w:t xml:space="preserve">subject </w:t>
      </w:r>
      <w:r>
        <w:rPr>
          <w:spacing w:val="-3"/>
        </w:rPr>
        <w:t xml:space="preserve">to the </w:t>
      </w:r>
      <w:r>
        <w:rPr>
          <w:spacing w:val="-5"/>
        </w:rPr>
        <w:t xml:space="preserve">requirements </w:t>
      </w:r>
      <w:r>
        <w:rPr>
          <w:spacing w:val="-4"/>
        </w:rPr>
        <w:t xml:space="preserve">specified </w:t>
      </w:r>
      <w:r>
        <w:rPr>
          <w:spacing w:val="-3"/>
        </w:rPr>
        <w:t xml:space="preserve">in </w:t>
      </w:r>
      <w:r>
        <w:rPr>
          <w:spacing w:val="-5"/>
        </w:rPr>
        <w:t xml:space="preserve">subsections </w:t>
      </w:r>
      <w:r>
        <w:rPr>
          <w:spacing w:val="-9"/>
        </w:rPr>
        <w:t xml:space="preserve">487(2) </w:t>
      </w:r>
      <w:r>
        <w:rPr>
          <w:spacing w:val="-4"/>
        </w:rPr>
        <w:t xml:space="preserve">and </w:t>
      </w:r>
      <w:r>
        <w:rPr>
          <w:spacing w:val="-9"/>
        </w:rPr>
        <w:t xml:space="preserve">487(3). </w:t>
      </w:r>
      <w:r>
        <w:rPr>
          <w:spacing w:val="-5"/>
        </w:rPr>
        <w:t xml:space="preserve">Subsections </w:t>
      </w:r>
      <w:r>
        <w:rPr>
          <w:spacing w:val="-9"/>
        </w:rPr>
        <w:t xml:space="preserve">487(2) </w:t>
      </w:r>
      <w:r>
        <w:rPr>
          <w:spacing w:val="-4"/>
        </w:rPr>
        <w:t xml:space="preserve">and </w:t>
      </w:r>
      <w:r>
        <w:rPr>
          <w:spacing w:val="-8"/>
        </w:rPr>
        <w:t xml:space="preserve">(3) </w:t>
      </w:r>
      <w:r>
        <w:rPr>
          <w:spacing w:val="-4"/>
        </w:rPr>
        <w:t xml:space="preserve">specify </w:t>
      </w:r>
      <w:r>
        <w:rPr>
          <w:spacing w:val="-5"/>
        </w:rPr>
        <w:t xml:space="preserve">requirements relating </w:t>
      </w:r>
      <w:r>
        <w:rPr>
          <w:spacing w:val="-3"/>
        </w:rPr>
        <w:t xml:space="preserve">to the </w:t>
      </w:r>
      <w:r>
        <w:rPr>
          <w:spacing w:val="-5"/>
        </w:rPr>
        <w:t xml:space="preserve">individuals citizenship </w:t>
      </w:r>
      <w:r>
        <w:t xml:space="preserve">or </w:t>
      </w:r>
      <w:r>
        <w:rPr>
          <w:spacing w:val="-5"/>
        </w:rPr>
        <w:t xml:space="preserve">residency </w:t>
      </w:r>
      <w:r>
        <w:rPr>
          <w:spacing w:val="-4"/>
        </w:rPr>
        <w:t xml:space="preserve">and </w:t>
      </w:r>
      <w:r>
        <w:rPr>
          <w:spacing w:val="-3"/>
        </w:rPr>
        <w:t xml:space="preserve">the </w:t>
      </w:r>
      <w:r>
        <w:rPr>
          <w:spacing w:val="-6"/>
        </w:rPr>
        <w:t xml:space="preserve">individual’s involvement </w:t>
      </w:r>
      <w:r>
        <w:rPr>
          <w:spacing w:val="-3"/>
        </w:rPr>
        <w:t xml:space="preserve">in </w:t>
      </w:r>
      <w:r>
        <w:rPr>
          <w:spacing w:val="-5"/>
        </w:rPr>
        <w:t xml:space="preserve">environmental activities, and, </w:t>
      </w:r>
      <w:r>
        <w:rPr>
          <w:spacing w:val="-3"/>
        </w:rPr>
        <w:t xml:space="preserve">in the </w:t>
      </w:r>
      <w:r>
        <w:rPr>
          <w:spacing w:val="-4"/>
        </w:rPr>
        <w:t xml:space="preserve">case </w:t>
      </w:r>
      <w:r>
        <w:rPr>
          <w:spacing w:val="-3"/>
        </w:rPr>
        <w:t xml:space="preserve">of </w:t>
      </w:r>
      <w:r>
        <w:rPr>
          <w:spacing w:val="-5"/>
        </w:rPr>
        <w:t xml:space="preserve">organisations </w:t>
      </w:r>
      <w:r>
        <w:rPr>
          <w:spacing w:val="-4"/>
        </w:rPr>
        <w:t xml:space="preserve">and </w:t>
      </w:r>
      <w:r>
        <w:rPr>
          <w:spacing w:val="-5"/>
        </w:rPr>
        <w:t xml:space="preserve">associations, </w:t>
      </w:r>
      <w:r>
        <w:rPr>
          <w:spacing w:val="-4"/>
        </w:rPr>
        <w:t xml:space="preserve">their specified objects and </w:t>
      </w:r>
      <w:r>
        <w:rPr>
          <w:spacing w:val="-5"/>
        </w:rPr>
        <w:t>purposes.</w:t>
      </w:r>
    </w:p>
    <w:p w:rsidR="0043526F" w:rsidRDefault="0043526F" w:rsidP="0043526F">
      <w:pPr>
        <w:pStyle w:val="Text"/>
      </w:pPr>
      <w:r>
        <w:t>Individuals, organisations and associations frequently request statements of reasons under</w:t>
      </w:r>
      <w:r>
        <w:rPr>
          <w:rStyle w:val="nobreak"/>
        </w:rPr>
        <w:t xml:space="preserve"> s</w:t>
      </w:r>
      <w:r>
        <w:t>ections</w:t>
      </w:r>
      <w:r>
        <w:rPr>
          <w:rStyle w:val="nobreak"/>
        </w:rPr>
        <w:t xml:space="preserve"> </w:t>
      </w:r>
      <w:r>
        <w:t>487 and 488.</w:t>
      </w:r>
    </w:p>
    <w:p w:rsidR="0043526F" w:rsidRDefault="0043526F" w:rsidP="0043526F">
      <w:pPr>
        <w:pStyle w:val="Subhead2"/>
      </w:pPr>
      <w:r>
        <w:t>What are the timeframes for preparing statements of</w:t>
      </w:r>
      <w:r>
        <w:rPr>
          <w:rStyle w:val="nobreak"/>
        </w:rPr>
        <w:t xml:space="preserve"> </w:t>
      </w:r>
      <w:r>
        <w:t>reasons?</w:t>
      </w:r>
    </w:p>
    <w:p w:rsidR="0043526F" w:rsidRDefault="0043526F" w:rsidP="0043526F">
      <w:pPr>
        <w:pStyle w:val="Subhead3"/>
      </w:pPr>
      <w:r>
        <w:t>EPBC Act</w:t>
      </w:r>
    </w:p>
    <w:p w:rsidR="0043526F" w:rsidRDefault="0043526F" w:rsidP="0043526F">
      <w:pPr>
        <w:pStyle w:val="Text"/>
      </w:pPr>
      <w:r>
        <w:t>Statements</w:t>
      </w:r>
      <w:r>
        <w:rPr>
          <w:spacing w:val="-13"/>
        </w:rPr>
        <w:t xml:space="preserve"> </w:t>
      </w:r>
      <w:r>
        <w:t>of</w:t>
      </w:r>
      <w:r>
        <w:rPr>
          <w:spacing w:val="-13"/>
        </w:rPr>
        <w:t xml:space="preserve"> </w:t>
      </w:r>
      <w:r>
        <w:t>reasons</w:t>
      </w:r>
      <w:r>
        <w:rPr>
          <w:spacing w:val="-14"/>
        </w:rPr>
        <w:t xml:space="preserve"> </w:t>
      </w:r>
      <w:r>
        <w:t>must</w:t>
      </w:r>
      <w:r>
        <w:rPr>
          <w:spacing w:val="-13"/>
        </w:rPr>
        <w:t xml:space="preserve"> </w:t>
      </w:r>
      <w:r>
        <w:t>be</w:t>
      </w:r>
      <w:r>
        <w:rPr>
          <w:spacing w:val="-14"/>
        </w:rPr>
        <w:t xml:space="preserve"> </w:t>
      </w:r>
      <w:r>
        <w:t>prepared</w:t>
      </w:r>
      <w:r>
        <w:rPr>
          <w:spacing w:val="-14"/>
        </w:rPr>
        <w:t xml:space="preserve"> </w:t>
      </w:r>
      <w:r>
        <w:t>within</w:t>
      </w:r>
      <w:r>
        <w:rPr>
          <w:spacing w:val="-14"/>
        </w:rPr>
        <w:t xml:space="preserve"> </w:t>
      </w:r>
      <w:r>
        <w:t>the timeframes</w:t>
      </w:r>
      <w:r>
        <w:rPr>
          <w:spacing w:val="-9"/>
        </w:rPr>
        <w:t xml:space="preserve"> </w:t>
      </w:r>
      <w:r>
        <w:t>specified</w:t>
      </w:r>
      <w:r>
        <w:rPr>
          <w:spacing w:val="-9"/>
        </w:rPr>
        <w:t xml:space="preserve"> </w:t>
      </w:r>
      <w:r>
        <w:rPr>
          <w:spacing w:val="-3"/>
        </w:rPr>
        <w:t>by</w:t>
      </w:r>
      <w:r>
        <w:rPr>
          <w:spacing w:val="-9"/>
        </w:rPr>
        <w:t xml:space="preserve"> </w:t>
      </w:r>
      <w:r>
        <w:t>the</w:t>
      </w:r>
      <w:r>
        <w:rPr>
          <w:spacing w:val="-9"/>
        </w:rPr>
        <w:t xml:space="preserve"> </w:t>
      </w:r>
      <w:r>
        <w:rPr>
          <w:spacing w:val="-3"/>
        </w:rPr>
        <w:t>EPBC</w:t>
      </w:r>
      <w:r>
        <w:rPr>
          <w:spacing w:val="-9"/>
        </w:rPr>
        <w:t xml:space="preserve"> </w:t>
      </w:r>
      <w:r>
        <w:t>Act.</w:t>
      </w:r>
      <w:r>
        <w:rPr>
          <w:spacing w:val="-9"/>
        </w:rPr>
        <w:t xml:space="preserve"> </w:t>
      </w:r>
      <w:r>
        <w:rPr>
          <w:spacing w:val="-5"/>
        </w:rPr>
        <w:t>Table</w:t>
      </w:r>
      <w:r>
        <w:rPr>
          <w:spacing w:val="-9"/>
        </w:rPr>
        <w:t xml:space="preserve"> </w:t>
      </w:r>
      <w:r>
        <w:t>1</w:t>
      </w:r>
      <w:r>
        <w:rPr>
          <w:spacing w:val="-9"/>
        </w:rPr>
        <w:t xml:space="preserve"> </w:t>
      </w:r>
      <w:r>
        <w:t xml:space="preserve">sets out the </w:t>
      </w:r>
      <w:r>
        <w:rPr>
          <w:spacing w:val="-3"/>
        </w:rPr>
        <w:t>relevant</w:t>
      </w:r>
      <w:r>
        <w:rPr>
          <w:spacing w:val="-15"/>
        </w:rPr>
        <w:t xml:space="preserve"> </w:t>
      </w:r>
      <w:r>
        <w:t>timeframes.</w:t>
      </w:r>
    </w:p>
    <w:p w:rsidR="0043526F" w:rsidRDefault="0043526F" w:rsidP="0043526F">
      <w:pPr>
        <w:pStyle w:val="Subhead3"/>
      </w:pPr>
      <w:r>
        <w:t>AAT Act</w:t>
      </w:r>
    </w:p>
    <w:p w:rsidR="0043526F" w:rsidRDefault="0043526F" w:rsidP="0043526F">
      <w:pPr>
        <w:pStyle w:val="Text"/>
      </w:pPr>
      <w:r>
        <w:t xml:space="preserve">Decision-makers must provide statements of reasons requested under subsection 28(1) of the AAT Act as soon as practicable, and in any case within </w:t>
      </w:r>
      <w:r>
        <w:rPr>
          <w:rStyle w:val="TextBold"/>
        </w:rPr>
        <w:t>28 calendar days</w:t>
      </w:r>
      <w:r>
        <w:t xml:space="preserve"> of the receipt of a request from an applicant.</w:t>
      </w:r>
    </w:p>
    <w:p w:rsidR="0043526F" w:rsidRDefault="0043526F" w:rsidP="0043526F">
      <w:pPr>
        <w:pStyle w:val="Subhead3"/>
      </w:pPr>
      <w:r>
        <w:t>ADJR Act</w:t>
      </w:r>
    </w:p>
    <w:p w:rsidR="0043526F" w:rsidRDefault="0043526F" w:rsidP="0043526F">
      <w:pPr>
        <w:pStyle w:val="Text"/>
      </w:pPr>
      <w:r>
        <w:t>Decision-makers must provide statements of reasons requested under subsection 13(2) of the ADJR</w:t>
      </w:r>
      <w:r>
        <w:rPr>
          <w:rStyle w:val="nobreak"/>
        </w:rPr>
        <w:t xml:space="preserve"> </w:t>
      </w:r>
      <w:r>
        <w:t xml:space="preserve">Act as soon as practicable, and in any case within </w:t>
      </w:r>
      <w:r>
        <w:rPr>
          <w:rStyle w:val="TextBold"/>
        </w:rPr>
        <w:t>28 calendar days</w:t>
      </w:r>
      <w:r>
        <w:t xml:space="preserve"> of the receipt of a request from an applicant.</w:t>
      </w:r>
    </w:p>
    <w:p w:rsidR="0043526F" w:rsidRDefault="0043526F" w:rsidP="0043526F">
      <w:pPr>
        <w:pStyle w:val="Text"/>
      </w:pPr>
    </w:p>
    <w:p w:rsidR="0043526F" w:rsidRDefault="0043526F" w:rsidP="0043526F">
      <w:pPr>
        <w:pStyle w:val="Subhead1"/>
      </w:pPr>
      <w:r>
        <w:t xml:space="preserve">Statutory </w:t>
      </w:r>
      <w:r>
        <w:rPr>
          <w:spacing w:val="-8"/>
        </w:rPr>
        <w:t xml:space="preserve">basis for </w:t>
      </w:r>
      <w:r>
        <w:t xml:space="preserve">refusing to provide statements </w:t>
      </w:r>
      <w:r>
        <w:rPr>
          <w:spacing w:val="-5"/>
        </w:rPr>
        <w:t xml:space="preserve">of </w:t>
      </w:r>
      <w:r>
        <w:t>reasons</w:t>
      </w:r>
    </w:p>
    <w:p w:rsidR="0043526F" w:rsidRDefault="0043526F" w:rsidP="0043526F">
      <w:pPr>
        <w:pStyle w:val="Text"/>
        <w:rPr>
          <w:spacing w:val="-3"/>
        </w:rPr>
      </w:pPr>
      <w:r>
        <w:t xml:space="preserve">In limited circumstances, decision-makers </w:t>
      </w:r>
      <w:r>
        <w:rPr>
          <w:spacing w:val="-3"/>
        </w:rPr>
        <w:t xml:space="preserve">may </w:t>
      </w:r>
      <w:r>
        <w:t xml:space="preserve">refuse to prepare and provide statements of </w:t>
      </w:r>
      <w:r>
        <w:rPr>
          <w:spacing w:val="-3"/>
        </w:rPr>
        <w:t>reasons.</w:t>
      </w:r>
    </w:p>
    <w:p w:rsidR="0043526F" w:rsidRDefault="0043526F" w:rsidP="0043526F">
      <w:pPr>
        <w:pStyle w:val="Text"/>
        <w:rPr>
          <w:spacing w:val="-3"/>
        </w:rPr>
      </w:pPr>
      <w:r>
        <w:t xml:space="preserve">Under subsection </w:t>
      </w:r>
      <w:r>
        <w:rPr>
          <w:spacing w:val="-7"/>
        </w:rPr>
        <w:t xml:space="preserve">28(1) </w:t>
      </w:r>
      <w:r>
        <w:t xml:space="preserve">of the </w:t>
      </w:r>
      <w:r>
        <w:rPr>
          <w:spacing w:val="-3"/>
        </w:rPr>
        <w:t xml:space="preserve">AAT </w:t>
      </w:r>
      <w:r>
        <w:t xml:space="preserve">Act, and subsection </w:t>
      </w:r>
      <w:r>
        <w:rPr>
          <w:spacing w:val="-6"/>
        </w:rPr>
        <w:t xml:space="preserve">13(5) </w:t>
      </w:r>
      <w:r>
        <w:t xml:space="preserve">of the ADJR Act, a decision-maker </w:t>
      </w:r>
      <w:r>
        <w:rPr>
          <w:spacing w:val="-3"/>
        </w:rPr>
        <w:t xml:space="preserve">may </w:t>
      </w:r>
      <w:r>
        <w:t xml:space="preserve">refuse to provide a </w:t>
      </w:r>
      <w:r>
        <w:rPr>
          <w:spacing w:val="-3"/>
        </w:rPr>
        <w:t xml:space="preserve">statement </w:t>
      </w:r>
      <w:r>
        <w:t xml:space="preserve">if an applicant does not </w:t>
      </w:r>
      <w:r>
        <w:rPr>
          <w:spacing w:val="-3"/>
        </w:rPr>
        <w:t xml:space="preserve">make </w:t>
      </w:r>
      <w:r>
        <w:t xml:space="preserve">a request within 28 </w:t>
      </w:r>
      <w:r>
        <w:rPr>
          <w:spacing w:val="-3"/>
        </w:rPr>
        <w:t xml:space="preserve">days </w:t>
      </w:r>
      <w:r>
        <w:t xml:space="preserve">of receiving the decision, or within a reasonable time after the decision </w:t>
      </w:r>
      <w:r>
        <w:rPr>
          <w:spacing w:val="-3"/>
        </w:rPr>
        <w:t xml:space="preserve">was </w:t>
      </w:r>
      <w:r>
        <w:t xml:space="preserve">made (if the applicant did not receive notice of the </w:t>
      </w:r>
      <w:r>
        <w:rPr>
          <w:spacing w:val="-3"/>
        </w:rPr>
        <w:t>decision).</w:t>
      </w:r>
    </w:p>
    <w:p w:rsidR="0043526F" w:rsidRDefault="0043526F" w:rsidP="0043526F">
      <w:pPr>
        <w:pStyle w:val="Text"/>
      </w:pPr>
      <w:r>
        <w:t xml:space="preserve">Under section </w:t>
      </w:r>
      <w:r>
        <w:rPr>
          <w:spacing w:val="-5"/>
        </w:rPr>
        <w:t xml:space="preserve">13A </w:t>
      </w:r>
      <w:r>
        <w:t xml:space="preserve">of the ADJR Act, a decision </w:t>
      </w:r>
      <w:r>
        <w:rPr>
          <w:spacing w:val="-3"/>
        </w:rPr>
        <w:t xml:space="preserve">maker may </w:t>
      </w:r>
      <w:r>
        <w:t xml:space="preserve">not </w:t>
      </w:r>
      <w:r>
        <w:rPr>
          <w:spacing w:val="-3"/>
        </w:rPr>
        <w:t xml:space="preserve">have </w:t>
      </w:r>
      <w:r>
        <w:t xml:space="preserve">to provide a </w:t>
      </w:r>
      <w:r>
        <w:rPr>
          <w:spacing w:val="-3"/>
        </w:rPr>
        <w:t xml:space="preserve">statement </w:t>
      </w:r>
      <w:r>
        <w:t xml:space="preserve">if it </w:t>
      </w:r>
      <w:proofErr w:type="gramStart"/>
      <w:r>
        <w:t>contains</w:t>
      </w:r>
      <w:r>
        <w:rPr>
          <w:spacing w:val="-16"/>
        </w:rPr>
        <w:t xml:space="preserve">  </w:t>
      </w:r>
      <w:r>
        <w:t>certain</w:t>
      </w:r>
      <w:proofErr w:type="gramEnd"/>
      <w:r>
        <w:rPr>
          <w:spacing w:val="-16"/>
        </w:rPr>
        <w:t xml:space="preserve"> </w:t>
      </w:r>
      <w:r>
        <w:t>confidential</w:t>
      </w:r>
      <w:r>
        <w:rPr>
          <w:spacing w:val="-16"/>
        </w:rPr>
        <w:t xml:space="preserve"> </w:t>
      </w:r>
      <w:r>
        <w:t>information</w:t>
      </w:r>
      <w:r>
        <w:rPr>
          <w:spacing w:val="-16"/>
        </w:rPr>
        <w:t xml:space="preserve"> </w:t>
      </w:r>
      <w:r>
        <w:t>discussed</w:t>
      </w:r>
      <w:r>
        <w:rPr>
          <w:spacing w:val="-16"/>
        </w:rPr>
        <w:t xml:space="preserve"> </w:t>
      </w:r>
      <w:r>
        <w:t xml:space="preserve">at 4.2, and the </w:t>
      </w:r>
      <w:r>
        <w:rPr>
          <w:spacing w:val="-3"/>
        </w:rPr>
        <w:t xml:space="preserve">statement </w:t>
      </w:r>
      <w:r>
        <w:t>would be false or misleading without that</w:t>
      </w:r>
      <w:r>
        <w:rPr>
          <w:spacing w:val="-10"/>
        </w:rPr>
        <w:t xml:space="preserve"> </w:t>
      </w:r>
      <w:r>
        <w:t>information.</w:t>
      </w:r>
    </w:p>
    <w:p w:rsidR="0043526F" w:rsidRDefault="0043526F" w:rsidP="0043526F">
      <w:pPr>
        <w:pStyle w:val="Text"/>
      </w:pPr>
      <w:r>
        <w:t xml:space="preserve">Under subsection 28(2) of the AAT Act, a decision-maker </w:t>
      </w:r>
      <w:r>
        <w:rPr>
          <w:spacing w:val="-6"/>
        </w:rPr>
        <w:t xml:space="preserve">may, </w:t>
      </w:r>
      <w:r>
        <w:t xml:space="preserve">in rare circumstances, refuse to provide a </w:t>
      </w:r>
      <w:r>
        <w:rPr>
          <w:spacing w:val="-3"/>
        </w:rPr>
        <w:t xml:space="preserve">statement </w:t>
      </w:r>
      <w:r>
        <w:t xml:space="preserve">of reasons on the </w:t>
      </w:r>
      <w:r>
        <w:rPr>
          <w:spacing w:val="-3"/>
        </w:rPr>
        <w:t xml:space="preserve">grounds </w:t>
      </w:r>
      <w:r>
        <w:t xml:space="preserve">of public </w:t>
      </w:r>
      <w:r>
        <w:rPr>
          <w:spacing w:val="-3"/>
        </w:rPr>
        <w:t xml:space="preserve">interest immunity. Public interest </w:t>
      </w:r>
      <w:r>
        <w:t>immunity may be invoked when the Attorney-General certifies that the disclosure of any matter would be contrary to the public interest by:</w:t>
      </w:r>
    </w:p>
    <w:p w:rsidR="0043526F" w:rsidRDefault="0043526F" w:rsidP="0043526F">
      <w:pPr>
        <w:pStyle w:val="Bullets1"/>
        <w:rPr>
          <w:spacing w:val="-3"/>
        </w:rPr>
      </w:pPr>
      <w:r>
        <w:t xml:space="preserve">prejudicing </w:t>
      </w:r>
      <w:r>
        <w:rPr>
          <w:spacing w:val="-4"/>
        </w:rPr>
        <w:t xml:space="preserve">Australia’s </w:t>
      </w:r>
      <w:r>
        <w:rPr>
          <w:spacing w:val="-3"/>
        </w:rPr>
        <w:t xml:space="preserve">security, defence, </w:t>
      </w:r>
      <w:r>
        <w:t>or international</w:t>
      </w:r>
      <w:r>
        <w:rPr>
          <w:spacing w:val="-5"/>
        </w:rPr>
        <w:t xml:space="preserve"> </w:t>
      </w:r>
      <w:r>
        <w:rPr>
          <w:spacing w:val="-3"/>
        </w:rPr>
        <w:t>relations;</w:t>
      </w:r>
    </w:p>
    <w:p w:rsidR="0043526F" w:rsidRDefault="0043526F" w:rsidP="0043526F">
      <w:pPr>
        <w:pStyle w:val="Bullets1"/>
      </w:pPr>
      <w:r>
        <w:t xml:space="preserve">disclosing Cabinet </w:t>
      </w:r>
      <w:r>
        <w:rPr>
          <w:spacing w:val="-3"/>
        </w:rPr>
        <w:t>deliberations;</w:t>
      </w:r>
      <w:r>
        <w:rPr>
          <w:spacing w:val="-14"/>
        </w:rPr>
        <w:t xml:space="preserve"> </w:t>
      </w:r>
      <w:r>
        <w:t>or</w:t>
      </w:r>
    </w:p>
    <w:p w:rsidR="0043526F" w:rsidRDefault="0043526F" w:rsidP="0043526F">
      <w:pPr>
        <w:pStyle w:val="Bullets1"/>
      </w:pPr>
      <w:proofErr w:type="gramStart"/>
      <w:r>
        <w:t>prejudicing</w:t>
      </w:r>
      <w:proofErr w:type="gramEnd"/>
      <w:r>
        <w:rPr>
          <w:spacing w:val="-13"/>
        </w:rPr>
        <w:t xml:space="preserve"> </w:t>
      </w:r>
      <w:r>
        <w:t>a</w:t>
      </w:r>
      <w:r>
        <w:rPr>
          <w:spacing w:val="-13"/>
        </w:rPr>
        <w:t xml:space="preserve"> </w:t>
      </w:r>
      <w:r>
        <w:t>claim</w:t>
      </w:r>
      <w:r>
        <w:rPr>
          <w:spacing w:val="-12"/>
        </w:rPr>
        <w:t xml:space="preserve"> </w:t>
      </w:r>
      <w:r>
        <w:rPr>
          <w:spacing w:val="-3"/>
        </w:rPr>
        <w:t>by</w:t>
      </w:r>
      <w:r>
        <w:rPr>
          <w:spacing w:val="-12"/>
        </w:rPr>
        <w:t xml:space="preserve"> </w:t>
      </w:r>
      <w:r>
        <w:t>the</w:t>
      </w:r>
      <w:r>
        <w:rPr>
          <w:spacing w:val="-13"/>
        </w:rPr>
        <w:t xml:space="preserve"> </w:t>
      </w:r>
      <w:r>
        <w:t>Commonwealth</w:t>
      </w:r>
      <w:r>
        <w:rPr>
          <w:spacing w:val="-13"/>
        </w:rPr>
        <w:t xml:space="preserve"> </w:t>
      </w:r>
      <w:r>
        <w:t>in</w:t>
      </w:r>
      <w:r>
        <w:rPr>
          <w:spacing w:val="-13"/>
        </w:rPr>
        <w:t xml:space="preserve"> </w:t>
      </w:r>
      <w:r>
        <w:t>a judicial</w:t>
      </w:r>
      <w:r>
        <w:rPr>
          <w:spacing w:val="-5"/>
        </w:rPr>
        <w:t xml:space="preserve"> </w:t>
      </w:r>
      <w:r>
        <w:t>proceeding.</w:t>
      </w:r>
    </w:p>
    <w:p w:rsidR="0043526F" w:rsidRDefault="0043526F" w:rsidP="0043526F">
      <w:pPr>
        <w:pStyle w:val="Text"/>
      </w:pPr>
      <w:r>
        <w:t xml:space="preserve">A decision-maker’s refusal to provide a </w:t>
      </w:r>
      <w:r>
        <w:rPr>
          <w:spacing w:val="-3"/>
        </w:rPr>
        <w:t xml:space="preserve">statement </w:t>
      </w:r>
      <w:r>
        <w:t xml:space="preserve">of reasons </w:t>
      </w:r>
      <w:r>
        <w:rPr>
          <w:spacing w:val="-3"/>
        </w:rPr>
        <w:t xml:space="preserve">may </w:t>
      </w:r>
      <w:r>
        <w:t xml:space="preserve">be challenged in the </w:t>
      </w:r>
      <w:r>
        <w:rPr>
          <w:spacing w:val="-3"/>
        </w:rPr>
        <w:t xml:space="preserve">Federal </w:t>
      </w:r>
      <w:r>
        <w:t>Court.</w:t>
      </w:r>
    </w:p>
    <w:p w:rsidR="0043526F" w:rsidRDefault="0043526F" w:rsidP="0043526F">
      <w:pPr>
        <w:pStyle w:val="Subhead1"/>
      </w:pPr>
      <w:r>
        <w:t>The form and content</w:t>
      </w:r>
      <w:r>
        <w:rPr>
          <w:rStyle w:val="nobreak"/>
        </w:rPr>
        <w:t xml:space="preserve"> </w:t>
      </w:r>
      <w:r>
        <w:t>of a statement</w:t>
      </w:r>
      <w:r>
        <w:rPr>
          <w:rStyle w:val="nobreak"/>
        </w:rPr>
        <w:t xml:space="preserve"> </w:t>
      </w:r>
      <w:r>
        <w:t>of reasons</w:t>
      </w:r>
    </w:p>
    <w:p w:rsidR="0043526F" w:rsidRDefault="0043526F" w:rsidP="0043526F">
      <w:pPr>
        <w:pStyle w:val="Subhead2"/>
      </w:pPr>
      <w:r>
        <w:t>Overview</w:t>
      </w:r>
    </w:p>
    <w:p w:rsidR="0043526F" w:rsidRDefault="0043526F" w:rsidP="0043526F">
      <w:pPr>
        <w:pStyle w:val="Text"/>
      </w:pPr>
      <w:r>
        <w:t xml:space="preserve">Under section 25D of the </w:t>
      </w:r>
      <w:r>
        <w:rPr>
          <w:rStyle w:val="TextItalic"/>
        </w:rPr>
        <w:t>Acts Interpretation Act 1901</w:t>
      </w:r>
      <w:r>
        <w:t>, written reasons for decisions must also set out:</w:t>
      </w:r>
    </w:p>
    <w:p w:rsidR="0043526F" w:rsidRDefault="0043526F" w:rsidP="0043526F">
      <w:pPr>
        <w:pStyle w:val="Bullets1"/>
        <w:rPr>
          <w:spacing w:val="-3"/>
        </w:rPr>
      </w:pPr>
      <w:r>
        <w:t>the</w:t>
      </w:r>
      <w:r>
        <w:rPr>
          <w:spacing w:val="-13"/>
        </w:rPr>
        <w:t xml:space="preserve"> </w:t>
      </w:r>
      <w:r>
        <w:t>evidence</w:t>
      </w:r>
      <w:r>
        <w:rPr>
          <w:spacing w:val="-13"/>
        </w:rPr>
        <w:t xml:space="preserve"> </w:t>
      </w:r>
      <w:r>
        <w:t>or</w:t>
      </w:r>
      <w:r>
        <w:rPr>
          <w:spacing w:val="-12"/>
        </w:rPr>
        <w:t xml:space="preserve"> </w:t>
      </w:r>
      <w:r>
        <w:t>other</w:t>
      </w:r>
      <w:r>
        <w:rPr>
          <w:spacing w:val="-12"/>
        </w:rPr>
        <w:t xml:space="preserve"> </w:t>
      </w:r>
      <w:r>
        <w:t>material</w:t>
      </w:r>
      <w:r>
        <w:rPr>
          <w:spacing w:val="-13"/>
        </w:rPr>
        <w:t xml:space="preserve"> </w:t>
      </w:r>
      <w:r>
        <w:t>on</w:t>
      </w:r>
      <w:r>
        <w:rPr>
          <w:spacing w:val="-13"/>
        </w:rPr>
        <w:t xml:space="preserve"> </w:t>
      </w:r>
      <w:r>
        <w:t>which</w:t>
      </w:r>
      <w:r>
        <w:rPr>
          <w:spacing w:val="-13"/>
        </w:rPr>
        <w:t xml:space="preserve"> </w:t>
      </w:r>
      <w:r>
        <w:t>those decisions were</w:t>
      </w:r>
      <w:r>
        <w:rPr>
          <w:spacing w:val="-11"/>
        </w:rPr>
        <w:t xml:space="preserve"> </w:t>
      </w:r>
      <w:r>
        <w:rPr>
          <w:spacing w:val="-3"/>
        </w:rPr>
        <w:t>based;</w:t>
      </w:r>
    </w:p>
    <w:p w:rsidR="0043526F" w:rsidRDefault="0043526F" w:rsidP="0043526F">
      <w:pPr>
        <w:pStyle w:val="Bullets1"/>
      </w:pPr>
      <w:proofErr w:type="gramStart"/>
      <w:r>
        <w:t>the</w:t>
      </w:r>
      <w:proofErr w:type="gramEnd"/>
      <w:r>
        <w:t xml:space="preserve"> findings on material questions of</w:t>
      </w:r>
      <w:r>
        <w:rPr>
          <w:spacing w:val="-39"/>
        </w:rPr>
        <w:t xml:space="preserve"> </w:t>
      </w:r>
      <w:r>
        <w:t>fact.</w:t>
      </w:r>
    </w:p>
    <w:p w:rsidR="0043526F" w:rsidRDefault="0043526F" w:rsidP="0043526F">
      <w:pPr>
        <w:pStyle w:val="Bullets1"/>
        <w:rPr>
          <w:spacing w:val="-3"/>
        </w:rPr>
      </w:pPr>
      <w:r>
        <w:t>(Section</w:t>
      </w:r>
      <w:r>
        <w:rPr>
          <w:spacing w:val="-9"/>
        </w:rPr>
        <w:t xml:space="preserve"> </w:t>
      </w:r>
      <w:r>
        <w:rPr>
          <w:spacing w:val="-7"/>
        </w:rPr>
        <w:t>28(1)</w:t>
      </w:r>
      <w:r>
        <w:rPr>
          <w:spacing w:val="-8"/>
        </w:rPr>
        <w:t xml:space="preserve"> </w:t>
      </w:r>
      <w:r>
        <w:t>of</w:t>
      </w:r>
      <w:r>
        <w:rPr>
          <w:spacing w:val="-8"/>
        </w:rPr>
        <w:t xml:space="preserve"> </w:t>
      </w:r>
      <w:r>
        <w:t>the</w:t>
      </w:r>
      <w:r>
        <w:rPr>
          <w:spacing w:val="-9"/>
        </w:rPr>
        <w:t xml:space="preserve"> </w:t>
      </w:r>
      <w:r>
        <w:rPr>
          <w:spacing w:val="-3"/>
        </w:rPr>
        <w:t>AAT</w:t>
      </w:r>
      <w:r>
        <w:rPr>
          <w:spacing w:val="-8"/>
        </w:rPr>
        <w:t xml:space="preserve"> </w:t>
      </w:r>
      <w:r>
        <w:t>Act</w:t>
      </w:r>
      <w:r>
        <w:rPr>
          <w:spacing w:val="-8"/>
        </w:rPr>
        <w:t xml:space="preserve"> </w:t>
      </w:r>
      <w:r>
        <w:t>and</w:t>
      </w:r>
      <w:r>
        <w:rPr>
          <w:spacing w:val="-9"/>
        </w:rPr>
        <w:t xml:space="preserve"> </w:t>
      </w:r>
      <w:r>
        <w:t>section</w:t>
      </w:r>
      <w:r>
        <w:rPr>
          <w:spacing w:val="-9"/>
        </w:rPr>
        <w:t xml:space="preserve"> 13(1)</w:t>
      </w:r>
      <w:r>
        <w:rPr>
          <w:spacing w:val="-8"/>
        </w:rPr>
        <w:t xml:space="preserve"> </w:t>
      </w:r>
      <w:r>
        <w:t>of the ADJR Act impose a similar</w:t>
      </w:r>
      <w:r>
        <w:rPr>
          <w:spacing w:val="-37"/>
        </w:rPr>
        <w:t xml:space="preserve"> </w:t>
      </w:r>
      <w:r>
        <w:rPr>
          <w:spacing w:val="-3"/>
        </w:rPr>
        <w:t>requirement)</w:t>
      </w:r>
    </w:p>
    <w:p w:rsidR="0043526F" w:rsidRDefault="0043526F" w:rsidP="0043526F">
      <w:pPr>
        <w:pStyle w:val="Text"/>
        <w:rPr>
          <w:spacing w:val="-5"/>
        </w:rPr>
      </w:pPr>
      <w:r>
        <w:rPr>
          <w:spacing w:val="-5"/>
        </w:rPr>
        <w:t xml:space="preserve">For </w:t>
      </w:r>
      <w:r>
        <w:rPr>
          <w:spacing w:val="-6"/>
        </w:rPr>
        <w:t xml:space="preserve">example, </w:t>
      </w:r>
      <w:r>
        <w:t xml:space="preserve">a </w:t>
      </w:r>
      <w:r>
        <w:rPr>
          <w:spacing w:val="-4"/>
        </w:rPr>
        <w:t xml:space="preserve">decision </w:t>
      </w:r>
      <w:r>
        <w:rPr>
          <w:spacing w:val="-5"/>
        </w:rPr>
        <w:t xml:space="preserve">may </w:t>
      </w:r>
      <w:r>
        <w:rPr>
          <w:spacing w:val="-6"/>
        </w:rPr>
        <w:t xml:space="preserve">have </w:t>
      </w:r>
      <w:r>
        <w:rPr>
          <w:spacing w:val="-4"/>
        </w:rPr>
        <w:t xml:space="preserve">been made that </w:t>
      </w:r>
      <w:r>
        <w:rPr>
          <w:spacing w:val="-3"/>
        </w:rPr>
        <w:t xml:space="preserve">an </w:t>
      </w:r>
      <w:r>
        <w:rPr>
          <w:spacing w:val="-4"/>
        </w:rPr>
        <w:t xml:space="preserve">action </w:t>
      </w:r>
      <w:r>
        <w:rPr>
          <w:spacing w:val="-3"/>
        </w:rPr>
        <w:t xml:space="preserve">is </w:t>
      </w:r>
      <w:r>
        <w:t xml:space="preserve">a </w:t>
      </w:r>
      <w:r>
        <w:rPr>
          <w:spacing w:val="-5"/>
        </w:rPr>
        <w:t xml:space="preserve">controlled </w:t>
      </w:r>
      <w:r>
        <w:rPr>
          <w:spacing w:val="-4"/>
        </w:rPr>
        <w:t xml:space="preserve">action </w:t>
      </w:r>
      <w:r>
        <w:rPr>
          <w:spacing w:val="-5"/>
        </w:rPr>
        <w:t xml:space="preserve">under </w:t>
      </w:r>
      <w:r>
        <w:rPr>
          <w:spacing w:val="-4"/>
        </w:rPr>
        <w:t xml:space="preserve">section </w:t>
      </w:r>
      <w:r>
        <w:rPr>
          <w:spacing w:val="-5"/>
        </w:rPr>
        <w:t xml:space="preserve">75 </w:t>
      </w:r>
      <w:r>
        <w:rPr>
          <w:spacing w:val="-3"/>
        </w:rPr>
        <w:t xml:space="preserve">of the </w:t>
      </w:r>
      <w:r>
        <w:rPr>
          <w:spacing w:val="-5"/>
        </w:rPr>
        <w:t xml:space="preserve">EPBC </w:t>
      </w:r>
      <w:r>
        <w:rPr>
          <w:spacing w:val="-3"/>
        </w:rPr>
        <w:t xml:space="preserve">Act. The </w:t>
      </w:r>
      <w:r>
        <w:rPr>
          <w:spacing w:val="-5"/>
        </w:rPr>
        <w:t xml:space="preserve">statement </w:t>
      </w:r>
      <w:r>
        <w:rPr>
          <w:spacing w:val="-3"/>
        </w:rPr>
        <w:t xml:space="preserve">of </w:t>
      </w:r>
      <w:r>
        <w:rPr>
          <w:spacing w:val="-5"/>
        </w:rPr>
        <w:t xml:space="preserve">reasons would </w:t>
      </w:r>
      <w:r>
        <w:rPr>
          <w:spacing w:val="-4"/>
        </w:rPr>
        <w:t xml:space="preserve">cite </w:t>
      </w:r>
      <w:r>
        <w:rPr>
          <w:spacing w:val="-3"/>
        </w:rPr>
        <w:t xml:space="preserve">the </w:t>
      </w:r>
      <w:r>
        <w:rPr>
          <w:spacing w:val="-5"/>
        </w:rPr>
        <w:t xml:space="preserve">evidence </w:t>
      </w:r>
      <w:r>
        <w:rPr>
          <w:spacing w:val="-3"/>
        </w:rPr>
        <w:t xml:space="preserve">on </w:t>
      </w:r>
      <w:r>
        <w:rPr>
          <w:spacing w:val="-4"/>
        </w:rPr>
        <w:t xml:space="preserve">which this decision </w:t>
      </w:r>
      <w:r>
        <w:rPr>
          <w:spacing w:val="-5"/>
        </w:rPr>
        <w:t xml:space="preserve">was based including </w:t>
      </w:r>
      <w:r>
        <w:rPr>
          <w:spacing w:val="-4"/>
        </w:rPr>
        <w:t xml:space="preserve">reports, </w:t>
      </w:r>
      <w:r>
        <w:rPr>
          <w:spacing w:val="-5"/>
        </w:rPr>
        <w:t xml:space="preserve">documents, referral information, </w:t>
      </w:r>
      <w:r>
        <w:rPr>
          <w:spacing w:val="-4"/>
        </w:rPr>
        <w:t xml:space="preserve">and briefing </w:t>
      </w:r>
      <w:r>
        <w:rPr>
          <w:spacing w:val="-3"/>
        </w:rPr>
        <w:t xml:space="preserve">to the </w:t>
      </w:r>
      <w:r>
        <w:rPr>
          <w:spacing w:val="-6"/>
        </w:rPr>
        <w:t xml:space="preserve">Minister. </w:t>
      </w:r>
      <w:r>
        <w:t xml:space="preserve">A </w:t>
      </w:r>
      <w:r>
        <w:rPr>
          <w:spacing w:val="-5"/>
        </w:rPr>
        <w:t xml:space="preserve">material </w:t>
      </w:r>
      <w:r>
        <w:rPr>
          <w:spacing w:val="-4"/>
        </w:rPr>
        <w:t xml:space="preserve">finding </w:t>
      </w:r>
      <w:r>
        <w:rPr>
          <w:spacing w:val="-3"/>
        </w:rPr>
        <w:t xml:space="preserve">of </w:t>
      </w:r>
      <w:r>
        <w:rPr>
          <w:spacing w:val="-4"/>
        </w:rPr>
        <w:t xml:space="preserve">fact </w:t>
      </w:r>
      <w:r>
        <w:rPr>
          <w:spacing w:val="-5"/>
        </w:rPr>
        <w:t xml:space="preserve">might, </w:t>
      </w:r>
      <w:r>
        <w:rPr>
          <w:spacing w:val="-3"/>
        </w:rPr>
        <w:t xml:space="preserve">for </w:t>
      </w:r>
      <w:r>
        <w:rPr>
          <w:spacing w:val="-6"/>
        </w:rPr>
        <w:t xml:space="preserve">example, </w:t>
      </w:r>
      <w:r>
        <w:rPr>
          <w:spacing w:val="-5"/>
        </w:rPr>
        <w:t xml:space="preserve">include </w:t>
      </w:r>
      <w:r>
        <w:rPr>
          <w:spacing w:val="-3"/>
        </w:rPr>
        <w:t xml:space="preserve">the </w:t>
      </w:r>
      <w:r>
        <w:rPr>
          <w:spacing w:val="-4"/>
        </w:rPr>
        <w:t xml:space="preserve">finding that </w:t>
      </w:r>
      <w:r>
        <w:rPr>
          <w:spacing w:val="-3"/>
        </w:rPr>
        <w:t xml:space="preserve">the </w:t>
      </w:r>
      <w:r>
        <w:rPr>
          <w:spacing w:val="-5"/>
        </w:rPr>
        <w:t xml:space="preserve">proposed </w:t>
      </w:r>
      <w:r>
        <w:rPr>
          <w:spacing w:val="-4"/>
        </w:rPr>
        <w:t xml:space="preserve">action will </w:t>
      </w:r>
      <w:r>
        <w:rPr>
          <w:spacing w:val="-6"/>
        </w:rPr>
        <w:t xml:space="preserve">have </w:t>
      </w:r>
      <w:r>
        <w:rPr>
          <w:spacing w:val="-3"/>
        </w:rPr>
        <w:t xml:space="preserve">an </w:t>
      </w:r>
      <w:r>
        <w:rPr>
          <w:spacing w:val="-4"/>
        </w:rPr>
        <w:t xml:space="preserve">impact </w:t>
      </w:r>
      <w:r>
        <w:rPr>
          <w:spacing w:val="-3"/>
        </w:rPr>
        <w:t xml:space="preserve">on ‘X’ </w:t>
      </w:r>
      <w:r>
        <w:rPr>
          <w:spacing w:val="-4"/>
        </w:rPr>
        <w:t xml:space="preserve">identified matters </w:t>
      </w:r>
      <w:r>
        <w:rPr>
          <w:spacing w:val="-3"/>
        </w:rPr>
        <w:t>of</w:t>
      </w:r>
      <w:r>
        <w:rPr>
          <w:spacing w:val="-41"/>
        </w:rPr>
        <w:t xml:space="preserve"> </w:t>
      </w:r>
      <w:r>
        <w:rPr>
          <w:spacing w:val="-5"/>
        </w:rPr>
        <w:t xml:space="preserve">national environmental </w:t>
      </w:r>
      <w:r>
        <w:rPr>
          <w:spacing w:val="-4"/>
        </w:rPr>
        <w:t xml:space="preserve">significance </w:t>
      </w:r>
      <w:r>
        <w:rPr>
          <w:spacing w:val="-6"/>
        </w:rPr>
        <w:t xml:space="preserve">(MNES), </w:t>
      </w:r>
      <w:r>
        <w:rPr>
          <w:spacing w:val="-4"/>
        </w:rPr>
        <w:t xml:space="preserve">and that this impact </w:t>
      </w:r>
      <w:r>
        <w:rPr>
          <w:spacing w:val="-3"/>
        </w:rPr>
        <w:t xml:space="preserve">is </w:t>
      </w:r>
      <w:r>
        <w:rPr>
          <w:spacing w:val="-6"/>
        </w:rPr>
        <w:t xml:space="preserve">likely </w:t>
      </w:r>
      <w:r>
        <w:rPr>
          <w:spacing w:val="-3"/>
        </w:rPr>
        <w:t xml:space="preserve">to be </w:t>
      </w:r>
      <w:r>
        <w:rPr>
          <w:spacing w:val="-4"/>
        </w:rPr>
        <w:t xml:space="preserve">significant. </w:t>
      </w:r>
      <w:r>
        <w:rPr>
          <w:spacing w:val="-3"/>
        </w:rPr>
        <w:t xml:space="preserve">The </w:t>
      </w:r>
      <w:r>
        <w:rPr>
          <w:spacing w:val="-5"/>
        </w:rPr>
        <w:t xml:space="preserve">reason </w:t>
      </w:r>
      <w:r>
        <w:rPr>
          <w:spacing w:val="-3"/>
        </w:rPr>
        <w:t xml:space="preserve">for the </w:t>
      </w:r>
      <w:r>
        <w:rPr>
          <w:spacing w:val="-4"/>
        </w:rPr>
        <w:t xml:space="preserve">decision </w:t>
      </w:r>
      <w:r>
        <w:rPr>
          <w:spacing w:val="-5"/>
        </w:rPr>
        <w:t xml:space="preserve">would </w:t>
      </w:r>
      <w:r>
        <w:rPr>
          <w:spacing w:val="-3"/>
        </w:rPr>
        <w:t xml:space="preserve">be </w:t>
      </w:r>
      <w:r>
        <w:rPr>
          <w:spacing w:val="-4"/>
        </w:rPr>
        <w:t xml:space="preserve">that there is, </w:t>
      </w:r>
      <w:r>
        <w:t xml:space="preserve">or </w:t>
      </w:r>
      <w:r>
        <w:rPr>
          <w:spacing w:val="-3"/>
        </w:rPr>
        <w:t xml:space="preserve">is </w:t>
      </w:r>
      <w:r>
        <w:rPr>
          <w:spacing w:val="-6"/>
        </w:rPr>
        <w:t xml:space="preserve">likely </w:t>
      </w:r>
      <w:r>
        <w:rPr>
          <w:spacing w:val="-3"/>
        </w:rPr>
        <w:t xml:space="preserve">to </w:t>
      </w:r>
      <w:r>
        <w:rPr>
          <w:spacing w:val="-5"/>
        </w:rPr>
        <w:t xml:space="preserve">be, </w:t>
      </w:r>
      <w:r>
        <w:t xml:space="preserve">a </w:t>
      </w:r>
      <w:r>
        <w:rPr>
          <w:spacing w:val="-4"/>
        </w:rPr>
        <w:t xml:space="preserve">significant impact </w:t>
      </w:r>
      <w:r>
        <w:rPr>
          <w:spacing w:val="-3"/>
        </w:rPr>
        <w:t>on</w:t>
      </w:r>
      <w:r>
        <w:rPr>
          <w:spacing w:val="-22"/>
        </w:rPr>
        <w:t xml:space="preserve"> </w:t>
      </w:r>
      <w:r>
        <w:rPr>
          <w:spacing w:val="-5"/>
        </w:rPr>
        <w:t>MNES.</w:t>
      </w:r>
    </w:p>
    <w:p w:rsidR="0043526F" w:rsidRDefault="0043526F" w:rsidP="0043526F">
      <w:pPr>
        <w:pStyle w:val="Text"/>
      </w:pPr>
      <w:r>
        <w:t xml:space="preserve">If a </w:t>
      </w:r>
      <w:r>
        <w:rPr>
          <w:spacing w:val="-3"/>
        </w:rPr>
        <w:t xml:space="preserve">statement </w:t>
      </w:r>
      <w:r>
        <w:t xml:space="preserve">of reasons does not address the material facts, and follow a logical sequence to demonstrate the </w:t>
      </w:r>
      <w:r>
        <w:rPr>
          <w:spacing w:val="-2"/>
        </w:rPr>
        <w:t xml:space="preserve">reasoning </w:t>
      </w:r>
      <w:r>
        <w:t xml:space="preserve">behind the </w:t>
      </w:r>
      <w:r>
        <w:rPr>
          <w:spacing w:val="-3"/>
        </w:rPr>
        <w:t xml:space="preserve">ultimate </w:t>
      </w:r>
      <w:r>
        <w:t xml:space="preserve">decision, then the </w:t>
      </w:r>
      <w:r>
        <w:rPr>
          <w:spacing w:val="-3"/>
        </w:rPr>
        <w:t xml:space="preserve">AAT </w:t>
      </w:r>
      <w:r>
        <w:t xml:space="preserve">or the </w:t>
      </w:r>
      <w:r>
        <w:rPr>
          <w:spacing w:val="-3"/>
        </w:rPr>
        <w:t xml:space="preserve">Federal </w:t>
      </w:r>
      <w:r>
        <w:t xml:space="preserve">Court </w:t>
      </w:r>
      <w:r>
        <w:rPr>
          <w:spacing w:val="-3"/>
        </w:rPr>
        <w:t xml:space="preserve">may </w:t>
      </w:r>
      <w:r>
        <w:t xml:space="preserve">require a more complete </w:t>
      </w:r>
      <w:r>
        <w:rPr>
          <w:spacing w:val="-3"/>
        </w:rPr>
        <w:t xml:space="preserve">statement </w:t>
      </w:r>
      <w:r>
        <w:t xml:space="preserve">to be </w:t>
      </w:r>
      <w:r>
        <w:rPr>
          <w:spacing w:val="-3"/>
        </w:rPr>
        <w:t xml:space="preserve">provided. </w:t>
      </w:r>
      <w:r>
        <w:t>Statements</w:t>
      </w:r>
      <w:r>
        <w:rPr>
          <w:spacing w:val="-11"/>
        </w:rPr>
        <w:t xml:space="preserve"> </w:t>
      </w:r>
      <w:r>
        <w:t>of</w:t>
      </w:r>
      <w:r>
        <w:rPr>
          <w:spacing w:val="-11"/>
        </w:rPr>
        <w:t xml:space="preserve"> </w:t>
      </w:r>
      <w:r>
        <w:t>reasons</w:t>
      </w:r>
      <w:r>
        <w:rPr>
          <w:spacing w:val="-12"/>
        </w:rPr>
        <w:t xml:space="preserve"> </w:t>
      </w:r>
      <w:r>
        <w:t>can</w:t>
      </w:r>
      <w:r>
        <w:rPr>
          <w:spacing w:val="-12"/>
        </w:rPr>
        <w:t xml:space="preserve"> </w:t>
      </w:r>
      <w:r>
        <w:t>be</w:t>
      </w:r>
      <w:r>
        <w:rPr>
          <w:spacing w:val="-12"/>
        </w:rPr>
        <w:t xml:space="preserve"> </w:t>
      </w:r>
      <w:r>
        <w:t>used</w:t>
      </w:r>
      <w:r>
        <w:rPr>
          <w:spacing w:val="-12"/>
        </w:rPr>
        <w:t xml:space="preserve"> </w:t>
      </w:r>
      <w:r>
        <w:t>as</w:t>
      </w:r>
      <w:r>
        <w:rPr>
          <w:spacing w:val="-12"/>
        </w:rPr>
        <w:t xml:space="preserve"> </w:t>
      </w:r>
      <w:r>
        <w:t>evidence</w:t>
      </w:r>
      <w:r>
        <w:rPr>
          <w:spacing w:val="-12"/>
        </w:rPr>
        <w:t xml:space="preserve"> </w:t>
      </w:r>
      <w:r>
        <w:t>in</w:t>
      </w:r>
      <w:r>
        <w:rPr>
          <w:spacing w:val="-12"/>
        </w:rPr>
        <w:t xml:space="preserve"> </w:t>
      </w:r>
      <w:r>
        <w:t xml:space="preserve">a </w:t>
      </w:r>
      <w:r>
        <w:rPr>
          <w:spacing w:val="-3"/>
        </w:rPr>
        <w:t xml:space="preserve">Federal </w:t>
      </w:r>
      <w:r>
        <w:t xml:space="preserve">Court challenge </w:t>
      </w:r>
      <w:r>
        <w:rPr>
          <w:spacing w:val="-3"/>
        </w:rPr>
        <w:t>against</w:t>
      </w:r>
      <w:r>
        <w:rPr>
          <w:rStyle w:val="nobreak"/>
          <w:spacing w:val="-3"/>
        </w:rPr>
        <w:t xml:space="preserve"> </w:t>
      </w:r>
      <w:r>
        <w:t>a</w:t>
      </w:r>
      <w:r>
        <w:rPr>
          <w:spacing w:val="-22"/>
        </w:rPr>
        <w:t xml:space="preserve"> </w:t>
      </w:r>
      <w:r>
        <w:t>decision.</w:t>
      </w:r>
    </w:p>
    <w:p w:rsidR="0043526F" w:rsidRDefault="0043526F" w:rsidP="0043526F">
      <w:pPr>
        <w:pStyle w:val="Text"/>
      </w:pPr>
      <w:r>
        <w:t>All decisions and the reasoning processes underlying them would be fully documented by the Department. This documentation will be used by the Department in the preparation of statements of reasons—and statements will generally include references to the recommendation to decision-makers on particular decisions.</w:t>
      </w:r>
    </w:p>
    <w:p w:rsidR="0043526F" w:rsidRDefault="0043526F" w:rsidP="0043526F">
      <w:pPr>
        <w:pStyle w:val="Text"/>
        <w:rPr>
          <w:spacing w:val="-3"/>
        </w:rPr>
      </w:pPr>
      <w:r>
        <w:rPr>
          <w:spacing w:val="-9"/>
        </w:rPr>
        <w:t xml:space="preserve">To </w:t>
      </w:r>
      <w:r>
        <w:t xml:space="preserve">promote transparency and </w:t>
      </w:r>
      <w:r>
        <w:rPr>
          <w:spacing w:val="-3"/>
        </w:rPr>
        <w:t xml:space="preserve">accountability, </w:t>
      </w:r>
      <w:r>
        <w:t xml:space="preserve">statements of reasons should reliably document the real findings on material questions of fact, and the actual reasons relied upon </w:t>
      </w:r>
      <w:r>
        <w:rPr>
          <w:spacing w:val="-3"/>
        </w:rPr>
        <w:t xml:space="preserve">by </w:t>
      </w:r>
      <w:r>
        <w:t xml:space="preserve">the decision-maker when making a decision. The process of </w:t>
      </w:r>
      <w:r>
        <w:rPr>
          <w:spacing w:val="-2"/>
        </w:rPr>
        <w:t xml:space="preserve">reasoning </w:t>
      </w:r>
      <w:r>
        <w:t xml:space="preserve">that led to the decision, linking facts to the decision and the </w:t>
      </w:r>
      <w:r>
        <w:rPr>
          <w:spacing w:val="-3"/>
        </w:rPr>
        <w:t xml:space="preserve">relevant </w:t>
      </w:r>
      <w:r>
        <w:t xml:space="preserve">legislative </w:t>
      </w:r>
      <w:r>
        <w:rPr>
          <w:spacing w:val="-3"/>
        </w:rPr>
        <w:t xml:space="preserve">provisions, relevant </w:t>
      </w:r>
      <w:r>
        <w:t xml:space="preserve">case </w:t>
      </w:r>
      <w:r>
        <w:rPr>
          <w:spacing w:val="-2"/>
        </w:rPr>
        <w:t xml:space="preserve">law </w:t>
      </w:r>
      <w:r>
        <w:t xml:space="preserve">if applicable, policy </w:t>
      </w:r>
      <w:r>
        <w:rPr>
          <w:spacing w:val="-3"/>
        </w:rPr>
        <w:t xml:space="preserve">statements, </w:t>
      </w:r>
      <w:r>
        <w:t xml:space="preserve">guidelines, other agency practices and other </w:t>
      </w:r>
      <w:r>
        <w:rPr>
          <w:spacing w:val="-3"/>
        </w:rPr>
        <w:t xml:space="preserve">relevant </w:t>
      </w:r>
      <w:r>
        <w:t xml:space="preserve">matters would be fully </w:t>
      </w:r>
      <w:r>
        <w:rPr>
          <w:spacing w:val="-3"/>
        </w:rPr>
        <w:t xml:space="preserve">documented. </w:t>
      </w:r>
      <w:r>
        <w:rPr>
          <w:spacing w:val="-2"/>
        </w:rPr>
        <w:t xml:space="preserve">Statement </w:t>
      </w:r>
      <w:r>
        <w:t>of reasons should be drafted in</w:t>
      </w:r>
      <w:r>
        <w:rPr>
          <w:rStyle w:val="nobreak"/>
        </w:rPr>
        <w:t xml:space="preserve"> </w:t>
      </w:r>
      <w:r>
        <w:t xml:space="preserve">clear and plain </w:t>
      </w:r>
      <w:r>
        <w:rPr>
          <w:spacing w:val="-3"/>
        </w:rPr>
        <w:t>English.</w:t>
      </w:r>
    </w:p>
    <w:p w:rsidR="0043526F" w:rsidRDefault="0043526F" w:rsidP="0043526F">
      <w:pPr>
        <w:pStyle w:val="Text"/>
      </w:pPr>
      <w:r>
        <w:t>Departmental</w:t>
      </w:r>
      <w:r>
        <w:rPr>
          <w:spacing w:val="-14"/>
        </w:rPr>
        <w:t xml:space="preserve"> </w:t>
      </w:r>
      <w:r>
        <w:t>advice</w:t>
      </w:r>
      <w:r>
        <w:rPr>
          <w:spacing w:val="-14"/>
        </w:rPr>
        <w:t xml:space="preserve"> </w:t>
      </w:r>
      <w:r>
        <w:t>to</w:t>
      </w:r>
      <w:r>
        <w:rPr>
          <w:spacing w:val="-14"/>
        </w:rPr>
        <w:t xml:space="preserve"> </w:t>
      </w:r>
      <w:r>
        <w:t>the</w:t>
      </w:r>
      <w:r>
        <w:rPr>
          <w:spacing w:val="-14"/>
        </w:rPr>
        <w:t xml:space="preserve"> </w:t>
      </w:r>
      <w:r>
        <w:t>Minister</w:t>
      </w:r>
      <w:r>
        <w:rPr>
          <w:spacing w:val="-14"/>
        </w:rPr>
        <w:t xml:space="preserve"> </w:t>
      </w:r>
      <w:r>
        <w:t xml:space="preserve">concerning decisions under the </w:t>
      </w:r>
      <w:r>
        <w:rPr>
          <w:spacing w:val="-3"/>
        </w:rPr>
        <w:t xml:space="preserve">EPBC </w:t>
      </w:r>
      <w:r>
        <w:t xml:space="preserve">Act is drafted to reflect the </w:t>
      </w:r>
      <w:r>
        <w:rPr>
          <w:spacing w:val="-3"/>
        </w:rPr>
        <w:t xml:space="preserve">Minister’s </w:t>
      </w:r>
      <w:r>
        <w:t xml:space="preserve">prerogative to either </w:t>
      </w:r>
      <w:r>
        <w:rPr>
          <w:spacing w:val="-3"/>
        </w:rPr>
        <w:t xml:space="preserve">adopt </w:t>
      </w:r>
      <w:r>
        <w:t xml:space="preserve">the Department’s </w:t>
      </w:r>
      <w:r>
        <w:rPr>
          <w:spacing w:val="-3"/>
        </w:rPr>
        <w:t xml:space="preserve">reasoning, </w:t>
      </w:r>
      <w:r>
        <w:t xml:space="preserve">or to </w:t>
      </w:r>
      <w:r>
        <w:rPr>
          <w:spacing w:val="-3"/>
        </w:rPr>
        <w:t xml:space="preserve">substitute </w:t>
      </w:r>
      <w:r>
        <w:t xml:space="preserve">an </w:t>
      </w:r>
      <w:r>
        <w:rPr>
          <w:spacing w:val="-3"/>
        </w:rPr>
        <w:t xml:space="preserve">alternative reasoning. </w:t>
      </w:r>
      <w:r>
        <w:t>The</w:t>
      </w:r>
      <w:r>
        <w:rPr>
          <w:rStyle w:val="nobreak"/>
        </w:rPr>
        <w:t xml:space="preserve"> </w:t>
      </w:r>
      <w:r>
        <w:t xml:space="preserve">Minister </w:t>
      </w:r>
      <w:r>
        <w:rPr>
          <w:spacing w:val="-3"/>
        </w:rPr>
        <w:t xml:space="preserve">may adopt </w:t>
      </w:r>
      <w:r>
        <w:t xml:space="preserve">reasons drafted </w:t>
      </w:r>
      <w:r>
        <w:rPr>
          <w:spacing w:val="-3"/>
        </w:rPr>
        <w:t xml:space="preserve">by </w:t>
      </w:r>
      <w:r>
        <w:t xml:space="preserve">departmental officers </w:t>
      </w:r>
      <w:r>
        <w:rPr>
          <w:spacing w:val="-3"/>
        </w:rPr>
        <w:t xml:space="preserve">as </w:t>
      </w:r>
      <w:r>
        <w:t>the</w:t>
      </w:r>
      <w:r>
        <w:rPr>
          <w:spacing w:val="-10"/>
        </w:rPr>
        <w:t xml:space="preserve"> </w:t>
      </w:r>
      <w:r>
        <w:t>basis</w:t>
      </w:r>
      <w:r>
        <w:rPr>
          <w:spacing w:val="-9"/>
        </w:rPr>
        <w:t xml:space="preserve"> </w:t>
      </w:r>
      <w:r>
        <w:t>for</w:t>
      </w:r>
      <w:r>
        <w:rPr>
          <w:spacing w:val="-9"/>
        </w:rPr>
        <w:t xml:space="preserve"> </w:t>
      </w:r>
      <w:r>
        <w:t>his</w:t>
      </w:r>
      <w:r>
        <w:rPr>
          <w:spacing w:val="-9"/>
        </w:rPr>
        <w:t xml:space="preserve"> </w:t>
      </w:r>
      <w:r>
        <w:t>or</w:t>
      </w:r>
      <w:r>
        <w:rPr>
          <w:spacing w:val="-9"/>
        </w:rPr>
        <w:t xml:space="preserve"> </w:t>
      </w:r>
      <w:r>
        <w:t>her</w:t>
      </w:r>
      <w:r>
        <w:rPr>
          <w:spacing w:val="-9"/>
        </w:rPr>
        <w:t xml:space="preserve"> </w:t>
      </w:r>
      <w:r>
        <w:t>decision.</w:t>
      </w:r>
      <w:r>
        <w:rPr>
          <w:spacing w:val="-9"/>
        </w:rPr>
        <w:t xml:space="preserve"> </w:t>
      </w:r>
      <w:r>
        <w:rPr>
          <w:spacing w:val="-5"/>
        </w:rPr>
        <w:t>However,</w:t>
      </w:r>
      <w:r>
        <w:rPr>
          <w:spacing w:val="-9"/>
        </w:rPr>
        <w:t xml:space="preserve"> </w:t>
      </w:r>
      <w:r>
        <w:t>if</w:t>
      </w:r>
      <w:r>
        <w:rPr>
          <w:spacing w:val="-9"/>
        </w:rPr>
        <w:t xml:space="preserve"> </w:t>
      </w:r>
      <w:r>
        <w:t>the</w:t>
      </w:r>
    </w:p>
    <w:p w:rsidR="0043526F" w:rsidRDefault="0043526F" w:rsidP="0043526F">
      <w:pPr>
        <w:pStyle w:val="Text"/>
      </w:pPr>
      <w:r>
        <w:lastRenderedPageBreak/>
        <w:t>Minister does not adopt the reasons drafted by the Department, the statement of reasons will document the alternative reasons for the Minister’s decision.</w:t>
      </w:r>
    </w:p>
    <w:p w:rsidR="0043526F" w:rsidRDefault="0043526F" w:rsidP="0043526F">
      <w:pPr>
        <w:pStyle w:val="Subhead2"/>
      </w:pPr>
      <w:r>
        <w:t>Style of a statement of reasons</w:t>
      </w:r>
    </w:p>
    <w:p w:rsidR="0043526F" w:rsidRDefault="0043526F" w:rsidP="0043526F">
      <w:pPr>
        <w:pStyle w:val="Text"/>
      </w:pPr>
      <w:r>
        <w:t>A statement of reasons should be drafted in the first person to reflect that it is a statement of reasons</w:t>
      </w:r>
    </w:p>
    <w:p w:rsidR="0043526F" w:rsidRDefault="0043526F" w:rsidP="0043526F">
      <w:pPr>
        <w:pStyle w:val="Text"/>
        <w:rPr>
          <w:spacing w:val="-11"/>
        </w:rPr>
      </w:pPr>
      <w:proofErr w:type="gramStart"/>
      <w:r>
        <w:t>of</w:t>
      </w:r>
      <w:proofErr w:type="gramEnd"/>
      <w:r>
        <w:t xml:space="preserve"> the </w:t>
      </w:r>
      <w:r>
        <w:rPr>
          <w:spacing w:val="-4"/>
        </w:rPr>
        <w:t xml:space="preserve">Minister, </w:t>
      </w:r>
      <w:r>
        <w:t>rather than of the Department. A</w:t>
      </w:r>
      <w:r>
        <w:rPr>
          <w:rStyle w:val="nobreak"/>
        </w:rPr>
        <w:t xml:space="preserve"> </w:t>
      </w:r>
      <w:r>
        <w:rPr>
          <w:spacing w:val="-3"/>
        </w:rPr>
        <w:t xml:space="preserve">statement </w:t>
      </w:r>
      <w:r>
        <w:t xml:space="preserve">of reasons would not, </w:t>
      </w:r>
      <w:r>
        <w:rPr>
          <w:spacing w:val="-3"/>
        </w:rPr>
        <w:t xml:space="preserve">therefore, </w:t>
      </w:r>
      <w:r>
        <w:t xml:space="preserve">use </w:t>
      </w:r>
      <w:r>
        <w:rPr>
          <w:spacing w:val="-3"/>
        </w:rPr>
        <w:t xml:space="preserve">words </w:t>
      </w:r>
      <w:r>
        <w:t xml:space="preserve">such as </w:t>
      </w:r>
      <w:r>
        <w:rPr>
          <w:spacing w:val="-6"/>
        </w:rPr>
        <w:t xml:space="preserve">‘us’, </w:t>
      </w:r>
      <w:r>
        <w:rPr>
          <w:spacing w:val="-3"/>
        </w:rPr>
        <w:t xml:space="preserve">‘we’ </w:t>
      </w:r>
      <w:r>
        <w:t xml:space="preserve">or </w:t>
      </w:r>
      <w:r>
        <w:rPr>
          <w:spacing w:val="-5"/>
        </w:rPr>
        <w:t xml:space="preserve">’our </w:t>
      </w:r>
      <w:r>
        <w:rPr>
          <w:spacing w:val="-4"/>
        </w:rPr>
        <w:t xml:space="preserve">decision’. </w:t>
      </w:r>
      <w:r>
        <w:t xml:space="preserve">The </w:t>
      </w:r>
      <w:r>
        <w:rPr>
          <w:spacing w:val="-3"/>
        </w:rPr>
        <w:t xml:space="preserve">statement </w:t>
      </w:r>
      <w:r>
        <w:t xml:space="preserve">of reasons and all external correspondence relating to it would </w:t>
      </w:r>
      <w:r>
        <w:rPr>
          <w:spacing w:val="-3"/>
        </w:rPr>
        <w:t xml:space="preserve">refer </w:t>
      </w:r>
      <w:r>
        <w:t xml:space="preserve">to the decision made </w:t>
      </w:r>
      <w:r>
        <w:rPr>
          <w:spacing w:val="-3"/>
        </w:rPr>
        <w:t xml:space="preserve">by </w:t>
      </w:r>
      <w:r>
        <w:t xml:space="preserve">the </w:t>
      </w:r>
      <w:r>
        <w:rPr>
          <w:spacing w:val="-4"/>
        </w:rPr>
        <w:t xml:space="preserve">Minister, </w:t>
      </w:r>
      <w:r>
        <w:t xml:space="preserve">the Secretary or the delegate in the first person </w:t>
      </w:r>
      <w:r>
        <w:rPr>
          <w:spacing w:val="-4"/>
        </w:rPr>
        <w:t>e.g.</w:t>
      </w:r>
      <w:r>
        <w:rPr>
          <w:rStyle w:val="nobreak"/>
          <w:spacing w:val="-4"/>
        </w:rPr>
        <w:t xml:space="preserve"> </w:t>
      </w:r>
      <w:r>
        <w:t>‘My</w:t>
      </w:r>
      <w:r>
        <w:rPr>
          <w:rStyle w:val="nobreak"/>
        </w:rPr>
        <w:t xml:space="preserve"> </w:t>
      </w:r>
      <w:r>
        <w:t xml:space="preserve">decision </w:t>
      </w:r>
      <w:r>
        <w:rPr>
          <w:spacing w:val="-3"/>
        </w:rPr>
        <w:t xml:space="preserve">was </w:t>
      </w:r>
      <w:r>
        <w:t xml:space="preserve">made </w:t>
      </w:r>
      <w:r>
        <w:rPr>
          <w:spacing w:val="-11"/>
        </w:rPr>
        <w:t>…’.</w:t>
      </w:r>
    </w:p>
    <w:p w:rsidR="0043526F" w:rsidRDefault="0043526F" w:rsidP="0043526F">
      <w:pPr>
        <w:pStyle w:val="Subhead2"/>
      </w:pPr>
      <w:r>
        <w:t>Structure of a statement</w:t>
      </w:r>
      <w:r>
        <w:rPr>
          <w:rStyle w:val="nobreak"/>
        </w:rPr>
        <w:t xml:space="preserve"> </w:t>
      </w:r>
      <w:r>
        <w:t>of</w:t>
      </w:r>
      <w:r>
        <w:rPr>
          <w:rStyle w:val="nobreak"/>
        </w:rPr>
        <w:t xml:space="preserve"> </w:t>
      </w:r>
      <w:r>
        <w:t>reasons</w:t>
      </w:r>
    </w:p>
    <w:p w:rsidR="0043526F" w:rsidRDefault="0043526F" w:rsidP="0043526F">
      <w:pPr>
        <w:pStyle w:val="Subhead3"/>
      </w:pPr>
      <w:r>
        <w:t>1. Authority</w:t>
      </w:r>
      <w:r>
        <w:rPr>
          <w:spacing w:val="-11"/>
        </w:rPr>
        <w:t xml:space="preserve"> </w:t>
      </w:r>
      <w:r>
        <w:t>to</w:t>
      </w:r>
      <w:r>
        <w:rPr>
          <w:spacing w:val="-10"/>
        </w:rPr>
        <w:t xml:space="preserve"> </w:t>
      </w:r>
      <w:r>
        <w:t>make</w:t>
      </w:r>
      <w:r>
        <w:rPr>
          <w:spacing w:val="-11"/>
        </w:rPr>
        <w:t xml:space="preserve"> </w:t>
      </w:r>
      <w:r>
        <w:t>a</w:t>
      </w:r>
      <w:r>
        <w:rPr>
          <w:spacing w:val="-11"/>
        </w:rPr>
        <w:t xml:space="preserve"> </w:t>
      </w:r>
      <w:r>
        <w:t>decision</w:t>
      </w:r>
      <w:r>
        <w:rPr>
          <w:spacing w:val="-10"/>
        </w:rPr>
        <w:t xml:space="preserve"> </w:t>
      </w:r>
      <w:r>
        <w:t>and</w:t>
      </w:r>
      <w:r>
        <w:rPr>
          <w:rStyle w:val="nobreak"/>
          <w:spacing w:val="-10"/>
        </w:rPr>
        <w:t xml:space="preserve"> </w:t>
      </w:r>
      <w:r>
        <w:t>issue</w:t>
      </w:r>
      <w:r>
        <w:rPr>
          <w:spacing w:val="-11"/>
        </w:rPr>
        <w:t xml:space="preserve"> </w:t>
      </w:r>
      <w:r>
        <w:t>a statement of</w:t>
      </w:r>
      <w:r>
        <w:rPr>
          <w:spacing w:val="-13"/>
        </w:rPr>
        <w:t xml:space="preserve"> </w:t>
      </w:r>
      <w:r>
        <w:t>reasons</w:t>
      </w:r>
    </w:p>
    <w:p w:rsidR="0043526F" w:rsidRDefault="0043526F" w:rsidP="0043526F">
      <w:pPr>
        <w:pStyle w:val="Text"/>
        <w:rPr>
          <w:spacing w:val="-3"/>
        </w:rPr>
      </w:pPr>
      <w:r>
        <w:t>Decision-makers</w:t>
      </w:r>
      <w:r>
        <w:rPr>
          <w:spacing w:val="-13"/>
        </w:rPr>
        <w:t xml:space="preserve"> </w:t>
      </w:r>
      <w:r>
        <w:t>must</w:t>
      </w:r>
      <w:r>
        <w:rPr>
          <w:spacing w:val="-13"/>
        </w:rPr>
        <w:t xml:space="preserve"> </w:t>
      </w:r>
      <w:r>
        <w:t>state</w:t>
      </w:r>
      <w:r>
        <w:rPr>
          <w:spacing w:val="-14"/>
        </w:rPr>
        <w:t xml:space="preserve"> </w:t>
      </w:r>
      <w:r>
        <w:t>their</w:t>
      </w:r>
      <w:r>
        <w:rPr>
          <w:spacing w:val="-13"/>
        </w:rPr>
        <w:t xml:space="preserve"> </w:t>
      </w:r>
      <w:r>
        <w:rPr>
          <w:spacing w:val="-3"/>
        </w:rPr>
        <w:t>name,</w:t>
      </w:r>
      <w:r>
        <w:rPr>
          <w:spacing w:val="-13"/>
        </w:rPr>
        <w:t xml:space="preserve"> </w:t>
      </w:r>
      <w:r>
        <w:t>position</w:t>
      </w:r>
      <w:r>
        <w:rPr>
          <w:spacing w:val="-14"/>
        </w:rPr>
        <w:t xml:space="preserve"> </w:t>
      </w:r>
      <w:r>
        <w:t xml:space="preserve">and their legal authority (including their Delegation if a departmental officer) to </w:t>
      </w:r>
      <w:r>
        <w:rPr>
          <w:spacing w:val="-3"/>
        </w:rPr>
        <w:t xml:space="preserve">make </w:t>
      </w:r>
      <w:r>
        <w:t xml:space="preserve">a particular decision, within the </w:t>
      </w:r>
      <w:r>
        <w:rPr>
          <w:spacing w:val="-3"/>
        </w:rPr>
        <w:t xml:space="preserve">statement </w:t>
      </w:r>
      <w:r>
        <w:t xml:space="preserve">of </w:t>
      </w:r>
      <w:r>
        <w:rPr>
          <w:spacing w:val="-3"/>
        </w:rPr>
        <w:t xml:space="preserve">reasons. </w:t>
      </w:r>
      <w:r>
        <w:t xml:space="preserve">This helps the person requesting the </w:t>
      </w:r>
      <w:r>
        <w:rPr>
          <w:spacing w:val="-3"/>
        </w:rPr>
        <w:t xml:space="preserve">statement </w:t>
      </w:r>
      <w:r>
        <w:t>identify who the decision-maker</w:t>
      </w:r>
      <w:r>
        <w:rPr>
          <w:spacing w:val="-13"/>
        </w:rPr>
        <w:t xml:space="preserve"> </w:t>
      </w:r>
      <w:r>
        <w:rPr>
          <w:spacing w:val="-3"/>
        </w:rPr>
        <w:t>was,</w:t>
      </w:r>
      <w:r>
        <w:rPr>
          <w:spacing w:val="-13"/>
        </w:rPr>
        <w:t xml:space="preserve"> </w:t>
      </w:r>
      <w:r>
        <w:t>and</w:t>
      </w:r>
      <w:r>
        <w:rPr>
          <w:spacing w:val="-13"/>
        </w:rPr>
        <w:t xml:space="preserve"> </w:t>
      </w:r>
      <w:r>
        <w:t>understand</w:t>
      </w:r>
      <w:r>
        <w:rPr>
          <w:spacing w:val="-13"/>
        </w:rPr>
        <w:t xml:space="preserve"> </w:t>
      </w:r>
      <w:r>
        <w:t>the</w:t>
      </w:r>
      <w:r>
        <w:rPr>
          <w:spacing w:val="-13"/>
        </w:rPr>
        <w:t xml:space="preserve"> </w:t>
      </w:r>
      <w:r>
        <w:t>grounds</w:t>
      </w:r>
      <w:r>
        <w:rPr>
          <w:spacing w:val="-13"/>
        </w:rPr>
        <w:t xml:space="preserve"> </w:t>
      </w:r>
      <w:r>
        <w:t xml:space="preserve">on which the decision </w:t>
      </w:r>
      <w:r>
        <w:rPr>
          <w:spacing w:val="-3"/>
        </w:rPr>
        <w:t>was</w:t>
      </w:r>
      <w:r>
        <w:rPr>
          <w:spacing w:val="-22"/>
        </w:rPr>
        <w:t xml:space="preserve"> </w:t>
      </w:r>
      <w:r>
        <w:rPr>
          <w:spacing w:val="-3"/>
        </w:rPr>
        <w:t>made.</w:t>
      </w:r>
    </w:p>
    <w:p w:rsidR="0043526F" w:rsidRDefault="0043526F" w:rsidP="0043526F">
      <w:pPr>
        <w:pStyle w:val="Subhead3"/>
      </w:pPr>
      <w:r>
        <w:t xml:space="preserve">2. Background section of the </w:t>
      </w:r>
      <w:proofErr w:type="gramStart"/>
      <w:r>
        <w:t>statement  of</w:t>
      </w:r>
      <w:proofErr w:type="gramEnd"/>
      <w:r>
        <w:t xml:space="preserve"> reasons</w:t>
      </w:r>
    </w:p>
    <w:p w:rsidR="0043526F" w:rsidRDefault="0043526F" w:rsidP="0043526F">
      <w:pPr>
        <w:pStyle w:val="Text"/>
        <w:rPr>
          <w:spacing w:val="-3"/>
        </w:rPr>
      </w:pPr>
      <w:r>
        <w:t xml:space="preserve">The </w:t>
      </w:r>
      <w:r>
        <w:rPr>
          <w:spacing w:val="-3"/>
        </w:rPr>
        <w:t xml:space="preserve">‘background’ </w:t>
      </w:r>
      <w:r>
        <w:t xml:space="preserve">section of the </w:t>
      </w:r>
      <w:r>
        <w:rPr>
          <w:spacing w:val="-3"/>
        </w:rPr>
        <w:t xml:space="preserve">statement </w:t>
      </w:r>
      <w:r>
        <w:t xml:space="preserve">of </w:t>
      </w:r>
      <w:r>
        <w:rPr>
          <w:spacing w:val="-3"/>
        </w:rPr>
        <w:t xml:space="preserve">reasons </w:t>
      </w:r>
      <w:r>
        <w:t xml:space="preserve">should provide context for the decision made and demonstrate that the correct legislative procedures </w:t>
      </w:r>
      <w:r>
        <w:rPr>
          <w:spacing w:val="-3"/>
        </w:rPr>
        <w:t xml:space="preserve">have </w:t>
      </w:r>
      <w:r>
        <w:t xml:space="preserve">been </w:t>
      </w:r>
      <w:r>
        <w:rPr>
          <w:spacing w:val="-3"/>
        </w:rPr>
        <w:t xml:space="preserve">followed. </w:t>
      </w:r>
      <w:r>
        <w:t xml:space="preserve">The repetition of facts, material findings of fact and reasons for decisions that are included within other sections should be </w:t>
      </w:r>
      <w:r>
        <w:rPr>
          <w:spacing w:val="-3"/>
        </w:rPr>
        <w:t>avoided.</w:t>
      </w:r>
    </w:p>
    <w:p w:rsidR="0043526F" w:rsidRDefault="0043526F" w:rsidP="0043526F">
      <w:pPr>
        <w:pStyle w:val="Subhead3"/>
      </w:pPr>
      <w:r>
        <w:t>3. Legislative provisions</w:t>
      </w:r>
    </w:p>
    <w:p w:rsidR="0043526F" w:rsidRDefault="0043526F" w:rsidP="0043526F">
      <w:pPr>
        <w:pStyle w:val="Text"/>
      </w:pPr>
      <w:r>
        <w:t xml:space="preserve">The </w:t>
      </w:r>
      <w:r>
        <w:rPr>
          <w:spacing w:val="-3"/>
        </w:rPr>
        <w:t xml:space="preserve">statement </w:t>
      </w:r>
      <w:r>
        <w:t xml:space="preserve">of reasons must </w:t>
      </w:r>
      <w:r>
        <w:rPr>
          <w:spacing w:val="-3"/>
        </w:rPr>
        <w:t xml:space="preserve">refer </w:t>
      </w:r>
      <w:r>
        <w:t xml:space="preserve">to the </w:t>
      </w:r>
      <w:r>
        <w:rPr>
          <w:spacing w:val="-3"/>
        </w:rPr>
        <w:t xml:space="preserve">relevant provisions </w:t>
      </w:r>
      <w:r>
        <w:t xml:space="preserve">of the </w:t>
      </w:r>
      <w:r>
        <w:rPr>
          <w:spacing w:val="-3"/>
        </w:rPr>
        <w:t xml:space="preserve">EPBC </w:t>
      </w:r>
      <w:r>
        <w:t xml:space="preserve">Act that authorised the decision, and </w:t>
      </w:r>
      <w:r>
        <w:rPr>
          <w:spacing w:val="-3"/>
        </w:rPr>
        <w:t xml:space="preserve">any </w:t>
      </w:r>
      <w:r>
        <w:t xml:space="preserve">other </w:t>
      </w:r>
      <w:r>
        <w:rPr>
          <w:spacing w:val="-3"/>
        </w:rPr>
        <w:t xml:space="preserve">relevant provisions, </w:t>
      </w:r>
      <w:r>
        <w:t xml:space="preserve">such </w:t>
      </w:r>
      <w:r>
        <w:rPr>
          <w:spacing w:val="-3"/>
        </w:rPr>
        <w:t xml:space="preserve">as </w:t>
      </w:r>
      <w:r>
        <w:t xml:space="preserve">those setting out </w:t>
      </w:r>
      <w:r>
        <w:rPr>
          <w:spacing w:val="-3"/>
        </w:rPr>
        <w:t xml:space="preserve">relevant </w:t>
      </w:r>
      <w:r>
        <w:t>considerations in making the decision, or conditions that must be satisfied before making the decision.</w:t>
      </w:r>
    </w:p>
    <w:p w:rsidR="0043526F" w:rsidRDefault="0043526F" w:rsidP="0043526F">
      <w:pPr>
        <w:pStyle w:val="Text"/>
      </w:pPr>
      <w:r>
        <w:rPr>
          <w:spacing w:val="-3"/>
        </w:rPr>
        <w:t xml:space="preserve">For example, </w:t>
      </w:r>
      <w:r>
        <w:t xml:space="preserve">where a decision to grant </w:t>
      </w:r>
      <w:r>
        <w:rPr>
          <w:spacing w:val="-3"/>
        </w:rPr>
        <w:t xml:space="preserve">approval </w:t>
      </w:r>
      <w:r>
        <w:t xml:space="preserve">for a particular action is based on the </w:t>
      </w:r>
      <w:r>
        <w:rPr>
          <w:spacing w:val="-3"/>
        </w:rPr>
        <w:t xml:space="preserve">Minister’s </w:t>
      </w:r>
      <w:r>
        <w:t>consideration of matters protected under Part 3 of</w:t>
      </w:r>
      <w:r>
        <w:rPr>
          <w:spacing w:val="-8"/>
        </w:rPr>
        <w:t xml:space="preserve"> </w:t>
      </w:r>
      <w:r>
        <w:t>the</w:t>
      </w:r>
      <w:r>
        <w:rPr>
          <w:spacing w:val="-9"/>
        </w:rPr>
        <w:t xml:space="preserve"> </w:t>
      </w:r>
      <w:r>
        <w:rPr>
          <w:spacing w:val="-3"/>
        </w:rPr>
        <w:t>EPBC</w:t>
      </w:r>
      <w:r>
        <w:rPr>
          <w:spacing w:val="-9"/>
        </w:rPr>
        <w:t xml:space="preserve"> </w:t>
      </w:r>
      <w:r>
        <w:t>Act,</w:t>
      </w:r>
      <w:r>
        <w:rPr>
          <w:spacing w:val="-8"/>
        </w:rPr>
        <w:t xml:space="preserve"> </w:t>
      </w:r>
      <w:r>
        <w:t>as</w:t>
      </w:r>
      <w:r>
        <w:rPr>
          <w:spacing w:val="-9"/>
        </w:rPr>
        <w:t xml:space="preserve"> </w:t>
      </w:r>
      <w:r>
        <w:t>required</w:t>
      </w:r>
      <w:r>
        <w:rPr>
          <w:spacing w:val="-9"/>
        </w:rPr>
        <w:t xml:space="preserve"> </w:t>
      </w:r>
      <w:r>
        <w:rPr>
          <w:spacing w:val="-3"/>
        </w:rPr>
        <w:t>by</w:t>
      </w:r>
      <w:r>
        <w:rPr>
          <w:spacing w:val="-8"/>
        </w:rPr>
        <w:t xml:space="preserve"> </w:t>
      </w:r>
      <w:r>
        <w:t>paragraph</w:t>
      </w:r>
      <w:r>
        <w:rPr>
          <w:spacing w:val="-9"/>
        </w:rPr>
        <w:t xml:space="preserve"> </w:t>
      </w:r>
      <w:r>
        <w:rPr>
          <w:spacing w:val="-8"/>
        </w:rPr>
        <w:t>136(1</w:t>
      </w:r>
      <w:proofErr w:type="gramStart"/>
      <w:r>
        <w:rPr>
          <w:spacing w:val="-8"/>
        </w:rPr>
        <w:t>)</w:t>
      </w:r>
      <w:r>
        <w:rPr>
          <w:spacing w:val="-7"/>
        </w:rPr>
        <w:t>(</w:t>
      </w:r>
      <w:proofErr w:type="gramEnd"/>
      <w:r>
        <w:rPr>
          <w:spacing w:val="-7"/>
        </w:rPr>
        <w:t xml:space="preserve">a), </w:t>
      </w:r>
      <w:r>
        <w:t xml:space="preserve">and the </w:t>
      </w:r>
      <w:r>
        <w:rPr>
          <w:spacing w:val="-3"/>
        </w:rPr>
        <w:t xml:space="preserve">requirement </w:t>
      </w:r>
      <w:r>
        <w:t xml:space="preserve">for the Minister to </w:t>
      </w:r>
      <w:r>
        <w:rPr>
          <w:spacing w:val="-3"/>
        </w:rPr>
        <w:t xml:space="preserve">take into </w:t>
      </w:r>
      <w:r>
        <w:t xml:space="preserve">account the principles of ecologically sustainable </w:t>
      </w:r>
      <w:r>
        <w:rPr>
          <w:spacing w:val="-3"/>
        </w:rPr>
        <w:t xml:space="preserve">development, </w:t>
      </w:r>
      <w:r>
        <w:t xml:space="preserve">as required </w:t>
      </w:r>
      <w:r>
        <w:rPr>
          <w:spacing w:val="-3"/>
        </w:rPr>
        <w:t xml:space="preserve">by </w:t>
      </w:r>
      <w:r>
        <w:t xml:space="preserve">paragraph </w:t>
      </w:r>
      <w:r>
        <w:rPr>
          <w:spacing w:val="-5"/>
        </w:rPr>
        <w:t>136(2)</w:t>
      </w:r>
      <w:r>
        <w:rPr>
          <w:spacing w:val="-7"/>
        </w:rPr>
        <w:t xml:space="preserve">(a), </w:t>
      </w:r>
      <w:r>
        <w:t xml:space="preserve">the </w:t>
      </w:r>
      <w:r>
        <w:rPr>
          <w:spacing w:val="-3"/>
        </w:rPr>
        <w:t xml:space="preserve">statement </w:t>
      </w:r>
      <w:r>
        <w:t xml:space="preserve">of reasons should include these </w:t>
      </w:r>
      <w:r>
        <w:rPr>
          <w:spacing w:val="-3"/>
        </w:rPr>
        <w:t xml:space="preserve">provisions, </w:t>
      </w:r>
      <w:r>
        <w:t xml:space="preserve">and the considerations about them </w:t>
      </w:r>
      <w:r>
        <w:rPr>
          <w:spacing w:val="-3"/>
        </w:rPr>
        <w:t xml:space="preserve">relevant </w:t>
      </w:r>
      <w:r>
        <w:t xml:space="preserve">to the </w:t>
      </w:r>
      <w:r>
        <w:rPr>
          <w:spacing w:val="-3"/>
        </w:rPr>
        <w:t xml:space="preserve">approval </w:t>
      </w:r>
      <w:r>
        <w:t>decision.</w:t>
      </w:r>
    </w:p>
    <w:p w:rsidR="0043526F" w:rsidRDefault="0043526F" w:rsidP="0043526F">
      <w:pPr>
        <w:pStyle w:val="Text"/>
      </w:pPr>
      <w:r>
        <w:t>These considerations would include any significant impacts of the action on these matters, and the relationship of the action to the principles of ecologically sustainable development, including the</w:t>
      </w:r>
      <w:r>
        <w:rPr>
          <w:rStyle w:val="nobreak"/>
        </w:rPr>
        <w:t xml:space="preserve"> </w:t>
      </w:r>
      <w:r>
        <w:t>precautionary principle.</w:t>
      </w:r>
    </w:p>
    <w:p w:rsidR="0043526F" w:rsidRDefault="0043526F" w:rsidP="0043526F">
      <w:pPr>
        <w:pStyle w:val="Text"/>
      </w:pPr>
      <w:r>
        <w:t>This information will assist the person requesting the statement to understand the decision-maker’s obligations under the EPBC Act at the time the decision was made.</w:t>
      </w:r>
    </w:p>
    <w:p w:rsidR="0043526F" w:rsidRDefault="0043526F" w:rsidP="0043526F">
      <w:pPr>
        <w:pStyle w:val="Subhead3"/>
      </w:pPr>
      <w:r>
        <w:t>4. Evidence or other material on which findings were based</w:t>
      </w:r>
    </w:p>
    <w:p w:rsidR="0043526F" w:rsidRDefault="0043526F" w:rsidP="0043526F">
      <w:pPr>
        <w:pStyle w:val="Text"/>
      </w:pPr>
      <w:r>
        <w:t>The statement of reasons must refer to evidence on which each ‘material finding of fact’ is based.</w:t>
      </w:r>
    </w:p>
    <w:p w:rsidR="0043526F" w:rsidRDefault="0043526F" w:rsidP="0043526F">
      <w:pPr>
        <w:pStyle w:val="Text"/>
      </w:pPr>
      <w:r>
        <w:t>The statement of reasons should identify evidence that was considered relevant, credible and significant in relation to each finding of fact. Each finding of material fact should be demonstrated by the evidence.</w:t>
      </w:r>
    </w:p>
    <w:p w:rsidR="0043526F" w:rsidRDefault="0043526F" w:rsidP="0043526F">
      <w:pPr>
        <w:pStyle w:val="Text"/>
        <w:rPr>
          <w:spacing w:val="-3"/>
        </w:rPr>
      </w:pPr>
      <w:r>
        <w:t xml:space="preserve">Evidence will be sufficiently referenced within the </w:t>
      </w:r>
      <w:r>
        <w:rPr>
          <w:spacing w:val="-3"/>
        </w:rPr>
        <w:t xml:space="preserve">statement </w:t>
      </w:r>
      <w:r>
        <w:t xml:space="preserve">of reasons to show that there is an </w:t>
      </w:r>
      <w:r>
        <w:rPr>
          <w:spacing w:val="-3"/>
        </w:rPr>
        <w:t xml:space="preserve">adequate </w:t>
      </w:r>
      <w:r>
        <w:t xml:space="preserve">basis for the findings of fact which </w:t>
      </w:r>
      <w:r>
        <w:rPr>
          <w:spacing w:val="-3"/>
        </w:rPr>
        <w:t xml:space="preserve">have </w:t>
      </w:r>
      <w:r>
        <w:t xml:space="preserve">been derived from this </w:t>
      </w:r>
      <w:r>
        <w:rPr>
          <w:spacing w:val="-3"/>
        </w:rPr>
        <w:t xml:space="preserve">evidence, </w:t>
      </w:r>
      <w:r>
        <w:t xml:space="preserve">but should not include </w:t>
      </w:r>
      <w:r>
        <w:rPr>
          <w:spacing w:val="-3"/>
        </w:rPr>
        <w:t>excessive detail.</w:t>
      </w:r>
    </w:p>
    <w:p w:rsidR="0043526F" w:rsidRDefault="0043526F" w:rsidP="0043526F">
      <w:pPr>
        <w:pStyle w:val="Text"/>
      </w:pPr>
      <w:r>
        <w:t xml:space="preserve">Evidence on which findings were based will </w:t>
      </w:r>
      <w:r>
        <w:rPr>
          <w:spacing w:val="-3"/>
        </w:rPr>
        <w:t xml:space="preserve">usually </w:t>
      </w:r>
      <w:r>
        <w:t xml:space="preserve">be contained in the documents included in the briefing package provided to the </w:t>
      </w:r>
      <w:r>
        <w:rPr>
          <w:spacing w:val="-3"/>
        </w:rPr>
        <w:t xml:space="preserve">decision-maker, </w:t>
      </w:r>
      <w:r>
        <w:t xml:space="preserve">reports or submissions and </w:t>
      </w:r>
      <w:r>
        <w:rPr>
          <w:spacing w:val="-3"/>
        </w:rPr>
        <w:t xml:space="preserve">any </w:t>
      </w:r>
      <w:r>
        <w:t xml:space="preserve">other information the decision-maker </w:t>
      </w:r>
      <w:r>
        <w:rPr>
          <w:spacing w:val="-3"/>
        </w:rPr>
        <w:t xml:space="preserve">already had, </w:t>
      </w:r>
      <w:r>
        <w:t xml:space="preserve">that were </w:t>
      </w:r>
      <w:r>
        <w:rPr>
          <w:spacing w:val="-3"/>
        </w:rPr>
        <w:t xml:space="preserve">relevant </w:t>
      </w:r>
      <w:r>
        <w:t>to</w:t>
      </w:r>
      <w:r>
        <w:rPr>
          <w:rStyle w:val="nobreak"/>
        </w:rPr>
        <w:t xml:space="preserve"> </w:t>
      </w:r>
      <w:r>
        <w:t>the</w:t>
      </w:r>
      <w:r>
        <w:rPr>
          <w:spacing w:val="-4"/>
        </w:rPr>
        <w:t xml:space="preserve"> </w:t>
      </w:r>
      <w:r>
        <w:t>decision.</w:t>
      </w:r>
    </w:p>
    <w:p w:rsidR="0043526F" w:rsidRDefault="0043526F" w:rsidP="0043526F">
      <w:pPr>
        <w:pStyle w:val="Text"/>
      </w:pPr>
      <w:r>
        <w:t>Conversations relevant in making a decision, should be recorded and included in a statement of reasons.</w:t>
      </w:r>
    </w:p>
    <w:p w:rsidR="0043526F" w:rsidRDefault="00CB76A4" w:rsidP="0043526F">
      <w:pPr>
        <w:pStyle w:val="Subhead3"/>
      </w:pPr>
      <w:r>
        <w:lastRenderedPageBreak/>
        <w:br/>
      </w:r>
      <w:r w:rsidR="0043526F">
        <w:t>5. Findings on material questions o</w:t>
      </w:r>
      <w:r w:rsidR="0043526F">
        <w:rPr>
          <w:rStyle w:val="nobreak"/>
        </w:rPr>
        <w:t xml:space="preserve">f </w:t>
      </w:r>
      <w:r w:rsidR="0043526F">
        <w:t>fact</w:t>
      </w:r>
    </w:p>
    <w:p w:rsidR="0043526F" w:rsidRDefault="0043526F" w:rsidP="0043526F">
      <w:pPr>
        <w:pStyle w:val="Text"/>
      </w:pPr>
      <w:r>
        <w:t>A</w:t>
      </w:r>
      <w:r>
        <w:rPr>
          <w:spacing w:val="-11"/>
        </w:rPr>
        <w:t xml:space="preserve"> </w:t>
      </w:r>
      <w:r>
        <w:t>material</w:t>
      </w:r>
      <w:r>
        <w:rPr>
          <w:spacing w:val="-12"/>
        </w:rPr>
        <w:t xml:space="preserve"> </w:t>
      </w:r>
      <w:r>
        <w:t>fact</w:t>
      </w:r>
      <w:r>
        <w:rPr>
          <w:spacing w:val="-11"/>
        </w:rPr>
        <w:t xml:space="preserve"> </w:t>
      </w:r>
      <w:r>
        <w:t>is</w:t>
      </w:r>
      <w:r>
        <w:rPr>
          <w:spacing w:val="-11"/>
        </w:rPr>
        <w:t xml:space="preserve"> </w:t>
      </w:r>
      <w:r>
        <w:t>a</w:t>
      </w:r>
      <w:r>
        <w:rPr>
          <w:spacing w:val="-12"/>
        </w:rPr>
        <w:t xml:space="preserve"> </w:t>
      </w:r>
      <w:r>
        <w:t>fact</w:t>
      </w:r>
      <w:r>
        <w:rPr>
          <w:spacing w:val="-11"/>
        </w:rPr>
        <w:t xml:space="preserve"> </w:t>
      </w:r>
      <w:r>
        <w:t>that</w:t>
      </w:r>
      <w:r>
        <w:rPr>
          <w:spacing w:val="-11"/>
        </w:rPr>
        <w:t xml:space="preserve"> </w:t>
      </w:r>
      <w:r>
        <w:t>is</w:t>
      </w:r>
      <w:r>
        <w:rPr>
          <w:spacing w:val="-11"/>
        </w:rPr>
        <w:t xml:space="preserve"> </w:t>
      </w:r>
      <w:r>
        <w:t>required</w:t>
      </w:r>
      <w:r>
        <w:rPr>
          <w:spacing w:val="-12"/>
        </w:rPr>
        <w:t xml:space="preserve"> </w:t>
      </w:r>
      <w:r>
        <w:t>to</w:t>
      </w:r>
      <w:r>
        <w:rPr>
          <w:spacing w:val="-12"/>
        </w:rPr>
        <w:t xml:space="preserve"> </w:t>
      </w:r>
      <w:r>
        <w:t xml:space="preserve">establish the factual basis for a decision. </w:t>
      </w:r>
      <w:r>
        <w:rPr>
          <w:spacing w:val="-3"/>
        </w:rPr>
        <w:t xml:space="preserve">Therefore, </w:t>
      </w:r>
      <w:r>
        <w:t xml:space="preserve">the decision-maker’s findings on material facts are those that support the decision, based on the decision-maker’s consideration of all </w:t>
      </w:r>
      <w:r>
        <w:rPr>
          <w:spacing w:val="-3"/>
        </w:rPr>
        <w:t xml:space="preserve">relevant evidence. </w:t>
      </w:r>
      <w:r>
        <w:t xml:space="preserve">Some facts are material if the </w:t>
      </w:r>
      <w:r>
        <w:rPr>
          <w:spacing w:val="-3"/>
        </w:rPr>
        <w:t xml:space="preserve">relevant </w:t>
      </w:r>
      <w:r>
        <w:t>legislative</w:t>
      </w:r>
      <w:r>
        <w:rPr>
          <w:spacing w:val="-13"/>
        </w:rPr>
        <w:t xml:space="preserve"> </w:t>
      </w:r>
      <w:r>
        <w:t>provision</w:t>
      </w:r>
      <w:r>
        <w:rPr>
          <w:spacing w:val="-13"/>
        </w:rPr>
        <w:t xml:space="preserve"> </w:t>
      </w:r>
      <w:r>
        <w:t>requires</w:t>
      </w:r>
      <w:r>
        <w:rPr>
          <w:spacing w:val="-12"/>
        </w:rPr>
        <w:t xml:space="preserve"> </w:t>
      </w:r>
      <w:r>
        <w:t>them</w:t>
      </w:r>
      <w:r>
        <w:rPr>
          <w:spacing w:val="-12"/>
        </w:rPr>
        <w:t xml:space="preserve"> </w:t>
      </w:r>
      <w:r>
        <w:t>to</w:t>
      </w:r>
      <w:r>
        <w:rPr>
          <w:spacing w:val="-13"/>
        </w:rPr>
        <w:t xml:space="preserve"> </w:t>
      </w:r>
      <w:r>
        <w:t>be</w:t>
      </w:r>
      <w:r>
        <w:rPr>
          <w:spacing w:val="-13"/>
        </w:rPr>
        <w:t xml:space="preserve"> </w:t>
      </w:r>
      <w:r>
        <w:rPr>
          <w:spacing w:val="-3"/>
        </w:rPr>
        <w:t>taken</w:t>
      </w:r>
      <w:r>
        <w:rPr>
          <w:spacing w:val="-13"/>
        </w:rPr>
        <w:t xml:space="preserve"> </w:t>
      </w:r>
      <w:r>
        <w:rPr>
          <w:spacing w:val="-3"/>
        </w:rPr>
        <w:t xml:space="preserve">into </w:t>
      </w:r>
      <w:r>
        <w:t>account, such as the issue of whether an impact is considered as significant or not in making a decision</w:t>
      </w:r>
      <w:r>
        <w:rPr>
          <w:spacing w:val="-8"/>
        </w:rPr>
        <w:t xml:space="preserve"> </w:t>
      </w:r>
      <w:r>
        <w:t>under</w:t>
      </w:r>
      <w:r>
        <w:rPr>
          <w:spacing w:val="-8"/>
        </w:rPr>
        <w:t xml:space="preserve"> </w:t>
      </w:r>
      <w:r>
        <w:t>section</w:t>
      </w:r>
      <w:r>
        <w:rPr>
          <w:rStyle w:val="nobreak"/>
          <w:spacing w:val="-8"/>
        </w:rPr>
        <w:t xml:space="preserve"> </w:t>
      </w:r>
      <w:r>
        <w:rPr>
          <w:spacing w:val="-4"/>
        </w:rPr>
        <w:t>75</w:t>
      </w:r>
      <w:r>
        <w:rPr>
          <w:spacing w:val="-8"/>
        </w:rPr>
        <w:t xml:space="preserve"> </w:t>
      </w:r>
      <w:r>
        <w:t>of</w:t>
      </w:r>
      <w:r>
        <w:rPr>
          <w:spacing w:val="-8"/>
        </w:rPr>
        <w:t xml:space="preserve"> </w:t>
      </w:r>
      <w:r>
        <w:t>the</w:t>
      </w:r>
      <w:r>
        <w:rPr>
          <w:spacing w:val="-8"/>
        </w:rPr>
        <w:t xml:space="preserve"> </w:t>
      </w:r>
      <w:r>
        <w:rPr>
          <w:spacing w:val="-3"/>
        </w:rPr>
        <w:t>EPBC</w:t>
      </w:r>
      <w:r>
        <w:rPr>
          <w:spacing w:val="-8"/>
        </w:rPr>
        <w:t xml:space="preserve"> </w:t>
      </w:r>
      <w:r>
        <w:t>Act.</w:t>
      </w:r>
      <w:r>
        <w:rPr>
          <w:spacing w:val="-8"/>
        </w:rPr>
        <w:t xml:space="preserve"> </w:t>
      </w:r>
      <w:r>
        <w:t>Only those</w:t>
      </w:r>
      <w:r>
        <w:rPr>
          <w:spacing w:val="-12"/>
        </w:rPr>
        <w:t xml:space="preserve"> </w:t>
      </w:r>
      <w:r>
        <w:t>findings</w:t>
      </w:r>
      <w:r>
        <w:rPr>
          <w:spacing w:val="-12"/>
        </w:rPr>
        <w:t xml:space="preserve"> </w:t>
      </w:r>
      <w:r>
        <w:t>of</w:t>
      </w:r>
      <w:r>
        <w:rPr>
          <w:spacing w:val="-12"/>
        </w:rPr>
        <w:t xml:space="preserve"> </w:t>
      </w:r>
      <w:r>
        <w:t>fact</w:t>
      </w:r>
      <w:r>
        <w:rPr>
          <w:spacing w:val="-12"/>
        </w:rPr>
        <w:t xml:space="preserve"> </w:t>
      </w:r>
      <w:r>
        <w:t>that</w:t>
      </w:r>
      <w:r>
        <w:rPr>
          <w:spacing w:val="-12"/>
        </w:rPr>
        <w:t xml:space="preserve"> </w:t>
      </w:r>
      <w:r>
        <w:t>were</w:t>
      </w:r>
      <w:r>
        <w:rPr>
          <w:spacing w:val="-12"/>
        </w:rPr>
        <w:t xml:space="preserve"> </w:t>
      </w:r>
      <w:r>
        <w:t>material</w:t>
      </w:r>
      <w:r>
        <w:rPr>
          <w:spacing w:val="-12"/>
        </w:rPr>
        <w:t xml:space="preserve"> </w:t>
      </w:r>
      <w:r>
        <w:t>to</w:t>
      </w:r>
      <w:r>
        <w:rPr>
          <w:spacing w:val="-12"/>
        </w:rPr>
        <w:t xml:space="preserve"> </w:t>
      </w:r>
      <w:r>
        <w:t>a</w:t>
      </w:r>
      <w:r>
        <w:rPr>
          <w:spacing w:val="-12"/>
        </w:rPr>
        <w:t xml:space="preserve"> </w:t>
      </w:r>
      <w:r>
        <w:t xml:space="preserve">decision need to be included within a </w:t>
      </w:r>
      <w:r>
        <w:rPr>
          <w:spacing w:val="-3"/>
        </w:rPr>
        <w:t xml:space="preserve">statement </w:t>
      </w:r>
      <w:r>
        <w:t xml:space="preserve">of </w:t>
      </w:r>
      <w:r>
        <w:rPr>
          <w:spacing w:val="-3"/>
        </w:rPr>
        <w:t xml:space="preserve">reasons. </w:t>
      </w:r>
      <w:r>
        <w:t xml:space="preserve">The </w:t>
      </w:r>
      <w:r>
        <w:rPr>
          <w:spacing w:val="-3"/>
        </w:rPr>
        <w:t xml:space="preserve">statement </w:t>
      </w:r>
      <w:r>
        <w:t xml:space="preserve">of reasons should document </w:t>
      </w:r>
      <w:r>
        <w:rPr>
          <w:spacing w:val="-3"/>
        </w:rPr>
        <w:t>all relevant</w:t>
      </w:r>
      <w:r>
        <w:rPr>
          <w:spacing w:val="-5"/>
        </w:rPr>
        <w:t xml:space="preserve"> </w:t>
      </w:r>
      <w:r>
        <w:t>findings.</w:t>
      </w:r>
    </w:p>
    <w:p w:rsidR="0043526F" w:rsidRDefault="0043526F" w:rsidP="0043526F">
      <w:pPr>
        <w:pStyle w:val="Text"/>
      </w:pPr>
      <w:r>
        <w:t xml:space="preserve">A finding of material fact can be direct </w:t>
      </w:r>
      <w:r>
        <w:rPr>
          <w:spacing w:val="-6"/>
        </w:rPr>
        <w:t xml:space="preserve">(a </w:t>
      </w:r>
      <w:r>
        <w:t xml:space="preserve">primary </w:t>
      </w:r>
      <w:r>
        <w:rPr>
          <w:spacing w:val="-3"/>
        </w:rPr>
        <w:t xml:space="preserve">fact) </w:t>
      </w:r>
      <w:r>
        <w:t xml:space="preserve">or inferred </w:t>
      </w:r>
      <w:r>
        <w:rPr>
          <w:spacing w:val="-5"/>
        </w:rPr>
        <w:t xml:space="preserve">(an </w:t>
      </w:r>
      <w:r>
        <w:rPr>
          <w:spacing w:val="-3"/>
        </w:rPr>
        <w:t xml:space="preserve">ultimate fact). </w:t>
      </w:r>
      <w:r>
        <w:t xml:space="preserve">When a finding of fact is inferred, the </w:t>
      </w:r>
      <w:r>
        <w:rPr>
          <w:spacing w:val="-3"/>
        </w:rPr>
        <w:t xml:space="preserve">statement </w:t>
      </w:r>
      <w:r>
        <w:t>of reasons should document the primary facts and the process of</w:t>
      </w:r>
    </w:p>
    <w:p w:rsidR="0043526F" w:rsidRDefault="0043526F" w:rsidP="0043526F">
      <w:pPr>
        <w:pStyle w:val="Text"/>
        <w:rPr>
          <w:spacing w:val="-3"/>
        </w:rPr>
      </w:pPr>
      <w:proofErr w:type="gramStart"/>
      <w:r>
        <w:t>inference</w:t>
      </w:r>
      <w:proofErr w:type="gramEnd"/>
      <w:r>
        <w:t xml:space="preserve"> for the indirect </w:t>
      </w:r>
      <w:r>
        <w:rPr>
          <w:spacing w:val="-3"/>
        </w:rPr>
        <w:t xml:space="preserve">ultimate </w:t>
      </w:r>
      <w:r>
        <w:t xml:space="preserve">facts. The findings are the decision-maker’s conclusions about both kinds of material facts, based on the information </w:t>
      </w:r>
      <w:r>
        <w:rPr>
          <w:spacing w:val="-3"/>
        </w:rPr>
        <w:t xml:space="preserve">available </w:t>
      </w:r>
      <w:r>
        <w:t xml:space="preserve">to the </w:t>
      </w:r>
      <w:r>
        <w:rPr>
          <w:spacing w:val="-3"/>
        </w:rPr>
        <w:t xml:space="preserve">decision-maker, </w:t>
      </w:r>
      <w:r>
        <w:t xml:space="preserve">and on which the decision </w:t>
      </w:r>
      <w:r>
        <w:rPr>
          <w:spacing w:val="-3"/>
        </w:rPr>
        <w:t>was based.</w:t>
      </w:r>
    </w:p>
    <w:p w:rsidR="0043526F" w:rsidRDefault="0043526F" w:rsidP="0043526F">
      <w:pPr>
        <w:pStyle w:val="Text"/>
        <w:rPr>
          <w:spacing w:val="-3"/>
        </w:rPr>
      </w:pPr>
      <w:r>
        <w:t xml:space="preserve">If </w:t>
      </w:r>
      <w:r>
        <w:rPr>
          <w:spacing w:val="-3"/>
        </w:rPr>
        <w:t xml:space="preserve">any </w:t>
      </w:r>
      <w:r>
        <w:t xml:space="preserve">recommendations, submissions or reports were not accepted </w:t>
      </w:r>
      <w:r>
        <w:rPr>
          <w:spacing w:val="-3"/>
        </w:rPr>
        <w:t xml:space="preserve">by </w:t>
      </w:r>
      <w:r>
        <w:t xml:space="preserve">the decision-maker these should be </w:t>
      </w:r>
      <w:r>
        <w:rPr>
          <w:spacing w:val="-3"/>
        </w:rPr>
        <w:t xml:space="preserve">referenced, </w:t>
      </w:r>
      <w:r>
        <w:t xml:space="preserve">and the reasons </w:t>
      </w:r>
      <w:r>
        <w:rPr>
          <w:spacing w:val="-3"/>
        </w:rPr>
        <w:t xml:space="preserve">they </w:t>
      </w:r>
      <w:r>
        <w:t>were rejected</w:t>
      </w:r>
      <w:r>
        <w:rPr>
          <w:spacing w:val="-14"/>
        </w:rPr>
        <w:t xml:space="preserve"> </w:t>
      </w:r>
      <w:r>
        <w:t>should</w:t>
      </w:r>
      <w:r>
        <w:rPr>
          <w:spacing w:val="-14"/>
        </w:rPr>
        <w:t xml:space="preserve"> </w:t>
      </w:r>
      <w:r>
        <w:t>be</w:t>
      </w:r>
      <w:r>
        <w:rPr>
          <w:spacing w:val="-14"/>
        </w:rPr>
        <w:t xml:space="preserve"> </w:t>
      </w:r>
      <w:r>
        <w:t>included</w:t>
      </w:r>
      <w:r>
        <w:rPr>
          <w:spacing w:val="-14"/>
        </w:rPr>
        <w:t xml:space="preserve"> </w:t>
      </w:r>
      <w:r>
        <w:t>in</w:t>
      </w:r>
      <w:r>
        <w:rPr>
          <w:spacing w:val="-14"/>
        </w:rPr>
        <w:t xml:space="preserve"> </w:t>
      </w:r>
      <w:r>
        <w:t>the</w:t>
      </w:r>
      <w:r>
        <w:rPr>
          <w:spacing w:val="-14"/>
        </w:rPr>
        <w:t xml:space="preserve"> </w:t>
      </w:r>
      <w:r>
        <w:t>statement.</w:t>
      </w:r>
      <w:r>
        <w:rPr>
          <w:spacing w:val="-13"/>
        </w:rPr>
        <w:t xml:space="preserve"> </w:t>
      </w:r>
      <w:r>
        <w:t>If</w:t>
      </w:r>
      <w:r>
        <w:rPr>
          <w:spacing w:val="-13"/>
        </w:rPr>
        <w:t xml:space="preserve"> </w:t>
      </w:r>
      <w:r>
        <w:t xml:space="preserve">there is conflicting </w:t>
      </w:r>
      <w:r>
        <w:rPr>
          <w:spacing w:val="-3"/>
        </w:rPr>
        <w:t xml:space="preserve">evidence, </w:t>
      </w:r>
      <w:r>
        <w:t xml:space="preserve">the </w:t>
      </w:r>
      <w:r>
        <w:rPr>
          <w:spacing w:val="-3"/>
        </w:rPr>
        <w:t xml:space="preserve">statement </w:t>
      </w:r>
      <w:r>
        <w:t xml:space="preserve">should state which evidence </w:t>
      </w:r>
      <w:r>
        <w:rPr>
          <w:spacing w:val="-3"/>
        </w:rPr>
        <w:t xml:space="preserve">was </w:t>
      </w:r>
      <w:r>
        <w:t>preferred and the reasons for the</w:t>
      </w:r>
      <w:r>
        <w:rPr>
          <w:spacing w:val="-4"/>
        </w:rPr>
        <w:t xml:space="preserve"> </w:t>
      </w:r>
      <w:r>
        <w:rPr>
          <w:spacing w:val="-3"/>
        </w:rPr>
        <w:t>preference.</w:t>
      </w:r>
    </w:p>
    <w:p w:rsidR="0043526F" w:rsidRDefault="0043526F" w:rsidP="0043526F">
      <w:pPr>
        <w:pStyle w:val="Subhead3"/>
      </w:pPr>
      <w:r>
        <w:t>6. The reasons for the decision</w:t>
      </w:r>
    </w:p>
    <w:p w:rsidR="0043526F" w:rsidRDefault="0043526F" w:rsidP="0043526F">
      <w:pPr>
        <w:pStyle w:val="Text"/>
      </w:pPr>
      <w:r>
        <w:t>In this section, decision-makers would state their conclusions on the decisions that they reached, the reasons for these conclusions and the ultimate decision made.</w:t>
      </w:r>
    </w:p>
    <w:p w:rsidR="0043526F" w:rsidRDefault="0043526F" w:rsidP="0043526F">
      <w:pPr>
        <w:pStyle w:val="Text"/>
      </w:pPr>
      <w:r>
        <w:rPr>
          <w:spacing w:val="-3"/>
        </w:rPr>
        <w:t xml:space="preserve">Findings </w:t>
      </w:r>
      <w:r>
        <w:t xml:space="preserve">of fact would not </w:t>
      </w:r>
      <w:r>
        <w:rPr>
          <w:spacing w:val="-3"/>
        </w:rPr>
        <w:t xml:space="preserve">usually </w:t>
      </w:r>
      <w:r>
        <w:t>be repeated in this section.</w:t>
      </w:r>
    </w:p>
    <w:p w:rsidR="0043526F" w:rsidRDefault="0043526F" w:rsidP="0043526F">
      <w:pPr>
        <w:pStyle w:val="Text"/>
      </w:pPr>
      <w:r>
        <w:t>For instance, if a decision relates to a controlled action decision (section 75), then the reason for this decision will be based on the material fact (presented in the findings on material questions of fact section) that the relevant impacts the proposed action has, will have, or is likely to have on MNES are significant. Evidence of this fact may have been provided through ecological surveys or species profile information, contained in recommendations to the Minister—and presented in the section detailing ‘evidence or other material on which findings were based’.</w:t>
      </w:r>
    </w:p>
    <w:p w:rsidR="0043526F" w:rsidRDefault="0043526F" w:rsidP="0043526F">
      <w:pPr>
        <w:pStyle w:val="Subhead2"/>
      </w:pPr>
      <w:r>
        <w:t>Certain information not to be included in a statement of</w:t>
      </w:r>
      <w:r>
        <w:rPr>
          <w:rStyle w:val="nobreak"/>
        </w:rPr>
        <w:t xml:space="preserve"> </w:t>
      </w:r>
      <w:r>
        <w:t>reasons</w:t>
      </w:r>
    </w:p>
    <w:p w:rsidR="0043526F" w:rsidRDefault="0043526F" w:rsidP="0043526F">
      <w:pPr>
        <w:pStyle w:val="Subhead3"/>
      </w:pPr>
      <w:r>
        <w:t>Confidential personal or business</w:t>
      </w:r>
      <w:r>
        <w:rPr>
          <w:rStyle w:val="nobreak"/>
        </w:rPr>
        <w:t xml:space="preserve"> </w:t>
      </w:r>
      <w:r>
        <w:t>information</w:t>
      </w:r>
    </w:p>
    <w:p w:rsidR="0043526F" w:rsidRDefault="0043526F" w:rsidP="0043526F">
      <w:pPr>
        <w:pStyle w:val="Text"/>
      </w:pPr>
      <w:r>
        <w:t>Section 13A of the ADJR Act provides that personal or business affairs of someone other than the person making the request do not need to be disclosed if:</w:t>
      </w:r>
    </w:p>
    <w:p w:rsidR="0043526F" w:rsidRDefault="0043526F" w:rsidP="0043526F">
      <w:pPr>
        <w:pStyle w:val="Bullets1"/>
      </w:pPr>
      <w:r>
        <w:t xml:space="preserve">the information </w:t>
      </w:r>
      <w:r>
        <w:rPr>
          <w:spacing w:val="-3"/>
        </w:rPr>
        <w:t xml:space="preserve">was supplied </w:t>
      </w:r>
      <w:r>
        <w:t>in</w:t>
      </w:r>
      <w:r>
        <w:rPr>
          <w:spacing w:val="-19"/>
        </w:rPr>
        <w:t xml:space="preserve"> </w:t>
      </w:r>
      <w:r>
        <w:t>confidence;</w:t>
      </w:r>
    </w:p>
    <w:p w:rsidR="0043526F" w:rsidRDefault="0043526F" w:rsidP="0043526F">
      <w:pPr>
        <w:pStyle w:val="Bullets1"/>
      </w:pPr>
      <w:r>
        <w:t>the</w:t>
      </w:r>
      <w:r>
        <w:rPr>
          <w:spacing w:val="-12"/>
        </w:rPr>
        <w:t xml:space="preserve"> </w:t>
      </w:r>
      <w:r>
        <w:t>publication</w:t>
      </w:r>
      <w:r>
        <w:rPr>
          <w:spacing w:val="-12"/>
        </w:rPr>
        <w:t xml:space="preserve"> </w:t>
      </w:r>
      <w:r>
        <w:t>of</w:t>
      </w:r>
      <w:r>
        <w:rPr>
          <w:spacing w:val="-11"/>
        </w:rPr>
        <w:t xml:space="preserve"> </w:t>
      </w:r>
      <w:r>
        <w:t>the</w:t>
      </w:r>
      <w:r>
        <w:rPr>
          <w:spacing w:val="-12"/>
        </w:rPr>
        <w:t xml:space="preserve"> </w:t>
      </w:r>
      <w:r>
        <w:t>information</w:t>
      </w:r>
      <w:r>
        <w:rPr>
          <w:spacing w:val="-12"/>
        </w:rPr>
        <w:t xml:space="preserve"> </w:t>
      </w:r>
      <w:r>
        <w:t>would</w:t>
      </w:r>
      <w:r>
        <w:rPr>
          <w:spacing w:val="-12"/>
        </w:rPr>
        <w:t xml:space="preserve"> </w:t>
      </w:r>
      <w:r>
        <w:rPr>
          <w:spacing w:val="-3"/>
        </w:rPr>
        <w:t>reveal</w:t>
      </w:r>
      <w:r>
        <w:rPr>
          <w:spacing w:val="-12"/>
        </w:rPr>
        <w:t xml:space="preserve"> </w:t>
      </w:r>
      <w:r>
        <w:t>a trade secret;</w:t>
      </w:r>
      <w:r>
        <w:rPr>
          <w:spacing w:val="-10"/>
        </w:rPr>
        <w:t xml:space="preserve"> </w:t>
      </w:r>
      <w:r>
        <w:t>or</w:t>
      </w:r>
    </w:p>
    <w:p w:rsidR="0043526F" w:rsidRDefault="0043526F" w:rsidP="0043526F">
      <w:pPr>
        <w:pStyle w:val="Bullets1"/>
      </w:pPr>
      <w:proofErr w:type="gramStart"/>
      <w:r>
        <w:t>the</w:t>
      </w:r>
      <w:proofErr w:type="gramEnd"/>
      <w:r>
        <w:rPr>
          <w:spacing w:val="-9"/>
        </w:rPr>
        <w:t xml:space="preserve"> </w:t>
      </w:r>
      <w:r>
        <w:t>publication</w:t>
      </w:r>
      <w:r>
        <w:rPr>
          <w:spacing w:val="-9"/>
        </w:rPr>
        <w:t xml:space="preserve"> </w:t>
      </w:r>
      <w:r>
        <w:t>of</w:t>
      </w:r>
      <w:r>
        <w:rPr>
          <w:spacing w:val="-8"/>
        </w:rPr>
        <w:t xml:space="preserve"> </w:t>
      </w:r>
      <w:r>
        <w:t>the</w:t>
      </w:r>
      <w:r>
        <w:rPr>
          <w:spacing w:val="-9"/>
        </w:rPr>
        <w:t xml:space="preserve"> </w:t>
      </w:r>
      <w:r>
        <w:t>information</w:t>
      </w:r>
      <w:r>
        <w:rPr>
          <w:spacing w:val="-9"/>
        </w:rPr>
        <w:t xml:space="preserve"> </w:t>
      </w:r>
      <w:r>
        <w:t>would</w:t>
      </w:r>
      <w:r>
        <w:rPr>
          <w:spacing w:val="-9"/>
        </w:rPr>
        <w:t xml:space="preserve"> </w:t>
      </w:r>
      <w:r>
        <w:t>breach</w:t>
      </w:r>
      <w:r>
        <w:rPr>
          <w:spacing w:val="-9"/>
        </w:rPr>
        <w:t xml:space="preserve"> </w:t>
      </w:r>
      <w:r>
        <w:t>a statutory duty to keep the information confidential.</w:t>
      </w:r>
    </w:p>
    <w:p w:rsidR="0043526F" w:rsidRDefault="0043526F" w:rsidP="0043526F">
      <w:pPr>
        <w:pStyle w:val="Text"/>
      </w:pPr>
      <w:r>
        <w:t>Note that a statement does not need to be provided if the statement, without the confidential information, would be false or misleading.</w:t>
      </w:r>
    </w:p>
    <w:p w:rsidR="0043526F" w:rsidRDefault="0043526F" w:rsidP="0043526F">
      <w:pPr>
        <w:pStyle w:val="Text"/>
      </w:pPr>
      <w:r>
        <w:t xml:space="preserve">The use or disclosure of personal information </w:t>
      </w:r>
      <w:r>
        <w:rPr>
          <w:spacing w:val="-3"/>
        </w:rPr>
        <w:t>by</w:t>
      </w:r>
      <w:r>
        <w:rPr>
          <w:spacing w:val="-11"/>
        </w:rPr>
        <w:t xml:space="preserve"> </w:t>
      </w:r>
      <w:r>
        <w:t>Commonwealth</w:t>
      </w:r>
      <w:r>
        <w:rPr>
          <w:spacing w:val="-11"/>
        </w:rPr>
        <w:t xml:space="preserve"> </w:t>
      </w:r>
      <w:r>
        <w:t>agencies</w:t>
      </w:r>
      <w:r>
        <w:rPr>
          <w:spacing w:val="-11"/>
        </w:rPr>
        <w:t xml:space="preserve"> </w:t>
      </w:r>
      <w:r>
        <w:rPr>
          <w:spacing w:val="-3"/>
        </w:rPr>
        <w:t>may</w:t>
      </w:r>
      <w:r>
        <w:rPr>
          <w:spacing w:val="-11"/>
        </w:rPr>
        <w:t xml:space="preserve"> </w:t>
      </w:r>
      <w:r>
        <w:t>be</w:t>
      </w:r>
      <w:r>
        <w:rPr>
          <w:spacing w:val="-11"/>
        </w:rPr>
        <w:t xml:space="preserve"> </w:t>
      </w:r>
      <w:r>
        <w:t>made</w:t>
      </w:r>
      <w:r>
        <w:rPr>
          <w:spacing w:val="-11"/>
        </w:rPr>
        <w:t xml:space="preserve"> </w:t>
      </w:r>
      <w:r>
        <w:t>for</w:t>
      </w:r>
      <w:r>
        <w:rPr>
          <w:spacing w:val="-11"/>
        </w:rPr>
        <w:t xml:space="preserve"> </w:t>
      </w:r>
      <w:r>
        <w:t xml:space="preserve">a purpose authorised under </w:t>
      </w:r>
      <w:r>
        <w:rPr>
          <w:spacing w:val="-5"/>
        </w:rPr>
        <w:t xml:space="preserve">law. However, </w:t>
      </w:r>
      <w:r>
        <w:t>a</w:t>
      </w:r>
      <w:r>
        <w:rPr>
          <w:spacing w:val="-29"/>
        </w:rPr>
        <w:t xml:space="preserve"> </w:t>
      </w:r>
      <w:r>
        <w:rPr>
          <w:spacing w:val="-3"/>
        </w:rPr>
        <w:t xml:space="preserve">statement </w:t>
      </w:r>
      <w:r>
        <w:t>of</w:t>
      </w:r>
      <w:r>
        <w:rPr>
          <w:spacing w:val="-13"/>
        </w:rPr>
        <w:t xml:space="preserve"> </w:t>
      </w:r>
      <w:r>
        <w:t>reasons</w:t>
      </w:r>
      <w:r>
        <w:rPr>
          <w:spacing w:val="-14"/>
        </w:rPr>
        <w:t xml:space="preserve"> </w:t>
      </w:r>
      <w:r>
        <w:t>must</w:t>
      </w:r>
      <w:r>
        <w:rPr>
          <w:spacing w:val="-13"/>
        </w:rPr>
        <w:t xml:space="preserve"> </w:t>
      </w:r>
      <w:r>
        <w:t>comply</w:t>
      </w:r>
      <w:r>
        <w:rPr>
          <w:spacing w:val="-14"/>
        </w:rPr>
        <w:t xml:space="preserve"> </w:t>
      </w:r>
      <w:r>
        <w:t>with</w:t>
      </w:r>
      <w:r>
        <w:rPr>
          <w:spacing w:val="-14"/>
        </w:rPr>
        <w:t xml:space="preserve"> </w:t>
      </w:r>
      <w:r>
        <w:t>the</w:t>
      </w:r>
      <w:r>
        <w:rPr>
          <w:spacing w:val="-14"/>
        </w:rPr>
        <w:t xml:space="preserve"> </w:t>
      </w:r>
      <w:r>
        <w:t>Information</w:t>
      </w:r>
      <w:r>
        <w:rPr>
          <w:spacing w:val="-14"/>
        </w:rPr>
        <w:t xml:space="preserve"> </w:t>
      </w:r>
      <w:r>
        <w:t xml:space="preserve">Privacy Principles </w:t>
      </w:r>
      <w:r>
        <w:rPr>
          <w:spacing w:val="-2"/>
        </w:rPr>
        <w:t xml:space="preserve">set </w:t>
      </w:r>
      <w:r>
        <w:t xml:space="preserve">out in section </w:t>
      </w:r>
      <w:r>
        <w:rPr>
          <w:spacing w:val="-6"/>
        </w:rPr>
        <w:t xml:space="preserve">14 </w:t>
      </w:r>
      <w:r>
        <w:t xml:space="preserve">of the </w:t>
      </w:r>
      <w:r>
        <w:rPr>
          <w:rStyle w:val="TextItalic"/>
          <w:spacing w:val="-3"/>
        </w:rPr>
        <w:t xml:space="preserve">Privacy </w:t>
      </w:r>
      <w:r>
        <w:rPr>
          <w:rStyle w:val="TextItalic"/>
        </w:rPr>
        <w:t xml:space="preserve">Act </w:t>
      </w:r>
      <w:r>
        <w:rPr>
          <w:rStyle w:val="TextItalic"/>
          <w:spacing w:val="-3"/>
        </w:rPr>
        <w:t xml:space="preserve">1988 </w:t>
      </w:r>
      <w:r>
        <w:rPr>
          <w:spacing w:val="-3"/>
        </w:rPr>
        <w:t xml:space="preserve">(the </w:t>
      </w:r>
      <w:r>
        <w:t xml:space="preserve">Privacy </w:t>
      </w:r>
      <w:r>
        <w:rPr>
          <w:spacing w:val="-3"/>
        </w:rPr>
        <w:t xml:space="preserve">Act). </w:t>
      </w:r>
      <w:r>
        <w:t xml:space="preserve">In </w:t>
      </w:r>
      <w:r>
        <w:rPr>
          <w:spacing w:val="-3"/>
        </w:rPr>
        <w:t xml:space="preserve">particular, </w:t>
      </w:r>
      <w:r>
        <w:t xml:space="preserve">Principle </w:t>
      </w:r>
      <w:r>
        <w:rPr>
          <w:spacing w:val="-4"/>
        </w:rPr>
        <w:t xml:space="preserve">10 </w:t>
      </w:r>
      <w:r>
        <w:t xml:space="preserve">sets limits on the use of personal information </w:t>
      </w:r>
      <w:r>
        <w:rPr>
          <w:spacing w:val="-3"/>
        </w:rPr>
        <w:t xml:space="preserve">by </w:t>
      </w:r>
      <w:r>
        <w:t xml:space="preserve">Commonwealth agencies and Principle </w:t>
      </w:r>
      <w:r>
        <w:rPr>
          <w:spacing w:val="-10"/>
        </w:rPr>
        <w:t>11</w:t>
      </w:r>
      <w:r>
        <w:rPr>
          <w:spacing w:val="-39"/>
        </w:rPr>
        <w:t xml:space="preserve"> </w:t>
      </w:r>
      <w:r>
        <w:t>sets limits on the disclosure of this information by these agencies.</w:t>
      </w:r>
    </w:p>
    <w:p w:rsidR="0043526F" w:rsidRDefault="0043526F" w:rsidP="0043526F">
      <w:pPr>
        <w:pStyle w:val="Text"/>
      </w:pPr>
      <w:r>
        <w:t>Section 6 of the Privacy Act defines ‘personal information’ as including information or an opinion about an individual whose identity is apparent or can</w:t>
      </w:r>
      <w:r>
        <w:rPr>
          <w:spacing w:val="-15"/>
        </w:rPr>
        <w:t xml:space="preserve"> </w:t>
      </w:r>
      <w:r>
        <w:t>be</w:t>
      </w:r>
      <w:r>
        <w:rPr>
          <w:spacing w:val="-15"/>
        </w:rPr>
        <w:t xml:space="preserve"> </w:t>
      </w:r>
      <w:r>
        <w:t>reasonably</w:t>
      </w:r>
      <w:r>
        <w:rPr>
          <w:spacing w:val="-15"/>
        </w:rPr>
        <w:t xml:space="preserve"> </w:t>
      </w:r>
      <w:r>
        <w:t>ascertained,</w:t>
      </w:r>
      <w:r>
        <w:rPr>
          <w:spacing w:val="-14"/>
        </w:rPr>
        <w:t xml:space="preserve"> </w:t>
      </w:r>
      <w:r>
        <w:t>from</w:t>
      </w:r>
      <w:r>
        <w:rPr>
          <w:spacing w:val="-14"/>
        </w:rPr>
        <w:t xml:space="preserve"> </w:t>
      </w:r>
      <w:r>
        <w:t>the</w:t>
      </w:r>
      <w:r>
        <w:rPr>
          <w:spacing w:val="-15"/>
        </w:rPr>
        <w:t xml:space="preserve"> </w:t>
      </w:r>
      <w:r>
        <w:t>information or</w:t>
      </w:r>
      <w:r>
        <w:rPr>
          <w:spacing w:val="-5"/>
        </w:rPr>
        <w:t xml:space="preserve"> </w:t>
      </w:r>
      <w:r>
        <w:t>opinion.</w:t>
      </w:r>
    </w:p>
    <w:p w:rsidR="0043526F" w:rsidRDefault="0043526F" w:rsidP="0043526F">
      <w:pPr>
        <w:pStyle w:val="Text"/>
        <w:rPr>
          <w:spacing w:val="-3"/>
        </w:rPr>
      </w:pPr>
      <w:r>
        <w:t xml:space="preserve">In the </w:t>
      </w:r>
      <w:r>
        <w:rPr>
          <w:spacing w:val="-3"/>
        </w:rPr>
        <w:t xml:space="preserve">AAT </w:t>
      </w:r>
      <w:r>
        <w:t>Act, there are no similar rules relating to</w:t>
      </w:r>
      <w:r>
        <w:rPr>
          <w:spacing w:val="-15"/>
        </w:rPr>
        <w:t xml:space="preserve"> </w:t>
      </w:r>
      <w:r>
        <w:t>confidential</w:t>
      </w:r>
      <w:r>
        <w:rPr>
          <w:spacing w:val="-15"/>
        </w:rPr>
        <w:t xml:space="preserve"> </w:t>
      </w:r>
      <w:r>
        <w:t>information.</w:t>
      </w:r>
      <w:r>
        <w:rPr>
          <w:spacing w:val="-15"/>
        </w:rPr>
        <w:t xml:space="preserve"> </w:t>
      </w:r>
      <w:r>
        <w:t>Once</w:t>
      </w:r>
      <w:r>
        <w:rPr>
          <w:spacing w:val="-15"/>
        </w:rPr>
        <w:t xml:space="preserve"> </w:t>
      </w:r>
      <w:r>
        <w:t>proceedings</w:t>
      </w:r>
      <w:r>
        <w:rPr>
          <w:spacing w:val="-15"/>
        </w:rPr>
        <w:t xml:space="preserve"> </w:t>
      </w:r>
      <w:r>
        <w:rPr>
          <w:spacing w:val="-3"/>
        </w:rPr>
        <w:t xml:space="preserve">have </w:t>
      </w:r>
      <w:r>
        <w:t xml:space="preserve">begun </w:t>
      </w:r>
      <w:r>
        <w:rPr>
          <w:spacing w:val="-5"/>
        </w:rPr>
        <w:t xml:space="preserve">however, </w:t>
      </w:r>
      <w:r>
        <w:t xml:space="preserve">the </w:t>
      </w:r>
      <w:r>
        <w:rPr>
          <w:spacing w:val="-4"/>
        </w:rPr>
        <w:t xml:space="preserve">Tribunal </w:t>
      </w:r>
      <w:r>
        <w:t>has power under sections</w:t>
      </w:r>
      <w:r>
        <w:rPr>
          <w:spacing w:val="-7"/>
        </w:rPr>
        <w:t xml:space="preserve"> </w:t>
      </w:r>
      <w:r>
        <w:rPr>
          <w:spacing w:val="-4"/>
        </w:rPr>
        <w:t>35(2)</w:t>
      </w:r>
      <w:r>
        <w:rPr>
          <w:spacing w:val="-7"/>
        </w:rPr>
        <w:t xml:space="preserve"> </w:t>
      </w:r>
      <w:r>
        <w:t>and</w:t>
      </w:r>
      <w:r>
        <w:rPr>
          <w:spacing w:val="-7"/>
        </w:rPr>
        <w:t xml:space="preserve"> </w:t>
      </w:r>
      <w:r>
        <w:rPr>
          <w:spacing w:val="-3"/>
        </w:rPr>
        <w:t>37</w:t>
      </w:r>
      <w:r>
        <w:rPr>
          <w:spacing w:val="-7"/>
        </w:rPr>
        <w:t xml:space="preserve"> </w:t>
      </w:r>
      <w:r>
        <w:t>of</w:t>
      </w:r>
      <w:r>
        <w:rPr>
          <w:spacing w:val="-7"/>
        </w:rPr>
        <w:t xml:space="preserve"> </w:t>
      </w:r>
      <w:r>
        <w:t>the</w:t>
      </w:r>
      <w:r>
        <w:rPr>
          <w:spacing w:val="-7"/>
        </w:rPr>
        <w:t xml:space="preserve"> </w:t>
      </w:r>
      <w:r>
        <w:rPr>
          <w:spacing w:val="-3"/>
        </w:rPr>
        <w:t>AAT</w:t>
      </w:r>
      <w:r>
        <w:rPr>
          <w:spacing w:val="-7"/>
        </w:rPr>
        <w:t xml:space="preserve"> </w:t>
      </w:r>
      <w:r>
        <w:t>Act</w:t>
      </w:r>
      <w:r>
        <w:rPr>
          <w:spacing w:val="-7"/>
        </w:rPr>
        <w:t xml:space="preserve"> </w:t>
      </w:r>
      <w:r>
        <w:t>to</w:t>
      </w:r>
      <w:r>
        <w:rPr>
          <w:spacing w:val="-7"/>
        </w:rPr>
        <w:t xml:space="preserve"> </w:t>
      </w:r>
      <w:r>
        <w:t xml:space="preserve">prohibit or restrict the disclosure of confidential material. It is therefore open to a decision </w:t>
      </w:r>
      <w:r>
        <w:rPr>
          <w:spacing w:val="-3"/>
        </w:rPr>
        <w:t xml:space="preserve">maker </w:t>
      </w:r>
      <w:r>
        <w:t>at that stage to ask the tribunal to restrict the disclosure of</w:t>
      </w:r>
      <w:r>
        <w:rPr>
          <w:spacing w:val="-11"/>
        </w:rPr>
        <w:t xml:space="preserve"> </w:t>
      </w:r>
      <w:r>
        <w:t>confidential</w:t>
      </w:r>
      <w:r>
        <w:rPr>
          <w:spacing w:val="-11"/>
        </w:rPr>
        <w:t xml:space="preserve"> </w:t>
      </w:r>
      <w:r>
        <w:t>information</w:t>
      </w:r>
      <w:r>
        <w:rPr>
          <w:spacing w:val="-11"/>
        </w:rPr>
        <w:t xml:space="preserve"> </w:t>
      </w:r>
      <w:r>
        <w:t>included</w:t>
      </w:r>
      <w:r>
        <w:rPr>
          <w:spacing w:val="-11"/>
        </w:rPr>
        <w:t xml:space="preserve"> </w:t>
      </w:r>
      <w:r>
        <w:t>in</w:t>
      </w:r>
      <w:r>
        <w:rPr>
          <w:spacing w:val="-11"/>
        </w:rPr>
        <w:t xml:space="preserve"> </w:t>
      </w:r>
      <w:r>
        <w:t>a</w:t>
      </w:r>
      <w:r>
        <w:rPr>
          <w:spacing w:val="-11"/>
        </w:rPr>
        <w:t xml:space="preserve"> </w:t>
      </w:r>
      <w:r>
        <w:rPr>
          <w:spacing w:val="-3"/>
        </w:rPr>
        <w:t xml:space="preserve">statement </w:t>
      </w:r>
      <w:r>
        <w:t>of</w:t>
      </w:r>
      <w:r>
        <w:rPr>
          <w:spacing w:val="-4"/>
        </w:rPr>
        <w:t xml:space="preserve"> </w:t>
      </w:r>
      <w:r>
        <w:rPr>
          <w:spacing w:val="-3"/>
        </w:rPr>
        <w:t>reasons.</w:t>
      </w:r>
    </w:p>
    <w:p w:rsidR="0043526F" w:rsidRDefault="0043526F" w:rsidP="0043526F">
      <w:pPr>
        <w:pStyle w:val="Subhead3"/>
      </w:pPr>
      <w:r>
        <w:lastRenderedPageBreak/>
        <w:t>Legal professional privilege</w:t>
      </w:r>
    </w:p>
    <w:p w:rsidR="0043526F" w:rsidRDefault="0043526F" w:rsidP="0043526F">
      <w:pPr>
        <w:pStyle w:val="Text"/>
      </w:pPr>
      <w:r>
        <w:t>Legal professional privilege, also known as client legal privilege, may attach to legal advice and other communications with the Department’s Legal Section or an external legal provider including requests for legal advice. Legal professional privilege protects</w:t>
      </w:r>
    </w:p>
    <w:p w:rsidR="0043526F" w:rsidRDefault="0043526F" w:rsidP="0043526F">
      <w:pPr>
        <w:pStyle w:val="Text"/>
      </w:pPr>
      <w:proofErr w:type="gramStart"/>
      <w:r>
        <w:t>the</w:t>
      </w:r>
      <w:proofErr w:type="gramEnd"/>
      <w:r>
        <w:t xml:space="preserve"> confidentiality of communications between a lawyer and their client. If the party claiming privilege (the client) has acted inconsistently with maintaining confidentiality, a court may determine that legal professional privilege has been waived and order the disclosure of the relevant legal advice.</w:t>
      </w:r>
    </w:p>
    <w:p w:rsidR="0043526F" w:rsidRDefault="0043526F" w:rsidP="0043526F">
      <w:pPr>
        <w:pStyle w:val="Text"/>
      </w:pPr>
      <w:r>
        <w:t>Generally, a reference in a statement of reasons to legal advice on an administrative issue such as the timing of a decision or the interpretation of a provision in particular legislation will not waive privilege. However, in cases where the decision maker has relied on the legal advice in making the decision and the statement of reasons reveals the substance of the legal advice, either expressly or by implication, privilege may be waived.</w:t>
      </w:r>
    </w:p>
    <w:p w:rsidR="0043526F" w:rsidRDefault="0043526F" w:rsidP="0043526F">
      <w:pPr>
        <w:pStyle w:val="Subhead2"/>
      </w:pPr>
      <w:r>
        <w:t>Change of person holding</w:t>
      </w:r>
      <w:r>
        <w:rPr>
          <w:rStyle w:val="nobreak"/>
        </w:rPr>
        <w:t xml:space="preserve"> </w:t>
      </w:r>
      <w:r>
        <w:t>office</w:t>
      </w:r>
    </w:p>
    <w:p w:rsidR="0043526F" w:rsidRDefault="0043526F" w:rsidP="0043526F">
      <w:pPr>
        <w:pStyle w:val="Text"/>
        <w:rPr>
          <w:spacing w:val="-3"/>
        </w:rPr>
      </w:pPr>
      <w:r>
        <w:t>Under</w:t>
      </w:r>
      <w:r>
        <w:rPr>
          <w:spacing w:val="-9"/>
        </w:rPr>
        <w:t xml:space="preserve"> </w:t>
      </w:r>
      <w:r>
        <w:t>section</w:t>
      </w:r>
      <w:r>
        <w:rPr>
          <w:spacing w:val="-9"/>
        </w:rPr>
        <w:t xml:space="preserve"> </w:t>
      </w:r>
      <w:r>
        <w:rPr>
          <w:spacing w:val="-7"/>
        </w:rPr>
        <w:t>17</w:t>
      </w:r>
      <w:r>
        <w:rPr>
          <w:spacing w:val="-9"/>
        </w:rPr>
        <w:t xml:space="preserve"> </w:t>
      </w:r>
      <w:r>
        <w:t>of</w:t>
      </w:r>
      <w:r>
        <w:rPr>
          <w:spacing w:val="-9"/>
        </w:rPr>
        <w:t xml:space="preserve"> </w:t>
      </w:r>
      <w:r>
        <w:t>the</w:t>
      </w:r>
      <w:r>
        <w:rPr>
          <w:spacing w:val="-9"/>
        </w:rPr>
        <w:t xml:space="preserve"> </w:t>
      </w:r>
      <w:r>
        <w:t>AJDR</w:t>
      </w:r>
      <w:r>
        <w:rPr>
          <w:spacing w:val="-9"/>
        </w:rPr>
        <w:t xml:space="preserve"> </w:t>
      </w:r>
      <w:r>
        <w:t>Act,</w:t>
      </w:r>
      <w:r>
        <w:rPr>
          <w:spacing w:val="-9"/>
        </w:rPr>
        <w:t xml:space="preserve"> </w:t>
      </w:r>
      <w:r>
        <w:t>where</w:t>
      </w:r>
      <w:r>
        <w:rPr>
          <w:spacing w:val="-9"/>
        </w:rPr>
        <w:t xml:space="preserve"> </w:t>
      </w:r>
      <w:r>
        <w:t>a</w:t>
      </w:r>
      <w:r>
        <w:rPr>
          <w:spacing w:val="-9"/>
        </w:rPr>
        <w:t xml:space="preserve"> </w:t>
      </w:r>
      <w:r>
        <w:t xml:space="preserve">person made a </w:t>
      </w:r>
      <w:r>
        <w:rPr>
          <w:spacing w:val="-3"/>
        </w:rPr>
        <w:t xml:space="preserve">reviewable </w:t>
      </w:r>
      <w:r>
        <w:t>decision under the ADJR Act in the performance of the duties of an office and that person no longer performs the duties of that office,</w:t>
      </w:r>
      <w:r>
        <w:rPr>
          <w:spacing w:val="-10"/>
        </w:rPr>
        <w:t xml:space="preserve"> </w:t>
      </w:r>
      <w:r>
        <w:t>the</w:t>
      </w:r>
      <w:r>
        <w:rPr>
          <w:spacing w:val="-10"/>
        </w:rPr>
        <w:t xml:space="preserve"> </w:t>
      </w:r>
      <w:r>
        <w:t>person</w:t>
      </w:r>
      <w:r>
        <w:rPr>
          <w:spacing w:val="-10"/>
        </w:rPr>
        <w:t xml:space="preserve"> </w:t>
      </w:r>
      <w:r>
        <w:t>currently</w:t>
      </w:r>
      <w:r>
        <w:rPr>
          <w:spacing w:val="-10"/>
        </w:rPr>
        <w:t xml:space="preserve"> </w:t>
      </w:r>
      <w:r>
        <w:t>holding</w:t>
      </w:r>
      <w:r>
        <w:rPr>
          <w:spacing w:val="-10"/>
        </w:rPr>
        <w:t xml:space="preserve"> </w:t>
      </w:r>
      <w:r>
        <w:t>that</w:t>
      </w:r>
      <w:r>
        <w:rPr>
          <w:spacing w:val="-10"/>
        </w:rPr>
        <w:t xml:space="preserve"> </w:t>
      </w:r>
      <w:r>
        <w:t>office</w:t>
      </w:r>
      <w:r>
        <w:rPr>
          <w:spacing w:val="-10"/>
        </w:rPr>
        <w:t xml:space="preserve"> </w:t>
      </w:r>
      <w:r>
        <w:rPr>
          <w:spacing w:val="-3"/>
        </w:rPr>
        <w:t xml:space="preserve">(their successor, </w:t>
      </w:r>
      <w:r>
        <w:t xml:space="preserve">or the person acting in the </w:t>
      </w:r>
      <w:r>
        <w:rPr>
          <w:spacing w:val="-3"/>
        </w:rPr>
        <w:t xml:space="preserve">position) </w:t>
      </w:r>
      <w:r>
        <w:t xml:space="preserve">should prepare the </w:t>
      </w:r>
      <w:r>
        <w:rPr>
          <w:spacing w:val="-3"/>
        </w:rPr>
        <w:t xml:space="preserve">statement </w:t>
      </w:r>
      <w:r>
        <w:t>of</w:t>
      </w:r>
      <w:r>
        <w:rPr>
          <w:spacing w:val="-24"/>
        </w:rPr>
        <w:t xml:space="preserve"> </w:t>
      </w:r>
      <w:r>
        <w:rPr>
          <w:spacing w:val="-3"/>
        </w:rPr>
        <w:t>reasons.</w:t>
      </w:r>
    </w:p>
    <w:p w:rsidR="0043526F" w:rsidRDefault="0043526F" w:rsidP="0043526F">
      <w:pPr>
        <w:pStyle w:val="Text"/>
      </w:pPr>
      <w:r>
        <w:t>For example, if the relevant primary decision-maker was the Minister and he or she had vacated their position due to a machinery of government change, then the new Minister can prepare the statement of reasons.</w:t>
      </w:r>
    </w:p>
    <w:p w:rsidR="0043526F" w:rsidRDefault="0043526F" w:rsidP="0043526F">
      <w:pPr>
        <w:pStyle w:val="Subhead2"/>
      </w:pPr>
      <w:r>
        <w:t>Request for further</w:t>
      </w:r>
      <w:r>
        <w:rPr>
          <w:rStyle w:val="nobreak"/>
        </w:rPr>
        <w:t xml:space="preserve"> </w:t>
      </w:r>
      <w:r>
        <w:t>information</w:t>
      </w:r>
    </w:p>
    <w:p w:rsidR="0043526F" w:rsidRDefault="0043526F" w:rsidP="0043526F">
      <w:pPr>
        <w:pStyle w:val="Text"/>
      </w:pPr>
      <w:r>
        <w:t xml:space="preserve">After the Minister provides a </w:t>
      </w:r>
      <w:r>
        <w:rPr>
          <w:spacing w:val="-3"/>
        </w:rPr>
        <w:t xml:space="preserve">statement </w:t>
      </w:r>
      <w:r>
        <w:t xml:space="preserve">of reasons to a person, that person </w:t>
      </w:r>
      <w:r>
        <w:rPr>
          <w:spacing w:val="-3"/>
        </w:rPr>
        <w:t xml:space="preserve">may </w:t>
      </w:r>
      <w:r>
        <w:t>seek further information.</w:t>
      </w:r>
    </w:p>
    <w:p w:rsidR="0043526F" w:rsidRDefault="0043526F" w:rsidP="0043526F">
      <w:pPr>
        <w:pStyle w:val="Text"/>
      </w:pPr>
      <w:r>
        <w:t>Section 13(7) of the ADJR Act allows the Federal Court or the Federal Magistrates Court to order the Minister to furnish to the requestor an additional statement containing “</w:t>
      </w:r>
      <w:r>
        <w:rPr>
          <w:rStyle w:val="TextItalic"/>
        </w:rPr>
        <w:t>further and better particulars</w:t>
      </w:r>
      <w:r>
        <w:t xml:space="preserve">” where the Court considers that the </w:t>
      </w:r>
      <w:proofErr w:type="spellStart"/>
      <w:r>
        <w:t>SoR</w:t>
      </w:r>
      <w:proofErr w:type="spellEnd"/>
      <w:r>
        <w:t xml:space="preserve"> does not contain:</w:t>
      </w:r>
    </w:p>
    <w:p w:rsidR="0043526F" w:rsidRDefault="0043526F" w:rsidP="0043526F">
      <w:pPr>
        <w:pStyle w:val="Bullets1"/>
      </w:pPr>
      <w:r>
        <w:rPr>
          <w:spacing w:val="-3"/>
        </w:rPr>
        <w:t xml:space="preserve">adequate </w:t>
      </w:r>
      <w:r>
        <w:t>particulars of findings on</w:t>
      </w:r>
      <w:r>
        <w:rPr>
          <w:spacing w:val="-26"/>
        </w:rPr>
        <w:t xml:space="preserve"> </w:t>
      </w:r>
      <w:r>
        <w:t>material questions of fact;</w:t>
      </w:r>
    </w:p>
    <w:p w:rsidR="0043526F" w:rsidRDefault="0043526F" w:rsidP="0043526F">
      <w:pPr>
        <w:pStyle w:val="Bullets1"/>
      </w:pPr>
      <w:r>
        <w:t xml:space="preserve">an </w:t>
      </w:r>
      <w:r>
        <w:rPr>
          <w:spacing w:val="-3"/>
        </w:rPr>
        <w:t xml:space="preserve">adequate </w:t>
      </w:r>
      <w:r>
        <w:t>reference to the evidence or other</w:t>
      </w:r>
      <w:r>
        <w:rPr>
          <w:spacing w:val="-13"/>
        </w:rPr>
        <w:t xml:space="preserve"> </w:t>
      </w:r>
      <w:r>
        <w:t>material</w:t>
      </w:r>
      <w:r>
        <w:rPr>
          <w:spacing w:val="-13"/>
        </w:rPr>
        <w:t xml:space="preserve"> </w:t>
      </w:r>
      <w:r>
        <w:t>on</w:t>
      </w:r>
      <w:r>
        <w:rPr>
          <w:spacing w:val="-13"/>
        </w:rPr>
        <w:t xml:space="preserve"> </w:t>
      </w:r>
      <w:r>
        <w:t>which</w:t>
      </w:r>
      <w:r>
        <w:rPr>
          <w:spacing w:val="-13"/>
        </w:rPr>
        <w:t xml:space="preserve"> </w:t>
      </w:r>
      <w:r>
        <w:t>those</w:t>
      </w:r>
      <w:r>
        <w:rPr>
          <w:spacing w:val="-13"/>
        </w:rPr>
        <w:t xml:space="preserve"> </w:t>
      </w:r>
      <w:r>
        <w:t>findings</w:t>
      </w:r>
      <w:r>
        <w:rPr>
          <w:spacing w:val="-13"/>
        </w:rPr>
        <w:t xml:space="preserve"> </w:t>
      </w:r>
      <w:r>
        <w:t xml:space="preserve">were </w:t>
      </w:r>
      <w:r>
        <w:rPr>
          <w:spacing w:val="-3"/>
        </w:rPr>
        <w:t>based;</w:t>
      </w:r>
      <w:r>
        <w:rPr>
          <w:spacing w:val="-4"/>
        </w:rPr>
        <w:t xml:space="preserve"> </w:t>
      </w:r>
      <w:r>
        <w:t>or</w:t>
      </w:r>
    </w:p>
    <w:p w:rsidR="0043526F" w:rsidRDefault="0043526F" w:rsidP="0043526F">
      <w:pPr>
        <w:pStyle w:val="Bullets1"/>
      </w:pPr>
      <w:proofErr w:type="gramStart"/>
      <w:r>
        <w:rPr>
          <w:spacing w:val="-3"/>
        </w:rPr>
        <w:t>adequate</w:t>
      </w:r>
      <w:proofErr w:type="gramEnd"/>
      <w:r>
        <w:rPr>
          <w:spacing w:val="-10"/>
        </w:rPr>
        <w:t xml:space="preserve"> </w:t>
      </w:r>
      <w:r>
        <w:t>particulars</w:t>
      </w:r>
      <w:r>
        <w:rPr>
          <w:spacing w:val="-9"/>
        </w:rPr>
        <w:t xml:space="preserve"> </w:t>
      </w:r>
      <w:r>
        <w:t>of</w:t>
      </w:r>
      <w:r>
        <w:rPr>
          <w:spacing w:val="-9"/>
        </w:rPr>
        <w:t xml:space="preserve"> </w:t>
      </w:r>
      <w:r>
        <w:t>the</w:t>
      </w:r>
      <w:r>
        <w:rPr>
          <w:spacing w:val="-10"/>
        </w:rPr>
        <w:t xml:space="preserve"> </w:t>
      </w:r>
      <w:r>
        <w:t>reasons</w:t>
      </w:r>
      <w:r>
        <w:rPr>
          <w:spacing w:val="-10"/>
        </w:rPr>
        <w:t xml:space="preserve"> </w:t>
      </w:r>
      <w:r>
        <w:t>for the</w:t>
      </w:r>
      <w:r>
        <w:rPr>
          <w:spacing w:val="-5"/>
        </w:rPr>
        <w:t xml:space="preserve"> </w:t>
      </w:r>
      <w:r>
        <w:t>decision.</w:t>
      </w:r>
    </w:p>
    <w:p w:rsidR="0043526F" w:rsidRDefault="0043526F" w:rsidP="0043526F">
      <w:pPr>
        <w:pStyle w:val="Text"/>
      </w:pPr>
      <w:r>
        <w:rPr>
          <w:spacing w:val="-3"/>
        </w:rPr>
        <w:t xml:space="preserve">Therefore, </w:t>
      </w:r>
      <w:r>
        <w:t xml:space="preserve">if a person provided with a </w:t>
      </w:r>
      <w:r>
        <w:rPr>
          <w:spacing w:val="-3"/>
        </w:rPr>
        <w:t xml:space="preserve">statement </w:t>
      </w:r>
      <w:r>
        <w:t>of</w:t>
      </w:r>
      <w:r>
        <w:rPr>
          <w:spacing w:val="-13"/>
        </w:rPr>
        <w:t xml:space="preserve"> </w:t>
      </w:r>
      <w:r>
        <w:t>reasons</w:t>
      </w:r>
      <w:r>
        <w:rPr>
          <w:spacing w:val="-14"/>
        </w:rPr>
        <w:t xml:space="preserve"> </w:t>
      </w:r>
      <w:r>
        <w:t>seeks</w:t>
      </w:r>
      <w:r>
        <w:rPr>
          <w:spacing w:val="-13"/>
        </w:rPr>
        <w:t xml:space="preserve"> </w:t>
      </w:r>
      <w:r>
        <w:t>further</w:t>
      </w:r>
      <w:r>
        <w:rPr>
          <w:spacing w:val="-13"/>
        </w:rPr>
        <w:t xml:space="preserve"> </w:t>
      </w:r>
      <w:r>
        <w:t>information,</w:t>
      </w:r>
      <w:r>
        <w:rPr>
          <w:spacing w:val="-13"/>
        </w:rPr>
        <w:t xml:space="preserve"> </w:t>
      </w:r>
      <w:r>
        <w:t>the</w:t>
      </w:r>
      <w:r>
        <w:rPr>
          <w:spacing w:val="-14"/>
        </w:rPr>
        <w:t xml:space="preserve"> </w:t>
      </w:r>
      <w:r>
        <w:t xml:space="preserve">decision </w:t>
      </w:r>
      <w:r>
        <w:rPr>
          <w:spacing w:val="-3"/>
        </w:rPr>
        <w:t>maker</w:t>
      </w:r>
      <w:r>
        <w:rPr>
          <w:spacing w:val="-10"/>
        </w:rPr>
        <w:t xml:space="preserve"> </w:t>
      </w:r>
      <w:r>
        <w:t>would</w:t>
      </w:r>
      <w:r>
        <w:rPr>
          <w:spacing w:val="-11"/>
        </w:rPr>
        <w:t xml:space="preserve"> </w:t>
      </w:r>
      <w:r>
        <w:rPr>
          <w:spacing w:val="-3"/>
        </w:rPr>
        <w:t>usually</w:t>
      </w:r>
      <w:r>
        <w:rPr>
          <w:spacing w:val="-11"/>
        </w:rPr>
        <w:t xml:space="preserve"> </w:t>
      </w:r>
      <w:r>
        <w:t>consider</w:t>
      </w:r>
      <w:r>
        <w:rPr>
          <w:spacing w:val="-10"/>
        </w:rPr>
        <w:t xml:space="preserve"> </w:t>
      </w:r>
      <w:r>
        <w:t>whether</w:t>
      </w:r>
      <w:r>
        <w:rPr>
          <w:spacing w:val="-10"/>
        </w:rPr>
        <w:t xml:space="preserve"> </w:t>
      </w:r>
      <w:r>
        <w:t>the</w:t>
      </w:r>
      <w:r>
        <w:rPr>
          <w:spacing w:val="-11"/>
        </w:rPr>
        <w:t xml:space="preserve"> </w:t>
      </w:r>
      <w:r>
        <w:t>original statement of reasons provided adequate particulars. If it did not, a more detailed statement of reasons may be provided.</w:t>
      </w:r>
    </w:p>
    <w:p w:rsidR="0043526F" w:rsidRDefault="0043526F" w:rsidP="0043526F">
      <w:pPr>
        <w:pStyle w:val="Text"/>
      </w:pPr>
      <w:r>
        <w:t>If a person requests documents referred to in the statement of reasons, the Department will usually:</w:t>
      </w:r>
    </w:p>
    <w:p w:rsidR="0043526F" w:rsidRDefault="0043526F" w:rsidP="0043526F">
      <w:pPr>
        <w:pStyle w:val="Bullets1"/>
      </w:pPr>
      <w:r>
        <w:t>First, contact the requestor to ascertain whether they consider that the reference to evidence or other material in the statement of reasons was inadequate. If this is the issue, and the Minister agrees, a more detailed statement of reasons should</w:t>
      </w:r>
      <w:r>
        <w:rPr>
          <w:rStyle w:val="nobreak"/>
        </w:rPr>
        <w:t xml:space="preserve"> </w:t>
      </w:r>
      <w:r>
        <w:t>be provided.</w:t>
      </w:r>
    </w:p>
    <w:p w:rsidR="0043526F" w:rsidRDefault="0043526F" w:rsidP="0043526F">
      <w:pPr>
        <w:pStyle w:val="Bullets1"/>
      </w:pPr>
      <w:r>
        <w:t>Second, if the person wants the documents referred to in the statement of reasons, and those documents are not publicly available, the Department would assess whether any information in the document is likely to be sensitive in any way. In particular, is any of the information legal-in-confidence or commercial-in-</w:t>
      </w:r>
      <w:proofErr w:type="gramStart"/>
      <w:r>
        <w:t>confidence.</w:t>
      </w:r>
      <w:proofErr w:type="gramEnd"/>
      <w:r>
        <w:t xml:space="preserve"> If none of the information is likely to be sensitive, then the Department may release the documents.</w:t>
      </w:r>
    </w:p>
    <w:p w:rsidR="0043526F" w:rsidRDefault="0043526F" w:rsidP="0043526F">
      <w:pPr>
        <w:pStyle w:val="Bullets1"/>
      </w:pPr>
      <w:r>
        <w:t>Third, if the Department considers that any of the information in the documents requested could be sensitive, the requestor may put in an FOI request, in order that the Department can properly assess FOI exemptions.</w:t>
      </w:r>
    </w:p>
    <w:p w:rsidR="0043526F" w:rsidRDefault="00CB76A4" w:rsidP="0043526F">
      <w:pPr>
        <w:pStyle w:val="Subhead1"/>
      </w:pPr>
      <w:r>
        <w:lastRenderedPageBreak/>
        <w:br/>
      </w:r>
      <w:r>
        <w:br/>
      </w:r>
      <w:r w:rsidR="0043526F">
        <w:t xml:space="preserve">Publication </w:t>
      </w:r>
      <w:r w:rsidR="0043526F">
        <w:rPr>
          <w:spacing w:val="-5"/>
        </w:rPr>
        <w:t xml:space="preserve">of </w:t>
      </w:r>
      <w:r w:rsidR="0043526F">
        <w:t xml:space="preserve">statements </w:t>
      </w:r>
      <w:r w:rsidR="0043526F">
        <w:rPr>
          <w:spacing w:val="-5"/>
        </w:rPr>
        <w:t xml:space="preserve">of </w:t>
      </w:r>
      <w:r w:rsidR="0043526F">
        <w:t>reasons</w:t>
      </w:r>
    </w:p>
    <w:p w:rsidR="0043526F" w:rsidRDefault="0043526F" w:rsidP="0043526F">
      <w:pPr>
        <w:pStyle w:val="Text"/>
      </w:pPr>
      <w:r>
        <w:t>As detailed in Table 1, the publication of certain statements of reasons is a mandatory requirement under the EPBC Act. In other cases, and consistent with the government’s policies on transparency in government decision-making, statements of reasons requested under other provisions of the EPBC Act should also be published on the Department’s website.</w:t>
      </w:r>
    </w:p>
    <w:p w:rsidR="0043526F" w:rsidRDefault="0043526F" w:rsidP="0043526F">
      <w:pPr>
        <w:pStyle w:val="Text"/>
      </w:pPr>
      <w:r>
        <w:t>Once the Minister has provided a person with a statement of reasons, the person is able to deal with it in whatever manner the person feels is appropriate, subject to any restrictions on confidentiality of information contained in it,</w:t>
      </w:r>
      <w:r w:rsidR="00CB76A4">
        <w:t xml:space="preserve"> </w:t>
      </w:r>
      <w:r>
        <w:t>including commercial-in-confidence and/or personal information. It is the responsibility of the person to consider and comply with those restrictions.</w:t>
      </w:r>
    </w:p>
    <w:p w:rsidR="0043526F" w:rsidRDefault="0043526F" w:rsidP="0043526F">
      <w:pPr>
        <w:pStyle w:val="Subhead1"/>
      </w:pPr>
      <w:r>
        <w:t xml:space="preserve">Processes </w:t>
      </w:r>
      <w:r>
        <w:rPr>
          <w:spacing w:val="-8"/>
        </w:rPr>
        <w:t xml:space="preserve">for legal </w:t>
      </w:r>
      <w:r>
        <w:t xml:space="preserve">action following </w:t>
      </w:r>
      <w:r>
        <w:rPr>
          <w:spacing w:val="-8"/>
        </w:rPr>
        <w:t xml:space="preserve">the issue </w:t>
      </w:r>
      <w:r>
        <w:rPr>
          <w:spacing w:val="-5"/>
        </w:rPr>
        <w:t xml:space="preserve">of </w:t>
      </w:r>
      <w:r>
        <w:t xml:space="preserve">decisions </w:t>
      </w:r>
      <w:r>
        <w:rPr>
          <w:spacing w:val="-8"/>
        </w:rPr>
        <w:t xml:space="preserve">and </w:t>
      </w:r>
      <w:r>
        <w:t xml:space="preserve">statements </w:t>
      </w:r>
      <w:r>
        <w:rPr>
          <w:spacing w:val="-5"/>
        </w:rPr>
        <w:t xml:space="preserve">of </w:t>
      </w:r>
      <w:r>
        <w:t>reason</w:t>
      </w:r>
    </w:p>
    <w:p w:rsidR="0043526F" w:rsidRDefault="0043526F" w:rsidP="0043526F">
      <w:pPr>
        <w:pStyle w:val="Text"/>
      </w:pPr>
      <w:r>
        <w:t>Regardless of whether the decision maker provides a statement of reasons, certain persons have rights of review of decisions under the EPBC Act. However, if a statement of reasons is provided for such a decision, the time for a person to bring proceedings to review the decision may be affected.</w:t>
      </w:r>
    </w:p>
    <w:p w:rsidR="0043526F" w:rsidRDefault="0043526F" w:rsidP="0043526F">
      <w:pPr>
        <w:pStyle w:val="Text"/>
      </w:pPr>
      <w:r>
        <w:t>Depending on the particular decision made under the EPBC Act, the following rights of review may be available to a person affected by the decision:</w:t>
      </w:r>
    </w:p>
    <w:p w:rsidR="0043526F" w:rsidRDefault="0043526F" w:rsidP="0043526F">
      <w:pPr>
        <w:pStyle w:val="Bullets1"/>
        <w:rPr>
          <w:spacing w:val="-3"/>
        </w:rPr>
      </w:pPr>
      <w:r>
        <w:t>Internal merits</w:t>
      </w:r>
      <w:r>
        <w:rPr>
          <w:spacing w:val="-9"/>
        </w:rPr>
        <w:t xml:space="preserve"> </w:t>
      </w:r>
      <w:r>
        <w:rPr>
          <w:spacing w:val="-3"/>
        </w:rPr>
        <w:t>review;</w:t>
      </w:r>
    </w:p>
    <w:p w:rsidR="0043526F" w:rsidRDefault="0043526F" w:rsidP="0043526F">
      <w:pPr>
        <w:pStyle w:val="Bullets1"/>
      </w:pPr>
      <w:r>
        <w:t xml:space="preserve">External merits </w:t>
      </w:r>
      <w:r>
        <w:rPr>
          <w:spacing w:val="-3"/>
        </w:rPr>
        <w:t>review;</w:t>
      </w:r>
      <w:r>
        <w:rPr>
          <w:spacing w:val="-13"/>
        </w:rPr>
        <w:t xml:space="preserve"> </w:t>
      </w:r>
      <w:r>
        <w:t>and</w:t>
      </w:r>
    </w:p>
    <w:p w:rsidR="0043526F" w:rsidRDefault="0043526F" w:rsidP="0043526F">
      <w:pPr>
        <w:pStyle w:val="Bullets1"/>
        <w:rPr>
          <w:spacing w:val="-4"/>
        </w:rPr>
      </w:pPr>
      <w:r>
        <w:t>Judicial</w:t>
      </w:r>
      <w:r>
        <w:rPr>
          <w:spacing w:val="-5"/>
        </w:rPr>
        <w:t xml:space="preserve"> </w:t>
      </w:r>
      <w:r>
        <w:rPr>
          <w:spacing w:val="-4"/>
        </w:rPr>
        <w:t>review.</w:t>
      </w:r>
    </w:p>
    <w:p w:rsidR="0043526F" w:rsidRDefault="0043526F" w:rsidP="0043526F">
      <w:pPr>
        <w:pStyle w:val="Subhead4"/>
      </w:pPr>
      <w:r>
        <w:t>Table 1: Specific provisions in the EPBC Act that require a statement of reasons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2640"/>
        <w:gridCol w:w="1304"/>
        <w:gridCol w:w="2293"/>
        <w:gridCol w:w="2409"/>
      </w:tblGrid>
      <w:tr w:rsidR="0069458F" w:rsidRPr="00686412" w:rsidTr="00CB76A4">
        <w:trPr>
          <w:cantSplit/>
          <w:trHeight w:val="170"/>
          <w:tblHeader/>
        </w:trPr>
        <w:tc>
          <w:tcPr>
            <w:tcW w:w="1442" w:type="dxa"/>
            <w:shd w:val="clear" w:color="auto" w:fill="D9D9D9" w:themeFill="background1" w:themeFillShade="D9"/>
            <w:tcMar>
              <w:top w:w="113" w:type="dxa"/>
              <w:left w:w="113" w:type="dxa"/>
              <w:bottom w:w="113" w:type="dxa"/>
              <w:right w:w="113" w:type="dxa"/>
            </w:tcMar>
          </w:tcPr>
          <w:p w:rsidR="0043526F" w:rsidRPr="00686412" w:rsidRDefault="0043526F" w:rsidP="009401AD">
            <w:pPr>
              <w:pStyle w:val="Text"/>
              <w:spacing w:after="0" w:line="240" w:lineRule="auto"/>
            </w:pPr>
            <w:r w:rsidRPr="00686412">
              <w:rPr>
                <w:rStyle w:val="TextBold"/>
                <w:bCs w:val="0"/>
              </w:rPr>
              <w:t xml:space="preserve">EPBC Act </w:t>
            </w:r>
            <w:r w:rsidRPr="00686412">
              <w:rPr>
                <w:rStyle w:val="TextBold"/>
                <w:bCs w:val="0"/>
              </w:rPr>
              <w:br/>
              <w:t>provision</w:t>
            </w:r>
          </w:p>
        </w:tc>
        <w:tc>
          <w:tcPr>
            <w:tcW w:w="2640" w:type="dxa"/>
            <w:shd w:val="clear" w:color="auto" w:fill="D9D9D9" w:themeFill="background1" w:themeFillShade="D9"/>
            <w:tcMar>
              <w:top w:w="113" w:type="dxa"/>
              <w:left w:w="113" w:type="dxa"/>
              <w:bottom w:w="113" w:type="dxa"/>
              <w:right w:w="113" w:type="dxa"/>
            </w:tcMar>
          </w:tcPr>
          <w:p w:rsidR="0043526F" w:rsidRPr="00686412" w:rsidRDefault="0043526F" w:rsidP="009401AD">
            <w:pPr>
              <w:pStyle w:val="Text"/>
              <w:spacing w:after="0" w:line="240" w:lineRule="auto"/>
            </w:pPr>
            <w:r w:rsidRPr="00686412">
              <w:rPr>
                <w:rStyle w:val="TextBold"/>
                <w:bCs w:val="0"/>
              </w:rPr>
              <w:t>Statement of reasons is required when</w:t>
            </w:r>
          </w:p>
        </w:tc>
        <w:tc>
          <w:tcPr>
            <w:tcW w:w="1304" w:type="dxa"/>
            <w:shd w:val="clear" w:color="auto" w:fill="D9D9D9" w:themeFill="background1" w:themeFillShade="D9"/>
            <w:tcMar>
              <w:top w:w="113" w:type="dxa"/>
              <w:left w:w="113" w:type="dxa"/>
              <w:bottom w:w="113" w:type="dxa"/>
              <w:right w:w="113" w:type="dxa"/>
            </w:tcMar>
          </w:tcPr>
          <w:p w:rsidR="0043526F" w:rsidRPr="00686412" w:rsidRDefault="0043526F" w:rsidP="009401AD">
            <w:pPr>
              <w:pStyle w:val="Text"/>
              <w:spacing w:after="0" w:line="240" w:lineRule="auto"/>
            </w:pPr>
            <w:r w:rsidRPr="00686412">
              <w:rPr>
                <w:rStyle w:val="TextBold"/>
                <w:bCs w:val="0"/>
              </w:rPr>
              <w:t>When required</w:t>
            </w:r>
          </w:p>
        </w:tc>
        <w:tc>
          <w:tcPr>
            <w:tcW w:w="2293" w:type="dxa"/>
            <w:shd w:val="clear" w:color="auto" w:fill="D9D9D9" w:themeFill="background1" w:themeFillShade="D9"/>
            <w:tcMar>
              <w:top w:w="113" w:type="dxa"/>
              <w:left w:w="113" w:type="dxa"/>
              <w:bottom w:w="113" w:type="dxa"/>
              <w:right w:w="113" w:type="dxa"/>
            </w:tcMar>
          </w:tcPr>
          <w:p w:rsidR="0043526F" w:rsidRPr="00686412" w:rsidRDefault="0043526F" w:rsidP="009401AD">
            <w:pPr>
              <w:pStyle w:val="Text"/>
              <w:spacing w:after="0" w:line="240" w:lineRule="auto"/>
            </w:pPr>
            <w:r w:rsidRPr="00686412">
              <w:rPr>
                <w:rStyle w:val="TextBold"/>
                <w:bCs w:val="0"/>
              </w:rPr>
              <w:t>Who is entitled to a statement of reasons?</w:t>
            </w:r>
          </w:p>
        </w:tc>
        <w:tc>
          <w:tcPr>
            <w:tcW w:w="2409" w:type="dxa"/>
            <w:shd w:val="clear" w:color="auto" w:fill="D9D9D9" w:themeFill="background1" w:themeFillShade="D9"/>
            <w:tcMar>
              <w:top w:w="113" w:type="dxa"/>
              <w:left w:w="113" w:type="dxa"/>
              <w:bottom w:w="113" w:type="dxa"/>
              <w:right w:w="113" w:type="dxa"/>
            </w:tcMar>
          </w:tcPr>
          <w:p w:rsidR="0043526F" w:rsidRPr="00686412" w:rsidRDefault="0043526F" w:rsidP="009401AD">
            <w:pPr>
              <w:pStyle w:val="Text"/>
              <w:spacing w:after="0" w:line="240" w:lineRule="auto"/>
            </w:pPr>
            <w:r w:rsidRPr="00686412">
              <w:rPr>
                <w:rStyle w:val="TextBold"/>
                <w:bCs w:val="0"/>
              </w:rPr>
              <w:t>What is the timeframe for providing a statement of reasons?</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45(4)</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Minister or delegate (‘the decision-maker’) enters into a bilateral agreement with a State or Territory.</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statement—no</w:t>
            </w:r>
            <w:r w:rsidRPr="00686412">
              <w:rPr>
                <w:rStyle w:val="nobreak"/>
              </w:rPr>
              <w:t xml:space="preserve"> </w:t>
            </w:r>
            <w:r w:rsidRPr="00686412">
              <w:t>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As soon as practicable after entering into the Agreement</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57(3)</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if a bilateral agreement has been contravened and what action should be taken in relation to the contravention.</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statement—no</w:t>
            </w:r>
            <w:r w:rsidRPr="00686412">
              <w:rPr>
                <w:rStyle w:val="nobreak"/>
              </w:rPr>
              <w:t xml:space="preserve"> </w:t>
            </w:r>
            <w:r w:rsidRPr="00686412">
              <w:t>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Not specified</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59(5)</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gives notice of suspension or cancellation of a bilateral agreement to a State or Territory Minister.</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State or Territory Minister. Statement must also be published as soon as practicable after notice of suspension or cancellation provided</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Statement of reasons must be provided to state or territory Minister with notice of suspension or cancellation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lastRenderedPageBreak/>
              <w:t>Subsection 63(5)</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suspends or cancels bilateral agreement at request of other party.</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statement—no</w:t>
            </w:r>
            <w:r w:rsidRPr="00686412">
              <w:rPr>
                <w:rStyle w:val="nobreak"/>
              </w:rPr>
              <w:t xml:space="preserve"> </w:t>
            </w:r>
            <w:r w:rsidRPr="00686412">
              <w:t>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As soon as practicable after suspension or cancellation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74C(2)</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that an action a person is proposing to take is clearly unacceptable.</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person proposing to take an action and (if different) the person who referred the action</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As soon as practicable after making the decision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77(4)</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whether or not an action is a controlled action, and the person proposing to take an action or the designated proponent who received notice of the decision requests reasons for that decision.</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Upon request</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person proposing to take an action or a proponent designated by the Minister</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28 days of a request (if the request is made within 28 days of being given notice of the Minister’s decision)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78C(4)</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reconsiders a decision about an action, if the person requesting the reconsideration, person proposing to take the action or the designated proponent request reasons.</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Upon request</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person who requested the reconsideration see sections 78C(2)(a), (b) and (c); (who may be any person other than a Minister of a state or self-governing territory) the person proposing to take an action; or a proponent designated by the Minister</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28 days of a request (if the request is made within 28 days of being given notice of the Minister’s decision to reconsider an action)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79(3)</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reconsiders decision about an action on request by</w:t>
            </w:r>
            <w:r w:rsidRPr="00686412">
              <w:rPr>
                <w:rStyle w:val="nobreak"/>
              </w:rPr>
              <w:t xml:space="preserve"> </w:t>
            </w:r>
            <w:r w:rsidRPr="00686412">
              <w:t>a State or Territory.</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Minister who requested the reconsideration</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20 business days of receiving a request from a state or territory Minister</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158(7)</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grants an exemption, under section 158, from</w:t>
            </w:r>
            <w:r w:rsidRPr="00686412">
              <w:rPr>
                <w:rStyle w:val="nobreak"/>
              </w:rPr>
              <w:t xml:space="preserve"> </w:t>
            </w:r>
            <w:r w:rsidRPr="00686412">
              <w:t>Part</w:t>
            </w:r>
            <w:r w:rsidRPr="00686412">
              <w:rPr>
                <w:rStyle w:val="nobreak"/>
              </w:rPr>
              <w:t xml:space="preserve"> </w:t>
            </w:r>
            <w:r w:rsidRPr="00686412">
              <w:t>3 or from Chapter 4 of the EPBC Act.</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 in accordance with regulations—no 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10 business days of making a notice of exemption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194Q(8)</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not to include an item in a Subdivision A List (Threatened Species and Ecological Communities).</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Required if an item was nominated by a person under section 194E(1)</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A person who nominated an item in response to a notice under section 194E(1)</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10 business days of making a decision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lastRenderedPageBreak/>
              <w:t>Subsection 269AA(9)</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to have an initial recovery plan and any subsequent recovery plan decisions.</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 in accordance with regulations—no 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Not specified</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270A(8)</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to have a threat abatement plan.</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 in accordance with regulations—no 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Not specified</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283A(2)</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revokes a recovery plan for a listed threatened species or listed threatened ecological community.</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 in accordance with regulations—no specific recipient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Not specified</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303A(7)</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grants an exemption from Chapter 5 Part 13 under section 303A.</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Published statement and copy provided to the person specified in the notice</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10 business days of making a notice</w:t>
            </w:r>
            <w:r w:rsidRPr="00686412">
              <w:rPr>
                <w:rStyle w:val="nobreak"/>
              </w:rPr>
              <w:t xml:space="preserve"> </w:t>
            </w:r>
            <w:r w:rsidRPr="00686412">
              <w:t>of exemption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324JJ(8)</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not to include assessed place in Natural Heritage List.</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Advise the person who nominated the place which includes the assessed place under section324(J)</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10 business days of making the decision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324L(3)(b)</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removes all or part of a place or part of the National Heritage values of a place from the National Heritage List.</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 notice in the Gazette that includes statement of reasons for removal and publish a copy of notice on</w:t>
            </w:r>
            <w:r w:rsidRPr="00686412">
              <w:rPr>
                <w:rStyle w:val="nobreak"/>
              </w:rPr>
              <w:t xml:space="preserve"> </w:t>
            </w:r>
            <w:r w:rsidRPr="00686412">
              <w:t>the internet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 specified time for publication in the gazette—internet publication to be made within 10 business days of the publication of the</w:t>
            </w:r>
          </w:p>
          <w:p w:rsidR="0043526F" w:rsidRPr="00686412" w:rsidRDefault="0043526F" w:rsidP="0071208B">
            <w:pPr>
              <w:pStyle w:val="Tabletext"/>
            </w:pPr>
            <w:r w:rsidRPr="00686412">
              <w:t>notice in the Gazette</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341JI(9)</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decides not to include any part of a place in the Commonwealth Heritage List.</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A person responding to a notice under section</w:t>
            </w:r>
            <w:r w:rsidRPr="00686412">
              <w:rPr>
                <w:rStyle w:val="nobreak"/>
                <w:spacing w:val="-2"/>
              </w:rPr>
              <w:t xml:space="preserve"> </w:t>
            </w:r>
            <w:r w:rsidRPr="00686412">
              <w:t>341(H)1 of the decision and the reasons for it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10 business days of making the decision</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341L(4)</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decision-maker removes all or part of a place or Commonwealth Heritage values of a place from the Commonwealth Heritage List.</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Publish notice in the Gazette that includes statement of reasons for removal and publish a copy of notice on the internet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 specified time for publication in the gazette—internet publication to be made within 10 business days of the publication of the</w:t>
            </w:r>
          </w:p>
          <w:p w:rsidR="0043526F" w:rsidRPr="00686412" w:rsidRDefault="0043526F" w:rsidP="0071208B">
            <w:pPr>
              <w:pStyle w:val="Tabletext"/>
            </w:pPr>
            <w:r w:rsidRPr="00686412">
              <w:t>notice in the Gazette</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lastRenderedPageBreak/>
              <w:t>Subsection 364(5)</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Resolving disagreement between Director and Board over the implementation of a plan—the decision-maker receives report and recommendations from the Director National Parks and Board of Management and then gives directions for a Commonwealth reserve implementation plan.</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Director of National Parks and</w:t>
            </w:r>
            <w:r w:rsidRPr="00686412">
              <w:rPr>
                <w:rStyle w:val="nobreak"/>
              </w:rPr>
              <w:t xml:space="preserve"> </w:t>
            </w:r>
            <w:r w:rsidRPr="00686412">
              <w:t>Boards of Management for</w:t>
            </w:r>
            <w:r w:rsidRPr="00686412">
              <w:rPr>
                <w:rStyle w:val="nobreak"/>
              </w:rPr>
              <w:t xml:space="preserve"> </w:t>
            </w:r>
            <w:r w:rsidRPr="00686412">
              <w:t>national parks</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No specified time for providing a statement of reasons</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369(5)</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Resolving disagreement between Director and Board in a planning process—the decision-maker receives report and recommendations from Board of National Parks and Director of National Parks and then gives directions over the planning process.</w:t>
            </w:r>
          </w:p>
        </w:tc>
        <w:tc>
          <w:tcPr>
            <w:tcW w:w="1304" w:type="dxa"/>
            <w:shd w:val="clear" w:color="auto" w:fill="auto"/>
            <w:tcMar>
              <w:top w:w="113" w:type="dxa"/>
              <w:left w:w="113" w:type="dxa"/>
              <w:bottom w:w="113" w:type="dxa"/>
              <w:right w:w="113" w:type="dxa"/>
            </w:tcMar>
          </w:tcPr>
          <w:p w:rsidR="0043526F" w:rsidRPr="00686412" w:rsidRDefault="0043526F" w:rsidP="009401AD">
            <w:pPr>
              <w:pStyle w:val="NoParagraphStyle"/>
              <w:spacing w:before="120" w:line="240" w:lineRule="auto"/>
              <w:textAlignment w:val="auto"/>
              <w:rPr>
                <w:rFonts w:ascii="Myriad Pro" w:hAnsi="Myriad Pro" w:cstheme="minorBidi"/>
                <w:color w:val="auto"/>
                <w:sz w:val="20"/>
                <w:szCs w:val="20"/>
                <w:lang w:val="en-AU"/>
              </w:rPr>
            </w:pP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Director of National Parks and</w:t>
            </w:r>
            <w:r w:rsidRPr="00686412">
              <w:rPr>
                <w:rStyle w:val="nobreak"/>
              </w:rPr>
              <w:t xml:space="preserve"> </w:t>
            </w:r>
            <w:r w:rsidRPr="00686412">
              <w:t>Boards of Management for</w:t>
            </w:r>
            <w:r w:rsidRPr="00686412">
              <w:rPr>
                <w:rStyle w:val="nobreak"/>
              </w:rPr>
              <w:t xml:space="preserve"> </w:t>
            </w:r>
            <w:r w:rsidRPr="00686412">
              <w:t>national parks</w:t>
            </w:r>
          </w:p>
        </w:tc>
        <w:tc>
          <w:tcPr>
            <w:tcW w:w="2409" w:type="dxa"/>
            <w:shd w:val="clear" w:color="auto" w:fill="auto"/>
            <w:tcMar>
              <w:top w:w="113" w:type="dxa"/>
              <w:left w:w="113" w:type="dxa"/>
              <w:bottom w:w="113" w:type="dxa"/>
              <w:right w:w="113" w:type="dxa"/>
            </w:tcMar>
          </w:tcPr>
          <w:p w:rsidR="0043526F" w:rsidRPr="00686412" w:rsidRDefault="0043526F" w:rsidP="009401AD">
            <w:pPr>
              <w:pStyle w:val="NoParagraphStyle"/>
              <w:spacing w:before="120" w:line="240" w:lineRule="auto"/>
              <w:textAlignment w:val="auto"/>
              <w:rPr>
                <w:rFonts w:ascii="Myriad Pro" w:hAnsi="Myriad Pro" w:cstheme="minorBidi"/>
                <w:color w:val="auto"/>
                <w:sz w:val="20"/>
                <w:szCs w:val="20"/>
                <w:lang w:val="en-AU"/>
              </w:rPr>
            </w:pP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Section 472</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A delegate of the Minister gives notice of advice under Chapter 6 Part</w:t>
            </w:r>
            <w:r w:rsidRPr="00686412">
              <w:rPr>
                <w:rStyle w:val="nobreak"/>
              </w:rPr>
              <w:t xml:space="preserve"> </w:t>
            </w:r>
            <w:r w:rsidRPr="00686412">
              <w:t>17 Division 13 to a person who is not a Commonwealth agency, notice must include statement that person may seek merits review under the AAT Act and that the person may request a statement of reasons under section</w:t>
            </w:r>
            <w:r w:rsidRPr="00686412">
              <w:rPr>
                <w:rStyle w:val="nobreak"/>
              </w:rPr>
              <w:t xml:space="preserve"> </w:t>
            </w:r>
            <w:r w:rsidRPr="00686412">
              <w:t>28 of the AAT Act.</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Persons proposing to take action which the person believes may contravene a conservation order may request a statement of reasons</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person requesting the statement of reasons</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Within 28 calendar days of the receipt of a request from an applicant</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Section 514YA(3)</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A decision is made on an application for reconsideration of a fee.</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 xml:space="preserve">Always required </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The applicant of the reconsideration of a fee</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 xml:space="preserve">Within 30 business days of the receipt of the application </w:t>
            </w:r>
          </w:p>
        </w:tc>
      </w:tr>
      <w:tr w:rsidR="009401AD" w:rsidRPr="00686412" w:rsidTr="00CB76A4">
        <w:trPr>
          <w:cantSplit/>
          <w:trHeight w:val="170"/>
        </w:trPr>
        <w:tc>
          <w:tcPr>
            <w:tcW w:w="1442" w:type="dxa"/>
            <w:shd w:val="clear" w:color="auto" w:fill="auto"/>
            <w:tcMar>
              <w:top w:w="113" w:type="dxa"/>
              <w:left w:w="113" w:type="dxa"/>
              <w:bottom w:w="113" w:type="dxa"/>
              <w:right w:w="113" w:type="dxa"/>
            </w:tcMar>
          </w:tcPr>
          <w:p w:rsidR="0043526F" w:rsidRPr="00686412" w:rsidRDefault="0043526F" w:rsidP="0071208B">
            <w:pPr>
              <w:pStyle w:val="Tabletext"/>
            </w:pPr>
            <w:r w:rsidRPr="00686412">
              <w:t>Subsection 518(2)</w:t>
            </w:r>
          </w:p>
        </w:tc>
        <w:tc>
          <w:tcPr>
            <w:tcW w:w="2640" w:type="dxa"/>
            <w:shd w:val="clear" w:color="auto" w:fill="auto"/>
            <w:tcMar>
              <w:top w:w="113" w:type="dxa"/>
              <w:left w:w="113" w:type="dxa"/>
              <w:bottom w:w="113" w:type="dxa"/>
              <w:right w:w="113" w:type="dxa"/>
            </w:tcMar>
          </w:tcPr>
          <w:p w:rsidR="0043526F" w:rsidRPr="00686412" w:rsidRDefault="0043526F" w:rsidP="0071208B">
            <w:pPr>
              <w:pStyle w:val="Tabletext"/>
            </w:pPr>
            <w:r w:rsidRPr="00686412">
              <w:t>One or more things required under the Act or Regulations is not done within period required.</w:t>
            </w:r>
          </w:p>
        </w:tc>
        <w:tc>
          <w:tcPr>
            <w:tcW w:w="1304" w:type="dxa"/>
            <w:shd w:val="clear" w:color="auto" w:fill="auto"/>
            <w:tcMar>
              <w:top w:w="113" w:type="dxa"/>
              <w:left w:w="113" w:type="dxa"/>
              <w:bottom w:w="113" w:type="dxa"/>
              <w:right w:w="113" w:type="dxa"/>
            </w:tcMar>
          </w:tcPr>
          <w:p w:rsidR="0043526F" w:rsidRPr="00686412" w:rsidRDefault="0043526F" w:rsidP="0071208B">
            <w:pPr>
              <w:pStyle w:val="Tabletext"/>
            </w:pPr>
            <w:r w:rsidRPr="00686412">
              <w:t>Always required</w:t>
            </w:r>
          </w:p>
        </w:tc>
        <w:tc>
          <w:tcPr>
            <w:tcW w:w="2293" w:type="dxa"/>
            <w:shd w:val="clear" w:color="auto" w:fill="auto"/>
            <w:tcMar>
              <w:top w:w="113" w:type="dxa"/>
              <w:left w:w="113" w:type="dxa"/>
              <w:bottom w:w="113" w:type="dxa"/>
              <w:right w:w="113" w:type="dxa"/>
            </w:tcMar>
          </w:tcPr>
          <w:p w:rsidR="0043526F" w:rsidRPr="00686412" w:rsidRDefault="0043526F" w:rsidP="0071208B">
            <w:pPr>
              <w:pStyle w:val="Tabletext"/>
            </w:pPr>
            <w:r w:rsidRPr="00686412">
              <w:t>Both houses of parliament</w:t>
            </w:r>
          </w:p>
        </w:tc>
        <w:tc>
          <w:tcPr>
            <w:tcW w:w="2409" w:type="dxa"/>
            <w:shd w:val="clear" w:color="auto" w:fill="auto"/>
            <w:tcMar>
              <w:top w:w="113" w:type="dxa"/>
              <w:left w:w="113" w:type="dxa"/>
              <w:bottom w:w="113" w:type="dxa"/>
              <w:right w:w="113" w:type="dxa"/>
            </w:tcMar>
          </w:tcPr>
          <w:p w:rsidR="0043526F" w:rsidRPr="00686412" w:rsidRDefault="0043526F" w:rsidP="0071208B">
            <w:pPr>
              <w:pStyle w:val="Tabletext"/>
            </w:pPr>
            <w:r w:rsidRPr="00686412">
              <w:t>As soon as practicable after the end of the financial year</w:t>
            </w:r>
          </w:p>
        </w:tc>
      </w:tr>
    </w:tbl>
    <w:p w:rsidR="0043526F" w:rsidRDefault="0043526F" w:rsidP="0043526F">
      <w:pPr>
        <w:pStyle w:val="Text"/>
        <w:rPr>
          <w:rFonts w:ascii="Times New Roman" w:hAnsi="Times New Roman"/>
          <w:sz w:val="22"/>
          <w:szCs w:val="22"/>
        </w:rPr>
      </w:pPr>
    </w:p>
    <w:p w:rsidR="0043526F" w:rsidRDefault="0043526F" w:rsidP="0043526F">
      <w:pPr>
        <w:pStyle w:val="Text"/>
      </w:pPr>
      <w:r>
        <w:t>Please note that this list is not intended to be exhaustive of the obligation to provide a statement of reasons under the EPBC Act. Administrative decisions made that are substantive, determinative, final or operative may be subject to a requirement to prepare and provide a statement of reasons.</w:t>
      </w:r>
    </w:p>
    <w:p w:rsidR="0043526F" w:rsidRDefault="0043526F" w:rsidP="0043526F">
      <w:pPr>
        <w:pStyle w:val="Text"/>
      </w:pPr>
    </w:p>
    <w:p w:rsidR="0043526F" w:rsidRDefault="0043526F" w:rsidP="0043526F">
      <w:pPr>
        <w:pStyle w:val="Subhead2"/>
      </w:pPr>
      <w:r>
        <w:lastRenderedPageBreak/>
        <w:t>Note to Table 1—extended standing for judicial review under sections 487 and 488 of the EPBC Act</w:t>
      </w:r>
    </w:p>
    <w:p w:rsidR="0043526F" w:rsidRDefault="0043526F" w:rsidP="0043526F">
      <w:pPr>
        <w:pStyle w:val="Subhead3"/>
      </w:pPr>
      <w:r>
        <w:t>487 Extended standing for judicial</w:t>
      </w:r>
      <w:r>
        <w:rPr>
          <w:rStyle w:val="nobreak"/>
        </w:rPr>
        <w:t xml:space="preserve"> </w:t>
      </w:r>
      <w:r>
        <w:t>review</w:t>
      </w:r>
    </w:p>
    <w:p w:rsidR="0043526F" w:rsidRDefault="0043526F" w:rsidP="0043526F">
      <w:pPr>
        <w:pStyle w:val="ListParagraph"/>
      </w:pPr>
      <w:r>
        <w:t xml:space="preserve">This section extends (and does not limit) the meaning of the term person aggrieved in the </w:t>
      </w:r>
      <w:r>
        <w:rPr>
          <w:rStyle w:val="TextItalic"/>
        </w:rPr>
        <w:t>Administrative Decisions (Judicial Review) Act</w:t>
      </w:r>
      <w:r>
        <w:rPr>
          <w:rStyle w:val="nobreak"/>
        </w:rPr>
        <w:t xml:space="preserve"> </w:t>
      </w:r>
      <w:r>
        <w:rPr>
          <w:rStyle w:val="TextItalic"/>
        </w:rPr>
        <w:t xml:space="preserve">1977 </w:t>
      </w:r>
      <w:r>
        <w:t>for the purposes of the application of that Act in relation to:</w:t>
      </w:r>
    </w:p>
    <w:p w:rsidR="0043526F" w:rsidRDefault="0043526F" w:rsidP="0043526F">
      <w:pPr>
        <w:pStyle w:val="Listparagraph2"/>
      </w:pPr>
      <w:r>
        <w:t>a decision made under this Act or the regulations; or</w:t>
      </w:r>
    </w:p>
    <w:p w:rsidR="0043526F" w:rsidRDefault="0043526F" w:rsidP="0043526F">
      <w:pPr>
        <w:pStyle w:val="Listparagraph2"/>
      </w:pPr>
      <w:r>
        <w:t>a failure to make a decision under this Act or</w:t>
      </w:r>
      <w:r>
        <w:rPr>
          <w:rStyle w:val="nobreak"/>
        </w:rPr>
        <w:t xml:space="preserve"> </w:t>
      </w:r>
      <w:r>
        <w:t>the regulations; or</w:t>
      </w:r>
    </w:p>
    <w:p w:rsidR="0043526F" w:rsidRDefault="0043526F" w:rsidP="0043526F">
      <w:pPr>
        <w:pStyle w:val="Listparagraph2"/>
      </w:pPr>
      <w:proofErr w:type="gramStart"/>
      <w:r>
        <w:t>conduct</w:t>
      </w:r>
      <w:proofErr w:type="gramEnd"/>
      <w:r>
        <w:t xml:space="preserve"> engaged in for the purpose of making a decision under this Act or the regulations.</w:t>
      </w:r>
    </w:p>
    <w:p w:rsidR="0043526F" w:rsidRDefault="0043526F" w:rsidP="0043526F">
      <w:pPr>
        <w:pStyle w:val="ListParagraph"/>
      </w:pPr>
      <w:r>
        <w:t>An individual is taken to be a person aggrieved by the decision, failure or conduct if:</w:t>
      </w:r>
    </w:p>
    <w:p w:rsidR="0043526F" w:rsidRDefault="0043526F" w:rsidP="009411CF">
      <w:pPr>
        <w:pStyle w:val="Listparagraph2"/>
        <w:numPr>
          <w:ilvl w:val="0"/>
          <w:numId w:val="10"/>
        </w:numPr>
      </w:pPr>
      <w:r>
        <w:t>the individual is an Australian citizen or ordinarily resident in Australia or an external Territory; and</w:t>
      </w:r>
    </w:p>
    <w:p w:rsidR="0043526F" w:rsidRDefault="0043526F" w:rsidP="0043526F">
      <w:pPr>
        <w:pStyle w:val="Listparagraph2"/>
      </w:pPr>
      <w:r>
        <w:t>at any time in the 2 years immediately before the decision, failure or conduct, the individual has engaged in a series of activities in Australia or an external</w:t>
      </w:r>
    </w:p>
    <w:p w:rsidR="0043526F" w:rsidRDefault="0043526F" w:rsidP="0043526F">
      <w:pPr>
        <w:pStyle w:val="Listparagraph2"/>
      </w:pPr>
      <w:r>
        <w:t>Territory for protection or conservation of, or</w:t>
      </w:r>
      <w:r>
        <w:rPr>
          <w:rStyle w:val="nobreak"/>
        </w:rPr>
        <w:t xml:space="preserve"> </w:t>
      </w:r>
      <w:r>
        <w:t>research into, the environment.</w:t>
      </w:r>
    </w:p>
    <w:p w:rsidR="0043526F" w:rsidRDefault="0043526F" w:rsidP="0043526F">
      <w:pPr>
        <w:pStyle w:val="ListParagraph"/>
      </w:pPr>
      <w:r>
        <w:t>An organisation or association (whether incorporated or not) is taken to be a person aggrieved by the decision, failure or conduct if:</w:t>
      </w:r>
    </w:p>
    <w:p w:rsidR="0043526F" w:rsidRDefault="0043526F" w:rsidP="009411CF">
      <w:pPr>
        <w:pStyle w:val="Listparagraph2"/>
        <w:numPr>
          <w:ilvl w:val="0"/>
          <w:numId w:val="11"/>
        </w:numPr>
      </w:pPr>
      <w:r>
        <w:t>the organisation or association is incorporated, or was otherwise established, in Australia or an external Territory; and</w:t>
      </w:r>
    </w:p>
    <w:p w:rsidR="0043526F" w:rsidRDefault="0043526F" w:rsidP="0043526F">
      <w:pPr>
        <w:pStyle w:val="Listparagraph2"/>
      </w:pPr>
      <w:r>
        <w:t>at any time in the 2 years immediately before the decision, failure or conduct, the organisation or association has engaged in a series of activities in Australia or an external Territory for protection or conservation of, or research into, the environment; and</w:t>
      </w:r>
    </w:p>
    <w:p w:rsidR="0043526F" w:rsidRDefault="0043526F" w:rsidP="0043526F">
      <w:pPr>
        <w:pStyle w:val="Listparagraph2"/>
      </w:pPr>
      <w:proofErr w:type="gramStart"/>
      <w:r>
        <w:t>at</w:t>
      </w:r>
      <w:proofErr w:type="gramEnd"/>
      <w:r>
        <w:t xml:space="preserve"> the time of the decision, failure or conduct, the objects or purposes of the organisation or association included protection or conservation of, or research into, the environment.</w:t>
      </w:r>
    </w:p>
    <w:p w:rsidR="0043526F" w:rsidRDefault="0043526F" w:rsidP="0043526F">
      <w:pPr>
        <w:pStyle w:val="ListParagraph"/>
      </w:pPr>
      <w:r>
        <w:t xml:space="preserve">A term (except person aggrieved) used in this section and in the </w:t>
      </w:r>
      <w:r>
        <w:rPr>
          <w:rStyle w:val="TextItalic"/>
        </w:rPr>
        <w:t xml:space="preserve">Administrative Decisions (Judicial Review) Act 1977 </w:t>
      </w:r>
      <w:r>
        <w:t>has the same meaning in this section as it has in that Act.</w:t>
      </w:r>
    </w:p>
    <w:p w:rsidR="0043526F" w:rsidRDefault="0043526F" w:rsidP="0043526F">
      <w:pPr>
        <w:pStyle w:val="Subhead3"/>
      </w:pPr>
      <w:r>
        <w:t>488 Applications on behalf of unincorporated organisations</w:t>
      </w:r>
    </w:p>
    <w:p w:rsidR="0043526F" w:rsidRDefault="0043526F" w:rsidP="0043526F">
      <w:pPr>
        <w:pStyle w:val="ListParagraph"/>
      </w:pPr>
      <w:r>
        <w:t>A person acting on behalf of an unincorporated organisation that is a person aggrieved (for</w:t>
      </w:r>
      <w:r>
        <w:rPr>
          <w:rStyle w:val="nobreak"/>
        </w:rPr>
        <w:t xml:space="preserve"> </w:t>
      </w:r>
      <w:r>
        <w:t xml:space="preserve">the purposes of the </w:t>
      </w:r>
      <w:r>
        <w:rPr>
          <w:rStyle w:val="TextItalic"/>
        </w:rPr>
        <w:t>Administrative Decisions (Judicial</w:t>
      </w:r>
      <w:r>
        <w:rPr>
          <w:rStyle w:val="nobreak"/>
        </w:rPr>
        <w:t xml:space="preserve"> </w:t>
      </w:r>
      <w:r>
        <w:rPr>
          <w:rStyle w:val="TextItalic"/>
        </w:rPr>
        <w:t>Review) Act 1977</w:t>
      </w:r>
      <w:r>
        <w:t>) by:</w:t>
      </w:r>
    </w:p>
    <w:p w:rsidR="0043526F" w:rsidRDefault="0043526F" w:rsidP="009411CF">
      <w:pPr>
        <w:pStyle w:val="Listparagraph2"/>
        <w:numPr>
          <w:ilvl w:val="0"/>
          <w:numId w:val="12"/>
        </w:numPr>
      </w:pPr>
      <w:r>
        <w:t>a decision made under this Act or the regulations; or</w:t>
      </w:r>
    </w:p>
    <w:p w:rsidR="0043526F" w:rsidRDefault="0043526F" w:rsidP="0043526F">
      <w:pPr>
        <w:pStyle w:val="Listparagraph2"/>
      </w:pPr>
      <w:r>
        <w:t>a failure to make a decision under this Act or the regulations; or</w:t>
      </w:r>
    </w:p>
    <w:p w:rsidR="0043526F" w:rsidRDefault="0043526F" w:rsidP="0043526F">
      <w:pPr>
        <w:pStyle w:val="Listparagraph2"/>
      </w:pPr>
      <w:r>
        <w:t>conduct engaged in for the purpose of making a decision under this Act or the regulations;</w:t>
      </w:r>
    </w:p>
    <w:p w:rsidR="0043526F" w:rsidRDefault="0043526F" w:rsidP="00483890">
      <w:pPr>
        <w:pStyle w:val="Listparagraph2"/>
        <w:numPr>
          <w:ilvl w:val="0"/>
          <w:numId w:val="0"/>
        </w:numPr>
        <w:ind w:left="700"/>
      </w:pPr>
      <w:proofErr w:type="gramStart"/>
      <w:r>
        <w:t>may</w:t>
      </w:r>
      <w:proofErr w:type="gramEnd"/>
      <w:r>
        <w:t xml:space="preserve"> apply under that Act for a review of the decision, failure or conduct.</w:t>
      </w:r>
    </w:p>
    <w:p w:rsidR="0043526F" w:rsidRDefault="0043526F" w:rsidP="0043526F">
      <w:pPr>
        <w:pStyle w:val="ListParagraph"/>
      </w:pPr>
      <w:r>
        <w:t xml:space="preserve">The </w:t>
      </w:r>
      <w:r>
        <w:rPr>
          <w:rStyle w:val="TextItalic"/>
        </w:rPr>
        <w:t xml:space="preserve">Administrative Decisions (Judicial Review) Act 1977 </w:t>
      </w:r>
      <w:r>
        <w:t>applies in relation to the person as if he or she were a person aggrieved.</w:t>
      </w:r>
    </w:p>
    <w:p w:rsidR="0043526F" w:rsidRDefault="0043526F" w:rsidP="0043526F">
      <w:pPr>
        <w:pStyle w:val="Text"/>
      </w:pPr>
    </w:p>
    <w:p w:rsidR="0043526F" w:rsidRDefault="00CB76A4" w:rsidP="0043526F">
      <w:pPr>
        <w:pStyle w:val="Subhead4"/>
      </w:pPr>
      <w:r>
        <w:br/>
      </w:r>
      <w:r>
        <w:br/>
      </w:r>
      <w:r>
        <w:br/>
      </w:r>
      <w:r>
        <w:br/>
      </w:r>
      <w:r>
        <w:br/>
      </w:r>
      <w:r>
        <w:br/>
      </w:r>
      <w:r>
        <w:br/>
      </w:r>
      <w:r>
        <w:lastRenderedPageBreak/>
        <w:br/>
      </w:r>
      <w:r w:rsidR="0043526F">
        <w:t>Table 2: Rights of merits review under the EPBC Act</w:t>
      </w:r>
    </w:p>
    <w:p w:rsidR="0043526F" w:rsidRDefault="0043526F" w:rsidP="0043526F">
      <w:pPr>
        <w:pStyle w:val="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7217"/>
      </w:tblGrid>
      <w:tr w:rsidR="0043526F" w:rsidTr="00CB76A4">
        <w:trPr>
          <w:cantSplit/>
          <w:trHeight w:val="170"/>
          <w:tblHeader/>
        </w:trPr>
        <w:tc>
          <w:tcPr>
            <w:tcW w:w="1560" w:type="dxa"/>
            <w:shd w:val="clear" w:color="auto" w:fill="D9D9D9" w:themeFill="background1" w:themeFillShade="D9"/>
            <w:tcMar>
              <w:top w:w="113" w:type="dxa"/>
              <w:left w:w="113" w:type="dxa"/>
              <w:bottom w:w="113" w:type="dxa"/>
              <w:right w:w="113" w:type="dxa"/>
            </w:tcMar>
          </w:tcPr>
          <w:p w:rsidR="0043526F" w:rsidRPr="0071208B" w:rsidRDefault="0043526F" w:rsidP="0071208B">
            <w:pPr>
              <w:pStyle w:val="Tabletext"/>
              <w:rPr>
                <w:rStyle w:val="TextBold"/>
              </w:rPr>
            </w:pPr>
            <w:r w:rsidRPr="0071208B">
              <w:rPr>
                <w:rStyle w:val="TextBold"/>
              </w:rPr>
              <w:t>EPBC Act reference</w:t>
            </w:r>
          </w:p>
        </w:tc>
        <w:tc>
          <w:tcPr>
            <w:tcW w:w="7217" w:type="dxa"/>
            <w:shd w:val="clear" w:color="auto" w:fill="D9D9D9" w:themeFill="background1" w:themeFillShade="D9"/>
            <w:tcMar>
              <w:top w:w="113" w:type="dxa"/>
              <w:left w:w="113" w:type="dxa"/>
              <w:bottom w:w="113" w:type="dxa"/>
              <w:right w:w="113" w:type="dxa"/>
            </w:tcMar>
          </w:tcPr>
          <w:p w:rsidR="0043526F" w:rsidRPr="0071208B" w:rsidRDefault="0043526F" w:rsidP="0071208B">
            <w:pPr>
              <w:pStyle w:val="Tabletext"/>
              <w:rPr>
                <w:rStyle w:val="TextBold"/>
              </w:rPr>
            </w:pPr>
            <w:r w:rsidRPr="0071208B">
              <w:rPr>
                <w:rStyle w:val="TextBold"/>
              </w:rPr>
              <w:t>Applicant may apply to the AAT for merits review when a delegate of the Minister:</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206A</w:t>
            </w:r>
          </w:p>
        </w:tc>
        <w:tc>
          <w:tcPr>
            <w:tcW w:w="7217" w:type="dxa"/>
            <w:shd w:val="clear" w:color="auto" w:fill="auto"/>
            <w:tcMar>
              <w:top w:w="113" w:type="dxa"/>
              <w:left w:w="113" w:type="dxa"/>
              <w:bottom w:w="113" w:type="dxa"/>
              <w:right w:w="113" w:type="dxa"/>
            </w:tcMar>
          </w:tcPr>
          <w:p w:rsidR="0043526F" w:rsidRDefault="0043526F" w:rsidP="0071208B">
            <w:pPr>
              <w:pStyle w:val="Tabletext"/>
            </w:pPr>
            <w:r>
              <w:t>Makes a decision about a permit under Chapter 5 Part 13 Division 1 Listed threatened species and ecological communities.</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221A</w:t>
            </w:r>
          </w:p>
        </w:tc>
        <w:tc>
          <w:tcPr>
            <w:tcW w:w="7217" w:type="dxa"/>
            <w:shd w:val="clear" w:color="auto" w:fill="auto"/>
            <w:tcMar>
              <w:top w:w="113" w:type="dxa"/>
              <w:left w:w="113" w:type="dxa"/>
              <w:bottom w:w="113" w:type="dxa"/>
              <w:right w:w="113" w:type="dxa"/>
            </w:tcMar>
          </w:tcPr>
          <w:p w:rsidR="0043526F" w:rsidRDefault="0043526F" w:rsidP="0071208B">
            <w:pPr>
              <w:pStyle w:val="Tabletext"/>
            </w:pPr>
            <w:r>
              <w:t>Makes a decision about a permit under Chapter 5 Part 13 Division 2 Migratory species.</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243A</w:t>
            </w:r>
          </w:p>
        </w:tc>
        <w:tc>
          <w:tcPr>
            <w:tcW w:w="7217" w:type="dxa"/>
            <w:shd w:val="clear" w:color="auto" w:fill="auto"/>
            <w:tcMar>
              <w:top w:w="113" w:type="dxa"/>
              <w:left w:w="113" w:type="dxa"/>
              <w:bottom w:w="113" w:type="dxa"/>
              <w:right w:w="113" w:type="dxa"/>
            </w:tcMar>
          </w:tcPr>
          <w:p w:rsidR="0043526F" w:rsidRDefault="0043526F" w:rsidP="0071208B">
            <w:pPr>
              <w:pStyle w:val="Tabletext"/>
            </w:pPr>
            <w:r>
              <w:t>Makes a decision about a permit under Chapter 5 Part 13 Division 3 Whales and other cetaceans.</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263A</w:t>
            </w:r>
          </w:p>
        </w:tc>
        <w:tc>
          <w:tcPr>
            <w:tcW w:w="7217" w:type="dxa"/>
            <w:shd w:val="clear" w:color="auto" w:fill="auto"/>
            <w:tcMar>
              <w:top w:w="113" w:type="dxa"/>
              <w:left w:w="113" w:type="dxa"/>
              <w:bottom w:w="113" w:type="dxa"/>
              <w:right w:w="113" w:type="dxa"/>
            </w:tcMar>
          </w:tcPr>
          <w:p w:rsidR="0043526F" w:rsidRDefault="0043526F" w:rsidP="0071208B">
            <w:pPr>
              <w:pStyle w:val="Tabletext"/>
            </w:pPr>
            <w:r>
              <w:t>Makes a decision about a permit under Chapter 5 Part 13 Division 4 Listed marine species.</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303GJ</w:t>
            </w:r>
          </w:p>
        </w:tc>
        <w:tc>
          <w:tcPr>
            <w:tcW w:w="7217" w:type="dxa"/>
            <w:shd w:val="clear" w:color="auto" w:fill="auto"/>
            <w:tcMar>
              <w:top w:w="113" w:type="dxa"/>
              <w:left w:w="113" w:type="dxa"/>
              <w:bottom w:w="113" w:type="dxa"/>
              <w:right w:w="113" w:type="dxa"/>
            </w:tcMar>
          </w:tcPr>
          <w:p w:rsidR="0043526F" w:rsidRDefault="0043526F" w:rsidP="0071208B">
            <w:pPr>
              <w:pStyle w:val="Tabletext"/>
            </w:pPr>
            <w:r>
              <w:t>Makes a decision about a permit under Chapter 5 Part 13 International movement of wildlife specimens; the Secretary makes a determination about the marking of a specimen under section 303EU; or a decision to make, refuse, vary or revoke a declaration under section 303FN, 303FO or 303FP is made by a delegate of the Minister.</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472</w:t>
            </w:r>
          </w:p>
        </w:tc>
        <w:tc>
          <w:tcPr>
            <w:tcW w:w="7217" w:type="dxa"/>
            <w:shd w:val="clear" w:color="auto" w:fill="auto"/>
            <w:tcMar>
              <w:top w:w="113" w:type="dxa"/>
              <w:left w:w="113" w:type="dxa"/>
              <w:bottom w:w="113" w:type="dxa"/>
              <w:right w:w="113" w:type="dxa"/>
            </w:tcMar>
          </w:tcPr>
          <w:p w:rsidR="0043526F" w:rsidRDefault="0043526F" w:rsidP="0071208B">
            <w:pPr>
              <w:pStyle w:val="Tabletext"/>
            </w:pPr>
            <w:r>
              <w:t>Gives notice of advice under Chapter 6 Part 17 Division 13 Conservation orders to a person who is not a Commonwealth agency, the notice must include statement that person may seek merits review under the AAT Act and that the person may request a statement of reasons under section 28 of the AAT Act.</w:t>
            </w:r>
          </w:p>
        </w:tc>
      </w:tr>
      <w:tr w:rsidR="0043526F" w:rsidTr="00CB76A4">
        <w:trPr>
          <w:cantSplit/>
          <w:trHeight w:val="170"/>
        </w:trPr>
        <w:tc>
          <w:tcPr>
            <w:tcW w:w="1560" w:type="dxa"/>
            <w:shd w:val="clear" w:color="auto" w:fill="auto"/>
            <w:tcMar>
              <w:top w:w="113" w:type="dxa"/>
              <w:left w:w="113" w:type="dxa"/>
              <w:bottom w:w="113" w:type="dxa"/>
              <w:right w:w="113" w:type="dxa"/>
            </w:tcMar>
          </w:tcPr>
          <w:p w:rsidR="0043526F" w:rsidRDefault="0043526F" w:rsidP="0071208B">
            <w:pPr>
              <w:pStyle w:val="Tabletext"/>
            </w:pPr>
            <w:r>
              <w:t>Section 473</w:t>
            </w:r>
          </w:p>
        </w:tc>
        <w:tc>
          <w:tcPr>
            <w:tcW w:w="7217" w:type="dxa"/>
            <w:shd w:val="clear" w:color="auto" w:fill="auto"/>
            <w:tcMar>
              <w:top w:w="113" w:type="dxa"/>
              <w:left w:w="113" w:type="dxa"/>
              <w:bottom w:w="113" w:type="dxa"/>
              <w:right w:w="113" w:type="dxa"/>
            </w:tcMar>
          </w:tcPr>
          <w:p w:rsidR="0043526F" w:rsidRDefault="0043526F" w:rsidP="0071208B">
            <w:pPr>
              <w:pStyle w:val="Tabletext"/>
            </w:pPr>
            <w:r>
              <w:t>Makes a decision to give advice under Chapter 6 Part 17 Division 13 Conservation orders to a person who is not a Commonwealth agency.</w:t>
            </w:r>
          </w:p>
        </w:tc>
      </w:tr>
    </w:tbl>
    <w:p w:rsidR="00F74FC3" w:rsidRDefault="00F74FC3" w:rsidP="00F74FC3"/>
    <w:p w:rsidR="00F74FC3" w:rsidRPr="005C0FE8" w:rsidRDefault="00F74FC3" w:rsidP="00F74FC3"/>
    <w:sectPr w:rsidR="00F74FC3" w:rsidRPr="005C0FE8" w:rsidSect="00B820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26F" w:rsidRDefault="0043526F" w:rsidP="00A60185">
      <w:pPr>
        <w:spacing w:after="0" w:line="240" w:lineRule="auto"/>
      </w:pPr>
      <w:r>
        <w:separator/>
      </w:r>
    </w:p>
  </w:endnote>
  <w:endnote w:type="continuationSeparator" w:id="0">
    <w:p w:rsidR="0043526F" w:rsidRDefault="0043526F"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 w:name="Adobe Garamond Pro Bold">
    <w:altName w:val="Constantia"/>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463CED">
    <w:pPr>
      <w:pStyle w:val="Footer"/>
      <w:jc w:val="center"/>
    </w:pPr>
    <w:r>
      <w:fldChar w:fldCharType="begin"/>
    </w:r>
    <w:r>
      <w:instrText xml:space="preserve"> PAGE   \* MERGEFORMAT </w:instrText>
    </w:r>
    <w:r>
      <w:fldChar w:fldCharType="separate"/>
    </w:r>
    <w:r w:rsidR="00EE0C3A">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26F" w:rsidRDefault="0043526F" w:rsidP="00A60185">
      <w:pPr>
        <w:spacing w:after="0" w:line="240" w:lineRule="auto"/>
      </w:pPr>
      <w:r>
        <w:separator/>
      </w:r>
    </w:p>
  </w:footnote>
  <w:footnote w:type="continuationSeparator" w:id="0">
    <w:p w:rsidR="0043526F" w:rsidRDefault="0043526F"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43526F">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4F25754"/>
    <w:multiLevelType w:val="hybridMultilevel"/>
    <w:tmpl w:val="D0BA0B12"/>
    <w:lvl w:ilvl="0" w:tplc="BE6481D8">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456429"/>
    <w:multiLevelType w:val="multilevel"/>
    <w:tmpl w:val="E898CC72"/>
    <w:numStyleLink w:val="KeyPoints"/>
  </w:abstractNum>
  <w:abstractNum w:abstractNumId="7" w15:restartNumberingAfterBreak="0">
    <w:nsid w:val="6E405C41"/>
    <w:multiLevelType w:val="hybridMultilevel"/>
    <w:tmpl w:val="CA9431D8"/>
    <w:lvl w:ilvl="0" w:tplc="8F448EC6">
      <w:start w:val="1"/>
      <w:numFmt w:val="lowerLetter"/>
      <w:pStyle w:val="Listparagraph2"/>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4"/>
  </w:num>
  <w:num w:numId="4">
    <w:abstractNumId w:val="6"/>
  </w:num>
  <w:num w:numId="5">
    <w:abstractNumId w:val="1"/>
  </w:num>
  <w:num w:numId="6">
    <w:abstractNumId w:val="3"/>
  </w:num>
  <w:num w:numId="7">
    <w:abstractNumId w:val="2"/>
  </w:num>
  <w:num w:numId="8">
    <w:abstractNumId w:val="5"/>
  </w:num>
  <w:num w:numId="9">
    <w:abstractNumId w:val="7"/>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43526F"/>
    <w:rsid w:val="00004AEE"/>
    <w:rsid w:val="00005CAA"/>
    <w:rsid w:val="00010210"/>
    <w:rsid w:val="00012D66"/>
    <w:rsid w:val="00015ADA"/>
    <w:rsid w:val="00020C99"/>
    <w:rsid w:val="0002707B"/>
    <w:rsid w:val="0005148E"/>
    <w:rsid w:val="00072C5A"/>
    <w:rsid w:val="000759E5"/>
    <w:rsid w:val="00084AC6"/>
    <w:rsid w:val="00091608"/>
    <w:rsid w:val="00091F40"/>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0011"/>
    <w:rsid w:val="0042128E"/>
    <w:rsid w:val="00432B60"/>
    <w:rsid w:val="0043526F"/>
    <w:rsid w:val="00440698"/>
    <w:rsid w:val="004540E2"/>
    <w:rsid w:val="00454454"/>
    <w:rsid w:val="00460607"/>
    <w:rsid w:val="00463CED"/>
    <w:rsid w:val="00467924"/>
    <w:rsid w:val="004712A5"/>
    <w:rsid w:val="0047266F"/>
    <w:rsid w:val="00474426"/>
    <w:rsid w:val="00476D6B"/>
    <w:rsid w:val="00483890"/>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328F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D64DF"/>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6412"/>
    <w:rsid w:val="00687C92"/>
    <w:rsid w:val="0069458F"/>
    <w:rsid w:val="0069534E"/>
    <w:rsid w:val="0069552F"/>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05C18"/>
    <w:rsid w:val="0071208B"/>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066F9"/>
    <w:rsid w:val="00913175"/>
    <w:rsid w:val="00916EDB"/>
    <w:rsid w:val="00920861"/>
    <w:rsid w:val="00922B13"/>
    <w:rsid w:val="009242EF"/>
    <w:rsid w:val="00932291"/>
    <w:rsid w:val="00932861"/>
    <w:rsid w:val="0093408E"/>
    <w:rsid w:val="009401AD"/>
    <w:rsid w:val="009411CF"/>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0201"/>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85DE3"/>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3110"/>
    <w:rsid w:val="00C5504F"/>
    <w:rsid w:val="00C57B55"/>
    <w:rsid w:val="00C63376"/>
    <w:rsid w:val="00C74F97"/>
    <w:rsid w:val="00C770B9"/>
    <w:rsid w:val="00C8276E"/>
    <w:rsid w:val="00C842AC"/>
    <w:rsid w:val="00C96688"/>
    <w:rsid w:val="00C96B15"/>
    <w:rsid w:val="00CA0723"/>
    <w:rsid w:val="00CB1690"/>
    <w:rsid w:val="00CB6CD4"/>
    <w:rsid w:val="00CB76A4"/>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A77D4"/>
    <w:rsid w:val="00EB60CE"/>
    <w:rsid w:val="00EB7D53"/>
    <w:rsid w:val="00EC196F"/>
    <w:rsid w:val="00EE0C3A"/>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BFDD94-F954-4D00-9368-972AC26E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9"/>
    <w:qFormat/>
    <w:rsid w:val="0071208B"/>
    <w:pPr>
      <w:spacing w:before="120" w:after="0" w:line="240" w:lineRule="auto"/>
    </w:pPr>
    <w:rPr>
      <w:sz w:val="20"/>
      <w:szCs w:val="20"/>
    </w:r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71208B"/>
    <w:pPr>
      <w:spacing w:before="120" w:after="120" w:line="288"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CB6CD4"/>
    <w:pPr>
      <w:spacing w:before="240" w:after="120"/>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43526F"/>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43526F"/>
    <w:pPr>
      <w:suppressAutoHyphens/>
      <w:spacing w:line="660" w:lineRule="atLeast"/>
    </w:pPr>
    <w:rPr>
      <w:rFonts w:ascii="Myriad Pro" w:hAnsi="Myriad Pro" w:cs="Myriad Pro"/>
      <w:color w:val="134F8E"/>
      <w:sz w:val="58"/>
      <w:szCs w:val="58"/>
      <w:lang w:val="en-GB"/>
    </w:rPr>
  </w:style>
  <w:style w:type="paragraph" w:customStyle="1" w:styleId="Coversubtitle0">
    <w:name w:val="Cover subtitle"/>
    <w:basedOn w:val="NoParagraphStyle"/>
    <w:uiPriority w:val="99"/>
    <w:rsid w:val="0043526F"/>
    <w:pPr>
      <w:suppressAutoHyphens/>
      <w:spacing w:before="340"/>
    </w:pPr>
    <w:rPr>
      <w:rFonts w:ascii="Myriad Pro" w:hAnsi="Myriad Pro" w:cs="Myriad Pro"/>
      <w:sz w:val="30"/>
      <w:szCs w:val="30"/>
      <w:lang w:val="en-GB"/>
    </w:rPr>
  </w:style>
  <w:style w:type="paragraph" w:styleId="ListParagraph">
    <w:name w:val="List Paragraph"/>
    <w:basedOn w:val="Bullets1"/>
    <w:uiPriority w:val="99"/>
    <w:qFormat/>
    <w:rsid w:val="009411CF"/>
    <w:pPr>
      <w:widowControl w:val="0"/>
      <w:numPr>
        <w:numId w:val="8"/>
      </w:numPr>
      <w:suppressAutoHyphens/>
      <w:autoSpaceDE w:val="0"/>
      <w:autoSpaceDN w:val="0"/>
      <w:adjustRightInd w:val="0"/>
      <w:spacing w:before="57" w:line="280" w:lineRule="atLeast"/>
      <w:textAlignment w:val="center"/>
      <w:outlineLvl w:val="9"/>
    </w:pPr>
    <w:rPr>
      <w:rFonts w:eastAsiaTheme="minorEastAsia" w:cs="Adobe Garamond Pro"/>
      <w:color w:val="000000"/>
      <w:lang w:val="en-GB" w:eastAsia="en-AU"/>
    </w:rPr>
  </w:style>
  <w:style w:type="paragraph" w:customStyle="1" w:styleId="Listparagraph2">
    <w:name w:val="List paragraph 2"/>
    <w:basedOn w:val="ListParagraph"/>
    <w:uiPriority w:val="99"/>
    <w:rsid w:val="0043526F"/>
    <w:pPr>
      <w:numPr>
        <w:numId w:val="9"/>
      </w:numPr>
    </w:pPr>
    <w:rPr>
      <w:color w:val="231F20"/>
    </w:rPr>
  </w:style>
  <w:style w:type="character" w:customStyle="1" w:styleId="TextItalic">
    <w:name w:val="Text Italic"/>
    <w:uiPriority w:val="99"/>
    <w:rsid w:val="0043526F"/>
    <w:rPr>
      <w:i/>
      <w:iCs/>
    </w:rPr>
  </w:style>
  <w:style w:type="character" w:customStyle="1" w:styleId="underline">
    <w:name w:val="underline"/>
    <w:uiPriority w:val="99"/>
    <w:rsid w:val="0043526F"/>
    <w:rPr>
      <w:u w:val="thick"/>
    </w:rPr>
  </w:style>
  <w:style w:type="character" w:styleId="Hyperlink">
    <w:name w:val="Hyperlink"/>
    <w:basedOn w:val="DefaultParagraphFont"/>
    <w:uiPriority w:val="99"/>
    <w:unhideWhenUsed/>
    <w:rsid w:val="00532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3E7F9EA7.dotm</Template>
  <TotalTime>1</TotalTime>
  <Pages>13</Pages>
  <Words>5180</Words>
  <Characters>29530</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and Biodiversity Conservation Act 1999 (Cth)Policy Statement Statements of reasons</dc:title>
  <dc:subject/>
  <dc:creator>Australian Government Department of the Environment and Energy</dc:creator>
  <cp:keywords/>
  <cp:lastModifiedBy>Bec Durack</cp:lastModifiedBy>
  <cp:revision>2</cp:revision>
  <dcterms:created xsi:type="dcterms:W3CDTF">2019-01-24T02:53:00Z</dcterms:created>
  <dcterms:modified xsi:type="dcterms:W3CDTF">2019-01-24T02:53:00Z</dcterms:modified>
</cp:coreProperties>
</file>