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574C61C" w14:textId="77777777" w:rsidR="002F72CA" w:rsidRDefault="002F72CA" w:rsidP="00305586">
      <w:pPr>
        <w:pStyle w:val="Heading1"/>
      </w:pPr>
      <w:r>
        <w:t>Additional c</w:t>
      </w:r>
      <w:r w:rsidR="00A3353E">
        <w:t>ountries approved for equine fluids and t</w:t>
      </w:r>
      <w:r w:rsidR="003B5D45">
        <w:t>issues</w:t>
      </w:r>
    </w:p>
    <w:p w14:paraId="0BE0E1BD" w14:textId="77777777" w:rsidR="002F72CA" w:rsidRPr="002F72CA" w:rsidRDefault="002F72CA" w:rsidP="002F72CA">
      <w:pPr>
        <w:autoSpaceDE w:val="0"/>
        <w:autoSpaceDN w:val="0"/>
        <w:spacing w:after="120"/>
        <w:rPr>
          <w:rFonts w:cs="Times New Roman"/>
          <w:color w:val="000000" w:themeColor="text1"/>
        </w:rPr>
      </w:pPr>
      <w:r w:rsidRPr="002F72CA">
        <w:rPr>
          <w:color w:val="000000" w:themeColor="text1"/>
        </w:rPr>
        <w:t>Equine fluids and tissues imported from these countries require containment in an Approved Arrangement site as directed by the import conditions.</w:t>
      </w:r>
    </w:p>
    <w:tbl>
      <w:tblPr>
        <w:tblStyle w:val="PlainTable2"/>
        <w:tblW w:w="10632" w:type="dxa"/>
        <w:tblLook w:val="04A0" w:firstRow="1" w:lastRow="0" w:firstColumn="1" w:lastColumn="0" w:noHBand="0" w:noVBand="1"/>
      </w:tblPr>
      <w:tblGrid>
        <w:gridCol w:w="3261"/>
        <w:gridCol w:w="3543"/>
        <w:gridCol w:w="3828"/>
      </w:tblGrid>
      <w:tr w:rsidR="00B274AA" w:rsidRPr="00DF00A7" w14:paraId="7DE70C97" w14:textId="77777777" w:rsidTr="00B27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  <w:hideMark/>
          </w:tcPr>
          <w:p w14:paraId="4D40C0AA" w14:textId="77777777" w:rsidR="00B274AA" w:rsidRPr="00DF00A7" w:rsidRDefault="00B274AA" w:rsidP="001F7B2C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543" w:type="dxa"/>
            <w:noWrap/>
            <w:hideMark/>
          </w:tcPr>
          <w:p w14:paraId="482C0BA7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3828" w:type="dxa"/>
            <w:noWrap/>
          </w:tcPr>
          <w:p w14:paraId="5CC7F3F6" w14:textId="77777777" w:rsidR="00B274AA" w:rsidRPr="00DF00A7" w:rsidRDefault="00B274AA" w:rsidP="001F7B2C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B91D8B" w:rsidRPr="00DF00A7" w14:paraId="087F8599" w14:textId="77777777" w:rsidTr="0003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3DAF019" w14:textId="77777777" w:rsidR="00B91D8B" w:rsidRPr="00B91D8B" w:rsidRDefault="005C781B" w:rsidP="005C781B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>
              <w:rPr>
                <w:rFonts w:asciiTheme="majorHAnsi" w:hAnsiTheme="majorHAnsi" w:cstheme="minorHAnsi"/>
                <w:b w:val="0"/>
                <w:lang w:eastAsia="ja-JP"/>
              </w:rPr>
              <w:t>Argentina</w:t>
            </w:r>
          </w:p>
        </w:tc>
        <w:tc>
          <w:tcPr>
            <w:tcW w:w="3543" w:type="dxa"/>
            <w:noWrap/>
          </w:tcPr>
          <w:p w14:paraId="2139B0A6" w14:textId="77777777" w:rsidR="00B91D8B" w:rsidRPr="00211ADA" w:rsidRDefault="00D24C2A" w:rsidP="00B91D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>
              <w:rPr>
                <w:rFonts w:asciiTheme="majorHAnsi" w:hAnsiTheme="majorHAnsi" w:cstheme="minorHAnsi"/>
                <w:lang w:eastAsia="ja-JP"/>
              </w:rPr>
              <w:t>British Virgin Islands</w:t>
            </w:r>
          </w:p>
        </w:tc>
        <w:tc>
          <w:tcPr>
            <w:tcW w:w="3828" w:type="dxa"/>
            <w:noWrap/>
          </w:tcPr>
          <w:p w14:paraId="3D3A814F" w14:textId="77777777" w:rsidR="00B91D8B" w:rsidRPr="006C0E79" w:rsidRDefault="00966273" w:rsidP="00966273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 w:rsidRPr="00966273">
              <w:rPr>
                <w:rFonts w:asciiTheme="majorHAnsi" w:hAnsiTheme="majorHAnsi" w:cstheme="minorHAnsi"/>
                <w:color w:val="000000"/>
              </w:rPr>
              <w:t xml:space="preserve">Chile </w:t>
            </w:r>
          </w:p>
        </w:tc>
      </w:tr>
      <w:tr w:rsidR="00B91D8B" w:rsidRPr="00DF00A7" w14:paraId="0A103541" w14:textId="77777777" w:rsidTr="00033C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1F350684" w14:textId="77777777" w:rsidR="00B91D8B" w:rsidRPr="00B91D8B" w:rsidRDefault="00966273" w:rsidP="00B91D8B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966273">
              <w:rPr>
                <w:rFonts w:asciiTheme="majorHAnsi" w:hAnsiTheme="majorHAnsi" w:cstheme="minorHAnsi"/>
                <w:b w:val="0"/>
                <w:lang w:eastAsia="ja-JP"/>
              </w:rPr>
              <w:t>Cook Islands</w:t>
            </w:r>
          </w:p>
        </w:tc>
        <w:tc>
          <w:tcPr>
            <w:tcW w:w="3543" w:type="dxa"/>
            <w:noWrap/>
          </w:tcPr>
          <w:p w14:paraId="5047B7D0" w14:textId="77777777" w:rsidR="00B91D8B" w:rsidRPr="00211ADA" w:rsidRDefault="00D24C2A" w:rsidP="008A681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>
              <w:rPr>
                <w:rFonts w:asciiTheme="majorHAnsi" w:hAnsiTheme="majorHAnsi" w:cstheme="minorHAnsi"/>
                <w:lang w:eastAsia="ja-JP"/>
              </w:rPr>
              <w:t>Falkland Islands</w:t>
            </w:r>
          </w:p>
        </w:tc>
        <w:tc>
          <w:tcPr>
            <w:tcW w:w="3828" w:type="dxa"/>
            <w:noWrap/>
          </w:tcPr>
          <w:p w14:paraId="6A6399CD" w14:textId="77777777" w:rsidR="00B91D8B" w:rsidRPr="006C0E79" w:rsidRDefault="00D24C2A" w:rsidP="00B91D8B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lang w:eastAsia="ja-JP"/>
              </w:rPr>
              <w:t>Fiji</w:t>
            </w:r>
            <w:r w:rsidDel="008A6817">
              <w:rPr>
                <w:rFonts w:asciiTheme="majorHAnsi" w:hAnsiTheme="majorHAnsi" w:cstheme="minorHAnsi"/>
                <w:lang w:eastAsia="ja-JP"/>
              </w:rPr>
              <w:t xml:space="preserve"> </w:t>
            </w:r>
          </w:p>
        </w:tc>
      </w:tr>
      <w:tr w:rsidR="00B91D8B" w:rsidRPr="00DF00A7" w14:paraId="3A3211A5" w14:textId="77777777" w:rsidTr="00033C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AD7A1AE" w14:textId="77777777" w:rsidR="001D30AD" w:rsidRPr="00847260" w:rsidRDefault="00847260" w:rsidP="00D24C2A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 w:rsidRPr="00847260">
              <w:rPr>
                <w:rFonts w:asciiTheme="majorHAnsi" w:hAnsiTheme="majorHAnsi" w:cstheme="minorHAnsi"/>
                <w:b w:val="0"/>
                <w:lang w:eastAsia="ja-JP"/>
              </w:rPr>
              <w:t>Fr</w:t>
            </w:r>
            <w:r w:rsidR="00D24C2A">
              <w:rPr>
                <w:rFonts w:asciiTheme="majorHAnsi" w:hAnsiTheme="majorHAnsi" w:cstheme="minorHAnsi"/>
                <w:b w:val="0"/>
                <w:lang w:eastAsia="ja-JP"/>
              </w:rPr>
              <w:t>ench Polynesia</w:t>
            </w:r>
            <w:r w:rsidRPr="00847260">
              <w:rPr>
                <w:rFonts w:asciiTheme="majorHAnsi" w:hAnsiTheme="majorHAnsi" w:cstheme="minorHAnsi"/>
                <w:b w:val="0"/>
                <w:lang w:eastAsia="ja-JP"/>
              </w:rPr>
              <w:t xml:space="preserve"> </w:t>
            </w:r>
          </w:p>
        </w:tc>
        <w:tc>
          <w:tcPr>
            <w:tcW w:w="3543" w:type="dxa"/>
            <w:noWrap/>
          </w:tcPr>
          <w:p w14:paraId="2D626A5A" w14:textId="77777777" w:rsidR="00B91D8B" w:rsidRPr="00211ADA" w:rsidRDefault="00D24C2A" w:rsidP="008A681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>
              <w:rPr>
                <w:rFonts w:asciiTheme="majorHAnsi" w:hAnsiTheme="majorHAnsi" w:cstheme="minorHAnsi"/>
                <w:lang w:eastAsia="ja-JP"/>
              </w:rPr>
              <w:t>Greenland</w:t>
            </w:r>
            <w:r w:rsidDel="00FA7F3B">
              <w:rPr>
                <w:rFonts w:asciiTheme="majorHAnsi" w:hAnsiTheme="majorHAnsi" w:cstheme="minorHAnsi"/>
                <w:color w:val="000000"/>
              </w:rPr>
              <w:t xml:space="preserve"> </w:t>
            </w:r>
          </w:p>
        </w:tc>
        <w:tc>
          <w:tcPr>
            <w:tcW w:w="3828" w:type="dxa"/>
            <w:noWrap/>
          </w:tcPr>
          <w:p w14:paraId="3396C5E1" w14:textId="77777777" w:rsidR="00B91D8B" w:rsidRPr="006C0E79" w:rsidRDefault="00D24C2A" w:rsidP="00B91D8B">
            <w:pPr>
              <w:autoSpaceDE w:val="0"/>
              <w:autoSpaceDN w:val="0"/>
              <w:adjustRightInd w:val="0"/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  <w:r>
              <w:rPr>
                <w:rFonts w:asciiTheme="majorHAnsi" w:hAnsiTheme="majorHAnsi" w:cstheme="minorHAnsi"/>
                <w:lang w:eastAsia="ja-JP"/>
              </w:rPr>
              <w:t>Hong Kong</w:t>
            </w:r>
            <w:r w:rsidR="00361344">
              <w:rPr>
                <w:rFonts w:asciiTheme="majorHAnsi" w:hAnsiTheme="majorHAnsi" w:cstheme="minorHAnsi"/>
                <w:lang w:eastAsia="ja-JP"/>
              </w:rPr>
              <w:t>*</w:t>
            </w:r>
            <w:r w:rsidDel="00FA7F3B">
              <w:rPr>
                <w:rFonts w:asciiTheme="majorHAnsi" w:hAnsiTheme="majorHAnsi" w:cstheme="minorHAnsi"/>
                <w:lang w:eastAsia="ja-JP"/>
              </w:rPr>
              <w:t xml:space="preserve"> </w:t>
            </w:r>
          </w:p>
        </w:tc>
      </w:tr>
      <w:tr w:rsidR="00847260" w:rsidRPr="00DF00A7" w14:paraId="71ADF421" w14:textId="77777777" w:rsidTr="00033C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1" w:type="dxa"/>
            <w:noWrap/>
          </w:tcPr>
          <w:p w14:paraId="2DDBB6AB" w14:textId="77777777" w:rsidR="00847260" w:rsidRPr="00847260" w:rsidRDefault="00D24C2A" w:rsidP="00847260">
            <w:pPr>
              <w:spacing w:after="120"/>
              <w:rPr>
                <w:rFonts w:asciiTheme="majorHAnsi" w:hAnsiTheme="majorHAnsi" w:cstheme="minorHAnsi"/>
                <w:b w:val="0"/>
                <w:lang w:eastAsia="ja-JP"/>
              </w:rPr>
            </w:pPr>
            <w:r>
              <w:rPr>
                <w:rFonts w:asciiTheme="majorHAnsi" w:hAnsiTheme="majorHAnsi" w:cstheme="minorHAnsi"/>
                <w:b w:val="0"/>
                <w:lang w:eastAsia="ja-JP"/>
              </w:rPr>
              <w:t>Mauritius</w:t>
            </w:r>
            <w:r w:rsidRPr="00847260" w:rsidDel="00FA7F3B">
              <w:rPr>
                <w:rFonts w:asciiTheme="majorHAnsi" w:hAnsiTheme="majorHAnsi" w:cstheme="minorHAnsi"/>
                <w:b w:val="0"/>
                <w:lang w:eastAsia="ja-JP"/>
              </w:rPr>
              <w:t xml:space="preserve"> </w:t>
            </w:r>
          </w:p>
        </w:tc>
        <w:tc>
          <w:tcPr>
            <w:tcW w:w="3543" w:type="dxa"/>
            <w:noWrap/>
          </w:tcPr>
          <w:p w14:paraId="60FB7BC9" w14:textId="77777777" w:rsidR="00847260" w:rsidRPr="00211ADA" w:rsidRDefault="00D24C2A" w:rsidP="00847260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eastAsia="ja-JP"/>
              </w:rPr>
            </w:pPr>
            <w:r>
              <w:rPr>
                <w:rFonts w:asciiTheme="majorHAnsi" w:hAnsiTheme="majorHAnsi" w:cstheme="minorHAnsi"/>
                <w:lang w:eastAsia="ja-JP"/>
              </w:rPr>
              <w:t>Papua New Guinea</w:t>
            </w:r>
            <w:r w:rsidR="00847260" w:rsidDel="00FA7F3B">
              <w:rPr>
                <w:rFonts w:asciiTheme="majorHAnsi" w:hAnsiTheme="majorHAnsi" w:cstheme="minorHAnsi"/>
                <w:color w:val="000000"/>
              </w:rPr>
              <w:t xml:space="preserve"> </w:t>
            </w:r>
          </w:p>
        </w:tc>
        <w:tc>
          <w:tcPr>
            <w:tcW w:w="3828" w:type="dxa"/>
            <w:noWrap/>
          </w:tcPr>
          <w:p w14:paraId="2AC8BAAB" w14:textId="77777777" w:rsidR="00847260" w:rsidRPr="006C0E79" w:rsidRDefault="00847260" w:rsidP="00847260">
            <w:pPr>
              <w:autoSpaceDE w:val="0"/>
              <w:autoSpaceDN w:val="0"/>
              <w:adjustRightInd w:val="0"/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color w:val="000000"/>
              </w:rPr>
            </w:pPr>
          </w:p>
        </w:tc>
      </w:tr>
    </w:tbl>
    <w:p w14:paraId="397B972A" w14:textId="77777777" w:rsidR="00905F94" w:rsidRPr="00B274AA" w:rsidRDefault="00361344" w:rsidP="00B274AA">
      <w:r>
        <w:t xml:space="preserve">* Goods collected on or after 26 November 2019 do not require containment (refer to </w:t>
      </w:r>
      <w:hyperlink r:id="rId11" w:anchor="equine" w:history="1">
        <w:r w:rsidRPr="00361344">
          <w:rPr>
            <w:rStyle w:val="Hyperlink"/>
          </w:rPr>
          <w:t>equine list</w:t>
        </w:r>
      </w:hyperlink>
      <w:r>
        <w:t xml:space="preserve">). </w:t>
      </w:r>
    </w:p>
    <w:sectPr w:rsidR="00905F94" w:rsidRPr="00B274AA" w:rsidSect="00B274AA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16228" w14:textId="77777777" w:rsidR="00E44807" w:rsidRDefault="00E44807">
      <w:r>
        <w:separator/>
      </w:r>
    </w:p>
  </w:endnote>
  <w:endnote w:type="continuationSeparator" w:id="0">
    <w:p w14:paraId="75B8666C" w14:textId="77777777" w:rsidR="00E44807" w:rsidRDefault="00E4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3E973" w14:textId="77777777" w:rsidR="003B5D45" w:rsidRPr="003B5D45" w:rsidRDefault="003B5D45" w:rsidP="003B5D45">
    <w:pPr>
      <w:pStyle w:val="Footer"/>
    </w:pPr>
    <w:r>
      <w:t xml:space="preserve">Page </w:t>
    </w:r>
    <w:sdt>
      <w:sdtPr>
        <w:id w:val="7221044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17F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 xml:space="preserve"> of 1</w:t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  <w:r w:rsidRPr="00FD427E">
      <w:rPr>
        <w:rFonts w:asciiTheme="majorHAnsi" w:hAnsiTheme="majorHAnsi" w:cstheme="minorHAnsi"/>
        <w:sz w:val="18"/>
        <w:szCs w:val="18"/>
        <w:lang w:eastAsia="ja-JP"/>
      </w:rPr>
      <w:t>Approved Country List for Equine Fluids and Tissues</w:t>
    </w:r>
  </w:p>
  <w:p w14:paraId="27FFB0A7" w14:textId="77777777" w:rsidR="00C6669A" w:rsidRDefault="00C6669A" w:rsidP="00C666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305CA" w14:textId="77777777" w:rsidR="00E44807" w:rsidRDefault="00E44807">
      <w:r>
        <w:separator/>
      </w:r>
    </w:p>
  </w:footnote>
  <w:footnote w:type="continuationSeparator" w:id="0">
    <w:p w14:paraId="44308531" w14:textId="77777777" w:rsidR="00E44807" w:rsidRDefault="00E4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74A824C7" w14:textId="65AF63AB" w:rsidR="00777317" w:rsidRDefault="00135D6F" w:rsidP="00777317">
        <w:pPr>
          <w:pStyle w:val="Header"/>
        </w:pPr>
        <w:r>
          <w:rPr>
            <w:noProof/>
          </w:rPr>
          <w:drawing>
            <wp:inline distT="0" distB="0" distL="0" distR="0" wp14:anchorId="77474B0C" wp14:editId="05171515">
              <wp:extent cx="2404847" cy="690113"/>
              <wp:effectExtent l="0" t="0" r="0" b="0"/>
              <wp:docPr id="2" name="Picture 2" descr="Text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Text&#10;&#10;Description automatically generated with medium confidenc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7682" cy="72536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777317">
          <w:ptab w:relativeTo="margin" w:alignment="right" w:leader="none"/>
        </w:r>
        <w:r w:rsidR="00777317">
          <w:t xml:space="preserve">Effective as of:  </w:t>
        </w:r>
        <w:r w:rsidR="006F17F1">
          <w:t>26 November</w:t>
        </w:r>
        <w:r w:rsidR="00777317">
          <w:t xml:space="preserve"> 2019</w:t>
        </w:r>
      </w:p>
    </w:sdtContent>
  </w:sdt>
  <w:p w14:paraId="7197ED03" w14:textId="77777777" w:rsidR="00777317" w:rsidRPr="00C4093F" w:rsidRDefault="00777317" w:rsidP="00777317">
    <w:pPr>
      <w:pStyle w:val="Header"/>
    </w:pPr>
  </w:p>
  <w:p w14:paraId="6C6C7CB4" w14:textId="77777777" w:rsidR="00626E31" w:rsidRPr="00777317" w:rsidRDefault="00626E31" w:rsidP="007773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11629098">
    <w:abstractNumId w:val="12"/>
  </w:num>
  <w:num w:numId="2" w16cid:durableId="1375079916">
    <w:abstractNumId w:val="11"/>
  </w:num>
  <w:num w:numId="3" w16cid:durableId="317080374">
    <w:abstractNumId w:val="5"/>
  </w:num>
  <w:num w:numId="4" w16cid:durableId="1542746949">
    <w:abstractNumId w:val="6"/>
  </w:num>
  <w:num w:numId="5" w16cid:durableId="1860463878">
    <w:abstractNumId w:val="3"/>
  </w:num>
  <w:num w:numId="6" w16cid:durableId="1566600950">
    <w:abstractNumId w:val="8"/>
  </w:num>
  <w:num w:numId="7" w16cid:durableId="51777227">
    <w:abstractNumId w:val="15"/>
  </w:num>
  <w:num w:numId="8" w16cid:durableId="2088918443">
    <w:abstractNumId w:val="9"/>
  </w:num>
  <w:num w:numId="9" w16cid:durableId="823738918">
    <w:abstractNumId w:val="13"/>
  </w:num>
  <w:num w:numId="10" w16cid:durableId="380717106">
    <w:abstractNumId w:val="7"/>
  </w:num>
  <w:num w:numId="11" w16cid:durableId="12861529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6799674">
    <w:abstractNumId w:val="10"/>
  </w:num>
  <w:num w:numId="13" w16cid:durableId="12460209">
    <w:abstractNumId w:val="14"/>
  </w:num>
  <w:num w:numId="14" w16cid:durableId="1158113762">
    <w:abstractNumId w:val="2"/>
  </w:num>
  <w:num w:numId="15" w16cid:durableId="281766366">
    <w:abstractNumId w:val="1"/>
  </w:num>
  <w:num w:numId="16" w16cid:durableId="32537366">
    <w:abstractNumId w:val="0"/>
  </w:num>
  <w:num w:numId="17" w16cid:durableId="1989674906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567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AA"/>
    <w:rsid w:val="00135D6F"/>
    <w:rsid w:val="0016553B"/>
    <w:rsid w:val="001D30AD"/>
    <w:rsid w:val="001E7260"/>
    <w:rsid w:val="001F2250"/>
    <w:rsid w:val="002F72CA"/>
    <w:rsid w:val="00305586"/>
    <w:rsid w:val="00361344"/>
    <w:rsid w:val="003B5D45"/>
    <w:rsid w:val="003D1E75"/>
    <w:rsid w:val="00461807"/>
    <w:rsid w:val="0054747E"/>
    <w:rsid w:val="005C781B"/>
    <w:rsid w:val="00612B0C"/>
    <w:rsid w:val="00626E31"/>
    <w:rsid w:val="006F17F1"/>
    <w:rsid w:val="00705CEB"/>
    <w:rsid w:val="00777317"/>
    <w:rsid w:val="008408DD"/>
    <w:rsid w:val="00847260"/>
    <w:rsid w:val="008A6817"/>
    <w:rsid w:val="00905F94"/>
    <w:rsid w:val="00966273"/>
    <w:rsid w:val="009A11B3"/>
    <w:rsid w:val="009A6CFB"/>
    <w:rsid w:val="00A3353E"/>
    <w:rsid w:val="00A47ED0"/>
    <w:rsid w:val="00A753F1"/>
    <w:rsid w:val="00AA4B88"/>
    <w:rsid w:val="00B274AA"/>
    <w:rsid w:val="00B57188"/>
    <w:rsid w:val="00B91D8B"/>
    <w:rsid w:val="00C6669A"/>
    <w:rsid w:val="00C929AE"/>
    <w:rsid w:val="00CD68CA"/>
    <w:rsid w:val="00D24C2A"/>
    <w:rsid w:val="00DA0DFA"/>
    <w:rsid w:val="00DC36C8"/>
    <w:rsid w:val="00DF4C87"/>
    <w:rsid w:val="00E3214D"/>
    <w:rsid w:val="00E44807"/>
    <w:rsid w:val="00EF5DDB"/>
    <w:rsid w:val="00F16116"/>
    <w:rsid w:val="00F86830"/>
    <w:rsid w:val="00FA3FFD"/>
    <w:rsid w:val="00FA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5BACD22"/>
  <w15:chartTrackingRefBased/>
  <w15:docId w15:val="{122D4E20-F13D-4E65-9FE3-4593A834A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4A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586"/>
    <w:pPr>
      <w:outlineLvl w:val="0"/>
    </w:pPr>
    <w:rPr>
      <w:rFonts w:asciiTheme="majorHAnsi" w:hAnsiTheme="majorHAnsi" w:cstheme="minorHAnsi"/>
      <w:b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before="120" w:after="0" w:line="240" w:lineRule="auto"/>
      <w:outlineLvl w:val="1"/>
    </w:pPr>
    <w:rPr>
      <w:rFonts w:ascii="Calibri" w:eastAsia="Times New Roman" w:hAnsi="Calibri" w:cs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305586"/>
    <w:rPr>
      <w:rFonts w:asciiTheme="majorHAnsi" w:eastAsiaTheme="minorHAnsi" w:hAnsiTheme="majorHAnsi" w:cstheme="minorHAnsi"/>
      <w:b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before="120" w:after="120" w:line="240" w:lineRule="auto"/>
    </w:pPr>
    <w:rPr>
      <w:rFonts w:ascii="Cambria" w:eastAsia="Calibri" w:hAnsi="Cambria" w:cs="Times New Roman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before="120" w:after="120" w:line="240" w:lineRule="auto"/>
      <w:ind w:firstLine="425"/>
    </w:pPr>
    <w:rPr>
      <w:rFonts w:ascii="Cambria" w:eastAsia="Calibri" w:hAnsi="Cambria" w:cs="Times New Roman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before="120" w:after="120" w:line="240" w:lineRule="auto"/>
      <w:ind w:firstLine="851"/>
    </w:pPr>
    <w:rPr>
      <w:rFonts w:ascii="Cambria" w:eastAsia="Calibri" w:hAnsi="Cambria" w:cs="Times New Roman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 w:line="240" w:lineRule="auto"/>
    </w:pPr>
    <w:rPr>
      <w:rFonts w:ascii="Cambria" w:eastAsia="Calibri" w:hAnsi="Cambria" w:cs="Times New Roman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before="120" w:after="120" w:line="240" w:lineRule="auto"/>
    </w:pPr>
    <w:rPr>
      <w:rFonts w:ascii="Cambria" w:eastAsia="Calibri" w:hAnsi="Cambria" w:cs="Times New Roman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before="120" w:after="120" w:line="240" w:lineRule="auto"/>
      <w:contextualSpacing/>
    </w:pPr>
    <w:rPr>
      <w:rFonts w:ascii="Cambria" w:eastAsia="Calibri" w:hAnsi="Cambria" w:cs="Times New Roman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before="120" w:after="0" w:line="240" w:lineRule="auto"/>
      <w:ind w:left="709" w:right="567"/>
    </w:pPr>
    <w:rPr>
      <w:rFonts w:ascii="Cambria" w:eastAsia="Times New Roman" w:hAnsi="Cambria" w:cs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 w:line="240" w:lineRule="auto"/>
    </w:pPr>
    <w:rPr>
      <w:rFonts w:ascii="Cambria" w:eastAsia="Calibri" w:hAnsi="Cambria" w:cs="Times New Roman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before="120" w:after="0" w:line="264" w:lineRule="auto"/>
      <w:contextualSpacing/>
    </w:pPr>
    <w:rPr>
      <w:rFonts w:ascii="Cambria" w:eastAsia="Calibri" w:hAnsi="Cambria" w:cs="Times New Roman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eastAsia="Calibri" w:hAnsi="Cambria" w:cs="Times New Roman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before="120" w:after="0" w:line="240" w:lineRule="auto"/>
      <w:jc w:val="center"/>
    </w:pPr>
    <w:rPr>
      <w:rFonts w:ascii="Cambria" w:eastAsia="Calibri" w:hAnsi="Cambria" w:cs="Times New Roman"/>
      <w:b/>
      <w:caps/>
      <w:color w:val="FF0000"/>
      <w:sz w:val="36"/>
      <w:szCs w:val="36"/>
    </w:rPr>
  </w:style>
  <w:style w:type="paragraph" w:styleId="Header">
    <w:name w:val="header"/>
    <w:link w:val="Head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120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before="120" w:after="0" w:line="240" w:lineRule="auto"/>
    </w:pPr>
    <w:rPr>
      <w:rFonts w:ascii="Cambria" w:eastAsia="Calibri" w:hAnsi="Cambria" w:cs="Times New Roman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120" w:after="0" w:line="240" w:lineRule="auto"/>
    </w:pPr>
    <w:rPr>
      <w:rFonts w:ascii="Cambria" w:eastAsia="Calibri" w:hAnsi="Cambria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before="120" w:after="0" w:line="240" w:lineRule="auto"/>
      <w:contextualSpacing/>
    </w:pPr>
    <w:rPr>
      <w:rFonts w:ascii="Cambria" w:eastAsia="Calibri" w:hAnsi="Cambria" w:cs="Times New Roman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before="120" w:after="0" w:line="240" w:lineRule="auto"/>
      <w:ind w:left="1701"/>
    </w:pPr>
    <w:rPr>
      <w:rFonts w:ascii="Cambria" w:eastAsia="Calibri" w:hAnsi="Cambria" w:cs="Times New Roman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before="120" w:after="0" w:line="240" w:lineRule="auto"/>
      <w:ind w:left="1701"/>
      <w:jc w:val="right"/>
    </w:pPr>
    <w:rPr>
      <w:rFonts w:ascii="Cambria" w:eastAsia="Calibri" w:hAnsi="Cambria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B274A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uiPriority w:val="99"/>
    <w:qFormat/>
    <w:rsid w:val="00B91D8B"/>
    <w:pPr>
      <w:spacing w:before="120" w:after="0" w:line="240" w:lineRule="auto"/>
      <w:ind w:left="720"/>
      <w:contextualSpacing/>
    </w:pPr>
    <w:rPr>
      <w:rFonts w:ascii="Cambria" w:eastAsia="Calibri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griculture.gov.au/biosecurity/legislation/approved-country-list-animal-fluids-tissu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7CCF-B813-40CF-9A34-2EBA7F2BAF77}">
  <ds:schemaRefs>
    <ds:schemaRef ds:uri="http://schemas.openxmlformats.org/package/2006/metadata/core-properties"/>
    <ds:schemaRef ds:uri="http://purl.org/dc/terms/"/>
    <ds:schemaRef ds:uri="http://purl.org/dc/elements/1.1/"/>
    <ds:schemaRef ds:uri="2b53c995-2120-4bc0-8922-c25044d37f65"/>
    <ds:schemaRef ds:uri="http://schemas.microsoft.com/office/2006/documentManagement/types"/>
    <ds:schemaRef ds:uri="81c01dc6-2c49-4730-b140-874c95cac377"/>
    <ds:schemaRef ds:uri="http://schemas.microsoft.com/office/infopath/2007/PartnerControls"/>
    <ds:schemaRef ds:uri="http://www.w3.org/XML/1998/namespace"/>
    <ds:schemaRef ds:uri="c95b51c2-b2ac-4224-a5b5-069909057829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16F6630-0250-4A5E-AC09-B875934B40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D4DF21-D32A-48E3-8EF2-22D57DBBD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00FE586-08FF-4C1F-8B9B-64B9DEE87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Additional countries approved for equine fluids and tissues</vt:lpstr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countries approved for equine fluids and tissues</dc:title>
  <dc:subject/>
  <dc:creator>Department of Agriculture, Fisheries and Forestry</dc:creator>
  <cp:keywords/>
  <dc:description/>
  <cp:lastModifiedBy>Goggins, Fiona</cp:lastModifiedBy>
  <cp:revision>6</cp:revision>
  <cp:lastPrinted>2023-02-10T04:12:00Z</cp:lastPrinted>
  <dcterms:created xsi:type="dcterms:W3CDTF">2023-01-08T23:22:00Z</dcterms:created>
  <dcterms:modified xsi:type="dcterms:W3CDTF">2023-02-13T01:20:00Z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MediaServiceImageTags">
    <vt:lpwstr/>
  </property>
</Properties>
</file>