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69FB4" w14:textId="2314554B" w:rsidR="00ED0614" w:rsidRDefault="00AF4A06" w:rsidP="00990A30">
      <w:pPr>
        <w:pStyle w:val="Heading1"/>
        <w:rPr>
          <w:highlight w:val="yellow"/>
        </w:rPr>
      </w:pPr>
      <w:r>
        <w:t xml:space="preserve">European catfish virus (ECV) </w:t>
      </w:r>
      <w:r w:rsidR="004F2B37">
        <w:t>and</w:t>
      </w:r>
      <w:r>
        <w:t xml:space="preserve"> European sheatfish virus (ESV)</w:t>
      </w:r>
    </w:p>
    <w:p w14:paraId="16BA856D" w14:textId="77777777" w:rsidR="00ED0614" w:rsidRPr="00AC191C" w:rsidRDefault="00E260DC">
      <w:pPr>
        <w:pStyle w:val="Subtitle"/>
      </w:pPr>
      <w:r w:rsidRPr="00AC191C">
        <w:t xml:space="preserve">From </w:t>
      </w:r>
      <w:r w:rsidRPr="00AC191C">
        <w:rPr>
          <w:rStyle w:val="Emphasis"/>
        </w:rPr>
        <w:t>Aquatic animal diseases significant to Australia: identification field guide</w:t>
      </w:r>
      <w:r w:rsidRPr="00AC191C">
        <w:t>, 5th edition</w:t>
      </w:r>
    </w:p>
    <w:p w14:paraId="0C9D70DB" w14:textId="437DAC41" w:rsidR="00ED0614" w:rsidRPr="00AC191C" w:rsidRDefault="00E260DC">
      <w:pPr>
        <w:pStyle w:val="Caption"/>
      </w:pPr>
      <w:r w:rsidRPr="00AC191C">
        <w:t xml:space="preserve">Figure </w:t>
      </w:r>
      <w:r w:rsidRPr="00AC191C">
        <w:rPr>
          <w:noProof/>
        </w:rPr>
        <w:fldChar w:fldCharType="begin"/>
      </w:r>
      <w:r w:rsidRPr="00AC191C">
        <w:rPr>
          <w:noProof/>
        </w:rPr>
        <w:instrText xml:space="preserve"> SEQ Figure \* ARABIC </w:instrText>
      </w:r>
      <w:r w:rsidRPr="00AC191C">
        <w:rPr>
          <w:noProof/>
        </w:rPr>
        <w:fldChar w:fldCharType="separate"/>
      </w:r>
      <w:r w:rsidR="00542BC6">
        <w:rPr>
          <w:noProof/>
        </w:rPr>
        <w:t>1</w:t>
      </w:r>
      <w:r w:rsidRPr="00AC191C">
        <w:rPr>
          <w:noProof/>
        </w:rPr>
        <w:fldChar w:fldCharType="end"/>
      </w:r>
      <w:r w:rsidRPr="00AC191C">
        <w:t xml:space="preserve"> </w:t>
      </w:r>
      <w:r w:rsidR="00AF0061" w:rsidRPr="00AC191C">
        <w:t>Skin l</w:t>
      </w:r>
      <w:r w:rsidR="00990A30" w:rsidRPr="00AC191C">
        <w:t>esions on b</w:t>
      </w:r>
      <w:r w:rsidR="00AF4A06" w:rsidRPr="00AC191C">
        <w:t>rown bullhead (</w:t>
      </w:r>
      <w:r w:rsidR="00AF4A06" w:rsidRPr="00AC191C">
        <w:rPr>
          <w:rStyle w:val="Emphasis"/>
        </w:rPr>
        <w:t>Ameiurus nebulosus</w:t>
      </w:r>
      <w:r w:rsidR="00AF4A06" w:rsidRPr="00AC191C">
        <w:t>) with ECV infection</w:t>
      </w:r>
    </w:p>
    <w:p w14:paraId="0EFF3543" w14:textId="40EEB5D9" w:rsidR="00ED0614" w:rsidRPr="00AC191C" w:rsidRDefault="00AF4A06">
      <w:r w:rsidRPr="00AC191C">
        <w:rPr>
          <w:noProof/>
          <w:lang w:eastAsia="en-AU"/>
        </w:rPr>
        <w:drawing>
          <wp:inline distT="0" distB="0" distL="0" distR="0" wp14:anchorId="3E18D6FB" wp14:editId="6FF62D6D">
            <wp:extent cx="3959206" cy="2475781"/>
            <wp:effectExtent l="0" t="0" r="3810" b="1270"/>
            <wp:docPr id="6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v-esv-disease-1-2560x1440.jpg"/>
                    <pic:cNvPicPr/>
                  </pic:nvPicPr>
                  <pic:blipFill rotWithShape="1">
                    <a:blip r:embed="rId11" cstate="print"/>
                    <a:srcRect l="6196" t="3108" r="10842" b="4641"/>
                    <a:stretch/>
                  </pic:blipFill>
                  <pic:spPr bwMode="auto">
                    <a:xfrm>
                      <a:off x="0" y="0"/>
                      <a:ext cx="3960000" cy="2476277"/>
                    </a:xfrm>
                    <a:prstGeom prst="rect">
                      <a:avLst/>
                    </a:prstGeom>
                    <a:ln>
                      <a:noFill/>
                    </a:ln>
                    <a:extLst>
                      <a:ext uri="{53640926-AAD7-44D8-BBD7-CCE9431645EC}">
                        <a14:shadowObscured xmlns:a14="http://schemas.microsoft.com/office/drawing/2010/main"/>
                      </a:ext>
                    </a:extLst>
                  </pic:spPr>
                </pic:pic>
              </a:graphicData>
            </a:graphic>
          </wp:inline>
        </w:drawing>
      </w:r>
    </w:p>
    <w:p w14:paraId="5EC68016" w14:textId="68D9D023" w:rsidR="003F7380" w:rsidRPr="00AC191C" w:rsidRDefault="00E260DC" w:rsidP="003F7380">
      <w:pPr>
        <w:pStyle w:val="FigureTableNoteSource"/>
      </w:pPr>
      <w:r w:rsidRPr="00AC191C">
        <w:t xml:space="preserve">Note: </w:t>
      </w:r>
      <w:r w:rsidR="00AF4A06" w:rsidRPr="00AC191C">
        <w:t>Haemorrhagic skin lesions on the abdomen</w:t>
      </w:r>
      <w:r w:rsidR="003F7380" w:rsidRPr="00AC191C">
        <w:t>.</w:t>
      </w:r>
    </w:p>
    <w:p w14:paraId="0FE7139E" w14:textId="3652E691" w:rsidR="00ED0614" w:rsidRPr="00AC191C" w:rsidRDefault="003F7380" w:rsidP="003F7380">
      <w:pPr>
        <w:pStyle w:val="FigureTableNoteSource"/>
      </w:pPr>
      <w:r w:rsidRPr="00AC191C">
        <w:t xml:space="preserve">Source: J </w:t>
      </w:r>
      <w:r w:rsidR="00AF4A06" w:rsidRPr="00AC191C">
        <w:t>Tamás</w:t>
      </w:r>
    </w:p>
    <w:p w14:paraId="7FC9C249" w14:textId="13F596CE" w:rsidR="001255AE" w:rsidRPr="00AC191C" w:rsidRDefault="001255AE" w:rsidP="001255AE">
      <w:pPr>
        <w:pStyle w:val="Caption"/>
      </w:pPr>
      <w:r w:rsidRPr="00AC191C">
        <w:t xml:space="preserve">Figure </w:t>
      </w:r>
      <w:r w:rsidRPr="00AC191C">
        <w:rPr>
          <w:noProof/>
        </w:rPr>
        <w:fldChar w:fldCharType="begin"/>
      </w:r>
      <w:r w:rsidRPr="00AC191C">
        <w:rPr>
          <w:noProof/>
        </w:rPr>
        <w:instrText xml:space="preserve"> SEQ Figure \* ARABIC </w:instrText>
      </w:r>
      <w:r w:rsidRPr="00AC191C">
        <w:rPr>
          <w:noProof/>
        </w:rPr>
        <w:fldChar w:fldCharType="separate"/>
      </w:r>
      <w:r w:rsidR="00542BC6">
        <w:rPr>
          <w:noProof/>
        </w:rPr>
        <w:t>2</w:t>
      </w:r>
      <w:r w:rsidRPr="00AC191C">
        <w:rPr>
          <w:noProof/>
        </w:rPr>
        <w:fldChar w:fldCharType="end"/>
      </w:r>
      <w:r w:rsidRPr="00AC191C">
        <w:t xml:space="preserve"> </w:t>
      </w:r>
      <w:r w:rsidR="00990A30" w:rsidRPr="00AC191C">
        <w:t>Fin lesion on b</w:t>
      </w:r>
      <w:r w:rsidRPr="00AC191C">
        <w:t>rown bullhead (</w:t>
      </w:r>
      <w:r w:rsidRPr="00AC191C">
        <w:rPr>
          <w:rStyle w:val="Emphasis"/>
        </w:rPr>
        <w:t>Ameiurus nebulosus</w:t>
      </w:r>
      <w:r w:rsidRPr="00AC191C">
        <w:t>) with ECV infection</w:t>
      </w:r>
    </w:p>
    <w:p w14:paraId="6EEBBA0B" w14:textId="77777777" w:rsidR="004F2B37" w:rsidRPr="00AC191C" w:rsidRDefault="004F2B37" w:rsidP="004F2B37">
      <w:r w:rsidRPr="00AC191C">
        <w:rPr>
          <w:b/>
          <w:bCs/>
          <w:noProof/>
          <w:sz w:val="24"/>
          <w:szCs w:val="20"/>
          <w:lang w:eastAsia="en-AU"/>
        </w:rPr>
        <w:drawing>
          <wp:inline distT="0" distB="0" distL="0" distR="0" wp14:anchorId="2FBC642B" wp14:editId="18F01FA5">
            <wp:extent cx="3960000" cy="2628000"/>
            <wp:effectExtent l="0" t="0" r="2540" b="1270"/>
            <wp:docPr id="1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v-esv-disease-2-2560x1440.jpg"/>
                    <pic:cNvPicPr/>
                  </pic:nvPicPr>
                  <pic:blipFill rotWithShape="1">
                    <a:blip r:embed="rId12" cstate="print"/>
                    <a:srcRect l="12538" r="10502" b="9147"/>
                    <a:stretch/>
                  </pic:blipFill>
                  <pic:spPr bwMode="auto">
                    <a:xfrm>
                      <a:off x="0" y="0"/>
                      <a:ext cx="3960000" cy="2628000"/>
                    </a:xfrm>
                    <a:prstGeom prst="rect">
                      <a:avLst/>
                    </a:prstGeom>
                    <a:ln>
                      <a:noFill/>
                    </a:ln>
                    <a:extLst>
                      <a:ext uri="{53640926-AAD7-44D8-BBD7-CCE9431645EC}">
                        <a14:shadowObscured xmlns:a14="http://schemas.microsoft.com/office/drawing/2010/main"/>
                      </a:ext>
                    </a:extLst>
                  </pic:spPr>
                </pic:pic>
              </a:graphicData>
            </a:graphic>
          </wp:inline>
        </w:drawing>
      </w:r>
    </w:p>
    <w:p w14:paraId="644D2E9B" w14:textId="75011219" w:rsidR="004F2B37" w:rsidRPr="00AC191C" w:rsidRDefault="004F2B37" w:rsidP="004F2B37">
      <w:pPr>
        <w:pStyle w:val="FigureTableNoteSource"/>
      </w:pPr>
      <w:r w:rsidRPr="00AC191C">
        <w:t>Note: Haemorrhagic skin lesions on the pelvic fin.</w:t>
      </w:r>
    </w:p>
    <w:p w14:paraId="401C3E5A" w14:textId="78AAD3CD" w:rsidR="004F2B37" w:rsidRPr="00AC191C" w:rsidRDefault="004F2B37" w:rsidP="004F2B37">
      <w:pPr>
        <w:pStyle w:val="FigureTableNoteSource"/>
      </w:pPr>
      <w:r w:rsidRPr="00AC191C">
        <w:t>Source: J Tamás</w:t>
      </w:r>
    </w:p>
    <w:p w14:paraId="34D7581A" w14:textId="77777777" w:rsidR="00ED0614" w:rsidRPr="00AC191C" w:rsidRDefault="00E260DC" w:rsidP="00801CBF">
      <w:pPr>
        <w:pStyle w:val="Heading2"/>
        <w:pageBreakBefore/>
      </w:pPr>
      <w:r w:rsidRPr="00AC191C">
        <w:lastRenderedPageBreak/>
        <w:t>Signs of disease</w:t>
      </w:r>
    </w:p>
    <w:p w14:paraId="445BBFA4" w14:textId="77777777" w:rsidR="00ED0614" w:rsidRPr="00AC191C" w:rsidRDefault="00E260DC">
      <w:pPr>
        <w:rPr>
          <w:lang w:eastAsia="ja-JP"/>
        </w:rPr>
      </w:pPr>
      <w:r w:rsidRPr="00AC191C">
        <w:rPr>
          <w:lang w:eastAsia="ja-JP"/>
        </w:rPr>
        <w:t>Important: Animals with this disease may show one or more of these signs, but the pathogen may still be present in the absence of any signs.</w:t>
      </w:r>
    </w:p>
    <w:p w14:paraId="0ED3BEC6" w14:textId="77777777" w:rsidR="00ED0614" w:rsidRPr="00AC191C" w:rsidRDefault="00E260DC">
      <w:pPr>
        <w:rPr>
          <w:lang w:eastAsia="ja-JP"/>
        </w:rPr>
      </w:pPr>
      <w:r w:rsidRPr="00AC191C">
        <w:rPr>
          <w:lang w:eastAsia="ja-JP"/>
        </w:rPr>
        <w:t>Disease signs at the farm, tank or pond level are:</w:t>
      </w:r>
    </w:p>
    <w:p w14:paraId="0FE1A554" w14:textId="7EC2D410" w:rsidR="004507DD" w:rsidRPr="00AC191C" w:rsidRDefault="004507DD" w:rsidP="004507DD">
      <w:pPr>
        <w:pStyle w:val="ListBullet"/>
        <w:rPr>
          <w:lang w:eastAsia="ja-JP"/>
        </w:rPr>
      </w:pPr>
      <w:r w:rsidRPr="00AC191C">
        <w:rPr>
          <w:lang w:eastAsia="ja-JP"/>
        </w:rPr>
        <w:t>sudden high mortality rates (up to</w:t>
      </w:r>
      <w:r w:rsidR="004F2B37" w:rsidRPr="00AC191C">
        <w:rPr>
          <w:lang w:eastAsia="ja-JP"/>
        </w:rPr>
        <w:t> </w:t>
      </w:r>
      <w:r w:rsidRPr="00AC191C">
        <w:rPr>
          <w:lang w:eastAsia="ja-JP"/>
        </w:rPr>
        <w:t>100%) in juvenile fish in aquaculture or in the wild</w:t>
      </w:r>
    </w:p>
    <w:p w14:paraId="5E904268" w14:textId="134E7422" w:rsidR="004507DD" w:rsidRPr="00AC191C" w:rsidRDefault="004507DD" w:rsidP="004507DD">
      <w:pPr>
        <w:pStyle w:val="ListBullet"/>
        <w:rPr>
          <w:lang w:eastAsia="ja-JP"/>
        </w:rPr>
      </w:pPr>
      <w:r w:rsidRPr="00AC191C">
        <w:rPr>
          <w:lang w:eastAsia="ja-JP"/>
        </w:rPr>
        <w:t>losses of up to</w:t>
      </w:r>
      <w:r w:rsidR="004F2B37" w:rsidRPr="00AC191C">
        <w:rPr>
          <w:lang w:eastAsia="ja-JP"/>
        </w:rPr>
        <w:t> </w:t>
      </w:r>
      <w:r w:rsidRPr="00AC191C">
        <w:rPr>
          <w:lang w:eastAsia="ja-JP"/>
        </w:rPr>
        <w:t>30% of adult sheatfish</w:t>
      </w:r>
    </w:p>
    <w:p w14:paraId="5F508724" w14:textId="36CE54FF" w:rsidR="004507DD" w:rsidRPr="00AC191C" w:rsidRDefault="004507DD" w:rsidP="004507DD">
      <w:pPr>
        <w:pStyle w:val="ListBullet"/>
        <w:rPr>
          <w:lang w:eastAsia="ja-JP"/>
        </w:rPr>
      </w:pPr>
      <w:r w:rsidRPr="00AC191C">
        <w:rPr>
          <w:lang w:eastAsia="ja-JP"/>
        </w:rPr>
        <w:t>loss of appetite 1</w:t>
      </w:r>
      <w:r w:rsidR="004F2B37" w:rsidRPr="00AC191C">
        <w:rPr>
          <w:lang w:eastAsia="ja-JP"/>
        </w:rPr>
        <w:t> </w:t>
      </w:r>
      <w:r w:rsidRPr="00AC191C">
        <w:rPr>
          <w:lang w:eastAsia="ja-JP"/>
        </w:rPr>
        <w:t>to 2</w:t>
      </w:r>
      <w:r w:rsidR="004F2B37" w:rsidRPr="00AC191C">
        <w:rPr>
          <w:lang w:eastAsia="ja-JP"/>
        </w:rPr>
        <w:t> </w:t>
      </w:r>
      <w:r w:rsidRPr="00AC191C">
        <w:rPr>
          <w:lang w:eastAsia="ja-JP"/>
        </w:rPr>
        <w:t>days before mortalities occur</w:t>
      </w:r>
    </w:p>
    <w:p w14:paraId="2F5D577B" w14:textId="77777777" w:rsidR="004507DD" w:rsidRPr="00AC191C" w:rsidRDefault="004507DD" w:rsidP="004507DD">
      <w:pPr>
        <w:pStyle w:val="ListBullet"/>
        <w:rPr>
          <w:lang w:eastAsia="ja-JP"/>
        </w:rPr>
      </w:pPr>
      <w:r w:rsidRPr="00AC191C">
        <w:rPr>
          <w:lang w:eastAsia="ja-JP"/>
        </w:rPr>
        <w:t>erratic spiral swimming at the water surface</w:t>
      </w:r>
    </w:p>
    <w:p w14:paraId="64631B6C" w14:textId="270CA205" w:rsidR="00ED0614" w:rsidRPr="00AC191C" w:rsidRDefault="004507DD" w:rsidP="003F7380">
      <w:pPr>
        <w:pStyle w:val="ListBullet"/>
        <w:rPr>
          <w:lang w:eastAsia="ja-JP"/>
        </w:rPr>
      </w:pPr>
      <w:r w:rsidRPr="00AC191C">
        <w:rPr>
          <w:lang w:eastAsia="ja-JP"/>
        </w:rPr>
        <w:t>lethargy</w:t>
      </w:r>
      <w:r w:rsidR="00E260DC" w:rsidRPr="00AC191C">
        <w:rPr>
          <w:lang w:eastAsia="ja-JP"/>
        </w:rPr>
        <w:t>.</w:t>
      </w:r>
    </w:p>
    <w:p w14:paraId="7418287E" w14:textId="77777777" w:rsidR="00CD0FA5" w:rsidRPr="00AC191C" w:rsidRDefault="00DF2031" w:rsidP="00DF2031">
      <w:pPr>
        <w:rPr>
          <w:lang w:eastAsia="ja-JP"/>
        </w:rPr>
      </w:pPr>
      <w:r w:rsidRPr="00AC191C">
        <w:rPr>
          <w:lang w:eastAsia="ja-JP"/>
        </w:rPr>
        <w:t xml:space="preserve">Gross </w:t>
      </w:r>
      <w:r w:rsidRPr="00AC191C">
        <w:t>pathological</w:t>
      </w:r>
      <w:r w:rsidRPr="00AC191C">
        <w:rPr>
          <w:lang w:eastAsia="ja-JP"/>
        </w:rPr>
        <w:t xml:space="preserve"> signs </w:t>
      </w:r>
      <w:r w:rsidR="00CD0FA5" w:rsidRPr="00AC191C">
        <w:rPr>
          <w:lang w:eastAsia="ja-JP"/>
        </w:rPr>
        <w:t>are:</w:t>
      </w:r>
    </w:p>
    <w:p w14:paraId="7ABC2CD6" w14:textId="54FC36FC" w:rsidR="004507DD" w:rsidRPr="00AC191C" w:rsidRDefault="004507DD" w:rsidP="004507DD">
      <w:pPr>
        <w:pStyle w:val="ListBullet"/>
        <w:rPr>
          <w:lang w:eastAsia="ja-JP"/>
        </w:rPr>
      </w:pPr>
      <w:r w:rsidRPr="00AC191C">
        <w:rPr>
          <w:lang w:eastAsia="ja-JP"/>
        </w:rPr>
        <w:t>swollen abdomen (ascites</w:t>
      </w:r>
      <w:r w:rsidR="00F5592B">
        <w:rPr>
          <w:lang w:eastAsia="ja-JP"/>
        </w:rPr>
        <w:t>)</w:t>
      </w:r>
    </w:p>
    <w:p w14:paraId="201110A5" w14:textId="77777777" w:rsidR="004507DD" w:rsidRPr="00AC191C" w:rsidRDefault="004507DD" w:rsidP="004507DD">
      <w:pPr>
        <w:pStyle w:val="ListBullet"/>
        <w:rPr>
          <w:lang w:eastAsia="ja-JP"/>
        </w:rPr>
      </w:pPr>
      <w:r w:rsidRPr="00AC191C">
        <w:rPr>
          <w:lang w:eastAsia="ja-JP"/>
        </w:rPr>
        <w:t>darkened skin colour</w:t>
      </w:r>
    </w:p>
    <w:p w14:paraId="49B84A01" w14:textId="77777777" w:rsidR="004507DD" w:rsidRPr="00AC191C" w:rsidRDefault="004507DD" w:rsidP="004507DD">
      <w:pPr>
        <w:pStyle w:val="ListBullet"/>
        <w:rPr>
          <w:lang w:eastAsia="ja-JP"/>
        </w:rPr>
      </w:pPr>
      <w:r w:rsidRPr="00AC191C">
        <w:rPr>
          <w:lang w:eastAsia="ja-JP"/>
        </w:rPr>
        <w:t>petechial (pinpoint) haemorrhages around the base of paired fins and in the viscera</w:t>
      </w:r>
    </w:p>
    <w:p w14:paraId="3DFBEDD1" w14:textId="77777777" w:rsidR="004507DD" w:rsidRPr="00AC191C" w:rsidRDefault="004507DD" w:rsidP="004507DD">
      <w:pPr>
        <w:pStyle w:val="ListBullet"/>
        <w:rPr>
          <w:lang w:eastAsia="ja-JP"/>
        </w:rPr>
      </w:pPr>
      <w:r w:rsidRPr="00AC191C">
        <w:rPr>
          <w:lang w:eastAsia="ja-JP"/>
        </w:rPr>
        <w:t>haemorrhagic areas on the skin</w:t>
      </w:r>
    </w:p>
    <w:p w14:paraId="04DF4285" w14:textId="77777777" w:rsidR="004507DD" w:rsidRPr="00AC191C" w:rsidRDefault="004507DD" w:rsidP="004507DD">
      <w:pPr>
        <w:pStyle w:val="ListBullet"/>
        <w:rPr>
          <w:lang w:eastAsia="ja-JP"/>
        </w:rPr>
      </w:pPr>
      <w:r w:rsidRPr="00AC191C">
        <w:rPr>
          <w:lang w:eastAsia="ja-JP"/>
        </w:rPr>
        <w:t>pale gills</w:t>
      </w:r>
    </w:p>
    <w:p w14:paraId="06EC2B36" w14:textId="5A3EE792" w:rsidR="00ED0614" w:rsidRPr="00AC191C" w:rsidRDefault="004507DD" w:rsidP="004507DD">
      <w:pPr>
        <w:pStyle w:val="ListBullet"/>
        <w:rPr>
          <w:lang w:eastAsia="ja-JP"/>
        </w:rPr>
      </w:pPr>
      <w:r w:rsidRPr="00AC191C">
        <w:rPr>
          <w:lang w:eastAsia="ja-JP"/>
        </w:rPr>
        <w:t>many dead fish</w:t>
      </w:r>
      <w:r w:rsidR="003F7380" w:rsidRPr="00AC191C">
        <w:rPr>
          <w:lang w:eastAsia="ja-JP"/>
        </w:rPr>
        <w:t>.</w:t>
      </w:r>
    </w:p>
    <w:p w14:paraId="2D426F0A" w14:textId="77777777" w:rsidR="00ED0614" w:rsidRDefault="00E260DC">
      <w:pPr>
        <w:rPr>
          <w:lang w:eastAsia="ja-JP"/>
        </w:rPr>
      </w:pPr>
      <w:r w:rsidRPr="00AC191C">
        <w:rPr>
          <w:lang w:eastAsia="ja-JP"/>
        </w:rPr>
        <w:t>Microscopic pathological signs are:</w:t>
      </w:r>
    </w:p>
    <w:p w14:paraId="5CD6484C" w14:textId="3A46C20E" w:rsidR="004507DD" w:rsidRPr="004507DD" w:rsidRDefault="004507DD" w:rsidP="004507DD">
      <w:pPr>
        <w:pStyle w:val="ListBullet"/>
        <w:rPr>
          <w:lang w:val="en-US"/>
        </w:rPr>
      </w:pPr>
      <w:r w:rsidRPr="004507DD">
        <w:rPr>
          <w:lang w:val="en-US"/>
        </w:rPr>
        <w:t>coagulative or liquefactive necrosis of the liver, spleen and especially the kidney</w:t>
      </w:r>
    </w:p>
    <w:p w14:paraId="23A079E8" w14:textId="77777777" w:rsidR="004507DD" w:rsidRPr="004507DD" w:rsidRDefault="004507DD" w:rsidP="004507DD">
      <w:pPr>
        <w:pStyle w:val="ListBullet"/>
        <w:rPr>
          <w:lang w:val="en-US"/>
        </w:rPr>
      </w:pPr>
      <w:r w:rsidRPr="004507DD">
        <w:rPr>
          <w:lang w:val="en-US"/>
        </w:rPr>
        <w:t>destruction of haematopoietic tissues</w:t>
      </w:r>
    </w:p>
    <w:p w14:paraId="68AAA3DA" w14:textId="3728650E" w:rsidR="00ED0614" w:rsidRDefault="004507DD" w:rsidP="004507DD">
      <w:pPr>
        <w:pStyle w:val="ListBullet"/>
        <w:rPr>
          <w:lang w:val="en-US"/>
        </w:rPr>
      </w:pPr>
      <w:r w:rsidRPr="004507DD">
        <w:rPr>
          <w:lang w:val="en-US"/>
        </w:rPr>
        <w:t>necrotic lesions in the heart, pancreas, gastrointestinal tract and gills</w:t>
      </w:r>
      <w:r w:rsidR="00E260DC">
        <w:rPr>
          <w:lang w:val="en-US"/>
        </w:rPr>
        <w:t>.</w:t>
      </w:r>
    </w:p>
    <w:p w14:paraId="755CDE80" w14:textId="77777777" w:rsidR="00ED0614" w:rsidRDefault="00E260DC">
      <w:pPr>
        <w:pStyle w:val="Heading2"/>
      </w:pPr>
      <w:r>
        <w:t>Disease agent</w:t>
      </w:r>
    </w:p>
    <w:p w14:paraId="06D0BB75" w14:textId="392923DF" w:rsidR="00ED0614" w:rsidRDefault="004507DD" w:rsidP="008B4009">
      <w:r w:rsidRPr="004507DD">
        <w:t xml:space="preserve">ECV and ESV are classified as members of the genus </w:t>
      </w:r>
      <w:r w:rsidRPr="004F2B37">
        <w:rPr>
          <w:rStyle w:val="Emphasis"/>
        </w:rPr>
        <w:t>Ranavirus</w:t>
      </w:r>
      <w:r w:rsidRPr="004507DD">
        <w:t xml:space="preserve"> within the family </w:t>
      </w:r>
      <w:r w:rsidRPr="004F2B37">
        <w:rPr>
          <w:rStyle w:val="Emphasis"/>
        </w:rPr>
        <w:t>Iridoviridae</w:t>
      </w:r>
      <w:r w:rsidRPr="004507DD">
        <w:t xml:space="preserve">. Other closely related ranaviruses such as epizootic haematopoietic necrosis virus (EHNV), </w:t>
      </w:r>
      <w:r w:rsidR="004F2B37">
        <w:t>g</w:t>
      </w:r>
      <w:r w:rsidRPr="004507DD">
        <w:t xml:space="preserve">rouper </w:t>
      </w:r>
      <w:r w:rsidR="004F2B37">
        <w:t>i</w:t>
      </w:r>
      <w:r w:rsidRPr="004507DD">
        <w:t xml:space="preserve">ridovirus (GIV) or </w:t>
      </w:r>
      <w:r w:rsidRPr="004F2B37">
        <w:rPr>
          <w:rStyle w:val="Emphasis"/>
        </w:rPr>
        <w:t>Ranavirus</w:t>
      </w:r>
      <w:r w:rsidRPr="004507DD">
        <w:t xml:space="preserve"> maxima from European turbot cause similar systemic necrotising iridovirus syndromes in a range of fish species</w:t>
      </w:r>
      <w:r w:rsidR="00DF6799">
        <w:t xml:space="preserve"> (</w:t>
      </w:r>
      <w:r w:rsidR="001E10AC">
        <w:t>EHNV and GIV are</w:t>
      </w:r>
      <w:r w:rsidR="00DF6799">
        <w:t xml:space="preserve"> also in this guide)</w:t>
      </w:r>
      <w:r w:rsidRPr="004507DD">
        <w:t>.</w:t>
      </w:r>
    </w:p>
    <w:p w14:paraId="10B41ACC" w14:textId="77777777" w:rsidR="00ED0614" w:rsidRDefault="00E260DC" w:rsidP="00DF6799">
      <w:pPr>
        <w:pStyle w:val="Heading2"/>
        <w:keepLines/>
      </w:pPr>
      <w:r>
        <w:t>Host range</w:t>
      </w:r>
    </w:p>
    <w:p w14:paraId="01E38D3E" w14:textId="50961C02" w:rsidR="004507DD" w:rsidRPr="004507DD" w:rsidRDefault="004507DD" w:rsidP="004507DD">
      <w:pPr>
        <w:rPr>
          <w:lang w:eastAsia="ja-JP"/>
        </w:rPr>
      </w:pPr>
      <w:r w:rsidRPr="004507DD">
        <w:rPr>
          <w:lang w:eastAsia="ja-JP"/>
        </w:rPr>
        <w:t>ECV</w:t>
      </w:r>
      <w:r w:rsidR="004F2B37">
        <w:rPr>
          <w:lang w:eastAsia="ja-JP"/>
        </w:rPr>
        <w:t xml:space="preserve"> and </w:t>
      </w:r>
      <w:r w:rsidRPr="004507DD">
        <w:rPr>
          <w:lang w:eastAsia="ja-JP"/>
        </w:rPr>
        <w:t xml:space="preserve">ESV </w:t>
      </w:r>
      <w:r w:rsidR="004F2B37" w:rsidRPr="004507DD">
        <w:rPr>
          <w:lang w:eastAsia="ja-JP"/>
        </w:rPr>
        <w:t>ha</w:t>
      </w:r>
      <w:r w:rsidR="004F2B37">
        <w:rPr>
          <w:lang w:eastAsia="ja-JP"/>
        </w:rPr>
        <w:t>ve</w:t>
      </w:r>
      <w:r w:rsidR="004F2B37" w:rsidRPr="004507DD">
        <w:rPr>
          <w:lang w:eastAsia="ja-JP"/>
        </w:rPr>
        <w:t xml:space="preserve"> </w:t>
      </w:r>
      <w:r w:rsidRPr="004507DD">
        <w:rPr>
          <w:lang w:eastAsia="ja-JP"/>
        </w:rPr>
        <w:t>been detected only in Europe</w:t>
      </w:r>
      <w:r w:rsidR="00DF6799">
        <w:rPr>
          <w:lang w:eastAsia="ja-JP"/>
        </w:rPr>
        <w:t>. The</w:t>
      </w:r>
      <w:r w:rsidRPr="004507DD">
        <w:rPr>
          <w:lang w:eastAsia="ja-JP"/>
        </w:rPr>
        <w:t xml:space="preserve"> pathogen has triggered epizootics in cultivated sheatfish in Germany and wild black bullheads in France, Italy and Hungary. Experimental ESV infection causes high mortality in pike, but black bullhead and rainbow trout appear to be unaffected, although viral replication has been detected. Juvenile pike perch may be susceptible to infection under certain conditions. These viruses may also be carried via the gut, feathers, feet and bill of piscivorous birds.</w:t>
      </w:r>
    </w:p>
    <w:p w14:paraId="63E14290" w14:textId="01FCFB5C" w:rsidR="00ED0614" w:rsidRDefault="00E260DC">
      <w:pPr>
        <w:pStyle w:val="Caption"/>
      </w:pPr>
      <w:r>
        <w:lastRenderedPageBreak/>
        <w:t xml:space="preserve">Table </w:t>
      </w:r>
      <w:r>
        <w:rPr>
          <w:noProof/>
        </w:rPr>
        <w:fldChar w:fldCharType="begin"/>
      </w:r>
      <w:r>
        <w:rPr>
          <w:noProof/>
        </w:rPr>
        <w:instrText xml:space="preserve"> SEQ Table \* ARABIC </w:instrText>
      </w:r>
      <w:r>
        <w:rPr>
          <w:noProof/>
        </w:rPr>
        <w:fldChar w:fldCharType="separate"/>
      </w:r>
      <w:r w:rsidR="00542BC6">
        <w:rPr>
          <w:noProof/>
        </w:rPr>
        <w:t>1</w:t>
      </w:r>
      <w:r>
        <w:rPr>
          <w:noProof/>
        </w:rPr>
        <w:fldChar w:fldCharType="end"/>
      </w:r>
      <w:r>
        <w:t xml:space="preserve"> </w:t>
      </w:r>
      <w:r w:rsidR="008B4009" w:rsidRPr="008B4009">
        <w:t xml:space="preserve">Species </w:t>
      </w:r>
      <w:r w:rsidR="00DF2031" w:rsidRPr="00DF2031">
        <w:t>known to be susceptible to</w:t>
      </w:r>
      <w:r w:rsidR="003F7380">
        <w:t xml:space="preserve"> </w:t>
      </w:r>
      <w:r w:rsidR="004507DD" w:rsidRPr="00ED6571">
        <w:rPr>
          <w:szCs w:val="22"/>
        </w:rPr>
        <w:t>ECV</w:t>
      </w:r>
      <w:r w:rsidR="004F2B37">
        <w:rPr>
          <w:szCs w:val="22"/>
        </w:rPr>
        <w:t xml:space="preserve"> and </w:t>
      </w:r>
      <w:r w:rsidR="004507DD" w:rsidRPr="00ED6571">
        <w:rPr>
          <w:szCs w:val="22"/>
        </w:rPr>
        <w:t>ESV</w:t>
      </w:r>
    </w:p>
    <w:tbl>
      <w:tblPr>
        <w:tblW w:w="5000" w:type="pct"/>
        <w:tblBorders>
          <w:top w:val="single" w:sz="4" w:space="0" w:color="auto"/>
          <w:bottom w:val="single" w:sz="4" w:space="0" w:color="auto"/>
        </w:tblBorders>
        <w:tblLook w:val="04A0" w:firstRow="1" w:lastRow="0" w:firstColumn="1" w:lastColumn="0" w:noHBand="0" w:noVBand="1"/>
      </w:tblPr>
      <w:tblGrid>
        <w:gridCol w:w="4715"/>
        <w:gridCol w:w="4355"/>
      </w:tblGrid>
      <w:tr w:rsidR="00ED0614" w14:paraId="7F099F95" w14:textId="77777777" w:rsidTr="004507DD">
        <w:trPr>
          <w:cantSplit/>
          <w:trHeight w:val="300"/>
          <w:tblHeader/>
        </w:trPr>
        <w:tc>
          <w:tcPr>
            <w:tcW w:w="2599" w:type="pct"/>
            <w:tcBorders>
              <w:top w:val="single" w:sz="4" w:space="0" w:color="auto"/>
              <w:bottom w:val="single" w:sz="4" w:space="0" w:color="auto"/>
            </w:tcBorders>
            <w:noWrap/>
          </w:tcPr>
          <w:p w14:paraId="53C37EB4" w14:textId="77777777" w:rsidR="00ED0614" w:rsidRDefault="00E260DC">
            <w:pPr>
              <w:pStyle w:val="TableHeading"/>
            </w:pPr>
            <w:r>
              <w:t>Common name</w:t>
            </w:r>
          </w:p>
        </w:tc>
        <w:tc>
          <w:tcPr>
            <w:tcW w:w="2401" w:type="pct"/>
            <w:tcBorders>
              <w:top w:val="single" w:sz="4" w:space="0" w:color="auto"/>
              <w:bottom w:val="single" w:sz="4" w:space="0" w:color="auto"/>
            </w:tcBorders>
            <w:noWrap/>
          </w:tcPr>
          <w:p w14:paraId="0DE0AAEB" w14:textId="77777777" w:rsidR="00ED0614" w:rsidRDefault="00E260DC">
            <w:pPr>
              <w:pStyle w:val="TableHeading"/>
            </w:pPr>
            <w:r>
              <w:t>Scientific name</w:t>
            </w:r>
          </w:p>
        </w:tc>
      </w:tr>
      <w:tr w:rsidR="004507DD" w14:paraId="3B818FD2" w14:textId="77777777" w:rsidTr="004507DD">
        <w:trPr>
          <w:cantSplit/>
          <w:trHeight w:val="315"/>
        </w:trPr>
        <w:tc>
          <w:tcPr>
            <w:tcW w:w="2599" w:type="pct"/>
            <w:tcBorders>
              <w:top w:val="single" w:sz="4" w:space="0" w:color="auto"/>
            </w:tcBorders>
            <w:noWrap/>
          </w:tcPr>
          <w:p w14:paraId="2F3C0965" w14:textId="7B608D83" w:rsidR="004507DD" w:rsidRDefault="004507DD" w:rsidP="004507DD">
            <w:pPr>
              <w:pStyle w:val="TableText"/>
            </w:pPr>
            <w:r w:rsidRPr="00EA32DF">
              <w:t>Black bullhead or European catfish</w:t>
            </w:r>
            <w:r w:rsidRPr="004F2B37">
              <w:rPr>
                <w:vertAlign w:val="superscript"/>
              </w:rPr>
              <w:t>a</w:t>
            </w:r>
          </w:p>
        </w:tc>
        <w:tc>
          <w:tcPr>
            <w:tcW w:w="2401" w:type="pct"/>
            <w:tcBorders>
              <w:top w:val="single" w:sz="4" w:space="0" w:color="auto"/>
            </w:tcBorders>
            <w:noWrap/>
          </w:tcPr>
          <w:p w14:paraId="2D4141AF" w14:textId="4221E4D5" w:rsidR="004507DD" w:rsidRPr="004507DD" w:rsidRDefault="004507DD" w:rsidP="004507DD">
            <w:pPr>
              <w:pStyle w:val="TableText"/>
              <w:rPr>
                <w:rStyle w:val="Emphasis"/>
              </w:rPr>
            </w:pPr>
            <w:r w:rsidRPr="004507DD">
              <w:rPr>
                <w:rStyle w:val="Emphasis"/>
              </w:rPr>
              <w:t>Ameiurus melas</w:t>
            </w:r>
          </w:p>
        </w:tc>
      </w:tr>
      <w:tr w:rsidR="004507DD" w14:paraId="163A359F" w14:textId="77777777" w:rsidTr="004507DD">
        <w:trPr>
          <w:cantSplit/>
          <w:trHeight w:val="315"/>
        </w:trPr>
        <w:tc>
          <w:tcPr>
            <w:tcW w:w="2599" w:type="pct"/>
            <w:noWrap/>
          </w:tcPr>
          <w:p w14:paraId="74773C6F" w14:textId="29549E2A" w:rsidR="004507DD" w:rsidRDefault="004507DD" w:rsidP="004507DD">
            <w:pPr>
              <w:pStyle w:val="TableText"/>
            </w:pPr>
            <w:r w:rsidRPr="00EA32DF">
              <w:t>Brown bullhead</w:t>
            </w:r>
            <w:r w:rsidRPr="004F2B37">
              <w:rPr>
                <w:vertAlign w:val="superscript"/>
              </w:rPr>
              <w:t>a</w:t>
            </w:r>
          </w:p>
        </w:tc>
        <w:tc>
          <w:tcPr>
            <w:tcW w:w="2401" w:type="pct"/>
            <w:noWrap/>
          </w:tcPr>
          <w:p w14:paraId="1D5663AA" w14:textId="2E44827B" w:rsidR="004507DD" w:rsidRPr="004507DD" w:rsidRDefault="004507DD" w:rsidP="004507DD">
            <w:pPr>
              <w:pStyle w:val="TableText"/>
              <w:rPr>
                <w:rStyle w:val="Emphasis"/>
                <w:rFonts w:eastAsia="SimSun"/>
              </w:rPr>
            </w:pPr>
            <w:r w:rsidRPr="004507DD">
              <w:rPr>
                <w:rStyle w:val="Emphasis"/>
              </w:rPr>
              <w:t>Ameiurus nebulosus</w:t>
            </w:r>
          </w:p>
        </w:tc>
      </w:tr>
      <w:tr w:rsidR="004507DD" w14:paraId="5C3B7FD0" w14:textId="77777777" w:rsidTr="004507DD">
        <w:trPr>
          <w:cantSplit/>
          <w:trHeight w:val="315"/>
        </w:trPr>
        <w:tc>
          <w:tcPr>
            <w:tcW w:w="2599" w:type="pct"/>
            <w:noWrap/>
          </w:tcPr>
          <w:p w14:paraId="5227C577" w14:textId="154E7EA1" w:rsidR="004507DD" w:rsidRDefault="004507DD" w:rsidP="004507DD">
            <w:pPr>
              <w:pStyle w:val="TableText"/>
            </w:pPr>
            <w:r w:rsidRPr="00EA32DF">
              <w:t>Pike</w:t>
            </w:r>
          </w:p>
        </w:tc>
        <w:tc>
          <w:tcPr>
            <w:tcW w:w="2401" w:type="pct"/>
            <w:noWrap/>
          </w:tcPr>
          <w:p w14:paraId="5ACF429E" w14:textId="7F5CA713" w:rsidR="004507DD" w:rsidRPr="004507DD" w:rsidRDefault="004507DD" w:rsidP="004507DD">
            <w:pPr>
              <w:pStyle w:val="TableText"/>
              <w:rPr>
                <w:rStyle w:val="Emphasis"/>
                <w:rFonts w:eastAsia="SimSun"/>
              </w:rPr>
            </w:pPr>
            <w:r w:rsidRPr="004507DD">
              <w:rPr>
                <w:rStyle w:val="Emphasis"/>
              </w:rPr>
              <w:t>Esox lucius</w:t>
            </w:r>
          </w:p>
        </w:tc>
      </w:tr>
      <w:tr w:rsidR="004507DD" w14:paraId="42EB7617" w14:textId="77777777" w:rsidTr="004507DD">
        <w:trPr>
          <w:cantSplit/>
          <w:trHeight w:val="315"/>
        </w:trPr>
        <w:tc>
          <w:tcPr>
            <w:tcW w:w="2599" w:type="pct"/>
            <w:noWrap/>
          </w:tcPr>
          <w:p w14:paraId="71A33549" w14:textId="47A02DC0" w:rsidR="004507DD" w:rsidRDefault="004507DD" w:rsidP="004507DD">
            <w:pPr>
              <w:pStyle w:val="TableText"/>
            </w:pPr>
            <w:r w:rsidRPr="00EA32DF">
              <w:t>Pike perch</w:t>
            </w:r>
          </w:p>
        </w:tc>
        <w:tc>
          <w:tcPr>
            <w:tcW w:w="2401" w:type="pct"/>
            <w:noWrap/>
          </w:tcPr>
          <w:p w14:paraId="1D4032D9" w14:textId="6707E8C7" w:rsidR="004507DD" w:rsidRPr="004507DD" w:rsidRDefault="004507DD" w:rsidP="004507DD">
            <w:pPr>
              <w:pStyle w:val="TableText"/>
              <w:rPr>
                <w:rStyle w:val="Emphasis"/>
                <w:rFonts w:eastAsia="SimSun"/>
              </w:rPr>
            </w:pPr>
            <w:r w:rsidRPr="004507DD">
              <w:rPr>
                <w:rStyle w:val="Emphasis"/>
              </w:rPr>
              <w:t>Sander lucioperca</w:t>
            </w:r>
          </w:p>
        </w:tc>
      </w:tr>
      <w:tr w:rsidR="004507DD" w14:paraId="2B6394AD" w14:textId="77777777" w:rsidTr="004507DD">
        <w:trPr>
          <w:cantSplit/>
          <w:trHeight w:val="315"/>
        </w:trPr>
        <w:tc>
          <w:tcPr>
            <w:tcW w:w="2599" w:type="pct"/>
            <w:noWrap/>
          </w:tcPr>
          <w:p w14:paraId="5E1E203A" w14:textId="253DEF81" w:rsidR="004507DD" w:rsidRDefault="004507DD" w:rsidP="004507DD">
            <w:pPr>
              <w:pStyle w:val="TableText"/>
            </w:pPr>
            <w:r w:rsidRPr="00EA32DF">
              <w:t>Rainbow trout</w:t>
            </w:r>
          </w:p>
        </w:tc>
        <w:tc>
          <w:tcPr>
            <w:tcW w:w="2401" w:type="pct"/>
            <w:noWrap/>
          </w:tcPr>
          <w:p w14:paraId="44C74309" w14:textId="5419F3C4" w:rsidR="004507DD" w:rsidRPr="004507DD" w:rsidRDefault="004507DD" w:rsidP="004507DD">
            <w:pPr>
              <w:pStyle w:val="TableText"/>
              <w:rPr>
                <w:rStyle w:val="Emphasis"/>
              </w:rPr>
            </w:pPr>
            <w:r w:rsidRPr="004507DD">
              <w:rPr>
                <w:rStyle w:val="Emphasis"/>
              </w:rPr>
              <w:t>Oncorhynchus mykiss</w:t>
            </w:r>
          </w:p>
        </w:tc>
      </w:tr>
      <w:tr w:rsidR="004507DD" w14:paraId="6920FABC" w14:textId="77777777" w:rsidTr="004507DD">
        <w:trPr>
          <w:cantSplit/>
          <w:trHeight w:val="315"/>
        </w:trPr>
        <w:tc>
          <w:tcPr>
            <w:tcW w:w="2599" w:type="pct"/>
            <w:noWrap/>
          </w:tcPr>
          <w:p w14:paraId="264B739C" w14:textId="3DED9E67" w:rsidR="004507DD" w:rsidRDefault="004507DD" w:rsidP="004507DD">
            <w:pPr>
              <w:pStyle w:val="TableText"/>
            </w:pPr>
            <w:r w:rsidRPr="00EA32DF">
              <w:t>Wels catfish or sheatfish</w:t>
            </w:r>
            <w:r w:rsidRPr="004F2B37">
              <w:rPr>
                <w:vertAlign w:val="superscript"/>
              </w:rPr>
              <w:t>a</w:t>
            </w:r>
          </w:p>
        </w:tc>
        <w:tc>
          <w:tcPr>
            <w:tcW w:w="2401" w:type="pct"/>
            <w:noWrap/>
          </w:tcPr>
          <w:p w14:paraId="379EFB71" w14:textId="5FE2BB05" w:rsidR="004507DD" w:rsidRPr="004507DD" w:rsidRDefault="004507DD" w:rsidP="004507DD">
            <w:pPr>
              <w:pStyle w:val="TableText"/>
              <w:rPr>
                <w:rStyle w:val="Emphasis"/>
              </w:rPr>
            </w:pPr>
            <w:r w:rsidRPr="004507DD">
              <w:rPr>
                <w:rStyle w:val="Emphasis"/>
              </w:rPr>
              <w:t>Silurus glanis</w:t>
            </w:r>
          </w:p>
        </w:tc>
      </w:tr>
      <w:tr w:rsidR="003F7380" w14:paraId="50940242" w14:textId="77777777" w:rsidTr="004507DD">
        <w:trPr>
          <w:cantSplit/>
          <w:trHeight w:val="315"/>
        </w:trPr>
        <w:tc>
          <w:tcPr>
            <w:tcW w:w="2599" w:type="pct"/>
            <w:noWrap/>
          </w:tcPr>
          <w:p w14:paraId="708B6394" w14:textId="3B350657" w:rsidR="003F7380" w:rsidRPr="002F7844" w:rsidRDefault="003F7380" w:rsidP="003F7380">
            <w:pPr>
              <w:pStyle w:val="TableText"/>
            </w:pPr>
            <w:r w:rsidRPr="000D1F36">
              <w:t>Piscivorous birds</w:t>
            </w:r>
          </w:p>
        </w:tc>
        <w:tc>
          <w:tcPr>
            <w:tcW w:w="2401" w:type="pct"/>
            <w:noWrap/>
          </w:tcPr>
          <w:p w14:paraId="2E781A41" w14:textId="68B70388" w:rsidR="003F7380" w:rsidRPr="007945B1" w:rsidRDefault="003F7380" w:rsidP="007945B1">
            <w:pPr>
              <w:pStyle w:val="TableText"/>
              <w:rPr>
                <w:rStyle w:val="Emphasis"/>
                <w:i w:val="0"/>
                <w:iCs w:val="0"/>
              </w:rPr>
            </w:pPr>
            <w:r w:rsidRPr="000D1F36">
              <w:t>Various genera and species</w:t>
            </w:r>
          </w:p>
        </w:tc>
      </w:tr>
    </w:tbl>
    <w:p w14:paraId="1FEAD3B0" w14:textId="40FF7E8B" w:rsidR="003F7380" w:rsidRPr="003F7380" w:rsidRDefault="00DF2031" w:rsidP="004507DD">
      <w:pPr>
        <w:pStyle w:val="FigureTableNoteSource"/>
      </w:pPr>
      <w:r w:rsidRPr="00DF2031">
        <w:rPr>
          <w:rStyle w:val="Strong"/>
        </w:rPr>
        <w:t>a</w:t>
      </w:r>
      <w:r w:rsidRPr="00DF2031">
        <w:t xml:space="preserve"> </w:t>
      </w:r>
      <w:r w:rsidR="007945B1" w:rsidRPr="00DF2031">
        <w:t>Naturally susceptible</w:t>
      </w:r>
      <w:r w:rsidR="007945B1">
        <w:t>. Note:</w:t>
      </w:r>
      <w:r w:rsidR="007945B1" w:rsidRPr="00DF2031">
        <w:t xml:space="preserve"> </w:t>
      </w:r>
      <w:r w:rsidR="007945B1">
        <w:t>O</w:t>
      </w:r>
      <w:r w:rsidR="007945B1" w:rsidRPr="00DF2031">
        <w:t>ther species have been shown to be experimentally susceptible</w:t>
      </w:r>
      <w:r w:rsidR="007945B1">
        <w:t>.</w:t>
      </w:r>
    </w:p>
    <w:p w14:paraId="07189146" w14:textId="77777777" w:rsidR="00ED0614" w:rsidRDefault="00E260DC">
      <w:pPr>
        <w:pStyle w:val="Heading2"/>
      </w:pPr>
      <w:r>
        <w:t>Presence in Australia</w:t>
      </w:r>
    </w:p>
    <w:p w14:paraId="5CC76DF1" w14:textId="77777777" w:rsidR="00D55851" w:rsidRDefault="00D55851" w:rsidP="00D55851">
      <w:pPr>
        <w:keepNext/>
        <w:keepLines/>
      </w:pPr>
      <w:r w:rsidRPr="00FD7D78">
        <w:t>Exotic disease—not recorded in Australia.</w:t>
      </w:r>
    </w:p>
    <w:p w14:paraId="55B0F228" w14:textId="7268F508" w:rsidR="00ED0614" w:rsidRDefault="00E260DC">
      <w:pPr>
        <w:pStyle w:val="Caption"/>
      </w:pPr>
      <w:r>
        <w:t xml:space="preserve">Map </w:t>
      </w:r>
      <w:r>
        <w:rPr>
          <w:noProof/>
        </w:rPr>
        <w:fldChar w:fldCharType="begin"/>
      </w:r>
      <w:r>
        <w:rPr>
          <w:noProof/>
        </w:rPr>
        <w:instrText xml:space="preserve"> SEQ Map \* ARABIC </w:instrText>
      </w:r>
      <w:r>
        <w:rPr>
          <w:noProof/>
        </w:rPr>
        <w:fldChar w:fldCharType="separate"/>
      </w:r>
      <w:r w:rsidR="00542BC6">
        <w:rPr>
          <w:noProof/>
        </w:rPr>
        <w:t>1</w:t>
      </w:r>
      <w:r>
        <w:rPr>
          <w:noProof/>
        </w:rPr>
        <w:fldChar w:fldCharType="end"/>
      </w:r>
      <w:r>
        <w:t xml:space="preserve"> Presence of</w:t>
      </w:r>
      <w:r w:rsidR="003F7380">
        <w:t xml:space="preserve"> </w:t>
      </w:r>
      <w:r w:rsidR="004507DD" w:rsidRPr="00ED6571">
        <w:rPr>
          <w:szCs w:val="22"/>
        </w:rPr>
        <w:t>ECV</w:t>
      </w:r>
      <w:r w:rsidR="004F2B37">
        <w:rPr>
          <w:szCs w:val="22"/>
        </w:rPr>
        <w:t xml:space="preserve"> and </w:t>
      </w:r>
      <w:r w:rsidR="004507DD" w:rsidRPr="00ED6571">
        <w:rPr>
          <w:szCs w:val="22"/>
        </w:rPr>
        <w:t>ESV</w:t>
      </w:r>
      <w:r>
        <w:t>, by jurisdiction</w:t>
      </w:r>
    </w:p>
    <w:p w14:paraId="0046BA22" w14:textId="77777777" w:rsidR="00ED0614" w:rsidRDefault="00E260DC">
      <w:r>
        <w:rPr>
          <w:noProof/>
          <w:lang w:eastAsia="en-AU"/>
        </w:rPr>
        <w:drawing>
          <wp:inline distT="0" distB="0" distL="0" distR="0" wp14:anchorId="1C3B5809" wp14:editId="0D8469B6">
            <wp:extent cx="4137772" cy="2946411"/>
            <wp:effectExtent l="0" t="0" r="0" b="635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sie and Vic AV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37772" cy="2946411"/>
                    </a:xfrm>
                    <a:prstGeom prst="rect">
                      <a:avLst/>
                    </a:prstGeom>
                  </pic:spPr>
                </pic:pic>
              </a:graphicData>
            </a:graphic>
          </wp:inline>
        </w:drawing>
      </w:r>
    </w:p>
    <w:p w14:paraId="345F5669" w14:textId="77777777" w:rsidR="00ED0614" w:rsidRDefault="00E260DC" w:rsidP="00DF6799">
      <w:pPr>
        <w:pStyle w:val="Heading2"/>
        <w:keepLines/>
      </w:pPr>
      <w:r>
        <w:t>Epidemiology</w:t>
      </w:r>
    </w:p>
    <w:p w14:paraId="1F0EED7D" w14:textId="19110F11" w:rsidR="004507DD" w:rsidRDefault="004507DD" w:rsidP="004507DD">
      <w:pPr>
        <w:pStyle w:val="ListBullet"/>
      </w:pPr>
      <w:r>
        <w:t>ESV was the first fish ranavirus to be isolated in Europe, when it was obtained from moribund sheatfish (</w:t>
      </w:r>
      <w:r w:rsidRPr="004507DD">
        <w:rPr>
          <w:rStyle w:val="Emphasis"/>
        </w:rPr>
        <w:t>Silurus glanis</w:t>
      </w:r>
      <w:r>
        <w:t>) fry experiencing 100% mortalities in Germany in</w:t>
      </w:r>
      <w:r w:rsidR="004F2B37">
        <w:t> </w:t>
      </w:r>
      <w:r>
        <w:t>1989.</w:t>
      </w:r>
    </w:p>
    <w:p w14:paraId="1AB990E1" w14:textId="77777777" w:rsidR="004507DD" w:rsidRDefault="004507DD" w:rsidP="004507DD">
      <w:pPr>
        <w:pStyle w:val="ListBullet"/>
      </w:pPr>
      <w:r>
        <w:t>Clinical outbreaks of sudden mass mortalities are typically seen in fingerlings and juvenile fish, though adult fish may also be affected.</w:t>
      </w:r>
    </w:p>
    <w:p w14:paraId="5BF7D19E" w14:textId="17E0EAED" w:rsidR="004507DD" w:rsidRDefault="004507DD" w:rsidP="004507DD">
      <w:pPr>
        <w:pStyle w:val="ListBullet"/>
      </w:pPr>
      <w:r>
        <w:t>Transmission is horizontal and can occur by cohabitation resulting in up to</w:t>
      </w:r>
      <w:r w:rsidR="004F2B37">
        <w:t> </w:t>
      </w:r>
      <w:r>
        <w:t>100% mortalit</w:t>
      </w:r>
      <w:r w:rsidR="004F2B37">
        <w:t>y</w:t>
      </w:r>
      <w:r>
        <w:t xml:space="preserve"> within 11</w:t>
      </w:r>
      <w:r w:rsidR="004F2B37">
        <w:t> </w:t>
      </w:r>
      <w:r>
        <w:t>days.</w:t>
      </w:r>
    </w:p>
    <w:p w14:paraId="4D3177FC" w14:textId="0A71E558" w:rsidR="004507DD" w:rsidRDefault="004507DD" w:rsidP="004507DD">
      <w:pPr>
        <w:pStyle w:val="ListBullet"/>
      </w:pPr>
      <w:r>
        <w:t>Disease outbreaks may be associated with high summer water temperatures and/or poor water quality.</w:t>
      </w:r>
    </w:p>
    <w:p w14:paraId="7DD4D35D" w14:textId="77777777" w:rsidR="004507DD" w:rsidRDefault="004507DD" w:rsidP="004507DD">
      <w:pPr>
        <w:pStyle w:val="ListBullet"/>
      </w:pPr>
      <w:r>
        <w:t>Ranaviruses are resistant viruses, surviving for months in water, persisting in frozen fish tissues for more than two years and in fish carcasses for at least one year.</w:t>
      </w:r>
    </w:p>
    <w:p w14:paraId="45CF7725" w14:textId="25ECEC97" w:rsidR="00ED0614" w:rsidRDefault="004507DD" w:rsidP="004507DD">
      <w:pPr>
        <w:pStyle w:val="ListBullet"/>
      </w:pPr>
      <w:r>
        <w:lastRenderedPageBreak/>
        <w:t>Ranaviruses may be carried on equipment including nets and boats, in fish (live or dead) used for bait and via the gut, feathers, feet and bill of piscivorous birds</w:t>
      </w:r>
      <w:r w:rsidR="005C17C2">
        <w:t>.</w:t>
      </w:r>
    </w:p>
    <w:p w14:paraId="431A90C5" w14:textId="77777777" w:rsidR="00ED0614" w:rsidRDefault="00E260DC">
      <w:pPr>
        <w:pStyle w:val="Heading2"/>
      </w:pPr>
      <w:r>
        <w:t>Differential diagnosis</w:t>
      </w:r>
    </w:p>
    <w:p w14:paraId="00D9EE0B" w14:textId="19BE95C1" w:rsidR="00ED0614" w:rsidRDefault="00E260DC">
      <w:pPr>
        <w:keepLines/>
      </w:pPr>
      <w:r>
        <w:rPr>
          <w:lang w:eastAsia="en-AU"/>
        </w:rPr>
        <w:t xml:space="preserve">The list of </w:t>
      </w:r>
      <w:hyperlink w:anchor="_Similar_diseases" w:history="1">
        <w:r>
          <w:rPr>
            <w:rStyle w:val="Hyperlink"/>
            <w:lang w:eastAsia="en-AU"/>
          </w:rPr>
          <w:t>similar diseases</w:t>
        </w:r>
      </w:hyperlink>
      <w:r>
        <w:rPr>
          <w:lang w:eastAsia="en-AU"/>
        </w:rPr>
        <w:t xml:space="preserve"> in the next section refers only to the diseases covered by this field guide. </w:t>
      </w:r>
      <w:r w:rsidR="000D38F7" w:rsidRPr="000D38F7">
        <w:rPr>
          <w:lang w:eastAsia="en-AU"/>
        </w:rPr>
        <w:t>Gross pathological signs may also be representative of diseases not included in this guide. Do not rely on gross signs to provide a definitive diagnosis. Use them as a tool to help identify the listed diseases that most closely account for the observed signs</w:t>
      </w:r>
      <w:r>
        <w:rPr>
          <w:lang w:eastAsia="en-AU"/>
        </w:rPr>
        <w:t>.</w:t>
      </w:r>
    </w:p>
    <w:p w14:paraId="438DC32F" w14:textId="77777777" w:rsidR="00ED0614" w:rsidRDefault="00E260DC">
      <w:pPr>
        <w:pStyle w:val="Heading2"/>
      </w:pPr>
      <w:bookmarkStart w:id="0" w:name="_Similar_diseases"/>
      <w:bookmarkEnd w:id="0"/>
      <w:r>
        <w:t>Similar diseases</w:t>
      </w:r>
    </w:p>
    <w:p w14:paraId="3085BBD7" w14:textId="58BC8142" w:rsidR="00ED0614" w:rsidRDefault="004507DD">
      <w:r w:rsidRPr="004507DD">
        <w:t>Channel catfish virus disease (CCVD), enteric septicaemia of catfish</w:t>
      </w:r>
      <w:r w:rsidR="004F2B37">
        <w:t xml:space="preserve"> and</w:t>
      </w:r>
      <w:r w:rsidRPr="004507DD">
        <w:t xml:space="preserve"> epizootic haematopoietic necrosis (EHN)</w:t>
      </w:r>
      <w:r w:rsidR="00F83E56">
        <w:t>.</w:t>
      </w:r>
    </w:p>
    <w:p w14:paraId="1583FD47" w14:textId="77777777" w:rsidR="00ED0614" w:rsidRDefault="00E260DC">
      <w:pPr>
        <w:pStyle w:val="Heading2"/>
      </w:pPr>
      <w:r>
        <w:t>Sample collection</w:t>
      </w:r>
    </w:p>
    <w:p w14:paraId="023FB03E" w14:textId="73624794" w:rsidR="00ED0614" w:rsidRDefault="00742002">
      <w:r w:rsidRPr="00742002">
        <w:rPr>
          <w:lang w:eastAsia="en-AU"/>
        </w:rPr>
        <w:t>Only trained personnel should collect samples. Using only gross pathological signs to differentiate between diseases is not reliable, and some aquatic animal disease agents pose a risk to humans. If you are not appropriately trained, phone your state or territory hotline number and report your observations. If you have to collect samples, the agency taking your call will advise you on the appropriate course of action. Local or district fisheries or veterinary authorities may also advise on sampling.</w:t>
      </w:r>
    </w:p>
    <w:p w14:paraId="6058F664" w14:textId="77777777" w:rsidR="00ED0614" w:rsidRDefault="00E260DC">
      <w:pPr>
        <w:pStyle w:val="Heading2"/>
      </w:pPr>
      <w:r>
        <w:t>Emergency disease hotline</w:t>
      </w:r>
    </w:p>
    <w:p w14:paraId="4FF13930" w14:textId="77777777" w:rsidR="00ED0614" w:rsidRDefault="00E260DC" w:rsidP="004507DD">
      <w:pPr>
        <w:keepNext/>
      </w:pPr>
      <w:r>
        <w:t>See something you think is this disease? Report it. Even if you’re not sure.</w:t>
      </w:r>
    </w:p>
    <w:p w14:paraId="742BD5A1" w14:textId="777D2390" w:rsidR="00ED0614" w:rsidRDefault="00E260DC">
      <w:r>
        <w:t xml:space="preserve">Call the Emergency Animal Disease Watch Hotline on </w:t>
      </w:r>
      <w:r w:rsidR="00AD022C">
        <w:rPr>
          <w:rStyle w:val="Strong"/>
        </w:rPr>
        <w:t>1800 675 888</w:t>
      </w:r>
      <w:r>
        <w:t>. They will refer you to the right state or territory agency.</w:t>
      </w:r>
    </w:p>
    <w:p w14:paraId="50AF709B" w14:textId="77777777" w:rsidR="00ED0614" w:rsidRDefault="00E260DC">
      <w:pPr>
        <w:pStyle w:val="Heading2"/>
        <w:keepLines/>
        <w:rPr>
          <w:rFonts w:ascii="Cambria" w:eastAsiaTheme="minorHAnsi" w:hAnsi="Cambria"/>
          <w:b w:val="0"/>
          <w:bCs w:val="0"/>
          <w:color w:val="auto"/>
          <w:sz w:val="22"/>
          <w:szCs w:val="22"/>
          <w:lang w:eastAsia="en-US"/>
        </w:rPr>
      </w:pPr>
      <w:r>
        <w:t>Further reading</w:t>
      </w:r>
    </w:p>
    <w:p w14:paraId="5B328103" w14:textId="50C64456" w:rsidR="004507DD" w:rsidRPr="004507DD" w:rsidRDefault="004507DD" w:rsidP="004507DD">
      <w:r w:rsidRPr="004507DD">
        <w:t xml:space="preserve">CABI Invasive </w:t>
      </w:r>
      <w:r>
        <w:t>S</w:t>
      </w:r>
      <w:r w:rsidRPr="004507DD">
        <w:t xml:space="preserve">pecies </w:t>
      </w:r>
      <w:r>
        <w:t>C</w:t>
      </w:r>
      <w:r w:rsidRPr="004507DD">
        <w:t>ompendium</w:t>
      </w:r>
      <w:r>
        <w:t xml:space="preserve"> </w:t>
      </w:r>
      <w:hyperlink r:id="rId14" w:history="1">
        <w:r w:rsidRPr="004507DD">
          <w:rPr>
            <w:rStyle w:val="Hyperlink"/>
          </w:rPr>
          <w:t>Isolation of ranavirus causing mass mortality in brown bullheads (Ameiurus nebulosus) in Hungary</w:t>
        </w:r>
      </w:hyperlink>
    </w:p>
    <w:p w14:paraId="12B39D5C" w14:textId="44730D73" w:rsidR="002C1362" w:rsidRPr="004507DD" w:rsidRDefault="002C1362" w:rsidP="004507DD">
      <w:r w:rsidRPr="004507DD">
        <w:t xml:space="preserve">World Organisation for Animal Health </w:t>
      </w:r>
      <w:hyperlink r:id="rId15" w:history="1">
        <w:r w:rsidRPr="002C1362">
          <w:rPr>
            <w:rStyle w:val="Hyperlink"/>
            <w:rFonts w:ascii="Calibri" w:hAnsi="Calibri" w:cs="Arial"/>
          </w:rPr>
          <w:t xml:space="preserve">Manual of </w:t>
        </w:r>
        <w:r w:rsidR="00C373A0" w:rsidRPr="002C1362">
          <w:rPr>
            <w:rStyle w:val="Hyperlink"/>
            <w:rFonts w:ascii="Calibri" w:hAnsi="Calibri" w:cs="Arial"/>
          </w:rPr>
          <w:t>diagnostic tests for aquatic ani</w:t>
        </w:r>
        <w:r w:rsidRPr="002C1362">
          <w:rPr>
            <w:rStyle w:val="Hyperlink"/>
            <w:rFonts w:ascii="Calibri" w:hAnsi="Calibri" w:cs="Arial"/>
          </w:rPr>
          <w:t>mals</w:t>
        </w:r>
      </w:hyperlink>
    </w:p>
    <w:p w14:paraId="5F7DA703" w14:textId="613883F6" w:rsidR="00ED0614" w:rsidRDefault="00E260DC" w:rsidP="002C1362">
      <w:r>
        <w:t>These hyperlinks were correct at the time of publication.</w:t>
      </w:r>
    </w:p>
    <w:p w14:paraId="727D1659" w14:textId="77777777" w:rsidR="00ED0614" w:rsidRDefault="00E260DC">
      <w:pPr>
        <w:pStyle w:val="Heading2"/>
        <w:ind w:left="0" w:firstLine="0"/>
      </w:pPr>
      <w:r>
        <w:t>Contact details</w:t>
      </w:r>
    </w:p>
    <w:p w14:paraId="43CF42A0" w14:textId="77777777" w:rsidR="00ED0614" w:rsidRDefault="00E260DC">
      <w:pPr>
        <w:spacing w:after="0"/>
      </w:pPr>
      <w:r>
        <w:t>Emergency Animal Disease Watch Hotline 1800 675 888</w:t>
      </w:r>
    </w:p>
    <w:p w14:paraId="013BDC5B" w14:textId="77777777" w:rsidR="00ED0614" w:rsidRDefault="00E260DC">
      <w:r>
        <w:t xml:space="preserve">Email </w:t>
      </w:r>
      <w:hyperlink r:id="rId16" w:history="1">
        <w:r>
          <w:rPr>
            <w:rStyle w:val="Hyperlink"/>
          </w:rPr>
          <w:t>AAH@agriculture.gov.au</w:t>
        </w:r>
      </w:hyperlink>
      <w:r>
        <w:cr/>
        <w:t xml:space="preserve">Website </w:t>
      </w:r>
      <w:hyperlink r:id="rId17" w:history="1">
        <w:r>
          <w:rPr>
            <w:rStyle w:val="Hyperlink"/>
          </w:rPr>
          <w:t>agriculture.gov.au/pests-diseases-weeds/aquatic</w:t>
        </w:r>
      </w:hyperlink>
    </w:p>
    <w:p w14:paraId="70813592" w14:textId="25A55A4A" w:rsidR="00ED0614" w:rsidRDefault="00E260DC">
      <w:pPr>
        <w:pStyle w:val="Normalsmall"/>
      </w:pPr>
      <w:r>
        <w:t>© Commonwealth of Australia 20</w:t>
      </w:r>
      <w:r w:rsidR="00542BC6">
        <w:t>20</w:t>
      </w:r>
      <w:bookmarkStart w:id="1" w:name="_GoBack"/>
      <w:bookmarkEnd w:id="1"/>
    </w:p>
    <w:p w14:paraId="783F07B8" w14:textId="4E5FEA66" w:rsidR="00ED0614" w:rsidRDefault="00E260DC" w:rsidP="003F7380">
      <w:pPr>
        <w:pStyle w:val="Normalsmall"/>
      </w:pPr>
      <w:r>
        <w:t>This work is copyright. It may be reproduced in whole or in part subject to the inclusion of an acknowledgement of the source and no commercial usage or sale.</w:t>
      </w:r>
    </w:p>
    <w:sectPr w:rsidR="00ED0614">
      <w:headerReference w:type="default" r:id="rId18"/>
      <w:footerReference w:type="default" r:id="rId19"/>
      <w:headerReference w:type="first" r:id="rId20"/>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C78D9" w14:textId="77777777" w:rsidR="00ED0614" w:rsidRDefault="00E260DC">
      <w:r>
        <w:separator/>
      </w:r>
    </w:p>
    <w:p w14:paraId="0AA4D9C1" w14:textId="77777777" w:rsidR="00ED0614" w:rsidRDefault="00ED0614"/>
    <w:p w14:paraId="71426813" w14:textId="77777777" w:rsidR="00ED0614" w:rsidRDefault="00ED0614"/>
  </w:endnote>
  <w:endnote w:type="continuationSeparator" w:id="0">
    <w:p w14:paraId="52CF7EC4" w14:textId="77777777" w:rsidR="00ED0614" w:rsidRDefault="00E260DC">
      <w:r>
        <w:continuationSeparator/>
      </w:r>
    </w:p>
    <w:p w14:paraId="7D3F088E" w14:textId="77777777" w:rsidR="00ED0614" w:rsidRDefault="00ED0614"/>
    <w:p w14:paraId="76382A3E" w14:textId="77777777" w:rsidR="00ED0614" w:rsidRDefault="00ED0614"/>
  </w:endnote>
  <w:endnote w:type="continuationNotice" w:id="1">
    <w:p w14:paraId="5C987883" w14:textId="77777777" w:rsidR="00ED0614" w:rsidRDefault="00ED0614">
      <w:pPr>
        <w:pStyle w:val="Footer"/>
      </w:pPr>
    </w:p>
    <w:p w14:paraId="6054154D" w14:textId="77777777" w:rsidR="00ED0614" w:rsidRDefault="00ED0614"/>
    <w:p w14:paraId="14C21167" w14:textId="77777777" w:rsidR="00ED0614" w:rsidRDefault="00ED0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225E" w14:textId="6F2898ED" w:rsidR="00ED0614" w:rsidRDefault="00542BC6">
    <w:pPr>
      <w:pStyle w:val="Footer"/>
    </w:pPr>
    <w:r>
      <w:t>Department of Agriculture, Water and the Environment</w:t>
    </w:r>
  </w:p>
  <w:p w14:paraId="17457BBE" w14:textId="77777777" w:rsidR="00ED0614" w:rsidRDefault="00E260DC">
    <w:pPr>
      <w:pStyle w:val="Footer"/>
    </w:pPr>
    <w:r>
      <w:fldChar w:fldCharType="begin"/>
    </w:r>
    <w:r>
      <w:instrText xml:space="preserve"> PAGE   \* MERGEFORMAT </w:instrText>
    </w:r>
    <w:r>
      <w:fldChar w:fldCharType="separate"/>
    </w:r>
    <w:r w:rsidR="006B1D5B">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F4587" w14:textId="77777777" w:rsidR="00ED0614" w:rsidRDefault="00E260DC">
      <w:r>
        <w:separator/>
      </w:r>
    </w:p>
    <w:p w14:paraId="653B3757" w14:textId="77777777" w:rsidR="00ED0614" w:rsidRDefault="00ED0614"/>
    <w:p w14:paraId="2BC6E2A4" w14:textId="77777777" w:rsidR="00ED0614" w:rsidRDefault="00ED0614"/>
  </w:footnote>
  <w:footnote w:type="continuationSeparator" w:id="0">
    <w:p w14:paraId="57A88842" w14:textId="77777777" w:rsidR="00ED0614" w:rsidRDefault="00E260DC">
      <w:r>
        <w:continuationSeparator/>
      </w:r>
    </w:p>
    <w:p w14:paraId="77802F2E" w14:textId="77777777" w:rsidR="00ED0614" w:rsidRDefault="00ED0614"/>
    <w:p w14:paraId="0B9EE46F" w14:textId="77777777" w:rsidR="00ED0614" w:rsidRDefault="00ED0614"/>
  </w:footnote>
  <w:footnote w:type="continuationNotice" w:id="1">
    <w:p w14:paraId="5CC249E6" w14:textId="77777777" w:rsidR="00ED0614" w:rsidRDefault="00ED0614">
      <w:pPr>
        <w:pStyle w:val="Footer"/>
      </w:pPr>
    </w:p>
    <w:p w14:paraId="2499D858" w14:textId="77777777" w:rsidR="00ED0614" w:rsidRDefault="00ED0614"/>
    <w:p w14:paraId="3D0D6F00" w14:textId="77777777" w:rsidR="00ED0614" w:rsidRDefault="00ED0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61D1" w14:textId="48825999" w:rsidR="00ED0614" w:rsidRPr="003F7380" w:rsidRDefault="00990A30" w:rsidP="003F7380">
    <w:pPr>
      <w:pStyle w:val="Header"/>
    </w:pPr>
    <w:r>
      <w:t xml:space="preserve">European catfish virus (ECV) </w:t>
    </w:r>
    <w:r w:rsidRPr="00990A30">
      <w:t>and European sheatfish virus (ESV</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F4C9" w14:textId="77777777" w:rsidR="00ED0614" w:rsidRDefault="00E260DC">
    <w:pPr>
      <w:pStyle w:val="Header"/>
      <w:jc w:val="left"/>
    </w:pPr>
    <w:r>
      <w:rPr>
        <w:noProof/>
        <w:lang w:eastAsia="en-AU"/>
      </w:rPr>
      <w:drawing>
        <wp:anchor distT="0" distB="0" distL="114300" distR="114300" simplePos="0" relativeHeight="251658240" behindDoc="1" locked="0" layoutInCell="1" allowOverlap="1" wp14:anchorId="21AE8159" wp14:editId="4B268EBA">
          <wp:simplePos x="0" y="0"/>
          <wp:positionH relativeFrom="column">
            <wp:posOffset>-900429</wp:posOffset>
          </wp:positionH>
          <wp:positionV relativeFrom="paragraph">
            <wp:posOffset>-360045</wp:posOffset>
          </wp:positionV>
          <wp:extent cx="7584375" cy="16249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375" cy="1624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136E848"/>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abstractNumId w:val="6"/>
  </w:num>
  <w:num w:numId="2">
    <w:abstractNumId w:val="19"/>
  </w:num>
  <w:num w:numId="3">
    <w:abstractNumId w:val="20"/>
  </w:num>
  <w:num w:numId="4">
    <w:abstractNumId w:val="12"/>
  </w:num>
  <w:num w:numId="5">
    <w:abstractNumId w:val="25"/>
  </w:num>
  <w:num w:numId="6">
    <w:abstractNumId w:val="26"/>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6"/>
  </w:num>
  <w:num w:numId="22">
    <w:abstractNumId w:val="21"/>
  </w:num>
  <w:num w:numId="23">
    <w:abstractNumId w:val="28"/>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4"/>
  </w:num>
  <w:num w:numId="30">
    <w:abstractNumId w:val="11"/>
  </w:num>
  <w:num w:numId="31">
    <w:abstractNumId w:val="7"/>
  </w:num>
  <w:num w:numId="32">
    <w:abstractNumId w:val="9"/>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14"/>
    <w:rsid w:val="00025DF0"/>
    <w:rsid w:val="00030111"/>
    <w:rsid w:val="00050C3A"/>
    <w:rsid w:val="000C051E"/>
    <w:rsid w:val="000D05F1"/>
    <w:rsid w:val="000D38F7"/>
    <w:rsid w:val="001255AE"/>
    <w:rsid w:val="001413A7"/>
    <w:rsid w:val="00144359"/>
    <w:rsid w:val="001474D1"/>
    <w:rsid w:val="001A7824"/>
    <w:rsid w:val="001B37E6"/>
    <w:rsid w:val="001E10AC"/>
    <w:rsid w:val="001E366B"/>
    <w:rsid w:val="001E6330"/>
    <w:rsid w:val="001F30EF"/>
    <w:rsid w:val="00274A52"/>
    <w:rsid w:val="002C1362"/>
    <w:rsid w:val="003F4E8E"/>
    <w:rsid w:val="003F7380"/>
    <w:rsid w:val="004507DD"/>
    <w:rsid w:val="0045639F"/>
    <w:rsid w:val="0045792C"/>
    <w:rsid w:val="004E3720"/>
    <w:rsid w:val="004E6D1D"/>
    <w:rsid w:val="004F2B37"/>
    <w:rsid w:val="005012CC"/>
    <w:rsid w:val="005312B5"/>
    <w:rsid w:val="00542BC6"/>
    <w:rsid w:val="00583B3C"/>
    <w:rsid w:val="005A359A"/>
    <w:rsid w:val="005B0B25"/>
    <w:rsid w:val="005B5670"/>
    <w:rsid w:val="005C17C2"/>
    <w:rsid w:val="005E698C"/>
    <w:rsid w:val="006B1D5B"/>
    <w:rsid w:val="006D51D3"/>
    <w:rsid w:val="00742002"/>
    <w:rsid w:val="007757E1"/>
    <w:rsid w:val="00793DD5"/>
    <w:rsid w:val="007945B1"/>
    <w:rsid w:val="007E3043"/>
    <w:rsid w:val="00801CBF"/>
    <w:rsid w:val="00817D1A"/>
    <w:rsid w:val="00844BA3"/>
    <w:rsid w:val="00853ED4"/>
    <w:rsid w:val="008B4009"/>
    <w:rsid w:val="008C66EF"/>
    <w:rsid w:val="00952133"/>
    <w:rsid w:val="0095639C"/>
    <w:rsid w:val="00990A30"/>
    <w:rsid w:val="009C7070"/>
    <w:rsid w:val="00A20FE7"/>
    <w:rsid w:val="00A94C32"/>
    <w:rsid w:val="00AA7A65"/>
    <w:rsid w:val="00AC191C"/>
    <w:rsid w:val="00AD022C"/>
    <w:rsid w:val="00AF0061"/>
    <w:rsid w:val="00AF4A06"/>
    <w:rsid w:val="00AF7D99"/>
    <w:rsid w:val="00C10318"/>
    <w:rsid w:val="00C36630"/>
    <w:rsid w:val="00C373A0"/>
    <w:rsid w:val="00C605BC"/>
    <w:rsid w:val="00CD0FA5"/>
    <w:rsid w:val="00D1126F"/>
    <w:rsid w:val="00D12B64"/>
    <w:rsid w:val="00D467E7"/>
    <w:rsid w:val="00D55851"/>
    <w:rsid w:val="00DD769F"/>
    <w:rsid w:val="00DF2031"/>
    <w:rsid w:val="00DF6799"/>
    <w:rsid w:val="00E260DC"/>
    <w:rsid w:val="00E263C9"/>
    <w:rsid w:val="00E84766"/>
    <w:rsid w:val="00ED0614"/>
    <w:rsid w:val="00F03FC2"/>
    <w:rsid w:val="00F06A73"/>
    <w:rsid w:val="00F5592B"/>
    <w:rsid w:val="00F61820"/>
    <w:rsid w:val="00F72EFE"/>
    <w:rsid w:val="00F7570A"/>
    <w:rsid w:val="00F83E56"/>
    <w:rsid w:val="00FD7D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DA6F63D"/>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60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griculture.gov.au/pests-diseases-weeds/aquatic" TargetMode="External"/><Relationship Id="rId2" Type="http://schemas.openxmlformats.org/officeDocument/2006/relationships/customXml" Target="../customXml/item2.xml"/><Relationship Id="rId16" Type="http://schemas.openxmlformats.org/officeDocument/2006/relationships/hyperlink" Target="mailto:AAH@agricul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oie.int/en/international-standard-setting/aquatic-manual/access-onlin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bi.org/ISC/abstract/20143007594"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D27B80B2-C8D7-4F6A-AFE4-446451F5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32</TotalTime>
  <Pages>4</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European catfish virus (ECV) / European sheatfish virus (ESV)</vt:lpstr>
    </vt:vector>
  </TitlesOfParts>
  <Company>Department of Agriculture Fisheries &amp; Forestry</Company>
  <LinksUpToDate>false</LinksUpToDate>
  <CharactersWithSpaces>5984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catfish virus (ECV) / European sheatfish virus (ESV)</dc:title>
  <dc:creator>Department of Agriculture</dc:creator>
  <cp:lastModifiedBy>Caldwell, Louise</cp:lastModifiedBy>
  <cp:revision>12</cp:revision>
  <cp:lastPrinted>2020-03-11T06:02:00Z</cp:lastPrinted>
  <dcterms:created xsi:type="dcterms:W3CDTF">2019-08-30T06:14:00Z</dcterms:created>
  <dcterms:modified xsi:type="dcterms:W3CDTF">2020-03-11T06:02:00Z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