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inorHAnsi" w:eastAsia="Calibri" w:hAnsiTheme="minorHAnsi" w:cstheme="minorHAnsi"/>
          <w:b w:val="0"/>
          <w:caps/>
          <w:color w:val="auto"/>
          <w:spacing w:val="0"/>
          <w:kern w:val="0"/>
          <w:sz w:val="40"/>
          <w:szCs w:val="40"/>
          <w:lang w:eastAsia="en-US"/>
        </w:rPr>
        <w:id w:val="5388617"/>
        <w:docPartObj>
          <w:docPartGallery w:val="Cover Pages"/>
          <w:docPartUnique/>
        </w:docPartObj>
      </w:sdtPr>
      <w:sdtEndPr>
        <w:rPr>
          <w:rFonts w:ascii="Calibri" w:hAnsi="Calibri" w:cs="Times New Roman"/>
          <w:caps w:val="0"/>
          <w:color w:val="000000"/>
          <w:sz w:val="22"/>
          <w:szCs w:val="22"/>
          <w:lang w:eastAsia="en-AU"/>
        </w:rPr>
      </w:sdtEndPr>
      <w:sdtContent>
        <w:p w14:paraId="5ED07C82" w14:textId="2B2B315F" w:rsidR="00397370" w:rsidRPr="00C121A2" w:rsidRDefault="00397370" w:rsidP="00217401">
          <w:pPr>
            <w:pStyle w:val="CoverTitle"/>
            <w:spacing w:line="240" w:lineRule="auto"/>
            <w:rPr>
              <w:rFonts w:asciiTheme="minorHAnsi" w:eastAsia="Times New Roman" w:hAnsiTheme="minorHAnsi" w:cstheme="minorHAnsi"/>
              <w:noProof/>
              <w:color w:val="0070C0"/>
              <w:spacing w:val="0"/>
              <w:sz w:val="40"/>
              <w:szCs w:val="40"/>
            </w:rPr>
          </w:pPr>
          <w:r w:rsidRPr="00C121A2">
            <w:rPr>
              <w:rFonts w:asciiTheme="minorHAnsi" w:eastAsia="Times New Roman" w:hAnsiTheme="minorHAnsi" w:cstheme="minorHAnsi"/>
              <w:noProof/>
              <w:color w:val="0070C0"/>
              <w:spacing w:val="0"/>
              <w:sz w:val="40"/>
              <w:szCs w:val="40"/>
            </w:rPr>
            <w:t>Murray-Darling Basin Environmental Water Knowledge and Research Project</w:t>
          </w:r>
        </w:p>
        <w:p w14:paraId="2375DD2D" w14:textId="348FD370" w:rsidR="007E6582" w:rsidRPr="00C121A2" w:rsidRDefault="00D2777E" w:rsidP="00217401">
          <w:pPr>
            <w:pStyle w:val="Title"/>
            <w:spacing w:after="0"/>
            <w:rPr>
              <w:rFonts w:cstheme="minorHAnsi"/>
              <w:szCs w:val="40"/>
            </w:rPr>
          </w:pPr>
          <w:bookmarkStart w:id="1" w:name="_Toc515371653"/>
          <w:bookmarkStart w:id="2" w:name="_Toc531616535"/>
          <w:bookmarkStart w:id="3" w:name="_Toc531616574"/>
          <w:r w:rsidRPr="00C121A2">
            <w:rPr>
              <w:rFonts w:cstheme="minorHAnsi"/>
              <w:szCs w:val="40"/>
            </w:rPr>
            <w:t>Synthesis</w:t>
          </w:r>
          <w:r w:rsidR="008D7264" w:rsidRPr="00C121A2">
            <w:rPr>
              <w:rFonts w:cstheme="minorHAnsi"/>
              <w:szCs w:val="40"/>
            </w:rPr>
            <w:t xml:space="preserve"> </w:t>
          </w:r>
          <w:r w:rsidR="00F53E99" w:rsidRPr="00C121A2">
            <w:rPr>
              <w:rFonts w:cstheme="minorHAnsi"/>
              <w:szCs w:val="40"/>
            </w:rPr>
            <w:t>Report</w:t>
          </w:r>
          <w:bookmarkEnd w:id="1"/>
          <w:bookmarkEnd w:id="2"/>
          <w:bookmarkEnd w:id="3"/>
        </w:p>
        <w:p w14:paraId="2763A3E9" w14:textId="62054A80" w:rsidR="00803A25" w:rsidRPr="00BC4287" w:rsidRDefault="00A61C86" w:rsidP="00E53E38">
          <w:pPr>
            <w:pStyle w:val="BodyText"/>
          </w:pPr>
          <w:r>
            <w:pict w14:anchorId="6CD7F240">
              <v:rect id="_x0000_i1025" style="width:453.5pt;height:1.5pt" o:hralign="center" o:hrstd="t" o:hrnoshade="t" o:hr="t" fillcolor="#0070c0" stroked="f"/>
            </w:pict>
          </w:r>
        </w:p>
        <w:p w14:paraId="3493DA97" w14:textId="21F96036" w:rsidR="00803A25" w:rsidRPr="00BC4287" w:rsidRDefault="00476470" w:rsidP="00E53E38">
          <w:pPr>
            <w:pStyle w:val="BodyText"/>
          </w:pPr>
          <w:r w:rsidRPr="00BC4287">
            <w:t>Nikki Thurgate, Julia Mynott, Lyn Smith and Nick Bond</w:t>
          </w:r>
        </w:p>
        <w:p w14:paraId="68E07C01" w14:textId="52F10115" w:rsidR="00803A25" w:rsidRPr="00BC4287" w:rsidRDefault="00A61C86" w:rsidP="00E53E38">
          <w:pPr>
            <w:pStyle w:val="BodyText"/>
          </w:pPr>
          <w:r>
            <w:pict w14:anchorId="33757B62">
              <v:rect id="_x0000_i1026" style="width:453.5pt;height:1.5pt" o:hralign="center" o:hrstd="t" o:hrnoshade="t" o:hr="t" fillcolor="#0070c0" stroked="f"/>
            </w:pict>
          </w:r>
        </w:p>
        <w:p w14:paraId="07022FF2" w14:textId="3437CE3B" w:rsidR="00325732" w:rsidRPr="00BC4287" w:rsidRDefault="007F31D0" w:rsidP="00E53E38">
          <w:pPr>
            <w:pStyle w:val="BodyText"/>
            <w:rPr>
              <w:noProof/>
            </w:rPr>
          </w:pPr>
          <w:r w:rsidRPr="00BC4287">
            <w:rPr>
              <w:noProof/>
            </w:rPr>
            <w:drawing>
              <wp:inline distT="0" distB="0" distL="0" distR="0" wp14:anchorId="743F2F34" wp14:editId="1F093BD8">
                <wp:extent cx="5400000" cy="4050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a:noFill/>
                        </a:ln>
                      </pic:spPr>
                    </pic:pic>
                  </a:graphicData>
                </a:graphic>
              </wp:inline>
            </w:drawing>
          </w:r>
        </w:p>
        <w:p w14:paraId="35434921" w14:textId="77777777" w:rsidR="00C61828" w:rsidRPr="00BC4287" w:rsidRDefault="00C61828" w:rsidP="00E53E38">
          <w:pPr>
            <w:pStyle w:val="BodyText"/>
            <w:rPr>
              <w:noProof/>
            </w:rPr>
          </w:pPr>
        </w:p>
        <w:p w14:paraId="4983C1A0" w14:textId="77777777" w:rsidR="00C06C64" w:rsidRPr="00BC4287" w:rsidRDefault="00C06C64" w:rsidP="00E53E38">
          <w:pPr>
            <w:pStyle w:val="BodyText"/>
          </w:pPr>
        </w:p>
        <w:p w14:paraId="4EBC160B" w14:textId="2B7D1E80" w:rsidR="00C06C64" w:rsidRPr="00BC4287" w:rsidRDefault="00662A36" w:rsidP="00217401">
          <w:pPr>
            <w:tabs>
              <w:tab w:val="left" w:pos="1002"/>
              <w:tab w:val="center" w:pos="4513"/>
            </w:tabs>
            <w:jc w:val="center"/>
            <w:rPr>
              <w:rFonts w:asciiTheme="minorHAnsi" w:hAnsiTheme="minorHAnsi" w:cstheme="minorHAnsi"/>
              <w:b/>
              <w:color w:val="808080" w:themeColor="background1" w:themeShade="80"/>
            </w:rPr>
          </w:pPr>
          <w:r>
            <w:rPr>
              <w:rFonts w:asciiTheme="minorHAnsi" w:hAnsiTheme="minorHAnsi" w:cstheme="minorHAnsi"/>
              <w:b/>
              <w:color w:val="808080" w:themeColor="background1" w:themeShade="80"/>
            </w:rPr>
            <w:t>Final</w:t>
          </w:r>
          <w:r w:rsidRPr="00BC4287">
            <w:rPr>
              <w:rFonts w:asciiTheme="minorHAnsi" w:hAnsiTheme="minorHAnsi" w:cstheme="minorHAnsi"/>
              <w:b/>
              <w:color w:val="808080" w:themeColor="background1" w:themeShade="80"/>
            </w:rPr>
            <w:t xml:space="preserve"> </w:t>
          </w:r>
          <w:r w:rsidR="00C06C64" w:rsidRPr="00BC4287">
            <w:rPr>
              <w:rFonts w:asciiTheme="minorHAnsi" w:hAnsiTheme="minorHAnsi" w:cstheme="minorHAnsi"/>
              <w:b/>
              <w:color w:val="808080" w:themeColor="background1" w:themeShade="80"/>
            </w:rPr>
            <w:t>Report</w:t>
          </w:r>
        </w:p>
        <w:p w14:paraId="0A36B14C" w14:textId="7E12A5E2" w:rsidR="00937A57" w:rsidRPr="00BC4287" w:rsidRDefault="00C06C64" w:rsidP="00217401">
          <w:pPr>
            <w:tabs>
              <w:tab w:val="left" w:pos="1002"/>
              <w:tab w:val="center" w:pos="4513"/>
            </w:tabs>
            <w:jc w:val="center"/>
            <w:rPr>
              <w:rFonts w:asciiTheme="minorHAnsi" w:hAnsiTheme="minorHAnsi" w:cstheme="minorHAnsi"/>
              <w:b/>
              <w:color w:val="330033"/>
            </w:rPr>
          </w:pPr>
          <w:r w:rsidRPr="00BC4287">
            <w:rPr>
              <w:rFonts w:asciiTheme="minorHAnsi" w:hAnsiTheme="minorHAnsi" w:cstheme="minorHAnsi"/>
              <w:noProof/>
              <w:color w:val="00A9CE" w:themeColor="accent1"/>
            </w:rPr>
            <mc:AlternateContent>
              <mc:Choice Requires="wps">
                <w:drawing>
                  <wp:anchor distT="0" distB="0" distL="114300" distR="114300" simplePos="0" relativeHeight="251852288" behindDoc="1" locked="1" layoutInCell="1" allowOverlap="1" wp14:anchorId="2DC35197" wp14:editId="618D801E">
                    <wp:simplePos x="0" y="0"/>
                    <wp:positionH relativeFrom="page">
                      <wp:posOffset>6600825</wp:posOffset>
                    </wp:positionH>
                    <wp:positionV relativeFrom="page">
                      <wp:posOffset>6562725</wp:posOffset>
                    </wp:positionV>
                    <wp:extent cx="632460" cy="275082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5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FA056F" w14:textId="50595B79" w:rsidR="00662A36" w:rsidRPr="00C06C64" w:rsidRDefault="00522266" w:rsidP="00C06C64">
                                <w:pPr>
                                  <w:pStyle w:val="TitlePageVerticalPeriod"/>
                                  <w:rPr>
                                    <w:rFonts w:asciiTheme="minorHAnsi" w:hAnsiTheme="minorHAnsi" w:cstheme="minorHAnsi"/>
                                    <w:b/>
                                    <w:noProof/>
                                    <w:sz w:val="52"/>
                                    <w:szCs w:val="52"/>
                                    <w:lang w:eastAsia="en-AU"/>
                                  </w:rPr>
                                </w:pPr>
                                <w:r>
                                  <w:rPr>
                                    <w:rFonts w:asciiTheme="minorHAnsi" w:hAnsiTheme="minorHAnsi" w:cstheme="minorHAnsi"/>
                                    <w:b/>
                                    <w:noProof/>
                                    <w:sz w:val="52"/>
                                    <w:szCs w:val="52"/>
                                    <w:lang w:eastAsia="en-AU"/>
                                  </w:rPr>
                                  <w:t>August</w:t>
                                </w:r>
                                <w:r w:rsidR="00662A36">
                                  <w:rPr>
                                    <w:rFonts w:asciiTheme="minorHAnsi" w:hAnsiTheme="minorHAnsi" w:cstheme="minorHAnsi"/>
                                    <w:b/>
                                    <w:noProof/>
                                    <w:sz w:val="52"/>
                                    <w:szCs w:val="52"/>
                                    <w:lang w:eastAsia="en-AU"/>
                                  </w:rPr>
                                  <w:t xml:space="preserve"> </w:t>
                                </w:r>
                                <w:r w:rsidR="00662A36" w:rsidRPr="00C06C64">
                                  <w:rPr>
                                    <w:rFonts w:asciiTheme="minorHAnsi" w:hAnsiTheme="minorHAnsi" w:cstheme="minorHAnsi"/>
                                    <w:b/>
                                    <w:noProof/>
                                    <w:sz w:val="52"/>
                                    <w:szCs w:val="52"/>
                                    <w:lang w:eastAsia="en-AU"/>
                                  </w:rPr>
                                  <w:t>201</w:t>
                                </w:r>
                                <w:r w:rsidR="00662A36">
                                  <w:rPr>
                                    <w:rFonts w:asciiTheme="minorHAnsi" w:hAnsiTheme="minorHAnsi" w:cstheme="minorHAnsi"/>
                                    <w:b/>
                                    <w:noProof/>
                                    <w:sz w:val="52"/>
                                    <w:szCs w:val="52"/>
                                    <w:lang w:eastAsia="en-AU"/>
                                  </w:rPr>
                                  <w:t>9</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35197" id="_x0000_t202" coordsize="21600,21600" o:spt="202" path="m,l,21600r21600,l21600,xe">
                    <v:stroke joinstyle="miter"/>
                    <v:path gradientshapeok="t" o:connecttype="rect"/>
                  </v:shapetype>
                  <v:shape id="Text Box 3" o:spid="_x0000_s1026" type="#_x0000_t202" style="position:absolute;left:0;text-align:left;margin-left:519.75pt;margin-top:516.75pt;width:49.8pt;height:216.6pt;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mvgwIAABI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" stroked="f">
                    <v:textbox style="layout-flow:vertical;mso-layout-flow-alt:bottom-to-top">
                      <w:txbxContent>
                        <w:p w14:paraId="67FA056F" w14:textId="50595B79" w:rsidR="00662A36" w:rsidRPr="00C06C64" w:rsidRDefault="00522266" w:rsidP="00C06C64">
                          <w:pPr>
                            <w:pStyle w:val="TitlePageVerticalPeriod"/>
                            <w:rPr>
                              <w:rFonts w:asciiTheme="minorHAnsi" w:hAnsiTheme="minorHAnsi" w:cstheme="minorHAnsi"/>
                              <w:b/>
                              <w:noProof/>
                              <w:sz w:val="52"/>
                              <w:szCs w:val="52"/>
                              <w:lang w:eastAsia="en-AU"/>
                            </w:rPr>
                          </w:pPr>
                          <w:r>
                            <w:rPr>
                              <w:rFonts w:asciiTheme="minorHAnsi" w:hAnsiTheme="minorHAnsi" w:cstheme="minorHAnsi"/>
                              <w:b/>
                              <w:noProof/>
                              <w:sz w:val="52"/>
                              <w:szCs w:val="52"/>
                              <w:lang w:eastAsia="en-AU"/>
                            </w:rPr>
                            <w:t>August</w:t>
                          </w:r>
                          <w:r w:rsidR="00662A36">
                            <w:rPr>
                              <w:rFonts w:asciiTheme="minorHAnsi" w:hAnsiTheme="minorHAnsi" w:cstheme="minorHAnsi"/>
                              <w:b/>
                              <w:noProof/>
                              <w:sz w:val="52"/>
                              <w:szCs w:val="52"/>
                              <w:lang w:eastAsia="en-AU"/>
                            </w:rPr>
                            <w:t xml:space="preserve"> </w:t>
                          </w:r>
                          <w:r w:rsidR="00662A36" w:rsidRPr="00C06C64">
                            <w:rPr>
                              <w:rFonts w:asciiTheme="minorHAnsi" w:hAnsiTheme="minorHAnsi" w:cstheme="minorHAnsi"/>
                              <w:b/>
                              <w:noProof/>
                              <w:sz w:val="52"/>
                              <w:szCs w:val="52"/>
                              <w:lang w:eastAsia="en-AU"/>
                            </w:rPr>
                            <w:t>201</w:t>
                          </w:r>
                          <w:r w:rsidR="00662A36">
                            <w:rPr>
                              <w:rFonts w:asciiTheme="minorHAnsi" w:hAnsiTheme="minorHAnsi" w:cstheme="minorHAnsi"/>
                              <w:b/>
                              <w:noProof/>
                              <w:sz w:val="52"/>
                              <w:szCs w:val="52"/>
                              <w:lang w:eastAsia="en-AU"/>
                            </w:rPr>
                            <w:t>9</w:t>
                          </w:r>
                        </w:p>
                      </w:txbxContent>
                    </v:textbox>
                    <w10:wrap anchorx="page" anchory="page"/>
                    <w10:anchorlock/>
                  </v:shape>
                </w:pict>
              </mc:Fallback>
            </mc:AlternateContent>
          </w:r>
          <w:r w:rsidRPr="00BC4287">
            <w:rPr>
              <w:rFonts w:asciiTheme="minorHAnsi" w:hAnsiTheme="minorHAnsi" w:cstheme="minorHAnsi"/>
              <w:b/>
              <w:color w:val="330033"/>
            </w:rPr>
            <w:t xml:space="preserve">CFE Publication </w:t>
          </w:r>
          <w:r w:rsidR="000A0C62" w:rsidRPr="00BC4287">
            <w:rPr>
              <w:rFonts w:asciiTheme="minorHAnsi" w:hAnsiTheme="minorHAnsi" w:cstheme="minorHAnsi"/>
              <w:b/>
              <w:color w:val="330033"/>
            </w:rPr>
            <w:t>230</w:t>
          </w:r>
        </w:p>
        <w:p w14:paraId="2C72D573" w14:textId="02C8B206" w:rsidR="00034562" w:rsidRPr="00BC4287" w:rsidRDefault="00034562" w:rsidP="00217401">
          <w:pPr>
            <w:tabs>
              <w:tab w:val="left" w:pos="1002"/>
              <w:tab w:val="center" w:pos="4513"/>
            </w:tabs>
            <w:rPr>
              <w:rFonts w:asciiTheme="minorHAnsi" w:hAnsiTheme="minorHAnsi" w:cstheme="minorHAnsi"/>
            </w:rPr>
          </w:pPr>
        </w:p>
        <w:p w14:paraId="686252A4" w14:textId="77777777" w:rsidR="00034562" w:rsidRPr="00BC4287" w:rsidRDefault="00034562" w:rsidP="00217401">
          <w:pPr>
            <w:tabs>
              <w:tab w:val="left" w:pos="1002"/>
              <w:tab w:val="center" w:pos="4513"/>
            </w:tabs>
            <w:rPr>
              <w:rFonts w:asciiTheme="minorHAnsi" w:hAnsiTheme="minorHAnsi" w:cstheme="minorHAnsi"/>
            </w:rPr>
          </w:pPr>
        </w:p>
        <w:p w14:paraId="7C01EA42" w14:textId="77777777" w:rsidR="00937A57" w:rsidRPr="00BC4287" w:rsidRDefault="00937A57" w:rsidP="00E53E38">
          <w:pPr>
            <w:pStyle w:val="BodyText"/>
            <w:sectPr w:rsidR="00937A57" w:rsidRPr="00BC4287" w:rsidSect="002F2617">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3119" w:right="1418" w:bottom="1701" w:left="1418" w:header="567" w:footer="567" w:gutter="0"/>
              <w:pgNumType w:fmt="lowerRoman" w:start="1"/>
              <w:cols w:space="284"/>
              <w:titlePg/>
              <w:docGrid w:linePitch="360"/>
            </w:sectPr>
          </w:pPr>
        </w:p>
        <w:p w14:paraId="11FF7A7E" w14:textId="45C1EAB1" w:rsidR="00077956" w:rsidRPr="00BC4287" w:rsidRDefault="00077956" w:rsidP="00217401">
          <w:pPr>
            <w:pStyle w:val="ReportSubtitle"/>
            <w:spacing w:after="120"/>
            <w:rPr>
              <w:rFonts w:cstheme="minorHAnsi"/>
              <w:color w:val="auto"/>
              <w:sz w:val="22"/>
              <w:szCs w:val="22"/>
            </w:rPr>
          </w:pPr>
          <w:bookmarkStart w:id="6" w:name="_Toc264469108"/>
          <w:bookmarkStart w:id="7" w:name="_Toc264469635"/>
          <w:bookmarkStart w:id="8" w:name="_Toc268705225"/>
          <w:bookmarkStart w:id="9" w:name="_Toc268792555"/>
          <w:bookmarkStart w:id="10" w:name="_Toc268869192"/>
          <w:r w:rsidRPr="00BC4287">
            <w:rPr>
              <w:rFonts w:cstheme="minorHAnsi"/>
              <w:color w:val="auto"/>
              <w:sz w:val="22"/>
              <w:szCs w:val="22"/>
            </w:rPr>
            <w:lastRenderedPageBreak/>
            <w:t>Murray</w:t>
          </w:r>
          <w:r w:rsidR="00CA2883" w:rsidRPr="00BC4287">
            <w:rPr>
              <w:rFonts w:cstheme="minorHAnsi"/>
              <w:color w:val="auto"/>
              <w:sz w:val="22"/>
              <w:szCs w:val="22"/>
            </w:rPr>
            <w:t>-</w:t>
          </w:r>
          <w:r w:rsidRPr="00BC4287">
            <w:rPr>
              <w:rFonts w:cstheme="minorHAnsi"/>
              <w:color w:val="auto"/>
              <w:sz w:val="22"/>
              <w:szCs w:val="22"/>
            </w:rPr>
            <w:t>Darling Basin Environmental Water Knowledge and Research Project</w:t>
          </w:r>
          <w:r w:rsidRPr="00BC4287">
            <w:rPr>
              <w:rFonts w:cstheme="minorHAnsi"/>
              <w:color w:val="auto"/>
              <w:sz w:val="22"/>
              <w:szCs w:val="22"/>
            </w:rPr>
            <w:br/>
            <w:t xml:space="preserve">Research </w:t>
          </w:r>
          <w:r w:rsidR="009C00FB" w:rsidRPr="00BC4287">
            <w:rPr>
              <w:rFonts w:cstheme="minorHAnsi"/>
              <w:color w:val="auto"/>
              <w:sz w:val="22"/>
              <w:szCs w:val="22"/>
            </w:rPr>
            <w:t xml:space="preserve">Site </w:t>
          </w:r>
          <w:r w:rsidRPr="00BC4287">
            <w:rPr>
              <w:rFonts w:cstheme="minorHAnsi"/>
              <w:color w:val="auto"/>
              <w:sz w:val="22"/>
              <w:szCs w:val="22"/>
            </w:rPr>
            <w:t xml:space="preserve">Report </w:t>
          </w:r>
        </w:p>
        <w:bookmarkEnd w:id="6"/>
        <w:bookmarkEnd w:id="7"/>
        <w:bookmarkEnd w:id="8"/>
        <w:bookmarkEnd w:id="9"/>
        <w:bookmarkEnd w:id="10"/>
        <w:p w14:paraId="110AE11C" w14:textId="6BE7DC39" w:rsidR="00077956" w:rsidRPr="00BC4287" w:rsidRDefault="00077956" w:rsidP="00217401">
          <w:pPr>
            <w:pStyle w:val="PrelimTextLeftAlign"/>
            <w:spacing w:after="120"/>
            <w:rPr>
              <w:rFonts w:cstheme="minorHAnsi"/>
            </w:rPr>
          </w:pPr>
          <w:r w:rsidRPr="00BC4287">
            <w:rPr>
              <w:rFonts w:cstheme="minorHAnsi"/>
            </w:rPr>
            <w:t>Report prepared for the Department of the Environment and Energy, Commonwealth Environmental Water Office by La Trobe University, Centre for Freshwater Ecosystems (formerly Murray</w:t>
          </w:r>
          <w:r w:rsidR="00CA2883" w:rsidRPr="00BC4287">
            <w:rPr>
              <w:rFonts w:cstheme="minorHAnsi"/>
            </w:rPr>
            <w:t>-</w:t>
          </w:r>
          <w:r w:rsidRPr="00BC4287">
            <w:rPr>
              <w:rFonts w:cstheme="minorHAnsi"/>
            </w:rPr>
            <w:t>Darling Freshwater Research Centre).</w:t>
          </w:r>
        </w:p>
        <w:p w14:paraId="696A9E86" w14:textId="77777777" w:rsidR="00077956" w:rsidRPr="00BC4287" w:rsidRDefault="00077956" w:rsidP="00217401">
          <w:pPr>
            <w:pStyle w:val="PrelimTextLeftAlign"/>
            <w:spacing w:after="0"/>
            <w:rPr>
              <w:rFonts w:cstheme="minorHAnsi"/>
              <w:highlight w:val="yellow"/>
            </w:rPr>
          </w:pPr>
        </w:p>
        <w:p w14:paraId="63059CED" w14:textId="4BC979C1" w:rsidR="00077956" w:rsidRPr="00BC4287" w:rsidRDefault="00077956" w:rsidP="00217401">
          <w:pPr>
            <w:pStyle w:val="PrelimTextLeftAlign"/>
            <w:spacing w:after="120"/>
            <w:rPr>
              <w:rFonts w:cstheme="minorHAnsi"/>
            </w:rPr>
          </w:pPr>
          <w:r w:rsidRPr="00BC4287">
            <w:rPr>
              <w:rFonts w:cstheme="minorHAnsi"/>
            </w:rPr>
            <w:t>Department of the Environment and Energy, Commonwealth Environmental Water Office</w:t>
          </w:r>
          <w:r w:rsidRPr="00BC4287">
            <w:rPr>
              <w:rFonts w:cstheme="minorHAnsi"/>
            </w:rPr>
            <w:br/>
          </w:r>
          <w:r w:rsidR="007244CD" w:rsidRPr="00BC4287">
            <w:rPr>
              <w:rFonts w:cstheme="minorHAnsi"/>
            </w:rPr>
            <w:t xml:space="preserve">GPO Box </w:t>
          </w:r>
          <w:r w:rsidR="00D34C47" w:rsidRPr="00BC4287">
            <w:rPr>
              <w:rFonts w:cstheme="minorHAnsi"/>
            </w:rPr>
            <w:t>787,</w:t>
          </w:r>
          <w:r w:rsidR="00B71C4A" w:rsidRPr="00BC4287">
            <w:rPr>
              <w:rFonts w:cstheme="minorHAnsi"/>
            </w:rPr>
            <w:br/>
          </w:r>
          <w:r w:rsidRPr="00BC4287">
            <w:rPr>
              <w:rFonts w:cstheme="minorHAnsi"/>
            </w:rPr>
            <w:t>Canberra</w:t>
          </w:r>
          <w:r w:rsidR="00D34C47" w:rsidRPr="00BC4287">
            <w:rPr>
              <w:rFonts w:cstheme="minorHAnsi"/>
            </w:rPr>
            <w:t>,</w:t>
          </w:r>
          <w:r w:rsidRPr="00BC4287">
            <w:rPr>
              <w:rFonts w:cstheme="minorHAnsi"/>
            </w:rPr>
            <w:t xml:space="preserve"> ACT</w:t>
          </w:r>
          <w:r w:rsidR="00D34C47" w:rsidRPr="00BC4287">
            <w:rPr>
              <w:rFonts w:cstheme="minorHAnsi"/>
            </w:rPr>
            <w:t>,</w:t>
          </w:r>
          <w:r w:rsidRPr="00BC4287">
            <w:rPr>
              <w:rFonts w:cstheme="minorHAnsi"/>
            </w:rPr>
            <w:t xml:space="preserve"> 2601</w:t>
          </w:r>
          <w:r w:rsidR="00B71C4A" w:rsidRPr="00BC4287">
            <w:rPr>
              <w:rFonts w:cstheme="minorHAnsi"/>
            </w:rPr>
            <w:br/>
          </w:r>
        </w:p>
        <w:p w14:paraId="722C81F5" w14:textId="77777777" w:rsidR="00077956" w:rsidRPr="00BC4287" w:rsidRDefault="00077956" w:rsidP="00217401">
          <w:pPr>
            <w:pStyle w:val="PrelimTextLeftAlign"/>
            <w:spacing w:after="0"/>
            <w:rPr>
              <w:rFonts w:cstheme="minorHAnsi"/>
              <w:highlight w:val="yellow"/>
            </w:rPr>
          </w:pPr>
        </w:p>
        <w:p w14:paraId="30829841" w14:textId="77777777" w:rsidR="00077956" w:rsidRPr="00BC4287" w:rsidRDefault="00077956" w:rsidP="00217401">
          <w:pPr>
            <w:pStyle w:val="PrelimText"/>
            <w:spacing w:after="120"/>
            <w:rPr>
              <w:rFonts w:cstheme="minorHAnsi"/>
            </w:rPr>
          </w:pPr>
          <w:r w:rsidRPr="00BC4287">
            <w:rPr>
              <w:rFonts w:cstheme="minorHAnsi"/>
            </w:rPr>
            <w:t>For further information contact:</w:t>
          </w:r>
        </w:p>
        <w:p w14:paraId="1D17C005" w14:textId="479C0561" w:rsidR="00077956" w:rsidRPr="00BC4287" w:rsidRDefault="009C00FB" w:rsidP="00217401">
          <w:pPr>
            <w:pStyle w:val="PrelimTextLeftAlign"/>
            <w:tabs>
              <w:tab w:val="left" w:pos="5670"/>
            </w:tabs>
            <w:spacing w:after="120"/>
            <w:rPr>
              <w:rStyle w:val="Strong"/>
              <w:rFonts w:cstheme="minorHAnsi"/>
              <w:b w:val="0"/>
            </w:rPr>
          </w:pPr>
          <w:bookmarkStart w:id="11" w:name="_Toc161212724"/>
          <w:r w:rsidRPr="00BC4287">
            <w:rPr>
              <w:rStyle w:val="Strong"/>
              <w:rFonts w:cstheme="minorHAnsi"/>
            </w:rPr>
            <w:t>Nick Bond</w:t>
          </w:r>
          <w:r w:rsidRPr="00BC4287">
            <w:rPr>
              <w:rStyle w:val="Strong"/>
              <w:rFonts w:cstheme="minorHAnsi"/>
            </w:rPr>
            <w:tab/>
          </w:r>
          <w:r w:rsidR="00DE4E47" w:rsidRPr="00BC4287">
            <w:rPr>
              <w:rStyle w:val="Strong"/>
              <w:rFonts w:cstheme="minorHAnsi"/>
              <w:b w:val="0"/>
            </w:rPr>
            <w:t>Nikki Thurgate</w:t>
          </w:r>
          <w:r w:rsidRPr="00BC4287">
            <w:rPr>
              <w:rStyle w:val="Strong"/>
              <w:rFonts w:cstheme="minorHAnsi"/>
              <w:b w:val="0"/>
            </w:rPr>
            <w:br/>
            <w:t>Project Leader</w:t>
          </w:r>
          <w:r w:rsidRPr="00BC4287">
            <w:rPr>
              <w:rStyle w:val="Strong"/>
              <w:rFonts w:cstheme="minorHAnsi"/>
              <w:b w:val="0"/>
            </w:rPr>
            <w:tab/>
            <w:t>Project Co-ordinator</w:t>
          </w:r>
        </w:p>
        <w:p w14:paraId="46EA5F19" w14:textId="0B50C31F" w:rsidR="00077956" w:rsidRPr="00BC4287" w:rsidRDefault="00077956" w:rsidP="00217401">
          <w:pPr>
            <w:pStyle w:val="PrelimTextLeftAlign"/>
            <w:tabs>
              <w:tab w:val="left" w:pos="5670"/>
            </w:tabs>
            <w:spacing w:after="120"/>
            <w:rPr>
              <w:rFonts w:cstheme="minorHAnsi"/>
            </w:rPr>
          </w:pPr>
          <w:bookmarkStart w:id="12" w:name="_Toc264469110"/>
          <w:bookmarkStart w:id="13" w:name="_Toc264469637"/>
          <w:bookmarkStart w:id="14" w:name="_Toc268705227"/>
          <w:bookmarkStart w:id="15" w:name="_Toc268792557"/>
          <w:bookmarkStart w:id="16" w:name="_Toc268869194"/>
          <w:r w:rsidRPr="00BC4287">
            <w:rPr>
              <w:rFonts w:cstheme="minorHAnsi"/>
            </w:rPr>
            <w:t>Centre for Freshwater Ecosystems</w:t>
          </w:r>
          <w:r w:rsidR="00DE4E47" w:rsidRPr="00BC4287">
            <w:rPr>
              <w:rFonts w:cstheme="minorHAnsi"/>
            </w:rPr>
            <w:tab/>
          </w:r>
          <w:r w:rsidR="00DE4E47" w:rsidRPr="00BC4287">
            <w:rPr>
              <w:rFonts w:cstheme="minorHAnsi"/>
            </w:rPr>
            <w:br/>
          </w:r>
          <w:r w:rsidRPr="00BC4287">
            <w:rPr>
              <w:rFonts w:cstheme="minorHAnsi"/>
            </w:rPr>
            <w:t>(formerly Murray</w:t>
          </w:r>
          <w:r w:rsidR="005B6D97" w:rsidRPr="00BC4287">
            <w:rPr>
              <w:rFonts w:cstheme="minorHAnsi"/>
            </w:rPr>
            <w:t>–</w:t>
          </w:r>
          <w:r w:rsidRPr="00BC4287">
            <w:rPr>
              <w:rFonts w:cstheme="minorHAnsi"/>
            </w:rPr>
            <w:t>Darling Freshwater Research Centre</w:t>
          </w:r>
          <w:bookmarkEnd w:id="11"/>
          <w:bookmarkEnd w:id="12"/>
          <w:bookmarkEnd w:id="13"/>
          <w:bookmarkEnd w:id="14"/>
          <w:bookmarkEnd w:id="15"/>
          <w:bookmarkEnd w:id="16"/>
          <w:r w:rsidRPr="00BC4287">
            <w:rPr>
              <w:rFonts w:cstheme="minorHAnsi"/>
            </w:rPr>
            <w:t>)</w:t>
          </w:r>
          <w:r w:rsidR="00DE4E47" w:rsidRPr="00BC4287">
            <w:rPr>
              <w:rFonts w:cstheme="minorHAnsi"/>
            </w:rPr>
            <w:tab/>
          </w:r>
          <w:r w:rsidR="00DE4E47" w:rsidRPr="00BC4287">
            <w:rPr>
              <w:rFonts w:cstheme="minorHAnsi"/>
            </w:rPr>
            <w:br/>
          </w:r>
          <w:bookmarkStart w:id="17" w:name="_Toc161212725"/>
          <w:bookmarkStart w:id="18" w:name="_Toc264469111"/>
          <w:bookmarkStart w:id="19" w:name="_Toc264469638"/>
          <w:bookmarkStart w:id="20" w:name="_Toc268705228"/>
          <w:bookmarkStart w:id="21" w:name="_Toc268792558"/>
          <w:bookmarkStart w:id="22" w:name="_Toc268869195"/>
          <w:r w:rsidRPr="00BC4287">
            <w:rPr>
              <w:rFonts w:cstheme="minorHAnsi"/>
            </w:rPr>
            <w:t xml:space="preserve">PO Box </w:t>
          </w:r>
          <w:bookmarkEnd w:id="17"/>
          <w:bookmarkEnd w:id="18"/>
          <w:bookmarkEnd w:id="19"/>
          <w:bookmarkEnd w:id="20"/>
          <w:bookmarkEnd w:id="21"/>
          <w:bookmarkEnd w:id="22"/>
          <w:r w:rsidRPr="00BC4287">
            <w:rPr>
              <w:rFonts w:cstheme="minorHAnsi"/>
            </w:rPr>
            <w:t xml:space="preserve">821 </w:t>
          </w:r>
          <w:r w:rsidR="00DE4E47" w:rsidRPr="00BC4287">
            <w:rPr>
              <w:rFonts w:cstheme="minorHAnsi"/>
            </w:rPr>
            <w:tab/>
          </w:r>
          <w:r w:rsidR="00015D7E" w:rsidRPr="00BC4287">
            <w:rPr>
              <w:rFonts w:cstheme="minorHAnsi"/>
            </w:rPr>
            <w:br/>
          </w:r>
          <w:bookmarkStart w:id="23" w:name="_Toc161212726"/>
          <w:bookmarkStart w:id="24" w:name="_Toc264469112"/>
          <w:bookmarkStart w:id="25" w:name="_Toc264469639"/>
          <w:bookmarkStart w:id="26" w:name="_Toc268705229"/>
          <w:bookmarkStart w:id="27" w:name="_Toc268792559"/>
          <w:bookmarkStart w:id="28" w:name="_Toc268869196"/>
          <w:r w:rsidRPr="00BC4287">
            <w:rPr>
              <w:rFonts w:cstheme="minorHAnsi"/>
            </w:rPr>
            <w:t xml:space="preserve">Wodonga VIC </w:t>
          </w:r>
          <w:bookmarkEnd w:id="23"/>
          <w:r w:rsidRPr="00BC4287">
            <w:rPr>
              <w:rFonts w:cstheme="minorHAnsi"/>
            </w:rPr>
            <w:t>3689</w:t>
          </w:r>
          <w:bookmarkEnd w:id="24"/>
          <w:bookmarkEnd w:id="25"/>
          <w:bookmarkEnd w:id="26"/>
          <w:bookmarkEnd w:id="27"/>
          <w:bookmarkEnd w:id="28"/>
          <w:r w:rsidRPr="00BC4287">
            <w:rPr>
              <w:rFonts w:cstheme="minorHAnsi"/>
            </w:rPr>
            <w:t xml:space="preserve"> </w:t>
          </w:r>
          <w:r w:rsidR="00DE4E47" w:rsidRPr="00BC4287">
            <w:rPr>
              <w:rFonts w:cstheme="minorHAnsi"/>
            </w:rPr>
            <w:tab/>
          </w:r>
          <w:r w:rsidRPr="00BC4287">
            <w:rPr>
              <w:rFonts w:cstheme="minorHAnsi"/>
            </w:rPr>
            <w:br/>
          </w:r>
          <w:bookmarkStart w:id="29" w:name="_Toc264469113"/>
          <w:bookmarkStart w:id="30" w:name="_Toc264469640"/>
          <w:bookmarkStart w:id="31" w:name="_Toc268705230"/>
          <w:bookmarkStart w:id="32" w:name="_Toc268792560"/>
          <w:bookmarkStart w:id="33" w:name="_Toc268869197"/>
          <w:r w:rsidRPr="00BC4287">
            <w:rPr>
              <w:rFonts w:cstheme="minorHAnsi"/>
            </w:rPr>
            <w:t>Ph: (02) 6024 964</w:t>
          </w:r>
          <w:r w:rsidR="009C00FB" w:rsidRPr="00BC4287">
            <w:rPr>
              <w:rFonts w:cstheme="minorHAnsi"/>
            </w:rPr>
            <w:t>0</w:t>
          </w:r>
          <w:bookmarkEnd w:id="29"/>
          <w:bookmarkEnd w:id="30"/>
          <w:bookmarkEnd w:id="31"/>
          <w:bookmarkEnd w:id="32"/>
          <w:bookmarkEnd w:id="33"/>
          <w:r w:rsidR="00DE4E47" w:rsidRPr="00BC4287">
            <w:rPr>
              <w:rFonts w:cstheme="minorHAnsi"/>
            </w:rPr>
            <w:tab/>
          </w:r>
          <w:r w:rsidR="009C00FB" w:rsidRPr="00BC4287">
            <w:rPr>
              <w:rFonts w:cstheme="minorHAnsi"/>
            </w:rPr>
            <w:t>(02) 6024 9647</w:t>
          </w:r>
          <w:r w:rsidR="00015D7E" w:rsidRPr="00BC4287">
            <w:rPr>
              <w:rFonts w:eastAsiaTheme="minorHAnsi" w:cstheme="minorHAnsi"/>
            </w:rPr>
            <w:br/>
          </w:r>
          <w:r w:rsidRPr="00BC4287">
            <w:rPr>
              <w:rFonts w:cstheme="minorHAnsi"/>
            </w:rPr>
            <w:t>Email:</w:t>
          </w:r>
          <w:r w:rsidR="009C00FB" w:rsidRPr="00BC4287">
            <w:rPr>
              <w:rFonts w:cstheme="minorHAnsi"/>
            </w:rPr>
            <w:t xml:space="preserve"> </w:t>
          </w:r>
          <w:hyperlink r:id="rId14" w:history="1">
            <w:r w:rsidR="009C00FB" w:rsidRPr="00BC4287">
              <w:rPr>
                <w:rStyle w:val="Hyperlink"/>
                <w:rFonts w:cstheme="minorHAnsi"/>
              </w:rPr>
              <w:t>n.bond@latrobe.edu.au</w:t>
            </w:r>
          </w:hyperlink>
          <w:r w:rsidR="009C00FB" w:rsidRPr="00BC4287">
            <w:rPr>
              <w:rFonts w:cstheme="minorHAnsi"/>
            </w:rPr>
            <w:t xml:space="preserve"> </w:t>
          </w:r>
          <w:r w:rsidR="009C00FB" w:rsidRPr="00BC4287">
            <w:rPr>
              <w:rFonts w:cstheme="minorHAnsi"/>
            </w:rPr>
            <w:tab/>
          </w:r>
          <w:hyperlink r:id="rId15" w:history="1">
            <w:r w:rsidR="00015D7E" w:rsidRPr="00BC4287">
              <w:rPr>
                <w:rStyle w:val="Hyperlink"/>
                <w:rFonts w:cstheme="minorHAnsi"/>
              </w:rPr>
              <w:t>n.thurgate</w:t>
            </w:r>
            <w:r w:rsidR="00015D7E" w:rsidRPr="00BC4287">
              <w:rPr>
                <w:rStyle w:val="Hyperlink"/>
                <w:rFonts w:eastAsiaTheme="majorEastAsia" w:cstheme="minorHAnsi"/>
              </w:rPr>
              <w:t>@latrobe.edu.au</w:t>
            </w:r>
          </w:hyperlink>
        </w:p>
        <w:p w14:paraId="284F0A64" w14:textId="0A4E19A1" w:rsidR="00077956" w:rsidRPr="00BC4287" w:rsidRDefault="00077956" w:rsidP="00D133FD">
          <w:pPr>
            <w:tabs>
              <w:tab w:val="left" w:pos="1134"/>
            </w:tabs>
            <w:rPr>
              <w:rFonts w:asciiTheme="minorHAnsi" w:hAnsiTheme="minorHAnsi" w:cstheme="minorHAnsi"/>
              <w:color w:val="auto"/>
            </w:rPr>
          </w:pPr>
          <w:r w:rsidRPr="00BC4287">
            <w:rPr>
              <w:rFonts w:asciiTheme="minorHAnsi" w:hAnsiTheme="minorHAnsi" w:cstheme="minorHAnsi"/>
            </w:rPr>
            <w:t>Web:</w:t>
          </w:r>
          <w:r w:rsidRPr="00BC4287">
            <w:rPr>
              <w:rFonts w:asciiTheme="minorHAnsi" w:hAnsiTheme="minorHAnsi" w:cstheme="minorHAnsi"/>
            </w:rPr>
            <w:tab/>
          </w:r>
          <w:hyperlink r:id="rId16" w:history="1">
            <w:r w:rsidRPr="00BC4287">
              <w:rPr>
                <w:rStyle w:val="Hyperlink"/>
                <w:rFonts w:asciiTheme="minorHAnsi" w:hAnsiTheme="minorHAnsi" w:cstheme="minorHAnsi"/>
              </w:rPr>
              <w:t>https://www.latrobe.edu.au/freshwater-ecosystems/research/projects/ewkr</w:t>
            </w:r>
          </w:hyperlink>
        </w:p>
        <w:p w14:paraId="0845EAC2" w14:textId="1195684B" w:rsidR="00077956" w:rsidRPr="00BC4287" w:rsidRDefault="00077956" w:rsidP="00D133FD">
          <w:pPr>
            <w:tabs>
              <w:tab w:val="left" w:pos="1134"/>
            </w:tabs>
            <w:rPr>
              <w:rFonts w:asciiTheme="minorHAnsi" w:hAnsiTheme="minorHAnsi" w:cstheme="minorHAnsi"/>
              <w:color w:val="1F497D"/>
            </w:rPr>
          </w:pPr>
          <w:r w:rsidRPr="00BC4287">
            <w:rPr>
              <w:rFonts w:asciiTheme="minorHAnsi" w:hAnsiTheme="minorHAnsi" w:cstheme="minorHAnsi"/>
            </w:rPr>
            <w:t>Enquiries:</w:t>
          </w:r>
          <w:r w:rsidRPr="00BC4287">
            <w:rPr>
              <w:rFonts w:asciiTheme="minorHAnsi" w:hAnsiTheme="minorHAnsi" w:cstheme="minorHAnsi"/>
            </w:rPr>
            <w:tab/>
          </w:r>
          <w:hyperlink r:id="rId17" w:history="1">
            <w:r w:rsidRPr="00BC4287">
              <w:rPr>
                <w:rStyle w:val="Hyperlink"/>
                <w:rFonts w:asciiTheme="minorHAnsi" w:hAnsiTheme="minorHAnsi" w:cstheme="minorHAnsi"/>
              </w:rPr>
              <w:t>cfe@latrobe.edu.au</w:t>
            </w:r>
          </w:hyperlink>
          <w:r w:rsidRPr="00BC4287">
            <w:rPr>
              <w:rFonts w:asciiTheme="minorHAnsi" w:hAnsiTheme="minorHAnsi" w:cstheme="minorHAnsi"/>
            </w:rPr>
            <w:t xml:space="preserve"> </w:t>
          </w:r>
          <w:bookmarkStart w:id="34" w:name="_Toc264469114"/>
          <w:bookmarkStart w:id="35" w:name="_Toc264469641"/>
          <w:bookmarkStart w:id="36" w:name="_Toc268705231"/>
          <w:bookmarkStart w:id="37" w:name="_Toc268792561"/>
          <w:bookmarkStart w:id="38" w:name="_Toc268869198"/>
        </w:p>
        <w:p w14:paraId="1F8AD19E" w14:textId="77777777" w:rsidR="00DE4E47" w:rsidRPr="00BC4287" w:rsidRDefault="00DE4E47" w:rsidP="00217401">
          <w:pPr>
            <w:pStyle w:val="PrelimTextLeftAlign"/>
            <w:spacing w:after="0"/>
            <w:rPr>
              <w:rFonts w:cstheme="minorHAnsi"/>
              <w:highlight w:val="yellow"/>
            </w:rPr>
          </w:pPr>
        </w:p>
        <w:p w14:paraId="7D4BD7D5" w14:textId="0D8CFE89" w:rsidR="00077956" w:rsidRPr="00BC4287" w:rsidRDefault="00077956" w:rsidP="00217401">
          <w:pPr>
            <w:pStyle w:val="PrelimText"/>
            <w:spacing w:after="120"/>
            <w:jc w:val="left"/>
            <w:rPr>
              <w:rFonts w:cstheme="minorHAnsi"/>
              <w:color w:val="auto"/>
            </w:rPr>
          </w:pPr>
          <w:r w:rsidRPr="00BC4287">
            <w:rPr>
              <w:rStyle w:val="Strong"/>
              <w:rFonts w:cstheme="minorHAnsi"/>
              <w:color w:val="auto"/>
            </w:rPr>
            <w:t>Report Citation:</w:t>
          </w:r>
          <w:r w:rsidRPr="00BC4287">
            <w:rPr>
              <w:rFonts w:cstheme="minorHAnsi"/>
              <w:color w:val="auto"/>
            </w:rPr>
            <w:t xml:space="preserve"> </w:t>
          </w:r>
          <w:r w:rsidR="00476470" w:rsidRPr="00BC4287">
            <w:rPr>
              <w:rFonts w:cstheme="minorHAnsi"/>
              <w:color w:val="auto"/>
            </w:rPr>
            <w:t>Thurgate NY, Mynott J, Smith L and Bond NR</w:t>
          </w:r>
          <w:r w:rsidRPr="00BC4287">
            <w:rPr>
              <w:rFonts w:cstheme="minorHAnsi"/>
              <w:color w:val="auto"/>
            </w:rPr>
            <w:t xml:space="preserve"> (201</w:t>
          </w:r>
          <w:r w:rsidR="00015D7E" w:rsidRPr="00BC4287">
            <w:rPr>
              <w:rFonts w:cstheme="minorHAnsi"/>
              <w:color w:val="auto"/>
            </w:rPr>
            <w:t>9</w:t>
          </w:r>
          <w:r w:rsidRPr="00BC4287">
            <w:rPr>
              <w:rFonts w:cstheme="minorHAnsi"/>
              <w:color w:val="auto"/>
            </w:rPr>
            <w:t>) Murray</w:t>
          </w:r>
          <w:r w:rsidR="00CA2883" w:rsidRPr="00BC4287">
            <w:rPr>
              <w:rFonts w:cstheme="minorHAnsi"/>
              <w:color w:val="auto"/>
            </w:rPr>
            <w:t>-</w:t>
          </w:r>
          <w:r w:rsidRPr="00BC4287">
            <w:rPr>
              <w:rFonts w:cstheme="minorHAnsi"/>
              <w:color w:val="auto"/>
            </w:rPr>
            <w:t>Darling Basin Environmental Water Knowledge and Research Project —</w:t>
          </w:r>
          <w:r w:rsidR="009C00FB" w:rsidRPr="00BC4287">
            <w:rPr>
              <w:rFonts w:cstheme="minorHAnsi"/>
              <w:color w:val="auto"/>
            </w:rPr>
            <w:t xml:space="preserve"> </w:t>
          </w:r>
          <w:r w:rsidR="00D2777E" w:rsidRPr="00BC4287">
            <w:rPr>
              <w:rFonts w:cstheme="minorHAnsi"/>
              <w:color w:val="auto"/>
            </w:rPr>
            <w:t>Synthesis</w:t>
          </w:r>
          <w:r w:rsidR="009C00FB" w:rsidRPr="00BC4287">
            <w:rPr>
              <w:rFonts w:cstheme="minorHAnsi"/>
              <w:color w:val="auto"/>
            </w:rPr>
            <w:t xml:space="preserve"> </w:t>
          </w:r>
          <w:r w:rsidR="00015D7E" w:rsidRPr="00BC4287">
            <w:rPr>
              <w:rFonts w:cstheme="minorHAnsi"/>
              <w:color w:val="auto"/>
            </w:rPr>
            <w:t>Report</w:t>
          </w:r>
          <w:r w:rsidRPr="00BC4287">
            <w:rPr>
              <w:rFonts w:cstheme="minorHAnsi"/>
              <w:color w:val="auto"/>
            </w:rPr>
            <w:t>. Report prepared for the Department of the Environment and Energy, Commonwealth Environmental Water Office by</w:t>
          </w:r>
          <w:r w:rsidR="00015D7E" w:rsidRPr="00BC4287">
            <w:rPr>
              <w:rFonts w:cstheme="minorHAnsi"/>
              <w:color w:val="auto"/>
            </w:rPr>
            <w:t xml:space="preserve"> </w:t>
          </w:r>
          <w:r w:rsidRPr="00BC4287">
            <w:rPr>
              <w:rFonts w:cstheme="minorHAnsi"/>
              <w:color w:val="auto"/>
            </w:rPr>
            <w:t>La Trobe University, Centre for Freshwater</w:t>
          </w:r>
          <w:r w:rsidR="00476470" w:rsidRPr="00BC4287">
            <w:rPr>
              <w:rFonts w:cstheme="minorHAnsi"/>
              <w:color w:val="auto"/>
            </w:rPr>
            <w:t xml:space="preserve"> Ecosystems</w:t>
          </w:r>
          <w:r w:rsidRPr="00BC4287">
            <w:rPr>
              <w:rFonts w:cstheme="minorHAnsi"/>
              <w:color w:val="auto"/>
            </w:rPr>
            <w:t xml:space="preserve">, CFE Publication </w:t>
          </w:r>
          <w:r w:rsidR="004D64C5" w:rsidRPr="00BC4287">
            <w:rPr>
              <w:rFonts w:cstheme="minorHAnsi"/>
              <w:color w:val="auto"/>
            </w:rPr>
            <w:t>230</w:t>
          </w:r>
          <w:r w:rsidRPr="00BC4287">
            <w:rPr>
              <w:rFonts w:cstheme="minorHAnsi"/>
              <w:color w:val="auto"/>
            </w:rPr>
            <w:t xml:space="preserve"> </w:t>
          </w:r>
          <w:r w:rsidR="00C121A2">
            <w:rPr>
              <w:rFonts w:cstheme="minorHAnsi"/>
              <w:color w:val="auto"/>
            </w:rPr>
            <w:t>August</w:t>
          </w:r>
          <w:r w:rsidR="005B6D97" w:rsidRPr="00BC4287">
            <w:rPr>
              <w:rFonts w:cstheme="minorHAnsi"/>
              <w:color w:val="auto"/>
            </w:rPr>
            <w:t xml:space="preserve"> </w:t>
          </w:r>
          <w:r w:rsidRPr="00BC4287">
            <w:rPr>
              <w:rFonts w:cstheme="minorHAnsi"/>
              <w:color w:val="auto"/>
            </w:rPr>
            <w:t>201</w:t>
          </w:r>
          <w:r w:rsidR="00015D7E" w:rsidRPr="00BC4287">
            <w:rPr>
              <w:rFonts w:cstheme="minorHAnsi"/>
              <w:color w:val="auto"/>
            </w:rPr>
            <w:t>9</w:t>
          </w:r>
          <w:r w:rsidRPr="00BC4287">
            <w:rPr>
              <w:rFonts w:cstheme="minorHAnsi"/>
              <w:color w:val="auto"/>
            </w:rPr>
            <w:t xml:space="preserve"> </w:t>
          </w:r>
          <w:r w:rsidR="00D133FD">
            <w:rPr>
              <w:rFonts w:cstheme="minorHAnsi"/>
              <w:color w:val="auto"/>
            </w:rPr>
            <w:t>41</w:t>
          </w:r>
          <w:r w:rsidRPr="00BC4287">
            <w:rPr>
              <w:rFonts w:cstheme="minorHAnsi"/>
              <w:color w:val="auto"/>
            </w:rPr>
            <w:t>p.</w:t>
          </w:r>
          <w:bookmarkEnd w:id="34"/>
          <w:bookmarkEnd w:id="35"/>
          <w:bookmarkEnd w:id="36"/>
          <w:bookmarkEnd w:id="37"/>
          <w:bookmarkEnd w:id="38"/>
        </w:p>
        <w:p w14:paraId="61A411E5" w14:textId="77777777" w:rsidR="00077956" w:rsidRPr="00BC4287" w:rsidRDefault="00077956" w:rsidP="00217401">
          <w:pPr>
            <w:pStyle w:val="PrelimText"/>
            <w:spacing w:after="120"/>
            <w:rPr>
              <w:rFonts w:cstheme="minorHAnsi"/>
              <w:color w:val="auto"/>
              <w:highlight w:val="yellow"/>
            </w:rPr>
          </w:pPr>
        </w:p>
        <w:p w14:paraId="6E4F606B" w14:textId="1368841D" w:rsidR="00077956" w:rsidRPr="00BC4287" w:rsidRDefault="00077956" w:rsidP="00217401">
          <w:pPr>
            <w:rPr>
              <w:rFonts w:asciiTheme="minorHAnsi" w:hAnsiTheme="minorHAnsi" w:cstheme="minorHAnsi"/>
              <w:color w:val="auto"/>
            </w:rPr>
          </w:pPr>
          <w:r w:rsidRPr="00BC4287">
            <w:rPr>
              <w:rStyle w:val="Strong"/>
              <w:rFonts w:asciiTheme="minorHAnsi" w:hAnsiTheme="minorHAnsi" w:cstheme="minorHAnsi"/>
              <w:color w:val="auto"/>
            </w:rPr>
            <w:t>Cover Image:</w:t>
          </w:r>
          <w:r w:rsidR="00476470" w:rsidRPr="00BC4287">
            <w:rPr>
              <w:rStyle w:val="Strong"/>
              <w:rFonts w:asciiTheme="minorHAnsi" w:hAnsiTheme="minorHAnsi" w:cstheme="minorHAnsi"/>
              <w:color w:val="auto"/>
            </w:rPr>
            <w:t xml:space="preserve"> </w:t>
          </w:r>
          <w:r w:rsidR="00476470" w:rsidRPr="00BC4287">
            <w:rPr>
              <w:rFonts w:asciiTheme="minorHAnsi" w:hAnsiTheme="minorHAnsi" w:cstheme="minorHAnsi"/>
              <w:color w:val="auto"/>
            </w:rPr>
            <w:t>Floo</w:t>
          </w:r>
          <w:r w:rsidR="002266AC" w:rsidRPr="00BC4287">
            <w:rPr>
              <w:rFonts w:asciiTheme="minorHAnsi" w:hAnsiTheme="minorHAnsi" w:cstheme="minorHAnsi"/>
              <w:color w:val="auto"/>
            </w:rPr>
            <w:t>d</w:t>
          </w:r>
          <w:r w:rsidR="00476470" w:rsidRPr="00BC4287">
            <w:rPr>
              <w:rFonts w:asciiTheme="minorHAnsi" w:hAnsiTheme="minorHAnsi" w:cstheme="minorHAnsi"/>
              <w:color w:val="auto"/>
            </w:rPr>
            <w:t>plain inundation</w:t>
          </w:r>
        </w:p>
        <w:p w14:paraId="7632EE17" w14:textId="7F337BF9" w:rsidR="00077956" w:rsidRPr="00BC4287" w:rsidRDefault="00077956" w:rsidP="00217401">
          <w:pPr>
            <w:pStyle w:val="PrelimText"/>
            <w:spacing w:after="120"/>
            <w:rPr>
              <w:rFonts w:cstheme="minorHAnsi"/>
              <w:color w:val="auto"/>
            </w:rPr>
          </w:pPr>
          <w:r w:rsidRPr="00BC4287">
            <w:rPr>
              <w:rStyle w:val="Strong"/>
              <w:rFonts w:cstheme="minorHAnsi"/>
              <w:color w:val="auto"/>
            </w:rPr>
            <w:t>Photographer:</w:t>
          </w:r>
          <w:r w:rsidRPr="00BC4287">
            <w:rPr>
              <w:rFonts w:cstheme="minorHAnsi"/>
              <w:color w:val="auto"/>
            </w:rPr>
            <w:t xml:space="preserve"> </w:t>
          </w:r>
          <w:r w:rsidR="00476470" w:rsidRPr="00BC4287">
            <w:rPr>
              <w:rFonts w:cstheme="minorHAnsi"/>
              <w:color w:val="auto"/>
            </w:rPr>
            <w:t>Centre for Freshwater Ecosystems</w:t>
          </w:r>
        </w:p>
        <w:p w14:paraId="04B823B6" w14:textId="77777777" w:rsidR="00B71C4A" w:rsidRPr="00BC4287" w:rsidRDefault="00B71C4A" w:rsidP="00217401">
          <w:pPr>
            <w:pStyle w:val="PrelimText"/>
            <w:spacing w:after="120"/>
            <w:rPr>
              <w:rFonts w:cstheme="minorHAnsi"/>
              <w:color w:val="auto"/>
            </w:rPr>
          </w:pPr>
        </w:p>
        <w:p w14:paraId="204F8DFD" w14:textId="77777777" w:rsidR="00B71C4A" w:rsidRPr="00BC4287" w:rsidRDefault="00B71C4A" w:rsidP="00217401">
          <w:pPr>
            <w:pStyle w:val="LTU-Body10pt"/>
            <w:spacing w:after="120" w:line="240" w:lineRule="auto"/>
            <w:rPr>
              <w:rStyle w:val="Strong"/>
              <w:rFonts w:cstheme="minorHAnsi"/>
              <w:sz w:val="22"/>
              <w:szCs w:val="22"/>
            </w:rPr>
          </w:pPr>
          <w:bookmarkStart w:id="39" w:name="_Hlk516168961"/>
          <w:r w:rsidRPr="00BC4287">
            <w:rPr>
              <w:rStyle w:val="Strong"/>
              <w:rFonts w:cstheme="minorHAnsi"/>
              <w:sz w:val="22"/>
              <w:szCs w:val="22"/>
            </w:rPr>
            <w:t>Traditional Owner acknowledgement:</w:t>
          </w:r>
        </w:p>
        <w:p w14:paraId="2AF60FC7" w14:textId="020C6CF4" w:rsidR="00B71C4A" w:rsidRPr="00BC4287" w:rsidRDefault="00B71C4A" w:rsidP="00E53E38">
          <w:pPr>
            <w:pStyle w:val="BodyText"/>
            <w:rPr>
              <w:b/>
              <w:bCs/>
            </w:rPr>
          </w:pPr>
          <w:r w:rsidRPr="00BC4287">
            <w:rPr>
              <w:rStyle w:val="BodyTextChar"/>
              <w:rFonts w:asciiTheme="minorHAnsi" w:hAnsiTheme="minorHAnsi" w:cstheme="minorHAnsi"/>
            </w:rPr>
            <w:t>La Trobe University Albury</w:t>
          </w:r>
          <w:r w:rsidR="00CA2883" w:rsidRPr="00BC4287">
            <w:rPr>
              <w:rStyle w:val="BodyTextChar"/>
              <w:rFonts w:asciiTheme="minorHAnsi" w:hAnsiTheme="minorHAnsi" w:cstheme="minorHAnsi"/>
            </w:rPr>
            <w:t>-</w:t>
          </w:r>
          <w:r w:rsidRPr="00BC4287">
            <w:rPr>
              <w:rStyle w:val="BodyTextChar"/>
              <w:rFonts w:asciiTheme="minorHAnsi" w:hAnsiTheme="minorHAnsi" w:cstheme="minorHAnsi"/>
            </w:rPr>
            <w:t>Wodonga and Mildura campuses are located on the land of the Latje and Wiradjuri peoples. The Research Centre undertakes work throughout the Murray</w:t>
          </w:r>
          <w:r w:rsidR="004F189A" w:rsidRPr="00BC4287">
            <w:rPr>
              <w:rStyle w:val="BodyTextChar"/>
              <w:rFonts w:asciiTheme="minorHAnsi" w:hAnsiTheme="minorHAnsi" w:cstheme="minorHAnsi"/>
            </w:rPr>
            <w:t xml:space="preserve"> </w:t>
          </w:r>
          <w:r w:rsidRPr="00BC4287">
            <w:rPr>
              <w:rStyle w:val="BodyTextChar"/>
              <w:rFonts w:asciiTheme="minorHAnsi" w:hAnsiTheme="minorHAnsi" w:cstheme="minorHAnsi"/>
            </w:rPr>
            <w:t>Darling Basin and acknowledge the traditional owners of this land and water. We pay respect to Elders past, present and</w:t>
          </w:r>
          <w:r w:rsidRPr="00BC4287">
            <w:t xml:space="preserve"> future.</w:t>
          </w:r>
        </w:p>
        <w:bookmarkEnd w:id="39" w:displacedByCustomXml="next"/>
      </w:sdtContent>
    </w:sdt>
    <w:bookmarkStart w:id="40" w:name="_Toc315694430" w:displacedByCustomXml="prev"/>
    <w:p w14:paraId="2F3A8378" w14:textId="14260181" w:rsidR="00B71C4A" w:rsidRPr="00BC4287" w:rsidRDefault="00B71C4A" w:rsidP="00E53E38">
      <w:pPr>
        <w:pStyle w:val="BodyText"/>
      </w:pPr>
      <w:r w:rsidRPr="00BC4287">
        <w:rPr>
          <w:rStyle w:val="Strong"/>
          <w:rFonts w:asciiTheme="minorHAnsi" w:hAnsiTheme="minorHAnsi" w:cstheme="minorHAnsi"/>
        </w:rPr>
        <w:t>Acknowledgements:</w:t>
      </w:r>
      <w:r w:rsidR="00080CAF" w:rsidRPr="00BC4287">
        <w:rPr>
          <w:rStyle w:val="Strong"/>
          <w:rFonts w:asciiTheme="minorHAnsi" w:hAnsiTheme="minorHAnsi" w:cstheme="minorHAnsi"/>
        </w:rPr>
        <w:t xml:space="preserve"> </w:t>
      </w:r>
      <w:r w:rsidR="00080CAF" w:rsidRPr="00BC4287">
        <w:rPr>
          <w:rStyle w:val="Strong"/>
          <w:rFonts w:asciiTheme="minorHAnsi" w:hAnsiTheme="minorHAnsi" w:cstheme="minorHAnsi"/>
          <w:b w:val="0"/>
        </w:rPr>
        <w:t>We acknowledge the hard work of all EWKR project team members including all researchers, technicians and administrative staff whose work made the project a success</w:t>
      </w:r>
      <w:r w:rsidR="004B297E">
        <w:rPr>
          <w:rStyle w:val="Strong"/>
          <w:rFonts w:asciiTheme="minorHAnsi" w:hAnsiTheme="minorHAnsi" w:cstheme="minorHAnsi"/>
          <w:b w:val="0"/>
        </w:rPr>
        <w:t xml:space="preserve"> and whose work this is</w:t>
      </w:r>
      <w:r w:rsidR="00080CAF" w:rsidRPr="00BC4287">
        <w:rPr>
          <w:rStyle w:val="Strong"/>
          <w:rFonts w:asciiTheme="minorHAnsi" w:hAnsiTheme="minorHAnsi" w:cstheme="minorHAnsi"/>
          <w:b w:val="0"/>
        </w:rPr>
        <w:t xml:space="preserve">. We particularly acknowledge Nadia Kingham, Anthony Moore, Hilary Rossow and Paul Marsh from CEWO for their tireless support.  We thank all land holders and land and water managers for allowing access to many sites throughout the </w:t>
      </w:r>
      <w:r w:rsidR="00BE5A56">
        <w:rPr>
          <w:rStyle w:val="Strong"/>
          <w:rFonts w:asciiTheme="minorHAnsi" w:hAnsiTheme="minorHAnsi" w:cstheme="minorHAnsi"/>
          <w:b w:val="0"/>
        </w:rPr>
        <w:t>Murray-Darling Basin</w:t>
      </w:r>
      <w:r w:rsidR="00080CAF" w:rsidRPr="00BC4287">
        <w:rPr>
          <w:rStyle w:val="Strong"/>
          <w:rFonts w:asciiTheme="minorHAnsi" w:hAnsiTheme="minorHAnsi" w:cstheme="minorHAnsi"/>
          <w:b w:val="0"/>
        </w:rPr>
        <w:t xml:space="preserve">.  </w:t>
      </w:r>
    </w:p>
    <w:bookmarkEnd w:id="40"/>
    <w:p w14:paraId="41B46FB9" w14:textId="03513494" w:rsidR="000002AE" w:rsidRPr="00A0007D" w:rsidRDefault="002F2617" w:rsidP="00E53E38">
      <w:pPr>
        <w:pStyle w:val="TOC2"/>
        <w:rPr>
          <w:sz w:val="44"/>
          <w:szCs w:val="44"/>
        </w:rPr>
      </w:pPr>
      <w:r w:rsidRPr="00BC4287">
        <w:br w:type="page"/>
      </w:r>
      <w:bookmarkStart w:id="41" w:name="_Toc459635974"/>
      <w:bookmarkStart w:id="42" w:name="_Toc459636080"/>
      <w:bookmarkStart w:id="43" w:name="_Toc459636870"/>
      <w:bookmarkStart w:id="44" w:name="_Toc459637432"/>
      <w:bookmarkStart w:id="45" w:name="_Toc463434377"/>
      <w:bookmarkStart w:id="46" w:name="_Toc463434444"/>
      <w:r w:rsidR="000002AE" w:rsidRPr="00A0007D">
        <w:rPr>
          <w:sz w:val="44"/>
          <w:szCs w:val="44"/>
        </w:rPr>
        <w:lastRenderedPageBreak/>
        <w:t>Contents</w:t>
      </w:r>
    </w:p>
    <w:p w14:paraId="714BFBDB" w14:textId="0083468C" w:rsidR="00C121A2" w:rsidRDefault="008D2799">
      <w:pPr>
        <w:pStyle w:val="TOC1"/>
        <w:rPr>
          <w:rFonts w:asciiTheme="minorHAnsi" w:eastAsiaTheme="minorEastAsia" w:hAnsiTheme="minorHAnsi" w:cstheme="minorBidi"/>
          <w:b w:val="0"/>
        </w:rPr>
      </w:pPr>
      <w:r w:rsidRPr="00BC4287">
        <w:rPr>
          <w:rFonts w:asciiTheme="minorHAnsi" w:hAnsiTheme="minorHAnsi" w:cstheme="minorHAnsi"/>
        </w:rPr>
        <w:fldChar w:fldCharType="begin"/>
      </w:r>
      <w:r w:rsidRPr="00BC4287">
        <w:rPr>
          <w:rFonts w:asciiTheme="minorHAnsi" w:hAnsiTheme="minorHAnsi" w:cstheme="minorHAnsi"/>
        </w:rPr>
        <w:instrText xml:space="preserve"> TOC \o "1-2" \h \z \u </w:instrText>
      </w:r>
      <w:r w:rsidRPr="00BC4287">
        <w:rPr>
          <w:rFonts w:asciiTheme="minorHAnsi" w:hAnsiTheme="minorHAnsi" w:cstheme="minorHAnsi"/>
        </w:rPr>
        <w:fldChar w:fldCharType="separate"/>
      </w:r>
      <w:hyperlink w:anchor="_Toc17202442" w:history="1">
        <w:r w:rsidR="00C121A2" w:rsidRPr="00966ABA">
          <w:rPr>
            <w:rStyle w:val="Hyperlink"/>
            <w:rFonts w:cstheme="minorHAnsi"/>
          </w:rPr>
          <w:t>Executive Summary</w:t>
        </w:r>
        <w:r w:rsidR="00C121A2">
          <w:rPr>
            <w:webHidden/>
          </w:rPr>
          <w:tab/>
        </w:r>
        <w:r w:rsidR="00C121A2">
          <w:rPr>
            <w:webHidden/>
          </w:rPr>
          <w:fldChar w:fldCharType="begin"/>
        </w:r>
        <w:r w:rsidR="00C121A2">
          <w:rPr>
            <w:webHidden/>
          </w:rPr>
          <w:instrText xml:space="preserve"> PAGEREF _Toc17202442 \h </w:instrText>
        </w:r>
        <w:r w:rsidR="00C121A2">
          <w:rPr>
            <w:webHidden/>
          </w:rPr>
        </w:r>
        <w:r w:rsidR="00C121A2">
          <w:rPr>
            <w:webHidden/>
          </w:rPr>
          <w:fldChar w:fldCharType="separate"/>
        </w:r>
        <w:r w:rsidR="00D379AE">
          <w:rPr>
            <w:webHidden/>
          </w:rPr>
          <w:t>1</w:t>
        </w:r>
        <w:r w:rsidR="00C121A2">
          <w:rPr>
            <w:webHidden/>
          </w:rPr>
          <w:fldChar w:fldCharType="end"/>
        </w:r>
      </w:hyperlink>
    </w:p>
    <w:p w14:paraId="0B09E1E5" w14:textId="03E0EA4A" w:rsidR="00C121A2" w:rsidRDefault="00A61C86">
      <w:pPr>
        <w:pStyle w:val="TOC1"/>
        <w:rPr>
          <w:rFonts w:asciiTheme="minorHAnsi" w:eastAsiaTheme="minorEastAsia" w:hAnsiTheme="minorHAnsi" w:cstheme="minorBidi"/>
          <w:b w:val="0"/>
        </w:rPr>
      </w:pPr>
      <w:hyperlink w:anchor="_Toc17202443" w:history="1">
        <w:r w:rsidR="00C121A2" w:rsidRPr="00966ABA">
          <w:rPr>
            <w:rStyle w:val="Hyperlink"/>
          </w:rPr>
          <w:t>1</w:t>
        </w:r>
        <w:r w:rsidR="00C121A2">
          <w:rPr>
            <w:rFonts w:asciiTheme="minorHAnsi" w:eastAsiaTheme="minorEastAsia" w:hAnsiTheme="minorHAnsi" w:cstheme="minorBidi"/>
            <w:b w:val="0"/>
          </w:rPr>
          <w:tab/>
        </w:r>
        <w:r w:rsidR="00C121A2" w:rsidRPr="00966ABA">
          <w:rPr>
            <w:rStyle w:val="Hyperlink"/>
          </w:rPr>
          <w:t>Project Details</w:t>
        </w:r>
        <w:r w:rsidR="00C121A2">
          <w:rPr>
            <w:webHidden/>
          </w:rPr>
          <w:tab/>
        </w:r>
        <w:r w:rsidR="00C121A2">
          <w:rPr>
            <w:webHidden/>
          </w:rPr>
          <w:fldChar w:fldCharType="begin"/>
        </w:r>
        <w:r w:rsidR="00C121A2">
          <w:rPr>
            <w:webHidden/>
          </w:rPr>
          <w:instrText xml:space="preserve"> PAGEREF _Toc17202443 \h </w:instrText>
        </w:r>
        <w:r w:rsidR="00C121A2">
          <w:rPr>
            <w:webHidden/>
          </w:rPr>
        </w:r>
        <w:r w:rsidR="00C121A2">
          <w:rPr>
            <w:webHidden/>
          </w:rPr>
          <w:fldChar w:fldCharType="separate"/>
        </w:r>
        <w:r w:rsidR="00D379AE">
          <w:rPr>
            <w:webHidden/>
          </w:rPr>
          <w:t>2</w:t>
        </w:r>
        <w:r w:rsidR="00C121A2">
          <w:rPr>
            <w:webHidden/>
          </w:rPr>
          <w:fldChar w:fldCharType="end"/>
        </w:r>
      </w:hyperlink>
    </w:p>
    <w:p w14:paraId="152BBFDF" w14:textId="262398FB" w:rsidR="00C121A2" w:rsidRDefault="00A61C86" w:rsidP="00C121A2">
      <w:pPr>
        <w:pStyle w:val="TOC2"/>
        <w:tabs>
          <w:tab w:val="clear" w:pos="1531"/>
        </w:tabs>
        <w:rPr>
          <w:rFonts w:asciiTheme="minorHAnsi" w:eastAsiaTheme="minorEastAsia" w:hAnsiTheme="minorHAnsi" w:cstheme="minorBidi"/>
          <w:color w:val="auto"/>
          <w:sz w:val="22"/>
        </w:rPr>
      </w:pPr>
      <w:hyperlink w:anchor="_Toc17202444" w:history="1">
        <w:r w:rsidR="00C121A2" w:rsidRPr="00966ABA">
          <w:rPr>
            <w:rStyle w:val="Hyperlink"/>
          </w:rPr>
          <w:t>1.1 Background</w:t>
        </w:r>
        <w:r w:rsidR="00C121A2">
          <w:rPr>
            <w:webHidden/>
          </w:rPr>
          <w:tab/>
        </w:r>
        <w:r w:rsidR="00C121A2">
          <w:rPr>
            <w:webHidden/>
          </w:rPr>
          <w:fldChar w:fldCharType="begin"/>
        </w:r>
        <w:r w:rsidR="00C121A2">
          <w:rPr>
            <w:webHidden/>
          </w:rPr>
          <w:instrText xml:space="preserve"> PAGEREF _Toc17202444 \h </w:instrText>
        </w:r>
        <w:r w:rsidR="00C121A2">
          <w:rPr>
            <w:webHidden/>
          </w:rPr>
        </w:r>
        <w:r w:rsidR="00C121A2">
          <w:rPr>
            <w:webHidden/>
          </w:rPr>
          <w:fldChar w:fldCharType="separate"/>
        </w:r>
        <w:r w:rsidR="00D379AE">
          <w:rPr>
            <w:webHidden/>
          </w:rPr>
          <w:t>2</w:t>
        </w:r>
        <w:r w:rsidR="00C121A2">
          <w:rPr>
            <w:webHidden/>
          </w:rPr>
          <w:fldChar w:fldCharType="end"/>
        </w:r>
      </w:hyperlink>
    </w:p>
    <w:p w14:paraId="4A6C91E5" w14:textId="163B0446" w:rsidR="00C121A2" w:rsidRDefault="00A61C86">
      <w:pPr>
        <w:pStyle w:val="TOC2"/>
        <w:rPr>
          <w:rFonts w:asciiTheme="minorHAnsi" w:eastAsiaTheme="minorEastAsia" w:hAnsiTheme="minorHAnsi" w:cstheme="minorBidi"/>
          <w:color w:val="auto"/>
          <w:sz w:val="22"/>
        </w:rPr>
      </w:pPr>
      <w:hyperlink w:anchor="_Toc17202445" w:history="1">
        <w:r w:rsidR="00C121A2" w:rsidRPr="00966ABA">
          <w:rPr>
            <w:rStyle w:val="Hyperlink"/>
          </w:rPr>
          <w:t>1.2 Summary information provided in this report</w:t>
        </w:r>
        <w:r w:rsidR="00C121A2">
          <w:rPr>
            <w:webHidden/>
          </w:rPr>
          <w:tab/>
        </w:r>
        <w:r w:rsidR="00C121A2">
          <w:rPr>
            <w:webHidden/>
          </w:rPr>
          <w:fldChar w:fldCharType="begin"/>
        </w:r>
        <w:r w:rsidR="00C121A2">
          <w:rPr>
            <w:webHidden/>
          </w:rPr>
          <w:instrText xml:space="preserve"> PAGEREF _Toc17202445 \h </w:instrText>
        </w:r>
        <w:r w:rsidR="00C121A2">
          <w:rPr>
            <w:webHidden/>
          </w:rPr>
        </w:r>
        <w:r w:rsidR="00C121A2">
          <w:rPr>
            <w:webHidden/>
          </w:rPr>
          <w:fldChar w:fldCharType="separate"/>
        </w:r>
        <w:r w:rsidR="00D379AE">
          <w:rPr>
            <w:webHidden/>
          </w:rPr>
          <w:t>4</w:t>
        </w:r>
        <w:r w:rsidR="00C121A2">
          <w:rPr>
            <w:webHidden/>
          </w:rPr>
          <w:fldChar w:fldCharType="end"/>
        </w:r>
      </w:hyperlink>
    </w:p>
    <w:p w14:paraId="4225EDC3" w14:textId="69F43CB0" w:rsidR="00C121A2" w:rsidRDefault="00A61C86">
      <w:pPr>
        <w:pStyle w:val="TOC1"/>
        <w:rPr>
          <w:rFonts w:asciiTheme="minorHAnsi" w:eastAsiaTheme="minorEastAsia" w:hAnsiTheme="minorHAnsi" w:cstheme="minorBidi"/>
          <w:b w:val="0"/>
        </w:rPr>
      </w:pPr>
      <w:hyperlink w:anchor="_Toc17202446" w:history="1">
        <w:r w:rsidR="00C121A2" w:rsidRPr="00966ABA">
          <w:rPr>
            <w:rStyle w:val="Hyperlink"/>
          </w:rPr>
          <w:t>2</w:t>
        </w:r>
        <w:r w:rsidR="00C121A2">
          <w:rPr>
            <w:rFonts w:asciiTheme="minorHAnsi" w:eastAsiaTheme="minorEastAsia" w:hAnsiTheme="minorHAnsi" w:cstheme="minorBidi"/>
            <w:b w:val="0"/>
          </w:rPr>
          <w:tab/>
        </w:r>
        <w:r w:rsidR="00C121A2" w:rsidRPr="00966ABA">
          <w:rPr>
            <w:rStyle w:val="Hyperlink"/>
          </w:rPr>
          <w:t>Fish theme</w:t>
        </w:r>
        <w:r w:rsidR="00C121A2">
          <w:rPr>
            <w:webHidden/>
          </w:rPr>
          <w:tab/>
        </w:r>
        <w:r w:rsidR="00C121A2">
          <w:rPr>
            <w:webHidden/>
          </w:rPr>
          <w:fldChar w:fldCharType="begin"/>
        </w:r>
        <w:r w:rsidR="00C121A2">
          <w:rPr>
            <w:webHidden/>
          </w:rPr>
          <w:instrText xml:space="preserve"> PAGEREF _Toc17202446 \h </w:instrText>
        </w:r>
        <w:r w:rsidR="00C121A2">
          <w:rPr>
            <w:webHidden/>
          </w:rPr>
        </w:r>
        <w:r w:rsidR="00C121A2">
          <w:rPr>
            <w:webHidden/>
          </w:rPr>
          <w:fldChar w:fldCharType="separate"/>
        </w:r>
        <w:r w:rsidR="00D379AE">
          <w:rPr>
            <w:webHidden/>
          </w:rPr>
          <w:t>5</w:t>
        </w:r>
        <w:r w:rsidR="00C121A2">
          <w:rPr>
            <w:webHidden/>
          </w:rPr>
          <w:fldChar w:fldCharType="end"/>
        </w:r>
      </w:hyperlink>
    </w:p>
    <w:p w14:paraId="441F1713" w14:textId="122E5B1A" w:rsidR="00C121A2" w:rsidRDefault="00A61C86">
      <w:pPr>
        <w:pStyle w:val="TOC2"/>
        <w:rPr>
          <w:rFonts w:asciiTheme="minorHAnsi" w:eastAsiaTheme="minorEastAsia" w:hAnsiTheme="minorHAnsi" w:cstheme="minorBidi"/>
          <w:color w:val="auto"/>
          <w:sz w:val="22"/>
        </w:rPr>
      </w:pPr>
      <w:hyperlink w:anchor="_Toc17202447" w:history="1">
        <w:r w:rsidR="00C121A2" w:rsidRPr="00966ABA">
          <w:rPr>
            <w:rStyle w:val="Hyperlink"/>
          </w:rPr>
          <w:t>2.1 Fish theme research focus</w:t>
        </w:r>
        <w:r w:rsidR="00C121A2">
          <w:rPr>
            <w:webHidden/>
          </w:rPr>
          <w:tab/>
        </w:r>
        <w:r w:rsidR="00C121A2">
          <w:rPr>
            <w:webHidden/>
          </w:rPr>
          <w:fldChar w:fldCharType="begin"/>
        </w:r>
        <w:r w:rsidR="00C121A2">
          <w:rPr>
            <w:webHidden/>
          </w:rPr>
          <w:instrText xml:space="preserve"> PAGEREF _Toc17202447 \h </w:instrText>
        </w:r>
        <w:r w:rsidR="00C121A2">
          <w:rPr>
            <w:webHidden/>
          </w:rPr>
        </w:r>
        <w:r w:rsidR="00C121A2">
          <w:rPr>
            <w:webHidden/>
          </w:rPr>
          <w:fldChar w:fldCharType="separate"/>
        </w:r>
        <w:r w:rsidR="00D379AE">
          <w:rPr>
            <w:webHidden/>
          </w:rPr>
          <w:t>5</w:t>
        </w:r>
        <w:r w:rsidR="00C121A2">
          <w:rPr>
            <w:webHidden/>
          </w:rPr>
          <w:fldChar w:fldCharType="end"/>
        </w:r>
      </w:hyperlink>
    </w:p>
    <w:p w14:paraId="77C50772" w14:textId="4E41790A" w:rsidR="00C121A2" w:rsidRDefault="00A61C86">
      <w:pPr>
        <w:pStyle w:val="TOC2"/>
        <w:rPr>
          <w:rFonts w:asciiTheme="minorHAnsi" w:eastAsiaTheme="minorEastAsia" w:hAnsiTheme="minorHAnsi" w:cstheme="minorBidi"/>
          <w:color w:val="auto"/>
          <w:sz w:val="22"/>
        </w:rPr>
      </w:pPr>
      <w:hyperlink w:anchor="_Toc17202448" w:history="1">
        <w:r w:rsidR="00C121A2" w:rsidRPr="00966ABA">
          <w:rPr>
            <w:rStyle w:val="Hyperlink"/>
          </w:rPr>
          <w:t>2.2 Fish theme key findings</w:t>
        </w:r>
        <w:r w:rsidR="00C121A2">
          <w:rPr>
            <w:webHidden/>
          </w:rPr>
          <w:tab/>
        </w:r>
        <w:r w:rsidR="00C121A2">
          <w:rPr>
            <w:webHidden/>
          </w:rPr>
          <w:fldChar w:fldCharType="begin"/>
        </w:r>
        <w:r w:rsidR="00C121A2">
          <w:rPr>
            <w:webHidden/>
          </w:rPr>
          <w:instrText xml:space="preserve"> PAGEREF _Toc17202448 \h </w:instrText>
        </w:r>
        <w:r w:rsidR="00C121A2">
          <w:rPr>
            <w:webHidden/>
          </w:rPr>
        </w:r>
        <w:r w:rsidR="00C121A2">
          <w:rPr>
            <w:webHidden/>
          </w:rPr>
          <w:fldChar w:fldCharType="separate"/>
        </w:r>
        <w:r w:rsidR="00D379AE">
          <w:rPr>
            <w:webHidden/>
          </w:rPr>
          <w:t>5</w:t>
        </w:r>
        <w:r w:rsidR="00C121A2">
          <w:rPr>
            <w:webHidden/>
          </w:rPr>
          <w:fldChar w:fldCharType="end"/>
        </w:r>
      </w:hyperlink>
    </w:p>
    <w:p w14:paraId="5CBB8E8F" w14:textId="20DAB787" w:rsidR="00C121A2" w:rsidRDefault="00A61C86">
      <w:pPr>
        <w:pStyle w:val="TOC2"/>
        <w:rPr>
          <w:rFonts w:asciiTheme="minorHAnsi" w:eastAsiaTheme="minorEastAsia" w:hAnsiTheme="minorHAnsi" w:cstheme="minorBidi"/>
          <w:color w:val="auto"/>
          <w:sz w:val="22"/>
        </w:rPr>
      </w:pPr>
      <w:hyperlink w:anchor="_Toc17202449" w:history="1">
        <w:r w:rsidR="00C121A2" w:rsidRPr="00966ABA">
          <w:rPr>
            <w:rStyle w:val="Hyperlink"/>
          </w:rPr>
          <w:t>2.3 Fish theme synthesis</w:t>
        </w:r>
        <w:r w:rsidR="00C121A2">
          <w:rPr>
            <w:webHidden/>
          </w:rPr>
          <w:tab/>
        </w:r>
        <w:r w:rsidR="00C121A2">
          <w:rPr>
            <w:webHidden/>
          </w:rPr>
          <w:fldChar w:fldCharType="begin"/>
        </w:r>
        <w:r w:rsidR="00C121A2">
          <w:rPr>
            <w:webHidden/>
          </w:rPr>
          <w:instrText xml:space="preserve"> PAGEREF _Toc17202449 \h </w:instrText>
        </w:r>
        <w:r w:rsidR="00C121A2">
          <w:rPr>
            <w:webHidden/>
          </w:rPr>
        </w:r>
        <w:r w:rsidR="00C121A2">
          <w:rPr>
            <w:webHidden/>
          </w:rPr>
          <w:fldChar w:fldCharType="separate"/>
        </w:r>
        <w:r w:rsidR="00D379AE">
          <w:rPr>
            <w:webHidden/>
          </w:rPr>
          <w:t>6</w:t>
        </w:r>
        <w:r w:rsidR="00C121A2">
          <w:rPr>
            <w:webHidden/>
          </w:rPr>
          <w:fldChar w:fldCharType="end"/>
        </w:r>
      </w:hyperlink>
    </w:p>
    <w:p w14:paraId="2258DE64" w14:textId="26F5285A" w:rsidR="00C121A2" w:rsidRDefault="00A61C86">
      <w:pPr>
        <w:pStyle w:val="TOC2"/>
        <w:rPr>
          <w:rFonts w:asciiTheme="minorHAnsi" w:eastAsiaTheme="minorEastAsia" w:hAnsiTheme="minorHAnsi" w:cstheme="minorBidi"/>
          <w:color w:val="auto"/>
          <w:sz w:val="22"/>
        </w:rPr>
      </w:pPr>
      <w:hyperlink w:anchor="_Toc17202450" w:history="1">
        <w:r w:rsidR="00C121A2" w:rsidRPr="00966ABA">
          <w:rPr>
            <w:rStyle w:val="Hyperlink"/>
          </w:rPr>
          <w:t>2.4 Fish theme information for managers</w:t>
        </w:r>
        <w:r w:rsidR="00C121A2">
          <w:rPr>
            <w:webHidden/>
          </w:rPr>
          <w:tab/>
        </w:r>
        <w:r w:rsidR="00C121A2">
          <w:rPr>
            <w:webHidden/>
          </w:rPr>
          <w:fldChar w:fldCharType="begin"/>
        </w:r>
        <w:r w:rsidR="00C121A2">
          <w:rPr>
            <w:webHidden/>
          </w:rPr>
          <w:instrText xml:space="preserve"> PAGEREF _Toc17202450 \h </w:instrText>
        </w:r>
        <w:r w:rsidR="00C121A2">
          <w:rPr>
            <w:webHidden/>
          </w:rPr>
        </w:r>
        <w:r w:rsidR="00C121A2">
          <w:rPr>
            <w:webHidden/>
          </w:rPr>
          <w:fldChar w:fldCharType="separate"/>
        </w:r>
        <w:r w:rsidR="00D379AE">
          <w:rPr>
            <w:webHidden/>
          </w:rPr>
          <w:t>7</w:t>
        </w:r>
        <w:r w:rsidR="00C121A2">
          <w:rPr>
            <w:webHidden/>
          </w:rPr>
          <w:fldChar w:fldCharType="end"/>
        </w:r>
      </w:hyperlink>
    </w:p>
    <w:p w14:paraId="46585F05" w14:textId="483924EE" w:rsidR="00C121A2" w:rsidRDefault="00A61C86">
      <w:pPr>
        <w:pStyle w:val="TOC2"/>
        <w:rPr>
          <w:rFonts w:asciiTheme="minorHAnsi" w:eastAsiaTheme="minorEastAsia" w:hAnsiTheme="minorHAnsi" w:cstheme="minorBidi"/>
          <w:color w:val="auto"/>
          <w:sz w:val="22"/>
        </w:rPr>
      </w:pPr>
      <w:hyperlink w:anchor="_Toc17202451" w:history="1">
        <w:r w:rsidR="00C121A2" w:rsidRPr="00966ABA">
          <w:rPr>
            <w:rStyle w:val="Hyperlink"/>
          </w:rPr>
          <w:t>2.5 Fish theme knowledge status</w:t>
        </w:r>
        <w:r w:rsidR="00C121A2">
          <w:rPr>
            <w:webHidden/>
          </w:rPr>
          <w:tab/>
        </w:r>
        <w:r w:rsidR="00C121A2">
          <w:rPr>
            <w:webHidden/>
          </w:rPr>
          <w:fldChar w:fldCharType="begin"/>
        </w:r>
        <w:r w:rsidR="00C121A2">
          <w:rPr>
            <w:webHidden/>
          </w:rPr>
          <w:instrText xml:space="preserve"> PAGEREF _Toc17202451 \h </w:instrText>
        </w:r>
        <w:r w:rsidR="00C121A2">
          <w:rPr>
            <w:webHidden/>
          </w:rPr>
        </w:r>
        <w:r w:rsidR="00C121A2">
          <w:rPr>
            <w:webHidden/>
          </w:rPr>
          <w:fldChar w:fldCharType="separate"/>
        </w:r>
        <w:r w:rsidR="00D379AE">
          <w:rPr>
            <w:webHidden/>
          </w:rPr>
          <w:t>8</w:t>
        </w:r>
        <w:r w:rsidR="00C121A2">
          <w:rPr>
            <w:webHidden/>
          </w:rPr>
          <w:fldChar w:fldCharType="end"/>
        </w:r>
      </w:hyperlink>
    </w:p>
    <w:p w14:paraId="4742219A" w14:textId="6E8281FF" w:rsidR="00C121A2" w:rsidRDefault="00A61C86">
      <w:pPr>
        <w:pStyle w:val="TOC1"/>
        <w:rPr>
          <w:rFonts w:asciiTheme="minorHAnsi" w:eastAsiaTheme="minorEastAsia" w:hAnsiTheme="minorHAnsi" w:cstheme="minorBidi"/>
          <w:b w:val="0"/>
        </w:rPr>
      </w:pPr>
      <w:hyperlink w:anchor="_Toc17202452" w:history="1">
        <w:r w:rsidR="00C121A2" w:rsidRPr="00966ABA">
          <w:rPr>
            <w:rStyle w:val="Hyperlink"/>
          </w:rPr>
          <w:t>3</w:t>
        </w:r>
        <w:r w:rsidR="00C121A2">
          <w:rPr>
            <w:rFonts w:asciiTheme="minorHAnsi" w:eastAsiaTheme="minorEastAsia" w:hAnsiTheme="minorHAnsi" w:cstheme="minorBidi"/>
            <w:b w:val="0"/>
          </w:rPr>
          <w:tab/>
        </w:r>
        <w:r w:rsidR="00C121A2" w:rsidRPr="00966ABA">
          <w:rPr>
            <w:rStyle w:val="Hyperlink"/>
          </w:rPr>
          <w:t>Food Webs Theme</w:t>
        </w:r>
        <w:r w:rsidR="00C121A2">
          <w:rPr>
            <w:webHidden/>
          </w:rPr>
          <w:tab/>
        </w:r>
        <w:r w:rsidR="00C121A2">
          <w:rPr>
            <w:webHidden/>
          </w:rPr>
          <w:fldChar w:fldCharType="begin"/>
        </w:r>
        <w:r w:rsidR="00C121A2">
          <w:rPr>
            <w:webHidden/>
          </w:rPr>
          <w:instrText xml:space="preserve"> PAGEREF _Toc17202452 \h </w:instrText>
        </w:r>
        <w:r w:rsidR="00C121A2">
          <w:rPr>
            <w:webHidden/>
          </w:rPr>
        </w:r>
        <w:r w:rsidR="00C121A2">
          <w:rPr>
            <w:webHidden/>
          </w:rPr>
          <w:fldChar w:fldCharType="separate"/>
        </w:r>
        <w:r w:rsidR="00D379AE">
          <w:rPr>
            <w:webHidden/>
          </w:rPr>
          <w:t>9</w:t>
        </w:r>
        <w:r w:rsidR="00C121A2">
          <w:rPr>
            <w:webHidden/>
          </w:rPr>
          <w:fldChar w:fldCharType="end"/>
        </w:r>
      </w:hyperlink>
    </w:p>
    <w:p w14:paraId="4F0FE22B" w14:textId="72FE96BE" w:rsidR="00C121A2" w:rsidRDefault="00A61C86">
      <w:pPr>
        <w:pStyle w:val="TOC2"/>
        <w:rPr>
          <w:rFonts w:asciiTheme="minorHAnsi" w:eastAsiaTheme="minorEastAsia" w:hAnsiTheme="minorHAnsi" w:cstheme="minorBidi"/>
          <w:color w:val="auto"/>
          <w:sz w:val="22"/>
        </w:rPr>
      </w:pPr>
      <w:hyperlink w:anchor="_Toc17202453" w:history="1">
        <w:r w:rsidR="00C121A2" w:rsidRPr="00966ABA">
          <w:rPr>
            <w:rStyle w:val="Hyperlink"/>
          </w:rPr>
          <w:t>3.1 Food webs theme research focus</w:t>
        </w:r>
        <w:r w:rsidR="00C121A2">
          <w:rPr>
            <w:webHidden/>
          </w:rPr>
          <w:tab/>
        </w:r>
        <w:r w:rsidR="00C121A2">
          <w:rPr>
            <w:webHidden/>
          </w:rPr>
          <w:fldChar w:fldCharType="begin"/>
        </w:r>
        <w:r w:rsidR="00C121A2">
          <w:rPr>
            <w:webHidden/>
          </w:rPr>
          <w:instrText xml:space="preserve"> PAGEREF _Toc17202453 \h </w:instrText>
        </w:r>
        <w:r w:rsidR="00C121A2">
          <w:rPr>
            <w:webHidden/>
          </w:rPr>
        </w:r>
        <w:r w:rsidR="00C121A2">
          <w:rPr>
            <w:webHidden/>
          </w:rPr>
          <w:fldChar w:fldCharType="separate"/>
        </w:r>
        <w:r w:rsidR="00D379AE">
          <w:rPr>
            <w:webHidden/>
          </w:rPr>
          <w:t>9</w:t>
        </w:r>
        <w:r w:rsidR="00C121A2">
          <w:rPr>
            <w:webHidden/>
          </w:rPr>
          <w:fldChar w:fldCharType="end"/>
        </w:r>
      </w:hyperlink>
    </w:p>
    <w:p w14:paraId="2F646191" w14:textId="4ACF519B" w:rsidR="00C121A2" w:rsidRDefault="00A61C86">
      <w:pPr>
        <w:pStyle w:val="TOC2"/>
        <w:rPr>
          <w:rFonts w:asciiTheme="minorHAnsi" w:eastAsiaTheme="minorEastAsia" w:hAnsiTheme="minorHAnsi" w:cstheme="minorBidi"/>
          <w:color w:val="auto"/>
          <w:sz w:val="22"/>
        </w:rPr>
      </w:pPr>
      <w:hyperlink w:anchor="_Toc17202454" w:history="1">
        <w:r w:rsidR="00C121A2" w:rsidRPr="00966ABA">
          <w:rPr>
            <w:rStyle w:val="Hyperlink"/>
          </w:rPr>
          <w:t>3.2 Food web theme key findings</w:t>
        </w:r>
        <w:r w:rsidR="00C121A2">
          <w:rPr>
            <w:webHidden/>
          </w:rPr>
          <w:tab/>
        </w:r>
        <w:r w:rsidR="00C121A2">
          <w:rPr>
            <w:webHidden/>
          </w:rPr>
          <w:fldChar w:fldCharType="begin"/>
        </w:r>
        <w:r w:rsidR="00C121A2">
          <w:rPr>
            <w:webHidden/>
          </w:rPr>
          <w:instrText xml:space="preserve"> PAGEREF _Toc17202454 \h </w:instrText>
        </w:r>
        <w:r w:rsidR="00C121A2">
          <w:rPr>
            <w:webHidden/>
          </w:rPr>
        </w:r>
        <w:r w:rsidR="00C121A2">
          <w:rPr>
            <w:webHidden/>
          </w:rPr>
          <w:fldChar w:fldCharType="separate"/>
        </w:r>
        <w:r w:rsidR="00D379AE">
          <w:rPr>
            <w:webHidden/>
          </w:rPr>
          <w:t>9</w:t>
        </w:r>
        <w:r w:rsidR="00C121A2">
          <w:rPr>
            <w:webHidden/>
          </w:rPr>
          <w:fldChar w:fldCharType="end"/>
        </w:r>
      </w:hyperlink>
    </w:p>
    <w:p w14:paraId="38FFB844" w14:textId="0D90F6C8" w:rsidR="00C121A2" w:rsidRDefault="00A61C86">
      <w:pPr>
        <w:pStyle w:val="TOC2"/>
        <w:rPr>
          <w:rFonts w:asciiTheme="minorHAnsi" w:eastAsiaTheme="minorEastAsia" w:hAnsiTheme="minorHAnsi" w:cstheme="minorBidi"/>
          <w:color w:val="auto"/>
          <w:sz w:val="22"/>
        </w:rPr>
      </w:pPr>
      <w:hyperlink w:anchor="_Toc17202455" w:history="1">
        <w:r w:rsidR="00C121A2" w:rsidRPr="00966ABA">
          <w:rPr>
            <w:rStyle w:val="Hyperlink"/>
          </w:rPr>
          <w:t>3.3 Food web theme synthesis</w:t>
        </w:r>
        <w:r w:rsidR="00C121A2">
          <w:rPr>
            <w:webHidden/>
          </w:rPr>
          <w:tab/>
        </w:r>
        <w:r w:rsidR="00C121A2">
          <w:rPr>
            <w:webHidden/>
          </w:rPr>
          <w:fldChar w:fldCharType="begin"/>
        </w:r>
        <w:r w:rsidR="00C121A2">
          <w:rPr>
            <w:webHidden/>
          </w:rPr>
          <w:instrText xml:space="preserve"> PAGEREF _Toc17202455 \h </w:instrText>
        </w:r>
        <w:r w:rsidR="00C121A2">
          <w:rPr>
            <w:webHidden/>
          </w:rPr>
        </w:r>
        <w:r w:rsidR="00C121A2">
          <w:rPr>
            <w:webHidden/>
          </w:rPr>
          <w:fldChar w:fldCharType="separate"/>
        </w:r>
        <w:r w:rsidR="00D379AE">
          <w:rPr>
            <w:webHidden/>
          </w:rPr>
          <w:t>10</w:t>
        </w:r>
        <w:r w:rsidR="00C121A2">
          <w:rPr>
            <w:webHidden/>
          </w:rPr>
          <w:fldChar w:fldCharType="end"/>
        </w:r>
      </w:hyperlink>
    </w:p>
    <w:p w14:paraId="454CD235" w14:textId="0524F08E" w:rsidR="00C121A2" w:rsidRDefault="00A61C86">
      <w:pPr>
        <w:pStyle w:val="TOC2"/>
        <w:rPr>
          <w:rFonts w:asciiTheme="minorHAnsi" w:eastAsiaTheme="minorEastAsia" w:hAnsiTheme="minorHAnsi" w:cstheme="minorBidi"/>
          <w:color w:val="auto"/>
          <w:sz w:val="22"/>
        </w:rPr>
      </w:pPr>
      <w:hyperlink w:anchor="_Toc17202456" w:history="1">
        <w:r w:rsidR="00C121A2" w:rsidRPr="00966ABA">
          <w:rPr>
            <w:rStyle w:val="Hyperlink"/>
          </w:rPr>
          <w:t>3.4 Food web theme information for managers</w:t>
        </w:r>
        <w:r w:rsidR="00C121A2">
          <w:rPr>
            <w:webHidden/>
          </w:rPr>
          <w:tab/>
        </w:r>
        <w:r w:rsidR="00C121A2">
          <w:rPr>
            <w:webHidden/>
          </w:rPr>
          <w:fldChar w:fldCharType="begin"/>
        </w:r>
        <w:r w:rsidR="00C121A2">
          <w:rPr>
            <w:webHidden/>
          </w:rPr>
          <w:instrText xml:space="preserve"> PAGEREF _Toc17202456 \h </w:instrText>
        </w:r>
        <w:r w:rsidR="00C121A2">
          <w:rPr>
            <w:webHidden/>
          </w:rPr>
        </w:r>
        <w:r w:rsidR="00C121A2">
          <w:rPr>
            <w:webHidden/>
          </w:rPr>
          <w:fldChar w:fldCharType="separate"/>
        </w:r>
        <w:r w:rsidR="00D379AE">
          <w:rPr>
            <w:webHidden/>
          </w:rPr>
          <w:t>10</w:t>
        </w:r>
        <w:r w:rsidR="00C121A2">
          <w:rPr>
            <w:webHidden/>
          </w:rPr>
          <w:fldChar w:fldCharType="end"/>
        </w:r>
      </w:hyperlink>
    </w:p>
    <w:p w14:paraId="2F291C5D" w14:textId="5F67072A" w:rsidR="00C121A2" w:rsidRDefault="00A61C86">
      <w:pPr>
        <w:pStyle w:val="TOC2"/>
        <w:rPr>
          <w:rFonts w:asciiTheme="minorHAnsi" w:eastAsiaTheme="minorEastAsia" w:hAnsiTheme="minorHAnsi" w:cstheme="minorBidi"/>
          <w:color w:val="auto"/>
          <w:sz w:val="22"/>
        </w:rPr>
      </w:pPr>
      <w:hyperlink w:anchor="_Toc17202457" w:history="1">
        <w:r w:rsidR="00C121A2" w:rsidRPr="00966ABA">
          <w:rPr>
            <w:rStyle w:val="Hyperlink"/>
          </w:rPr>
          <w:t>3.5 Food web theme knowledge status</w:t>
        </w:r>
        <w:r w:rsidR="00C121A2">
          <w:rPr>
            <w:webHidden/>
          </w:rPr>
          <w:tab/>
        </w:r>
        <w:r w:rsidR="00C121A2">
          <w:rPr>
            <w:webHidden/>
          </w:rPr>
          <w:fldChar w:fldCharType="begin"/>
        </w:r>
        <w:r w:rsidR="00C121A2">
          <w:rPr>
            <w:webHidden/>
          </w:rPr>
          <w:instrText xml:space="preserve"> PAGEREF _Toc17202457 \h </w:instrText>
        </w:r>
        <w:r w:rsidR="00C121A2">
          <w:rPr>
            <w:webHidden/>
          </w:rPr>
        </w:r>
        <w:r w:rsidR="00C121A2">
          <w:rPr>
            <w:webHidden/>
          </w:rPr>
          <w:fldChar w:fldCharType="separate"/>
        </w:r>
        <w:r w:rsidR="00D379AE">
          <w:rPr>
            <w:webHidden/>
          </w:rPr>
          <w:t>11</w:t>
        </w:r>
        <w:r w:rsidR="00C121A2">
          <w:rPr>
            <w:webHidden/>
          </w:rPr>
          <w:fldChar w:fldCharType="end"/>
        </w:r>
      </w:hyperlink>
    </w:p>
    <w:p w14:paraId="5731DED8" w14:textId="7E72089F" w:rsidR="00C121A2" w:rsidRDefault="00A61C86">
      <w:pPr>
        <w:pStyle w:val="TOC1"/>
        <w:rPr>
          <w:rFonts w:asciiTheme="minorHAnsi" w:eastAsiaTheme="minorEastAsia" w:hAnsiTheme="minorHAnsi" w:cstheme="minorBidi"/>
          <w:b w:val="0"/>
        </w:rPr>
      </w:pPr>
      <w:hyperlink w:anchor="_Toc17202458" w:history="1">
        <w:r w:rsidR="00C121A2" w:rsidRPr="00966ABA">
          <w:rPr>
            <w:rStyle w:val="Hyperlink"/>
          </w:rPr>
          <w:t>4</w:t>
        </w:r>
        <w:r w:rsidR="00C121A2">
          <w:rPr>
            <w:rFonts w:asciiTheme="minorHAnsi" w:eastAsiaTheme="minorEastAsia" w:hAnsiTheme="minorHAnsi" w:cstheme="minorBidi"/>
            <w:b w:val="0"/>
          </w:rPr>
          <w:tab/>
        </w:r>
        <w:r w:rsidR="00C121A2" w:rsidRPr="00966ABA">
          <w:rPr>
            <w:rStyle w:val="Hyperlink"/>
          </w:rPr>
          <w:t>Vegetation theme</w:t>
        </w:r>
        <w:r w:rsidR="00C121A2">
          <w:rPr>
            <w:webHidden/>
          </w:rPr>
          <w:tab/>
        </w:r>
        <w:r w:rsidR="00C121A2">
          <w:rPr>
            <w:webHidden/>
          </w:rPr>
          <w:fldChar w:fldCharType="begin"/>
        </w:r>
        <w:r w:rsidR="00C121A2">
          <w:rPr>
            <w:webHidden/>
          </w:rPr>
          <w:instrText xml:space="preserve"> PAGEREF _Toc17202458 \h </w:instrText>
        </w:r>
        <w:r w:rsidR="00C121A2">
          <w:rPr>
            <w:webHidden/>
          </w:rPr>
        </w:r>
        <w:r w:rsidR="00C121A2">
          <w:rPr>
            <w:webHidden/>
          </w:rPr>
          <w:fldChar w:fldCharType="separate"/>
        </w:r>
        <w:r w:rsidR="00D379AE">
          <w:rPr>
            <w:webHidden/>
          </w:rPr>
          <w:t>12</w:t>
        </w:r>
        <w:r w:rsidR="00C121A2">
          <w:rPr>
            <w:webHidden/>
          </w:rPr>
          <w:fldChar w:fldCharType="end"/>
        </w:r>
      </w:hyperlink>
    </w:p>
    <w:p w14:paraId="2F3EF41D" w14:textId="60712C2A" w:rsidR="00C121A2" w:rsidRDefault="00A61C86">
      <w:pPr>
        <w:pStyle w:val="TOC2"/>
        <w:rPr>
          <w:rFonts w:asciiTheme="minorHAnsi" w:eastAsiaTheme="minorEastAsia" w:hAnsiTheme="minorHAnsi" w:cstheme="minorBidi"/>
          <w:color w:val="auto"/>
          <w:sz w:val="22"/>
        </w:rPr>
      </w:pPr>
      <w:hyperlink w:anchor="_Toc17202459" w:history="1">
        <w:r w:rsidR="00C121A2" w:rsidRPr="00966ABA">
          <w:rPr>
            <w:rStyle w:val="Hyperlink"/>
          </w:rPr>
          <w:t>4.1 Vegetation theme research focus</w:t>
        </w:r>
        <w:r w:rsidR="00C121A2">
          <w:rPr>
            <w:webHidden/>
          </w:rPr>
          <w:tab/>
        </w:r>
        <w:r w:rsidR="00C121A2">
          <w:rPr>
            <w:webHidden/>
          </w:rPr>
          <w:fldChar w:fldCharType="begin"/>
        </w:r>
        <w:r w:rsidR="00C121A2">
          <w:rPr>
            <w:webHidden/>
          </w:rPr>
          <w:instrText xml:space="preserve"> PAGEREF _Toc17202459 \h </w:instrText>
        </w:r>
        <w:r w:rsidR="00C121A2">
          <w:rPr>
            <w:webHidden/>
          </w:rPr>
        </w:r>
        <w:r w:rsidR="00C121A2">
          <w:rPr>
            <w:webHidden/>
          </w:rPr>
          <w:fldChar w:fldCharType="separate"/>
        </w:r>
        <w:r w:rsidR="00D379AE">
          <w:rPr>
            <w:webHidden/>
          </w:rPr>
          <w:t>12</w:t>
        </w:r>
        <w:r w:rsidR="00C121A2">
          <w:rPr>
            <w:webHidden/>
          </w:rPr>
          <w:fldChar w:fldCharType="end"/>
        </w:r>
      </w:hyperlink>
    </w:p>
    <w:p w14:paraId="1D27C8BD" w14:textId="62B80F4E" w:rsidR="00C121A2" w:rsidRDefault="00A61C86">
      <w:pPr>
        <w:pStyle w:val="TOC2"/>
        <w:rPr>
          <w:rFonts w:asciiTheme="minorHAnsi" w:eastAsiaTheme="minorEastAsia" w:hAnsiTheme="minorHAnsi" w:cstheme="minorBidi"/>
          <w:color w:val="auto"/>
          <w:sz w:val="22"/>
        </w:rPr>
      </w:pPr>
      <w:hyperlink w:anchor="_Toc17202460" w:history="1">
        <w:r w:rsidR="00C121A2" w:rsidRPr="00966ABA">
          <w:rPr>
            <w:rStyle w:val="Hyperlink"/>
            <w:lang w:eastAsia="en-GB"/>
          </w:rPr>
          <w:t>4.2 Vegetation theme key findings</w:t>
        </w:r>
        <w:r w:rsidR="00C121A2">
          <w:rPr>
            <w:webHidden/>
          </w:rPr>
          <w:tab/>
        </w:r>
        <w:r w:rsidR="00C121A2">
          <w:rPr>
            <w:webHidden/>
          </w:rPr>
          <w:fldChar w:fldCharType="begin"/>
        </w:r>
        <w:r w:rsidR="00C121A2">
          <w:rPr>
            <w:webHidden/>
          </w:rPr>
          <w:instrText xml:space="preserve"> PAGEREF _Toc17202460 \h </w:instrText>
        </w:r>
        <w:r w:rsidR="00C121A2">
          <w:rPr>
            <w:webHidden/>
          </w:rPr>
        </w:r>
        <w:r w:rsidR="00C121A2">
          <w:rPr>
            <w:webHidden/>
          </w:rPr>
          <w:fldChar w:fldCharType="separate"/>
        </w:r>
        <w:r w:rsidR="00D379AE">
          <w:rPr>
            <w:webHidden/>
          </w:rPr>
          <w:t>12</w:t>
        </w:r>
        <w:r w:rsidR="00C121A2">
          <w:rPr>
            <w:webHidden/>
          </w:rPr>
          <w:fldChar w:fldCharType="end"/>
        </w:r>
      </w:hyperlink>
    </w:p>
    <w:p w14:paraId="1A4CCA16" w14:textId="2FAE6666" w:rsidR="00C121A2" w:rsidRDefault="00A61C86">
      <w:pPr>
        <w:pStyle w:val="TOC2"/>
        <w:rPr>
          <w:rFonts w:asciiTheme="minorHAnsi" w:eastAsiaTheme="minorEastAsia" w:hAnsiTheme="minorHAnsi" w:cstheme="minorBidi"/>
          <w:color w:val="auto"/>
          <w:sz w:val="22"/>
        </w:rPr>
      </w:pPr>
      <w:hyperlink w:anchor="_Toc17202461" w:history="1">
        <w:r w:rsidR="00C121A2" w:rsidRPr="00966ABA">
          <w:rPr>
            <w:rStyle w:val="Hyperlink"/>
          </w:rPr>
          <w:t>4.3 Vegetation theme synthesis</w:t>
        </w:r>
        <w:r w:rsidR="00C121A2">
          <w:rPr>
            <w:webHidden/>
          </w:rPr>
          <w:tab/>
        </w:r>
        <w:r w:rsidR="00C121A2">
          <w:rPr>
            <w:webHidden/>
          </w:rPr>
          <w:fldChar w:fldCharType="begin"/>
        </w:r>
        <w:r w:rsidR="00C121A2">
          <w:rPr>
            <w:webHidden/>
          </w:rPr>
          <w:instrText xml:space="preserve"> PAGEREF _Toc17202461 \h </w:instrText>
        </w:r>
        <w:r w:rsidR="00C121A2">
          <w:rPr>
            <w:webHidden/>
          </w:rPr>
        </w:r>
        <w:r w:rsidR="00C121A2">
          <w:rPr>
            <w:webHidden/>
          </w:rPr>
          <w:fldChar w:fldCharType="separate"/>
        </w:r>
        <w:r w:rsidR="00D379AE">
          <w:rPr>
            <w:webHidden/>
          </w:rPr>
          <w:t>13</w:t>
        </w:r>
        <w:r w:rsidR="00C121A2">
          <w:rPr>
            <w:webHidden/>
          </w:rPr>
          <w:fldChar w:fldCharType="end"/>
        </w:r>
      </w:hyperlink>
    </w:p>
    <w:p w14:paraId="0EF17627" w14:textId="69EC72AD" w:rsidR="00C121A2" w:rsidRDefault="00A61C86">
      <w:pPr>
        <w:pStyle w:val="TOC2"/>
        <w:rPr>
          <w:rFonts w:asciiTheme="minorHAnsi" w:eastAsiaTheme="minorEastAsia" w:hAnsiTheme="minorHAnsi" w:cstheme="minorBidi"/>
          <w:color w:val="auto"/>
          <w:sz w:val="22"/>
        </w:rPr>
      </w:pPr>
      <w:hyperlink w:anchor="_Toc17202462" w:history="1">
        <w:r w:rsidR="00C121A2" w:rsidRPr="00966ABA">
          <w:rPr>
            <w:rStyle w:val="Hyperlink"/>
          </w:rPr>
          <w:t>4.4 Vegetation theme information for managers</w:t>
        </w:r>
        <w:r w:rsidR="00C121A2">
          <w:rPr>
            <w:webHidden/>
          </w:rPr>
          <w:tab/>
        </w:r>
        <w:r w:rsidR="00C121A2">
          <w:rPr>
            <w:webHidden/>
          </w:rPr>
          <w:fldChar w:fldCharType="begin"/>
        </w:r>
        <w:r w:rsidR="00C121A2">
          <w:rPr>
            <w:webHidden/>
          </w:rPr>
          <w:instrText xml:space="preserve"> PAGEREF _Toc17202462 \h </w:instrText>
        </w:r>
        <w:r w:rsidR="00C121A2">
          <w:rPr>
            <w:webHidden/>
          </w:rPr>
        </w:r>
        <w:r w:rsidR="00C121A2">
          <w:rPr>
            <w:webHidden/>
          </w:rPr>
          <w:fldChar w:fldCharType="separate"/>
        </w:r>
        <w:r w:rsidR="00D379AE">
          <w:rPr>
            <w:webHidden/>
          </w:rPr>
          <w:t>13</w:t>
        </w:r>
        <w:r w:rsidR="00C121A2">
          <w:rPr>
            <w:webHidden/>
          </w:rPr>
          <w:fldChar w:fldCharType="end"/>
        </w:r>
      </w:hyperlink>
    </w:p>
    <w:p w14:paraId="604E6692" w14:textId="04D20632" w:rsidR="00C121A2" w:rsidRDefault="00A61C86">
      <w:pPr>
        <w:pStyle w:val="TOC2"/>
        <w:rPr>
          <w:rFonts w:asciiTheme="minorHAnsi" w:eastAsiaTheme="minorEastAsia" w:hAnsiTheme="minorHAnsi" w:cstheme="minorBidi"/>
          <w:color w:val="auto"/>
          <w:sz w:val="22"/>
        </w:rPr>
      </w:pPr>
      <w:hyperlink w:anchor="_Toc17202463" w:history="1">
        <w:r w:rsidR="00C121A2" w:rsidRPr="00966ABA">
          <w:rPr>
            <w:rStyle w:val="Hyperlink"/>
          </w:rPr>
          <w:t>4.5 Vegetation theme knowledge status</w:t>
        </w:r>
        <w:r w:rsidR="00C121A2">
          <w:rPr>
            <w:webHidden/>
          </w:rPr>
          <w:tab/>
        </w:r>
        <w:r w:rsidR="00C121A2">
          <w:rPr>
            <w:webHidden/>
          </w:rPr>
          <w:fldChar w:fldCharType="begin"/>
        </w:r>
        <w:r w:rsidR="00C121A2">
          <w:rPr>
            <w:webHidden/>
          </w:rPr>
          <w:instrText xml:space="preserve"> PAGEREF _Toc17202463 \h </w:instrText>
        </w:r>
        <w:r w:rsidR="00C121A2">
          <w:rPr>
            <w:webHidden/>
          </w:rPr>
        </w:r>
        <w:r w:rsidR="00C121A2">
          <w:rPr>
            <w:webHidden/>
          </w:rPr>
          <w:fldChar w:fldCharType="separate"/>
        </w:r>
        <w:r w:rsidR="00D379AE">
          <w:rPr>
            <w:webHidden/>
          </w:rPr>
          <w:t>14</w:t>
        </w:r>
        <w:r w:rsidR="00C121A2">
          <w:rPr>
            <w:webHidden/>
          </w:rPr>
          <w:fldChar w:fldCharType="end"/>
        </w:r>
      </w:hyperlink>
    </w:p>
    <w:p w14:paraId="3AC1D5EB" w14:textId="43521A06" w:rsidR="00C121A2" w:rsidRDefault="00A61C86">
      <w:pPr>
        <w:pStyle w:val="TOC1"/>
        <w:rPr>
          <w:rFonts w:asciiTheme="minorHAnsi" w:eastAsiaTheme="minorEastAsia" w:hAnsiTheme="minorHAnsi" w:cstheme="minorBidi"/>
          <w:b w:val="0"/>
        </w:rPr>
      </w:pPr>
      <w:hyperlink w:anchor="_Toc17202464" w:history="1">
        <w:r w:rsidR="00C121A2" w:rsidRPr="00966ABA">
          <w:rPr>
            <w:rStyle w:val="Hyperlink"/>
          </w:rPr>
          <w:t>5</w:t>
        </w:r>
        <w:r w:rsidR="00C121A2">
          <w:rPr>
            <w:rFonts w:asciiTheme="minorHAnsi" w:eastAsiaTheme="minorEastAsia" w:hAnsiTheme="minorHAnsi" w:cstheme="minorBidi"/>
            <w:b w:val="0"/>
          </w:rPr>
          <w:tab/>
        </w:r>
        <w:r w:rsidR="00C121A2" w:rsidRPr="00966ABA">
          <w:rPr>
            <w:rStyle w:val="Hyperlink"/>
          </w:rPr>
          <w:t>Waterbirds theme</w:t>
        </w:r>
        <w:r w:rsidR="00C121A2">
          <w:rPr>
            <w:webHidden/>
          </w:rPr>
          <w:tab/>
        </w:r>
        <w:r w:rsidR="00C121A2">
          <w:rPr>
            <w:webHidden/>
          </w:rPr>
          <w:fldChar w:fldCharType="begin"/>
        </w:r>
        <w:r w:rsidR="00C121A2">
          <w:rPr>
            <w:webHidden/>
          </w:rPr>
          <w:instrText xml:space="preserve"> PAGEREF _Toc17202464 \h </w:instrText>
        </w:r>
        <w:r w:rsidR="00C121A2">
          <w:rPr>
            <w:webHidden/>
          </w:rPr>
        </w:r>
        <w:r w:rsidR="00C121A2">
          <w:rPr>
            <w:webHidden/>
          </w:rPr>
          <w:fldChar w:fldCharType="separate"/>
        </w:r>
        <w:r w:rsidR="00D379AE">
          <w:rPr>
            <w:webHidden/>
          </w:rPr>
          <w:t>15</w:t>
        </w:r>
        <w:r w:rsidR="00C121A2">
          <w:rPr>
            <w:webHidden/>
          </w:rPr>
          <w:fldChar w:fldCharType="end"/>
        </w:r>
      </w:hyperlink>
    </w:p>
    <w:p w14:paraId="39385AE8" w14:textId="5931B01B" w:rsidR="00C121A2" w:rsidRDefault="00A61C86">
      <w:pPr>
        <w:pStyle w:val="TOC2"/>
        <w:rPr>
          <w:rFonts w:asciiTheme="minorHAnsi" w:eastAsiaTheme="minorEastAsia" w:hAnsiTheme="minorHAnsi" w:cstheme="minorBidi"/>
          <w:color w:val="auto"/>
          <w:sz w:val="22"/>
        </w:rPr>
      </w:pPr>
      <w:hyperlink w:anchor="_Toc17202465" w:history="1">
        <w:r w:rsidR="00C121A2" w:rsidRPr="00966ABA">
          <w:rPr>
            <w:rStyle w:val="Hyperlink"/>
          </w:rPr>
          <w:t>5.1</w:t>
        </w:r>
        <w:r w:rsidR="00C121A2">
          <w:rPr>
            <w:rFonts w:asciiTheme="minorHAnsi" w:eastAsiaTheme="minorEastAsia" w:hAnsiTheme="minorHAnsi" w:cstheme="minorBidi"/>
            <w:color w:val="auto"/>
            <w:sz w:val="22"/>
          </w:rPr>
          <w:tab/>
        </w:r>
        <w:r w:rsidR="00C121A2" w:rsidRPr="00966ABA">
          <w:rPr>
            <w:rStyle w:val="Hyperlink"/>
          </w:rPr>
          <w:t>Waterbirds theme research focus</w:t>
        </w:r>
        <w:r w:rsidR="00C121A2">
          <w:rPr>
            <w:webHidden/>
          </w:rPr>
          <w:tab/>
        </w:r>
        <w:r w:rsidR="00C121A2">
          <w:rPr>
            <w:webHidden/>
          </w:rPr>
          <w:fldChar w:fldCharType="begin"/>
        </w:r>
        <w:r w:rsidR="00C121A2">
          <w:rPr>
            <w:webHidden/>
          </w:rPr>
          <w:instrText xml:space="preserve"> PAGEREF _Toc17202465 \h </w:instrText>
        </w:r>
        <w:r w:rsidR="00C121A2">
          <w:rPr>
            <w:webHidden/>
          </w:rPr>
        </w:r>
        <w:r w:rsidR="00C121A2">
          <w:rPr>
            <w:webHidden/>
          </w:rPr>
          <w:fldChar w:fldCharType="separate"/>
        </w:r>
        <w:r w:rsidR="00D379AE">
          <w:rPr>
            <w:webHidden/>
          </w:rPr>
          <w:t>15</w:t>
        </w:r>
        <w:r w:rsidR="00C121A2">
          <w:rPr>
            <w:webHidden/>
          </w:rPr>
          <w:fldChar w:fldCharType="end"/>
        </w:r>
      </w:hyperlink>
    </w:p>
    <w:p w14:paraId="42045B82" w14:textId="7C4DAF8A" w:rsidR="00C121A2" w:rsidRDefault="00A61C86">
      <w:pPr>
        <w:pStyle w:val="TOC2"/>
        <w:rPr>
          <w:rFonts w:asciiTheme="minorHAnsi" w:eastAsiaTheme="minorEastAsia" w:hAnsiTheme="minorHAnsi" w:cstheme="minorBidi"/>
          <w:color w:val="auto"/>
          <w:sz w:val="22"/>
        </w:rPr>
      </w:pPr>
      <w:hyperlink w:anchor="_Toc17202466" w:history="1">
        <w:r w:rsidR="00C121A2" w:rsidRPr="00966ABA">
          <w:rPr>
            <w:rStyle w:val="Hyperlink"/>
          </w:rPr>
          <w:t>5.2 Waterbirds theme key findings</w:t>
        </w:r>
        <w:r w:rsidR="00C121A2">
          <w:rPr>
            <w:webHidden/>
          </w:rPr>
          <w:tab/>
        </w:r>
        <w:r w:rsidR="00C121A2">
          <w:rPr>
            <w:webHidden/>
          </w:rPr>
          <w:fldChar w:fldCharType="begin"/>
        </w:r>
        <w:r w:rsidR="00C121A2">
          <w:rPr>
            <w:webHidden/>
          </w:rPr>
          <w:instrText xml:space="preserve"> PAGEREF _Toc17202466 \h </w:instrText>
        </w:r>
        <w:r w:rsidR="00C121A2">
          <w:rPr>
            <w:webHidden/>
          </w:rPr>
        </w:r>
        <w:r w:rsidR="00C121A2">
          <w:rPr>
            <w:webHidden/>
          </w:rPr>
          <w:fldChar w:fldCharType="separate"/>
        </w:r>
        <w:r w:rsidR="00D379AE">
          <w:rPr>
            <w:webHidden/>
          </w:rPr>
          <w:t>15</w:t>
        </w:r>
        <w:r w:rsidR="00C121A2">
          <w:rPr>
            <w:webHidden/>
          </w:rPr>
          <w:fldChar w:fldCharType="end"/>
        </w:r>
      </w:hyperlink>
    </w:p>
    <w:p w14:paraId="3C377347" w14:textId="77CBEF79" w:rsidR="00C121A2" w:rsidRDefault="00A61C86">
      <w:pPr>
        <w:pStyle w:val="TOC2"/>
        <w:rPr>
          <w:rFonts w:asciiTheme="minorHAnsi" w:eastAsiaTheme="minorEastAsia" w:hAnsiTheme="minorHAnsi" w:cstheme="minorBidi"/>
          <w:color w:val="auto"/>
          <w:sz w:val="22"/>
        </w:rPr>
      </w:pPr>
      <w:hyperlink w:anchor="_Toc17202467" w:history="1">
        <w:r w:rsidR="00C121A2" w:rsidRPr="00966ABA">
          <w:rPr>
            <w:rStyle w:val="Hyperlink"/>
          </w:rPr>
          <w:t>5.3 Waterbirds theme synthesis</w:t>
        </w:r>
        <w:r w:rsidR="00C121A2">
          <w:rPr>
            <w:webHidden/>
          </w:rPr>
          <w:tab/>
        </w:r>
        <w:r w:rsidR="00C121A2">
          <w:rPr>
            <w:webHidden/>
          </w:rPr>
          <w:fldChar w:fldCharType="begin"/>
        </w:r>
        <w:r w:rsidR="00C121A2">
          <w:rPr>
            <w:webHidden/>
          </w:rPr>
          <w:instrText xml:space="preserve"> PAGEREF _Toc17202467 \h </w:instrText>
        </w:r>
        <w:r w:rsidR="00C121A2">
          <w:rPr>
            <w:webHidden/>
          </w:rPr>
        </w:r>
        <w:r w:rsidR="00C121A2">
          <w:rPr>
            <w:webHidden/>
          </w:rPr>
          <w:fldChar w:fldCharType="separate"/>
        </w:r>
        <w:r w:rsidR="00D379AE">
          <w:rPr>
            <w:webHidden/>
          </w:rPr>
          <w:t>16</w:t>
        </w:r>
        <w:r w:rsidR="00C121A2">
          <w:rPr>
            <w:webHidden/>
          </w:rPr>
          <w:fldChar w:fldCharType="end"/>
        </w:r>
      </w:hyperlink>
    </w:p>
    <w:p w14:paraId="364E3798" w14:textId="020EAE18" w:rsidR="00C121A2" w:rsidRDefault="00A61C86">
      <w:pPr>
        <w:pStyle w:val="TOC2"/>
        <w:rPr>
          <w:rFonts w:asciiTheme="minorHAnsi" w:eastAsiaTheme="minorEastAsia" w:hAnsiTheme="minorHAnsi" w:cstheme="minorBidi"/>
          <w:color w:val="auto"/>
          <w:sz w:val="22"/>
        </w:rPr>
      </w:pPr>
      <w:hyperlink w:anchor="_Toc17202468" w:history="1">
        <w:r w:rsidR="00C121A2" w:rsidRPr="00966ABA">
          <w:rPr>
            <w:rStyle w:val="Hyperlink"/>
          </w:rPr>
          <w:t>5.4 Waterbird theme information for managers</w:t>
        </w:r>
        <w:r w:rsidR="00C121A2">
          <w:rPr>
            <w:webHidden/>
          </w:rPr>
          <w:tab/>
        </w:r>
        <w:r w:rsidR="00C121A2">
          <w:rPr>
            <w:webHidden/>
          </w:rPr>
          <w:fldChar w:fldCharType="begin"/>
        </w:r>
        <w:r w:rsidR="00C121A2">
          <w:rPr>
            <w:webHidden/>
          </w:rPr>
          <w:instrText xml:space="preserve"> PAGEREF _Toc17202468 \h </w:instrText>
        </w:r>
        <w:r w:rsidR="00C121A2">
          <w:rPr>
            <w:webHidden/>
          </w:rPr>
        </w:r>
        <w:r w:rsidR="00C121A2">
          <w:rPr>
            <w:webHidden/>
          </w:rPr>
          <w:fldChar w:fldCharType="separate"/>
        </w:r>
        <w:r w:rsidR="00D379AE">
          <w:rPr>
            <w:webHidden/>
          </w:rPr>
          <w:t>17</w:t>
        </w:r>
        <w:r w:rsidR="00C121A2">
          <w:rPr>
            <w:webHidden/>
          </w:rPr>
          <w:fldChar w:fldCharType="end"/>
        </w:r>
      </w:hyperlink>
    </w:p>
    <w:p w14:paraId="71B7A306" w14:textId="20E5AE1C" w:rsidR="00C121A2" w:rsidRDefault="00A61C86">
      <w:pPr>
        <w:pStyle w:val="TOC2"/>
        <w:rPr>
          <w:rFonts w:asciiTheme="minorHAnsi" w:eastAsiaTheme="minorEastAsia" w:hAnsiTheme="minorHAnsi" w:cstheme="minorBidi"/>
          <w:color w:val="auto"/>
          <w:sz w:val="22"/>
        </w:rPr>
      </w:pPr>
      <w:hyperlink w:anchor="_Toc17202469" w:history="1">
        <w:r w:rsidR="00C121A2" w:rsidRPr="00966ABA">
          <w:rPr>
            <w:rStyle w:val="Hyperlink"/>
          </w:rPr>
          <w:t>5.5. Waterbird theme knowledge status</w:t>
        </w:r>
        <w:r w:rsidR="00C121A2">
          <w:rPr>
            <w:webHidden/>
          </w:rPr>
          <w:tab/>
        </w:r>
        <w:r w:rsidR="00C121A2">
          <w:rPr>
            <w:webHidden/>
          </w:rPr>
          <w:fldChar w:fldCharType="begin"/>
        </w:r>
        <w:r w:rsidR="00C121A2">
          <w:rPr>
            <w:webHidden/>
          </w:rPr>
          <w:instrText xml:space="preserve"> PAGEREF _Toc17202469 \h </w:instrText>
        </w:r>
        <w:r w:rsidR="00C121A2">
          <w:rPr>
            <w:webHidden/>
          </w:rPr>
        </w:r>
        <w:r w:rsidR="00C121A2">
          <w:rPr>
            <w:webHidden/>
          </w:rPr>
          <w:fldChar w:fldCharType="separate"/>
        </w:r>
        <w:r w:rsidR="00D379AE">
          <w:rPr>
            <w:webHidden/>
          </w:rPr>
          <w:t>19</w:t>
        </w:r>
        <w:r w:rsidR="00C121A2">
          <w:rPr>
            <w:webHidden/>
          </w:rPr>
          <w:fldChar w:fldCharType="end"/>
        </w:r>
      </w:hyperlink>
    </w:p>
    <w:p w14:paraId="2CF61118" w14:textId="2AD59C36" w:rsidR="00C121A2" w:rsidRDefault="00A61C86">
      <w:pPr>
        <w:pStyle w:val="TOC1"/>
        <w:rPr>
          <w:rFonts w:asciiTheme="minorHAnsi" w:eastAsiaTheme="minorEastAsia" w:hAnsiTheme="minorHAnsi" w:cstheme="minorBidi"/>
          <w:b w:val="0"/>
        </w:rPr>
      </w:pPr>
      <w:hyperlink w:anchor="_Toc17202470" w:history="1">
        <w:r w:rsidR="00C121A2" w:rsidRPr="00966ABA">
          <w:rPr>
            <w:rStyle w:val="Hyperlink"/>
          </w:rPr>
          <w:t>6</w:t>
        </w:r>
        <w:r w:rsidR="00C121A2">
          <w:rPr>
            <w:rFonts w:asciiTheme="minorHAnsi" w:eastAsiaTheme="minorEastAsia" w:hAnsiTheme="minorHAnsi" w:cstheme="minorBidi"/>
            <w:b w:val="0"/>
          </w:rPr>
          <w:tab/>
        </w:r>
        <w:r w:rsidR="00C121A2" w:rsidRPr="00966ABA">
          <w:rPr>
            <w:rStyle w:val="Hyperlink"/>
            <w:rFonts w:cstheme="minorHAnsi"/>
          </w:rPr>
          <w:t>Synthesis Between Themes</w:t>
        </w:r>
        <w:r w:rsidR="00C121A2">
          <w:rPr>
            <w:webHidden/>
          </w:rPr>
          <w:tab/>
        </w:r>
        <w:r w:rsidR="00C121A2">
          <w:rPr>
            <w:webHidden/>
          </w:rPr>
          <w:fldChar w:fldCharType="begin"/>
        </w:r>
        <w:r w:rsidR="00C121A2">
          <w:rPr>
            <w:webHidden/>
          </w:rPr>
          <w:instrText xml:space="preserve"> PAGEREF _Toc17202470 \h </w:instrText>
        </w:r>
        <w:r w:rsidR="00C121A2">
          <w:rPr>
            <w:webHidden/>
          </w:rPr>
        </w:r>
        <w:r w:rsidR="00C121A2">
          <w:rPr>
            <w:webHidden/>
          </w:rPr>
          <w:fldChar w:fldCharType="separate"/>
        </w:r>
        <w:r w:rsidR="00D379AE">
          <w:rPr>
            <w:webHidden/>
          </w:rPr>
          <w:t>20</w:t>
        </w:r>
        <w:r w:rsidR="00C121A2">
          <w:rPr>
            <w:webHidden/>
          </w:rPr>
          <w:fldChar w:fldCharType="end"/>
        </w:r>
      </w:hyperlink>
    </w:p>
    <w:p w14:paraId="76FA9F8E" w14:textId="42E706D7" w:rsidR="00C121A2" w:rsidRDefault="00A61C86">
      <w:pPr>
        <w:pStyle w:val="TOC2"/>
        <w:rPr>
          <w:rFonts w:asciiTheme="minorHAnsi" w:eastAsiaTheme="minorEastAsia" w:hAnsiTheme="minorHAnsi" w:cstheme="minorBidi"/>
          <w:color w:val="auto"/>
          <w:sz w:val="22"/>
        </w:rPr>
      </w:pPr>
      <w:hyperlink w:anchor="_Toc17202471" w:history="1">
        <w:r w:rsidR="00C121A2" w:rsidRPr="00966ABA">
          <w:rPr>
            <w:rStyle w:val="Hyperlink"/>
          </w:rPr>
          <w:t>6.1 The importance of flooplain inundation</w:t>
        </w:r>
        <w:r w:rsidR="00C121A2">
          <w:rPr>
            <w:webHidden/>
          </w:rPr>
          <w:tab/>
        </w:r>
        <w:r w:rsidR="00C121A2">
          <w:rPr>
            <w:webHidden/>
          </w:rPr>
          <w:fldChar w:fldCharType="begin"/>
        </w:r>
        <w:r w:rsidR="00C121A2">
          <w:rPr>
            <w:webHidden/>
          </w:rPr>
          <w:instrText xml:space="preserve"> PAGEREF _Toc17202471 \h </w:instrText>
        </w:r>
        <w:r w:rsidR="00C121A2">
          <w:rPr>
            <w:webHidden/>
          </w:rPr>
        </w:r>
        <w:r w:rsidR="00C121A2">
          <w:rPr>
            <w:webHidden/>
          </w:rPr>
          <w:fldChar w:fldCharType="separate"/>
        </w:r>
        <w:r w:rsidR="00D379AE">
          <w:rPr>
            <w:webHidden/>
          </w:rPr>
          <w:t>20</w:t>
        </w:r>
        <w:r w:rsidR="00C121A2">
          <w:rPr>
            <w:webHidden/>
          </w:rPr>
          <w:fldChar w:fldCharType="end"/>
        </w:r>
      </w:hyperlink>
    </w:p>
    <w:p w14:paraId="07C802A0" w14:textId="3E3AFDD1" w:rsidR="00C121A2" w:rsidRDefault="00A61C86">
      <w:pPr>
        <w:pStyle w:val="TOC2"/>
        <w:rPr>
          <w:rFonts w:asciiTheme="minorHAnsi" w:eastAsiaTheme="minorEastAsia" w:hAnsiTheme="minorHAnsi" w:cstheme="minorBidi"/>
          <w:color w:val="auto"/>
          <w:sz w:val="22"/>
        </w:rPr>
      </w:pPr>
      <w:hyperlink w:anchor="_Toc17202472" w:history="1">
        <w:r w:rsidR="00C121A2" w:rsidRPr="00966ABA">
          <w:rPr>
            <w:rStyle w:val="Hyperlink"/>
          </w:rPr>
          <w:t>6.2 Processes within rivers happen at many scales</w:t>
        </w:r>
        <w:r w:rsidR="00C121A2">
          <w:rPr>
            <w:webHidden/>
          </w:rPr>
          <w:tab/>
        </w:r>
        <w:r w:rsidR="00C121A2">
          <w:rPr>
            <w:webHidden/>
          </w:rPr>
          <w:fldChar w:fldCharType="begin"/>
        </w:r>
        <w:r w:rsidR="00C121A2">
          <w:rPr>
            <w:webHidden/>
          </w:rPr>
          <w:instrText xml:space="preserve"> PAGEREF _Toc17202472 \h </w:instrText>
        </w:r>
        <w:r w:rsidR="00C121A2">
          <w:rPr>
            <w:webHidden/>
          </w:rPr>
        </w:r>
        <w:r w:rsidR="00C121A2">
          <w:rPr>
            <w:webHidden/>
          </w:rPr>
          <w:fldChar w:fldCharType="separate"/>
        </w:r>
        <w:r w:rsidR="00D379AE">
          <w:rPr>
            <w:webHidden/>
          </w:rPr>
          <w:t>20</w:t>
        </w:r>
        <w:r w:rsidR="00C121A2">
          <w:rPr>
            <w:webHidden/>
          </w:rPr>
          <w:fldChar w:fldCharType="end"/>
        </w:r>
      </w:hyperlink>
    </w:p>
    <w:p w14:paraId="1F19674E" w14:textId="3344654D" w:rsidR="00C121A2" w:rsidRDefault="00A61C86">
      <w:pPr>
        <w:pStyle w:val="TOC2"/>
        <w:rPr>
          <w:rFonts w:asciiTheme="minorHAnsi" w:eastAsiaTheme="minorEastAsia" w:hAnsiTheme="minorHAnsi" w:cstheme="minorBidi"/>
          <w:color w:val="auto"/>
          <w:sz w:val="22"/>
        </w:rPr>
      </w:pPr>
      <w:hyperlink w:anchor="_Toc17202473" w:history="1">
        <w:r w:rsidR="00C121A2" w:rsidRPr="00966ABA">
          <w:rPr>
            <w:rStyle w:val="Hyperlink"/>
          </w:rPr>
          <w:t>6.3 Connectivity is a crucial component</w:t>
        </w:r>
        <w:r w:rsidR="00C121A2">
          <w:rPr>
            <w:webHidden/>
          </w:rPr>
          <w:tab/>
        </w:r>
        <w:r w:rsidR="00C121A2">
          <w:rPr>
            <w:webHidden/>
          </w:rPr>
          <w:fldChar w:fldCharType="begin"/>
        </w:r>
        <w:r w:rsidR="00C121A2">
          <w:rPr>
            <w:webHidden/>
          </w:rPr>
          <w:instrText xml:space="preserve"> PAGEREF _Toc17202473 \h </w:instrText>
        </w:r>
        <w:r w:rsidR="00C121A2">
          <w:rPr>
            <w:webHidden/>
          </w:rPr>
        </w:r>
        <w:r w:rsidR="00C121A2">
          <w:rPr>
            <w:webHidden/>
          </w:rPr>
          <w:fldChar w:fldCharType="separate"/>
        </w:r>
        <w:r w:rsidR="00D379AE">
          <w:rPr>
            <w:webHidden/>
          </w:rPr>
          <w:t>21</w:t>
        </w:r>
        <w:r w:rsidR="00C121A2">
          <w:rPr>
            <w:webHidden/>
          </w:rPr>
          <w:fldChar w:fldCharType="end"/>
        </w:r>
      </w:hyperlink>
    </w:p>
    <w:p w14:paraId="2C9CD123" w14:textId="29E1D98D" w:rsidR="00C121A2" w:rsidRDefault="00A61C86">
      <w:pPr>
        <w:pStyle w:val="TOC2"/>
        <w:rPr>
          <w:rFonts w:asciiTheme="minorHAnsi" w:eastAsiaTheme="minorEastAsia" w:hAnsiTheme="minorHAnsi" w:cstheme="minorBidi"/>
          <w:color w:val="auto"/>
          <w:sz w:val="22"/>
        </w:rPr>
      </w:pPr>
      <w:hyperlink w:anchor="_Toc17202474" w:history="1">
        <w:r w:rsidR="00C121A2" w:rsidRPr="00966ABA">
          <w:rPr>
            <w:rStyle w:val="Hyperlink"/>
          </w:rPr>
          <w:t>6.4 Habitat can be improved through flow management</w:t>
        </w:r>
        <w:r w:rsidR="00C121A2">
          <w:rPr>
            <w:webHidden/>
          </w:rPr>
          <w:tab/>
        </w:r>
        <w:r w:rsidR="00C121A2">
          <w:rPr>
            <w:webHidden/>
          </w:rPr>
          <w:fldChar w:fldCharType="begin"/>
        </w:r>
        <w:r w:rsidR="00C121A2">
          <w:rPr>
            <w:webHidden/>
          </w:rPr>
          <w:instrText xml:space="preserve"> PAGEREF _Toc17202474 \h </w:instrText>
        </w:r>
        <w:r w:rsidR="00C121A2">
          <w:rPr>
            <w:webHidden/>
          </w:rPr>
        </w:r>
        <w:r w:rsidR="00C121A2">
          <w:rPr>
            <w:webHidden/>
          </w:rPr>
          <w:fldChar w:fldCharType="separate"/>
        </w:r>
        <w:r w:rsidR="00D379AE">
          <w:rPr>
            <w:webHidden/>
          </w:rPr>
          <w:t>21</w:t>
        </w:r>
        <w:r w:rsidR="00C121A2">
          <w:rPr>
            <w:webHidden/>
          </w:rPr>
          <w:fldChar w:fldCharType="end"/>
        </w:r>
      </w:hyperlink>
    </w:p>
    <w:p w14:paraId="170FEF3A" w14:textId="03803D8C" w:rsidR="00C121A2" w:rsidRDefault="00A61C86">
      <w:pPr>
        <w:pStyle w:val="TOC2"/>
        <w:rPr>
          <w:rFonts w:asciiTheme="minorHAnsi" w:eastAsiaTheme="minorEastAsia" w:hAnsiTheme="minorHAnsi" w:cstheme="minorBidi"/>
          <w:color w:val="auto"/>
          <w:sz w:val="22"/>
        </w:rPr>
      </w:pPr>
      <w:hyperlink w:anchor="_Toc17202475" w:history="1">
        <w:r w:rsidR="00C121A2" w:rsidRPr="00966ABA">
          <w:rPr>
            <w:rStyle w:val="Hyperlink"/>
          </w:rPr>
          <w:t>6.5 There is no one water management recipe for all species</w:t>
        </w:r>
        <w:r w:rsidR="00C121A2">
          <w:rPr>
            <w:webHidden/>
          </w:rPr>
          <w:tab/>
        </w:r>
        <w:r w:rsidR="00C121A2">
          <w:rPr>
            <w:webHidden/>
          </w:rPr>
          <w:fldChar w:fldCharType="begin"/>
        </w:r>
        <w:r w:rsidR="00C121A2">
          <w:rPr>
            <w:webHidden/>
          </w:rPr>
          <w:instrText xml:space="preserve"> PAGEREF _Toc17202475 \h </w:instrText>
        </w:r>
        <w:r w:rsidR="00C121A2">
          <w:rPr>
            <w:webHidden/>
          </w:rPr>
        </w:r>
        <w:r w:rsidR="00C121A2">
          <w:rPr>
            <w:webHidden/>
          </w:rPr>
          <w:fldChar w:fldCharType="separate"/>
        </w:r>
        <w:r w:rsidR="00D379AE">
          <w:rPr>
            <w:webHidden/>
          </w:rPr>
          <w:t>21</w:t>
        </w:r>
        <w:r w:rsidR="00C121A2">
          <w:rPr>
            <w:webHidden/>
          </w:rPr>
          <w:fldChar w:fldCharType="end"/>
        </w:r>
      </w:hyperlink>
    </w:p>
    <w:p w14:paraId="595950CC" w14:textId="6541D728" w:rsidR="00C121A2" w:rsidRDefault="00A61C86">
      <w:pPr>
        <w:pStyle w:val="TOC2"/>
        <w:rPr>
          <w:rFonts w:asciiTheme="minorHAnsi" w:eastAsiaTheme="minorEastAsia" w:hAnsiTheme="minorHAnsi" w:cstheme="minorBidi"/>
          <w:color w:val="auto"/>
          <w:sz w:val="22"/>
        </w:rPr>
      </w:pPr>
      <w:hyperlink w:anchor="_Toc17202476" w:history="1">
        <w:r w:rsidR="00C121A2" w:rsidRPr="00966ABA">
          <w:rPr>
            <w:rStyle w:val="Hyperlink"/>
          </w:rPr>
          <w:t>6.6 There are significant opportunities created by projects such as EWKR</w:t>
        </w:r>
        <w:r w:rsidR="00C121A2">
          <w:rPr>
            <w:webHidden/>
          </w:rPr>
          <w:tab/>
        </w:r>
        <w:r w:rsidR="00C121A2">
          <w:rPr>
            <w:webHidden/>
          </w:rPr>
          <w:fldChar w:fldCharType="begin"/>
        </w:r>
        <w:r w:rsidR="00C121A2">
          <w:rPr>
            <w:webHidden/>
          </w:rPr>
          <w:instrText xml:space="preserve"> PAGEREF _Toc17202476 \h </w:instrText>
        </w:r>
        <w:r w:rsidR="00C121A2">
          <w:rPr>
            <w:webHidden/>
          </w:rPr>
        </w:r>
        <w:r w:rsidR="00C121A2">
          <w:rPr>
            <w:webHidden/>
          </w:rPr>
          <w:fldChar w:fldCharType="separate"/>
        </w:r>
        <w:r w:rsidR="00D379AE">
          <w:rPr>
            <w:webHidden/>
          </w:rPr>
          <w:t>21</w:t>
        </w:r>
        <w:r w:rsidR="00C121A2">
          <w:rPr>
            <w:webHidden/>
          </w:rPr>
          <w:fldChar w:fldCharType="end"/>
        </w:r>
      </w:hyperlink>
    </w:p>
    <w:p w14:paraId="527D7BF3" w14:textId="427614ED" w:rsidR="00C121A2" w:rsidRDefault="00A61C86">
      <w:pPr>
        <w:pStyle w:val="TOC1"/>
        <w:rPr>
          <w:rFonts w:asciiTheme="minorHAnsi" w:eastAsiaTheme="minorEastAsia" w:hAnsiTheme="minorHAnsi" w:cstheme="minorBidi"/>
          <w:b w:val="0"/>
        </w:rPr>
      </w:pPr>
      <w:hyperlink w:anchor="_Toc17202477" w:history="1">
        <w:r w:rsidR="00C121A2" w:rsidRPr="00966ABA">
          <w:rPr>
            <w:rStyle w:val="Hyperlink"/>
          </w:rPr>
          <w:t>7</w:t>
        </w:r>
        <w:r w:rsidR="00C121A2">
          <w:rPr>
            <w:rFonts w:asciiTheme="minorHAnsi" w:eastAsiaTheme="minorEastAsia" w:hAnsiTheme="minorHAnsi" w:cstheme="minorBidi"/>
            <w:b w:val="0"/>
          </w:rPr>
          <w:tab/>
        </w:r>
        <w:r w:rsidR="00C121A2" w:rsidRPr="00966ABA">
          <w:rPr>
            <w:rStyle w:val="Hyperlink"/>
            <w:rFonts w:cstheme="minorHAnsi"/>
          </w:rPr>
          <w:t>References</w:t>
        </w:r>
        <w:r w:rsidR="00C121A2">
          <w:rPr>
            <w:webHidden/>
          </w:rPr>
          <w:tab/>
        </w:r>
        <w:r w:rsidR="00C121A2">
          <w:rPr>
            <w:webHidden/>
          </w:rPr>
          <w:fldChar w:fldCharType="begin"/>
        </w:r>
        <w:r w:rsidR="00C121A2">
          <w:rPr>
            <w:webHidden/>
          </w:rPr>
          <w:instrText xml:space="preserve"> PAGEREF _Toc17202477 \h </w:instrText>
        </w:r>
        <w:r w:rsidR="00C121A2">
          <w:rPr>
            <w:webHidden/>
          </w:rPr>
        </w:r>
        <w:r w:rsidR="00C121A2">
          <w:rPr>
            <w:webHidden/>
          </w:rPr>
          <w:fldChar w:fldCharType="separate"/>
        </w:r>
        <w:r w:rsidR="00D379AE">
          <w:rPr>
            <w:webHidden/>
          </w:rPr>
          <w:t>23</w:t>
        </w:r>
        <w:r w:rsidR="00C121A2">
          <w:rPr>
            <w:webHidden/>
          </w:rPr>
          <w:fldChar w:fldCharType="end"/>
        </w:r>
      </w:hyperlink>
    </w:p>
    <w:p w14:paraId="3308EAF3" w14:textId="6FBCD4DC" w:rsidR="00C121A2" w:rsidRDefault="00A61C86">
      <w:pPr>
        <w:pStyle w:val="TOC1"/>
        <w:rPr>
          <w:rFonts w:asciiTheme="minorHAnsi" w:eastAsiaTheme="minorEastAsia" w:hAnsiTheme="minorHAnsi" w:cstheme="minorBidi"/>
          <w:b w:val="0"/>
        </w:rPr>
      </w:pPr>
      <w:hyperlink w:anchor="_Toc17202478" w:history="1">
        <w:r w:rsidR="00C121A2" w:rsidRPr="00966ABA">
          <w:rPr>
            <w:rStyle w:val="Hyperlink"/>
            <w:rFonts w:eastAsiaTheme="majorEastAsia" w:cstheme="majorBidi"/>
            <w:bCs/>
          </w:rPr>
          <w:t>Appendix 1: Research Site Report</w:t>
        </w:r>
        <w:r w:rsidR="00C121A2">
          <w:rPr>
            <w:webHidden/>
          </w:rPr>
          <w:tab/>
        </w:r>
        <w:r w:rsidR="00C121A2">
          <w:rPr>
            <w:webHidden/>
          </w:rPr>
          <w:fldChar w:fldCharType="begin"/>
        </w:r>
        <w:r w:rsidR="00C121A2">
          <w:rPr>
            <w:webHidden/>
          </w:rPr>
          <w:instrText xml:space="preserve"> PAGEREF _Toc17202478 \h </w:instrText>
        </w:r>
        <w:r w:rsidR="00C121A2">
          <w:rPr>
            <w:webHidden/>
          </w:rPr>
        </w:r>
        <w:r w:rsidR="00C121A2">
          <w:rPr>
            <w:webHidden/>
          </w:rPr>
          <w:fldChar w:fldCharType="separate"/>
        </w:r>
        <w:r w:rsidR="00D379AE">
          <w:rPr>
            <w:webHidden/>
          </w:rPr>
          <w:t>25</w:t>
        </w:r>
        <w:r w:rsidR="00C121A2">
          <w:rPr>
            <w:webHidden/>
          </w:rPr>
          <w:fldChar w:fldCharType="end"/>
        </w:r>
      </w:hyperlink>
    </w:p>
    <w:p w14:paraId="4D952EDA" w14:textId="436AC169" w:rsidR="00F6112A" w:rsidRPr="00BC4287" w:rsidRDefault="008D2799" w:rsidP="00E53E38">
      <w:pPr>
        <w:pStyle w:val="BodyText"/>
        <w:rPr>
          <w:noProof/>
        </w:rPr>
        <w:sectPr w:rsidR="00F6112A" w:rsidRPr="00BC4287" w:rsidSect="00C121A2">
          <w:headerReference w:type="even" r:id="rId18"/>
          <w:headerReference w:type="default" r:id="rId19"/>
          <w:footerReference w:type="even" r:id="rId20"/>
          <w:footerReference w:type="default" r:id="rId21"/>
          <w:headerReference w:type="first" r:id="rId22"/>
          <w:footerReference w:type="first" r:id="rId23"/>
          <w:pgSz w:w="11906" w:h="16838" w:code="9"/>
          <w:pgMar w:top="1077" w:right="1134" w:bottom="1077" w:left="1134" w:header="510" w:footer="295" w:gutter="0"/>
          <w:pgNumType w:fmt="lowerRoman" w:start="1"/>
          <w:cols w:space="284"/>
          <w:titlePg/>
          <w:docGrid w:linePitch="360"/>
        </w:sectPr>
      </w:pPr>
      <w:r w:rsidRPr="00BC4287">
        <w:rPr>
          <w:noProof/>
        </w:rPr>
        <w:fldChar w:fldCharType="end"/>
      </w:r>
    </w:p>
    <w:p w14:paraId="300F6E03" w14:textId="58E0FC9F" w:rsidR="00CD26FE" w:rsidRPr="003E4C0F" w:rsidRDefault="00BD19EE" w:rsidP="003E4C0F">
      <w:pPr>
        <w:pStyle w:val="Heading1notnumbered"/>
      </w:pPr>
      <w:bookmarkStart w:id="47" w:name="_Toc531616537"/>
      <w:bookmarkStart w:id="48" w:name="_Toc531616576"/>
      <w:bookmarkStart w:id="49" w:name="_Toc17202442"/>
      <w:bookmarkEnd w:id="41"/>
      <w:bookmarkEnd w:id="42"/>
      <w:bookmarkEnd w:id="43"/>
      <w:bookmarkEnd w:id="44"/>
      <w:bookmarkEnd w:id="45"/>
      <w:bookmarkEnd w:id="46"/>
      <w:r w:rsidRPr="003E4C0F">
        <w:rPr>
          <w:noProof/>
        </w:rPr>
        <mc:AlternateContent>
          <mc:Choice Requires="wps">
            <w:drawing>
              <wp:anchor distT="0" distB="0" distL="114300" distR="114300" simplePos="0" relativeHeight="251854336" behindDoc="0" locked="0" layoutInCell="1" allowOverlap="1" wp14:anchorId="4921FDC9" wp14:editId="2C276FCB">
                <wp:simplePos x="0" y="0"/>
                <wp:positionH relativeFrom="margin">
                  <wp:posOffset>-161925</wp:posOffset>
                </wp:positionH>
                <wp:positionV relativeFrom="paragraph">
                  <wp:posOffset>552450</wp:posOffset>
                </wp:positionV>
                <wp:extent cx="6353175" cy="6324600"/>
                <wp:effectExtent l="171450" t="171450" r="180975" b="1905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6324600"/>
                        </a:xfrm>
                        <a:prstGeom prst="rect">
                          <a:avLst/>
                        </a:prstGeom>
                        <a:solidFill>
                          <a:srgbClr val="9FAEE5">
                            <a:lumMod val="20000"/>
                            <a:lumOff val="80000"/>
                          </a:srgbClr>
                        </a:solidFill>
                        <a:ln w="28575" cap="flat" cmpd="sng" algn="ctr">
                          <a:solidFill>
                            <a:srgbClr val="00313C">
                              <a:lumMod val="90000"/>
                              <a:lumOff val="10000"/>
                            </a:srgbClr>
                          </a:solidFill>
                          <a:prstDash val="solid"/>
                          <a:headEnd/>
                          <a:tailEnd/>
                        </a:ln>
                        <a:effectLst>
                          <a:glow rad="139700">
                            <a:srgbClr val="00313C">
                              <a:satMod val="175000"/>
                              <a:alpha val="40000"/>
                            </a:srgbClr>
                          </a:glow>
                        </a:effectLst>
                        <a:scene3d>
                          <a:camera prst="orthographicFront"/>
                          <a:lightRig rig="threePt" dir="t"/>
                        </a:scene3d>
                        <a:sp3d>
                          <a:bevelT/>
                        </a:sp3d>
                      </wps:spPr>
                      <wps:txbx>
                        <w:txbxContent>
                          <w:p w14:paraId="3F0F0E3F" w14:textId="43D65965" w:rsidR="00662A36" w:rsidRPr="00D34C47" w:rsidRDefault="00662A36" w:rsidP="008B423D">
                            <w:pPr>
                              <w:spacing w:before="120" w:after="0"/>
                              <w:rPr>
                                <w:rFonts w:asciiTheme="minorHAnsi" w:hAnsiTheme="minorHAnsi" w:cstheme="minorHAnsi"/>
                                <w:i/>
                                <w:color w:val="auto"/>
                              </w:rPr>
                            </w:pPr>
                            <w:r w:rsidRPr="00D34C47">
                              <w:rPr>
                                <w:rFonts w:asciiTheme="minorHAnsi" w:hAnsiTheme="minorHAnsi" w:cstheme="minorHAnsi"/>
                                <w:i/>
                                <w:color w:val="auto"/>
                              </w:rPr>
                              <w:t>Project background</w:t>
                            </w:r>
                          </w:p>
                          <w:p w14:paraId="53B8ED7E" w14:textId="601CC17A" w:rsidR="00662A36" w:rsidRPr="009C1CAC" w:rsidRDefault="00662A36" w:rsidP="00E53E38">
                            <w:pPr>
                              <w:pStyle w:val="BodyText"/>
                              <w:numPr>
                                <w:ilvl w:val="0"/>
                                <w:numId w:val="41"/>
                              </w:numPr>
                              <w:rPr>
                                <w:rFonts w:cs="Calibri"/>
                              </w:rPr>
                            </w:pPr>
                            <w:r w:rsidRPr="009C1CAC">
                              <w:t xml:space="preserve">The Murray–Darling </w:t>
                            </w:r>
                            <w:r>
                              <w:t xml:space="preserve">Basin </w:t>
                            </w:r>
                            <w:r w:rsidRPr="009C1CAC">
                              <w:t xml:space="preserve">Environmental Water Knowledge and Research Project (MDB EWKR) was a five-year project funded by the Commonwealth Environmental Water Office in the Department of </w:t>
                            </w:r>
                            <w:r>
                              <w:t xml:space="preserve">the </w:t>
                            </w:r>
                            <w:r w:rsidRPr="009C1CAC">
                              <w:t>Environment and Energy</w:t>
                            </w:r>
                          </w:p>
                          <w:p w14:paraId="40DD851D" w14:textId="723DD5B9" w:rsidR="00662A36" w:rsidRPr="00FC1713" w:rsidRDefault="00662A36" w:rsidP="00E53E38">
                            <w:pPr>
                              <w:pStyle w:val="BodyText"/>
                              <w:numPr>
                                <w:ilvl w:val="0"/>
                                <w:numId w:val="41"/>
                              </w:numPr>
                              <w:rPr>
                                <w:rFonts w:cs="Calibri"/>
                              </w:rPr>
                            </w:pPr>
                            <w:r w:rsidRPr="009C1CAC">
                              <w:t xml:space="preserve">Research focused on four thematic areas, which were identified by </w:t>
                            </w:r>
                            <w:r>
                              <w:t xml:space="preserve">water </w:t>
                            </w:r>
                            <w:r w:rsidRPr="009C1CAC">
                              <w:t xml:space="preserve">managers as high priority knowledge gaps. These were fish, waterbirds, vegetation and food webs </w:t>
                            </w:r>
                          </w:p>
                          <w:p w14:paraId="12B373E1" w14:textId="64E9A73B" w:rsidR="00662A36" w:rsidRPr="00FC1713" w:rsidRDefault="00662A36" w:rsidP="00E53E38">
                            <w:pPr>
                              <w:pStyle w:val="BodyText"/>
                              <w:numPr>
                                <w:ilvl w:val="0"/>
                                <w:numId w:val="41"/>
                              </w:numPr>
                              <w:rPr>
                                <w:rFonts w:cs="Calibri"/>
                              </w:rPr>
                            </w:pPr>
                            <w:r>
                              <w:t>Reviews, synthesis, models, experiments and field studies were undertaken to better understand processes in the Murray Darling Basin (Basin)</w:t>
                            </w:r>
                          </w:p>
                          <w:p w14:paraId="31F3598A" w14:textId="094532B5" w:rsidR="00662A36" w:rsidRPr="009C1CAC" w:rsidRDefault="00662A36" w:rsidP="00E53E38">
                            <w:pPr>
                              <w:pStyle w:val="BodyText"/>
                              <w:numPr>
                                <w:ilvl w:val="0"/>
                                <w:numId w:val="41"/>
                              </w:numPr>
                              <w:rPr>
                                <w:rFonts w:cs="Calibri"/>
                              </w:rPr>
                            </w:pPr>
                            <w:r>
                              <w:t>The information is provided in this report for both scientists and managers as EWKR has conducted ground-breaking research that improves understanding of what we know and what remains to be discovered within each theme</w:t>
                            </w:r>
                          </w:p>
                          <w:p w14:paraId="36CE3768" w14:textId="7E9C36F1" w:rsidR="00662A36" w:rsidRPr="00D34C47" w:rsidRDefault="00662A36" w:rsidP="00E53E38">
                            <w:pPr>
                              <w:pStyle w:val="BodyText"/>
                            </w:pPr>
                            <w:r w:rsidRPr="00D34C47">
                              <w:t>Key EWKR findings:</w:t>
                            </w:r>
                          </w:p>
                          <w:p w14:paraId="0E877922" w14:textId="60329957" w:rsidR="00662A36" w:rsidRPr="009C1CAC" w:rsidRDefault="00662A36" w:rsidP="004D73FA">
                            <w:pPr>
                              <w:pStyle w:val="ListParagraph"/>
                            </w:pPr>
                            <w:r w:rsidRPr="009C1CAC">
                              <w:t>Floodplain inundation is crucial to provide the highest quality resources for riverine foodwebs</w:t>
                            </w:r>
                          </w:p>
                          <w:p w14:paraId="10319957" w14:textId="5C2D9387" w:rsidR="00662A36" w:rsidRPr="009C1CAC" w:rsidRDefault="00662A36" w:rsidP="004D73FA">
                            <w:pPr>
                              <w:pStyle w:val="ListParagraph"/>
                            </w:pPr>
                            <w:r w:rsidRPr="009C1CAC">
                              <w:t xml:space="preserve">Processes within the </w:t>
                            </w:r>
                            <w:r>
                              <w:t>Basin</w:t>
                            </w:r>
                            <w:r w:rsidRPr="009C1CAC">
                              <w:t xml:space="preserve"> operate at a myriad of scales so managing a river for recruitment or dispersal</w:t>
                            </w:r>
                            <w:r>
                              <w:t>,</w:t>
                            </w:r>
                            <w:r w:rsidRPr="009C1CAC">
                              <w:t xml:space="preserve"> for example requires information at each scale</w:t>
                            </w:r>
                            <w:r>
                              <w:t xml:space="preserve"> (i.e. site, catchment, basin)</w:t>
                            </w:r>
                          </w:p>
                          <w:p w14:paraId="13E939A3" w14:textId="1243DF55" w:rsidR="00662A36" w:rsidRPr="009C1CAC" w:rsidRDefault="00662A36" w:rsidP="004D73FA">
                            <w:pPr>
                              <w:pStyle w:val="ListParagraph"/>
                            </w:pPr>
                            <w:r w:rsidRPr="009C1CAC">
                              <w:t>Connectivity of rivers, habitats and catchments is needed to ensure the movement of organisms and resources across the Basin</w:t>
                            </w:r>
                          </w:p>
                          <w:p w14:paraId="50DB6F62" w14:textId="5B817BE1" w:rsidR="00662A36" w:rsidRPr="00D34C47" w:rsidRDefault="00662A36" w:rsidP="004D73FA">
                            <w:pPr>
                              <w:pStyle w:val="ListParagraph"/>
                            </w:pPr>
                            <w:r w:rsidRPr="00D34C47">
                              <w:t xml:space="preserve">Improvements in habitat quality can be influenced by flow management and </w:t>
                            </w:r>
                            <w:r w:rsidRPr="000D4E7C">
                              <w:t>resource management</w:t>
                            </w:r>
                            <w:r w:rsidRPr="00D34C47">
                              <w:t xml:space="preserve"> e.g. by providing flows that promote fish movement or</w:t>
                            </w:r>
                            <w:r>
                              <w:t xml:space="preserve"> improve</w:t>
                            </w:r>
                            <w:r w:rsidRPr="00D34C47">
                              <w:t xml:space="preserve"> the </w:t>
                            </w:r>
                            <w:r>
                              <w:t>structural complexity</w:t>
                            </w:r>
                            <w:r w:rsidRPr="00D34C47">
                              <w:t xml:space="preserve"> within rivers</w:t>
                            </w:r>
                          </w:p>
                          <w:p w14:paraId="197F97E6" w14:textId="66BD9F10" w:rsidR="00662A36" w:rsidRDefault="00662A36" w:rsidP="004D73FA">
                            <w:pPr>
                              <w:pStyle w:val="ListParagraph"/>
                            </w:pPr>
                            <w:r w:rsidRPr="009C1CAC">
                              <w:t>There is no one correct way to manage the Basin. The ‘boom and bust’ variability of unregulated Australian rivers needs to be mimicked to provide the maximum opportunity for all life history strategies</w:t>
                            </w:r>
                          </w:p>
                          <w:p w14:paraId="138C050D" w14:textId="4007DCCC" w:rsidR="00662A36" w:rsidRPr="009C1CAC" w:rsidRDefault="00662A36" w:rsidP="004D73FA">
                            <w:pPr>
                              <w:pStyle w:val="ListParagraph"/>
                            </w:pPr>
                            <w:r>
                              <w:t>Projects such as EWKR have value beyond the performance of research projects as they provide a unique opportunity for the formation of collaborations, networks and research directions between groups of scientists, and between scientists and water managers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1FDC9" id="Text Box 2" o:spid="_x0000_s1027" type="#_x0000_t202" style="position:absolute;margin-left:-12.75pt;margin-top:43.5pt;width:500.25pt;height:498pt;z-index:25185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" fillcolor="#eceffa" strokecolor="#005669" strokeweight="2.25pt">
                <v:textbox>
                  <w:txbxContent>
                    <w:p w14:paraId="3F0F0E3F" w14:textId="43D65965" w:rsidR="00662A36" w:rsidRPr="00D34C47" w:rsidRDefault="00662A36" w:rsidP="008B423D">
                      <w:pPr>
                        <w:spacing w:before="120" w:after="0"/>
                        <w:rPr>
                          <w:rFonts w:asciiTheme="minorHAnsi" w:hAnsiTheme="minorHAnsi" w:cstheme="minorHAnsi"/>
                          <w:i/>
                          <w:color w:val="auto"/>
                        </w:rPr>
                      </w:pPr>
                      <w:r w:rsidRPr="00D34C47">
                        <w:rPr>
                          <w:rFonts w:asciiTheme="minorHAnsi" w:hAnsiTheme="minorHAnsi" w:cstheme="minorHAnsi"/>
                          <w:i/>
                          <w:color w:val="auto"/>
                        </w:rPr>
                        <w:t>Project background</w:t>
                      </w:r>
                    </w:p>
                    <w:p w14:paraId="53B8ED7E" w14:textId="601CC17A" w:rsidR="00662A36" w:rsidRPr="009C1CAC" w:rsidRDefault="00662A36" w:rsidP="00E53E38">
                      <w:pPr>
                        <w:pStyle w:val="BodyText"/>
                        <w:numPr>
                          <w:ilvl w:val="0"/>
                          <w:numId w:val="41"/>
                        </w:numPr>
                        <w:rPr>
                          <w:rFonts w:cs="Calibri"/>
                        </w:rPr>
                      </w:pPr>
                      <w:r w:rsidRPr="009C1CAC">
                        <w:t xml:space="preserve">The Murray–Darling </w:t>
                      </w:r>
                      <w:r>
                        <w:t xml:space="preserve">Basin </w:t>
                      </w:r>
                      <w:r w:rsidRPr="009C1CAC">
                        <w:t xml:space="preserve">Environmental Water Knowledge and Research Project (MDB EWKR) was a five-year project funded by the Commonwealth Environmental Water Office in the Department of </w:t>
                      </w:r>
                      <w:r>
                        <w:t xml:space="preserve">the </w:t>
                      </w:r>
                      <w:r w:rsidRPr="009C1CAC">
                        <w:t>Environment and Energy</w:t>
                      </w:r>
                    </w:p>
                    <w:p w14:paraId="40DD851D" w14:textId="723DD5B9" w:rsidR="00662A36" w:rsidRPr="00FC1713" w:rsidRDefault="00662A36" w:rsidP="00E53E38">
                      <w:pPr>
                        <w:pStyle w:val="BodyText"/>
                        <w:numPr>
                          <w:ilvl w:val="0"/>
                          <w:numId w:val="41"/>
                        </w:numPr>
                        <w:rPr>
                          <w:rFonts w:cs="Calibri"/>
                        </w:rPr>
                      </w:pPr>
                      <w:r w:rsidRPr="009C1CAC">
                        <w:t xml:space="preserve">Research focused on four thematic areas, which were identified by </w:t>
                      </w:r>
                      <w:r>
                        <w:t xml:space="preserve">water </w:t>
                      </w:r>
                      <w:r w:rsidRPr="009C1CAC">
                        <w:t xml:space="preserve">managers as high priority knowledge gaps. These were fish, waterbirds, vegetation and food webs </w:t>
                      </w:r>
                    </w:p>
                    <w:p w14:paraId="12B373E1" w14:textId="64E9A73B" w:rsidR="00662A36" w:rsidRPr="00FC1713" w:rsidRDefault="00662A36" w:rsidP="00E53E38">
                      <w:pPr>
                        <w:pStyle w:val="BodyText"/>
                        <w:numPr>
                          <w:ilvl w:val="0"/>
                          <w:numId w:val="41"/>
                        </w:numPr>
                        <w:rPr>
                          <w:rFonts w:cs="Calibri"/>
                        </w:rPr>
                      </w:pPr>
                      <w:r>
                        <w:t>Reviews, synthesis, models, experiments and field studies were undertaken to better understand processes in the Murray Darling Basin (Basin)</w:t>
                      </w:r>
                    </w:p>
                    <w:p w14:paraId="31F3598A" w14:textId="094532B5" w:rsidR="00662A36" w:rsidRPr="009C1CAC" w:rsidRDefault="00662A36" w:rsidP="00E53E38">
                      <w:pPr>
                        <w:pStyle w:val="BodyText"/>
                        <w:numPr>
                          <w:ilvl w:val="0"/>
                          <w:numId w:val="41"/>
                        </w:numPr>
                        <w:rPr>
                          <w:rFonts w:cs="Calibri"/>
                        </w:rPr>
                      </w:pPr>
                      <w:r>
                        <w:t>The information is provided in this report for both scientists and managers as EWKR has conducted ground-breaking research that improves understanding of what we know and what remains to be discovered within each theme</w:t>
                      </w:r>
                    </w:p>
                    <w:p w14:paraId="36CE3768" w14:textId="7E9C36F1" w:rsidR="00662A36" w:rsidRPr="00D34C47" w:rsidRDefault="00662A36" w:rsidP="00E53E38">
                      <w:pPr>
                        <w:pStyle w:val="BodyText"/>
                      </w:pPr>
                      <w:r w:rsidRPr="00D34C47">
                        <w:t>Key EWKR findings:</w:t>
                      </w:r>
                    </w:p>
                    <w:p w14:paraId="0E877922" w14:textId="60329957" w:rsidR="00662A36" w:rsidRPr="009C1CAC" w:rsidRDefault="00662A36" w:rsidP="004D73FA">
                      <w:pPr>
                        <w:pStyle w:val="ListParagraph"/>
                      </w:pPr>
                      <w:r w:rsidRPr="009C1CAC">
                        <w:t>Floodplain inundation is crucial to provide the highest quality resources for riverine foodwebs</w:t>
                      </w:r>
                    </w:p>
                    <w:p w14:paraId="10319957" w14:textId="5C2D9387" w:rsidR="00662A36" w:rsidRPr="009C1CAC" w:rsidRDefault="00662A36" w:rsidP="004D73FA">
                      <w:pPr>
                        <w:pStyle w:val="ListParagraph"/>
                      </w:pPr>
                      <w:r w:rsidRPr="009C1CAC">
                        <w:t xml:space="preserve">Processes within the </w:t>
                      </w:r>
                      <w:r>
                        <w:t>Basin</w:t>
                      </w:r>
                      <w:r w:rsidRPr="009C1CAC">
                        <w:t xml:space="preserve"> operate at a myriad of scales so managing a river for recruitment or dispersal</w:t>
                      </w:r>
                      <w:r>
                        <w:t>,</w:t>
                      </w:r>
                      <w:r w:rsidRPr="009C1CAC">
                        <w:t xml:space="preserve"> for example requires information at each scale</w:t>
                      </w:r>
                      <w:r>
                        <w:t xml:space="preserve"> (i.e. site, catchment, basin)</w:t>
                      </w:r>
                    </w:p>
                    <w:p w14:paraId="13E939A3" w14:textId="1243DF55" w:rsidR="00662A36" w:rsidRPr="009C1CAC" w:rsidRDefault="00662A36" w:rsidP="004D73FA">
                      <w:pPr>
                        <w:pStyle w:val="ListParagraph"/>
                      </w:pPr>
                      <w:r w:rsidRPr="009C1CAC">
                        <w:t>Connectivity of rivers, habitats and catchments is needed to ensure the movement of organisms and resources across the Basin</w:t>
                      </w:r>
                    </w:p>
                    <w:p w14:paraId="50DB6F62" w14:textId="5B817BE1" w:rsidR="00662A36" w:rsidRPr="00D34C47" w:rsidRDefault="00662A36" w:rsidP="004D73FA">
                      <w:pPr>
                        <w:pStyle w:val="ListParagraph"/>
                      </w:pPr>
                      <w:r w:rsidRPr="00D34C47">
                        <w:t xml:space="preserve">Improvements in habitat quality can be influenced by flow management and </w:t>
                      </w:r>
                      <w:r w:rsidRPr="000D4E7C">
                        <w:t>resource management</w:t>
                      </w:r>
                      <w:r w:rsidRPr="00D34C47">
                        <w:t xml:space="preserve"> e.g. by providing flows that promote fish movement or</w:t>
                      </w:r>
                      <w:r>
                        <w:t xml:space="preserve"> improve</w:t>
                      </w:r>
                      <w:r w:rsidRPr="00D34C47">
                        <w:t xml:space="preserve"> the </w:t>
                      </w:r>
                      <w:r>
                        <w:t>structural complexity</w:t>
                      </w:r>
                      <w:r w:rsidRPr="00D34C47">
                        <w:t xml:space="preserve"> within rivers</w:t>
                      </w:r>
                    </w:p>
                    <w:p w14:paraId="197F97E6" w14:textId="66BD9F10" w:rsidR="00662A36" w:rsidRDefault="00662A36" w:rsidP="004D73FA">
                      <w:pPr>
                        <w:pStyle w:val="ListParagraph"/>
                      </w:pPr>
                      <w:r w:rsidRPr="009C1CAC">
                        <w:t>There is no one correct way to manage the Basin. The ‘boom and bust’ variability of unregulated Australian rivers needs to be mimicked to provide the maximum opportunity for all life history strategies</w:t>
                      </w:r>
                    </w:p>
                    <w:p w14:paraId="138C050D" w14:textId="4007DCCC" w:rsidR="00662A36" w:rsidRPr="009C1CAC" w:rsidRDefault="00662A36" w:rsidP="004D73FA">
                      <w:pPr>
                        <w:pStyle w:val="ListParagraph"/>
                      </w:pPr>
                      <w:r>
                        <w:t>Projects such as EWKR have value beyond the performance of research projects as they provide a unique opportunity for the formation of collaborations, networks and research directions between groups of scientists, and between scientists and water managers</w:t>
                      </w:r>
                    </w:p>
                  </w:txbxContent>
                </v:textbox>
                <w10:wrap anchorx="margin"/>
              </v:shape>
            </w:pict>
          </mc:Fallback>
        </mc:AlternateContent>
      </w:r>
      <w:r w:rsidR="005853A6" w:rsidRPr="003E4C0F">
        <w:t>Executive Summary</w:t>
      </w:r>
      <w:bookmarkEnd w:id="47"/>
      <w:bookmarkEnd w:id="48"/>
      <w:bookmarkEnd w:id="49"/>
    </w:p>
    <w:p w14:paraId="424F9B79" w14:textId="0DCDD5C1" w:rsidR="005853A6" w:rsidRPr="00662A36" w:rsidRDefault="005F395C" w:rsidP="00662A36">
      <w:pPr>
        <w:pStyle w:val="Heading1"/>
      </w:pPr>
      <w:bookmarkStart w:id="50" w:name="_Toc17202443"/>
      <w:bookmarkStart w:id="51" w:name="_Toc459635978"/>
      <w:bookmarkStart w:id="52" w:name="_Toc459636088"/>
      <w:bookmarkStart w:id="53" w:name="_Toc459636873"/>
      <w:bookmarkStart w:id="54" w:name="_Toc459637435"/>
      <w:bookmarkStart w:id="55" w:name="_Toc463434382"/>
      <w:bookmarkStart w:id="56" w:name="_Toc463434447"/>
      <w:bookmarkStart w:id="57" w:name="_Toc515371656"/>
      <w:r w:rsidRPr="00662A36">
        <w:t>Project Details</w:t>
      </w:r>
      <w:bookmarkEnd w:id="50"/>
    </w:p>
    <w:p w14:paraId="34248656" w14:textId="2DCCC70B" w:rsidR="005F395C" w:rsidRPr="00BC4287" w:rsidRDefault="00E22F46" w:rsidP="001C7655">
      <w:pPr>
        <w:pStyle w:val="Heading2"/>
      </w:pPr>
      <w:bookmarkStart w:id="58" w:name="_Toc17202444"/>
      <w:r>
        <w:t xml:space="preserve">1.1 </w:t>
      </w:r>
      <w:r w:rsidR="005F395C" w:rsidRPr="00BC4287">
        <w:t>Background</w:t>
      </w:r>
      <w:bookmarkEnd w:id="58"/>
    </w:p>
    <w:p w14:paraId="2CB31C02" w14:textId="44BD4BAC" w:rsidR="00A86DD8" w:rsidRPr="00BC4287" w:rsidRDefault="00A86DD8" w:rsidP="00BC4287">
      <w:pPr>
        <w:rPr>
          <w:rFonts w:asciiTheme="minorHAnsi" w:eastAsiaTheme="minorHAnsi" w:hAnsiTheme="minorHAnsi" w:cstheme="minorHAnsi"/>
        </w:rPr>
      </w:pPr>
      <w:bookmarkStart w:id="59" w:name="_Hlk11931551"/>
      <w:r w:rsidRPr="00BC4287">
        <w:rPr>
          <w:rFonts w:asciiTheme="minorHAnsi" w:eastAsiaTheme="minorHAnsi" w:hAnsiTheme="minorHAnsi" w:cstheme="minorHAnsi"/>
        </w:rPr>
        <w:t xml:space="preserve">The Murray–Darling </w:t>
      </w:r>
      <w:r w:rsidR="00BE5A56">
        <w:rPr>
          <w:rFonts w:asciiTheme="minorHAnsi" w:eastAsiaTheme="minorHAnsi" w:hAnsiTheme="minorHAnsi" w:cstheme="minorHAnsi"/>
        </w:rPr>
        <w:t xml:space="preserve">Basin </w:t>
      </w:r>
      <w:r w:rsidRPr="00BC4287">
        <w:rPr>
          <w:rFonts w:asciiTheme="minorHAnsi" w:eastAsiaTheme="minorHAnsi" w:hAnsiTheme="minorHAnsi" w:cstheme="minorHAnsi"/>
        </w:rPr>
        <w:t xml:space="preserve">Environmental Water Knowledge and Research Project (MDB EWKR) was a </w:t>
      </w:r>
      <w:r w:rsidR="004833E0" w:rsidRPr="00BC4287">
        <w:rPr>
          <w:rFonts w:asciiTheme="minorHAnsi" w:eastAsiaTheme="minorHAnsi" w:hAnsiTheme="minorHAnsi" w:cstheme="minorHAnsi"/>
        </w:rPr>
        <w:t>five-year</w:t>
      </w:r>
      <w:r w:rsidRPr="00BC4287">
        <w:rPr>
          <w:rFonts w:asciiTheme="minorHAnsi" w:eastAsiaTheme="minorHAnsi" w:hAnsiTheme="minorHAnsi" w:cstheme="minorHAnsi"/>
        </w:rPr>
        <w:t xml:space="preserve"> project </w:t>
      </w:r>
      <w:r w:rsidR="00006C9B" w:rsidRPr="00BC4287">
        <w:rPr>
          <w:rFonts w:asciiTheme="minorHAnsi" w:eastAsiaTheme="minorHAnsi" w:hAnsiTheme="minorHAnsi" w:cstheme="minorHAnsi"/>
        </w:rPr>
        <w:t xml:space="preserve">funded by the Commonwealth Environmental Water Office in the Department of </w:t>
      </w:r>
      <w:r w:rsidR="00575499" w:rsidRPr="00BC4287">
        <w:rPr>
          <w:rFonts w:asciiTheme="minorHAnsi" w:eastAsiaTheme="minorHAnsi" w:hAnsiTheme="minorHAnsi" w:cstheme="minorHAnsi"/>
        </w:rPr>
        <w:t xml:space="preserve">the </w:t>
      </w:r>
      <w:r w:rsidR="00006C9B" w:rsidRPr="00BC4287">
        <w:rPr>
          <w:rFonts w:asciiTheme="minorHAnsi" w:eastAsiaTheme="minorHAnsi" w:hAnsiTheme="minorHAnsi" w:cstheme="minorHAnsi"/>
        </w:rPr>
        <w:t xml:space="preserve">Environment and Energy. </w:t>
      </w:r>
      <w:bookmarkEnd w:id="59"/>
      <w:r w:rsidR="00006C9B" w:rsidRPr="00BC4287">
        <w:rPr>
          <w:rFonts w:asciiTheme="minorHAnsi" w:eastAsiaTheme="minorHAnsi" w:hAnsiTheme="minorHAnsi" w:cstheme="minorHAnsi"/>
        </w:rPr>
        <w:t xml:space="preserve">The project was </w:t>
      </w:r>
      <w:r w:rsidRPr="00BC4287">
        <w:rPr>
          <w:rFonts w:asciiTheme="minorHAnsi" w:eastAsiaTheme="minorHAnsi" w:hAnsiTheme="minorHAnsi" w:cstheme="minorHAnsi"/>
        </w:rPr>
        <w:t>coordinated by the Centre for Freshwater Ecosystems at La Trobe University (formerly the Murray</w:t>
      </w:r>
      <w:r w:rsidR="00CA3B0E">
        <w:rPr>
          <w:rFonts w:asciiTheme="minorHAnsi" w:eastAsiaTheme="minorHAnsi" w:hAnsiTheme="minorHAnsi" w:cstheme="minorHAnsi"/>
        </w:rPr>
        <w:t>-</w:t>
      </w:r>
      <w:r w:rsidRPr="00BC4287">
        <w:rPr>
          <w:rFonts w:asciiTheme="minorHAnsi" w:eastAsiaTheme="minorHAnsi" w:hAnsiTheme="minorHAnsi" w:cstheme="minorHAnsi"/>
        </w:rPr>
        <w:t xml:space="preserve">Darling Freshwater Research Centre). </w:t>
      </w:r>
      <w:r w:rsidR="003C315C" w:rsidRPr="00BC4287">
        <w:rPr>
          <w:rFonts w:asciiTheme="minorHAnsi" w:eastAsiaTheme="minorHAnsi" w:hAnsiTheme="minorHAnsi" w:cstheme="minorHAnsi"/>
        </w:rPr>
        <w:t xml:space="preserve">The project was undertaken in collaboration with scientists from a range of research </w:t>
      </w:r>
      <w:r w:rsidR="00E5660A">
        <w:rPr>
          <w:rFonts w:asciiTheme="minorHAnsi" w:eastAsiaTheme="minorHAnsi" w:hAnsiTheme="minorHAnsi" w:cstheme="minorHAnsi"/>
        </w:rPr>
        <w:t>organisations</w:t>
      </w:r>
      <w:r w:rsidR="00ED40C4" w:rsidRPr="00BC4287">
        <w:rPr>
          <w:rFonts w:asciiTheme="minorHAnsi" w:eastAsiaTheme="minorHAnsi" w:hAnsiTheme="minorHAnsi" w:cstheme="minorHAnsi"/>
        </w:rPr>
        <w:t>.</w:t>
      </w:r>
      <w:r w:rsidR="00006C9B" w:rsidRPr="00BC4287">
        <w:rPr>
          <w:rFonts w:asciiTheme="minorHAnsi" w:eastAsiaTheme="minorHAnsi" w:hAnsiTheme="minorHAnsi" w:cstheme="minorHAnsi"/>
        </w:rPr>
        <w:t xml:space="preserve"> </w:t>
      </w:r>
      <w:r w:rsidR="00ED40C4" w:rsidRPr="00BC4287">
        <w:rPr>
          <w:rFonts w:asciiTheme="minorHAnsi" w:eastAsiaTheme="minorHAnsi" w:hAnsiTheme="minorHAnsi" w:cstheme="minorHAnsi"/>
        </w:rPr>
        <w:t>It commenced</w:t>
      </w:r>
      <w:r w:rsidR="003C315C" w:rsidRPr="00BC4287">
        <w:rPr>
          <w:rFonts w:asciiTheme="minorHAnsi" w:eastAsiaTheme="minorHAnsi" w:hAnsiTheme="minorHAnsi" w:cstheme="minorHAnsi"/>
        </w:rPr>
        <w:t xml:space="preserve"> in June of 2014 and </w:t>
      </w:r>
      <w:r w:rsidR="00575499" w:rsidRPr="00BC4287">
        <w:rPr>
          <w:rFonts w:asciiTheme="minorHAnsi" w:eastAsiaTheme="minorHAnsi" w:hAnsiTheme="minorHAnsi" w:cstheme="minorHAnsi"/>
        </w:rPr>
        <w:t xml:space="preserve">concluded </w:t>
      </w:r>
      <w:r w:rsidR="003C315C" w:rsidRPr="00BC4287">
        <w:rPr>
          <w:rFonts w:asciiTheme="minorHAnsi" w:eastAsiaTheme="minorHAnsi" w:hAnsiTheme="minorHAnsi" w:cstheme="minorHAnsi"/>
        </w:rPr>
        <w:t xml:space="preserve">in June of 2019. Phase </w:t>
      </w:r>
      <w:r w:rsidR="00E5660A">
        <w:rPr>
          <w:rFonts w:asciiTheme="minorHAnsi" w:eastAsiaTheme="minorHAnsi" w:hAnsiTheme="minorHAnsi" w:cstheme="minorHAnsi"/>
        </w:rPr>
        <w:t>1</w:t>
      </w:r>
      <w:r w:rsidR="003C315C" w:rsidRPr="00BC4287">
        <w:rPr>
          <w:rFonts w:asciiTheme="minorHAnsi" w:eastAsiaTheme="minorHAnsi" w:hAnsiTheme="minorHAnsi" w:cstheme="minorHAnsi"/>
        </w:rPr>
        <w:t xml:space="preserve"> of the project</w:t>
      </w:r>
      <w:r w:rsidR="00ED40C4" w:rsidRPr="00BC4287">
        <w:rPr>
          <w:rFonts w:asciiTheme="minorHAnsi" w:eastAsiaTheme="minorHAnsi" w:hAnsiTheme="minorHAnsi" w:cstheme="minorHAnsi"/>
        </w:rPr>
        <w:t xml:space="preserve"> included planning of the research</w:t>
      </w:r>
      <w:r w:rsidR="003C315C" w:rsidRPr="00BC4287">
        <w:rPr>
          <w:rFonts w:asciiTheme="minorHAnsi" w:eastAsiaTheme="minorHAnsi" w:hAnsiTheme="minorHAnsi" w:cstheme="minorHAnsi"/>
        </w:rPr>
        <w:t xml:space="preserve"> during which stakeholders from the scientific community, managers and practitioners were engaged to identify potential research priorities and questions. Once these were chosen, research collaborators were selected, and </w:t>
      </w:r>
      <w:r w:rsidR="00E5660A">
        <w:rPr>
          <w:rFonts w:asciiTheme="minorHAnsi" w:eastAsiaTheme="minorHAnsi" w:hAnsiTheme="minorHAnsi" w:cstheme="minorHAnsi"/>
        </w:rPr>
        <w:t xml:space="preserve">the </w:t>
      </w:r>
      <w:r w:rsidR="003C315C" w:rsidRPr="00BC4287">
        <w:rPr>
          <w:rFonts w:asciiTheme="minorHAnsi" w:eastAsiaTheme="minorHAnsi" w:hAnsiTheme="minorHAnsi" w:cstheme="minorHAnsi"/>
        </w:rPr>
        <w:t xml:space="preserve">research planning process began. </w:t>
      </w:r>
    </w:p>
    <w:p w14:paraId="1F8DC25C" w14:textId="2DDEADC3" w:rsidR="004833E0" w:rsidRPr="00BC4287" w:rsidRDefault="004833E0" w:rsidP="00BC4287">
      <w:pPr>
        <w:rPr>
          <w:rFonts w:asciiTheme="minorHAnsi" w:eastAsiaTheme="minorHAnsi" w:hAnsiTheme="minorHAnsi" w:cstheme="minorHAnsi"/>
        </w:rPr>
      </w:pPr>
      <w:r w:rsidRPr="00BC4287">
        <w:rPr>
          <w:rFonts w:asciiTheme="minorHAnsi" w:eastAsiaTheme="minorHAnsi" w:hAnsiTheme="minorHAnsi" w:cstheme="minorHAnsi"/>
        </w:rPr>
        <w:t xml:space="preserve">Phase 2 of the project commenced in May 2015 when the first multi-year research </w:t>
      </w:r>
      <w:r w:rsidR="00E5660A">
        <w:rPr>
          <w:rFonts w:asciiTheme="minorHAnsi" w:eastAsiaTheme="minorHAnsi" w:hAnsiTheme="minorHAnsi" w:cstheme="minorHAnsi"/>
        </w:rPr>
        <w:t>plan</w:t>
      </w:r>
      <w:r w:rsidRPr="00BC4287">
        <w:rPr>
          <w:rFonts w:asciiTheme="minorHAnsi" w:eastAsiaTheme="minorHAnsi" w:hAnsiTheme="minorHAnsi" w:cstheme="minorHAnsi"/>
        </w:rPr>
        <w:t>, Annual Research Plan (for 2015/16) and site descriptions were drafted</w:t>
      </w:r>
      <w:r w:rsidR="00AA68DF" w:rsidRPr="00BC4287">
        <w:rPr>
          <w:rFonts w:asciiTheme="minorHAnsi" w:eastAsiaTheme="minorHAnsi" w:hAnsiTheme="minorHAnsi" w:cstheme="minorHAnsi"/>
        </w:rPr>
        <w:t xml:space="preserve"> (MDFRC, 2015, MDFRC, 2016)</w:t>
      </w:r>
      <w:r w:rsidR="00DC6109" w:rsidRPr="00BC4287">
        <w:rPr>
          <w:rFonts w:asciiTheme="minorHAnsi" w:eastAsiaTheme="minorHAnsi" w:hAnsiTheme="minorHAnsi" w:cstheme="minorHAnsi"/>
        </w:rPr>
        <w:t xml:space="preserve">. </w:t>
      </w:r>
      <w:r w:rsidRPr="00BC4287">
        <w:rPr>
          <w:rFonts w:asciiTheme="minorHAnsi" w:eastAsiaTheme="minorHAnsi" w:hAnsiTheme="minorHAnsi" w:cstheme="minorHAnsi"/>
        </w:rPr>
        <w:t xml:space="preserve"> </w:t>
      </w:r>
      <w:r w:rsidR="00DC6109" w:rsidRPr="00BC4287">
        <w:rPr>
          <w:rFonts w:asciiTheme="minorHAnsi" w:eastAsiaTheme="minorHAnsi" w:hAnsiTheme="minorHAnsi" w:cstheme="minorHAnsi"/>
        </w:rPr>
        <w:t>Plans were</w:t>
      </w:r>
      <w:r w:rsidRPr="00BC4287">
        <w:rPr>
          <w:rFonts w:asciiTheme="minorHAnsi" w:eastAsiaTheme="minorHAnsi" w:hAnsiTheme="minorHAnsi" w:cstheme="minorHAnsi"/>
        </w:rPr>
        <w:t xml:space="preserve"> </w:t>
      </w:r>
      <w:r w:rsidR="00E246B2" w:rsidRPr="00BC4287">
        <w:rPr>
          <w:rFonts w:asciiTheme="minorHAnsi" w:eastAsiaTheme="minorHAnsi" w:hAnsiTheme="minorHAnsi" w:cstheme="minorHAnsi"/>
        </w:rPr>
        <w:t>finalised</w:t>
      </w:r>
      <w:r w:rsidRPr="00BC4287">
        <w:rPr>
          <w:rFonts w:asciiTheme="minorHAnsi" w:eastAsiaTheme="minorHAnsi" w:hAnsiTheme="minorHAnsi" w:cstheme="minorHAnsi"/>
        </w:rPr>
        <w:t xml:space="preserve"> in 2016</w:t>
      </w:r>
      <w:r w:rsidR="007F31D0" w:rsidRPr="00BC4287">
        <w:rPr>
          <w:rFonts w:asciiTheme="minorHAnsi" w:eastAsiaTheme="minorHAnsi" w:hAnsiTheme="minorHAnsi" w:cstheme="minorHAnsi"/>
        </w:rPr>
        <w:t xml:space="preserve"> and 2017</w:t>
      </w:r>
      <w:r w:rsidR="00DC6109" w:rsidRPr="00BC4287">
        <w:rPr>
          <w:rFonts w:asciiTheme="minorHAnsi" w:eastAsiaTheme="minorHAnsi" w:hAnsiTheme="minorHAnsi" w:cstheme="minorHAnsi"/>
        </w:rPr>
        <w:t xml:space="preserve"> and subcontracts were executed</w:t>
      </w:r>
      <w:r w:rsidRPr="00BC4287">
        <w:rPr>
          <w:rFonts w:asciiTheme="minorHAnsi" w:eastAsiaTheme="minorHAnsi" w:hAnsiTheme="minorHAnsi" w:cstheme="minorHAnsi"/>
        </w:rPr>
        <w:t xml:space="preserve">. </w:t>
      </w:r>
      <w:r w:rsidR="00006C9B" w:rsidRPr="00BC4287">
        <w:rPr>
          <w:rFonts w:asciiTheme="minorHAnsi" w:eastAsiaTheme="minorHAnsi" w:hAnsiTheme="minorHAnsi" w:cstheme="minorHAnsi"/>
        </w:rPr>
        <w:t>Research plans</w:t>
      </w:r>
      <w:r w:rsidRPr="00BC4287">
        <w:rPr>
          <w:rFonts w:asciiTheme="minorHAnsi" w:eastAsiaTheme="minorHAnsi" w:hAnsiTheme="minorHAnsi" w:cstheme="minorHAnsi"/>
        </w:rPr>
        <w:t xml:space="preserve"> outlined what the research would be for </w:t>
      </w:r>
      <w:r w:rsidR="00006C9B" w:rsidRPr="00BC4287">
        <w:rPr>
          <w:rFonts w:asciiTheme="minorHAnsi" w:eastAsiaTheme="minorHAnsi" w:hAnsiTheme="minorHAnsi" w:cstheme="minorHAnsi"/>
        </w:rPr>
        <w:t xml:space="preserve">each </w:t>
      </w:r>
      <w:r w:rsidR="004F189A" w:rsidRPr="00BC4287">
        <w:rPr>
          <w:rFonts w:asciiTheme="minorHAnsi" w:eastAsiaTheme="minorHAnsi" w:hAnsiTheme="minorHAnsi" w:cstheme="minorHAnsi"/>
        </w:rPr>
        <w:t>theme</w:t>
      </w:r>
      <w:r w:rsidR="00006C9B" w:rsidRPr="00BC4287">
        <w:rPr>
          <w:rFonts w:asciiTheme="minorHAnsi" w:eastAsiaTheme="minorHAnsi" w:hAnsiTheme="minorHAnsi" w:cstheme="minorHAnsi"/>
        </w:rPr>
        <w:t xml:space="preserve"> of the</w:t>
      </w:r>
      <w:r w:rsidRPr="00BC4287">
        <w:rPr>
          <w:rFonts w:asciiTheme="minorHAnsi" w:eastAsiaTheme="minorHAnsi" w:hAnsiTheme="minorHAnsi" w:cstheme="minorHAnsi"/>
        </w:rPr>
        <w:t xml:space="preserve"> project, where it would occur, how and why. These documents were updated throughout the life of the project. As with any large, collaborative project, priorities and plans were changed as methods and processes were trialled and </w:t>
      </w:r>
      <w:r w:rsidR="00E5660A">
        <w:rPr>
          <w:rFonts w:asciiTheme="minorHAnsi" w:eastAsiaTheme="minorHAnsi" w:hAnsiTheme="minorHAnsi" w:cstheme="minorHAnsi"/>
        </w:rPr>
        <w:t>refined</w:t>
      </w:r>
      <w:r w:rsidR="00E5660A" w:rsidRPr="00BC4287">
        <w:rPr>
          <w:rFonts w:asciiTheme="minorHAnsi" w:eastAsiaTheme="minorHAnsi" w:hAnsiTheme="minorHAnsi" w:cstheme="minorHAnsi"/>
        </w:rPr>
        <w:t xml:space="preserve"> </w:t>
      </w:r>
      <w:r w:rsidRPr="00BC4287">
        <w:rPr>
          <w:rFonts w:asciiTheme="minorHAnsi" w:eastAsiaTheme="minorHAnsi" w:hAnsiTheme="minorHAnsi" w:cstheme="minorHAnsi"/>
        </w:rPr>
        <w:t>for greater efficiency</w:t>
      </w:r>
      <w:r w:rsidR="00006C9B" w:rsidRPr="00BC4287">
        <w:rPr>
          <w:rFonts w:asciiTheme="minorHAnsi" w:eastAsiaTheme="minorHAnsi" w:hAnsiTheme="minorHAnsi" w:cstheme="minorHAnsi"/>
        </w:rPr>
        <w:t xml:space="preserve"> and knowledge gain</w:t>
      </w:r>
      <w:r w:rsidRPr="00BC4287">
        <w:rPr>
          <w:rFonts w:asciiTheme="minorHAnsi" w:eastAsiaTheme="minorHAnsi" w:hAnsiTheme="minorHAnsi" w:cstheme="minorHAnsi"/>
        </w:rPr>
        <w:t xml:space="preserve">. </w:t>
      </w:r>
    </w:p>
    <w:p w14:paraId="47A6E8D8" w14:textId="1BC622DB" w:rsidR="00455456" w:rsidRPr="00BC4287" w:rsidRDefault="00455456" w:rsidP="00BC4287">
      <w:pPr>
        <w:rPr>
          <w:rFonts w:asciiTheme="minorHAnsi" w:eastAsiaTheme="minorHAnsi" w:hAnsiTheme="minorHAnsi" w:cstheme="minorHAnsi"/>
        </w:rPr>
      </w:pPr>
      <w:r w:rsidRPr="00BC4287">
        <w:rPr>
          <w:rFonts w:asciiTheme="minorHAnsi" w:eastAsiaTheme="minorHAnsi" w:hAnsiTheme="minorHAnsi" w:cstheme="minorHAnsi"/>
        </w:rPr>
        <w:t xml:space="preserve">Originally it was intended that </w:t>
      </w:r>
      <w:r w:rsidR="0096155B" w:rsidRPr="00BC4287">
        <w:rPr>
          <w:rFonts w:asciiTheme="minorHAnsi" w:eastAsiaTheme="minorHAnsi" w:hAnsiTheme="minorHAnsi" w:cstheme="minorHAnsi"/>
        </w:rPr>
        <w:t xml:space="preserve">research would be conducted at four sites across the </w:t>
      </w:r>
      <w:r w:rsidR="00DC6109" w:rsidRPr="00BC4287">
        <w:rPr>
          <w:rFonts w:asciiTheme="minorHAnsi" w:eastAsiaTheme="minorHAnsi" w:hAnsiTheme="minorHAnsi" w:cstheme="minorHAnsi"/>
        </w:rPr>
        <w:t>Murray-</w:t>
      </w:r>
      <w:r w:rsidR="0096155B" w:rsidRPr="00BC4287">
        <w:rPr>
          <w:rFonts w:asciiTheme="minorHAnsi" w:eastAsiaTheme="minorHAnsi" w:hAnsiTheme="minorHAnsi" w:cstheme="minorHAnsi"/>
        </w:rPr>
        <w:t>D</w:t>
      </w:r>
      <w:r w:rsidR="00DC6109" w:rsidRPr="00BC4287">
        <w:rPr>
          <w:rFonts w:asciiTheme="minorHAnsi" w:eastAsiaTheme="minorHAnsi" w:hAnsiTheme="minorHAnsi" w:cstheme="minorHAnsi"/>
        </w:rPr>
        <w:t xml:space="preserve">arling </w:t>
      </w:r>
      <w:r w:rsidR="0096155B" w:rsidRPr="00BC4287">
        <w:rPr>
          <w:rFonts w:asciiTheme="minorHAnsi" w:eastAsiaTheme="minorHAnsi" w:hAnsiTheme="minorHAnsi" w:cstheme="minorHAnsi"/>
        </w:rPr>
        <w:t>B</w:t>
      </w:r>
      <w:r w:rsidR="00DC6109" w:rsidRPr="00BC4287">
        <w:rPr>
          <w:rFonts w:asciiTheme="minorHAnsi" w:eastAsiaTheme="minorHAnsi" w:hAnsiTheme="minorHAnsi" w:cstheme="minorHAnsi"/>
        </w:rPr>
        <w:t>asin</w:t>
      </w:r>
      <w:r w:rsidR="0096155B" w:rsidRPr="00BC4287">
        <w:rPr>
          <w:rFonts w:asciiTheme="minorHAnsi" w:eastAsiaTheme="minorHAnsi" w:hAnsiTheme="minorHAnsi" w:cstheme="minorHAnsi"/>
        </w:rPr>
        <w:t xml:space="preserve">; Mid-Murray, Lower Murray, Macquarie Marshes and the Lower Balonne. However, as the project evolved it became clear that </w:t>
      </w:r>
      <w:r w:rsidR="0096155B" w:rsidRPr="00BC4287">
        <w:rPr>
          <w:rFonts w:asciiTheme="minorHAnsi" w:eastAsiaTheme="minorHAnsi" w:hAnsiTheme="minorHAnsi" w:cstheme="minorHAnsi"/>
          <w:i/>
        </w:rPr>
        <w:t>not</w:t>
      </w:r>
      <w:r w:rsidR="0096155B" w:rsidRPr="00BC4287">
        <w:rPr>
          <w:rFonts w:asciiTheme="minorHAnsi" w:eastAsiaTheme="minorHAnsi" w:hAnsiTheme="minorHAnsi" w:cstheme="minorHAnsi"/>
        </w:rPr>
        <w:t xml:space="preserve"> limiting research to certain</w:t>
      </w:r>
      <w:r w:rsidR="00E246B2" w:rsidRPr="00BC4287">
        <w:rPr>
          <w:rFonts w:asciiTheme="minorHAnsi" w:eastAsiaTheme="minorHAnsi" w:hAnsiTheme="minorHAnsi" w:cstheme="minorHAnsi"/>
        </w:rPr>
        <w:t xml:space="preserve"> areas would provide better knowledge and coverage across the Basin. Expanding the areas also allowed projects to ‘piggy-back’ on other projects such as the Long-term Intervention Monitoring Project (LTIM) which increased the outputs of both </w:t>
      </w:r>
      <w:r w:rsidR="00AA68DF" w:rsidRPr="00BC4287">
        <w:rPr>
          <w:rFonts w:asciiTheme="minorHAnsi" w:eastAsiaTheme="minorHAnsi" w:hAnsiTheme="minorHAnsi" w:cstheme="minorHAnsi"/>
        </w:rPr>
        <w:t>projects and provided greater opportunities to demonstrate practical applications to water management</w:t>
      </w:r>
      <w:r w:rsidR="00E246B2" w:rsidRPr="00BC4287">
        <w:rPr>
          <w:rFonts w:asciiTheme="minorHAnsi" w:eastAsiaTheme="minorHAnsi" w:hAnsiTheme="minorHAnsi" w:cstheme="minorHAnsi"/>
        </w:rPr>
        <w:t xml:space="preserve">. A summary of sites is provided in Appendix 1- Research Site Report. </w:t>
      </w:r>
    </w:p>
    <w:p w14:paraId="37B67820" w14:textId="26695616" w:rsidR="00E246B2" w:rsidRPr="00BC4287" w:rsidRDefault="00E246B2" w:rsidP="00BC4287">
      <w:pPr>
        <w:rPr>
          <w:rFonts w:asciiTheme="minorHAnsi" w:eastAsiaTheme="minorHAnsi" w:hAnsiTheme="minorHAnsi" w:cstheme="minorHAnsi"/>
        </w:rPr>
      </w:pPr>
      <w:bookmarkStart w:id="60" w:name="_Hlk11931638"/>
      <w:r w:rsidRPr="00BC4287">
        <w:rPr>
          <w:rFonts w:asciiTheme="minorHAnsi" w:eastAsiaTheme="minorHAnsi" w:hAnsiTheme="minorHAnsi" w:cstheme="minorHAnsi"/>
        </w:rPr>
        <w:t xml:space="preserve">Research focussed on four thematic areas, which were identified by </w:t>
      </w:r>
      <w:r w:rsidR="00B0055C" w:rsidRPr="00BC4287">
        <w:rPr>
          <w:rFonts w:asciiTheme="minorHAnsi" w:eastAsiaTheme="minorHAnsi" w:hAnsiTheme="minorHAnsi" w:cstheme="minorHAnsi"/>
        </w:rPr>
        <w:t xml:space="preserve">water </w:t>
      </w:r>
      <w:r w:rsidRPr="00BC4287">
        <w:rPr>
          <w:rFonts w:asciiTheme="minorHAnsi" w:eastAsiaTheme="minorHAnsi" w:hAnsiTheme="minorHAnsi" w:cstheme="minorHAnsi"/>
        </w:rPr>
        <w:t xml:space="preserve">managers as high priority knowledge gaps. These were fish, waterbirds, vegetation and food webs </w:t>
      </w:r>
      <w:bookmarkEnd w:id="60"/>
      <w:r w:rsidRPr="00BC4287">
        <w:rPr>
          <w:rFonts w:asciiTheme="minorHAnsi" w:eastAsiaTheme="minorHAnsi" w:hAnsiTheme="minorHAnsi" w:cstheme="minorHAnsi"/>
        </w:rPr>
        <w:t>(Figure 1). There was also a synthesis component (this report) that worked on drawing the information together. The outcomes of the research are captured in this document. For more detailed thematic and research project information please see the theme reports</w:t>
      </w:r>
      <w:r w:rsidR="00AA68DF" w:rsidRPr="00BC4287">
        <w:rPr>
          <w:rFonts w:asciiTheme="minorHAnsi" w:eastAsiaTheme="minorHAnsi" w:hAnsiTheme="minorHAnsi" w:cstheme="minorHAnsi"/>
        </w:rPr>
        <w:t xml:space="preserve"> (Campbell et al</w:t>
      </w:r>
      <w:r w:rsidRPr="00BC4287">
        <w:rPr>
          <w:rFonts w:asciiTheme="minorHAnsi" w:eastAsiaTheme="minorHAnsi" w:hAnsiTheme="minorHAnsi" w:cstheme="minorHAnsi"/>
        </w:rPr>
        <w:t>.</w:t>
      </w:r>
      <w:r w:rsidR="00AA68DF" w:rsidRPr="00BC4287">
        <w:rPr>
          <w:rFonts w:asciiTheme="minorHAnsi" w:eastAsiaTheme="minorHAnsi" w:hAnsiTheme="minorHAnsi" w:cstheme="minorHAnsi"/>
        </w:rPr>
        <w:t>, 2019, McInerney et al., 2019, McGinness et al., 2019, Price et al., 2019)</w:t>
      </w:r>
      <w:r w:rsidR="006963EB" w:rsidRPr="00BC4287">
        <w:rPr>
          <w:rFonts w:asciiTheme="minorHAnsi" w:eastAsiaTheme="minorHAnsi" w:hAnsiTheme="minorHAnsi" w:cstheme="minorHAnsi"/>
        </w:rPr>
        <w:t xml:space="preserve">. </w:t>
      </w:r>
      <w:r w:rsidRPr="00BC4287">
        <w:rPr>
          <w:rFonts w:asciiTheme="minorHAnsi" w:eastAsiaTheme="minorHAnsi" w:hAnsiTheme="minorHAnsi" w:cstheme="minorHAnsi"/>
        </w:rPr>
        <w:t xml:space="preserve"> </w:t>
      </w:r>
    </w:p>
    <w:p w14:paraId="0329B615" w14:textId="77777777" w:rsidR="00DC6109" w:rsidRPr="00BC4287" w:rsidRDefault="00DC6109" w:rsidP="00BC4287">
      <w:pPr>
        <w:rPr>
          <w:rFonts w:asciiTheme="minorHAnsi" w:eastAsiaTheme="minorHAnsi" w:hAnsiTheme="minorHAnsi" w:cstheme="minorHAnsi"/>
        </w:rPr>
      </w:pPr>
    </w:p>
    <w:p w14:paraId="13F4E1D6" w14:textId="22B3135B" w:rsidR="00E246B2" w:rsidRPr="00BC4287" w:rsidRDefault="00E246B2" w:rsidP="00BC4287">
      <w:pPr>
        <w:rPr>
          <w:rFonts w:asciiTheme="minorHAnsi" w:eastAsiaTheme="minorHAnsi" w:hAnsiTheme="minorHAnsi" w:cstheme="minorHAnsi"/>
        </w:rPr>
      </w:pPr>
      <w:r w:rsidRPr="00BC4287">
        <w:rPr>
          <w:rFonts w:asciiTheme="minorHAnsi" w:hAnsiTheme="minorHAnsi" w:cstheme="minorHAnsi"/>
          <w:noProof/>
        </w:rPr>
        <w:drawing>
          <wp:inline distT="0" distB="0" distL="0" distR="0" wp14:anchorId="0B342E08" wp14:editId="6BD698DC">
            <wp:extent cx="5119200" cy="2048400"/>
            <wp:effectExtent l="0" t="0" r="571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9200" cy="2048400"/>
                    </a:xfrm>
                    <a:prstGeom prst="rect">
                      <a:avLst/>
                    </a:prstGeom>
                    <a:noFill/>
                  </pic:spPr>
                </pic:pic>
              </a:graphicData>
            </a:graphic>
          </wp:inline>
        </w:drawing>
      </w:r>
    </w:p>
    <w:p w14:paraId="64A04672" w14:textId="28FC728A" w:rsidR="00E246B2" w:rsidRPr="00BC4287" w:rsidRDefault="00E246B2" w:rsidP="00BC4287">
      <w:pPr>
        <w:pStyle w:val="FigureCaption0"/>
        <w:rPr>
          <w:rFonts w:cstheme="minorHAnsi"/>
          <w:sz w:val="22"/>
          <w:szCs w:val="22"/>
        </w:rPr>
      </w:pPr>
      <w:r w:rsidRPr="00BC4287">
        <w:rPr>
          <w:rFonts w:cstheme="minorHAnsi"/>
          <w:sz w:val="22"/>
          <w:szCs w:val="22"/>
        </w:rPr>
        <w:t xml:space="preserve">Figure </w:t>
      </w:r>
      <w:r w:rsidR="005B6D97" w:rsidRPr="00BC4287">
        <w:rPr>
          <w:rFonts w:cstheme="minorHAnsi"/>
          <w:noProof/>
          <w:sz w:val="22"/>
          <w:szCs w:val="22"/>
        </w:rPr>
        <w:fldChar w:fldCharType="begin"/>
      </w:r>
      <w:r w:rsidR="005B6D97" w:rsidRPr="00BC4287">
        <w:rPr>
          <w:rFonts w:cstheme="minorHAnsi"/>
          <w:noProof/>
          <w:sz w:val="22"/>
          <w:szCs w:val="22"/>
        </w:rPr>
        <w:instrText xml:space="preserve"> STYLEREF 1 \s </w:instrText>
      </w:r>
      <w:r w:rsidR="005B6D97" w:rsidRPr="00BC4287">
        <w:rPr>
          <w:rFonts w:cstheme="minorHAnsi"/>
          <w:noProof/>
          <w:sz w:val="22"/>
          <w:szCs w:val="22"/>
        </w:rPr>
        <w:fldChar w:fldCharType="separate"/>
      </w:r>
      <w:r w:rsidR="001976CD">
        <w:rPr>
          <w:rFonts w:cstheme="minorHAnsi"/>
          <w:noProof/>
          <w:sz w:val="22"/>
          <w:szCs w:val="22"/>
        </w:rPr>
        <w:t>1</w:t>
      </w:r>
      <w:r w:rsidR="005B6D97" w:rsidRPr="00BC4287">
        <w:rPr>
          <w:rFonts w:cstheme="minorHAnsi"/>
          <w:noProof/>
          <w:sz w:val="22"/>
          <w:szCs w:val="22"/>
        </w:rPr>
        <w:fldChar w:fldCharType="end"/>
      </w:r>
      <w:r w:rsidRPr="00BC4287">
        <w:rPr>
          <w:rFonts w:cstheme="minorHAnsi"/>
          <w:sz w:val="22"/>
          <w:szCs w:val="22"/>
        </w:rPr>
        <w:t xml:space="preserve">. </w:t>
      </w:r>
      <w:r w:rsidRPr="00BC4287">
        <w:rPr>
          <w:rFonts w:cstheme="minorHAnsi"/>
          <w:b w:val="0"/>
          <w:sz w:val="22"/>
          <w:szCs w:val="22"/>
        </w:rPr>
        <w:t>Structure of MDB EWKR showing themes and other major components.</w:t>
      </w:r>
    </w:p>
    <w:p w14:paraId="176A0571" w14:textId="52BCD965" w:rsidR="00A86DD8" w:rsidRPr="00C67378" w:rsidRDefault="00E246B2" w:rsidP="00C67378">
      <w:pPr>
        <w:rPr>
          <w:rFonts w:asciiTheme="minorHAnsi" w:hAnsiTheme="minorHAnsi" w:cstheme="minorHAnsi"/>
        </w:rPr>
      </w:pPr>
      <w:r w:rsidRPr="00C67378">
        <w:rPr>
          <w:rFonts w:asciiTheme="minorHAnsi" w:hAnsiTheme="minorHAnsi" w:cstheme="minorHAnsi"/>
        </w:rPr>
        <w:t xml:space="preserve">The intent of </w:t>
      </w:r>
      <w:r w:rsidR="00A86DD8" w:rsidRPr="00C67378">
        <w:rPr>
          <w:rFonts w:asciiTheme="minorHAnsi" w:hAnsiTheme="minorHAnsi" w:cstheme="minorHAnsi"/>
        </w:rPr>
        <w:t xml:space="preserve">MDB EWKR </w:t>
      </w:r>
      <w:r w:rsidRPr="00C67378">
        <w:rPr>
          <w:rFonts w:asciiTheme="minorHAnsi" w:hAnsiTheme="minorHAnsi" w:cstheme="minorHAnsi"/>
        </w:rPr>
        <w:t>was to</w:t>
      </w:r>
      <w:r w:rsidR="00A86DD8" w:rsidRPr="00C67378">
        <w:rPr>
          <w:rFonts w:asciiTheme="minorHAnsi" w:hAnsiTheme="minorHAnsi" w:cstheme="minorHAnsi"/>
        </w:rPr>
        <w:t xml:space="preserve"> improve the science available to support </w:t>
      </w:r>
      <w:r w:rsidR="00006C9B" w:rsidRPr="00C67378">
        <w:rPr>
          <w:rFonts w:asciiTheme="minorHAnsi" w:hAnsiTheme="minorHAnsi" w:cstheme="minorHAnsi"/>
        </w:rPr>
        <w:t xml:space="preserve">the </w:t>
      </w:r>
      <w:r w:rsidR="00A86DD8" w:rsidRPr="00C67378">
        <w:rPr>
          <w:rFonts w:asciiTheme="minorHAnsi" w:hAnsiTheme="minorHAnsi" w:cstheme="minorHAnsi"/>
        </w:rPr>
        <w:t>needs of environmental water managers in the Murray–Darling Basin. Research focuse</w:t>
      </w:r>
      <w:r w:rsidR="00E5660A" w:rsidRPr="00C67378">
        <w:rPr>
          <w:rFonts w:asciiTheme="minorHAnsi" w:hAnsiTheme="minorHAnsi" w:cstheme="minorHAnsi"/>
        </w:rPr>
        <w:t>d</w:t>
      </w:r>
      <w:r w:rsidR="00A86DD8" w:rsidRPr="00C67378">
        <w:rPr>
          <w:rFonts w:asciiTheme="minorHAnsi" w:hAnsiTheme="minorHAnsi" w:cstheme="minorHAnsi"/>
        </w:rPr>
        <w:t xml:space="preserve"> on:</w:t>
      </w:r>
    </w:p>
    <w:p w14:paraId="595F7E2A" w14:textId="31ECE371" w:rsidR="00A86DD8" w:rsidRPr="00BC4287" w:rsidRDefault="00A86DD8" w:rsidP="00BC4287">
      <w:pPr>
        <w:pStyle w:val="ListParagraph"/>
        <w:numPr>
          <w:ilvl w:val="0"/>
          <w:numId w:val="24"/>
        </w:numPr>
        <w:spacing w:line="240" w:lineRule="auto"/>
        <w:rPr>
          <w:rFonts w:asciiTheme="minorHAnsi" w:hAnsiTheme="minorHAnsi" w:cstheme="minorHAnsi"/>
          <w:sz w:val="22"/>
          <w:szCs w:val="22"/>
        </w:rPr>
      </w:pPr>
      <w:r w:rsidRPr="00BC4287">
        <w:rPr>
          <w:rFonts w:asciiTheme="minorHAnsi" w:hAnsiTheme="minorHAnsi" w:cstheme="minorHAnsi"/>
          <w:sz w:val="22"/>
          <w:szCs w:val="22"/>
        </w:rPr>
        <w:t xml:space="preserve">improved identification, assessment and understanding of the links between </w:t>
      </w:r>
      <w:r w:rsidR="00006C9B" w:rsidRPr="00BC4287">
        <w:rPr>
          <w:rFonts w:asciiTheme="minorHAnsi" w:hAnsiTheme="minorHAnsi" w:cstheme="minorHAnsi"/>
          <w:sz w:val="22"/>
          <w:szCs w:val="22"/>
        </w:rPr>
        <w:t xml:space="preserve">the </w:t>
      </w:r>
      <w:r w:rsidRPr="00BC4287">
        <w:rPr>
          <w:rFonts w:asciiTheme="minorHAnsi" w:hAnsiTheme="minorHAnsi" w:cstheme="minorHAnsi"/>
          <w:sz w:val="22"/>
          <w:szCs w:val="22"/>
        </w:rPr>
        <w:t>ecological responses to watering regimes (e.g. natural and/or managed events) and incremental changes in ecological condition</w:t>
      </w:r>
      <w:r w:rsidR="00006C9B" w:rsidRPr="00BC4287">
        <w:rPr>
          <w:rFonts w:asciiTheme="minorHAnsi" w:hAnsiTheme="minorHAnsi" w:cstheme="minorHAnsi"/>
          <w:sz w:val="22"/>
          <w:szCs w:val="22"/>
        </w:rPr>
        <w:t xml:space="preserve"> (the state of ecological systems including physical, chemical and biological </w:t>
      </w:r>
      <w:r w:rsidR="008E233D" w:rsidRPr="00BC4287">
        <w:rPr>
          <w:rFonts w:asciiTheme="minorHAnsi" w:hAnsiTheme="minorHAnsi" w:cstheme="minorHAnsi"/>
          <w:sz w:val="22"/>
          <w:szCs w:val="22"/>
        </w:rPr>
        <w:t>characteristics</w:t>
      </w:r>
      <w:r w:rsidR="00006C9B" w:rsidRPr="00BC4287">
        <w:rPr>
          <w:rFonts w:asciiTheme="minorHAnsi" w:hAnsiTheme="minorHAnsi" w:cstheme="minorHAnsi"/>
          <w:sz w:val="22"/>
          <w:szCs w:val="22"/>
        </w:rPr>
        <w:t xml:space="preserve"> and the processes and interactions that connect them (</w:t>
      </w:r>
      <w:r w:rsidR="008E233D" w:rsidRPr="00BC4287">
        <w:rPr>
          <w:rFonts w:asciiTheme="minorHAnsi" w:hAnsiTheme="minorHAnsi" w:cstheme="minorHAnsi"/>
          <w:sz w:val="22"/>
          <w:szCs w:val="22"/>
        </w:rPr>
        <w:t xml:space="preserve">U.S. </w:t>
      </w:r>
      <w:r w:rsidR="00006C9B" w:rsidRPr="00BC4287">
        <w:rPr>
          <w:rFonts w:asciiTheme="minorHAnsi" w:hAnsiTheme="minorHAnsi" w:cstheme="minorHAnsi"/>
          <w:sz w:val="22"/>
          <w:szCs w:val="22"/>
        </w:rPr>
        <w:t>EPA</w:t>
      </w:r>
      <w:r w:rsidR="008E233D" w:rsidRPr="00BC4287">
        <w:rPr>
          <w:rFonts w:asciiTheme="minorHAnsi" w:hAnsiTheme="minorHAnsi" w:cstheme="minorHAnsi"/>
          <w:sz w:val="22"/>
          <w:szCs w:val="22"/>
        </w:rPr>
        <w:t>, 2018))</w:t>
      </w:r>
      <w:r w:rsidR="00B73072">
        <w:rPr>
          <w:rFonts w:asciiTheme="minorHAnsi" w:hAnsiTheme="minorHAnsi" w:cstheme="minorHAnsi"/>
          <w:sz w:val="22"/>
          <w:szCs w:val="22"/>
        </w:rPr>
        <w:t>.</w:t>
      </w:r>
    </w:p>
    <w:p w14:paraId="3F78015A" w14:textId="7025B5EE" w:rsidR="00A86DD8" w:rsidRPr="00BC4287" w:rsidRDefault="00A86DD8" w:rsidP="00BC4287">
      <w:pPr>
        <w:pStyle w:val="ListParagraph"/>
        <w:numPr>
          <w:ilvl w:val="0"/>
          <w:numId w:val="24"/>
        </w:numPr>
        <w:spacing w:line="240" w:lineRule="auto"/>
        <w:rPr>
          <w:rFonts w:asciiTheme="minorHAnsi" w:hAnsiTheme="minorHAnsi" w:cstheme="minorHAnsi"/>
          <w:sz w:val="22"/>
          <w:szCs w:val="22"/>
        </w:rPr>
      </w:pPr>
      <w:r w:rsidRPr="00BC4287">
        <w:rPr>
          <w:rFonts w:asciiTheme="minorHAnsi" w:hAnsiTheme="minorHAnsi" w:cstheme="minorHAnsi"/>
          <w:sz w:val="22"/>
          <w:szCs w:val="22"/>
        </w:rPr>
        <w:t>medium and long-term changes in ecological condition, including the effects of threats (hydrological, aquatic and terrestrial) which may reduce or prevent the ecological improvement expected</w:t>
      </w:r>
      <w:r w:rsidR="00575499" w:rsidRPr="00BC4287">
        <w:rPr>
          <w:rFonts w:asciiTheme="minorHAnsi" w:hAnsiTheme="minorHAnsi" w:cstheme="minorHAnsi"/>
          <w:sz w:val="22"/>
          <w:szCs w:val="22"/>
        </w:rPr>
        <w:t>.</w:t>
      </w:r>
    </w:p>
    <w:p w14:paraId="22666070" w14:textId="3F516328" w:rsidR="005962D4" w:rsidRPr="00BC4287" w:rsidRDefault="005962D4" w:rsidP="00BC4287">
      <w:pPr>
        <w:pStyle w:val="ListParagraph"/>
        <w:numPr>
          <w:ilvl w:val="0"/>
          <w:numId w:val="24"/>
        </w:numPr>
        <w:spacing w:line="240" w:lineRule="auto"/>
        <w:rPr>
          <w:rFonts w:asciiTheme="minorHAnsi" w:hAnsiTheme="minorHAnsi" w:cstheme="minorHAnsi"/>
          <w:sz w:val="22"/>
          <w:szCs w:val="22"/>
        </w:rPr>
      </w:pPr>
      <w:r w:rsidRPr="00BC4287">
        <w:rPr>
          <w:rFonts w:asciiTheme="minorHAnsi" w:hAnsiTheme="minorHAnsi" w:cstheme="minorHAnsi"/>
          <w:sz w:val="22"/>
          <w:szCs w:val="22"/>
        </w:rPr>
        <w:t>how management or delivery of environmental flow influences environmental outcomes achieved over time</w:t>
      </w:r>
      <w:r w:rsidR="00B73072">
        <w:rPr>
          <w:rFonts w:asciiTheme="minorHAnsi" w:hAnsiTheme="minorHAnsi" w:cstheme="minorHAnsi"/>
          <w:sz w:val="22"/>
          <w:szCs w:val="22"/>
        </w:rPr>
        <w:t>.</w:t>
      </w:r>
    </w:p>
    <w:p w14:paraId="4C8E6FA5" w14:textId="77777777" w:rsidR="005962D4" w:rsidRPr="00BC4287" w:rsidRDefault="005962D4" w:rsidP="00BC4287">
      <w:pPr>
        <w:pStyle w:val="ListParagraph"/>
        <w:numPr>
          <w:ilvl w:val="0"/>
          <w:numId w:val="24"/>
        </w:numPr>
        <w:spacing w:line="240" w:lineRule="auto"/>
        <w:rPr>
          <w:rFonts w:asciiTheme="minorHAnsi" w:hAnsiTheme="minorHAnsi" w:cstheme="minorHAnsi"/>
          <w:sz w:val="22"/>
          <w:szCs w:val="22"/>
        </w:rPr>
      </w:pPr>
      <w:r w:rsidRPr="00BC4287">
        <w:rPr>
          <w:rFonts w:asciiTheme="minorHAnsi" w:hAnsiTheme="minorHAnsi" w:cstheme="minorHAnsi"/>
          <w:sz w:val="22"/>
          <w:szCs w:val="22"/>
        </w:rPr>
        <w:t>how complementary water management and natural resource management enhance outcomes of environmental water management.</w:t>
      </w:r>
    </w:p>
    <w:p w14:paraId="07E57209" w14:textId="1F3E1390" w:rsidR="00A86DD8" w:rsidRPr="00BC4287" w:rsidRDefault="006963EB" w:rsidP="00BC4287">
      <w:pPr>
        <w:rPr>
          <w:rFonts w:asciiTheme="minorHAnsi" w:eastAsiaTheme="minorHAnsi" w:hAnsiTheme="minorHAnsi" w:cstheme="minorHAnsi"/>
        </w:rPr>
      </w:pPr>
      <w:r w:rsidRPr="00BC4287">
        <w:rPr>
          <w:rFonts w:asciiTheme="minorHAnsi" w:eastAsiaTheme="minorHAnsi" w:hAnsiTheme="minorHAnsi" w:cstheme="minorHAnsi"/>
        </w:rPr>
        <w:t>The r</w:t>
      </w:r>
      <w:r w:rsidR="00A86DD8" w:rsidRPr="00BC4287">
        <w:rPr>
          <w:rFonts w:asciiTheme="minorHAnsi" w:eastAsiaTheme="minorHAnsi" w:hAnsiTheme="minorHAnsi" w:cstheme="minorHAnsi"/>
        </w:rPr>
        <w:t>esearch</w:t>
      </w:r>
      <w:r w:rsidR="005962D4" w:rsidRPr="00BC4287">
        <w:rPr>
          <w:rFonts w:asciiTheme="minorHAnsi" w:eastAsiaTheme="minorHAnsi" w:hAnsiTheme="minorHAnsi" w:cstheme="minorHAnsi"/>
        </w:rPr>
        <w:t xml:space="preserve"> also</w:t>
      </w:r>
      <w:r w:rsidR="00A86DD8" w:rsidRPr="00BC4287">
        <w:rPr>
          <w:rFonts w:asciiTheme="minorHAnsi" w:eastAsiaTheme="minorHAnsi" w:hAnsiTheme="minorHAnsi" w:cstheme="minorHAnsi"/>
        </w:rPr>
        <w:t xml:space="preserve"> </w:t>
      </w:r>
      <w:r w:rsidRPr="00BC4287">
        <w:rPr>
          <w:rFonts w:asciiTheme="minorHAnsi" w:eastAsiaTheme="minorHAnsi" w:hAnsiTheme="minorHAnsi" w:cstheme="minorHAnsi"/>
        </w:rPr>
        <w:t xml:space="preserve">aimed to </w:t>
      </w:r>
      <w:r w:rsidR="00A86DD8" w:rsidRPr="00BC4287">
        <w:rPr>
          <w:rFonts w:asciiTheme="minorHAnsi" w:eastAsiaTheme="minorHAnsi" w:hAnsiTheme="minorHAnsi" w:cstheme="minorHAnsi"/>
        </w:rPr>
        <w:t xml:space="preserve">support the collaborative role of the Commonwealth in environmental watering within the Basin, in particular: </w:t>
      </w:r>
    </w:p>
    <w:p w14:paraId="08546777" w14:textId="7206EF53" w:rsidR="00A86DD8" w:rsidRPr="00BC4287" w:rsidRDefault="00A86DD8" w:rsidP="00BC4287">
      <w:pPr>
        <w:pStyle w:val="ListParagraph"/>
        <w:numPr>
          <w:ilvl w:val="0"/>
          <w:numId w:val="25"/>
        </w:numPr>
        <w:spacing w:line="240" w:lineRule="auto"/>
        <w:rPr>
          <w:rFonts w:asciiTheme="minorHAnsi" w:hAnsiTheme="minorHAnsi" w:cstheme="minorHAnsi"/>
          <w:sz w:val="22"/>
          <w:szCs w:val="22"/>
        </w:rPr>
      </w:pPr>
      <w:r w:rsidRPr="00BC4287">
        <w:rPr>
          <w:rFonts w:asciiTheme="minorHAnsi" w:hAnsiTheme="minorHAnsi" w:cstheme="minorHAnsi"/>
          <w:sz w:val="22"/>
          <w:szCs w:val="22"/>
        </w:rPr>
        <w:t>Murray–Darling Basin Authority’s (MDBA) role in implementing the Basin Plan</w:t>
      </w:r>
      <w:r w:rsidR="008E233D" w:rsidRPr="00BC4287">
        <w:rPr>
          <w:rFonts w:asciiTheme="minorHAnsi" w:hAnsiTheme="minorHAnsi" w:cstheme="minorHAnsi"/>
          <w:sz w:val="22"/>
          <w:szCs w:val="22"/>
        </w:rPr>
        <w:t>;</w:t>
      </w:r>
    </w:p>
    <w:p w14:paraId="2911E971" w14:textId="3080CFF2" w:rsidR="00A86DD8" w:rsidRPr="00BC4287" w:rsidRDefault="00A86DD8" w:rsidP="00BC4287">
      <w:pPr>
        <w:pStyle w:val="ListParagraph"/>
        <w:numPr>
          <w:ilvl w:val="0"/>
          <w:numId w:val="25"/>
        </w:numPr>
        <w:spacing w:line="240" w:lineRule="auto"/>
        <w:rPr>
          <w:rFonts w:asciiTheme="minorHAnsi" w:hAnsiTheme="minorHAnsi" w:cstheme="minorHAnsi"/>
          <w:sz w:val="22"/>
          <w:szCs w:val="22"/>
        </w:rPr>
      </w:pPr>
      <w:r w:rsidRPr="00BC4287">
        <w:rPr>
          <w:rFonts w:asciiTheme="minorHAnsi" w:hAnsiTheme="minorHAnsi" w:cstheme="minorHAnsi"/>
          <w:sz w:val="22"/>
          <w:szCs w:val="22"/>
        </w:rPr>
        <w:t>Commonwealth Environmental Water Office’s (CEWO) role in managing environmental water</w:t>
      </w:r>
      <w:r w:rsidR="008E233D" w:rsidRPr="00BC4287">
        <w:rPr>
          <w:rFonts w:asciiTheme="minorHAnsi" w:hAnsiTheme="minorHAnsi" w:cstheme="minorHAnsi"/>
          <w:sz w:val="22"/>
          <w:szCs w:val="22"/>
        </w:rPr>
        <w:t>;</w:t>
      </w:r>
    </w:p>
    <w:p w14:paraId="2F356A25" w14:textId="2B815082" w:rsidR="00A86DD8" w:rsidRPr="00BC4287" w:rsidRDefault="00A86DD8" w:rsidP="00BC4287">
      <w:pPr>
        <w:pStyle w:val="ListParagraph"/>
        <w:numPr>
          <w:ilvl w:val="0"/>
          <w:numId w:val="25"/>
        </w:numPr>
        <w:spacing w:line="240" w:lineRule="auto"/>
        <w:rPr>
          <w:rFonts w:asciiTheme="minorHAnsi" w:hAnsiTheme="minorHAnsi" w:cstheme="minorHAnsi"/>
          <w:sz w:val="22"/>
          <w:szCs w:val="22"/>
        </w:rPr>
      </w:pPr>
      <w:r w:rsidRPr="00BC4287">
        <w:rPr>
          <w:rFonts w:asciiTheme="minorHAnsi" w:hAnsiTheme="minorHAnsi" w:cstheme="minorHAnsi"/>
          <w:sz w:val="22"/>
          <w:szCs w:val="22"/>
        </w:rPr>
        <w:t xml:space="preserve">Basin States’ role in managing environmental water and aquatic assets. </w:t>
      </w:r>
    </w:p>
    <w:p w14:paraId="1AFA52DC" w14:textId="67DE212B" w:rsidR="005962D4" w:rsidRPr="00BC4287" w:rsidRDefault="005962D4" w:rsidP="00BC4287">
      <w:pPr>
        <w:rPr>
          <w:rFonts w:asciiTheme="minorHAnsi" w:hAnsiTheme="minorHAnsi" w:cstheme="minorHAnsi"/>
        </w:rPr>
      </w:pPr>
      <w:r w:rsidRPr="00BC4287">
        <w:rPr>
          <w:rFonts w:asciiTheme="minorHAnsi" w:hAnsiTheme="minorHAnsi" w:cstheme="minorHAnsi"/>
        </w:rPr>
        <w:t>The recommendations and information summarised in this report shows that these goals have been met</w:t>
      </w:r>
      <w:r w:rsidR="00E5660A">
        <w:rPr>
          <w:rFonts w:asciiTheme="minorHAnsi" w:hAnsiTheme="minorHAnsi" w:cstheme="minorHAnsi"/>
        </w:rPr>
        <w:t xml:space="preserve"> to varying degrees</w:t>
      </w:r>
      <w:r w:rsidRPr="00BC4287">
        <w:rPr>
          <w:rFonts w:asciiTheme="minorHAnsi" w:hAnsiTheme="minorHAnsi" w:cstheme="minorHAnsi"/>
        </w:rPr>
        <w:t xml:space="preserve">. However, there remains much more to </w:t>
      </w:r>
      <w:r w:rsidR="005C0B7D" w:rsidRPr="00BC4287">
        <w:rPr>
          <w:rFonts w:asciiTheme="minorHAnsi" w:hAnsiTheme="minorHAnsi" w:cstheme="minorHAnsi"/>
        </w:rPr>
        <w:t>learn,</w:t>
      </w:r>
      <w:r w:rsidRPr="00BC4287">
        <w:rPr>
          <w:rFonts w:asciiTheme="minorHAnsi" w:hAnsiTheme="minorHAnsi" w:cstheme="minorHAnsi"/>
        </w:rPr>
        <w:t xml:space="preserve"> and this report can help guide future investment into research that is needed to better understand the Murray Darling Basin. </w:t>
      </w:r>
    </w:p>
    <w:p w14:paraId="2F35DBF8" w14:textId="55E35F93" w:rsidR="00A86DD8" w:rsidRPr="00BC4287" w:rsidRDefault="00A86DD8" w:rsidP="00BC4287">
      <w:pPr>
        <w:rPr>
          <w:rFonts w:asciiTheme="minorHAnsi" w:eastAsiaTheme="minorHAnsi" w:hAnsiTheme="minorHAnsi" w:cstheme="minorHAnsi"/>
        </w:rPr>
      </w:pPr>
      <w:r w:rsidRPr="00BC4287">
        <w:rPr>
          <w:rFonts w:asciiTheme="minorHAnsi" w:eastAsiaTheme="minorHAnsi" w:hAnsiTheme="minorHAnsi" w:cstheme="minorHAnsi"/>
        </w:rPr>
        <w:t>Research promote</w:t>
      </w:r>
      <w:r w:rsidR="008E233D" w:rsidRPr="00BC4287">
        <w:rPr>
          <w:rFonts w:asciiTheme="minorHAnsi" w:eastAsiaTheme="minorHAnsi" w:hAnsiTheme="minorHAnsi" w:cstheme="minorHAnsi"/>
        </w:rPr>
        <w:t>d</w:t>
      </w:r>
      <w:r w:rsidRPr="00BC4287">
        <w:rPr>
          <w:rFonts w:asciiTheme="minorHAnsi" w:eastAsiaTheme="minorHAnsi" w:hAnsiTheme="minorHAnsi" w:cstheme="minorHAnsi"/>
        </w:rPr>
        <w:t xml:space="preserve"> collaboration amongst research organisations which </w:t>
      </w:r>
      <w:r w:rsidR="008E233D" w:rsidRPr="00BC4287">
        <w:rPr>
          <w:rFonts w:asciiTheme="minorHAnsi" w:eastAsiaTheme="minorHAnsi" w:hAnsiTheme="minorHAnsi" w:cstheme="minorHAnsi"/>
        </w:rPr>
        <w:t>helped</w:t>
      </w:r>
      <w:r w:rsidRPr="00BC4287">
        <w:rPr>
          <w:rFonts w:asciiTheme="minorHAnsi" w:eastAsiaTheme="minorHAnsi" w:hAnsiTheme="minorHAnsi" w:cstheme="minorHAnsi"/>
        </w:rPr>
        <w:t xml:space="preserve"> generat</w:t>
      </w:r>
      <w:r w:rsidR="008E233D" w:rsidRPr="00BC4287">
        <w:rPr>
          <w:rFonts w:asciiTheme="minorHAnsi" w:eastAsiaTheme="minorHAnsi" w:hAnsiTheme="minorHAnsi" w:cstheme="minorHAnsi"/>
        </w:rPr>
        <w:t>e</w:t>
      </w:r>
      <w:r w:rsidRPr="00BC4287">
        <w:rPr>
          <w:rFonts w:asciiTheme="minorHAnsi" w:eastAsiaTheme="minorHAnsi" w:hAnsiTheme="minorHAnsi" w:cstheme="minorHAnsi"/>
        </w:rPr>
        <w:t xml:space="preserve"> new knowledge about</w:t>
      </w:r>
      <w:r w:rsidR="008E233D" w:rsidRPr="00BC4287">
        <w:rPr>
          <w:rFonts w:asciiTheme="minorHAnsi" w:eastAsiaTheme="minorHAnsi" w:hAnsiTheme="minorHAnsi" w:cstheme="minorHAnsi"/>
        </w:rPr>
        <w:t xml:space="preserve"> the</w:t>
      </w:r>
      <w:r w:rsidRPr="00BC4287">
        <w:rPr>
          <w:rFonts w:asciiTheme="minorHAnsi" w:eastAsiaTheme="minorHAnsi" w:hAnsiTheme="minorHAnsi" w:cstheme="minorHAnsi"/>
        </w:rPr>
        <w:t xml:space="preserve"> complex responses of aquatic ecosystems to changes in flows across a range of spatial and temporal scales.</w:t>
      </w:r>
      <w:r w:rsidR="008E233D" w:rsidRPr="00BC4287">
        <w:rPr>
          <w:rFonts w:asciiTheme="minorHAnsi" w:eastAsiaTheme="minorHAnsi" w:hAnsiTheme="minorHAnsi" w:cstheme="minorHAnsi"/>
        </w:rPr>
        <w:t xml:space="preserve"> It also uncovered important gaps in knowledge which future research programs can fill. </w:t>
      </w:r>
      <w:r w:rsidR="002E22B6" w:rsidRPr="00BC4287">
        <w:rPr>
          <w:rFonts w:asciiTheme="minorHAnsi" w:eastAsiaTheme="minorHAnsi" w:hAnsiTheme="minorHAnsi" w:cstheme="minorHAnsi"/>
        </w:rPr>
        <w:t xml:space="preserve"> The main contributing organisations are shown in Table 1. </w:t>
      </w:r>
    </w:p>
    <w:p w14:paraId="0ED6776D" w14:textId="77777777" w:rsidR="005962D4" w:rsidRPr="00BC4287" w:rsidRDefault="005962D4" w:rsidP="00BC4287">
      <w:pPr>
        <w:rPr>
          <w:rFonts w:asciiTheme="minorHAnsi" w:eastAsiaTheme="minorHAnsi" w:hAnsiTheme="minorHAnsi" w:cstheme="minorHAnsi"/>
        </w:rPr>
      </w:pPr>
    </w:p>
    <w:tbl>
      <w:tblPr>
        <w:tblStyle w:val="TableGrid"/>
        <w:tblW w:w="0" w:type="auto"/>
        <w:tblLook w:val="04A0" w:firstRow="1" w:lastRow="0" w:firstColumn="1" w:lastColumn="0" w:noHBand="0" w:noVBand="1"/>
      </w:tblPr>
      <w:tblGrid>
        <w:gridCol w:w="4508"/>
        <w:gridCol w:w="4508"/>
      </w:tblGrid>
      <w:tr w:rsidR="002E22B6" w:rsidRPr="00BC4287" w14:paraId="2FAAA497" w14:textId="77777777" w:rsidTr="00BC4287">
        <w:tc>
          <w:tcPr>
            <w:tcW w:w="4508" w:type="dxa"/>
          </w:tcPr>
          <w:p w14:paraId="70B3AAEF" w14:textId="3EF3B84D" w:rsidR="002E22B6" w:rsidRPr="00BC4287" w:rsidRDefault="002E22B6" w:rsidP="002161C6">
            <w:pPr>
              <w:rPr>
                <w:rFonts w:asciiTheme="minorHAnsi" w:eastAsiaTheme="minorHAnsi" w:hAnsiTheme="minorHAnsi" w:cstheme="minorHAnsi"/>
                <w:sz w:val="22"/>
                <w:szCs w:val="22"/>
              </w:rPr>
            </w:pPr>
            <w:r w:rsidRPr="00BC4287">
              <w:rPr>
                <w:rFonts w:asciiTheme="minorHAnsi" w:eastAsiaTheme="minorHAnsi" w:hAnsiTheme="minorHAnsi" w:cstheme="minorHAnsi"/>
                <w:sz w:val="22"/>
                <w:szCs w:val="22"/>
              </w:rPr>
              <w:t xml:space="preserve">La Trobe University/ Centre for Freshwater Ecosystems/Murray Darling Centre for Freshwater Research </w:t>
            </w:r>
          </w:p>
        </w:tc>
        <w:tc>
          <w:tcPr>
            <w:tcW w:w="4508" w:type="dxa"/>
          </w:tcPr>
          <w:p w14:paraId="37B180E5" w14:textId="692392CF" w:rsidR="002E22B6" w:rsidRPr="00BC4287" w:rsidRDefault="002E22B6" w:rsidP="002161C6">
            <w:pPr>
              <w:rPr>
                <w:rFonts w:asciiTheme="minorHAnsi" w:eastAsiaTheme="minorHAnsi" w:hAnsiTheme="minorHAnsi" w:cstheme="minorHAnsi"/>
                <w:sz w:val="22"/>
                <w:szCs w:val="22"/>
              </w:rPr>
            </w:pPr>
            <w:r w:rsidRPr="00BC4287">
              <w:rPr>
                <w:rFonts w:asciiTheme="minorHAnsi" w:eastAsiaTheme="minorHAnsi" w:hAnsiTheme="minorHAnsi" w:cstheme="minorHAnsi"/>
                <w:sz w:val="22"/>
                <w:szCs w:val="22"/>
              </w:rPr>
              <w:t>University of New England</w:t>
            </w:r>
          </w:p>
        </w:tc>
      </w:tr>
      <w:tr w:rsidR="002E22B6" w:rsidRPr="00BC4287" w14:paraId="5615E151" w14:textId="77777777" w:rsidTr="00BC4287">
        <w:tc>
          <w:tcPr>
            <w:tcW w:w="4508" w:type="dxa"/>
          </w:tcPr>
          <w:p w14:paraId="4078EEB3" w14:textId="5EC418A1" w:rsidR="002E22B6" w:rsidRPr="00BC4287" w:rsidRDefault="002E22B6" w:rsidP="002161C6">
            <w:pPr>
              <w:rPr>
                <w:rFonts w:asciiTheme="minorHAnsi" w:eastAsiaTheme="minorHAnsi" w:hAnsiTheme="minorHAnsi" w:cstheme="minorHAnsi"/>
                <w:sz w:val="22"/>
                <w:szCs w:val="22"/>
              </w:rPr>
            </w:pPr>
            <w:r w:rsidRPr="00BC4287">
              <w:rPr>
                <w:rFonts w:asciiTheme="minorHAnsi" w:eastAsiaTheme="minorHAnsi" w:hAnsiTheme="minorHAnsi" w:cstheme="minorHAnsi"/>
                <w:sz w:val="22"/>
                <w:szCs w:val="22"/>
              </w:rPr>
              <w:t>Charles Sturt University</w:t>
            </w:r>
          </w:p>
        </w:tc>
        <w:tc>
          <w:tcPr>
            <w:tcW w:w="4508" w:type="dxa"/>
          </w:tcPr>
          <w:p w14:paraId="7A6A2B8E" w14:textId="086DE8E4" w:rsidR="002E22B6" w:rsidRPr="00BC4287" w:rsidRDefault="002E22B6" w:rsidP="002161C6">
            <w:pPr>
              <w:rPr>
                <w:rFonts w:asciiTheme="minorHAnsi" w:eastAsiaTheme="minorHAnsi" w:hAnsiTheme="minorHAnsi" w:cstheme="minorHAnsi"/>
                <w:sz w:val="22"/>
                <w:szCs w:val="22"/>
              </w:rPr>
            </w:pPr>
            <w:r w:rsidRPr="00BC4287">
              <w:rPr>
                <w:rFonts w:asciiTheme="minorHAnsi" w:eastAsiaTheme="minorHAnsi" w:hAnsiTheme="minorHAnsi" w:cstheme="minorHAnsi"/>
                <w:sz w:val="22"/>
                <w:szCs w:val="22"/>
              </w:rPr>
              <w:t>University of Canberra</w:t>
            </w:r>
          </w:p>
        </w:tc>
      </w:tr>
      <w:tr w:rsidR="002E22B6" w:rsidRPr="00BC4287" w14:paraId="3D308286" w14:textId="77777777" w:rsidTr="00BC4287">
        <w:tc>
          <w:tcPr>
            <w:tcW w:w="4508" w:type="dxa"/>
          </w:tcPr>
          <w:p w14:paraId="2071CEA6" w14:textId="450D7435" w:rsidR="002E22B6" w:rsidRPr="00BC4287" w:rsidRDefault="002E22B6" w:rsidP="002161C6">
            <w:pPr>
              <w:rPr>
                <w:rFonts w:asciiTheme="minorHAnsi" w:eastAsiaTheme="minorHAnsi" w:hAnsiTheme="minorHAnsi" w:cstheme="minorHAnsi"/>
                <w:sz w:val="22"/>
                <w:szCs w:val="22"/>
              </w:rPr>
            </w:pPr>
            <w:r w:rsidRPr="00BC4287">
              <w:rPr>
                <w:rFonts w:asciiTheme="minorHAnsi" w:eastAsiaTheme="minorHAnsi" w:hAnsiTheme="minorHAnsi" w:cstheme="minorHAnsi"/>
                <w:sz w:val="22"/>
                <w:szCs w:val="22"/>
              </w:rPr>
              <w:t>CSIRO</w:t>
            </w:r>
          </w:p>
        </w:tc>
        <w:tc>
          <w:tcPr>
            <w:tcW w:w="4508" w:type="dxa"/>
          </w:tcPr>
          <w:p w14:paraId="49117133" w14:textId="33D459D1" w:rsidR="002E22B6" w:rsidRPr="00BC4287" w:rsidRDefault="002E22B6" w:rsidP="002161C6">
            <w:pPr>
              <w:rPr>
                <w:rFonts w:asciiTheme="minorHAnsi" w:eastAsiaTheme="minorHAnsi" w:hAnsiTheme="minorHAnsi" w:cstheme="minorHAnsi"/>
                <w:sz w:val="22"/>
                <w:szCs w:val="22"/>
              </w:rPr>
            </w:pPr>
            <w:r w:rsidRPr="00BC4287">
              <w:rPr>
                <w:rFonts w:asciiTheme="minorHAnsi" w:eastAsiaTheme="minorHAnsi" w:hAnsiTheme="minorHAnsi" w:cstheme="minorHAnsi"/>
                <w:sz w:val="22"/>
                <w:szCs w:val="22"/>
              </w:rPr>
              <w:t>Deakin University</w:t>
            </w:r>
          </w:p>
        </w:tc>
      </w:tr>
      <w:tr w:rsidR="002E22B6" w:rsidRPr="00BC4287" w14:paraId="364E6C83" w14:textId="77777777" w:rsidTr="00BC4287">
        <w:tc>
          <w:tcPr>
            <w:tcW w:w="4508" w:type="dxa"/>
          </w:tcPr>
          <w:p w14:paraId="090C3616" w14:textId="07D134DF" w:rsidR="002E22B6" w:rsidRPr="00BC4287" w:rsidRDefault="002E22B6" w:rsidP="002161C6">
            <w:pPr>
              <w:rPr>
                <w:rFonts w:asciiTheme="minorHAnsi" w:eastAsiaTheme="minorHAnsi" w:hAnsiTheme="minorHAnsi" w:cstheme="minorHAnsi"/>
                <w:sz w:val="22"/>
                <w:szCs w:val="22"/>
              </w:rPr>
            </w:pPr>
            <w:r w:rsidRPr="00BC4287">
              <w:rPr>
                <w:rFonts w:asciiTheme="minorHAnsi" w:eastAsiaTheme="minorHAnsi" w:hAnsiTheme="minorHAnsi" w:cstheme="minorHAnsi"/>
                <w:sz w:val="22"/>
                <w:szCs w:val="22"/>
              </w:rPr>
              <w:t>Charles Darwin University</w:t>
            </w:r>
          </w:p>
        </w:tc>
        <w:tc>
          <w:tcPr>
            <w:tcW w:w="4508" w:type="dxa"/>
          </w:tcPr>
          <w:p w14:paraId="34839095" w14:textId="6521D3BF" w:rsidR="002E22B6" w:rsidRPr="00BC4287" w:rsidRDefault="002E22B6" w:rsidP="002161C6">
            <w:pPr>
              <w:rPr>
                <w:rFonts w:asciiTheme="minorHAnsi" w:eastAsiaTheme="minorHAnsi" w:hAnsiTheme="minorHAnsi" w:cstheme="minorHAnsi"/>
                <w:sz w:val="22"/>
                <w:szCs w:val="22"/>
              </w:rPr>
            </w:pPr>
            <w:r w:rsidRPr="00BC4287">
              <w:rPr>
                <w:rFonts w:asciiTheme="minorHAnsi" w:eastAsiaTheme="minorHAnsi" w:hAnsiTheme="minorHAnsi" w:cstheme="minorHAnsi"/>
                <w:sz w:val="22"/>
                <w:szCs w:val="22"/>
              </w:rPr>
              <w:t>NSW Department of Primary Industries</w:t>
            </w:r>
          </w:p>
        </w:tc>
      </w:tr>
      <w:tr w:rsidR="002E22B6" w:rsidRPr="00BC4287" w14:paraId="2B127233" w14:textId="77777777" w:rsidTr="00BC4287">
        <w:tc>
          <w:tcPr>
            <w:tcW w:w="4508" w:type="dxa"/>
          </w:tcPr>
          <w:p w14:paraId="79A5A2E5" w14:textId="6C072EE2" w:rsidR="002E22B6" w:rsidRPr="00BC4287" w:rsidRDefault="002E22B6" w:rsidP="002161C6">
            <w:pPr>
              <w:rPr>
                <w:rFonts w:asciiTheme="minorHAnsi" w:eastAsiaTheme="minorHAnsi" w:hAnsiTheme="minorHAnsi" w:cstheme="minorHAnsi"/>
                <w:sz w:val="22"/>
                <w:szCs w:val="22"/>
              </w:rPr>
            </w:pPr>
            <w:r w:rsidRPr="00BC4287">
              <w:rPr>
                <w:rFonts w:asciiTheme="minorHAnsi" w:eastAsiaTheme="minorHAnsi" w:hAnsiTheme="minorHAnsi" w:cstheme="minorHAnsi"/>
                <w:sz w:val="22"/>
                <w:szCs w:val="22"/>
              </w:rPr>
              <w:t>University of New South Wales</w:t>
            </w:r>
          </w:p>
        </w:tc>
        <w:tc>
          <w:tcPr>
            <w:tcW w:w="4508" w:type="dxa"/>
          </w:tcPr>
          <w:p w14:paraId="62672C11" w14:textId="1C3EB48B" w:rsidR="002E22B6" w:rsidRPr="00BC4287" w:rsidRDefault="002E22B6" w:rsidP="002161C6">
            <w:pPr>
              <w:rPr>
                <w:rFonts w:asciiTheme="minorHAnsi" w:eastAsiaTheme="minorHAnsi" w:hAnsiTheme="minorHAnsi" w:cstheme="minorHAnsi"/>
                <w:sz w:val="22"/>
                <w:szCs w:val="22"/>
              </w:rPr>
            </w:pPr>
            <w:r w:rsidRPr="00BC4287">
              <w:rPr>
                <w:rFonts w:asciiTheme="minorHAnsi" w:eastAsiaTheme="minorHAnsi" w:hAnsiTheme="minorHAnsi" w:cstheme="minorHAnsi"/>
                <w:sz w:val="22"/>
                <w:szCs w:val="22"/>
              </w:rPr>
              <w:t>NSW Office of Environment and Heritage</w:t>
            </w:r>
          </w:p>
        </w:tc>
      </w:tr>
      <w:tr w:rsidR="002E22B6" w:rsidRPr="00BC4287" w14:paraId="4BCBF18D" w14:textId="77777777" w:rsidTr="00BC4287">
        <w:tc>
          <w:tcPr>
            <w:tcW w:w="4508" w:type="dxa"/>
          </w:tcPr>
          <w:p w14:paraId="7DB3E930" w14:textId="3DB1E014" w:rsidR="002E22B6" w:rsidRPr="00BC4287" w:rsidRDefault="002E22B6" w:rsidP="002161C6">
            <w:pPr>
              <w:rPr>
                <w:rFonts w:asciiTheme="minorHAnsi" w:eastAsiaTheme="minorHAnsi" w:hAnsiTheme="minorHAnsi" w:cstheme="minorHAnsi"/>
                <w:sz w:val="22"/>
                <w:szCs w:val="22"/>
              </w:rPr>
            </w:pPr>
            <w:r w:rsidRPr="00BC4287">
              <w:rPr>
                <w:rFonts w:asciiTheme="minorHAnsi" w:eastAsiaTheme="minorHAnsi" w:hAnsiTheme="minorHAnsi" w:cstheme="minorHAnsi"/>
                <w:sz w:val="22"/>
                <w:szCs w:val="22"/>
              </w:rPr>
              <w:t>Griffith University</w:t>
            </w:r>
          </w:p>
        </w:tc>
        <w:tc>
          <w:tcPr>
            <w:tcW w:w="4508" w:type="dxa"/>
          </w:tcPr>
          <w:p w14:paraId="7A05CE65" w14:textId="76C104C5" w:rsidR="002E22B6" w:rsidRPr="00BC4287" w:rsidRDefault="002E22B6" w:rsidP="002161C6">
            <w:pPr>
              <w:rPr>
                <w:rFonts w:asciiTheme="minorHAnsi" w:eastAsiaTheme="minorHAnsi" w:hAnsiTheme="minorHAnsi" w:cstheme="minorHAnsi"/>
                <w:sz w:val="22"/>
                <w:szCs w:val="22"/>
              </w:rPr>
            </w:pPr>
            <w:r w:rsidRPr="00BC4287">
              <w:rPr>
                <w:rFonts w:asciiTheme="minorHAnsi" w:eastAsiaTheme="minorHAnsi" w:hAnsiTheme="minorHAnsi" w:cstheme="minorHAnsi"/>
                <w:sz w:val="22"/>
                <w:szCs w:val="22"/>
              </w:rPr>
              <w:t>Arthur Rylah Institute</w:t>
            </w:r>
          </w:p>
        </w:tc>
      </w:tr>
      <w:tr w:rsidR="002E22B6" w:rsidRPr="00BC4287" w14:paraId="376AB618" w14:textId="77777777" w:rsidTr="00BC4287">
        <w:tc>
          <w:tcPr>
            <w:tcW w:w="4508" w:type="dxa"/>
          </w:tcPr>
          <w:p w14:paraId="69FE879C" w14:textId="5F06201B" w:rsidR="002E22B6" w:rsidRPr="00BC4287" w:rsidRDefault="002E22B6" w:rsidP="002161C6">
            <w:pPr>
              <w:rPr>
                <w:rFonts w:asciiTheme="minorHAnsi" w:eastAsiaTheme="minorHAnsi" w:hAnsiTheme="minorHAnsi" w:cstheme="minorHAnsi"/>
                <w:sz w:val="22"/>
                <w:szCs w:val="22"/>
              </w:rPr>
            </w:pPr>
            <w:r w:rsidRPr="00BC4287">
              <w:rPr>
                <w:rFonts w:asciiTheme="minorHAnsi" w:eastAsiaTheme="minorHAnsi" w:hAnsiTheme="minorHAnsi" w:cstheme="minorHAnsi"/>
                <w:sz w:val="22"/>
                <w:szCs w:val="22"/>
              </w:rPr>
              <w:t>South Australian Research and Development Institute</w:t>
            </w:r>
          </w:p>
        </w:tc>
        <w:tc>
          <w:tcPr>
            <w:tcW w:w="4508" w:type="dxa"/>
          </w:tcPr>
          <w:p w14:paraId="64A56042" w14:textId="77777777" w:rsidR="002E22B6" w:rsidRPr="00BC4287" w:rsidRDefault="002E22B6" w:rsidP="002161C6">
            <w:pPr>
              <w:rPr>
                <w:rFonts w:asciiTheme="minorHAnsi" w:eastAsiaTheme="minorHAnsi" w:hAnsiTheme="minorHAnsi" w:cstheme="minorHAnsi"/>
                <w:sz w:val="22"/>
                <w:szCs w:val="22"/>
              </w:rPr>
            </w:pPr>
          </w:p>
        </w:tc>
      </w:tr>
    </w:tbl>
    <w:p w14:paraId="23474989" w14:textId="35A74D31" w:rsidR="002E22B6" w:rsidRPr="00BC4287" w:rsidRDefault="002E22B6" w:rsidP="00BC4287">
      <w:pPr>
        <w:rPr>
          <w:rFonts w:asciiTheme="minorHAnsi" w:eastAsiaTheme="minorHAnsi" w:hAnsiTheme="minorHAnsi" w:cstheme="minorHAnsi"/>
        </w:rPr>
      </w:pPr>
      <w:r w:rsidRPr="00BC4287">
        <w:rPr>
          <w:rFonts w:asciiTheme="minorHAnsi" w:eastAsiaTheme="minorHAnsi" w:hAnsiTheme="minorHAnsi" w:cstheme="minorHAnsi"/>
          <w:b/>
        </w:rPr>
        <w:t xml:space="preserve">Table 1. </w:t>
      </w:r>
      <w:r w:rsidRPr="00BC4287">
        <w:rPr>
          <w:rFonts w:asciiTheme="minorHAnsi" w:eastAsiaTheme="minorHAnsi" w:hAnsiTheme="minorHAnsi" w:cstheme="minorHAnsi"/>
        </w:rPr>
        <w:t>List of key contributing organisations to EWKR research</w:t>
      </w:r>
    </w:p>
    <w:p w14:paraId="6DAD5AD3" w14:textId="5F3926FE" w:rsidR="00C94010" w:rsidRPr="00BC4287" w:rsidRDefault="00C94010" w:rsidP="00BC4287">
      <w:pPr>
        <w:rPr>
          <w:rFonts w:asciiTheme="minorHAnsi" w:eastAsiaTheme="minorHAnsi" w:hAnsiTheme="minorHAnsi" w:cstheme="minorHAnsi"/>
        </w:rPr>
      </w:pPr>
    </w:p>
    <w:p w14:paraId="7F647184" w14:textId="77777777" w:rsidR="005962D4" w:rsidRPr="00BC4287" w:rsidRDefault="005962D4" w:rsidP="00BC4287">
      <w:pPr>
        <w:pStyle w:val="ListParagraph"/>
        <w:numPr>
          <w:ilvl w:val="0"/>
          <w:numId w:val="0"/>
        </w:numPr>
        <w:spacing w:line="240" w:lineRule="auto"/>
        <w:ind w:left="720"/>
        <w:rPr>
          <w:rFonts w:asciiTheme="minorHAnsi" w:hAnsiTheme="minorHAnsi" w:cstheme="minorHAnsi"/>
          <w:sz w:val="22"/>
          <w:szCs w:val="22"/>
        </w:rPr>
      </w:pPr>
    </w:p>
    <w:p w14:paraId="323EDD56" w14:textId="1581F7A0" w:rsidR="00A943B2" w:rsidRPr="00BC4287" w:rsidRDefault="00E22F46" w:rsidP="001C7655">
      <w:pPr>
        <w:pStyle w:val="Heading2"/>
      </w:pPr>
      <w:bookmarkStart w:id="61" w:name="_Toc17202445"/>
      <w:bookmarkEnd w:id="51"/>
      <w:bookmarkEnd w:id="52"/>
      <w:bookmarkEnd w:id="53"/>
      <w:bookmarkEnd w:id="54"/>
      <w:bookmarkEnd w:id="55"/>
      <w:bookmarkEnd w:id="56"/>
      <w:bookmarkEnd w:id="57"/>
      <w:r>
        <w:t xml:space="preserve">1.2 </w:t>
      </w:r>
      <w:r w:rsidR="00D2777E" w:rsidRPr="00BC4287">
        <w:t xml:space="preserve">Summary </w:t>
      </w:r>
      <w:r w:rsidR="005962D4" w:rsidRPr="00BC4287">
        <w:t>information provided in this report</w:t>
      </w:r>
      <w:bookmarkEnd w:id="61"/>
    </w:p>
    <w:p w14:paraId="060B9879" w14:textId="4FAB5486" w:rsidR="005962D4" w:rsidRDefault="005A7970" w:rsidP="00E53E38">
      <w:pPr>
        <w:pStyle w:val="BodyText"/>
        <w:rPr>
          <w:noProof/>
        </w:rPr>
      </w:pPr>
      <w:r w:rsidRPr="00BC4287">
        <w:rPr>
          <w:noProof/>
        </w:rPr>
        <w:t xml:space="preserve">Each theme within MDB EWKR generated </w:t>
      </w:r>
      <w:r w:rsidR="006963EB" w:rsidRPr="00BC4287">
        <w:rPr>
          <w:noProof/>
        </w:rPr>
        <w:t>key</w:t>
      </w:r>
      <w:r w:rsidRPr="00BC4287">
        <w:rPr>
          <w:noProof/>
        </w:rPr>
        <w:t xml:space="preserve"> knowledge about the Basin</w:t>
      </w:r>
      <w:r w:rsidR="003E14DA" w:rsidRPr="00BC4287">
        <w:t xml:space="preserve"> or supported theories about the ecology of the Basin</w:t>
      </w:r>
      <w:r w:rsidRPr="00BC4287">
        <w:rPr>
          <w:noProof/>
        </w:rPr>
        <w:t xml:space="preserve">. </w:t>
      </w:r>
      <w:r w:rsidR="00DD404E" w:rsidRPr="00BC4287">
        <w:rPr>
          <w:noProof/>
        </w:rPr>
        <w:t xml:space="preserve"> At the start of EWKR each theme chose key questions or knowledge gaps around which to base their research</w:t>
      </w:r>
      <w:r w:rsidR="00C4049C" w:rsidRPr="00BC4287">
        <w:rPr>
          <w:noProof/>
        </w:rPr>
        <w:t xml:space="preserve"> (presented as research focus)</w:t>
      </w:r>
      <w:r w:rsidR="00DD404E" w:rsidRPr="00BC4287">
        <w:rPr>
          <w:noProof/>
        </w:rPr>
        <w:t xml:space="preserve">. Each theme </w:t>
      </w:r>
      <w:r w:rsidR="00C4049C" w:rsidRPr="00BC4287">
        <w:rPr>
          <w:noProof/>
        </w:rPr>
        <w:t xml:space="preserve">developed </w:t>
      </w:r>
      <w:r w:rsidR="00DD404E" w:rsidRPr="00BC4287">
        <w:rPr>
          <w:noProof/>
        </w:rPr>
        <w:t>a number of individual research components (e.g. Fish projects 2.1 to 2.8) which took the form of models, experiments, field or laboratory studies or knowledge synthesis (</w:t>
      </w:r>
      <w:r w:rsidR="00C4049C" w:rsidRPr="00BC4287">
        <w:rPr>
          <w:noProof/>
        </w:rPr>
        <w:t xml:space="preserve">presented as </w:t>
      </w:r>
      <w:r w:rsidR="00DD404E" w:rsidRPr="00BC4287">
        <w:rPr>
          <w:noProof/>
        </w:rPr>
        <w:t xml:space="preserve">key findings); and related to the research questions. </w:t>
      </w:r>
      <w:r w:rsidR="00B26E9A" w:rsidRPr="00BC4287">
        <w:rPr>
          <w:noProof/>
        </w:rPr>
        <w:t>E</w:t>
      </w:r>
      <w:r w:rsidR="00DD404E" w:rsidRPr="00BC4287">
        <w:rPr>
          <w:noProof/>
        </w:rPr>
        <w:t>ach theme</w:t>
      </w:r>
      <w:r w:rsidR="00C4049C" w:rsidRPr="00BC4287">
        <w:rPr>
          <w:noProof/>
        </w:rPr>
        <w:t xml:space="preserve"> also</w:t>
      </w:r>
      <w:r w:rsidR="00DD404E" w:rsidRPr="00BC4287">
        <w:rPr>
          <w:noProof/>
        </w:rPr>
        <w:t xml:space="preserve"> synthesized their findings </w:t>
      </w:r>
      <w:r w:rsidR="004D73FA" w:rsidRPr="00BC4287">
        <w:rPr>
          <w:noProof/>
        </w:rPr>
        <w:t>(</w:t>
      </w:r>
      <w:r w:rsidR="00C4049C" w:rsidRPr="00BC4287">
        <w:rPr>
          <w:noProof/>
        </w:rPr>
        <w:t xml:space="preserve">presented as </w:t>
      </w:r>
      <w:r w:rsidR="004D73FA" w:rsidRPr="00BC4287">
        <w:rPr>
          <w:noProof/>
        </w:rPr>
        <w:t>theme synthesis)</w:t>
      </w:r>
      <w:r w:rsidR="005B055C" w:rsidRPr="00BC4287">
        <w:rPr>
          <w:noProof/>
        </w:rPr>
        <w:t xml:space="preserve"> </w:t>
      </w:r>
      <w:r w:rsidR="004D73FA" w:rsidRPr="00BC4287">
        <w:rPr>
          <w:noProof/>
        </w:rPr>
        <w:t>and</w:t>
      </w:r>
      <w:r w:rsidR="00DD404E" w:rsidRPr="00BC4287">
        <w:rPr>
          <w:noProof/>
        </w:rPr>
        <w:t xml:space="preserve"> provide</w:t>
      </w:r>
      <w:r w:rsidR="00C4049C" w:rsidRPr="00BC4287">
        <w:rPr>
          <w:noProof/>
        </w:rPr>
        <w:t>d</w:t>
      </w:r>
      <w:r w:rsidR="00DD404E" w:rsidRPr="00BC4287">
        <w:rPr>
          <w:noProof/>
        </w:rPr>
        <w:t xml:space="preserve"> </w:t>
      </w:r>
      <w:r w:rsidR="004D73FA" w:rsidRPr="00BC4287">
        <w:rPr>
          <w:noProof/>
        </w:rPr>
        <w:t xml:space="preserve">key </w:t>
      </w:r>
      <w:r w:rsidR="00FC1713">
        <w:rPr>
          <w:noProof/>
        </w:rPr>
        <w:t>considera</w:t>
      </w:r>
      <w:r w:rsidR="00C4049C" w:rsidRPr="00BC4287">
        <w:rPr>
          <w:noProof/>
        </w:rPr>
        <w:t>tions</w:t>
      </w:r>
      <w:r w:rsidR="00DD404E" w:rsidRPr="00BC4287">
        <w:rPr>
          <w:noProof/>
        </w:rPr>
        <w:t xml:space="preserve"> </w:t>
      </w:r>
      <w:r w:rsidR="005B055C" w:rsidRPr="00BC4287">
        <w:rPr>
          <w:noProof/>
        </w:rPr>
        <w:t xml:space="preserve">for </w:t>
      </w:r>
      <w:r w:rsidR="00DD404E" w:rsidRPr="00BC4287">
        <w:rPr>
          <w:noProof/>
        </w:rPr>
        <w:t>water managers</w:t>
      </w:r>
      <w:r w:rsidR="005962D4" w:rsidRPr="00BC4287">
        <w:rPr>
          <w:noProof/>
        </w:rPr>
        <w:t xml:space="preserve"> (presented as </w:t>
      </w:r>
      <w:r w:rsidR="00FC1713">
        <w:t>information for managers</w:t>
      </w:r>
      <w:r w:rsidR="005962D4" w:rsidRPr="00BC4287">
        <w:rPr>
          <w:noProof/>
        </w:rPr>
        <w:t>)</w:t>
      </w:r>
      <w:r w:rsidR="004D73FA" w:rsidRPr="00BC4287">
        <w:rPr>
          <w:noProof/>
        </w:rPr>
        <w:t>.</w:t>
      </w:r>
      <w:r w:rsidR="00DD404E" w:rsidRPr="00BC4287">
        <w:rPr>
          <w:noProof/>
        </w:rPr>
        <w:t xml:space="preserve"> </w:t>
      </w:r>
      <w:r w:rsidR="00C4049C" w:rsidRPr="00BC4287">
        <w:rPr>
          <w:noProof/>
        </w:rPr>
        <w:t>Lastly themes provided information about the knowledge status of their area of study</w:t>
      </w:r>
      <w:r w:rsidR="005962D4" w:rsidRPr="00BC4287">
        <w:rPr>
          <w:noProof/>
        </w:rPr>
        <w:t xml:space="preserve"> (presented as knowledge status) which </w:t>
      </w:r>
      <w:r w:rsidR="00C4049C" w:rsidRPr="00BC4287">
        <w:rPr>
          <w:noProof/>
        </w:rPr>
        <w:t>highlights what remains to be learned to better understand flows and the environment</w:t>
      </w:r>
      <w:r w:rsidR="005962D4" w:rsidRPr="00BC4287">
        <w:rPr>
          <w:noProof/>
        </w:rPr>
        <w:t xml:space="preserve"> within the research focus area</w:t>
      </w:r>
      <w:r w:rsidR="00C4049C" w:rsidRPr="00BC4287">
        <w:rPr>
          <w:noProof/>
        </w:rPr>
        <w:t xml:space="preserve">. </w:t>
      </w:r>
      <w:r w:rsidR="00594B90" w:rsidRPr="00BC4287">
        <w:rPr>
          <w:noProof/>
        </w:rPr>
        <w:t xml:space="preserve">Reference is made to the </w:t>
      </w:r>
      <w:r w:rsidR="00E5660A">
        <w:rPr>
          <w:noProof/>
        </w:rPr>
        <w:t xml:space="preserve">relevant </w:t>
      </w:r>
      <w:r w:rsidR="00594B90" w:rsidRPr="00BC4287">
        <w:rPr>
          <w:noProof/>
        </w:rPr>
        <w:t xml:space="preserve">section of thematic reports at the end of paragraphs. For example, (Fish 3.5) refers to section 3.5 of the fish theme report. </w:t>
      </w:r>
    </w:p>
    <w:p w14:paraId="1D2E3C30" w14:textId="6E63E2D3" w:rsidR="005C7EEE" w:rsidRPr="00BC4287" w:rsidRDefault="00B236FE" w:rsidP="00E53E38">
      <w:pPr>
        <w:pStyle w:val="BodyText"/>
        <w:rPr>
          <w:noProof/>
        </w:rPr>
      </w:pPr>
      <w:r>
        <w:rPr>
          <w:noProof/>
        </w:rPr>
        <w:t>This Synthesis Report</w:t>
      </w:r>
      <w:r w:rsidR="00613818">
        <w:rPr>
          <w:noProof/>
        </w:rPr>
        <w:t xml:space="preserve"> integrates the information between </w:t>
      </w:r>
      <w:r>
        <w:rPr>
          <w:noProof/>
        </w:rPr>
        <w:t xml:space="preserve">all four </w:t>
      </w:r>
      <w:r w:rsidR="00613818">
        <w:rPr>
          <w:noProof/>
        </w:rPr>
        <w:t>themes and how they relate to one another.</w:t>
      </w:r>
    </w:p>
    <w:p w14:paraId="233387D4" w14:textId="62761584" w:rsidR="00C4049C" w:rsidRPr="00BC4287" w:rsidRDefault="00C4049C" w:rsidP="00E53E38">
      <w:pPr>
        <w:pStyle w:val="BodyText"/>
        <w:rPr>
          <w:noProof/>
        </w:rPr>
      </w:pPr>
      <w:r w:rsidRPr="00BC4287">
        <w:rPr>
          <w:noProof/>
        </w:rPr>
        <w:t>Information from th</w:t>
      </w:r>
      <w:r w:rsidR="005962D4" w:rsidRPr="00BC4287">
        <w:rPr>
          <w:noProof/>
        </w:rPr>
        <w:t>eme</w:t>
      </w:r>
      <w:r w:rsidRPr="00BC4287">
        <w:rPr>
          <w:noProof/>
        </w:rPr>
        <w:t xml:space="preserve"> reports are briefly summarised </w:t>
      </w:r>
      <w:r w:rsidR="005962D4" w:rsidRPr="00BC4287">
        <w:rPr>
          <w:noProof/>
        </w:rPr>
        <w:t>in this report</w:t>
      </w:r>
      <w:r w:rsidRPr="00BC4287">
        <w:rPr>
          <w:noProof/>
        </w:rPr>
        <w:t>.</w:t>
      </w:r>
    </w:p>
    <w:p w14:paraId="2F781534" w14:textId="7AD673B7" w:rsidR="00E7637C" w:rsidRPr="00BC4287" w:rsidRDefault="00E7637C" w:rsidP="00E53E38">
      <w:pPr>
        <w:pStyle w:val="BodyText"/>
        <w:rPr>
          <w:noProof/>
        </w:rPr>
      </w:pPr>
      <w:r w:rsidRPr="00BC4287">
        <w:rPr>
          <w:noProof/>
        </w:rPr>
        <w:t xml:space="preserve">Full theme research reports can be found </w:t>
      </w:r>
      <w:r w:rsidR="00E5660A">
        <w:rPr>
          <w:noProof/>
        </w:rPr>
        <w:t xml:space="preserve">on the Commonwealth Envrionmental Water Office website at: </w:t>
      </w:r>
      <w:r w:rsidR="00E5660A" w:rsidRPr="00E5660A">
        <w:rPr>
          <w:noProof/>
        </w:rPr>
        <w:t>www.environment.gov.au/water/cewo</w:t>
      </w:r>
    </w:p>
    <w:p w14:paraId="13E63D0D" w14:textId="77777777" w:rsidR="005962D4" w:rsidRPr="00BC4287" w:rsidRDefault="005962D4" w:rsidP="00E53E38">
      <w:pPr>
        <w:pStyle w:val="BodyText"/>
      </w:pPr>
    </w:p>
    <w:p w14:paraId="78EE1176" w14:textId="2B6CCFFF" w:rsidR="00E65A13" w:rsidRPr="00662A36" w:rsidRDefault="00CB3557" w:rsidP="00662A36">
      <w:pPr>
        <w:pStyle w:val="Heading1"/>
      </w:pPr>
      <w:bookmarkStart w:id="62" w:name="_Toc17202446"/>
      <w:r w:rsidRPr="00662A36">
        <w:t>Fish theme</w:t>
      </w:r>
      <w:bookmarkEnd w:id="62"/>
    </w:p>
    <w:p w14:paraId="572175E4" w14:textId="2176F873" w:rsidR="002E22B6" w:rsidRPr="002A544F" w:rsidRDefault="00E22F46" w:rsidP="001C7655">
      <w:pPr>
        <w:pStyle w:val="Heading2"/>
      </w:pPr>
      <w:bookmarkStart w:id="63" w:name="_Toc17202447"/>
      <w:r>
        <w:t xml:space="preserve">2.1 </w:t>
      </w:r>
      <w:r w:rsidR="002E22B6" w:rsidRPr="002A544F">
        <w:t xml:space="preserve">Fish theme </w:t>
      </w:r>
      <w:r w:rsidR="00DD404E" w:rsidRPr="002A544F">
        <w:t>research focus</w:t>
      </w:r>
      <w:bookmarkEnd w:id="63"/>
      <w:r w:rsidR="002E22B6" w:rsidRPr="002A544F">
        <w:t xml:space="preserve"> </w:t>
      </w:r>
    </w:p>
    <w:p w14:paraId="6170F5DD" w14:textId="3A60750B" w:rsidR="00E30412" w:rsidRPr="00BC4287" w:rsidRDefault="00E30412" w:rsidP="00E53E38">
      <w:pPr>
        <w:pStyle w:val="BodyText"/>
      </w:pPr>
      <w:r w:rsidRPr="00BC4287">
        <w:t xml:space="preserve">The MDB EWKR Fish Theme focussed on fish recruitment in the </w:t>
      </w:r>
      <w:r w:rsidR="00BE5A56">
        <w:t>Basin</w:t>
      </w:r>
      <w:r w:rsidR="00BE5A56" w:rsidRPr="00BC4287">
        <w:t xml:space="preserve"> </w:t>
      </w:r>
      <w:r w:rsidRPr="00BC4287">
        <w:t>and sought to improve understanding of the key drivers, functional processes and limitations of successful recruitment of native fish. This was captured in three research focus areas:</w:t>
      </w:r>
    </w:p>
    <w:p w14:paraId="37A7F047" w14:textId="77777777" w:rsidR="00E30412" w:rsidRPr="00BC4287" w:rsidRDefault="00E30412" w:rsidP="00E53E38">
      <w:pPr>
        <w:pStyle w:val="BodyText"/>
      </w:pPr>
      <w:r w:rsidRPr="00BC4287">
        <w:t>1. What are the food and temperature requirements of the early-life stages of target species?</w:t>
      </w:r>
    </w:p>
    <w:p w14:paraId="2BF10C6D" w14:textId="77777777" w:rsidR="00E30412" w:rsidRPr="00BC4287" w:rsidRDefault="00E30412" w:rsidP="00E53E38">
      <w:pPr>
        <w:pStyle w:val="BodyText"/>
      </w:pPr>
      <w:r w:rsidRPr="00BC4287">
        <w:t xml:space="preserve"> 2. Where in the riverscape, and under what flow conditions, are these food and temperature requirements best met? </w:t>
      </w:r>
    </w:p>
    <w:p w14:paraId="0CDFCFAC" w14:textId="4BFAFACF" w:rsidR="00E30412" w:rsidRPr="00BC4287" w:rsidRDefault="00E30412" w:rsidP="00E53E38">
      <w:pPr>
        <w:pStyle w:val="BodyText"/>
      </w:pPr>
      <w:r w:rsidRPr="00BC4287">
        <w:t>3. How do dispersal and retention influence recruitment?</w:t>
      </w:r>
    </w:p>
    <w:p w14:paraId="5BBFBDB8" w14:textId="57EAFCBB" w:rsidR="00E30412" w:rsidRPr="007642EE" w:rsidRDefault="00E22F46" w:rsidP="001C7655">
      <w:pPr>
        <w:pStyle w:val="Heading2"/>
      </w:pPr>
      <w:bookmarkStart w:id="64" w:name="_Toc17202448"/>
      <w:r w:rsidRPr="007642EE">
        <w:rPr>
          <w:rStyle w:val="Heading3Char"/>
          <w:rFonts w:cstheme="minorHAnsi"/>
          <w:sz w:val="28"/>
        </w:rPr>
        <w:t xml:space="preserve">2.2 </w:t>
      </w:r>
      <w:r w:rsidR="002E22B6" w:rsidRPr="007642EE">
        <w:rPr>
          <w:rStyle w:val="Heading3Char"/>
          <w:rFonts w:cstheme="minorHAnsi"/>
          <w:sz w:val="28"/>
        </w:rPr>
        <w:t>Fish theme key findings</w:t>
      </w:r>
      <w:bookmarkEnd w:id="64"/>
      <w:r w:rsidR="002E22B6" w:rsidRPr="007642EE">
        <w:t xml:space="preserve"> </w:t>
      </w:r>
    </w:p>
    <w:p w14:paraId="4D5655C8" w14:textId="7B975580" w:rsidR="008C4BB0" w:rsidRPr="00BC4287" w:rsidRDefault="008C4BB0" w:rsidP="00E53E38">
      <w:pPr>
        <w:pStyle w:val="BodyText"/>
      </w:pPr>
      <w:r w:rsidRPr="00BC4287">
        <w:t xml:space="preserve">The fish theme created a conceptual model and conducted a literature review that summarised the influence of flow and non-flow related stressors on fish recruitment. This work found that </w:t>
      </w:r>
      <w:r w:rsidR="00915E9F">
        <w:t xml:space="preserve">1) </w:t>
      </w:r>
      <w:r w:rsidRPr="00BC4287">
        <w:t>flow regulation impacts recruitment but how this happens is poorly understood</w:t>
      </w:r>
      <w:r w:rsidR="00915E9F">
        <w:t>;</w:t>
      </w:r>
      <w:r w:rsidRPr="00BC4287">
        <w:t xml:space="preserve"> </w:t>
      </w:r>
      <w:r w:rsidR="00915E9F">
        <w:t xml:space="preserve">2) </w:t>
      </w:r>
      <w:r w:rsidRPr="00BC4287">
        <w:t>temperature affects fish spawning, but it was not known how it influences growth and survival</w:t>
      </w:r>
      <w:r w:rsidR="00915E9F">
        <w:t>; 3)</w:t>
      </w:r>
      <w:r w:rsidRPr="00BC4287">
        <w:t xml:space="preserve"> food quantity and quality are likely key drivers of recruitment</w:t>
      </w:r>
      <w:r w:rsidR="00915E9F">
        <w:t xml:space="preserve"> and; 4)</w:t>
      </w:r>
      <w:r w:rsidRPr="00BC4287">
        <w:t xml:space="preserve"> there is evidence for increased mortality of eggs and larvae associated with barriers and infrastructure (Fish 2.1). This information was </w:t>
      </w:r>
      <w:r w:rsidR="007335D3" w:rsidRPr="00BC4287">
        <w:t>used to design other research questions.</w:t>
      </w:r>
    </w:p>
    <w:p w14:paraId="2D21F553" w14:textId="33B060D9" w:rsidR="007335D3" w:rsidRPr="00BC4287" w:rsidRDefault="007335D3" w:rsidP="00E53E38">
      <w:pPr>
        <w:pStyle w:val="BodyText"/>
      </w:pPr>
      <w:r w:rsidRPr="00BC4287">
        <w:t>Th</w:t>
      </w:r>
      <w:r w:rsidR="00915E9F">
        <w:t>e</w:t>
      </w:r>
      <w:r w:rsidRPr="00BC4287">
        <w:t xml:space="preserve"> fish theme identified knowledge gaps regarding the flow-related ecology of freshwater fish</w:t>
      </w:r>
      <w:r w:rsidR="00915E9F">
        <w:t>.</w:t>
      </w:r>
      <w:r w:rsidRPr="00BC4287">
        <w:t xml:space="preserve"> This included a review of the contemporary scientific knowledge and the knowledge base and needs of water managers (review and workshop). The major objective was to provide an up-to-date synthesis of knowledge pertaining to the flow-related ecology of </w:t>
      </w:r>
      <w:r w:rsidR="00BE5A56">
        <w:t>the Basin</w:t>
      </w:r>
      <w:r w:rsidR="00BE5A56" w:rsidRPr="00BC4287">
        <w:t xml:space="preserve"> </w:t>
      </w:r>
      <w:r w:rsidRPr="00BC4287">
        <w:t xml:space="preserve">fishes, from both scientific and management perspectives. The main knowledge gap identified was a lack of understanding </w:t>
      </w:r>
      <w:r w:rsidR="00915E9F">
        <w:t>about</w:t>
      </w:r>
      <w:r w:rsidR="00915E9F" w:rsidRPr="00BC4287">
        <w:t xml:space="preserve"> </w:t>
      </w:r>
      <w:r w:rsidRPr="00BC4287">
        <w:t>the influence of flow on survival rates of all life-stages. The importance of close collaboration between scientists and managers was another key result of this work (Fish 2.2)</w:t>
      </w:r>
    </w:p>
    <w:p w14:paraId="39D5B614" w14:textId="2239266F" w:rsidR="007335D3" w:rsidRPr="00BC4287" w:rsidRDefault="007335D3" w:rsidP="00E53E38">
      <w:pPr>
        <w:pStyle w:val="BodyText"/>
      </w:pPr>
      <w:r w:rsidRPr="00BC4287">
        <w:t xml:space="preserve">A riverscape recruitment model was developed by the fish theme which filled an important gap in understanding freshwater fish. This model allows the prediction of recruitment strength based on discharge, reach physical complexity, temperature and food availability, and the life history strategy of the fish (Fish 2.3). </w:t>
      </w:r>
    </w:p>
    <w:p w14:paraId="35E08011" w14:textId="058444EC" w:rsidR="003F5659" w:rsidRPr="00BC4287" w:rsidRDefault="007335D3" w:rsidP="00E53E38">
      <w:pPr>
        <w:pStyle w:val="BodyText"/>
      </w:pPr>
      <w:r w:rsidRPr="00BC4287">
        <w:t>A series of experiments examined the relationship between food density, temperature and fish growth and survival. These showed that l</w:t>
      </w:r>
      <w:r w:rsidR="003F5659" w:rsidRPr="00BC4287">
        <w:t>arval fish growth and survival is influenced by food availability and water temperature, and the interaction between these factors</w:t>
      </w:r>
      <w:r w:rsidR="00E7637C" w:rsidRPr="00BC4287">
        <w:t xml:space="preserve"> with fish preferring </w:t>
      </w:r>
      <w:r w:rsidR="002161C6" w:rsidRPr="00BC4287">
        <w:t>species specific</w:t>
      </w:r>
      <w:r w:rsidR="00E7637C" w:rsidRPr="00BC4287">
        <w:t xml:space="preserve"> temperatures</w:t>
      </w:r>
      <w:r w:rsidR="002161C6" w:rsidRPr="00BC4287">
        <w:t xml:space="preserve">. </w:t>
      </w:r>
      <w:r w:rsidR="00E7637C" w:rsidRPr="00BC4287">
        <w:t xml:space="preserve"> </w:t>
      </w:r>
      <w:r w:rsidR="002161C6" w:rsidRPr="00BC4287">
        <w:t xml:space="preserve">For example, the survival of Murray Cod larvae was extremely low at </w:t>
      </w:r>
      <w:r w:rsidR="00566808" w:rsidRPr="00BC4287">
        <w:t>cool</w:t>
      </w:r>
      <w:r w:rsidR="002161C6" w:rsidRPr="00BC4287">
        <w:t xml:space="preserve"> temperatures</w:t>
      </w:r>
      <w:r w:rsidRPr="00BC4287">
        <w:t>.</w:t>
      </w:r>
      <w:r w:rsidR="00566808" w:rsidRPr="00BC4287">
        <w:t xml:space="preserve"> The results from this project have demonstrated the importance of the </w:t>
      </w:r>
      <w:r w:rsidR="001C0001">
        <w:t>relationship</w:t>
      </w:r>
      <w:r w:rsidR="001C0001" w:rsidRPr="00BC4287">
        <w:t xml:space="preserve"> </w:t>
      </w:r>
      <w:r w:rsidR="00566808" w:rsidRPr="00BC4287">
        <w:t>of appropriate food densities with appropriate water temperatures for growth and survival of young Golden Perch and Murray Cod</w:t>
      </w:r>
      <w:r w:rsidRPr="00BC4287">
        <w:t xml:space="preserve"> </w:t>
      </w:r>
      <w:r w:rsidR="003F5659" w:rsidRPr="00BC4287">
        <w:t>(Fish 2.4)</w:t>
      </w:r>
      <w:r w:rsidR="00566808" w:rsidRPr="00BC4287">
        <w:t xml:space="preserve">. </w:t>
      </w:r>
    </w:p>
    <w:p w14:paraId="06179B23" w14:textId="5570DD28" w:rsidR="003F5659" w:rsidRPr="00BC4287" w:rsidRDefault="00566808" w:rsidP="00E53E38">
      <w:pPr>
        <w:pStyle w:val="BodyText"/>
      </w:pPr>
      <w:r w:rsidRPr="00BC4287">
        <w:t xml:space="preserve">A field sampling study was undertaken to better understand the life history of fishes in the northern </w:t>
      </w:r>
      <w:r w:rsidR="00BE5A56">
        <w:t>Basin</w:t>
      </w:r>
      <w:r w:rsidRPr="00BC4287">
        <w:t xml:space="preserve">, which differ from the southern </w:t>
      </w:r>
      <w:r w:rsidR="00BE5A56">
        <w:t>Basin</w:t>
      </w:r>
      <w:r w:rsidR="00BE5A56" w:rsidRPr="00BC4287">
        <w:t xml:space="preserve"> </w:t>
      </w:r>
      <w:r w:rsidRPr="00BC4287">
        <w:t xml:space="preserve">where flow is more permanent. </w:t>
      </w:r>
      <w:r w:rsidR="001C0001">
        <w:t>T</w:t>
      </w:r>
      <w:r w:rsidR="003F5659" w:rsidRPr="00BC4287">
        <w:t xml:space="preserve">he northern </w:t>
      </w:r>
      <w:r w:rsidR="00BE5A56">
        <w:t>Basin</w:t>
      </w:r>
      <w:r w:rsidR="00BE5A56" w:rsidRPr="00BC4287">
        <w:t xml:space="preserve"> </w:t>
      </w:r>
      <w:r w:rsidR="003F5659" w:rsidRPr="00BC4287">
        <w:t>rivers commonly retreat to unconnected waterholes,</w:t>
      </w:r>
      <w:r w:rsidR="006963EB" w:rsidRPr="00BC4287">
        <w:t xml:space="preserve"> </w:t>
      </w:r>
      <w:r w:rsidRPr="00BC4287">
        <w:t xml:space="preserve">making </w:t>
      </w:r>
      <w:r w:rsidR="006963EB" w:rsidRPr="00BC4287">
        <w:t>the management of</w:t>
      </w:r>
      <w:r w:rsidR="003F5659" w:rsidRPr="00BC4287">
        <w:t xml:space="preserve"> large waterholes crucial for maintaining fish population viability</w:t>
      </w:r>
      <w:r w:rsidR="00E7637C" w:rsidRPr="00BC4287">
        <w:t xml:space="preserve">. </w:t>
      </w:r>
      <w:r w:rsidRPr="00BC4287">
        <w:t>This study was conducted during extreme drought and found that while small numbers of larval and adult fish were present</w:t>
      </w:r>
      <w:r w:rsidR="001C0001">
        <w:t>,</w:t>
      </w:r>
      <w:r w:rsidRPr="00BC4287">
        <w:t xml:space="preserve"> these had reduced by an order of magnitude from previous studies. This result highlights that certain large, deep and complex</w:t>
      </w:r>
      <w:r w:rsidR="00E7637C" w:rsidRPr="00BC4287">
        <w:t xml:space="preserve"> waterholes act as refugia for fish during drought and must be protected from extraction</w:t>
      </w:r>
      <w:r w:rsidR="00C33BDB" w:rsidRPr="00BC4287">
        <w:t xml:space="preserve"> and flood plain harvesting</w:t>
      </w:r>
      <w:r w:rsidR="00E7637C" w:rsidRPr="00BC4287">
        <w:t xml:space="preserve">. </w:t>
      </w:r>
      <w:r w:rsidRPr="00BC4287">
        <w:t>Reconnection during high flow events will be needed to ensure recolonization and population mixing in previously dry areas</w:t>
      </w:r>
      <w:r w:rsidR="003F5659" w:rsidRPr="00BC4287">
        <w:t xml:space="preserve"> (Fish 2.5) </w:t>
      </w:r>
    </w:p>
    <w:p w14:paraId="2E2BCBA8" w14:textId="4D946946" w:rsidR="003F5659" w:rsidRPr="00BC4287" w:rsidRDefault="00566808" w:rsidP="00E53E38">
      <w:pPr>
        <w:pStyle w:val="BodyText"/>
      </w:pPr>
      <w:r w:rsidRPr="00BC4287">
        <w:t>Thermal and nutritional regimes were compared between the main channel and floodplain wetland and anabranch sites. This study found that f</w:t>
      </w:r>
      <w:r w:rsidR="007C6919" w:rsidRPr="00BC4287">
        <w:t xml:space="preserve">loodplains are </w:t>
      </w:r>
      <w:r w:rsidR="007C6919" w:rsidRPr="00BC4287">
        <w:rPr>
          <w:i/>
        </w:rPr>
        <w:t>not</w:t>
      </w:r>
      <w:r w:rsidR="007C6919" w:rsidRPr="00BC4287">
        <w:t xml:space="preserve"> warmer, more stable water temperature environments </w:t>
      </w:r>
      <w:r w:rsidR="00575499" w:rsidRPr="00BC4287">
        <w:t xml:space="preserve">than </w:t>
      </w:r>
      <w:r w:rsidR="007C6919" w:rsidRPr="00BC4287">
        <w:t>the river channel</w:t>
      </w:r>
      <w:r w:rsidR="00C114E1" w:rsidRPr="00BC4287">
        <w:t>,</w:t>
      </w:r>
      <w:r w:rsidR="00C738D3" w:rsidRPr="00BC4287">
        <w:t xml:space="preserve"> as has previously been published in the scientific literature. </w:t>
      </w:r>
      <w:r w:rsidR="002161C6" w:rsidRPr="00BC4287">
        <w:t>This may be due to insufficient temperature measurements being taken in other studies</w:t>
      </w:r>
      <w:r w:rsidRPr="00BC4287">
        <w:t xml:space="preserve">. The </w:t>
      </w:r>
      <w:r w:rsidRPr="00BC4287">
        <w:rPr>
          <w:i/>
        </w:rPr>
        <w:t>density</w:t>
      </w:r>
      <w:r w:rsidRPr="00BC4287">
        <w:t xml:space="preserve"> of larval fish food (zooplankton) is higher in floodplain habitats (wetlands and anabranches) than the river channel, pointing to the need for connection of these habitats when water is available and larval fish are present. Anabranches are more readily connected th</w:t>
      </w:r>
      <w:r w:rsidR="001C0001">
        <w:t>a</w:t>
      </w:r>
      <w:r w:rsidRPr="00BC4287">
        <w:t>n wetlands and so may be easier to manage</w:t>
      </w:r>
      <w:r w:rsidR="006963EB" w:rsidRPr="00BC4287">
        <w:t xml:space="preserve"> </w:t>
      </w:r>
      <w:r w:rsidR="007C6919" w:rsidRPr="00BC4287">
        <w:t>(Fish 2.6)</w:t>
      </w:r>
      <w:r w:rsidRPr="00BC4287">
        <w:t>.</w:t>
      </w:r>
    </w:p>
    <w:p w14:paraId="4974AA7A" w14:textId="2AA062B9" w:rsidR="007C6919" w:rsidRPr="00BC4287" w:rsidRDefault="00C114E1" w:rsidP="00E53E38">
      <w:pPr>
        <w:pStyle w:val="BodyText"/>
      </w:pPr>
      <w:r w:rsidRPr="00BC4287">
        <w:t xml:space="preserve">A field study was designed to test the usefulness of the river recruitment model (Fish 2.3). </w:t>
      </w:r>
      <w:r w:rsidRPr="00BC4287">
        <w:rPr>
          <w:lang w:val="en-US"/>
        </w:rPr>
        <w:t>The specific questions were: 1) what is the relationship between reach physical complexity and flow retentiveness and how does this change with discharge; and 2) what is the relationship between the density and composition of zooplankton in a lowland river and reach retentiveness, and how does this relationship change with discharge? This study found that a</w:t>
      </w:r>
      <w:r w:rsidR="007C6919" w:rsidRPr="00BC4287">
        <w:t>s</w:t>
      </w:r>
      <w:r w:rsidR="00C738D3" w:rsidRPr="00BC4287">
        <w:t xml:space="preserve"> water</w:t>
      </w:r>
      <w:r w:rsidR="007C6919" w:rsidRPr="00BC4287">
        <w:t xml:space="preserve"> discharge declines, reach retentiveness (the ability to retain nutrients, sediments</w:t>
      </w:r>
      <w:r w:rsidR="002161C6" w:rsidRPr="00BC4287">
        <w:t xml:space="preserve"> and </w:t>
      </w:r>
      <w:r w:rsidR="007C6919" w:rsidRPr="00BC4287">
        <w:t>organisms</w:t>
      </w:r>
      <w:r w:rsidR="001C0001">
        <w:t>)</w:t>
      </w:r>
      <w:r w:rsidR="007C6919" w:rsidRPr="00BC4287">
        <w:t xml:space="preserve"> in specific parts of the rive</w:t>
      </w:r>
      <w:r w:rsidRPr="00BC4287">
        <w:t xml:space="preserve">r </w:t>
      </w:r>
      <w:r w:rsidR="007C6919" w:rsidRPr="00BC4287">
        <w:t>increases</w:t>
      </w:r>
      <w:r w:rsidRPr="00BC4287">
        <w:t>. However, this relationship was altered depending on the shape of the river channel and the complexity of the habitat</w:t>
      </w:r>
      <w:r w:rsidR="007C6919" w:rsidRPr="00BC4287">
        <w:t xml:space="preserve"> (Fish 2.7</w:t>
      </w:r>
      <w:r w:rsidRPr="00BC4287">
        <w:t>).</w:t>
      </w:r>
    </w:p>
    <w:p w14:paraId="246C86E5" w14:textId="3B70F3E5" w:rsidR="007C6919" w:rsidRPr="00BC4287" w:rsidRDefault="00C114E1" w:rsidP="00E53E38">
      <w:pPr>
        <w:pStyle w:val="BodyText"/>
      </w:pPr>
      <w:r w:rsidRPr="00BC4287">
        <w:t>A laboratory study aimed to improve the understanding of larval dispersal of three iconic Australian freshwater fish, Golden Perch (</w:t>
      </w:r>
      <w:r w:rsidRPr="00BC4287">
        <w:rPr>
          <w:i/>
        </w:rPr>
        <w:t>Macquaria ambigua</w:t>
      </w:r>
      <w:r w:rsidRPr="00BC4287">
        <w:t>), Murray Cod (</w:t>
      </w:r>
      <w:r w:rsidRPr="00BC4287">
        <w:rPr>
          <w:i/>
        </w:rPr>
        <w:t>Maccullochella peelii</w:t>
      </w:r>
      <w:r w:rsidRPr="00BC4287">
        <w:t>), and Trout Cod (</w:t>
      </w:r>
      <w:r w:rsidRPr="00BC4287">
        <w:rPr>
          <w:i/>
        </w:rPr>
        <w:t>Maccullochella macquariensis</w:t>
      </w:r>
      <w:r w:rsidRPr="00BC4287">
        <w:t>), by investigating swimming behaviour under a range of simulated flow conditions. This study found that l</w:t>
      </w:r>
      <w:r w:rsidR="007C6919" w:rsidRPr="00BC4287">
        <w:t>arval fish are not drifting passively with river currents but are instead making choices about where they are in a river channel. This differs between species</w:t>
      </w:r>
      <w:r w:rsidR="00C738D3" w:rsidRPr="00BC4287">
        <w:t xml:space="preserve"> but is important to underst</w:t>
      </w:r>
      <w:r w:rsidR="002161C6" w:rsidRPr="00BC4287">
        <w:t xml:space="preserve">and that larval fish are searching for optimal places within a river which supplies the correct food, structure and temperature for them to thrive. </w:t>
      </w:r>
      <w:r w:rsidR="007C6919" w:rsidRPr="00BC4287">
        <w:t>(Fish 2.8)</w:t>
      </w:r>
      <w:r w:rsidR="002161C6" w:rsidRPr="00BC4287">
        <w:t xml:space="preserve">. </w:t>
      </w:r>
    </w:p>
    <w:p w14:paraId="03E5E47D" w14:textId="6BD8414E" w:rsidR="008B6603" w:rsidRPr="008B6603" w:rsidRDefault="008B6603" w:rsidP="00E53E38">
      <w:pPr>
        <w:pStyle w:val="BodyText"/>
      </w:pPr>
      <w:r w:rsidRPr="00BC4287">
        <w:t>A field study</w:t>
      </w:r>
      <w:r w:rsidRPr="00BC4287">
        <w:rPr>
          <w:lang w:eastAsia="de-DE" w:bidi="de-DE"/>
        </w:rPr>
        <w:t xml:space="preserve"> quantified the relationship between flow and reach-scale retentiveness (ability to retain objects within the water due to slack-water, structure or other barrier) of larvae of species with different swimming abilities (Golden Perch and Murray Cod). </w:t>
      </w:r>
      <w:r w:rsidRPr="008B6603">
        <w:t>In most cases, more larvae of both species were retained in reaches, regardless of reach retentiveness, than passive particles. This strongly suggests that Murray Cod and Golden Perch larvae are not passive in their movements through lowland river reaches but have some capacity to determine their location</w:t>
      </w:r>
      <w:r w:rsidRPr="00BC4287">
        <w:t xml:space="preserve"> (Fish 2.9)</w:t>
      </w:r>
      <w:r w:rsidRPr="008B6603">
        <w:t>.</w:t>
      </w:r>
    </w:p>
    <w:p w14:paraId="4DCF21FA" w14:textId="00D3CCA7" w:rsidR="002B2723" w:rsidRPr="00BC4287" w:rsidRDefault="008B6603" w:rsidP="00E53E38">
      <w:pPr>
        <w:pStyle w:val="BodyText"/>
      </w:pPr>
      <w:r w:rsidRPr="00BC4287">
        <w:t>A Basin wide study investigated the spatial scale at which Murray Cod and Golden Perch populations operate.  This study demonstrated that t</w:t>
      </w:r>
      <w:r w:rsidR="007C6919" w:rsidRPr="00BC4287">
        <w:t>here is no</w:t>
      </w:r>
      <w:r w:rsidR="002E22B6" w:rsidRPr="00BC4287">
        <w:t xml:space="preserve"> one place which is the</w:t>
      </w:r>
      <w:r w:rsidR="007C6919" w:rsidRPr="00BC4287">
        <w:t xml:space="preserve"> dominant source</w:t>
      </w:r>
      <w:r w:rsidR="002B2723" w:rsidRPr="00BC4287">
        <w:t xml:space="preserve"> of recruitment for Murray Cod and Golden </w:t>
      </w:r>
      <w:r w:rsidR="00E30412" w:rsidRPr="00BC4287">
        <w:t>Perch</w:t>
      </w:r>
      <w:r w:rsidR="002B2723" w:rsidRPr="00BC4287">
        <w:t xml:space="preserve"> in the </w:t>
      </w:r>
      <w:r w:rsidR="00BE5A56">
        <w:t>Basin</w:t>
      </w:r>
      <w:r w:rsidR="00C738D3" w:rsidRPr="00BC4287">
        <w:t>, for example, it is often sa</w:t>
      </w:r>
      <w:r w:rsidR="002161C6" w:rsidRPr="00BC4287">
        <w:t>i</w:t>
      </w:r>
      <w:r w:rsidR="00C738D3" w:rsidRPr="00BC4287">
        <w:t>d that the Menindee Lakes is the key source for Murray Cod</w:t>
      </w:r>
      <w:r w:rsidR="005C0CA6" w:rsidRPr="00BC4287">
        <w:t xml:space="preserve"> </w:t>
      </w:r>
      <w:hyperlink r:id="rId25" w:history="1">
        <w:r w:rsidR="005C0CA6" w:rsidRPr="00BC4287">
          <w:rPr>
            <w:color w:val="0000FF"/>
            <w:u w:val="single"/>
          </w:rPr>
          <w:t>https://www.abc.net.au/news/2019-05-06/fish-hatchery-set-for-menindee/11082376</w:t>
        </w:r>
      </w:hyperlink>
      <w:r w:rsidRPr="00BC4287">
        <w:t xml:space="preserve">. </w:t>
      </w:r>
      <w:r w:rsidRPr="00BC4287">
        <w:rPr>
          <w:lang w:val="en-US"/>
        </w:rPr>
        <w:t>For both Golden Perch and Murray Cod, connectivity between tributary and mainstem habitats can be a substantial driver of population structure. Where possible, maintaining the unique hydrologic and habitat characteristics of tributaries or mainstem rivers is paramount, as is facilitating connectivity between tributary and mainstem populations</w:t>
      </w:r>
      <w:r w:rsidR="002B2723" w:rsidRPr="00BC4287">
        <w:t xml:space="preserve"> (Fish 2.10)</w:t>
      </w:r>
      <w:r w:rsidR="002161C6" w:rsidRPr="00BC4287">
        <w:t>.</w:t>
      </w:r>
    </w:p>
    <w:p w14:paraId="6FD3FE57" w14:textId="506EB0C3" w:rsidR="002E22B6" w:rsidRPr="00BC4287" w:rsidRDefault="00E22F46" w:rsidP="001C7655">
      <w:pPr>
        <w:pStyle w:val="Heading2"/>
      </w:pPr>
      <w:bookmarkStart w:id="65" w:name="_Toc17202449"/>
      <w:r>
        <w:t xml:space="preserve">2.3 </w:t>
      </w:r>
      <w:r w:rsidR="002E22B6" w:rsidRPr="00BC4287">
        <w:t>Fish theme synthesis</w:t>
      </w:r>
      <w:bookmarkEnd w:id="65"/>
    </w:p>
    <w:p w14:paraId="18FF1A97" w14:textId="585EE67A" w:rsidR="009F03D9" w:rsidRPr="00BC4287" w:rsidRDefault="009F03D9" w:rsidP="00E53E38">
      <w:pPr>
        <w:pStyle w:val="BodyText"/>
      </w:pPr>
      <w:bookmarkStart w:id="66" w:name="_Hlk11931980"/>
      <w:r w:rsidRPr="00BC4287">
        <w:t>The success of f</w:t>
      </w:r>
      <w:r w:rsidR="002E22B6" w:rsidRPr="00BC4287">
        <w:t xml:space="preserve">ish recruitment </w:t>
      </w:r>
      <w:r w:rsidRPr="00BC4287">
        <w:t xml:space="preserve">in the </w:t>
      </w:r>
      <w:r w:rsidR="00BE5A56">
        <w:t>Basin</w:t>
      </w:r>
      <w:r w:rsidR="00BE5A56" w:rsidRPr="00BC4287">
        <w:t xml:space="preserve"> </w:t>
      </w:r>
      <w:r w:rsidR="002E22B6" w:rsidRPr="00BC4287">
        <w:t xml:space="preserve">is complex and </w:t>
      </w:r>
      <w:r w:rsidR="00913B7E" w:rsidRPr="00BC4287">
        <w:t>differ</w:t>
      </w:r>
      <w:r w:rsidR="002E22B6" w:rsidRPr="00BC4287">
        <w:t>s between species and spatial scales</w:t>
      </w:r>
      <w:r w:rsidRPr="00BC4287">
        <w:t xml:space="preserve">. </w:t>
      </w:r>
      <w:r w:rsidR="002E22B6" w:rsidRPr="00BC4287">
        <w:t xml:space="preserve"> </w:t>
      </w:r>
      <w:r w:rsidR="004656B7" w:rsidRPr="00BC4287">
        <w:t xml:space="preserve">Environmental water management that aims to promote population growth for any species needs to consider the scale at which </w:t>
      </w:r>
      <w:r w:rsidR="00913B7E" w:rsidRPr="00BC4287">
        <w:t xml:space="preserve">the </w:t>
      </w:r>
      <w:r w:rsidR="004656B7" w:rsidRPr="00BC4287">
        <w:t>metapopulations</w:t>
      </w:r>
      <w:r w:rsidR="00913B7E" w:rsidRPr="00BC4287">
        <w:t xml:space="preserve"> of that species</w:t>
      </w:r>
      <w:r w:rsidR="004656B7" w:rsidRPr="00BC4287">
        <w:t xml:space="preserve"> operate, and the need for hydrological and physical connectivity for all life stages (Fish 3.1).</w:t>
      </w:r>
    </w:p>
    <w:p w14:paraId="07147DB4" w14:textId="22F5388E" w:rsidR="004656B7" w:rsidRPr="00BC4287" w:rsidRDefault="004656B7" w:rsidP="00E53E38">
      <w:pPr>
        <w:pStyle w:val="BodyText"/>
      </w:pPr>
      <w:r w:rsidRPr="00BC4287">
        <w:t>At small scales</w:t>
      </w:r>
      <w:r w:rsidR="00913B7E" w:rsidRPr="00BC4287">
        <w:t xml:space="preserve"> within a river</w:t>
      </w:r>
      <w:r w:rsidRPr="00BC4287">
        <w:t>, the survival and growth of fish larvae is strongly influenced by the interaction between food density and temperature</w:t>
      </w:r>
      <w:r w:rsidR="00FF701E" w:rsidRPr="00BC4287">
        <w:t>. S</w:t>
      </w:r>
      <w:r w:rsidRPr="00BC4287">
        <w:t xml:space="preserve">urvival rates can vary substantially depending on food and temperature conditions. </w:t>
      </w:r>
      <w:r w:rsidR="00913B7E" w:rsidRPr="00BC4287">
        <w:t>Different species can also tolerate different conditions, for example, Golden Perch larvae can tolerate much warmer temperatures th</w:t>
      </w:r>
      <w:r w:rsidR="001C0001">
        <w:t>a</w:t>
      </w:r>
      <w:r w:rsidR="00913B7E" w:rsidRPr="00BC4287">
        <w:t xml:space="preserve">n Murray Cod (Fish 3.2). </w:t>
      </w:r>
    </w:p>
    <w:bookmarkEnd w:id="66"/>
    <w:p w14:paraId="48DF75F8" w14:textId="727913D1" w:rsidR="002E22B6" w:rsidRPr="00BC4287" w:rsidRDefault="002E22B6" w:rsidP="00E53E38">
      <w:pPr>
        <w:pStyle w:val="BodyText"/>
      </w:pPr>
      <w:r w:rsidRPr="00BC4287">
        <w:t>Food availability and temperature</w:t>
      </w:r>
      <w:r w:rsidR="00913B7E" w:rsidRPr="00BC4287">
        <w:t xml:space="preserve"> within a river channel</w:t>
      </w:r>
      <w:r w:rsidRPr="00BC4287">
        <w:t xml:space="preserve"> vary depending on whether the river channel is connected to floodplain habitats such as wetlands and anabranches</w:t>
      </w:r>
      <w:r w:rsidR="00913B7E" w:rsidRPr="00BC4287">
        <w:t>. Maximising survival of larval fish needs connection of these habitats through flow management, with flows closely tailored to spawning</w:t>
      </w:r>
      <w:r w:rsidR="00FF701E" w:rsidRPr="00BC4287">
        <w:t xml:space="preserve"> to allow larvae to access these good sources of food</w:t>
      </w:r>
      <w:r w:rsidR="00913B7E" w:rsidRPr="00BC4287">
        <w:t xml:space="preserve"> (Fish 3.3). </w:t>
      </w:r>
    </w:p>
    <w:p w14:paraId="3FBD8FDF" w14:textId="34876ABD" w:rsidR="002E22B6" w:rsidRPr="00BC4287" w:rsidRDefault="000926B4" w:rsidP="00E53E38">
      <w:pPr>
        <w:pStyle w:val="BodyText"/>
      </w:pPr>
      <w:r w:rsidRPr="00BC4287">
        <w:t xml:space="preserve">Spawning and/or recruitment was thought to be limited by both a lack of adults within the waterholes and limited flows in the northern </w:t>
      </w:r>
      <w:r w:rsidR="00BE5A56">
        <w:t>Basin</w:t>
      </w:r>
      <w:r w:rsidRPr="00BC4287">
        <w:t xml:space="preserve">. Larvae were continually present in the permanent waterholes that were larger and deeper, peaks in larval abundances occurred with small flow rises. This is likely due to high habitat diversity in these larger waterholes, compared to smaller, less complex waterholes. Large waterholes are likely to confer resilience to resident fish during harsh conditions </w:t>
      </w:r>
      <w:r w:rsidR="00913B7E" w:rsidRPr="00BC4287">
        <w:t xml:space="preserve">(Fish 3.4). </w:t>
      </w:r>
    </w:p>
    <w:p w14:paraId="0A3FC391" w14:textId="5DB711F9" w:rsidR="002E22B6" w:rsidRPr="00BC4287" w:rsidRDefault="002E22B6" w:rsidP="00E53E38">
      <w:pPr>
        <w:pStyle w:val="BodyText"/>
      </w:pPr>
      <w:r w:rsidRPr="00BC4287">
        <w:t>Where the structural complexity of the river channel is high</w:t>
      </w:r>
      <w:r w:rsidR="00A554E9" w:rsidRPr="00BC4287">
        <w:t xml:space="preserve"> e.g. benches</w:t>
      </w:r>
      <w:r w:rsidRPr="00BC4287">
        <w:t xml:space="preserve">, </w:t>
      </w:r>
      <w:r w:rsidR="002161C6" w:rsidRPr="00BC4287">
        <w:t xml:space="preserve">and </w:t>
      </w:r>
      <w:r w:rsidRPr="00BC4287">
        <w:t>hydraulic diversit</w:t>
      </w:r>
      <w:r w:rsidR="000926B4" w:rsidRPr="00BC4287">
        <w:t>y of</w:t>
      </w:r>
      <w:r w:rsidRPr="00BC4287">
        <w:t xml:space="preserve"> snags, macrophytes or slack-waters</w:t>
      </w:r>
      <w:r w:rsidR="000926B4" w:rsidRPr="00BC4287">
        <w:t xml:space="preserve"> is maintained</w:t>
      </w:r>
      <w:r w:rsidRPr="00BC4287">
        <w:t>, zooplankton is retained in the system</w:t>
      </w:r>
      <w:r w:rsidR="000926B4" w:rsidRPr="00BC4287">
        <w:t xml:space="preserve">.  Where these are low in the channel it will be more important to connect floodplain habitats to provide food. Retention of zooplankton </w:t>
      </w:r>
      <w:r w:rsidRPr="00BC4287">
        <w:t>provi</w:t>
      </w:r>
      <w:r w:rsidR="002161C6" w:rsidRPr="00BC4287">
        <w:t>des</w:t>
      </w:r>
      <w:r w:rsidRPr="00BC4287">
        <w:t xml:space="preserve"> improved conditions for larval fish </w:t>
      </w:r>
      <w:r w:rsidR="00594B90" w:rsidRPr="00BC4287">
        <w:t>(Fish 3.5)</w:t>
      </w:r>
      <w:r w:rsidR="001C0001">
        <w:t>.</w:t>
      </w:r>
      <w:r w:rsidRPr="00BC4287">
        <w:t xml:space="preserve"> </w:t>
      </w:r>
    </w:p>
    <w:p w14:paraId="6DC4D7B0" w14:textId="6C4496BA" w:rsidR="000926B4" w:rsidRPr="00BC4287" w:rsidRDefault="000926B4" w:rsidP="00BC4287">
      <w:pPr>
        <w:rPr>
          <w:rFonts w:asciiTheme="minorHAnsi" w:hAnsiTheme="minorHAnsi" w:cstheme="minorHAnsi"/>
        </w:rPr>
      </w:pPr>
      <w:r w:rsidRPr="00BC4287">
        <w:rPr>
          <w:rFonts w:asciiTheme="minorHAnsi" w:hAnsiTheme="minorHAnsi" w:cstheme="minorHAnsi"/>
        </w:rPr>
        <w:t xml:space="preserve">At reach-scales, flow retention and discharge influence the dispersal and/or retention of fish larvae.  Generally, more larvae of both species were retained in hydraulically, structurally and geomorphically complex reaches.  Maintaining this diversity of complexity among river reaches will allow fish larvae to be retained if conditions are suitable or move through to avoid adverse conditions or to disperse to more favourable conditions (Fish 3.5). </w:t>
      </w:r>
    </w:p>
    <w:p w14:paraId="770016BF" w14:textId="4A16B59E" w:rsidR="000926B4" w:rsidRPr="000926B4" w:rsidRDefault="000926B4" w:rsidP="00BC4287">
      <w:pPr>
        <w:rPr>
          <w:rFonts w:asciiTheme="minorHAnsi" w:hAnsiTheme="minorHAnsi" w:cstheme="minorHAnsi"/>
        </w:rPr>
      </w:pPr>
      <w:r w:rsidRPr="000926B4">
        <w:rPr>
          <w:rFonts w:asciiTheme="minorHAnsi" w:hAnsiTheme="minorHAnsi" w:cstheme="minorHAnsi"/>
        </w:rPr>
        <w:t xml:space="preserve">Golden Perch and Murray Cod recruitment and population demographics are not homogenous across rivers of the </w:t>
      </w:r>
      <w:r w:rsidR="00BE5A56">
        <w:rPr>
          <w:rFonts w:asciiTheme="minorHAnsi" w:hAnsiTheme="minorHAnsi" w:cstheme="minorHAnsi"/>
        </w:rPr>
        <w:t>Basin</w:t>
      </w:r>
      <w:r w:rsidRPr="000926B4">
        <w:rPr>
          <w:rFonts w:asciiTheme="minorHAnsi" w:hAnsiTheme="minorHAnsi" w:cstheme="minorHAnsi"/>
        </w:rPr>
        <w:t xml:space="preserve">. Murray Cod population structure was influenced by </w:t>
      </w:r>
      <w:r w:rsidRPr="000926B4">
        <w:rPr>
          <w:rFonts w:asciiTheme="minorHAnsi" w:hAnsiTheme="minorHAnsi" w:cstheme="minorHAnsi"/>
          <w:i/>
        </w:rPr>
        <w:t>in situ</w:t>
      </w:r>
      <w:r w:rsidRPr="000926B4">
        <w:rPr>
          <w:rFonts w:asciiTheme="minorHAnsi" w:hAnsiTheme="minorHAnsi" w:cstheme="minorHAnsi"/>
        </w:rPr>
        <w:t xml:space="preserve"> recruitment and emigration/immigration between adjacent river catchments, reaches or anabranches. For Golden Perch, recruitment was spatially and temporally variable among rivers</w:t>
      </w:r>
      <w:r w:rsidRPr="00BC4287">
        <w:rPr>
          <w:rFonts w:asciiTheme="minorHAnsi" w:hAnsiTheme="minorHAnsi" w:cstheme="minorHAnsi"/>
        </w:rPr>
        <w:t xml:space="preserve"> (Fish 3.6)</w:t>
      </w:r>
      <w:r w:rsidRPr="000926B4">
        <w:rPr>
          <w:rFonts w:asciiTheme="minorHAnsi" w:hAnsiTheme="minorHAnsi" w:cstheme="minorHAnsi"/>
        </w:rPr>
        <w:t>.</w:t>
      </w:r>
      <w:r w:rsidRPr="00BC4287">
        <w:rPr>
          <w:rFonts w:asciiTheme="minorHAnsi" w:hAnsiTheme="minorHAnsi" w:cstheme="minorHAnsi"/>
        </w:rPr>
        <w:t xml:space="preserve"> </w:t>
      </w:r>
    </w:p>
    <w:p w14:paraId="10D3D768" w14:textId="3F0DB238" w:rsidR="004D73FA" w:rsidRPr="00BC4287" w:rsidRDefault="00E22F46" w:rsidP="001C7655">
      <w:pPr>
        <w:pStyle w:val="Heading2"/>
      </w:pPr>
      <w:bookmarkStart w:id="67" w:name="_Toc10138139"/>
      <w:bookmarkStart w:id="68" w:name="_Toc17202450"/>
      <w:r>
        <w:t xml:space="preserve">2.4 </w:t>
      </w:r>
      <w:r w:rsidR="004D73FA" w:rsidRPr="00BC4287">
        <w:t>Fish theme</w:t>
      </w:r>
      <w:bookmarkEnd w:id="67"/>
      <w:r w:rsidR="004D73FA" w:rsidRPr="00BC4287">
        <w:t xml:space="preserve"> </w:t>
      </w:r>
      <w:r w:rsidR="00FC1713">
        <w:t>information for managers</w:t>
      </w:r>
      <w:bookmarkEnd w:id="68"/>
    </w:p>
    <w:p w14:paraId="29FB787D" w14:textId="1662F1C8" w:rsidR="004D73FA" w:rsidRPr="00BC4287" w:rsidRDefault="004D73FA" w:rsidP="00BC4287">
      <w:pPr>
        <w:rPr>
          <w:rFonts w:asciiTheme="minorHAnsi" w:hAnsiTheme="minorHAnsi" w:cstheme="minorHAnsi"/>
        </w:rPr>
      </w:pPr>
      <w:r w:rsidRPr="00BC4287">
        <w:rPr>
          <w:rFonts w:asciiTheme="minorHAnsi" w:hAnsiTheme="minorHAnsi" w:cstheme="minorHAnsi"/>
        </w:rPr>
        <w:t xml:space="preserve">Overall, physical complexity provides the basis for food production, retention of this food, and for fish larvae to either choose to remain or to move through. If retention is uniformly high throughout a reach, then a </w:t>
      </w:r>
      <w:r w:rsidR="005B055C" w:rsidRPr="00BC4287">
        <w:rPr>
          <w:rFonts w:asciiTheme="minorHAnsi" w:hAnsiTheme="minorHAnsi" w:cstheme="minorHAnsi"/>
        </w:rPr>
        <w:t>larva</w:t>
      </w:r>
      <w:r w:rsidRPr="00BC4287">
        <w:rPr>
          <w:rFonts w:asciiTheme="minorHAnsi" w:hAnsiTheme="minorHAnsi" w:cstheme="minorHAnsi"/>
        </w:rPr>
        <w:t xml:space="preserve"> </w:t>
      </w:r>
      <w:r w:rsidR="00594B90" w:rsidRPr="00BC4287">
        <w:rPr>
          <w:rFonts w:asciiTheme="minorHAnsi" w:hAnsiTheme="minorHAnsi" w:cstheme="minorHAnsi"/>
        </w:rPr>
        <w:t>is likely to</w:t>
      </w:r>
      <w:r w:rsidRPr="00BC4287">
        <w:rPr>
          <w:rFonts w:asciiTheme="minorHAnsi" w:hAnsiTheme="minorHAnsi" w:cstheme="minorHAnsi"/>
        </w:rPr>
        <w:t xml:space="preserve"> remain</w:t>
      </w:r>
      <w:r w:rsidR="00594B90" w:rsidRPr="00BC4287">
        <w:rPr>
          <w:rFonts w:asciiTheme="minorHAnsi" w:hAnsiTheme="minorHAnsi" w:cstheme="minorHAnsi"/>
        </w:rPr>
        <w:t xml:space="preserve"> and survive</w:t>
      </w:r>
      <w:r w:rsidRPr="00BC4287">
        <w:rPr>
          <w:rFonts w:asciiTheme="minorHAnsi" w:hAnsiTheme="minorHAnsi" w:cstheme="minorHAnsi"/>
        </w:rPr>
        <w:t>. If retention is uniformly low, such reaches may not be very conducive for feeding, growth, survival and recruitment.</w:t>
      </w:r>
    </w:p>
    <w:p w14:paraId="4ABCAD2C" w14:textId="4D1A8D1F" w:rsidR="004D73FA" w:rsidRPr="00BC4287" w:rsidRDefault="000926B4" w:rsidP="00BC4287">
      <w:pPr>
        <w:spacing w:before="120" w:after="100"/>
        <w:rPr>
          <w:rFonts w:asciiTheme="minorHAnsi" w:hAnsiTheme="minorHAnsi" w:cstheme="minorHAnsi"/>
        </w:rPr>
      </w:pPr>
      <w:r w:rsidRPr="00BC4287">
        <w:rPr>
          <w:rFonts w:asciiTheme="minorHAnsi" w:hAnsiTheme="minorHAnsi" w:cstheme="minorHAnsi"/>
        </w:rPr>
        <w:t>Golden Perch</w:t>
      </w:r>
      <w:r w:rsidR="00E45DEF" w:rsidRPr="00BC4287">
        <w:rPr>
          <w:rFonts w:asciiTheme="minorHAnsi" w:hAnsiTheme="minorHAnsi" w:cstheme="minorHAnsi"/>
        </w:rPr>
        <w:t xml:space="preserve"> larvae</w:t>
      </w:r>
      <w:r w:rsidR="004D73FA" w:rsidRPr="00BC4287">
        <w:rPr>
          <w:rFonts w:asciiTheme="minorHAnsi" w:hAnsiTheme="minorHAnsi" w:cstheme="minorHAnsi"/>
        </w:rPr>
        <w:t xml:space="preserve"> are more tolerant of cooler </w:t>
      </w:r>
      <w:r w:rsidR="00E45DEF" w:rsidRPr="00BC4287">
        <w:rPr>
          <w:rFonts w:asciiTheme="minorHAnsi" w:hAnsiTheme="minorHAnsi" w:cstheme="minorHAnsi"/>
        </w:rPr>
        <w:t xml:space="preserve">water </w:t>
      </w:r>
      <w:r w:rsidR="004D73FA" w:rsidRPr="00BC4287">
        <w:rPr>
          <w:rFonts w:asciiTheme="minorHAnsi" w:hAnsiTheme="minorHAnsi" w:cstheme="minorHAnsi"/>
        </w:rPr>
        <w:t xml:space="preserve">temperatures </w:t>
      </w:r>
      <w:r w:rsidR="001C0001">
        <w:rPr>
          <w:rFonts w:asciiTheme="minorHAnsi" w:hAnsiTheme="minorHAnsi" w:cstheme="minorHAnsi"/>
        </w:rPr>
        <w:t xml:space="preserve">than </w:t>
      </w:r>
      <w:r w:rsidRPr="00BC4287">
        <w:rPr>
          <w:rFonts w:asciiTheme="minorHAnsi" w:hAnsiTheme="minorHAnsi" w:cstheme="minorHAnsi"/>
        </w:rPr>
        <w:t>Murray Co</w:t>
      </w:r>
      <w:r w:rsidR="00E45DEF" w:rsidRPr="00BC4287">
        <w:rPr>
          <w:rFonts w:asciiTheme="minorHAnsi" w:hAnsiTheme="minorHAnsi" w:cstheme="minorHAnsi"/>
        </w:rPr>
        <w:t>d</w:t>
      </w:r>
      <w:r w:rsidR="004D73FA" w:rsidRPr="00BC4287">
        <w:rPr>
          <w:rFonts w:asciiTheme="minorHAnsi" w:hAnsiTheme="minorHAnsi" w:cstheme="minorHAnsi"/>
        </w:rPr>
        <w:t xml:space="preserve"> however</w:t>
      </w:r>
      <w:r w:rsidR="00E45DEF" w:rsidRPr="00BC4287">
        <w:rPr>
          <w:rFonts w:asciiTheme="minorHAnsi" w:hAnsiTheme="minorHAnsi" w:cstheme="minorHAnsi"/>
        </w:rPr>
        <w:t>,</w:t>
      </w:r>
      <w:r w:rsidR="004D73FA" w:rsidRPr="00BC4287">
        <w:rPr>
          <w:rFonts w:asciiTheme="minorHAnsi" w:hAnsiTheme="minorHAnsi" w:cstheme="minorHAnsi"/>
        </w:rPr>
        <w:t xml:space="preserve"> growth is significantly reduced at temperatures below 19°C.  Given that growth is strongly linked to survival, this has significant implications for recruitment in areas that are subject to cold water pollution. If managing for recruitment outcomes, consideration should be given to the timing of flows to provide larvae with appropriate temperatures for survival and growth.</w:t>
      </w:r>
    </w:p>
    <w:p w14:paraId="62CADC35" w14:textId="38D5098E" w:rsidR="004D73FA" w:rsidRPr="00BC4287" w:rsidRDefault="004D73FA" w:rsidP="00BC4287">
      <w:pPr>
        <w:spacing w:before="120" w:after="100"/>
        <w:rPr>
          <w:rFonts w:asciiTheme="minorHAnsi" w:hAnsiTheme="minorHAnsi" w:cstheme="minorHAnsi"/>
        </w:rPr>
      </w:pPr>
      <w:r w:rsidRPr="00BC4287">
        <w:rPr>
          <w:rFonts w:asciiTheme="minorHAnsi" w:hAnsiTheme="minorHAnsi" w:cstheme="minorHAnsi"/>
        </w:rPr>
        <w:t>Relatively high densities of zooplankton are required to maximise survival and growth.</w:t>
      </w:r>
      <w:r w:rsidR="00E45DEF" w:rsidRPr="00BC4287">
        <w:rPr>
          <w:rFonts w:asciiTheme="minorHAnsi" w:hAnsiTheme="minorHAnsi" w:cstheme="minorHAnsi"/>
        </w:rPr>
        <w:t xml:space="preserve"> </w:t>
      </w:r>
      <w:r w:rsidRPr="00BC4287">
        <w:rPr>
          <w:rFonts w:asciiTheme="minorHAnsi" w:hAnsiTheme="minorHAnsi" w:cstheme="minorHAnsi"/>
        </w:rPr>
        <w:t>Zooplankton densities are naturally highly variable and watering decisions need to be based on knowledge of when and where high densities of zooplankton occur. For example, connecting an anabranch to a river channel immediately after fish have spawned would improve zooplankton nutrition, therefore improving fish retention</w:t>
      </w:r>
      <w:r w:rsidR="00E45DEF" w:rsidRPr="00BC4287">
        <w:rPr>
          <w:rFonts w:asciiTheme="minorHAnsi" w:hAnsiTheme="minorHAnsi" w:cstheme="minorHAnsi"/>
        </w:rPr>
        <w:t>, as anabranches have higher zooplankton density then the river channel. Anabranches often have the capacity to connect to the main channel at lower flows than floodplain wetlands so may be more frequently accessible for fish.</w:t>
      </w:r>
    </w:p>
    <w:p w14:paraId="697A040D" w14:textId="644249E2" w:rsidR="00E45DEF" w:rsidRPr="00BC4287" w:rsidRDefault="00E45DEF" w:rsidP="00BC4287">
      <w:pPr>
        <w:spacing w:before="120" w:after="100"/>
        <w:rPr>
          <w:rFonts w:asciiTheme="minorHAnsi" w:hAnsiTheme="minorHAnsi" w:cstheme="minorHAnsi"/>
        </w:rPr>
      </w:pPr>
      <w:r w:rsidRPr="00BC4287">
        <w:rPr>
          <w:rFonts w:asciiTheme="minorHAnsi" w:hAnsiTheme="minorHAnsi" w:cstheme="minorHAnsi"/>
        </w:rPr>
        <w:t xml:space="preserve">Key waterholes that help support adult fish persistence in the northern </w:t>
      </w:r>
      <w:r w:rsidR="00BE5A56">
        <w:rPr>
          <w:rFonts w:asciiTheme="minorHAnsi" w:hAnsiTheme="minorHAnsi" w:cstheme="minorHAnsi"/>
        </w:rPr>
        <w:t>Basin</w:t>
      </w:r>
      <w:r w:rsidR="00BE5A56" w:rsidRPr="00BC4287">
        <w:rPr>
          <w:rFonts w:asciiTheme="minorHAnsi" w:hAnsiTheme="minorHAnsi" w:cstheme="minorHAnsi"/>
        </w:rPr>
        <w:t xml:space="preserve"> </w:t>
      </w:r>
      <w:r w:rsidRPr="00BC4287">
        <w:rPr>
          <w:rFonts w:asciiTheme="minorHAnsi" w:hAnsiTheme="minorHAnsi" w:cstheme="minorHAnsi"/>
        </w:rPr>
        <w:t xml:space="preserve">need to be identified and protected. These are not only the biggest and deepest but also those with structural complexity. Small scale recruitment can occur in these waterholes with minor flows. </w:t>
      </w:r>
    </w:p>
    <w:p w14:paraId="37F64E81" w14:textId="0EA4ACCA" w:rsidR="00E45DEF" w:rsidRPr="00BC4287" w:rsidRDefault="00E45DEF" w:rsidP="00BC4287">
      <w:pPr>
        <w:spacing w:before="120" w:after="100"/>
        <w:rPr>
          <w:rFonts w:asciiTheme="minorHAnsi" w:hAnsiTheme="minorHAnsi" w:cstheme="minorHAnsi"/>
        </w:rPr>
      </w:pPr>
      <w:r w:rsidRPr="00BC4287">
        <w:rPr>
          <w:rFonts w:asciiTheme="minorHAnsi" w:hAnsiTheme="minorHAnsi" w:cstheme="minorHAnsi"/>
        </w:rPr>
        <w:t>The capacity of water managers to maximise these conditions is dependent on the availability of water. Consequently, the scale at which management can occur, as well as the management outcomes that can be achieved, will vary depending on the amount of water available</w:t>
      </w:r>
      <w:r w:rsidR="001C0001">
        <w:rPr>
          <w:rFonts w:asciiTheme="minorHAnsi" w:hAnsiTheme="minorHAnsi" w:cstheme="minorHAnsi"/>
        </w:rPr>
        <w:t>.</w:t>
      </w:r>
    </w:p>
    <w:p w14:paraId="6734B5C3" w14:textId="52740D76" w:rsidR="002E22B6" w:rsidRPr="00BC4287" w:rsidRDefault="00E22F46" w:rsidP="001C7655">
      <w:pPr>
        <w:pStyle w:val="Heading2"/>
      </w:pPr>
      <w:bookmarkStart w:id="69" w:name="_Toc17202451"/>
      <w:r>
        <w:t xml:space="preserve">2.5 </w:t>
      </w:r>
      <w:r w:rsidR="00C4049C" w:rsidRPr="00BC4287">
        <w:t>Fish them</w:t>
      </w:r>
      <w:r w:rsidR="00C33BDB" w:rsidRPr="00BC4287">
        <w:t>e</w:t>
      </w:r>
      <w:r w:rsidR="00C4049C" w:rsidRPr="00BC4287">
        <w:t xml:space="preserve"> </w:t>
      </w:r>
      <w:r w:rsidR="00043B8A">
        <w:t>k</w:t>
      </w:r>
      <w:r w:rsidR="00C4049C" w:rsidRPr="00BC4287">
        <w:t xml:space="preserve">nowledge </w:t>
      </w:r>
      <w:r w:rsidR="00043B8A">
        <w:t>s</w:t>
      </w:r>
      <w:r w:rsidR="00C4049C" w:rsidRPr="00BC4287">
        <w:t>tatus</w:t>
      </w:r>
      <w:bookmarkEnd w:id="69"/>
    </w:p>
    <w:p w14:paraId="4FCEF108" w14:textId="065C0601" w:rsidR="00C33BDB" w:rsidRPr="00BC4287" w:rsidRDefault="00E45DEF" w:rsidP="00BC4287">
      <w:pPr>
        <w:spacing w:before="120" w:after="100"/>
        <w:rPr>
          <w:rFonts w:asciiTheme="minorHAnsi" w:hAnsiTheme="minorHAnsi" w:cstheme="minorHAnsi"/>
        </w:rPr>
      </w:pPr>
      <w:r w:rsidRPr="00BC4287">
        <w:rPr>
          <w:rFonts w:asciiTheme="minorHAnsi" w:hAnsiTheme="minorHAnsi" w:cstheme="minorHAnsi"/>
        </w:rPr>
        <w:t xml:space="preserve">In this </w:t>
      </w:r>
      <w:r w:rsidR="008441D4" w:rsidRPr="00BC4287">
        <w:rPr>
          <w:rFonts w:asciiTheme="minorHAnsi" w:hAnsiTheme="minorHAnsi" w:cstheme="minorHAnsi"/>
        </w:rPr>
        <w:t>project</w:t>
      </w:r>
      <w:r w:rsidRPr="00BC4287">
        <w:rPr>
          <w:rFonts w:asciiTheme="minorHAnsi" w:hAnsiTheme="minorHAnsi" w:cstheme="minorHAnsi"/>
        </w:rPr>
        <w:t xml:space="preserve"> we found that there was a strong relationship </w:t>
      </w:r>
      <w:r w:rsidR="008441D4" w:rsidRPr="00BC4287">
        <w:rPr>
          <w:rFonts w:asciiTheme="minorHAnsi" w:hAnsiTheme="minorHAnsi" w:cstheme="minorHAnsi"/>
        </w:rPr>
        <w:t>between</w:t>
      </w:r>
      <w:r w:rsidRPr="00BC4287">
        <w:rPr>
          <w:rFonts w:asciiTheme="minorHAnsi" w:hAnsiTheme="minorHAnsi" w:cstheme="minorHAnsi"/>
        </w:rPr>
        <w:t xml:space="preserve"> food</w:t>
      </w:r>
      <w:r w:rsidR="008441D4" w:rsidRPr="00BC4287">
        <w:rPr>
          <w:rFonts w:asciiTheme="minorHAnsi" w:hAnsiTheme="minorHAnsi" w:cstheme="minorHAnsi"/>
        </w:rPr>
        <w:t xml:space="preserve">, </w:t>
      </w:r>
      <w:r w:rsidRPr="00BC4287">
        <w:rPr>
          <w:rFonts w:asciiTheme="minorHAnsi" w:hAnsiTheme="minorHAnsi" w:cstheme="minorHAnsi"/>
        </w:rPr>
        <w:t>temperature and retention</w:t>
      </w:r>
      <w:r w:rsidR="008441D4" w:rsidRPr="00BC4287">
        <w:rPr>
          <w:rFonts w:asciiTheme="minorHAnsi" w:hAnsiTheme="minorHAnsi" w:cstheme="minorHAnsi"/>
        </w:rPr>
        <w:t xml:space="preserve"> of nutrients and larval fish,</w:t>
      </w:r>
      <w:r w:rsidRPr="00BC4287">
        <w:rPr>
          <w:rFonts w:asciiTheme="minorHAnsi" w:hAnsiTheme="minorHAnsi" w:cstheme="minorHAnsi"/>
        </w:rPr>
        <w:t xml:space="preserve"> but only in </w:t>
      </w:r>
      <w:r w:rsidR="008441D4" w:rsidRPr="00BC4287">
        <w:rPr>
          <w:rFonts w:asciiTheme="minorHAnsi" w:hAnsiTheme="minorHAnsi" w:cstheme="minorHAnsi"/>
        </w:rPr>
        <w:t xml:space="preserve">lowland river systems. Future research could investigate these </w:t>
      </w:r>
      <w:r w:rsidR="00C33BDB" w:rsidRPr="00BC4287">
        <w:rPr>
          <w:rFonts w:asciiTheme="minorHAnsi" w:hAnsiTheme="minorHAnsi" w:cstheme="minorHAnsi"/>
        </w:rPr>
        <w:t xml:space="preserve">relationships in a range of river types (e.g. upland, ephemeral and dryland rivers) to determine whether </w:t>
      </w:r>
      <w:r w:rsidR="008441D4" w:rsidRPr="00BC4287">
        <w:rPr>
          <w:rFonts w:asciiTheme="minorHAnsi" w:hAnsiTheme="minorHAnsi" w:cstheme="minorHAnsi"/>
        </w:rPr>
        <w:t>they</w:t>
      </w:r>
      <w:r w:rsidR="00C33BDB" w:rsidRPr="00BC4287">
        <w:rPr>
          <w:rFonts w:asciiTheme="minorHAnsi" w:hAnsiTheme="minorHAnsi" w:cstheme="minorHAnsi"/>
        </w:rPr>
        <w:t xml:space="preserve"> vary with river type. </w:t>
      </w:r>
    </w:p>
    <w:p w14:paraId="5101A97B" w14:textId="5E195AFC" w:rsidR="00C33BDB" w:rsidRPr="00BC4287" w:rsidRDefault="008441D4" w:rsidP="00BC4287">
      <w:pPr>
        <w:spacing w:before="120" w:after="100"/>
        <w:rPr>
          <w:rFonts w:asciiTheme="minorHAnsi" w:hAnsiTheme="minorHAnsi" w:cstheme="minorHAnsi"/>
        </w:rPr>
      </w:pPr>
      <w:r w:rsidRPr="00BC4287">
        <w:rPr>
          <w:rFonts w:asciiTheme="minorHAnsi" w:hAnsiTheme="minorHAnsi" w:cstheme="minorHAnsi"/>
        </w:rPr>
        <w:t>To assist in water management</w:t>
      </w:r>
      <w:r w:rsidR="00003036">
        <w:rPr>
          <w:rFonts w:asciiTheme="minorHAnsi" w:hAnsiTheme="minorHAnsi" w:cstheme="minorHAnsi"/>
        </w:rPr>
        <w:t>,</w:t>
      </w:r>
      <w:r w:rsidRPr="00BC4287">
        <w:rPr>
          <w:rFonts w:asciiTheme="minorHAnsi" w:hAnsiTheme="minorHAnsi" w:cstheme="minorHAnsi"/>
        </w:rPr>
        <w:t xml:space="preserve"> many of our studies have identified the importance of hydraulic and structural complexity. Areas that exhibit these characteristics should be protected to encourage native fish populations to persist and grow. Given that we found strong variability in all scales of rivers</w:t>
      </w:r>
      <w:r w:rsidR="00003036">
        <w:rPr>
          <w:rFonts w:asciiTheme="minorHAnsi" w:hAnsiTheme="minorHAnsi" w:cstheme="minorHAnsi"/>
        </w:rPr>
        <w:t>,</w:t>
      </w:r>
      <w:r w:rsidRPr="00BC4287">
        <w:rPr>
          <w:rFonts w:asciiTheme="minorHAnsi" w:hAnsiTheme="minorHAnsi" w:cstheme="minorHAnsi"/>
        </w:rPr>
        <w:t xml:space="preserve"> it may be less expensive to e</w:t>
      </w:r>
      <w:r w:rsidR="00C33BDB" w:rsidRPr="00BC4287">
        <w:rPr>
          <w:rFonts w:asciiTheme="minorHAnsi" w:hAnsiTheme="minorHAnsi" w:cstheme="minorHAnsi"/>
        </w:rPr>
        <w:t>xplor</w:t>
      </w:r>
      <w:r w:rsidRPr="00BC4287">
        <w:rPr>
          <w:rFonts w:asciiTheme="minorHAnsi" w:hAnsiTheme="minorHAnsi" w:cstheme="minorHAnsi"/>
        </w:rPr>
        <w:t>e</w:t>
      </w:r>
      <w:r w:rsidR="00C33BDB" w:rsidRPr="00BC4287">
        <w:rPr>
          <w:rFonts w:asciiTheme="minorHAnsi" w:hAnsiTheme="minorHAnsi" w:cstheme="minorHAnsi"/>
        </w:rPr>
        <w:t xml:space="preserve"> the capacity to remotely measure physical complexity</w:t>
      </w:r>
      <w:r w:rsidRPr="00BC4287">
        <w:rPr>
          <w:rFonts w:asciiTheme="minorHAnsi" w:hAnsiTheme="minorHAnsi" w:cstheme="minorHAnsi"/>
        </w:rPr>
        <w:t xml:space="preserve">, </w:t>
      </w:r>
      <w:r w:rsidR="00C33BDB" w:rsidRPr="00BC4287">
        <w:rPr>
          <w:rFonts w:asciiTheme="minorHAnsi" w:hAnsiTheme="minorHAnsi" w:cstheme="minorHAnsi"/>
        </w:rPr>
        <w:t>t</w:t>
      </w:r>
      <w:r w:rsidRPr="00BC4287">
        <w:rPr>
          <w:rFonts w:asciiTheme="minorHAnsi" w:hAnsiTheme="minorHAnsi" w:cstheme="minorHAnsi"/>
        </w:rPr>
        <w:t>hereby</w:t>
      </w:r>
      <w:r w:rsidR="00C33BDB" w:rsidRPr="00BC4287">
        <w:rPr>
          <w:rFonts w:asciiTheme="minorHAnsi" w:hAnsiTheme="minorHAnsi" w:cstheme="minorHAnsi"/>
        </w:rPr>
        <w:t xml:space="preserve"> enabl</w:t>
      </w:r>
      <w:r w:rsidRPr="00BC4287">
        <w:rPr>
          <w:rFonts w:asciiTheme="minorHAnsi" w:hAnsiTheme="minorHAnsi" w:cstheme="minorHAnsi"/>
        </w:rPr>
        <w:t>ing</w:t>
      </w:r>
      <w:r w:rsidR="00C33BDB" w:rsidRPr="00BC4287">
        <w:rPr>
          <w:rFonts w:asciiTheme="minorHAnsi" w:hAnsiTheme="minorHAnsi" w:cstheme="minorHAnsi"/>
        </w:rPr>
        <w:t xml:space="preserve"> water managers to make relatively rapid assessments.</w:t>
      </w:r>
      <w:r w:rsidRPr="00BC4287">
        <w:rPr>
          <w:rFonts w:asciiTheme="minorHAnsi" w:hAnsiTheme="minorHAnsi" w:cstheme="minorHAnsi"/>
        </w:rPr>
        <w:t xml:space="preserve"> This would also be helpful in identifying critical fish refuges in the northern </w:t>
      </w:r>
      <w:r w:rsidR="00BE5A56">
        <w:rPr>
          <w:rFonts w:asciiTheme="minorHAnsi" w:hAnsiTheme="minorHAnsi" w:cstheme="minorHAnsi"/>
        </w:rPr>
        <w:t>Basin</w:t>
      </w:r>
      <w:r w:rsidR="00BE5A56" w:rsidRPr="00BC4287">
        <w:rPr>
          <w:rFonts w:asciiTheme="minorHAnsi" w:hAnsiTheme="minorHAnsi" w:cstheme="minorHAnsi"/>
        </w:rPr>
        <w:t xml:space="preserve"> </w:t>
      </w:r>
      <w:r w:rsidRPr="00BC4287">
        <w:rPr>
          <w:rFonts w:asciiTheme="minorHAnsi" w:hAnsiTheme="minorHAnsi" w:cstheme="minorHAnsi"/>
        </w:rPr>
        <w:t>which are crucial to support the persistence of fish in waterholes.  Additionally, further experiments could identify the key characteristics of such waterholes that allow water</w:t>
      </w:r>
      <w:r w:rsidR="00003036">
        <w:rPr>
          <w:rFonts w:asciiTheme="minorHAnsi" w:hAnsiTheme="minorHAnsi" w:cstheme="minorHAnsi"/>
        </w:rPr>
        <w:t>, fish</w:t>
      </w:r>
      <w:r w:rsidRPr="00BC4287">
        <w:rPr>
          <w:rFonts w:asciiTheme="minorHAnsi" w:hAnsiTheme="minorHAnsi" w:cstheme="minorHAnsi"/>
        </w:rPr>
        <w:t xml:space="preserve"> and nutrients to persist. </w:t>
      </w:r>
    </w:p>
    <w:p w14:paraId="04DC23E2" w14:textId="73D00F2D" w:rsidR="00C33BDB" w:rsidRPr="005C0B7D" w:rsidRDefault="00003036" w:rsidP="005C0B7D">
      <w:pPr>
        <w:spacing w:before="120" w:after="100"/>
      </w:pPr>
      <w:r>
        <w:t xml:space="preserve">This work only looked at larval fish movement at a reach scale and only until fish had developed to the juvenile stage. </w:t>
      </w:r>
      <w:r w:rsidR="00C33BDB" w:rsidRPr="005C0B7D">
        <w:t xml:space="preserve">Longer-term and larger-scale movement patterns </w:t>
      </w:r>
      <w:r>
        <w:t xml:space="preserve">where we follow larvae to recruitment into the adult population would provide more information </w:t>
      </w:r>
      <w:r w:rsidR="00C45F03">
        <w:t>to guide management actions</w:t>
      </w:r>
      <w:r>
        <w:t xml:space="preserve">. </w:t>
      </w:r>
      <w:r w:rsidR="00C33BDB" w:rsidRPr="005C0B7D">
        <w:t xml:space="preserve"> </w:t>
      </w:r>
    </w:p>
    <w:p w14:paraId="0C593EEA" w14:textId="0DC4675E" w:rsidR="00C33BDB" w:rsidRPr="005C0B7D" w:rsidRDefault="00003036" w:rsidP="005C0B7D">
      <w:pPr>
        <w:spacing w:before="120" w:after="100"/>
      </w:pPr>
      <w:r>
        <w:t xml:space="preserve">The fish theme could only study some of the processes related to the persistence of fish populations in the </w:t>
      </w:r>
      <w:r w:rsidR="00BE5A56">
        <w:t>Basin</w:t>
      </w:r>
      <w:r>
        <w:t xml:space="preserve">. </w:t>
      </w:r>
      <w:r w:rsidR="00C33BDB" w:rsidRPr="005C0B7D">
        <w:t xml:space="preserve">Examination of the role of predation and competition with non-native species </w:t>
      </w:r>
      <w:r>
        <w:t>is also important as they r</w:t>
      </w:r>
      <w:r w:rsidR="00C33BDB" w:rsidRPr="005C0B7D">
        <w:t>epresent a significant source of mortality for the early-life stages of native species and may impact on our ability to predictively manage flows for recruitment responses.</w:t>
      </w:r>
      <w:r>
        <w:t xml:space="preserve"> </w:t>
      </w:r>
    </w:p>
    <w:p w14:paraId="56CF581F" w14:textId="42BE3141" w:rsidR="00C33BDB" w:rsidRDefault="00003036" w:rsidP="005C0B7D">
      <w:pPr>
        <w:spacing w:before="120" w:after="100"/>
      </w:pPr>
      <w:r>
        <w:t xml:space="preserve">The fish theme of the </w:t>
      </w:r>
      <w:r w:rsidR="00C33BDB" w:rsidRPr="005C0B7D">
        <w:t>EWKR</w:t>
      </w:r>
      <w:r>
        <w:t xml:space="preserve"> project</w:t>
      </w:r>
      <w:r w:rsidR="00C33BDB" w:rsidRPr="005C0B7D">
        <w:t xml:space="preserve"> focused largely on </w:t>
      </w:r>
      <w:r>
        <w:t>G</w:t>
      </w:r>
      <w:r w:rsidR="00C33BDB" w:rsidRPr="005C0B7D">
        <w:t xml:space="preserve">olden </w:t>
      </w:r>
      <w:r>
        <w:t>P</w:t>
      </w:r>
      <w:r w:rsidR="00C33BDB" w:rsidRPr="005C0B7D">
        <w:t xml:space="preserve">erch and Murray </w:t>
      </w:r>
      <w:r>
        <w:t>C</w:t>
      </w:r>
      <w:r w:rsidR="00C33BDB" w:rsidRPr="005C0B7D">
        <w:t xml:space="preserve">od. </w:t>
      </w:r>
      <w:r w:rsidRPr="005C0B7D">
        <w:t>Research on a greater diversity of species</w:t>
      </w:r>
      <w:r>
        <w:t xml:space="preserve"> is needed to protect the biodiversity of the </w:t>
      </w:r>
      <w:r w:rsidR="00BE5A56">
        <w:t>Basin</w:t>
      </w:r>
      <w:r>
        <w:t xml:space="preserve">. </w:t>
      </w:r>
      <w:r w:rsidR="00C33BDB" w:rsidRPr="005C0B7D">
        <w:t>Understanding recruitment drivers and the influence of flow, particularly for small-bodied floodplain species</w:t>
      </w:r>
      <w:r>
        <w:t xml:space="preserve">, is crucial. </w:t>
      </w:r>
      <w:r w:rsidR="00C33BDB" w:rsidRPr="005C0B7D">
        <w:t xml:space="preserve"> </w:t>
      </w:r>
      <w:r>
        <w:t>M</w:t>
      </w:r>
      <w:r w:rsidR="00C33BDB" w:rsidRPr="005C0B7D">
        <w:t>any of which</w:t>
      </w:r>
      <w:r>
        <w:t xml:space="preserve"> small-bodied species are</w:t>
      </w:r>
      <w:r w:rsidR="00C33BDB" w:rsidRPr="005C0B7D">
        <w:t xml:space="preserve"> critically endangered</w:t>
      </w:r>
      <w:r>
        <w:t xml:space="preserve"> but knowledge about them is limited</w:t>
      </w:r>
      <w:r w:rsidR="00C33BDB" w:rsidRPr="005C0B7D">
        <w:t>.</w:t>
      </w:r>
    </w:p>
    <w:p w14:paraId="19FC3F74" w14:textId="77777777" w:rsidR="00C45F03" w:rsidRPr="00BC4287" w:rsidRDefault="00C45F03" w:rsidP="005C0B7D">
      <w:pPr>
        <w:spacing w:before="120" w:after="100"/>
        <w:rPr>
          <w:rFonts w:asciiTheme="minorHAnsi" w:hAnsiTheme="minorHAnsi" w:cstheme="minorHAnsi"/>
        </w:rPr>
      </w:pPr>
    </w:p>
    <w:p w14:paraId="4EDDF6D6" w14:textId="757A9920" w:rsidR="00C4049C" w:rsidRDefault="00C45F03" w:rsidP="00C45F03">
      <w:pPr>
        <w:pStyle w:val="Heading1"/>
      </w:pPr>
      <w:bookmarkStart w:id="70" w:name="_Toc17202452"/>
      <w:r w:rsidRPr="00BC4287">
        <w:t>Food Webs Theme</w:t>
      </w:r>
      <w:bookmarkEnd w:id="70"/>
    </w:p>
    <w:p w14:paraId="1D02F8E2" w14:textId="6CC20515" w:rsidR="00C45F03" w:rsidRDefault="002F67AD" w:rsidP="001C7655">
      <w:pPr>
        <w:pStyle w:val="Heading2"/>
      </w:pPr>
      <w:bookmarkStart w:id="71" w:name="_Toc17202453"/>
      <w:r>
        <w:t xml:space="preserve">3.1 </w:t>
      </w:r>
      <w:r w:rsidR="002B2723" w:rsidRPr="00BC4287">
        <w:t xml:space="preserve">Food </w:t>
      </w:r>
      <w:r w:rsidR="00C45F03">
        <w:t>w</w:t>
      </w:r>
      <w:r w:rsidR="002B2723" w:rsidRPr="00BC4287">
        <w:t xml:space="preserve">ebs </w:t>
      </w:r>
      <w:r w:rsidR="00C45F03">
        <w:t>t</w:t>
      </w:r>
      <w:r w:rsidR="002B2723" w:rsidRPr="00BC4287">
        <w:t>heme</w:t>
      </w:r>
      <w:r w:rsidR="00C45F03">
        <w:t xml:space="preserve"> research focus</w:t>
      </w:r>
      <w:bookmarkEnd w:id="71"/>
    </w:p>
    <w:p w14:paraId="065C83D0" w14:textId="0F769EAF" w:rsidR="00C45F03" w:rsidRPr="00C45F03" w:rsidRDefault="00C45F03" w:rsidP="00C45F03">
      <w:pPr>
        <w:spacing w:after="0"/>
        <w:rPr>
          <w:b/>
          <w:i/>
          <w:sz w:val="10"/>
          <w:szCs w:val="10"/>
        </w:rPr>
      </w:pPr>
      <w:r w:rsidRPr="00C45F03">
        <w:t>The Basin Plan seeks to protect and restore biodiversity in the Basin’s aquatic ecosystems. Food webs are one of several critical ecosystem functions believed to be important for sustaining patterns of diversity along with connectivity and nutrient cycling. Improved understanding of the influence of flow on food webs will complement our understanding of the influence of flow on habitat and connectivity and that in combination, this knowledge will enable better management of environmental flows within the Basin.</w:t>
      </w:r>
      <w:r>
        <w:t xml:space="preserve"> </w:t>
      </w:r>
    </w:p>
    <w:p w14:paraId="26397DC2" w14:textId="77777777" w:rsidR="00C45F03" w:rsidRPr="00C45F03" w:rsidRDefault="00C45F03" w:rsidP="00C45F03">
      <w:pPr>
        <w:spacing w:after="0"/>
        <w:rPr>
          <w:sz w:val="10"/>
          <w:szCs w:val="10"/>
        </w:rPr>
      </w:pPr>
    </w:p>
    <w:p w14:paraId="16BBDC16" w14:textId="296675F5" w:rsidR="00C45F03" w:rsidRDefault="00C45F03" w:rsidP="00C45F03">
      <w:pPr>
        <w:spacing w:after="0"/>
      </w:pPr>
      <w:r>
        <w:t>The food web theme identified a knowledge gap around</w:t>
      </w:r>
      <w:r w:rsidRPr="000B30FB">
        <w:t xml:space="preserve"> the role of flow in generating the required resources for key life-history events, which result in </w:t>
      </w:r>
      <w:r w:rsidRPr="00C23810">
        <w:t>recruitmen</w:t>
      </w:r>
      <w:r w:rsidRPr="000B30FB">
        <w:t>t of plants and animals into breeding populations</w:t>
      </w:r>
      <w:r>
        <w:t xml:space="preserve">.  For example, </w:t>
      </w:r>
      <w:r w:rsidRPr="000B30FB">
        <w:t>even where fish breeding is initiated by a flow event, we have limited evidence that the resulting fish larvae have access to the resources needed to allow them to grow to sexual maturity</w:t>
      </w:r>
      <w:r>
        <w:t xml:space="preserve"> and therefore recruit into the population. The food web theme therefore aims to understand the relationship between flows and the provision of resources at critical stages. </w:t>
      </w:r>
    </w:p>
    <w:p w14:paraId="026F89C5" w14:textId="0FB21D6A" w:rsidR="00C45F03" w:rsidRDefault="002F67AD" w:rsidP="001C7655">
      <w:pPr>
        <w:pStyle w:val="Heading2"/>
      </w:pPr>
      <w:bookmarkStart w:id="72" w:name="_Toc17202454"/>
      <w:r>
        <w:t xml:space="preserve">3.2 </w:t>
      </w:r>
      <w:r w:rsidR="00C45F03">
        <w:t>Food web theme key findings</w:t>
      </w:r>
      <w:bookmarkEnd w:id="72"/>
    </w:p>
    <w:p w14:paraId="2B7D18BE" w14:textId="425D12E3" w:rsidR="002A544F" w:rsidRDefault="002A544F" w:rsidP="00E53E38">
      <w:pPr>
        <w:pStyle w:val="BodyText"/>
      </w:pPr>
      <w:r>
        <w:t xml:space="preserve">There was an initial review of available literature as well as a conceptualisation at the initial phase of the food webs theme.  This supported the initial assumption that there is a knowledge gap relating flow to food web dynamics (Food webs 2.1). </w:t>
      </w:r>
    </w:p>
    <w:p w14:paraId="1F21D1CC" w14:textId="20AF3C99" w:rsidR="002F67AD" w:rsidRDefault="002A544F" w:rsidP="00E53E38">
      <w:pPr>
        <w:pStyle w:val="BodyText"/>
      </w:pPr>
      <w:r>
        <w:t>A field program</w:t>
      </w:r>
      <w:r w:rsidR="003E2947">
        <w:t xml:space="preserve"> was</w:t>
      </w:r>
      <w:r>
        <w:t xml:space="preserve"> conducted in collaboration with the fish theme </w:t>
      </w:r>
      <w:r w:rsidR="003E2947">
        <w:t>to</w:t>
      </w:r>
      <w:r>
        <w:t xml:space="preserve"> identify wh</w:t>
      </w:r>
      <w:r w:rsidR="003E2947">
        <w:t>ere in</w:t>
      </w:r>
      <w:r>
        <w:t xml:space="preserve"> a river system </w:t>
      </w:r>
      <w:r w:rsidR="003E2947">
        <w:t>the</w:t>
      </w:r>
      <w:r>
        <w:t xml:space="preserve"> nutritional needs of larval fish</w:t>
      </w:r>
      <w:r w:rsidR="003E2947">
        <w:t xml:space="preserve"> are most likely to be met</w:t>
      </w:r>
      <w:r>
        <w:t xml:space="preserve">. This was done by analysing stable isotopes and fatty acids </w:t>
      </w:r>
      <w:r w:rsidR="003E2947">
        <w:t>in different part</w:t>
      </w:r>
      <w:r w:rsidR="0091228E">
        <w:t>s</w:t>
      </w:r>
      <w:r w:rsidR="003E2947">
        <w:t xml:space="preserve"> of the food web. This work found a</w:t>
      </w:r>
      <w:r w:rsidR="002B2723" w:rsidRPr="00BC4287">
        <w:t xml:space="preserve"> higher </w:t>
      </w:r>
      <w:r w:rsidR="002B2723" w:rsidRPr="00BC4287">
        <w:rPr>
          <w:i/>
        </w:rPr>
        <w:t>quality</w:t>
      </w:r>
      <w:r w:rsidR="002B2723" w:rsidRPr="00BC4287">
        <w:t xml:space="preserve"> of food for larval fish in floodplain habitats (wetlands and anabranches) </w:t>
      </w:r>
      <w:r w:rsidR="0058104D" w:rsidRPr="00BC4287">
        <w:t xml:space="preserve">than </w:t>
      </w:r>
      <w:r w:rsidR="002B2723" w:rsidRPr="00BC4287">
        <w:t>the river channel</w:t>
      </w:r>
      <w:r w:rsidR="003E2947">
        <w:t>,</w:t>
      </w:r>
      <w:r w:rsidR="002B2723" w:rsidRPr="00BC4287">
        <w:t xml:space="preserve"> </w:t>
      </w:r>
      <w:r w:rsidR="003E2947">
        <w:t>with floodplain habitat characterised by high concentration of fatty acids</w:t>
      </w:r>
      <w:r>
        <w:t xml:space="preserve">. </w:t>
      </w:r>
      <w:r w:rsidR="002B2723" w:rsidRPr="00BC4287">
        <w:t>Floodplain inundation and reconnection to the main river channel are crucial for the establishment of healthy energy pathways in riverine systems (Food webs 2.2)</w:t>
      </w:r>
      <w:r w:rsidR="0091228E">
        <w:t>.</w:t>
      </w:r>
    </w:p>
    <w:p w14:paraId="1D49F17C" w14:textId="56B908C8" w:rsidR="002B2723" w:rsidRDefault="003E2947" w:rsidP="00E53E38">
      <w:pPr>
        <w:pStyle w:val="BodyText"/>
      </w:pPr>
      <w:r>
        <w:t>Another field program looked at t</w:t>
      </w:r>
      <w:r w:rsidR="002B2723" w:rsidRPr="00BC4287">
        <w:t xml:space="preserve">he primary diets of Royal </w:t>
      </w:r>
      <w:r w:rsidR="00CA3B0E">
        <w:t>Spoonbill</w:t>
      </w:r>
      <w:r w:rsidR="002B2723" w:rsidRPr="00BC4287">
        <w:t xml:space="preserve">s and </w:t>
      </w:r>
      <w:r w:rsidR="00CA3B0E">
        <w:t>Straw-necked</w:t>
      </w:r>
      <w:r w:rsidR="002B2723" w:rsidRPr="00BC4287">
        <w:t xml:space="preserve"> </w:t>
      </w:r>
      <w:r w:rsidR="00CA3B0E">
        <w:t>Ibis</w:t>
      </w:r>
      <w:r>
        <w:t xml:space="preserve">. Royal </w:t>
      </w:r>
      <w:r w:rsidR="00CA3B0E">
        <w:t>Spoonbill</w:t>
      </w:r>
      <w:r>
        <w:t>s</w:t>
      </w:r>
      <w:r w:rsidR="002B2723" w:rsidRPr="00BC4287">
        <w:t xml:space="preserve"> </w:t>
      </w:r>
      <w:r>
        <w:t>rely primarily</w:t>
      </w:r>
      <w:r w:rsidR="002B2723" w:rsidRPr="00BC4287">
        <w:t xml:space="preserve"> on aquatic prey and </w:t>
      </w:r>
      <w:r w:rsidR="00D55D46">
        <w:t>Straw-necked</w:t>
      </w:r>
      <w:r>
        <w:t xml:space="preserve"> </w:t>
      </w:r>
      <w:r w:rsidR="00CA3B0E">
        <w:t>Ibis</w:t>
      </w:r>
      <w:r>
        <w:t xml:space="preserve"> are</w:t>
      </w:r>
      <w:r w:rsidR="002B2723" w:rsidRPr="00BC4287">
        <w:t xml:space="preserve"> </w:t>
      </w:r>
      <w:r w:rsidR="000A38E5" w:rsidRPr="00BC4287">
        <w:t>sourcing energy from terrestrial prey</w:t>
      </w:r>
      <w:r>
        <w:t xml:space="preserve">. In particular </w:t>
      </w:r>
      <w:r w:rsidR="00CA3B0E">
        <w:t>Spoonbill</w:t>
      </w:r>
      <w:r>
        <w:t xml:space="preserve">s are relying largely on fish while </w:t>
      </w:r>
      <w:r w:rsidR="00CA3B0E">
        <w:t>Ibis</w:t>
      </w:r>
      <w:r>
        <w:t xml:space="preserve"> rely on beetles. These results suggest that consideration of specific waterbird species trophic requirements is important when tailoring management of environmental watering to maximise food availability to support waterbird recruitment for different species </w:t>
      </w:r>
      <w:r w:rsidR="000A38E5" w:rsidRPr="00BC4287">
        <w:t>(Food webs 2.3)</w:t>
      </w:r>
      <w:r>
        <w:t>.</w:t>
      </w:r>
    </w:p>
    <w:p w14:paraId="7FA8C2F5" w14:textId="7DB479A4" w:rsidR="002F67AD" w:rsidRDefault="002F67AD" w:rsidP="00E53E38">
      <w:pPr>
        <w:pStyle w:val="BodyText"/>
      </w:pPr>
      <w:r>
        <w:t>Mes</w:t>
      </w:r>
      <w:r w:rsidR="0091228E">
        <w:t>o</w:t>
      </w:r>
      <w:r>
        <w:t>cosm experiments were conducted to understand how resources are taken up into food webs and how efficiently nutrients are transferred through the food webs.  The food resources for larvae of two fish species (Murray Cod and Carp Gudgeon) were examined. This showed that g</w:t>
      </w:r>
      <w:r w:rsidR="000A38E5" w:rsidRPr="00BC4287">
        <w:t>reen</w:t>
      </w:r>
      <w:r>
        <w:t xml:space="preserve"> (photosynthetic)</w:t>
      </w:r>
      <w:r w:rsidR="000A38E5" w:rsidRPr="00BC4287">
        <w:t xml:space="preserve"> algae </w:t>
      </w:r>
      <w:r w:rsidR="00C4049C" w:rsidRPr="00BC4287">
        <w:t>are</w:t>
      </w:r>
      <w:r w:rsidR="000A38E5" w:rsidRPr="00BC4287">
        <w:t xml:space="preserve"> the basis of the food web that supports the diets of invertebrates that are eaten by larval fish (Food webs 2.4)</w:t>
      </w:r>
      <w:r>
        <w:t>.</w:t>
      </w:r>
    </w:p>
    <w:p w14:paraId="1998703E" w14:textId="1574559F" w:rsidR="00712963" w:rsidRDefault="002F67AD" w:rsidP="00E53E38">
      <w:pPr>
        <w:pStyle w:val="BodyText"/>
        <w:rPr>
          <w:rFonts w:asciiTheme="minorHAnsi" w:hAnsiTheme="minorHAnsi" w:cstheme="minorHAnsi"/>
          <w:color w:val="2E2E2E"/>
        </w:rPr>
      </w:pPr>
      <w:r w:rsidRPr="00607657">
        <w:t>Trophic niche is a fundamental dimension of food web structure and it is determined by energy availability, energy transfer and the diversity of carbon and nutrients in ecosystems</w:t>
      </w:r>
      <w:r w:rsidRPr="00607657">
        <w:rPr>
          <w:rFonts w:asciiTheme="minorHAnsi" w:hAnsiTheme="minorHAnsi" w:cstheme="minorHAnsi"/>
        </w:rPr>
        <w:t xml:space="preserve">. </w:t>
      </w:r>
      <w:r w:rsidRPr="00607657">
        <w:rPr>
          <w:rFonts w:asciiTheme="minorHAnsi" w:hAnsiTheme="minorHAnsi" w:cstheme="minorHAnsi"/>
          <w:color w:val="2E2E2E"/>
        </w:rPr>
        <w:t> </w:t>
      </w:r>
      <w:r>
        <w:rPr>
          <w:rFonts w:asciiTheme="minorHAnsi" w:hAnsiTheme="minorHAnsi" w:cstheme="minorHAnsi"/>
          <w:color w:val="2E2E2E"/>
        </w:rPr>
        <w:t xml:space="preserve">Animals like fish occupy a niche that places them at a point within a food web e.g. species like Murray Cod and Golden Carp are top predators.  A tool, the Basin scale trophic niche indicator, was developed to trace where species fit into </w:t>
      </w:r>
      <w:r w:rsidR="00712963">
        <w:rPr>
          <w:rFonts w:asciiTheme="minorHAnsi" w:hAnsiTheme="minorHAnsi" w:cstheme="minorHAnsi"/>
          <w:color w:val="2E2E2E"/>
        </w:rPr>
        <w:t>the food web</w:t>
      </w:r>
      <w:r w:rsidR="00952997">
        <w:rPr>
          <w:rFonts w:asciiTheme="minorHAnsi" w:hAnsiTheme="minorHAnsi" w:cstheme="minorHAnsi"/>
          <w:color w:val="2E2E2E"/>
        </w:rPr>
        <w:t>,</w:t>
      </w:r>
      <w:r w:rsidR="00712963">
        <w:rPr>
          <w:rFonts w:asciiTheme="minorHAnsi" w:hAnsiTheme="minorHAnsi" w:cstheme="minorHAnsi"/>
          <w:color w:val="2E2E2E"/>
        </w:rPr>
        <w:t xml:space="preserve"> depending on what foods </w:t>
      </w:r>
      <w:r w:rsidR="00952997">
        <w:rPr>
          <w:rFonts w:asciiTheme="minorHAnsi" w:hAnsiTheme="minorHAnsi" w:cstheme="minorHAnsi"/>
          <w:color w:val="2E2E2E"/>
        </w:rPr>
        <w:t>w</w:t>
      </w:r>
      <w:r w:rsidR="00712963">
        <w:rPr>
          <w:rFonts w:asciiTheme="minorHAnsi" w:hAnsiTheme="minorHAnsi" w:cstheme="minorHAnsi"/>
          <w:color w:val="2E2E2E"/>
        </w:rPr>
        <w:t>ere consumed. Where changes are observed in the trophic niche it is reflected by a change in food resources</w:t>
      </w:r>
      <w:r w:rsidR="00952997">
        <w:rPr>
          <w:rFonts w:asciiTheme="minorHAnsi" w:hAnsiTheme="minorHAnsi" w:cstheme="minorHAnsi"/>
          <w:color w:val="2E2E2E"/>
        </w:rPr>
        <w:t xml:space="preserve"> in the system</w:t>
      </w:r>
      <w:r w:rsidR="00712963">
        <w:rPr>
          <w:rFonts w:asciiTheme="minorHAnsi" w:hAnsiTheme="minorHAnsi" w:cstheme="minorHAnsi"/>
          <w:color w:val="2E2E2E"/>
        </w:rPr>
        <w:t xml:space="preserve"> (Food webs 2.5).</w:t>
      </w:r>
    </w:p>
    <w:p w14:paraId="46360A88" w14:textId="36627895" w:rsidR="002F67AD" w:rsidRPr="00BC4287" w:rsidRDefault="00712963" w:rsidP="00E53E38">
      <w:pPr>
        <w:pStyle w:val="BodyText"/>
      </w:pPr>
      <w:r>
        <w:t>A model that linked environmental flows to ecological outcomes was also developed.  This model produced a quantitative food web that ranked watering events based on fish biomass</w:t>
      </w:r>
      <w:r w:rsidR="00952997">
        <w:t xml:space="preserve"> produced</w:t>
      </w:r>
      <w:r>
        <w:t>.  Overall this study found that f</w:t>
      </w:r>
      <w:r w:rsidRPr="00AE382B">
        <w:t xml:space="preserve">ish biomass was proportional to the area and duration of </w:t>
      </w:r>
      <w:r w:rsidR="00952997" w:rsidRPr="00AE382B">
        <w:t>inundation</w:t>
      </w:r>
      <w:r w:rsidR="00952997">
        <w:t>, however</w:t>
      </w:r>
      <w:r w:rsidR="00F436B2">
        <w:t>,</w:t>
      </w:r>
      <w:r>
        <w:t xml:space="preserve"> th</w:t>
      </w:r>
      <w:r w:rsidR="00952997">
        <w:t>e biomass</w:t>
      </w:r>
      <w:r>
        <w:t xml:space="preserve"> was</w:t>
      </w:r>
      <w:r w:rsidR="00952997">
        <w:t xml:space="preserve"> also</w:t>
      </w:r>
      <w:r>
        <w:t xml:space="preserve"> strongly influenced by diet quality and composition.</w:t>
      </w:r>
      <w:r w:rsidRPr="00712963">
        <w:t xml:space="preserve"> </w:t>
      </w:r>
      <w:r>
        <w:t xml:space="preserve">By targeting shifts in diet composition and producer quality, watering events can be designed to benefit fish. Green algae have the potential for high production rates and can contribute a large proportion of the energy used by </w:t>
      </w:r>
      <w:r w:rsidR="00952997">
        <w:t xml:space="preserve">the invertebrates eaten by </w:t>
      </w:r>
      <w:r>
        <w:t>fish</w:t>
      </w:r>
      <w:r w:rsidR="00F436B2">
        <w:t xml:space="preserve"> (Food webs 2.6)</w:t>
      </w:r>
      <w:r w:rsidR="0091228E">
        <w:t>.</w:t>
      </w:r>
      <w:r>
        <w:t xml:space="preserve"> </w:t>
      </w:r>
    </w:p>
    <w:p w14:paraId="7C9E9C86" w14:textId="31137274" w:rsidR="00712963" w:rsidRDefault="00847405" w:rsidP="001C7655">
      <w:pPr>
        <w:pStyle w:val="Heading2"/>
      </w:pPr>
      <w:bookmarkStart w:id="73" w:name="_Toc17202455"/>
      <w:r>
        <w:t xml:space="preserve">3.3 </w:t>
      </w:r>
      <w:r w:rsidR="00712963">
        <w:t>Food web theme synthesis</w:t>
      </w:r>
      <w:bookmarkEnd w:id="73"/>
    </w:p>
    <w:p w14:paraId="5F171289" w14:textId="4E44949E" w:rsidR="00712963" w:rsidRPr="00BC4287" w:rsidRDefault="00712963" w:rsidP="00E53E38">
      <w:pPr>
        <w:pStyle w:val="BodyText"/>
      </w:pPr>
      <w:r w:rsidRPr="00BC4287">
        <w:t>Floodplain inundation is crucial for river productivity, as anabranches and wetlands provide abundant</w:t>
      </w:r>
      <w:r>
        <w:t>,</w:t>
      </w:r>
      <w:r w:rsidRPr="00BC4287">
        <w:t xml:space="preserve"> high-quality food sources that are the basis of the food web</w:t>
      </w:r>
      <w:r>
        <w:t xml:space="preserve"> for fish and waterbirds. </w:t>
      </w:r>
      <w:r w:rsidRPr="00BC4287">
        <w:t xml:space="preserve">Floodplain inundation needs to occur </w:t>
      </w:r>
      <w:r w:rsidR="00847405">
        <w:t xml:space="preserve">as </w:t>
      </w:r>
      <w:r w:rsidR="00535708">
        <w:t>frequently</w:t>
      </w:r>
      <w:r w:rsidR="00847405">
        <w:t xml:space="preserve"> as possible</w:t>
      </w:r>
      <w:r w:rsidRPr="00BC4287">
        <w:t xml:space="preserve"> to mobilise food resources and allow consumers to access valuable feeding areas</w:t>
      </w:r>
      <w:r w:rsidR="00535708">
        <w:t xml:space="preserve">. </w:t>
      </w:r>
    </w:p>
    <w:p w14:paraId="7A425E50" w14:textId="78CD39CD" w:rsidR="00535708" w:rsidRPr="00535708" w:rsidRDefault="00535708" w:rsidP="00535708">
      <w:pPr>
        <w:spacing w:before="120"/>
        <w:rPr>
          <w:rFonts w:eastAsiaTheme="majorEastAsia" w:cstheme="majorBidi"/>
          <w:bCs/>
          <w:color w:val="auto"/>
          <w:sz w:val="26"/>
          <w:szCs w:val="26"/>
        </w:rPr>
      </w:pPr>
      <w:r>
        <w:t>The</w:t>
      </w:r>
      <w:r w:rsidR="00847405">
        <w:t>se</w:t>
      </w:r>
      <w:r w:rsidRPr="00535708">
        <w:t xml:space="preserve"> results suggest that consideration of specific waterbird species requirements is important when tailoring management of environmental watering to maximise food availability to support waterbird recruitment.</w:t>
      </w:r>
    </w:p>
    <w:p w14:paraId="301514F8" w14:textId="2B05616C" w:rsidR="00712963" w:rsidRDefault="00847405" w:rsidP="00E53E38">
      <w:pPr>
        <w:pStyle w:val="BodyText"/>
      </w:pPr>
      <w:r w:rsidRPr="00227C1A">
        <w:t xml:space="preserve">Work </w:t>
      </w:r>
      <w:r>
        <w:t xml:space="preserve">undertaken in mesocosm experiments reinforced patterns observed in field experiments. </w:t>
      </w:r>
      <w:r w:rsidRPr="00227C1A">
        <w:t xml:space="preserve">Green </w:t>
      </w:r>
      <w:r>
        <w:t>a</w:t>
      </w:r>
      <w:r w:rsidRPr="00227C1A">
        <w:t xml:space="preserve">lgae are a key </w:t>
      </w:r>
      <w:r>
        <w:t xml:space="preserve">basal </w:t>
      </w:r>
      <w:r w:rsidRPr="00227C1A">
        <w:t>resource</w:t>
      </w:r>
      <w:r>
        <w:t xml:space="preserve"> for consumers, providing a high-quality food. </w:t>
      </w:r>
      <w:r w:rsidRPr="00227C1A">
        <w:t xml:space="preserve">Essential </w:t>
      </w:r>
      <w:r>
        <w:t>f</w:t>
      </w:r>
      <w:r w:rsidRPr="00227C1A">
        <w:t xml:space="preserve">atty </w:t>
      </w:r>
      <w:r>
        <w:t>a</w:t>
      </w:r>
      <w:r w:rsidRPr="00227C1A">
        <w:t xml:space="preserve">cids from green algae </w:t>
      </w:r>
      <w:r>
        <w:t xml:space="preserve">were </w:t>
      </w:r>
      <w:r w:rsidRPr="00227C1A">
        <w:t>traced through food</w:t>
      </w:r>
      <w:r>
        <w:t xml:space="preserve"> </w:t>
      </w:r>
      <w:r w:rsidRPr="00227C1A">
        <w:t>webs from invertebrates to fish</w:t>
      </w:r>
      <w:r>
        <w:t xml:space="preserve">. </w:t>
      </w:r>
      <w:r w:rsidRPr="00227C1A">
        <w:t>D</w:t>
      </w:r>
      <w:r>
        <w:t xml:space="preserve">issolved organic </w:t>
      </w:r>
      <w:r w:rsidR="0091228E">
        <w:t>c</w:t>
      </w:r>
      <w:r>
        <w:t>arbon</w:t>
      </w:r>
      <w:r w:rsidRPr="00227C1A">
        <w:t>-based</w:t>
      </w:r>
      <w:r>
        <w:t xml:space="preserve"> food webs provide the</w:t>
      </w:r>
      <w:r w:rsidRPr="00227C1A">
        <w:t xml:space="preserve"> lowest invertebrate density, richness and lowest fish growth and survival</w:t>
      </w:r>
      <w:r>
        <w:t xml:space="preserve">. </w:t>
      </w:r>
    </w:p>
    <w:p w14:paraId="29A517B9" w14:textId="0877299B" w:rsidR="00847405" w:rsidRPr="00847405" w:rsidRDefault="00847405" w:rsidP="00847405">
      <w:pPr>
        <w:spacing w:before="120"/>
        <w:rPr>
          <w:rFonts w:eastAsiaTheme="majorEastAsia" w:cstheme="majorBidi"/>
          <w:bCs/>
          <w:color w:val="auto"/>
          <w:sz w:val="26"/>
          <w:szCs w:val="26"/>
        </w:rPr>
      </w:pPr>
      <w:r w:rsidRPr="00847405">
        <w:t xml:space="preserve">The methods developed in the trophic niche activity provide a monitoring tool for managers to evaluate changes in the trophic position of fish communities in the </w:t>
      </w:r>
      <w:r w:rsidR="0091228E">
        <w:t>Basin</w:t>
      </w:r>
      <w:r w:rsidRPr="00847405">
        <w:t>. The trophic niche indicator provides a cost-effective annual monitoring tool relevant to CEWO watering objective ‘ecosystem function’.</w:t>
      </w:r>
    </w:p>
    <w:p w14:paraId="006200F4" w14:textId="795819DF" w:rsidR="00847405" w:rsidRPr="00847405" w:rsidRDefault="00847405" w:rsidP="00847405">
      <w:pPr>
        <w:spacing w:before="120"/>
      </w:pPr>
      <w:r w:rsidRPr="00847405">
        <w:t>The modelling work was informed by empirical data from mesocosm, site and basin scale experimental work, and builds on our current understanding of trophic responses to environmental watering. By targeting shifts in diet composition and producer quality, watering events can be designed to disproportionately benefit fish. Green algae have the potential for high production rates and can contribute a large proportion of the energy used by fish</w:t>
      </w:r>
      <w:r w:rsidR="00043B8A">
        <w:t xml:space="preserve"> (Food webs 3)</w:t>
      </w:r>
      <w:r w:rsidRPr="00847405">
        <w:t>.</w:t>
      </w:r>
    </w:p>
    <w:p w14:paraId="7005CD62" w14:textId="0AB5406D" w:rsidR="00847405" w:rsidRDefault="00847405" w:rsidP="001C7655">
      <w:pPr>
        <w:pStyle w:val="Heading2"/>
      </w:pPr>
      <w:bookmarkStart w:id="74" w:name="_Toc17202456"/>
      <w:r>
        <w:t xml:space="preserve">3.4 Food web theme </w:t>
      </w:r>
      <w:r w:rsidR="00FC1713">
        <w:t>information for managers</w:t>
      </w:r>
      <w:bookmarkEnd w:id="74"/>
    </w:p>
    <w:p w14:paraId="78554DFC" w14:textId="1AC10A57" w:rsidR="00847405" w:rsidRDefault="00847405" w:rsidP="00E53E38">
      <w:pPr>
        <w:pStyle w:val="BodyText"/>
      </w:pPr>
      <w:r>
        <w:t xml:space="preserve">Where possible, water managers should link the river channel to anabranches and wetlands to allow consumers to access the highest quality food resources. </w:t>
      </w:r>
      <w:r w:rsidR="00043B8A">
        <w:t xml:space="preserve"> More frequent links also reduce the likelihood of blackwater events, as resources are regularly washed into the river channel. </w:t>
      </w:r>
    </w:p>
    <w:p w14:paraId="7AB67110" w14:textId="6363817A" w:rsidR="00043B8A" w:rsidRDefault="00043B8A" w:rsidP="00E53E38">
      <w:pPr>
        <w:pStyle w:val="BodyText"/>
      </w:pPr>
      <w:r>
        <w:t xml:space="preserve">Habitat heterogeneity is needed to maximise high quality biofilms and green algae which support the basis of riverine foodwebs. This can be done through maintenance of hydraulic and structural diversity. </w:t>
      </w:r>
    </w:p>
    <w:p w14:paraId="4DFD6054" w14:textId="0532C22D" w:rsidR="00043B8A" w:rsidRPr="00043B8A" w:rsidRDefault="00043B8A" w:rsidP="00043B8A">
      <w:pPr>
        <w:spacing w:after="0"/>
      </w:pPr>
      <w:r w:rsidRPr="00071CBB">
        <w:t xml:space="preserve">Given multi-year datasets, the trophic niche indicator could be </w:t>
      </w:r>
      <w:r>
        <w:t xml:space="preserve">further </w:t>
      </w:r>
      <w:r w:rsidRPr="00071CBB">
        <w:t>developed to evaluate the direct effects of flow metrics</w:t>
      </w:r>
      <w:r w:rsidRPr="00043B8A">
        <w:t xml:space="preserve"> and therefore environmental flows, on the trophic niche of fishes and other consumers including waterbirds. The trophic niche indicator can tell us whether the delivery of flows is providing the food resources needed for recruitment and for maximising the production of adult fish populations</w:t>
      </w:r>
      <w:r w:rsidR="0074270D">
        <w:t xml:space="preserve"> (Food webs 4)</w:t>
      </w:r>
      <w:r w:rsidRPr="00043B8A">
        <w:t xml:space="preserve">.  </w:t>
      </w:r>
    </w:p>
    <w:p w14:paraId="54D0E29C" w14:textId="154A6DD0" w:rsidR="00043B8A" w:rsidRDefault="00043B8A" w:rsidP="00E53E38">
      <w:pPr>
        <w:pStyle w:val="BodyText"/>
      </w:pPr>
    </w:p>
    <w:p w14:paraId="04B3DD6C" w14:textId="5BADB9D5" w:rsidR="00043B8A" w:rsidRDefault="00043B8A" w:rsidP="001C7655">
      <w:pPr>
        <w:pStyle w:val="Heading2"/>
      </w:pPr>
      <w:bookmarkStart w:id="75" w:name="_Toc17202457"/>
      <w:r>
        <w:t>3.5 Food web theme knowledge</w:t>
      </w:r>
      <w:r w:rsidR="00715D5F">
        <w:t xml:space="preserve"> status</w:t>
      </w:r>
      <w:bookmarkEnd w:id="75"/>
      <w:r>
        <w:t xml:space="preserve"> </w:t>
      </w:r>
    </w:p>
    <w:p w14:paraId="66DAC776" w14:textId="77777777" w:rsidR="003D75C5" w:rsidRPr="003D75C5" w:rsidRDefault="003D75C5" w:rsidP="003D75C5">
      <w:pPr>
        <w:spacing w:before="120"/>
      </w:pPr>
      <w:r w:rsidRPr="003D75C5">
        <w:t>Conceptual, mesocosm, reach and basin scale research conducted by the EWKR food web theme has improved the current understanding of two primary aspects of how environmental water can be used to enhance productivity and consumer responses. This work has emphasised the critical importance of:</w:t>
      </w:r>
    </w:p>
    <w:p w14:paraId="7222E7EF" w14:textId="77777777" w:rsidR="003D75C5" w:rsidRPr="003D75C5" w:rsidRDefault="003D75C5" w:rsidP="003D75C5">
      <w:pPr>
        <w:spacing w:before="120"/>
      </w:pPr>
      <w:r w:rsidRPr="003D75C5">
        <w:t>1) Managing for high quality resources spatially and temporally</w:t>
      </w:r>
    </w:p>
    <w:p w14:paraId="4028B582" w14:textId="77777777" w:rsidR="003D75C5" w:rsidRPr="003D75C5" w:rsidRDefault="003D75C5" w:rsidP="003D75C5">
      <w:pPr>
        <w:spacing w:before="120"/>
      </w:pPr>
      <w:r w:rsidRPr="003D75C5">
        <w:t>2) Targeting flows to support basal resources</w:t>
      </w:r>
    </w:p>
    <w:p w14:paraId="3AEC5CE2" w14:textId="77777777" w:rsidR="003D75C5" w:rsidRPr="003D75C5" w:rsidRDefault="003D75C5" w:rsidP="003D75C5">
      <w:pPr>
        <w:spacing w:before="120"/>
        <w:rPr>
          <w:lang w:val="en-US"/>
        </w:rPr>
      </w:pPr>
      <w:r w:rsidRPr="003D75C5">
        <w:rPr>
          <w:lang w:val="en-US"/>
        </w:rPr>
        <w:t>While the EWKR food web theme has gone a long way in improving our understanding the relationship between environmental flows and food webs that transfer energy to support recruitment of native fish and water birds, the work has also identified several knowledge gaps that require further investigation.</w:t>
      </w:r>
    </w:p>
    <w:p w14:paraId="18B41E40" w14:textId="77777777" w:rsidR="003D75C5" w:rsidRPr="003D75C5" w:rsidRDefault="003D75C5" w:rsidP="003D75C5">
      <w:pPr>
        <w:spacing w:before="120"/>
      </w:pPr>
      <w:r w:rsidRPr="003D75C5">
        <w:rPr>
          <w:lang w:val="en-US"/>
        </w:rPr>
        <w:t xml:space="preserve">Areas that require further attention include: </w:t>
      </w:r>
    </w:p>
    <w:p w14:paraId="50F9300D" w14:textId="4A3CC880" w:rsidR="003D75C5" w:rsidRPr="003D75C5" w:rsidRDefault="00A5011D" w:rsidP="003D75C5">
      <w:pPr>
        <w:numPr>
          <w:ilvl w:val="0"/>
          <w:numId w:val="19"/>
        </w:numPr>
        <w:spacing w:before="120"/>
        <w:rPr>
          <w:rFonts w:eastAsia="Times New Roman"/>
          <w:color w:val="auto"/>
          <w:szCs w:val="24"/>
          <w:lang w:val="en-GB" w:eastAsia="en-GB"/>
        </w:rPr>
      </w:pPr>
      <w:r>
        <w:rPr>
          <w:rFonts w:eastAsia="Times New Roman"/>
          <w:color w:val="auto"/>
          <w:szCs w:val="24"/>
          <w:lang w:val="en-GB" w:eastAsia="en-GB"/>
        </w:rPr>
        <w:t>C</w:t>
      </w:r>
      <w:r w:rsidR="003D75C5" w:rsidRPr="003D75C5">
        <w:rPr>
          <w:rFonts w:eastAsia="Times New Roman"/>
          <w:color w:val="auto"/>
          <w:szCs w:val="24"/>
          <w:lang w:val="en-GB" w:eastAsia="en-GB"/>
        </w:rPr>
        <w:t>onsideration of hydrology in studies of trophic dynamics in river and floodplain systems</w:t>
      </w:r>
      <w:r w:rsidR="003D75C5">
        <w:rPr>
          <w:rFonts w:eastAsia="Times New Roman"/>
          <w:color w:val="auto"/>
          <w:szCs w:val="24"/>
          <w:lang w:val="en-GB" w:eastAsia="en-GB"/>
        </w:rPr>
        <w:t xml:space="preserve">. This would improve the ability to predict how flows will influence food webs. </w:t>
      </w:r>
    </w:p>
    <w:p w14:paraId="02B54269" w14:textId="18E4BF1A" w:rsidR="003D75C5" w:rsidRPr="003D75C5" w:rsidRDefault="003D75C5" w:rsidP="003D75C5">
      <w:pPr>
        <w:numPr>
          <w:ilvl w:val="0"/>
          <w:numId w:val="19"/>
        </w:numPr>
        <w:spacing w:before="120"/>
        <w:rPr>
          <w:rFonts w:eastAsia="Times New Roman"/>
          <w:color w:val="auto"/>
          <w:szCs w:val="24"/>
          <w:lang w:val="en-GB" w:eastAsia="en-GB"/>
        </w:rPr>
      </w:pPr>
      <w:r>
        <w:rPr>
          <w:rFonts w:eastAsia="Times New Roman"/>
          <w:color w:val="auto"/>
          <w:szCs w:val="24"/>
          <w:lang w:val="en-GB" w:eastAsia="en-GB"/>
        </w:rPr>
        <w:t>An understanding of the importance of prior events and the nature</w:t>
      </w:r>
      <w:r w:rsidRPr="003D75C5">
        <w:rPr>
          <w:rFonts w:eastAsia="Times New Roman"/>
          <w:color w:val="auto"/>
          <w:szCs w:val="24"/>
          <w:lang w:val="en-GB" w:eastAsia="en-GB"/>
        </w:rPr>
        <w:t xml:space="preserve"> of trophic dynamic responses to</w:t>
      </w:r>
      <w:r>
        <w:rPr>
          <w:rFonts w:eastAsia="Times New Roman"/>
          <w:color w:val="auto"/>
          <w:szCs w:val="24"/>
          <w:lang w:val="en-GB" w:eastAsia="en-GB"/>
        </w:rPr>
        <w:t xml:space="preserve"> different flow events</w:t>
      </w:r>
      <w:r w:rsidRPr="003D75C5">
        <w:rPr>
          <w:rFonts w:eastAsia="Times New Roman"/>
          <w:color w:val="auto"/>
          <w:szCs w:val="24"/>
          <w:lang w:val="en-GB" w:eastAsia="en-GB"/>
        </w:rPr>
        <w:t xml:space="preserve"> </w:t>
      </w:r>
      <w:r>
        <w:rPr>
          <w:rFonts w:eastAsia="Times New Roman"/>
          <w:color w:val="auto"/>
          <w:szCs w:val="24"/>
          <w:lang w:val="en-GB" w:eastAsia="en-GB"/>
        </w:rPr>
        <w:t>would allow us to provide more robust models and tools and increase the applicability of results to more rivers</w:t>
      </w:r>
      <w:r w:rsidR="00A5011D">
        <w:rPr>
          <w:rFonts w:eastAsia="Times New Roman"/>
          <w:color w:val="auto"/>
          <w:szCs w:val="24"/>
          <w:lang w:val="en-GB" w:eastAsia="en-GB"/>
        </w:rPr>
        <w:t>.</w:t>
      </w:r>
    </w:p>
    <w:p w14:paraId="7EC167E5" w14:textId="5495C8F8" w:rsidR="003D75C5" w:rsidRPr="003D75C5" w:rsidRDefault="003D75C5" w:rsidP="003D75C5">
      <w:pPr>
        <w:numPr>
          <w:ilvl w:val="0"/>
          <w:numId w:val="19"/>
        </w:numPr>
        <w:spacing w:before="120"/>
        <w:rPr>
          <w:rFonts w:eastAsia="Times New Roman"/>
          <w:color w:val="auto"/>
          <w:szCs w:val="24"/>
          <w:lang w:val="en-GB" w:eastAsia="en-GB"/>
        </w:rPr>
      </w:pPr>
      <w:r w:rsidRPr="003D75C5">
        <w:rPr>
          <w:rFonts w:eastAsia="Times New Roman"/>
          <w:color w:val="auto"/>
          <w:szCs w:val="24"/>
          <w:lang w:val="en-GB" w:eastAsia="en-GB"/>
        </w:rPr>
        <w:t>Identification of the spatial scales at which trophic dynamics operate in response to hydrology</w:t>
      </w:r>
      <w:r>
        <w:rPr>
          <w:rFonts w:eastAsia="Times New Roman"/>
          <w:color w:val="auto"/>
          <w:szCs w:val="24"/>
          <w:lang w:val="en-GB" w:eastAsia="en-GB"/>
        </w:rPr>
        <w:t xml:space="preserve"> would allow greater generalisation of results. </w:t>
      </w:r>
    </w:p>
    <w:p w14:paraId="241CC757" w14:textId="5E83C9B7" w:rsidR="003D75C5" w:rsidRPr="003D75C5" w:rsidRDefault="003D75C5" w:rsidP="003D75C5">
      <w:pPr>
        <w:numPr>
          <w:ilvl w:val="0"/>
          <w:numId w:val="19"/>
        </w:numPr>
        <w:spacing w:before="120"/>
        <w:rPr>
          <w:rFonts w:eastAsia="Times New Roman"/>
          <w:color w:val="auto"/>
          <w:szCs w:val="24"/>
          <w:lang w:val="en-GB" w:eastAsia="en-GB"/>
        </w:rPr>
      </w:pPr>
      <w:r w:rsidRPr="003D75C5">
        <w:rPr>
          <w:rFonts w:eastAsia="Times New Roman"/>
          <w:color w:val="auto"/>
          <w:szCs w:val="24"/>
          <w:lang w:val="en-GB" w:eastAsia="en-GB"/>
        </w:rPr>
        <w:t xml:space="preserve">Improved understanding of </w:t>
      </w:r>
      <w:r>
        <w:rPr>
          <w:rFonts w:eastAsia="Times New Roman"/>
          <w:color w:val="auto"/>
          <w:szCs w:val="24"/>
          <w:lang w:val="en-GB" w:eastAsia="en-GB"/>
        </w:rPr>
        <w:t xml:space="preserve">how to </w:t>
      </w:r>
      <w:r w:rsidRPr="003D75C5">
        <w:rPr>
          <w:rFonts w:eastAsia="Times New Roman"/>
          <w:color w:val="auto"/>
          <w:szCs w:val="24"/>
          <w:lang w:val="en-GB" w:eastAsia="en-GB"/>
        </w:rPr>
        <w:t>optimis</w:t>
      </w:r>
      <w:r>
        <w:rPr>
          <w:rFonts w:eastAsia="Times New Roman"/>
          <w:color w:val="auto"/>
          <w:szCs w:val="24"/>
          <w:lang w:val="en-GB" w:eastAsia="en-GB"/>
        </w:rPr>
        <w:t>e</w:t>
      </w:r>
      <w:r w:rsidRPr="003D75C5">
        <w:rPr>
          <w:rFonts w:eastAsia="Times New Roman"/>
          <w:color w:val="auto"/>
          <w:szCs w:val="24"/>
          <w:lang w:val="en-GB" w:eastAsia="en-GB"/>
        </w:rPr>
        <w:t xml:space="preserve"> the nutritional quality of basal resources (synthesis of essential fatty acids) including</w:t>
      </w:r>
      <w:r>
        <w:rPr>
          <w:rFonts w:eastAsia="Times New Roman"/>
          <w:color w:val="auto"/>
          <w:szCs w:val="24"/>
          <w:lang w:val="en-GB" w:eastAsia="en-GB"/>
        </w:rPr>
        <w:t xml:space="preserve"> timing, frequency and duration of watering to best support biodiversity in rivers would allow specific recommendations to be made around specific management scenarios. </w:t>
      </w:r>
    </w:p>
    <w:p w14:paraId="27F0DEF3" w14:textId="77777777" w:rsidR="0074270D" w:rsidRPr="0074270D" w:rsidRDefault="0074270D" w:rsidP="00E53E38">
      <w:pPr>
        <w:pStyle w:val="BodyText"/>
      </w:pPr>
    </w:p>
    <w:p w14:paraId="3B821058" w14:textId="52A83FB1" w:rsidR="000A38E5" w:rsidRDefault="000A38E5" w:rsidP="00E22F46">
      <w:pPr>
        <w:pStyle w:val="Heading1"/>
      </w:pPr>
      <w:bookmarkStart w:id="76" w:name="_Toc17202458"/>
      <w:r w:rsidRPr="00BC4287">
        <w:t>Vegetation theme</w:t>
      </w:r>
      <w:bookmarkEnd w:id="76"/>
      <w:r w:rsidRPr="00BC4287">
        <w:t xml:space="preserve"> </w:t>
      </w:r>
    </w:p>
    <w:p w14:paraId="408957B3" w14:textId="4BE780C2" w:rsidR="0066272C" w:rsidRDefault="0066272C" w:rsidP="001C7655">
      <w:pPr>
        <w:pStyle w:val="Heading2"/>
      </w:pPr>
      <w:bookmarkStart w:id="77" w:name="_Toc17202459"/>
      <w:r>
        <w:t>4.1 Vegetation theme research focus</w:t>
      </w:r>
      <w:bookmarkEnd w:id="77"/>
    </w:p>
    <w:p w14:paraId="43A132BB" w14:textId="467E7D5D" w:rsidR="000154A4" w:rsidRPr="000154A4" w:rsidRDefault="000154A4" w:rsidP="000154A4">
      <w:pPr>
        <w:spacing w:before="120"/>
        <w:rPr>
          <w:color w:val="auto"/>
        </w:rPr>
      </w:pPr>
      <w:r w:rsidRPr="000154A4">
        <w:rPr>
          <w:color w:val="auto"/>
        </w:rPr>
        <w:t>The value of wetland and floodplain vegetation is reflected in the Basin-wide Environmental Watering Strategy which lists maintaining the extent and improving the condition of forests and woodlands, shrublands and non-woody vegetation as expected outcomes. The diversity of plants, vegetation communities and mosaics of communities in Murray-Darling Basin wetlands and floodplains is tremendous</w:t>
      </w:r>
      <w:r>
        <w:rPr>
          <w:color w:val="auto"/>
        </w:rPr>
        <w:t xml:space="preserve"> and</w:t>
      </w:r>
      <w:r w:rsidRPr="000154A4">
        <w:rPr>
          <w:color w:val="auto"/>
        </w:rPr>
        <w:t xml:space="preserve"> take </w:t>
      </w:r>
      <w:r>
        <w:rPr>
          <w:color w:val="auto"/>
        </w:rPr>
        <w:t>many</w:t>
      </w:r>
      <w:r w:rsidRPr="000154A4">
        <w:rPr>
          <w:color w:val="auto"/>
        </w:rPr>
        <w:t xml:space="preserve"> forms, from floating ferns to ancient trees. Environmental water managers may seek to achieve a range of vegetation outcomes that reflect the diversity of functions and values supported by wetland and floodplain vegetation.</w:t>
      </w:r>
    </w:p>
    <w:p w14:paraId="6419CAB8" w14:textId="77777777" w:rsidR="000154A4" w:rsidRPr="000154A4" w:rsidRDefault="000154A4" w:rsidP="000154A4">
      <w:pPr>
        <w:spacing w:before="120"/>
        <w:rPr>
          <w:color w:val="auto"/>
        </w:rPr>
      </w:pPr>
      <w:r w:rsidRPr="000154A4">
        <w:rPr>
          <w:color w:val="auto"/>
        </w:rPr>
        <w:t xml:space="preserve">The overarching research question for the Vegetation Theme was: What are the drivers of sustainable populations and diverse communities of water-dependent vegetation? </w:t>
      </w:r>
    </w:p>
    <w:p w14:paraId="4C82D62D" w14:textId="77777777" w:rsidR="000154A4" w:rsidRPr="000154A4" w:rsidRDefault="000154A4" w:rsidP="000154A4">
      <w:pPr>
        <w:spacing w:before="120"/>
        <w:rPr>
          <w:color w:val="auto"/>
        </w:rPr>
      </w:pPr>
      <w:r w:rsidRPr="000154A4">
        <w:rPr>
          <w:color w:val="auto"/>
        </w:rPr>
        <w:t>This high-level aim was applied to two priority research topics:</w:t>
      </w:r>
    </w:p>
    <w:p w14:paraId="525F5450" w14:textId="6FA264EB" w:rsidR="000154A4" w:rsidRPr="000154A4" w:rsidRDefault="000154A4" w:rsidP="000154A4">
      <w:pPr>
        <w:numPr>
          <w:ilvl w:val="0"/>
          <w:numId w:val="60"/>
        </w:numPr>
        <w:ind w:left="927"/>
        <w:rPr>
          <w:rFonts w:eastAsia="Times New Roman"/>
          <w:color w:val="auto"/>
          <w:szCs w:val="24"/>
          <w:lang w:eastAsia="en-GB"/>
        </w:rPr>
      </w:pPr>
      <w:r w:rsidRPr="000154A4">
        <w:rPr>
          <w:rFonts w:eastAsia="Times New Roman"/>
          <w:b/>
          <w:color w:val="auto"/>
          <w:szCs w:val="24"/>
          <w:lang w:eastAsia="en-GB"/>
        </w:rPr>
        <w:t xml:space="preserve">Diversity </w:t>
      </w:r>
      <w:r w:rsidRPr="000154A4">
        <w:rPr>
          <w:rFonts w:eastAsia="Times New Roman"/>
          <w:color w:val="auto"/>
          <w:szCs w:val="24"/>
          <w:lang w:eastAsia="en-GB"/>
        </w:rPr>
        <w:t>of non-woody</w:t>
      </w:r>
      <w:r w:rsidRPr="000154A4">
        <w:rPr>
          <w:rFonts w:eastAsia="Times New Roman"/>
          <w:b/>
          <w:color w:val="auto"/>
          <w:szCs w:val="24"/>
          <w:lang w:eastAsia="en-GB"/>
        </w:rPr>
        <w:t xml:space="preserve"> </w:t>
      </w:r>
      <w:r w:rsidRPr="000154A4">
        <w:rPr>
          <w:rFonts w:eastAsia="Times New Roman"/>
          <w:color w:val="auto"/>
          <w:szCs w:val="24"/>
          <w:lang w:eastAsia="en-GB"/>
        </w:rPr>
        <w:t>(understory and wetland) plants</w:t>
      </w:r>
    </w:p>
    <w:p w14:paraId="2E326458" w14:textId="4337A15D" w:rsidR="000154A4" w:rsidRDefault="000154A4" w:rsidP="000154A4">
      <w:pPr>
        <w:numPr>
          <w:ilvl w:val="0"/>
          <w:numId w:val="60"/>
        </w:numPr>
        <w:ind w:left="927"/>
        <w:rPr>
          <w:rFonts w:eastAsia="Times New Roman"/>
          <w:color w:val="auto"/>
          <w:szCs w:val="24"/>
          <w:lang w:eastAsia="en-GB"/>
        </w:rPr>
      </w:pPr>
      <w:r w:rsidRPr="000154A4">
        <w:rPr>
          <w:rFonts w:eastAsia="Times New Roman"/>
          <w:b/>
          <w:color w:val="auto"/>
          <w:szCs w:val="24"/>
          <w:lang w:eastAsia="en-GB"/>
        </w:rPr>
        <w:t>Recruitment</w:t>
      </w:r>
      <w:r w:rsidRPr="000154A4">
        <w:rPr>
          <w:rFonts w:eastAsia="Times New Roman"/>
          <w:color w:val="auto"/>
          <w:szCs w:val="24"/>
          <w:lang w:eastAsia="en-GB"/>
        </w:rPr>
        <w:t xml:space="preserve"> of long-lived woody vegetation </w:t>
      </w:r>
      <w:r w:rsidR="00921C10">
        <w:rPr>
          <w:rFonts w:eastAsia="Times New Roman"/>
          <w:color w:val="auto"/>
          <w:szCs w:val="24"/>
          <w:lang w:eastAsia="en-GB"/>
        </w:rPr>
        <w:t>[</w:t>
      </w:r>
      <w:r w:rsidRPr="000154A4">
        <w:rPr>
          <w:rFonts w:eastAsia="Times New Roman"/>
          <w:color w:val="auto"/>
          <w:szCs w:val="24"/>
          <w:lang w:eastAsia="en-GB"/>
        </w:rPr>
        <w:t>river red gum (</w:t>
      </w:r>
      <w:r w:rsidRPr="000154A4">
        <w:rPr>
          <w:rFonts w:eastAsia="Times New Roman"/>
          <w:i/>
          <w:iCs/>
          <w:color w:val="auto"/>
          <w:szCs w:val="24"/>
          <w:lang w:eastAsia="en-GB"/>
        </w:rPr>
        <w:t xml:space="preserve">Eucalyptus camaldulensis </w:t>
      </w:r>
      <w:r w:rsidRPr="000154A4">
        <w:rPr>
          <w:rFonts w:eastAsia="Times New Roman"/>
          <w:color w:val="auto"/>
          <w:szCs w:val="24"/>
          <w:lang w:eastAsia="en-GB"/>
        </w:rPr>
        <w:t>Dehnh.), black box (</w:t>
      </w:r>
      <w:r w:rsidRPr="000154A4">
        <w:rPr>
          <w:rFonts w:eastAsia="Times New Roman"/>
          <w:i/>
          <w:iCs/>
          <w:color w:val="auto"/>
          <w:szCs w:val="24"/>
          <w:lang w:eastAsia="en-GB"/>
        </w:rPr>
        <w:t xml:space="preserve">Eucalyptus largiflorens </w:t>
      </w:r>
      <w:r w:rsidRPr="000154A4">
        <w:rPr>
          <w:rFonts w:eastAsia="Times New Roman"/>
          <w:color w:val="auto"/>
          <w:szCs w:val="24"/>
          <w:lang w:eastAsia="en-GB"/>
        </w:rPr>
        <w:t>F.Muell.), coolibah (</w:t>
      </w:r>
      <w:r w:rsidRPr="000154A4">
        <w:rPr>
          <w:rFonts w:eastAsia="Times New Roman"/>
          <w:i/>
          <w:iCs/>
          <w:color w:val="auto"/>
          <w:szCs w:val="24"/>
          <w:lang w:eastAsia="en-GB"/>
        </w:rPr>
        <w:t xml:space="preserve">Eucalyptus coolabah </w:t>
      </w:r>
      <w:r w:rsidRPr="000154A4">
        <w:rPr>
          <w:rFonts w:eastAsia="Times New Roman"/>
          <w:iCs/>
          <w:color w:val="auto"/>
          <w:szCs w:val="24"/>
          <w:lang w:eastAsia="en-GB"/>
        </w:rPr>
        <w:t>Blakely &amp; Jacobs)</w:t>
      </w:r>
      <w:r w:rsidRPr="000154A4">
        <w:rPr>
          <w:rFonts w:eastAsia="Times New Roman"/>
          <w:color w:val="auto"/>
          <w:szCs w:val="24"/>
          <w:lang w:eastAsia="en-GB"/>
        </w:rPr>
        <w:t xml:space="preserve"> and lignum (</w:t>
      </w:r>
      <w:r w:rsidRPr="000154A4">
        <w:rPr>
          <w:rFonts w:eastAsia="Times New Roman"/>
          <w:i/>
          <w:iCs/>
          <w:color w:val="auto"/>
          <w:szCs w:val="24"/>
          <w:lang w:eastAsia="en-GB"/>
        </w:rPr>
        <w:t xml:space="preserve">Duma florulenta </w:t>
      </w:r>
      <w:r w:rsidRPr="000154A4">
        <w:rPr>
          <w:rFonts w:eastAsia="Times New Roman"/>
          <w:color w:val="auto"/>
          <w:szCs w:val="24"/>
          <w:lang w:eastAsia="en-GB"/>
        </w:rPr>
        <w:t>Meissner</w:t>
      </w:r>
      <w:r w:rsidRPr="000154A4">
        <w:rPr>
          <w:rFonts w:eastAsia="Times New Roman"/>
          <w:iCs/>
          <w:color w:val="auto"/>
          <w:szCs w:val="24"/>
          <w:lang w:eastAsia="en-GB"/>
        </w:rPr>
        <w:t>)</w:t>
      </w:r>
      <w:r w:rsidR="00921C10">
        <w:rPr>
          <w:rFonts w:eastAsia="Times New Roman"/>
          <w:color w:val="auto"/>
          <w:szCs w:val="24"/>
          <w:lang w:eastAsia="en-GB"/>
        </w:rPr>
        <w:t>]</w:t>
      </w:r>
    </w:p>
    <w:p w14:paraId="558D76C8" w14:textId="3A004FF9" w:rsidR="000154A4" w:rsidRDefault="000154A4" w:rsidP="001C7655">
      <w:pPr>
        <w:pStyle w:val="Heading2"/>
        <w:rPr>
          <w:lang w:eastAsia="en-GB"/>
        </w:rPr>
      </w:pPr>
      <w:bookmarkStart w:id="78" w:name="_Toc17202460"/>
      <w:r>
        <w:rPr>
          <w:lang w:eastAsia="en-GB"/>
        </w:rPr>
        <w:t>4.2 Vegetation theme key findings</w:t>
      </w:r>
      <w:bookmarkEnd w:id="78"/>
    </w:p>
    <w:p w14:paraId="3908D401" w14:textId="2F4D64AF" w:rsidR="000154A4" w:rsidRPr="000154A4" w:rsidRDefault="000154A4" w:rsidP="00E53E38">
      <w:pPr>
        <w:pStyle w:val="BodyText"/>
        <w:rPr>
          <w:lang w:eastAsia="en-GB"/>
        </w:rPr>
      </w:pPr>
      <w:r>
        <w:rPr>
          <w:lang w:eastAsia="en-GB"/>
        </w:rPr>
        <w:t xml:space="preserve">The vegetation theme </w:t>
      </w:r>
      <w:r w:rsidRPr="005F6DF2">
        <w:t>asked the question ‘How do we define vegetation response objectives to consider multiple trait responses, ecological levels of organisation, functions and values and spatio-temporal scales?’</w:t>
      </w:r>
      <w:r>
        <w:t xml:space="preserve"> This was answered by providing a framework to support water managers to identify </w:t>
      </w:r>
      <w:r w:rsidRPr="005F6DF2">
        <w:t>i) more explicit vegetation management objectives that are linked to values; ii) relevant response attributes / traits to inform the selection of appropriate indicators to monitor; iii) expected time frames for measurable responses of relevant attributes / traits to inform target setting; and iv) appropriate spatial scale for measuring response</w:t>
      </w:r>
      <w:r>
        <w:t>.</w:t>
      </w:r>
      <w:r w:rsidRPr="000154A4">
        <w:t xml:space="preserve"> </w:t>
      </w:r>
      <w:r w:rsidRPr="005F6DF2">
        <w:t xml:space="preserve">Clearly defining the objective </w:t>
      </w:r>
      <w:r>
        <w:t>helps guide</w:t>
      </w:r>
      <w:r w:rsidRPr="005F6DF2">
        <w:t xml:space="preserve"> the design of flow regimes to meet these objectives, developing monitoring / research programs to detect relevant responses and in evaluating the outcomes of the delivery of environmental water.</w:t>
      </w:r>
      <w:r>
        <w:t xml:space="preserve"> (Vegetation theme 2.1). </w:t>
      </w:r>
    </w:p>
    <w:p w14:paraId="7750AD56" w14:textId="630D75CB" w:rsidR="00E12BFF" w:rsidRDefault="00E12BFF" w:rsidP="00E53E38">
      <w:pPr>
        <w:pStyle w:val="BodyText"/>
      </w:pPr>
      <w:r>
        <w:t>S</w:t>
      </w:r>
      <w:r w:rsidR="000154A4">
        <w:t>ynthesis and data integration</w:t>
      </w:r>
      <w:r w:rsidR="004A79F8">
        <w:t xml:space="preserve"> exercise</w:t>
      </w:r>
      <w:r>
        <w:t>s</w:t>
      </w:r>
      <w:r w:rsidR="004A79F8">
        <w:t xml:space="preserve"> w</w:t>
      </w:r>
      <w:r>
        <w:t>ere</w:t>
      </w:r>
      <w:r w:rsidR="004A79F8">
        <w:t xml:space="preserve"> undertaken to as</w:t>
      </w:r>
      <w:r>
        <w:t xml:space="preserve">k 1) What drives vegetation responses to watering actions (focussing on non-woody vegetation, flow regimes and </w:t>
      </w:r>
      <w:r w:rsidR="00921C10">
        <w:t>climate)</w:t>
      </w:r>
      <w:r>
        <w:t xml:space="preserve">. 2) How can we learn more from existing data?  A wetland response model was created that considered how several hydrological indicators (e.g. water depth, time since last flooding, proportion of time wet) influence vegetation richness and abundance. </w:t>
      </w:r>
      <w:r w:rsidRPr="00E12BFF">
        <w:t>Variability in vegetation responses</w:t>
      </w:r>
      <w:r>
        <w:t xml:space="preserve"> to the same watering actions</w:t>
      </w:r>
      <w:r w:rsidRPr="00E12BFF">
        <w:t xml:space="preserve"> </w:t>
      </w:r>
      <w:r>
        <w:t>were</w:t>
      </w:r>
      <w:r w:rsidRPr="00E12BFF">
        <w:t xml:space="preserve"> predicted to arise as a result of differences in location, recent flow conditions (e.g. water depth, time-since-last inundation, proportion time wet), vegetation structure, and medium to long term flow regimes</w:t>
      </w:r>
      <w:r>
        <w:t xml:space="preserve"> (Vegetation 2.2). </w:t>
      </w:r>
    </w:p>
    <w:p w14:paraId="54A724F8" w14:textId="166CD07A" w:rsidR="00E12BFF" w:rsidRDefault="00E12BFF" w:rsidP="00E53E38">
      <w:pPr>
        <w:pStyle w:val="BodyText"/>
      </w:pPr>
      <w:r>
        <w:t>Field assessments and germination trials asked,</w:t>
      </w:r>
      <w:r w:rsidRPr="005F6DF2">
        <w:t xml:space="preserve"> ‘W</w:t>
      </w:r>
      <w:r w:rsidRPr="005F6DF2">
        <w:rPr>
          <w:i/>
        </w:rPr>
        <w:t xml:space="preserve">hat drives vegetation responses to watering actions?’ </w:t>
      </w:r>
      <w:r w:rsidRPr="005F6DF2">
        <w:t>This study assessed the influence of regional location, flood-return-frequency and woody vegetation structure on ex</w:t>
      </w:r>
      <w:r>
        <w:t>isting</w:t>
      </w:r>
      <w:r w:rsidRPr="005F6DF2">
        <w:t xml:space="preserve"> and soil seed bank vegetation assemblages</w:t>
      </w:r>
      <w:r>
        <w:t>, lignum structure and woody seedling recruitment</w:t>
      </w:r>
      <w:r w:rsidRPr="005F6DF2">
        <w:t xml:space="preserve">. </w:t>
      </w:r>
      <w:r>
        <w:t xml:space="preserve">This component found that there is a huge diversity in vegetation outcomes in space and time and this diversity comes from differences in location, recent flow conditions, vegetation structure and medium to long term flow regimes. </w:t>
      </w:r>
      <w:r w:rsidR="005E4946">
        <w:t>In addition, this study found that</w:t>
      </w:r>
      <w:r w:rsidR="005E4946" w:rsidRPr="005E4946">
        <w:rPr>
          <w:rFonts w:asciiTheme="minorHAnsi" w:hAnsiTheme="minorHAnsi" w:cstheme="minorHAnsi"/>
          <w:noProof/>
          <w:color w:val="auto"/>
        </w:rPr>
        <w:t xml:space="preserve"> </w:t>
      </w:r>
      <w:r w:rsidR="005E4946">
        <w:rPr>
          <w:rFonts w:asciiTheme="minorHAnsi" w:hAnsiTheme="minorHAnsi" w:cstheme="minorHAnsi"/>
          <w:noProof/>
          <w:color w:val="auto"/>
        </w:rPr>
        <w:t>w</w:t>
      </w:r>
      <w:r w:rsidR="005E4946" w:rsidRPr="005E4946">
        <w:rPr>
          <w:rFonts w:asciiTheme="minorHAnsi" w:hAnsiTheme="minorHAnsi" w:cstheme="minorHAnsi"/>
          <w:noProof/>
          <w:color w:val="auto"/>
        </w:rPr>
        <w:t>atering lignum annually</w:t>
      </w:r>
      <w:r w:rsidR="005E4946">
        <w:rPr>
          <w:rFonts w:asciiTheme="minorHAnsi" w:hAnsiTheme="minorHAnsi" w:cstheme="minorHAnsi"/>
          <w:noProof/>
          <w:color w:val="auto"/>
        </w:rPr>
        <w:t>,</w:t>
      </w:r>
      <w:r w:rsidR="005E4946" w:rsidRPr="005E4946">
        <w:rPr>
          <w:rFonts w:asciiTheme="minorHAnsi" w:hAnsiTheme="minorHAnsi" w:cstheme="minorHAnsi"/>
          <w:noProof/>
          <w:color w:val="auto"/>
        </w:rPr>
        <w:t xml:space="preserve"> </w:t>
      </w:r>
      <w:r w:rsidR="005E4946">
        <w:rPr>
          <w:rFonts w:asciiTheme="minorHAnsi" w:hAnsiTheme="minorHAnsi" w:cstheme="minorHAnsi"/>
          <w:noProof/>
          <w:color w:val="auto"/>
        </w:rPr>
        <w:t>or</w:t>
      </w:r>
      <w:r w:rsidR="005E4946" w:rsidRPr="005E4946">
        <w:rPr>
          <w:rFonts w:asciiTheme="minorHAnsi" w:hAnsiTheme="minorHAnsi" w:cstheme="minorHAnsi"/>
          <w:noProof/>
          <w:color w:val="auto"/>
        </w:rPr>
        <w:t xml:space="preserve"> 1 in every 1.5 – 3 years assists in greatest clump size</w:t>
      </w:r>
      <w:r w:rsidR="005E4946">
        <w:t xml:space="preserve"> </w:t>
      </w:r>
      <w:r>
        <w:t>(Vegetation 2.3)</w:t>
      </w:r>
      <w:r w:rsidR="005E4946">
        <w:t>.</w:t>
      </w:r>
    </w:p>
    <w:p w14:paraId="3D8CDBD4" w14:textId="2A6DA74C" w:rsidR="005E4946" w:rsidRPr="00E12BFF" w:rsidRDefault="00176BF7" w:rsidP="00E53E38">
      <w:pPr>
        <w:pStyle w:val="BodyText"/>
      </w:pPr>
      <w:r>
        <w:t xml:space="preserve">A seedling mesocosm experiment helped improve knowledge about seedling establishment. </w:t>
      </w:r>
      <w:r w:rsidRPr="005F6DF2">
        <w:t>Specifically, this research sought to improve the understanding of flow requirements for seedling establishment, including an understanding of whether responses varied with seedling age.</w:t>
      </w:r>
      <w:r>
        <w:t xml:space="preserve"> This component found that Eucalypt tree seedlings have a range of strategies to respond to watering actions</w:t>
      </w:r>
      <w:r w:rsidR="004A594F">
        <w:t>:</w:t>
      </w:r>
      <w:r>
        <w:t xml:space="preserve"> constant inundation suppresses seedling growth but not mortality</w:t>
      </w:r>
      <w:r w:rsidR="004A594F">
        <w:t>;</w:t>
      </w:r>
      <w:r>
        <w:t xml:space="preserve"> dry periods are important to allow seedling roots to establish and</w:t>
      </w:r>
      <w:r w:rsidR="004A594F">
        <w:t>;</w:t>
      </w:r>
      <w:r>
        <w:t xml:space="preserve"> some species are sensitive to floods relative to their age (Vegetation 2.4). </w:t>
      </w:r>
    </w:p>
    <w:p w14:paraId="5837DD4B" w14:textId="1B98C3F7" w:rsidR="00E12BFF" w:rsidRDefault="007E17C4" w:rsidP="001C7655">
      <w:pPr>
        <w:pStyle w:val="Heading2"/>
      </w:pPr>
      <w:bookmarkStart w:id="79" w:name="_Toc17202461"/>
      <w:r>
        <w:t>4.3 Vegetation theme synthesis</w:t>
      </w:r>
      <w:bookmarkEnd w:id="79"/>
    </w:p>
    <w:p w14:paraId="16D21D2E" w14:textId="5391721D" w:rsidR="00A406E4" w:rsidRPr="00A406E4" w:rsidRDefault="007E17C4" w:rsidP="00E53E38">
      <w:pPr>
        <w:pStyle w:val="BodyText"/>
        <w:rPr>
          <w:color w:val="auto"/>
        </w:rPr>
      </w:pPr>
      <w:r>
        <w:t>The framework created for water managers provides i</w:t>
      </w:r>
      <w:r w:rsidRPr="005F6DF2">
        <w:t>nformation to support the</w:t>
      </w:r>
      <w:r>
        <w:t xml:space="preserve"> development of objectives</w:t>
      </w:r>
      <w:r w:rsidRPr="005F6DF2">
        <w:t xml:space="preserve"> </w:t>
      </w:r>
      <w:r>
        <w:t xml:space="preserve">and </w:t>
      </w:r>
      <w:r w:rsidRPr="005F6DF2">
        <w:t xml:space="preserve">expected outcomes and </w:t>
      </w:r>
      <w:r>
        <w:t xml:space="preserve">to </w:t>
      </w:r>
      <w:r w:rsidRPr="005F6DF2">
        <w:t>evaluate success</w:t>
      </w:r>
      <w:r>
        <w:t>. The framework</w:t>
      </w:r>
      <w:r w:rsidR="00A406E4">
        <w:t xml:space="preserve"> aids</w:t>
      </w:r>
      <w:r>
        <w:t xml:space="preserve"> managers </w:t>
      </w:r>
      <w:r w:rsidR="00A406E4">
        <w:t xml:space="preserve">by guiding them to consider a range of potential influences on their desired outcome (e.g. richness, seed viability). </w:t>
      </w:r>
      <w:r w:rsidR="00A406E4">
        <w:rPr>
          <w:color w:val="auto"/>
        </w:rPr>
        <w:t>This work has</w:t>
      </w:r>
      <w:r w:rsidR="00A406E4" w:rsidRPr="00A406E4">
        <w:rPr>
          <w:color w:val="auto"/>
        </w:rPr>
        <w:t xml:space="preserve"> </w:t>
      </w:r>
      <w:r w:rsidR="00A406E4">
        <w:rPr>
          <w:color w:val="auto"/>
        </w:rPr>
        <w:t>shown</w:t>
      </w:r>
      <w:r w:rsidR="00A406E4" w:rsidRPr="00A406E4">
        <w:rPr>
          <w:color w:val="auto"/>
        </w:rPr>
        <w:t xml:space="preserve"> there is incredible variation in local plant communities and seed banks in space and time even though many wetland and floodplain species have wide distributions and are rarely considered endemic</w:t>
      </w:r>
      <w:r w:rsidR="00880E85">
        <w:rPr>
          <w:color w:val="auto"/>
        </w:rPr>
        <w:t xml:space="preserve">. </w:t>
      </w:r>
    </w:p>
    <w:p w14:paraId="15B63D10" w14:textId="77777777" w:rsidR="00A406E4" w:rsidRPr="00A406E4" w:rsidRDefault="00A406E4" w:rsidP="00A5011D">
      <w:pPr>
        <w:spacing w:before="120"/>
        <w:rPr>
          <w:color w:val="auto"/>
        </w:rPr>
      </w:pPr>
      <w:r w:rsidRPr="00A406E4">
        <w:rPr>
          <w:color w:val="auto"/>
        </w:rPr>
        <w:t xml:space="preserve">Location is overwhelmingly the most important predictor of local community composition, followed by recent flow conditions (e.g. preceding three months) in terms of determining community responses. After location and recent flow, the story becomes more complicated and interactions between factors play a role. For example, if a wetland has been dry over the medium term, around 3-10 years, then vegetation structure appears to be a key predictor of wetland community. In contrast, if a wetland has been wet over the medium term, around 3-10 years, then the medium to long term flow regime becomes a key predictor of wetland community. </w:t>
      </w:r>
    </w:p>
    <w:p w14:paraId="4976EAE3" w14:textId="727BB49C" w:rsidR="00A406E4" w:rsidRPr="00A406E4" w:rsidRDefault="00A406E4" w:rsidP="00A5011D">
      <w:pPr>
        <w:spacing w:before="120"/>
        <w:rPr>
          <w:color w:val="auto"/>
        </w:rPr>
      </w:pPr>
      <w:r w:rsidRPr="00A406E4">
        <w:rPr>
          <w:color w:val="auto"/>
        </w:rPr>
        <w:t>Seedling establishment is a vulnerable stage for floodplain trees and understanding their specific watering requirements is important for the long-term survival of the species. The three eucalypt species</w:t>
      </w:r>
      <w:r>
        <w:rPr>
          <w:color w:val="auto"/>
        </w:rPr>
        <w:t xml:space="preserve"> studied</w:t>
      </w:r>
      <w:r w:rsidRPr="00A406E4">
        <w:rPr>
          <w:color w:val="auto"/>
        </w:rPr>
        <w:t xml:space="preserve"> displayed different growth strategies in response to the watering treatments. Understanding the likely mechanisms behind these strategies enables better predictions of outcomes and more targeted watering regimes. </w:t>
      </w:r>
    </w:p>
    <w:p w14:paraId="721DECF7" w14:textId="136BCAAD" w:rsidR="00A406E4" w:rsidRDefault="00A406E4" w:rsidP="00A5011D">
      <w:pPr>
        <w:spacing w:before="120"/>
        <w:rPr>
          <w:color w:val="auto"/>
        </w:rPr>
      </w:pPr>
      <w:r>
        <w:rPr>
          <w:color w:val="auto"/>
        </w:rPr>
        <w:t>D</w:t>
      </w:r>
      <w:r w:rsidRPr="00A406E4">
        <w:rPr>
          <w:color w:val="auto"/>
        </w:rPr>
        <w:t xml:space="preserve">ata was collected around the structural condition of lignum. There is a strong association between lignum clump size and flood inundation category, with lignum clump size (volume) greatest in the most frequently inundated categories. </w:t>
      </w:r>
    </w:p>
    <w:p w14:paraId="606653A5" w14:textId="381757DC" w:rsidR="00A406E4" w:rsidRDefault="00A406E4" w:rsidP="001C7655">
      <w:pPr>
        <w:pStyle w:val="Heading2"/>
      </w:pPr>
      <w:bookmarkStart w:id="80" w:name="_Toc17202462"/>
      <w:r>
        <w:t xml:space="preserve">4.4 Vegetation </w:t>
      </w:r>
      <w:r w:rsidR="00FF5B34">
        <w:t xml:space="preserve">theme </w:t>
      </w:r>
      <w:r w:rsidR="00FC1713">
        <w:t>information for managers</w:t>
      </w:r>
      <w:bookmarkEnd w:id="80"/>
    </w:p>
    <w:p w14:paraId="51225A96" w14:textId="294B052C" w:rsidR="00A5011D" w:rsidRDefault="00A5011D" w:rsidP="00A5011D">
      <w:r w:rsidRPr="00A5011D">
        <w:rPr>
          <w:rFonts w:asciiTheme="minorHAnsi" w:hAnsiTheme="minorHAnsi" w:cstheme="minorHAnsi"/>
        </w:rPr>
        <w:t>The water management framework developed by the vegetation theme</w:t>
      </w:r>
      <w:r w:rsidRPr="00A5011D">
        <w:t xml:space="preserve"> </w:t>
      </w:r>
      <w:r w:rsidRPr="00A5011D">
        <w:rPr>
          <w:rFonts w:asciiTheme="minorHAnsi" w:hAnsiTheme="minorHAnsi" w:cstheme="minorHAnsi"/>
        </w:rPr>
        <w:t>guides</w:t>
      </w:r>
      <w:r w:rsidRPr="00A5011D">
        <w:t xml:space="preserve"> how environmental watering events might be undertaken</w:t>
      </w:r>
      <w:r w:rsidRPr="00A5011D">
        <w:rPr>
          <w:rFonts w:asciiTheme="minorHAnsi" w:hAnsiTheme="minorHAnsi" w:cstheme="minorHAnsi"/>
        </w:rPr>
        <w:t xml:space="preserve"> for vegetation outcomes</w:t>
      </w:r>
      <w:r w:rsidRPr="00A5011D">
        <w:t xml:space="preserve">. </w:t>
      </w:r>
      <w:r w:rsidRPr="00A5011D">
        <w:rPr>
          <w:rFonts w:asciiTheme="minorHAnsi" w:hAnsiTheme="minorHAnsi" w:cstheme="minorHAnsi"/>
        </w:rPr>
        <w:t xml:space="preserve">Using this framework helps </w:t>
      </w:r>
      <w:r w:rsidRPr="00A5011D">
        <w:t>predict responses to environmental watering events and can be used to help plan or prioritise watering actions</w:t>
      </w:r>
      <w:r>
        <w:t xml:space="preserve"> (</w:t>
      </w:r>
      <w:r w:rsidR="00A17169">
        <w:t>V</w:t>
      </w:r>
      <w:r>
        <w:t xml:space="preserve">egetation </w:t>
      </w:r>
      <w:r w:rsidR="00A17169">
        <w:t xml:space="preserve">2.1.2). </w:t>
      </w:r>
    </w:p>
    <w:p w14:paraId="4BB70C5A" w14:textId="3E1236E9" w:rsidR="00A17169" w:rsidRDefault="00A17169" w:rsidP="00A5011D">
      <w:r>
        <w:t xml:space="preserve">Analysis of existing data identified that the abundance of non-woody vegetation was maximised when areas were dry for approximately 50% if the time; supporting the idea that regimes of wetting and drying are needed to support semi-arid wetland ecosystems (Vegetation 2.2.2). </w:t>
      </w:r>
    </w:p>
    <w:p w14:paraId="2DFA1A0A" w14:textId="5BD15EE3" w:rsidR="00A5011D" w:rsidRDefault="00A5011D" w:rsidP="00A5011D">
      <w:pPr>
        <w:rPr>
          <w:rFonts w:asciiTheme="minorHAnsi" w:hAnsiTheme="minorHAnsi" w:cstheme="minorHAnsi"/>
        </w:rPr>
      </w:pPr>
      <w:r w:rsidRPr="00A5011D">
        <w:rPr>
          <w:rFonts w:asciiTheme="minorHAnsi" w:hAnsiTheme="minorHAnsi" w:cstheme="minorHAnsi"/>
        </w:rPr>
        <w:t>Maintaining lignum with structural qualities to support processes such as waterbird breeding and fledging is likely to require flow regime characteristics, including flood-return-frequency in the range of 1 flow in every 1 – 3 years</w:t>
      </w:r>
      <w:r w:rsidR="00A17169">
        <w:rPr>
          <w:rFonts w:asciiTheme="minorHAnsi" w:hAnsiTheme="minorHAnsi" w:cstheme="minorHAnsi"/>
        </w:rPr>
        <w:t xml:space="preserve"> (Vegetation 2.3.2). </w:t>
      </w:r>
    </w:p>
    <w:p w14:paraId="1CFBEE31" w14:textId="0A3206EE" w:rsidR="00A17169" w:rsidRDefault="00A17169" w:rsidP="00A5011D">
      <w:pPr>
        <w:rPr>
          <w:rFonts w:asciiTheme="minorHAnsi" w:hAnsiTheme="minorHAnsi" w:cstheme="minorHAnsi"/>
        </w:rPr>
      </w:pPr>
      <w:r>
        <w:rPr>
          <w:rFonts w:asciiTheme="minorHAnsi" w:hAnsiTheme="minorHAnsi" w:cstheme="minorHAnsi"/>
        </w:rPr>
        <w:t>While constant flooding suppressed seedling growth the seedlings of black box and coolibah are flood tolerant. If managing for seedling recruitment it is important to all</w:t>
      </w:r>
      <w:r w:rsidR="00325188">
        <w:rPr>
          <w:rFonts w:asciiTheme="minorHAnsi" w:hAnsiTheme="minorHAnsi" w:cstheme="minorHAnsi"/>
        </w:rPr>
        <w:t>ow</w:t>
      </w:r>
      <w:r>
        <w:rPr>
          <w:rFonts w:asciiTheme="minorHAnsi" w:hAnsiTheme="minorHAnsi" w:cstheme="minorHAnsi"/>
        </w:rPr>
        <w:t xml:space="preserve"> for a dry period of approximately 6 months after germination. This allows roots to establish which are necessary for seedling establishment (Vegetation 2.4.2).</w:t>
      </w:r>
    </w:p>
    <w:p w14:paraId="09F53E30" w14:textId="7582E7E0" w:rsidR="00A406E4" w:rsidRDefault="00FF5B34" w:rsidP="001C7655">
      <w:pPr>
        <w:pStyle w:val="Heading2"/>
      </w:pPr>
      <w:bookmarkStart w:id="81" w:name="_Toc17202463"/>
      <w:r>
        <w:t>4.5 Vegetation theme knowledge status</w:t>
      </w:r>
      <w:bookmarkEnd w:id="81"/>
    </w:p>
    <w:p w14:paraId="3A06777C" w14:textId="0D94DA4B" w:rsidR="00A17169" w:rsidRDefault="00A17169" w:rsidP="00E53E38">
      <w:pPr>
        <w:pStyle w:val="BodyText"/>
      </w:pPr>
      <w:r>
        <w:t xml:space="preserve">The water management framework developed by the vegetation theme </w:t>
      </w:r>
      <w:r w:rsidR="00A43454">
        <w:t>provides</w:t>
      </w:r>
      <w:r w:rsidRPr="005F6DF2">
        <w:t xml:space="preserve"> a framework and guiding principles to aid the development of objectives, indicators and management of water for vegetation outcomes</w:t>
      </w:r>
      <w:r w:rsidR="00A43454">
        <w:t>. To improve the usefulness of this framework it would be useful to workshop this framework between scientists and managers, expand the framework to include different spatial and temporal scales and the development of decision support tools.</w:t>
      </w:r>
    </w:p>
    <w:p w14:paraId="22873143" w14:textId="4BFE1E59" w:rsidR="00A43454" w:rsidRDefault="00A43454" w:rsidP="00E53E38">
      <w:pPr>
        <w:pStyle w:val="BodyText"/>
      </w:pPr>
      <w:r>
        <w:t xml:space="preserve">The vegetation theme also developed a vegetation response model to assess the main drivers of plant species richness and abundance. This model has been developed in semi-arid systems and would benefit from testing in different environments to improve its applicability across the Basin. Including additional environmental metrics such as soil type, soil moisture and canopy condition would also improve understanding of wetland dynamics. </w:t>
      </w:r>
    </w:p>
    <w:p w14:paraId="6EDF127F" w14:textId="331854E3" w:rsidR="00A43454" w:rsidRDefault="00A43454" w:rsidP="00E53E38">
      <w:pPr>
        <w:pStyle w:val="BodyText"/>
      </w:pPr>
      <w:r>
        <w:t xml:space="preserve">Field and laboratory components highlighted the overwhelming influence of location on vegetation community composition. However, the inclusion of additional metrics in analysis (especially tree data) would allow structural characteristics to be explored. This would improve </w:t>
      </w:r>
      <w:r w:rsidR="00632CB1">
        <w:t xml:space="preserve">understanding of the drivers of community composition beyond where things occur. </w:t>
      </w:r>
    </w:p>
    <w:p w14:paraId="2C5CE81C" w14:textId="77777777" w:rsidR="00632CB1" w:rsidRPr="00632CB1" w:rsidRDefault="00632CB1" w:rsidP="00632CB1">
      <w:pPr>
        <w:spacing w:before="120"/>
        <w:rPr>
          <w:color w:val="auto"/>
        </w:rPr>
      </w:pPr>
      <w:r w:rsidRPr="00632CB1">
        <w:rPr>
          <w:color w:val="auto"/>
        </w:rPr>
        <w:t xml:space="preserve">The seedling mesocosm component investigated the trait and strategy responses of river red gum, black box and coolibah to different watering treatments. Valuable extensions to this work would include assessing the influence of non-flow drivers such as salinity (soil and groundwater), soil type, soil compaction and grazing. </w:t>
      </w:r>
    </w:p>
    <w:p w14:paraId="29BD90A0" w14:textId="4E0B27D9" w:rsidR="00632CB1" w:rsidRDefault="00632CB1" w:rsidP="00632CB1">
      <w:pPr>
        <w:spacing w:before="120" w:after="100"/>
      </w:pPr>
      <w:r>
        <w:t xml:space="preserve">The vegetation theme found that lignum benefitted from watering regimes of yearly, to every three years. </w:t>
      </w:r>
      <w:r w:rsidRPr="00632CB1">
        <w:t xml:space="preserve">Further analysis of lignum structural responses with </w:t>
      </w:r>
      <w:r>
        <w:t xml:space="preserve">better </w:t>
      </w:r>
      <w:r w:rsidRPr="00632CB1">
        <w:t>hydrology metrics, such as depth and duration, will aid refinement of the characteristics required</w:t>
      </w:r>
      <w:r>
        <w:t xml:space="preserve"> to improve lignum condition</w:t>
      </w:r>
      <w:r w:rsidRPr="00632CB1">
        <w:t>.</w:t>
      </w:r>
    </w:p>
    <w:p w14:paraId="1D0493F0" w14:textId="3C40917B" w:rsidR="00632CB1" w:rsidRPr="00632CB1" w:rsidRDefault="00632CB1" w:rsidP="00632CB1">
      <w:pPr>
        <w:spacing w:before="120" w:after="100"/>
      </w:pPr>
      <w:r>
        <w:t xml:space="preserve">The vegetation theme focussed primarily on non-woody vegetation and seedlings. Tree recruitment and population dynamics remain poorly understood. Similar projects addressing flow impacts on tree ecology would be a fruitful area for research (Vegetation 5). </w:t>
      </w:r>
    </w:p>
    <w:p w14:paraId="477D48C1" w14:textId="3B37E057" w:rsidR="00632CB1" w:rsidRPr="00A17169" w:rsidRDefault="00632CB1" w:rsidP="00E53E38">
      <w:pPr>
        <w:pStyle w:val="BodyText"/>
      </w:pPr>
    </w:p>
    <w:p w14:paraId="614E6052" w14:textId="77777777" w:rsidR="00A406E4" w:rsidRDefault="00A406E4" w:rsidP="00E53E38">
      <w:pPr>
        <w:pStyle w:val="BodyText"/>
      </w:pPr>
    </w:p>
    <w:p w14:paraId="558BBC5C" w14:textId="5411C8BB" w:rsidR="005A7970" w:rsidRDefault="005A7970" w:rsidP="00632CB1">
      <w:pPr>
        <w:pStyle w:val="Heading1"/>
      </w:pPr>
      <w:bookmarkStart w:id="82" w:name="_Toc17202464"/>
      <w:r w:rsidRPr="00BC4287">
        <w:t>Waterbirds theme</w:t>
      </w:r>
      <w:bookmarkEnd w:id="82"/>
      <w:r w:rsidRPr="00BC4287">
        <w:t xml:space="preserve"> </w:t>
      </w:r>
    </w:p>
    <w:p w14:paraId="18B8A327" w14:textId="64010DFE" w:rsidR="00ED1E63" w:rsidRDefault="00ED1E63" w:rsidP="001C7655">
      <w:pPr>
        <w:pStyle w:val="Heading2numbered"/>
        <w:numPr>
          <w:ilvl w:val="1"/>
          <w:numId w:val="13"/>
        </w:numPr>
      </w:pPr>
      <w:bookmarkStart w:id="83" w:name="_Toc17202465"/>
      <w:r>
        <w:t>Waterbirds theme research focus</w:t>
      </w:r>
      <w:bookmarkEnd w:id="83"/>
    </w:p>
    <w:p w14:paraId="397E5001" w14:textId="07861DFD" w:rsidR="00ED1E63" w:rsidRPr="00AA0CC5" w:rsidRDefault="00ED1E63" w:rsidP="00726F57">
      <w:pPr>
        <w:rPr>
          <w:rFonts w:asciiTheme="minorHAnsi" w:hAnsiTheme="minorHAnsi" w:cstheme="minorHAnsi"/>
        </w:rPr>
      </w:pPr>
      <w:r w:rsidRPr="00AA0CC5">
        <w:rPr>
          <w:rFonts w:asciiTheme="minorHAnsi" w:hAnsiTheme="minorHAnsi" w:cstheme="minorHAnsi"/>
        </w:rPr>
        <w:t xml:space="preserve">Environmental watering events </w:t>
      </w:r>
      <w:r>
        <w:rPr>
          <w:rFonts w:asciiTheme="minorHAnsi" w:hAnsiTheme="minorHAnsi" w:cstheme="minorHAnsi"/>
        </w:rPr>
        <w:t xml:space="preserve">in the </w:t>
      </w:r>
      <w:r w:rsidR="00BE5A56">
        <w:rPr>
          <w:rFonts w:asciiTheme="minorHAnsi" w:hAnsiTheme="minorHAnsi" w:cstheme="minorHAnsi"/>
        </w:rPr>
        <w:t xml:space="preserve">Basin </w:t>
      </w:r>
      <w:r>
        <w:rPr>
          <w:rFonts w:asciiTheme="minorHAnsi" w:hAnsiTheme="minorHAnsi" w:cstheme="minorHAnsi"/>
        </w:rPr>
        <w:t xml:space="preserve">are frequently </w:t>
      </w:r>
      <w:r w:rsidRPr="00AA0CC5">
        <w:rPr>
          <w:rFonts w:asciiTheme="minorHAnsi" w:hAnsiTheme="minorHAnsi" w:cstheme="minorHAnsi"/>
        </w:rPr>
        <w:t xml:space="preserve">targeted at supporting completion of waterbird breeding. </w:t>
      </w:r>
      <w:r w:rsidR="00726F57">
        <w:rPr>
          <w:rFonts w:asciiTheme="minorHAnsi" w:hAnsiTheme="minorHAnsi" w:cstheme="minorHAnsi"/>
        </w:rPr>
        <w:t>W</w:t>
      </w:r>
      <w:r w:rsidRPr="00AA0CC5">
        <w:rPr>
          <w:rFonts w:asciiTheme="minorHAnsi" w:hAnsiTheme="minorHAnsi" w:cstheme="minorHAnsi"/>
        </w:rPr>
        <w:t xml:space="preserve">hile knowledge exists regarding key breeding locations and the flows required to trigger and complete nesting events, there is relatively limited knowledge about nest success, bird movements, demographics (including juvenile and adult mortality rates) and associated drivers – particularly in terms of the relative influence of flow variables, habitat variables, pressures and threats. These knowledge gaps exist even for common and conspicuous taxa such as colonially-nesting waterbirds that are often thought to be relatively well-understood. </w:t>
      </w:r>
      <w:r w:rsidR="00F677F5">
        <w:rPr>
          <w:rFonts w:asciiTheme="minorHAnsi" w:hAnsiTheme="minorHAnsi" w:cstheme="minorHAnsi"/>
        </w:rPr>
        <w:t>Knowledge gaps</w:t>
      </w:r>
      <w:r w:rsidR="00F677F5" w:rsidRPr="00AA0CC5">
        <w:rPr>
          <w:rFonts w:asciiTheme="minorHAnsi" w:hAnsiTheme="minorHAnsi" w:cstheme="minorHAnsi"/>
        </w:rPr>
        <w:t xml:space="preserve"> </w:t>
      </w:r>
      <w:r w:rsidRPr="00AA0CC5">
        <w:rPr>
          <w:rFonts w:asciiTheme="minorHAnsi" w:hAnsiTheme="minorHAnsi" w:cstheme="minorHAnsi"/>
        </w:rPr>
        <w:t xml:space="preserve">are particularly severe for cryptic and uncommon </w:t>
      </w:r>
      <w:r>
        <w:rPr>
          <w:rFonts w:asciiTheme="minorHAnsi" w:hAnsiTheme="minorHAnsi" w:cstheme="minorHAnsi"/>
        </w:rPr>
        <w:t>species</w:t>
      </w:r>
      <w:r w:rsidRPr="00AA0CC5">
        <w:rPr>
          <w:rFonts w:asciiTheme="minorHAnsi" w:hAnsiTheme="minorHAnsi" w:cstheme="minorHAnsi"/>
        </w:rPr>
        <w:t xml:space="preserve">. </w:t>
      </w:r>
    </w:p>
    <w:p w14:paraId="7D8EA29B" w14:textId="334C8B44" w:rsidR="00ED1E63" w:rsidRDefault="00726F57" w:rsidP="00E53E38">
      <w:pPr>
        <w:pStyle w:val="BodyText"/>
      </w:pPr>
      <w:r>
        <w:t xml:space="preserve">The two main research activities relate to these gaps and focus on colonial-breeding </w:t>
      </w:r>
      <w:r w:rsidR="00B97C29">
        <w:t>waterbirds</w:t>
      </w:r>
      <w:r>
        <w:t xml:space="preserve">. </w:t>
      </w:r>
    </w:p>
    <w:p w14:paraId="20CC20A9" w14:textId="77777777" w:rsidR="00726F57" w:rsidRPr="00AA0CC5" w:rsidRDefault="00726F57" w:rsidP="00726F57">
      <w:pPr>
        <w:rPr>
          <w:rFonts w:asciiTheme="minorHAnsi" w:hAnsiTheme="minorHAnsi" w:cstheme="minorHAnsi"/>
          <w:i/>
        </w:rPr>
      </w:pPr>
      <w:r w:rsidRPr="00AA0CC5">
        <w:rPr>
          <w:rFonts w:asciiTheme="minorHAnsi" w:hAnsiTheme="minorHAnsi" w:cstheme="minorHAnsi"/>
          <w:i/>
        </w:rPr>
        <w:t>Critical Knowledge Gap 1: Where and what are the critical foraging habitats during and after breeding events for recruitment? How might these be affected by environmental flows and threats such as habitat change?</w:t>
      </w:r>
    </w:p>
    <w:p w14:paraId="6E987C77" w14:textId="77777777" w:rsidR="00726F57" w:rsidRPr="00AA0CC5" w:rsidRDefault="00726F57" w:rsidP="00726F57">
      <w:pPr>
        <w:rPr>
          <w:rFonts w:asciiTheme="minorHAnsi" w:hAnsiTheme="minorHAnsi" w:cstheme="minorHAnsi"/>
          <w:i/>
        </w:rPr>
      </w:pPr>
      <w:r w:rsidRPr="00AA0CC5">
        <w:rPr>
          <w:rFonts w:asciiTheme="minorHAnsi" w:hAnsiTheme="minorHAnsi" w:cstheme="minorHAnsi"/>
          <w:i/>
        </w:rPr>
        <w:t xml:space="preserve">Critical Knowledge Gap 2: What are </w:t>
      </w:r>
      <w:r>
        <w:rPr>
          <w:rFonts w:asciiTheme="minorHAnsi" w:hAnsiTheme="minorHAnsi" w:cstheme="minorHAnsi"/>
          <w:i/>
        </w:rPr>
        <w:t xml:space="preserve">the </w:t>
      </w:r>
      <w:r w:rsidRPr="00AA0CC5">
        <w:rPr>
          <w:rFonts w:asciiTheme="minorHAnsi" w:hAnsiTheme="minorHAnsi" w:cstheme="minorHAnsi"/>
          <w:i/>
        </w:rPr>
        <w:t>critical nesting habitat characteristics we need to maintain and how do these affect recruitment? How might environmental flows, vegetation management and pressures and threats, such as predation, interact with nesting habitat characteristics to affect recruitment?</w:t>
      </w:r>
    </w:p>
    <w:p w14:paraId="449A0384" w14:textId="3C41A62E" w:rsidR="00726F57" w:rsidRDefault="00A91AAB" w:rsidP="001C7655">
      <w:pPr>
        <w:pStyle w:val="Heading2"/>
      </w:pPr>
      <w:bookmarkStart w:id="84" w:name="_Toc17202466"/>
      <w:r w:rsidRPr="00A91AAB">
        <w:t>5.</w:t>
      </w:r>
      <w:r>
        <w:t xml:space="preserve">2 </w:t>
      </w:r>
      <w:r w:rsidR="00726F57">
        <w:t>Waterbirds theme key finding</w:t>
      </w:r>
      <w:r>
        <w:t>s</w:t>
      </w:r>
      <w:bookmarkEnd w:id="84"/>
    </w:p>
    <w:p w14:paraId="0BE7E384" w14:textId="3F391E4B" w:rsidR="00753E30" w:rsidRDefault="00B97C29" w:rsidP="00E53E38">
      <w:pPr>
        <w:pStyle w:val="BodyText"/>
      </w:pPr>
      <w:r>
        <w:t xml:space="preserve">A review of existing literature was conducted in order to inform development of other research questions within the waterbird theme. Firstly, there was a review of known and unknown waterbird responses to flows and flooding in Australia. Secondly a review of international literature </w:t>
      </w:r>
      <w:r w:rsidR="00753E30">
        <w:t>looked at how waterbirds respond to other stressors such as predation and disease. This process uncovered that flow regimes affect waterbirds (location, frequency, volume, timing, duration) and that flooding regimes were also important (location, frequency, extent, duration, timing, depth, rate of change in depth, dry period). These interact with stressors such as habitat loss, fragmentation and degradation, predation, competition, diseases and parasites, pollution, human disturbance and climate change (Waterbird 2.1).</w:t>
      </w:r>
    </w:p>
    <w:p w14:paraId="3CA5B7FA" w14:textId="1392D21A" w:rsidR="00426B5E" w:rsidRDefault="00753E30" w:rsidP="00753E30">
      <w:pPr>
        <w:spacing w:after="0"/>
      </w:pPr>
      <w:r>
        <w:t xml:space="preserve">One of the largest knowledge gaps identified was waterbird movements </w:t>
      </w:r>
      <w:r w:rsidRPr="00AA0CC5">
        <w:rPr>
          <w:rFonts w:asciiTheme="minorHAnsi" w:hAnsiTheme="minorHAnsi" w:cstheme="minorHAnsi"/>
        </w:rPr>
        <w:t xml:space="preserve">and their drivers, including: timing; distances travelled; differences between juveniles and adults; key foraging habitat locations and characteristics; effects of habitat availability; quality and productivity on site choice, bird condition and survival; site fidelity; mechanisms, cues or drivers inducing movements and choices and how these interact. </w:t>
      </w:r>
      <w:r>
        <w:t xml:space="preserve"> Satellite tracking of </w:t>
      </w:r>
      <w:r w:rsidRPr="00AA0CC5">
        <w:rPr>
          <w:rFonts w:asciiTheme="minorHAnsi" w:hAnsiTheme="minorHAnsi" w:cstheme="minorHAnsi"/>
        </w:rPr>
        <w:t xml:space="preserve">42 Straw-necked </w:t>
      </w:r>
      <w:r w:rsidR="00CA3B0E">
        <w:rPr>
          <w:rFonts w:asciiTheme="minorHAnsi" w:hAnsiTheme="minorHAnsi" w:cstheme="minorHAnsi"/>
        </w:rPr>
        <w:t>Ibis</w:t>
      </w:r>
      <w:r w:rsidRPr="00AA0CC5">
        <w:rPr>
          <w:rFonts w:asciiTheme="minorHAnsi" w:hAnsiTheme="minorHAnsi" w:cstheme="minorHAnsi"/>
        </w:rPr>
        <w:t xml:space="preserve"> (</w:t>
      </w:r>
      <w:r w:rsidRPr="00AA0CC5">
        <w:rPr>
          <w:rFonts w:asciiTheme="minorHAnsi" w:hAnsiTheme="minorHAnsi" w:cstheme="minorHAnsi"/>
          <w:i/>
        </w:rPr>
        <w:t>Threskiornis spinicollis</w:t>
      </w:r>
      <w:r w:rsidRPr="00AA0CC5">
        <w:rPr>
          <w:rFonts w:asciiTheme="minorHAnsi" w:hAnsiTheme="minorHAnsi" w:cstheme="minorHAnsi"/>
        </w:rPr>
        <w:t>), 15 Royal Spoonbill (</w:t>
      </w:r>
      <w:r w:rsidRPr="00AA0CC5">
        <w:rPr>
          <w:rFonts w:asciiTheme="minorHAnsi" w:hAnsiTheme="minorHAnsi" w:cstheme="minorHAnsi"/>
          <w:i/>
        </w:rPr>
        <w:t>Platalea regia</w:t>
      </w:r>
      <w:r w:rsidRPr="00AA0CC5">
        <w:rPr>
          <w:rFonts w:asciiTheme="minorHAnsi" w:hAnsiTheme="minorHAnsi" w:cstheme="minorHAnsi"/>
        </w:rPr>
        <w:t>), and seven Australian White Ibis (</w:t>
      </w:r>
      <w:r w:rsidRPr="00AA0CC5">
        <w:rPr>
          <w:rFonts w:asciiTheme="minorHAnsi" w:hAnsiTheme="minorHAnsi" w:cstheme="minorHAnsi"/>
          <w:i/>
        </w:rPr>
        <w:t>Threskiornis molucca</w:t>
      </w:r>
      <w:r w:rsidRPr="00AA0CC5">
        <w:rPr>
          <w:rFonts w:asciiTheme="minorHAnsi" w:hAnsiTheme="minorHAnsi" w:cstheme="minorHAnsi"/>
        </w:rPr>
        <w:t>)</w:t>
      </w:r>
      <w:r>
        <w:rPr>
          <w:rFonts w:asciiTheme="minorHAnsi" w:hAnsiTheme="minorHAnsi" w:cstheme="minorHAnsi"/>
        </w:rPr>
        <w:t xml:space="preserve"> revealed that t</w:t>
      </w:r>
      <w:r w:rsidR="00426B5E" w:rsidRPr="00BC4287">
        <w:t>here is a common long-distance route for different individuals and species of waterbirds</w:t>
      </w:r>
      <w:r>
        <w:t xml:space="preserve">. </w:t>
      </w:r>
      <w:r w:rsidR="00426B5E" w:rsidRPr="00BC4287">
        <w:t>Foraging habitat during nesting is within 1-</w:t>
      </w:r>
      <w:r w:rsidR="004F43AD" w:rsidRPr="00BC4287">
        <w:t>4</w:t>
      </w:r>
      <w:r w:rsidR="00426B5E" w:rsidRPr="00BC4287">
        <w:t xml:space="preserve"> km of nests</w:t>
      </w:r>
      <w:r w:rsidR="004F43AD" w:rsidRPr="00BC4287">
        <w:t xml:space="preserve"> for Royal Spoonbills </w:t>
      </w:r>
      <w:r w:rsidR="0058104D" w:rsidRPr="00BC4287">
        <w:t xml:space="preserve">and </w:t>
      </w:r>
      <w:r w:rsidR="004F43AD" w:rsidRPr="00BC4287">
        <w:t>from 6-44</w:t>
      </w:r>
      <w:r w:rsidR="0069174B" w:rsidRPr="00BC4287">
        <w:t>km for</w:t>
      </w:r>
      <w:r w:rsidR="004F43AD" w:rsidRPr="00BC4287">
        <w:t xml:space="preserve"> </w:t>
      </w:r>
      <w:r>
        <w:t>S</w:t>
      </w:r>
      <w:r w:rsidR="004F43AD" w:rsidRPr="00BC4287">
        <w:t xml:space="preserve">traw-necked </w:t>
      </w:r>
      <w:r>
        <w:t>I</w:t>
      </w:r>
      <w:r w:rsidR="004F43AD" w:rsidRPr="00BC4287">
        <w:t>bis</w:t>
      </w:r>
      <w:r>
        <w:t xml:space="preserve">. The main causes of mortality of tracked birds was </w:t>
      </w:r>
      <w:r w:rsidR="00977C87">
        <w:t xml:space="preserve">exposure to weather extremes and predation by native and introduced predators </w:t>
      </w:r>
      <w:r w:rsidR="00977C87" w:rsidRPr="00BC4287">
        <w:t>(Waterbirds 2.2)</w:t>
      </w:r>
      <w:r w:rsidR="00977C87">
        <w:t xml:space="preserve">. </w:t>
      </w:r>
    </w:p>
    <w:p w14:paraId="5B71C0AD" w14:textId="77777777" w:rsidR="00977C87" w:rsidRPr="00BC4287" w:rsidRDefault="00977C87" w:rsidP="00753E30">
      <w:pPr>
        <w:spacing w:after="0"/>
      </w:pPr>
    </w:p>
    <w:p w14:paraId="717A29AA" w14:textId="0D424BE6" w:rsidR="00426B5E" w:rsidRDefault="00977C87" w:rsidP="00E53E38">
      <w:pPr>
        <w:pStyle w:val="BodyText"/>
      </w:pPr>
      <w:r>
        <w:t xml:space="preserve">Non-breeding </w:t>
      </w:r>
      <w:r w:rsidR="00CA3B0E">
        <w:t>Straw-necked</w:t>
      </w:r>
      <w:r w:rsidR="00426B5E" w:rsidRPr="00BC4287">
        <w:t xml:space="preserve"> </w:t>
      </w:r>
      <w:r w:rsidR="00CA3B0E">
        <w:t>Ibis</w:t>
      </w:r>
      <w:r w:rsidR="00426B5E" w:rsidRPr="00BC4287">
        <w:t xml:space="preserve"> forage in agricultural lands while </w:t>
      </w:r>
      <w:r w:rsidR="00CA3B0E">
        <w:t>White</w:t>
      </w:r>
      <w:r w:rsidR="00426B5E" w:rsidRPr="00BC4287">
        <w:t xml:space="preserve"> </w:t>
      </w:r>
      <w:r w:rsidR="00CA3B0E">
        <w:t>Ibis</w:t>
      </w:r>
      <w:r w:rsidR="00426B5E" w:rsidRPr="00BC4287">
        <w:t xml:space="preserve"> forage in aquatic habitats</w:t>
      </w:r>
      <w:r>
        <w:t xml:space="preserve">. </w:t>
      </w:r>
      <w:r w:rsidRPr="00AA0CC5">
        <w:rPr>
          <w:lang w:val="en-US"/>
        </w:rPr>
        <w:t xml:space="preserve">There was a consistent difference between movements of non-breeding </w:t>
      </w:r>
      <w:r w:rsidR="00CA3B0E">
        <w:rPr>
          <w:lang w:val="en-US"/>
        </w:rPr>
        <w:t>Straw-necked</w:t>
      </w:r>
      <w:r w:rsidRPr="00AA0CC5">
        <w:rPr>
          <w:lang w:val="en-US"/>
        </w:rPr>
        <w:t xml:space="preserve"> </w:t>
      </w:r>
      <w:r w:rsidR="00CA3B0E">
        <w:rPr>
          <w:lang w:val="en-US"/>
        </w:rPr>
        <w:t>Ibis</w:t>
      </w:r>
      <w:r w:rsidRPr="00AA0CC5">
        <w:rPr>
          <w:lang w:val="en-US"/>
        </w:rPr>
        <w:t xml:space="preserve"> and Australian </w:t>
      </w:r>
      <w:r w:rsidR="00CA3B0E">
        <w:rPr>
          <w:lang w:val="en-US"/>
        </w:rPr>
        <w:t>White</w:t>
      </w:r>
      <w:r w:rsidRPr="00AA0CC5">
        <w:rPr>
          <w:lang w:val="en-US"/>
        </w:rPr>
        <w:t xml:space="preserve"> </w:t>
      </w:r>
      <w:r w:rsidR="00CA3B0E">
        <w:rPr>
          <w:lang w:val="en-US"/>
        </w:rPr>
        <w:t>Ibis</w:t>
      </w:r>
      <w:r w:rsidRPr="00AA0CC5">
        <w:rPr>
          <w:lang w:val="en-US"/>
        </w:rPr>
        <w:t xml:space="preserve">. Straw-necked </w:t>
      </w:r>
      <w:r w:rsidR="00CA3B0E">
        <w:rPr>
          <w:lang w:val="en-US"/>
        </w:rPr>
        <w:t>Ibis</w:t>
      </w:r>
      <w:r w:rsidRPr="00AA0CC5">
        <w:rPr>
          <w:lang w:val="en-US"/>
        </w:rPr>
        <w:t xml:space="preserve"> dispersed further on average from the capture site, and in all directions post-release, while Australian </w:t>
      </w:r>
      <w:r w:rsidR="00CA3B0E">
        <w:rPr>
          <w:lang w:val="en-US"/>
        </w:rPr>
        <w:t>White</w:t>
      </w:r>
      <w:r w:rsidRPr="00AA0CC5">
        <w:rPr>
          <w:lang w:val="en-US"/>
        </w:rPr>
        <w:t xml:space="preserve"> </w:t>
      </w:r>
      <w:r w:rsidR="00CA3B0E">
        <w:rPr>
          <w:lang w:val="en-US"/>
        </w:rPr>
        <w:t>Ibis</w:t>
      </w:r>
      <w:r w:rsidRPr="00AA0CC5">
        <w:rPr>
          <w:lang w:val="en-US"/>
        </w:rPr>
        <w:t xml:space="preserve"> primarily dispersed north and south.</w:t>
      </w:r>
      <w:r w:rsidR="00426B5E" w:rsidRPr="00BC4287">
        <w:t xml:space="preserve"> </w:t>
      </w:r>
      <w:r w:rsidRPr="00AA0CC5">
        <w:t xml:space="preserve">The movement of </w:t>
      </w:r>
      <w:r w:rsidR="00CA3B0E">
        <w:t>Ibis</w:t>
      </w:r>
      <w:r w:rsidRPr="00AA0CC5">
        <w:t xml:space="preserve"> to foraging sites can assist in our understanding of what habitats, other than wetlands, are important for </w:t>
      </w:r>
      <w:r w:rsidR="00CA3B0E">
        <w:t>Ibis</w:t>
      </w:r>
      <w:r w:rsidRPr="00AA0CC5">
        <w:t xml:space="preserve"> in the landscape</w:t>
      </w:r>
      <w:r w:rsidRPr="00BC4287">
        <w:t xml:space="preserve"> </w:t>
      </w:r>
      <w:r w:rsidR="00426B5E" w:rsidRPr="00BC4287">
        <w:t>(Waterbirds 2.3)</w:t>
      </w:r>
      <w:r>
        <w:t xml:space="preserve">. </w:t>
      </w:r>
    </w:p>
    <w:p w14:paraId="05B7197B" w14:textId="4AF03E38" w:rsidR="00977C87" w:rsidRDefault="00CA3B0E" w:rsidP="00E53E38">
      <w:pPr>
        <w:pStyle w:val="BodyText"/>
      </w:pPr>
      <w:r>
        <w:t>Ibis</w:t>
      </w:r>
      <w:r w:rsidR="00977C87">
        <w:t xml:space="preserve"> and </w:t>
      </w:r>
      <w:r>
        <w:t>Spoonbill</w:t>
      </w:r>
      <w:r w:rsidR="00977C87">
        <w:t xml:space="preserve"> eggs and chicks were monitored using cameras. Rapid reductions in flooding and water depth triggered nest abandonment and reduced the proportion of successful nests. The greatest source of mortality was egg predation, primarily by raptors. When water levels were low mammalian predators also had access to nests (Waterbirds 2.4).</w:t>
      </w:r>
    </w:p>
    <w:p w14:paraId="1B5F5171" w14:textId="6E7C8A53" w:rsidR="00303C1A" w:rsidRPr="00AA0CC5" w:rsidRDefault="00977C87" w:rsidP="00E53E38">
      <w:pPr>
        <w:pStyle w:val="BodyText"/>
      </w:pPr>
      <w:r>
        <w:t>A field study asked</w:t>
      </w:r>
      <w:r w:rsidR="00303C1A">
        <w:t>:</w:t>
      </w:r>
      <w:r>
        <w:t xml:space="preserve"> </w:t>
      </w:r>
      <w:r>
        <w:rPr>
          <w:lang w:val="en-US"/>
        </w:rPr>
        <w:t>w</w:t>
      </w:r>
      <w:r w:rsidRPr="00AA0CC5">
        <w:rPr>
          <w:lang w:val="en-US"/>
        </w:rPr>
        <w:t xml:space="preserve">hat is the variability in annual breeding responses and success by colonial waterbirds at Reed Beds in relation to water depths? </w:t>
      </w:r>
      <w:r w:rsidR="00303C1A" w:rsidRPr="00AA0CC5">
        <w:t xml:space="preserve">Analysis found that relationships between </w:t>
      </w:r>
      <w:r w:rsidR="001F1AED" w:rsidRPr="00AA0CC5">
        <w:t>water depths and reproductive success in</w:t>
      </w:r>
      <w:r w:rsidR="00303C1A" w:rsidRPr="00AA0CC5">
        <w:t xml:space="preserve"> were strongest for </w:t>
      </w:r>
      <w:r w:rsidR="00CA3B0E">
        <w:t>Straw-necked</w:t>
      </w:r>
      <w:r w:rsidR="00303C1A" w:rsidRPr="00AA0CC5">
        <w:t xml:space="preserve"> </w:t>
      </w:r>
      <w:r w:rsidR="00CA3B0E">
        <w:t>Ibis</w:t>
      </w:r>
      <w:r w:rsidR="00303C1A" w:rsidRPr="00AA0CC5">
        <w:t xml:space="preserve">. Offspring success of </w:t>
      </w:r>
      <w:r w:rsidR="00CA3B0E">
        <w:t>Straw-necked</w:t>
      </w:r>
      <w:r w:rsidR="00303C1A" w:rsidRPr="00AA0CC5">
        <w:t xml:space="preserve"> </w:t>
      </w:r>
      <w:r w:rsidR="00CA3B0E">
        <w:t>Ibis</w:t>
      </w:r>
      <w:r w:rsidR="00303C1A" w:rsidRPr="00AA0CC5">
        <w:t xml:space="preserve"> was significantly lower than that of Australian </w:t>
      </w:r>
      <w:r w:rsidR="00CA3B0E">
        <w:t>White</w:t>
      </w:r>
      <w:r w:rsidR="00303C1A" w:rsidRPr="00AA0CC5">
        <w:t xml:space="preserve"> </w:t>
      </w:r>
      <w:r w:rsidR="00CA3B0E">
        <w:t>Ibis</w:t>
      </w:r>
      <w:r w:rsidR="00303C1A" w:rsidRPr="00AA0CC5">
        <w:t xml:space="preserve">, with greatest loss occurring at young chick and egg stages. Straw-necked </w:t>
      </w:r>
      <w:r w:rsidR="00CA3B0E">
        <w:t>Ibis</w:t>
      </w:r>
      <w:r w:rsidR="00303C1A" w:rsidRPr="00AA0CC5">
        <w:t xml:space="preserve"> responded later to flow thresholds triggering breeding, nesting later than Australian </w:t>
      </w:r>
      <w:r w:rsidR="00CA3B0E">
        <w:t>White</w:t>
      </w:r>
      <w:r w:rsidR="00303C1A" w:rsidRPr="00AA0CC5">
        <w:t xml:space="preserve"> </w:t>
      </w:r>
      <w:r w:rsidR="00CA3B0E">
        <w:t>Ibis</w:t>
      </w:r>
      <w:r w:rsidR="00303C1A">
        <w:t xml:space="preserve"> (Waterbirds 2.5). </w:t>
      </w:r>
    </w:p>
    <w:p w14:paraId="4928CF4F" w14:textId="501141F9" w:rsidR="00977C87" w:rsidRDefault="00303C1A" w:rsidP="00E53E38">
      <w:pPr>
        <w:pStyle w:val="BodyText"/>
      </w:pPr>
      <w:r>
        <w:rPr>
          <w:lang w:val="en-US"/>
        </w:rPr>
        <w:t xml:space="preserve">A field study explored the relationship between river flow volumes and the breeding responses of </w:t>
      </w:r>
      <w:r w:rsidR="00CA3B0E">
        <w:rPr>
          <w:lang w:val="en-US"/>
        </w:rPr>
        <w:t>Ibis</w:t>
      </w:r>
      <w:r>
        <w:rPr>
          <w:lang w:val="en-US"/>
        </w:rPr>
        <w:t xml:space="preserve"> in the Barmah-Millewa forest. </w:t>
      </w:r>
      <w:r w:rsidRPr="00AA0CC5">
        <w:t xml:space="preserve">This study </w:t>
      </w:r>
      <w:r>
        <w:t>found that</w:t>
      </w:r>
      <w:r w:rsidRPr="00AA0CC5">
        <w:t xml:space="preserve"> flow requirements for colonial waterbird breeding </w:t>
      </w:r>
      <w:r>
        <w:t>has</w:t>
      </w:r>
      <w:r w:rsidRPr="00AA0CC5">
        <w:t xml:space="preserve"> a positive linear relationship between the </w:t>
      </w:r>
      <w:r w:rsidR="001F1AED">
        <w:t>two</w:t>
      </w:r>
      <w:r w:rsidR="001F1AED" w:rsidRPr="00AA0CC5">
        <w:t xml:space="preserve"> </w:t>
      </w:r>
      <w:r w:rsidRPr="00AA0CC5">
        <w:t xml:space="preserve">flow thresholds for breeding, total volume July-December &gt;2,300,000 ML and &gt;30 consecutive days &gt;15,000 ML day. Australian </w:t>
      </w:r>
      <w:r w:rsidR="00CA3B0E">
        <w:t>White</w:t>
      </w:r>
      <w:r w:rsidRPr="00AA0CC5">
        <w:t xml:space="preserve"> </w:t>
      </w:r>
      <w:r w:rsidR="00CA3B0E">
        <w:t>Ibis</w:t>
      </w:r>
      <w:r w:rsidRPr="00AA0CC5">
        <w:t xml:space="preserve"> and </w:t>
      </w:r>
      <w:r w:rsidR="00CA3B0E">
        <w:t>Straw-necked</w:t>
      </w:r>
      <w:r w:rsidRPr="00AA0CC5">
        <w:t xml:space="preserve"> </w:t>
      </w:r>
      <w:r w:rsidR="00CA3B0E">
        <w:t>Ibis</w:t>
      </w:r>
      <w:r w:rsidRPr="00AA0CC5">
        <w:t xml:space="preserve"> bred on average 7 out of 10 years, coinciding with periods of high flow in the River Murray</w:t>
      </w:r>
      <w:r>
        <w:t xml:space="preserve"> (Waterbirds 2.6)</w:t>
      </w:r>
      <w:r w:rsidRPr="00AA0CC5">
        <w:t>.</w:t>
      </w:r>
    </w:p>
    <w:p w14:paraId="18AC2DE0" w14:textId="09D40C3D" w:rsidR="00303C1A" w:rsidRPr="00AA0CC5" w:rsidRDefault="00303C1A" w:rsidP="00E53E38">
      <w:pPr>
        <w:pStyle w:val="BodyText"/>
        <w:rPr>
          <w:lang w:val="en-US"/>
        </w:rPr>
      </w:pPr>
      <w:r>
        <w:t xml:space="preserve">Drone imagery was used to map </w:t>
      </w:r>
      <w:r w:rsidR="00CA3B0E">
        <w:t>Ibis</w:t>
      </w:r>
      <w:r>
        <w:t xml:space="preserve"> and </w:t>
      </w:r>
      <w:r w:rsidR="00CA3B0E">
        <w:t>Spoonbill</w:t>
      </w:r>
      <w:r>
        <w:t xml:space="preserve"> nests and colonies. This allowed for accurate counting of nests that are not accessible during ground-based measurements. It also provided very accurate vegetation maps to be created for the area studied. </w:t>
      </w:r>
      <w:r w:rsidRPr="00AA0CC5">
        <w:t>Visual analysis of nest distribution shows that nests are frequently located near areas of open water</w:t>
      </w:r>
      <w:r>
        <w:t xml:space="preserve"> </w:t>
      </w:r>
      <w:r w:rsidRPr="00BC4287">
        <w:t>(Waterbirds 2.7)</w:t>
      </w:r>
      <w:r w:rsidRPr="00AA0CC5">
        <w:t>.</w:t>
      </w:r>
    </w:p>
    <w:p w14:paraId="54620D7C" w14:textId="574AADB8" w:rsidR="00303C1A" w:rsidRDefault="00303C1A" w:rsidP="00E53E38">
      <w:pPr>
        <w:pStyle w:val="BodyText"/>
      </w:pPr>
      <w:r>
        <w:t xml:space="preserve">Another study examined waterbird chick diet to explore differences between the two </w:t>
      </w:r>
      <w:r w:rsidR="00CA3B0E">
        <w:t>Ibis</w:t>
      </w:r>
      <w:r>
        <w:t xml:space="preserve"> species and the age of chicks. </w:t>
      </w:r>
      <w:r w:rsidRPr="00AA0CC5">
        <w:rPr>
          <w:rStyle w:val="BodyTextChar"/>
          <w:rFonts w:asciiTheme="minorHAnsi" w:hAnsiTheme="minorHAnsi" w:cstheme="minorHAnsi"/>
        </w:rPr>
        <w:t xml:space="preserve">The composition of chick scats suggested a preference of terrestrial invertebrates as prey by </w:t>
      </w:r>
      <w:r w:rsidR="00CA3B0E">
        <w:rPr>
          <w:rStyle w:val="BodyTextChar"/>
          <w:rFonts w:asciiTheme="minorHAnsi" w:hAnsiTheme="minorHAnsi" w:cstheme="minorHAnsi"/>
        </w:rPr>
        <w:t>Straw-necked</w:t>
      </w:r>
      <w:r w:rsidRPr="00AA0CC5">
        <w:rPr>
          <w:rStyle w:val="BodyTextChar"/>
          <w:rFonts w:asciiTheme="minorHAnsi" w:hAnsiTheme="minorHAnsi" w:cstheme="minorHAnsi"/>
        </w:rPr>
        <w:t xml:space="preserve"> </w:t>
      </w:r>
      <w:r w:rsidR="00CA3B0E">
        <w:rPr>
          <w:rStyle w:val="BodyTextChar"/>
          <w:rFonts w:asciiTheme="minorHAnsi" w:hAnsiTheme="minorHAnsi" w:cstheme="minorHAnsi"/>
        </w:rPr>
        <w:t>Ibis</w:t>
      </w:r>
      <w:r w:rsidRPr="00AA0CC5">
        <w:rPr>
          <w:rStyle w:val="BodyTextChar"/>
          <w:rFonts w:asciiTheme="minorHAnsi" w:hAnsiTheme="minorHAnsi" w:cstheme="minorHAnsi"/>
        </w:rPr>
        <w:t xml:space="preserve">, and aquatic invertebrates by Australian </w:t>
      </w:r>
      <w:r w:rsidR="00CA3B0E">
        <w:rPr>
          <w:rStyle w:val="BodyTextChar"/>
          <w:rFonts w:asciiTheme="minorHAnsi" w:hAnsiTheme="minorHAnsi" w:cstheme="minorHAnsi"/>
        </w:rPr>
        <w:t>White</w:t>
      </w:r>
      <w:r w:rsidRPr="00AA0CC5">
        <w:rPr>
          <w:rStyle w:val="BodyTextChar"/>
          <w:rFonts w:asciiTheme="minorHAnsi" w:hAnsiTheme="minorHAnsi" w:cstheme="minorHAnsi"/>
        </w:rPr>
        <w:t xml:space="preserve"> </w:t>
      </w:r>
      <w:r w:rsidR="00CA3B0E">
        <w:rPr>
          <w:rStyle w:val="BodyTextChar"/>
          <w:rFonts w:asciiTheme="minorHAnsi" w:hAnsiTheme="minorHAnsi" w:cstheme="minorHAnsi"/>
        </w:rPr>
        <w:t>Ibis</w:t>
      </w:r>
      <w:r w:rsidRPr="00AA0CC5">
        <w:rPr>
          <w:rStyle w:val="BodyTextChar"/>
          <w:rFonts w:asciiTheme="minorHAnsi" w:hAnsiTheme="minorHAnsi" w:cstheme="minorHAnsi"/>
        </w:rPr>
        <w:t>.</w:t>
      </w:r>
      <w:r w:rsidRPr="00303C1A">
        <w:t xml:space="preserve"> </w:t>
      </w:r>
      <w:r w:rsidRPr="00AA0CC5">
        <w:t>There were no significant patterns in chick age (stage) and prey items consumed</w:t>
      </w:r>
      <w:r>
        <w:t xml:space="preserve"> </w:t>
      </w:r>
      <w:r w:rsidRPr="00BC4287">
        <w:t>(Waterbirds 2.8)</w:t>
      </w:r>
      <w:r w:rsidRPr="00AA0CC5">
        <w:t xml:space="preserve">. </w:t>
      </w:r>
    </w:p>
    <w:p w14:paraId="0936412B" w14:textId="01610B7E" w:rsidR="00303C1A" w:rsidRDefault="00CA3B0E" w:rsidP="00E53E38">
      <w:pPr>
        <w:pStyle w:val="BodyText"/>
      </w:pPr>
      <w:r>
        <w:t>Ibis</w:t>
      </w:r>
      <w:r w:rsidR="00F95061">
        <w:t xml:space="preserve"> and </w:t>
      </w:r>
      <w:r>
        <w:t>Spoonbill</w:t>
      </w:r>
      <w:r w:rsidR="00F95061">
        <w:t xml:space="preserve"> regurgitates from adults were examined in a </w:t>
      </w:r>
      <w:r w:rsidR="006B0E61">
        <w:t>field-based</w:t>
      </w:r>
      <w:r w:rsidR="00F95061">
        <w:t xml:space="preserve"> study.  </w:t>
      </w:r>
      <w:r w:rsidR="00F95061" w:rsidRPr="00AA0CC5">
        <w:t xml:space="preserve">Royal </w:t>
      </w:r>
      <w:r>
        <w:t>Spoonbill</w:t>
      </w:r>
      <w:r w:rsidR="00F95061" w:rsidRPr="00AA0CC5">
        <w:t>s fed predominately on fish and yabbys (71% and 15% of total diet respectivel</w:t>
      </w:r>
      <w:r w:rsidR="00F95061">
        <w:t>y</w:t>
      </w:r>
      <w:r w:rsidR="00F95061" w:rsidRPr="00AA0CC5">
        <w:t xml:space="preserve">). In contrast straw–necked </w:t>
      </w:r>
      <w:r>
        <w:t>Ibis</w:t>
      </w:r>
      <w:r w:rsidR="00F95061" w:rsidRPr="00AA0CC5">
        <w:t xml:space="preserve"> fed primarily on beetles (49%), centipedes (11%) and other indeterminate insects (11%)</w:t>
      </w:r>
      <w:r w:rsidR="00F95061">
        <w:t xml:space="preserve"> (Waterbirds 2.9).  </w:t>
      </w:r>
    </w:p>
    <w:p w14:paraId="3154815A" w14:textId="3278D446" w:rsidR="00F95061" w:rsidRPr="00BC4287" w:rsidRDefault="00F95061" w:rsidP="00E53E38">
      <w:pPr>
        <w:pStyle w:val="BodyText"/>
      </w:pPr>
      <w:r>
        <w:t xml:space="preserve">Ibis and </w:t>
      </w:r>
      <w:r w:rsidR="00CA3B0E">
        <w:t>Spoonbill</w:t>
      </w:r>
      <w:r>
        <w:t xml:space="preserve"> chick energy requirements were analysed </w:t>
      </w:r>
      <w:r w:rsidR="006B0E61">
        <w:t xml:space="preserve">in a </w:t>
      </w:r>
      <w:r>
        <w:t>literature review</w:t>
      </w:r>
      <w:r w:rsidR="006B0E61">
        <w:t xml:space="preserve"> and </w:t>
      </w:r>
      <w:r>
        <w:t>new measurements and analysis</w:t>
      </w:r>
      <w:r w:rsidR="006B0E61">
        <w:t xml:space="preserve"> from samples taken in the field</w:t>
      </w:r>
      <w:r>
        <w:t xml:space="preserve">. </w:t>
      </w:r>
      <w:r w:rsidRPr="00AA0CC5">
        <w:t>Using prey energy values from the literature, extrapolations indicate that for either species, a nesting event of 1000 nests producing three chicks per nest would require an estimated ten tonnes of freshwater crayfish (</w:t>
      </w:r>
      <w:r w:rsidRPr="00AA0CC5">
        <w:rPr>
          <w:i/>
        </w:rPr>
        <w:t>Cherax destructor</w:t>
      </w:r>
      <w:r w:rsidRPr="00AA0CC5">
        <w:t xml:space="preserve">) or eight tonnes of </w:t>
      </w:r>
      <w:r>
        <w:t>small fish</w:t>
      </w:r>
      <w:r w:rsidRPr="00AA0CC5">
        <w:t xml:space="preserve"> to support chicks from hatching to independence</w:t>
      </w:r>
      <w:r>
        <w:t xml:space="preserve"> Waterbirds 2.10)</w:t>
      </w:r>
    </w:p>
    <w:p w14:paraId="6F88C954" w14:textId="7FFBA0CB" w:rsidR="00F95061" w:rsidRDefault="00F95061" w:rsidP="001C7655">
      <w:pPr>
        <w:pStyle w:val="Heading2"/>
      </w:pPr>
      <w:bookmarkStart w:id="85" w:name="_Toc17202467"/>
      <w:bookmarkStart w:id="86" w:name="_Toc459635980"/>
      <w:bookmarkStart w:id="87" w:name="_Toc459636090"/>
      <w:bookmarkStart w:id="88" w:name="_Toc459636875"/>
      <w:bookmarkStart w:id="89" w:name="_Toc459637437"/>
      <w:bookmarkStart w:id="90" w:name="_Toc463434384"/>
      <w:bookmarkStart w:id="91" w:name="_Toc463434449"/>
      <w:r w:rsidRPr="00F95061">
        <w:t>5.</w:t>
      </w:r>
      <w:r>
        <w:t xml:space="preserve">3 </w:t>
      </w:r>
      <w:r w:rsidR="004F43AD" w:rsidRPr="00BC4287">
        <w:t>Waterbirds theme</w:t>
      </w:r>
      <w:r>
        <w:t xml:space="preserve"> synthesis</w:t>
      </w:r>
      <w:bookmarkEnd w:id="85"/>
    </w:p>
    <w:p w14:paraId="482B3A64" w14:textId="16CC96A4" w:rsidR="004F43AD" w:rsidRPr="00BC4287" w:rsidRDefault="004F43AD" w:rsidP="00E53E38">
      <w:pPr>
        <w:pStyle w:val="BodyText"/>
      </w:pPr>
      <w:r w:rsidRPr="00BC4287">
        <w:t xml:space="preserve">Ibis juveniles leave nesting areas over summer while Royal Spoonbills remain at nesting sites into </w:t>
      </w:r>
      <w:r w:rsidR="00353F86" w:rsidRPr="00BC4287">
        <w:t>autumn</w:t>
      </w:r>
      <w:r w:rsidR="00F95061" w:rsidRPr="00AA0CC5">
        <w:t xml:space="preserve">. Tracking showed that </w:t>
      </w:r>
      <w:r w:rsidR="00CA3B0E">
        <w:t>Spoonbill</w:t>
      </w:r>
      <w:r w:rsidR="00F95061" w:rsidRPr="00AA0CC5">
        <w:t xml:space="preserve">s forage for extended periods of weeks to months in and around the nesting site – particularly juveniles who have just left the nest. In contrast, </w:t>
      </w:r>
      <w:r w:rsidR="00CA3B0E">
        <w:t>Straw-necked</w:t>
      </w:r>
      <w:r w:rsidR="00F95061" w:rsidRPr="00AA0CC5">
        <w:t xml:space="preserve"> </w:t>
      </w:r>
      <w:r w:rsidR="00CA3B0E">
        <w:t>Ibis</w:t>
      </w:r>
      <w:r w:rsidR="00F95061" w:rsidRPr="00AA0CC5">
        <w:t xml:space="preserve"> and Australian </w:t>
      </w:r>
      <w:r w:rsidR="00CA3B0E">
        <w:t>White</w:t>
      </w:r>
      <w:r w:rsidR="00F95061" w:rsidRPr="00AA0CC5">
        <w:t xml:space="preserve"> </w:t>
      </w:r>
      <w:r w:rsidR="00CA3B0E">
        <w:t>Ibis</w:t>
      </w:r>
      <w:r w:rsidR="00F95061" w:rsidRPr="00AA0CC5">
        <w:t xml:space="preserve"> typically left the nest site not long after starting to fly.  </w:t>
      </w:r>
      <w:r w:rsidRPr="00BC4287">
        <w:t>Movement of adults and juveniles of all species tracked is highly variable with some individuals moving 100’s of kilometres and others staying in one or two areas</w:t>
      </w:r>
      <w:r w:rsidR="00333246">
        <w:t xml:space="preserve"> (Waterbird 3.1). </w:t>
      </w:r>
    </w:p>
    <w:p w14:paraId="56250165" w14:textId="2C84213E" w:rsidR="00F460C6" w:rsidRPr="00F95061" w:rsidRDefault="004F43AD" w:rsidP="00E53E38">
      <w:pPr>
        <w:pStyle w:val="BodyText"/>
      </w:pPr>
      <w:r w:rsidRPr="00BC4287">
        <w:t>Nesting takes place in reeds (</w:t>
      </w:r>
      <w:r w:rsidRPr="00BC4287">
        <w:rPr>
          <w:i/>
        </w:rPr>
        <w:t>Phragmites australis</w:t>
      </w:r>
      <w:r w:rsidRPr="00BC4287">
        <w:t xml:space="preserve">), </w:t>
      </w:r>
      <w:r w:rsidR="00F95061">
        <w:t>and</w:t>
      </w:r>
      <w:r w:rsidRPr="00BC4287">
        <w:t xml:space="preserve"> lignum (</w:t>
      </w:r>
      <w:r w:rsidRPr="00BC4287">
        <w:rPr>
          <w:i/>
        </w:rPr>
        <w:t>Duma florulenta</w:t>
      </w:r>
      <w:r w:rsidRPr="00BC4287">
        <w:t>)</w:t>
      </w:r>
      <w:r w:rsidR="00F460C6" w:rsidRPr="00BC4287">
        <w:t xml:space="preserve"> for </w:t>
      </w:r>
      <w:r w:rsidR="00CA3B0E">
        <w:t>Ibis</w:t>
      </w:r>
      <w:r w:rsidR="00F460C6" w:rsidRPr="00BC4287">
        <w:t xml:space="preserve"> species. Royal </w:t>
      </w:r>
      <w:r w:rsidR="00CA3B0E">
        <w:t>Spoonbill</w:t>
      </w:r>
      <w:r w:rsidR="00F460C6" w:rsidRPr="00BC4287">
        <w:t>s nest in giant rush (</w:t>
      </w:r>
      <w:r w:rsidR="00F460C6" w:rsidRPr="00BC4287">
        <w:rPr>
          <w:i/>
        </w:rPr>
        <w:t>Juncus ingens</w:t>
      </w:r>
      <w:r w:rsidR="00F460C6" w:rsidRPr="00BC4287">
        <w:t>) but may also use lignum or trees</w:t>
      </w:r>
      <w:r w:rsidR="00F95061">
        <w:t xml:space="preserve">. </w:t>
      </w:r>
      <w:r w:rsidR="00F460C6" w:rsidRPr="00F95061">
        <w:t>Common features of nesting sites include surface water surrounding or under nesting vegetation, structures that can support the weight of multiple birds and nests and patchy water and vegetation mosaic around nesting sites</w:t>
      </w:r>
      <w:r w:rsidR="00333246">
        <w:t xml:space="preserve"> (Waterbirds 3.2)</w:t>
      </w:r>
      <w:r w:rsidR="00F95061">
        <w:t xml:space="preserve">. </w:t>
      </w:r>
    </w:p>
    <w:p w14:paraId="4AD7557C" w14:textId="63FC22A2" w:rsidR="00333246" w:rsidRPr="00AA0CC5" w:rsidRDefault="00F460C6" w:rsidP="00E53E38">
      <w:pPr>
        <w:pStyle w:val="BodyText"/>
        <w:rPr>
          <w:rFonts w:asciiTheme="minorHAnsi" w:hAnsiTheme="minorHAnsi" w:cstheme="minorHAnsi"/>
        </w:rPr>
      </w:pPr>
      <w:r w:rsidRPr="00BC4287">
        <w:t>Exposure to extreme weather and predation are the primary drivers of mortality in juvenile and adult waterbirds</w:t>
      </w:r>
      <w:r w:rsidR="00F95061">
        <w:t xml:space="preserve">. Nests that are well protected by vegetation </w:t>
      </w:r>
      <w:r w:rsidR="00333246">
        <w:t xml:space="preserve">exhibited reduced mortality. Declines in populations suggest that there is poor recruitment of juveniles into the adult population. </w:t>
      </w:r>
      <w:r w:rsidR="00333246" w:rsidRPr="00AA0CC5">
        <w:rPr>
          <w:rFonts w:asciiTheme="minorHAnsi" w:hAnsiTheme="minorHAnsi" w:cstheme="minorHAnsi"/>
        </w:rPr>
        <w:t>Preliminary analyses indicate that associations between weather extremes and mortality or missing status are strongest where there is a shift from heat to cold and windy conditions within two days. Such conditions are likely to affect bird thermoregulation and can result in immune system depression and increased susceptibility to diseases, toxins and parasites.  Juveniles are more susceptible than adults to these pressures, at least in part because they are naïve, are still learning to feed themselves and find shelter, use a lot of energy on first leaving the nesting area, and require high-quality food</w:t>
      </w:r>
      <w:r w:rsidR="00333246">
        <w:rPr>
          <w:rFonts w:asciiTheme="minorHAnsi" w:hAnsiTheme="minorHAnsi" w:cstheme="minorHAnsi"/>
        </w:rPr>
        <w:t xml:space="preserve"> (Waterbirds 3.3).</w:t>
      </w:r>
      <w:r w:rsidR="00333246" w:rsidRPr="00AA0CC5">
        <w:rPr>
          <w:rFonts w:asciiTheme="minorHAnsi" w:hAnsiTheme="minorHAnsi" w:cstheme="minorHAnsi"/>
        </w:rPr>
        <w:t xml:space="preserve">   </w:t>
      </w:r>
    </w:p>
    <w:p w14:paraId="43B1FEFC" w14:textId="08D13E31" w:rsidR="0069174B" w:rsidRPr="00BC4287" w:rsidRDefault="0069174B" w:rsidP="00E53E38">
      <w:pPr>
        <w:pStyle w:val="BodyText"/>
      </w:pPr>
      <w:r w:rsidRPr="00BC4287">
        <w:t>An enormous amount of energy is required to support waterbird chicks from hatching to the juvenile stage, therefore the nesting habitat needs to be managed to encourage the growth of food resources</w:t>
      </w:r>
      <w:r w:rsidR="00333246">
        <w:t xml:space="preserve">. </w:t>
      </w:r>
      <w:r w:rsidR="00333246" w:rsidRPr="00AA0CC5">
        <w:rPr>
          <w:rFonts w:asciiTheme="minorHAnsi" w:hAnsiTheme="minorHAnsi" w:cstheme="minorHAnsi"/>
        </w:rPr>
        <w:t xml:space="preserve"> Using </w:t>
      </w:r>
      <w:r w:rsidR="00CA3B0E">
        <w:rPr>
          <w:rFonts w:asciiTheme="minorHAnsi" w:hAnsiTheme="minorHAnsi" w:cstheme="minorHAnsi"/>
        </w:rPr>
        <w:t>Ibis</w:t>
      </w:r>
      <w:r w:rsidR="00333246" w:rsidRPr="00AA0CC5">
        <w:rPr>
          <w:rFonts w:asciiTheme="minorHAnsi" w:hAnsiTheme="minorHAnsi" w:cstheme="minorHAnsi"/>
        </w:rPr>
        <w:t xml:space="preserve"> and </w:t>
      </w:r>
      <w:r w:rsidR="00CA3B0E">
        <w:rPr>
          <w:rFonts w:asciiTheme="minorHAnsi" w:hAnsiTheme="minorHAnsi" w:cstheme="minorHAnsi"/>
        </w:rPr>
        <w:t>Spoonbill</w:t>
      </w:r>
      <w:r w:rsidR="00333246" w:rsidRPr="00AA0CC5">
        <w:rPr>
          <w:rFonts w:asciiTheme="minorHAnsi" w:hAnsiTheme="minorHAnsi" w:cstheme="minorHAnsi"/>
        </w:rPr>
        <w:t xml:space="preserve"> chick biometrics, growth curves and energy models, the total energy estimated to raise a single Royal </w:t>
      </w:r>
      <w:r w:rsidR="00CA3B0E">
        <w:rPr>
          <w:rFonts w:asciiTheme="minorHAnsi" w:hAnsiTheme="minorHAnsi" w:cstheme="minorHAnsi"/>
        </w:rPr>
        <w:t>Spoonbill</w:t>
      </w:r>
      <w:r w:rsidR="00333246" w:rsidRPr="00AA0CC5">
        <w:rPr>
          <w:rFonts w:asciiTheme="minorHAnsi" w:hAnsiTheme="minorHAnsi" w:cstheme="minorHAnsi"/>
        </w:rPr>
        <w:t xml:space="preserve"> chick from hatching to independence was 71,290 kJ and for an Australian White </w:t>
      </w:r>
      <w:r w:rsidR="00CA3B0E">
        <w:rPr>
          <w:rFonts w:asciiTheme="minorHAnsi" w:hAnsiTheme="minorHAnsi" w:cstheme="minorHAnsi"/>
        </w:rPr>
        <w:t>Ibis</w:t>
      </w:r>
      <w:r w:rsidR="00333246" w:rsidRPr="00AA0CC5">
        <w:rPr>
          <w:rFonts w:asciiTheme="minorHAnsi" w:hAnsiTheme="minorHAnsi" w:cstheme="minorHAnsi"/>
        </w:rPr>
        <w:t xml:space="preserve"> chick was 67,160 kJ</w:t>
      </w:r>
      <w:r w:rsidR="00333246">
        <w:rPr>
          <w:rFonts w:asciiTheme="minorHAnsi" w:hAnsiTheme="minorHAnsi" w:cstheme="minorHAnsi"/>
        </w:rPr>
        <w:t xml:space="preserve"> (Waterbirds 3.4). </w:t>
      </w:r>
    </w:p>
    <w:p w14:paraId="52406DEF" w14:textId="28D39C1D" w:rsidR="00333246" w:rsidRDefault="00333246" w:rsidP="001C7655">
      <w:pPr>
        <w:pStyle w:val="Heading2numbered"/>
      </w:pPr>
      <w:bookmarkStart w:id="92" w:name="_Toc17202468"/>
      <w:r>
        <w:t xml:space="preserve">5.4 Waterbird theme </w:t>
      </w:r>
      <w:r w:rsidR="00FC1713">
        <w:t xml:space="preserve">information for </w:t>
      </w:r>
      <w:r>
        <w:t>manage</w:t>
      </w:r>
      <w:r w:rsidR="00FC1713">
        <w:t>rs</w:t>
      </w:r>
      <w:bookmarkEnd w:id="92"/>
    </w:p>
    <w:p w14:paraId="5089DA60" w14:textId="5E4B9DDD" w:rsidR="00876D14" w:rsidRPr="00AA0CC5" w:rsidRDefault="00876D14" w:rsidP="00E53E38">
      <w:pPr>
        <w:pStyle w:val="BodyText"/>
      </w:pPr>
      <w:r w:rsidRPr="00AA0CC5">
        <w:t>Satellite tracking of waterbird movements has emphasised the need for Basin scale thinking and coordination in planning environmental water</w:t>
      </w:r>
      <w:r w:rsidR="00DE3AC2">
        <w:t>ing</w:t>
      </w:r>
      <w:r w:rsidRPr="00AA0CC5">
        <w:t xml:space="preserve"> and in managing expectations regarding responses. There is clearly population connectivity between the northern Basin and the southern Basin – and birds can move very quickly from north to south and vice versa.  Planning and response predictions may need to account for varying population movement strategies such as nomadism, residency and possibly migration – and also for differences between species. </w:t>
      </w:r>
    </w:p>
    <w:p w14:paraId="538B7D40" w14:textId="77777777" w:rsidR="00876D14" w:rsidRPr="00AA0CC5" w:rsidRDefault="00876D14" w:rsidP="00E53E38">
      <w:pPr>
        <w:pStyle w:val="BodyText"/>
      </w:pPr>
      <w:r w:rsidRPr="00AA0CC5">
        <w:t>The discovery of a common movement route between the northern and southern Basin suggests that for maximum impact, water and site management for foraging and stopover (refuelling) could be embedded within this route. However individual sites differ in importance among years and species and we don’t yet fully understand this variation. Additional tracking of species dependent on surface water to feed will provide further information about key sites and movement routes that can be managed with environmental water.</w:t>
      </w:r>
    </w:p>
    <w:p w14:paraId="2950DB11" w14:textId="4E998640" w:rsidR="00876D14" w:rsidRPr="00AA0CC5" w:rsidRDefault="00876D14" w:rsidP="00E53E38">
      <w:pPr>
        <w:pStyle w:val="BodyText"/>
      </w:pPr>
      <w:r w:rsidRPr="00AA0CC5">
        <w:t xml:space="preserve">Foraging habitat availability needs management both during and between breeding events. For example, tracking suggests that </w:t>
      </w:r>
      <w:r w:rsidR="00CA3B0E">
        <w:t>Ibis</w:t>
      </w:r>
      <w:r w:rsidRPr="00AA0CC5">
        <w:t xml:space="preserve"> and </w:t>
      </w:r>
      <w:r w:rsidR="00CA3B0E">
        <w:t>Spoonbill</w:t>
      </w:r>
      <w:r w:rsidRPr="00AA0CC5">
        <w:t>s target watered foraging sites within 1-3 km of appropriate roosting or nesting habitat. Environmental water could be used to increase the number or area of foraging sites within 10 km of nest sites after breeding, potentially extending watering for foraging into autumn and winter and possibly staggering inundation of foraging sites to maximise food productivity over a period of months to support juvenile survival.</w:t>
      </w:r>
    </w:p>
    <w:p w14:paraId="1DF0D459" w14:textId="1AC1E200" w:rsidR="00876D14" w:rsidRPr="00AA0CC5" w:rsidRDefault="00876D14" w:rsidP="00E53E38">
      <w:pPr>
        <w:pStyle w:val="BodyText"/>
      </w:pPr>
      <w:r w:rsidRPr="00AA0CC5">
        <w:t xml:space="preserve">At nesting sites used by </w:t>
      </w:r>
      <w:r w:rsidR="00CA3B0E">
        <w:t>Royal</w:t>
      </w:r>
      <w:r w:rsidRPr="00AA0CC5">
        <w:t xml:space="preserve"> </w:t>
      </w:r>
      <w:r w:rsidR="00CA3B0E">
        <w:t>Spoonbill</w:t>
      </w:r>
      <w:r w:rsidRPr="00AA0CC5">
        <w:t xml:space="preserve">s, satellite tracking has revealed the importance of extended duration of water availability for foraging by juveniles. Use of environmental water to extend nest and adjacent site flood duration during and after nesting beyond just the ‘fledging’ time threshold may facilitate increased juvenile survival. It is important to recognise that species such as </w:t>
      </w:r>
      <w:r w:rsidR="00CA3B0E">
        <w:t>Spoonbill</w:t>
      </w:r>
      <w:r w:rsidRPr="00AA0CC5">
        <w:t xml:space="preserve">s feeding in surface waters require different foraging-habitat provision and management to species with mixed terrestrial and aquatic diets such as </w:t>
      </w:r>
      <w:r w:rsidR="00CA3B0E">
        <w:t>Ibis</w:t>
      </w:r>
      <w:r w:rsidRPr="00AA0CC5">
        <w:t xml:space="preserve">. </w:t>
      </w:r>
    </w:p>
    <w:p w14:paraId="3B0F2483" w14:textId="04FF475E" w:rsidR="00876D14" w:rsidRDefault="00876D14" w:rsidP="00E53E38">
      <w:pPr>
        <w:pStyle w:val="BodyText"/>
      </w:pPr>
      <w:r w:rsidRPr="00AA0CC5">
        <w:t xml:space="preserve">Management of over-wintering sites and foraging habitats may also be important for juvenile survival. Tracking indicates that over winter, even small habitat areas may be important, and there may be some site fidelity for such sites. Overwintering occurs in both the north and south of </w:t>
      </w:r>
      <w:r w:rsidR="00BE5A56">
        <w:t>the Basin</w:t>
      </w:r>
      <w:r w:rsidRPr="00AA0CC5">
        <w:t>, yielding a range of opportunities for supporting juveniles and sub-adults using environmental water to create or sustain foraging habitats and food sources. This may be particularly important in areas where water sources effectively ‘dry up’ over winter. This highlights the need for real time data on genuine habitat condition and availability</w:t>
      </w:r>
      <w:r>
        <w:t xml:space="preserve"> (Vegetation 2.2.3)</w:t>
      </w:r>
      <w:r w:rsidRPr="00AA0CC5">
        <w:t>.</w:t>
      </w:r>
    </w:p>
    <w:p w14:paraId="4249570C" w14:textId="017AF79A" w:rsidR="00806EAE" w:rsidRPr="00AA0CC5" w:rsidRDefault="00806EAE" w:rsidP="00E53E38">
      <w:pPr>
        <w:pStyle w:val="BodyText"/>
      </w:pPr>
      <w:r w:rsidRPr="00AA0CC5">
        <w:t xml:space="preserve">The movement of </w:t>
      </w:r>
      <w:r w:rsidR="00CA3B0E">
        <w:t>Ibis</w:t>
      </w:r>
      <w:r w:rsidRPr="00AA0CC5">
        <w:t xml:space="preserve"> to foraging sites can assist in our understanding of what habitats are important for </w:t>
      </w:r>
      <w:r w:rsidR="00CA3B0E">
        <w:t>Ibis</w:t>
      </w:r>
      <w:r w:rsidRPr="00AA0CC5">
        <w:t xml:space="preserve"> in the landscape. For example, </w:t>
      </w:r>
      <w:r w:rsidR="00CA3B0E">
        <w:t>Straw-necked</w:t>
      </w:r>
      <w:r w:rsidR="00342B69">
        <w:t xml:space="preserve"> </w:t>
      </w:r>
      <w:r w:rsidR="00CA3B0E">
        <w:t>Ibis</w:t>
      </w:r>
      <w:r w:rsidR="00342B69">
        <w:t xml:space="preserve"> utilised</w:t>
      </w:r>
      <w:r w:rsidRPr="00AA0CC5">
        <w:t xml:space="preserve"> agricultural lands as a foraging site</w:t>
      </w:r>
      <w:r w:rsidR="00DA2C9D">
        <w:t>s</w:t>
      </w:r>
      <w:r w:rsidRPr="00AA0CC5">
        <w:t xml:space="preserve">, while the more aquatic habitats were used by Australian </w:t>
      </w:r>
      <w:r w:rsidR="00CA3B0E">
        <w:t>White</w:t>
      </w:r>
      <w:r w:rsidRPr="00AA0CC5">
        <w:t xml:space="preserve"> </w:t>
      </w:r>
      <w:r w:rsidR="00CA3B0E">
        <w:t>Ibis</w:t>
      </w:r>
      <w:r w:rsidRPr="00AA0CC5">
        <w:t xml:space="preserve">. This knowledge has implications for water and wetland managers. For </w:t>
      </w:r>
      <w:r w:rsidR="00CA3B0E">
        <w:t>Straw-necked</w:t>
      </w:r>
      <w:r w:rsidRPr="00AA0CC5">
        <w:t xml:space="preserve"> </w:t>
      </w:r>
      <w:r w:rsidR="00CA3B0E">
        <w:t>Ibis</w:t>
      </w:r>
      <w:r w:rsidRPr="00AA0CC5">
        <w:t xml:space="preserve">, which forage in agricultural lands, which are frequently beyond the management scope for water and wetland managers, it highlights the life history stage for which water management is most important in supporting </w:t>
      </w:r>
      <w:r w:rsidR="00CA3B0E">
        <w:t>Straw-necked</w:t>
      </w:r>
      <w:r w:rsidRPr="00AA0CC5">
        <w:t xml:space="preserve"> </w:t>
      </w:r>
      <w:r w:rsidR="00CA3B0E">
        <w:t>Ibis</w:t>
      </w:r>
      <w:r w:rsidRPr="00AA0CC5">
        <w:t xml:space="preserve">.  Due to the specific water requirements that </w:t>
      </w:r>
      <w:r w:rsidR="00CA3B0E">
        <w:t>Straw-necked</w:t>
      </w:r>
      <w:r w:rsidRPr="00AA0CC5">
        <w:t xml:space="preserve"> </w:t>
      </w:r>
      <w:r w:rsidR="00CA3B0E">
        <w:t>Ibis</w:t>
      </w:r>
      <w:r w:rsidRPr="00AA0CC5">
        <w:t xml:space="preserve"> need for successful breeding, it is during this life history stage that water management is most critical. For Australian </w:t>
      </w:r>
      <w:r w:rsidR="00CA3B0E">
        <w:t>White</w:t>
      </w:r>
      <w:r w:rsidRPr="00AA0CC5">
        <w:t xml:space="preserve"> </w:t>
      </w:r>
      <w:r w:rsidR="00CA3B0E">
        <w:t>Ibis</w:t>
      </w:r>
      <w:r w:rsidRPr="00AA0CC5">
        <w:t xml:space="preserve">, the water requirements for breeding appear to be less stringent than those for </w:t>
      </w:r>
      <w:r w:rsidR="00CA3B0E">
        <w:t>Straw-necked</w:t>
      </w:r>
      <w:r w:rsidRPr="00AA0CC5">
        <w:t xml:space="preserve"> </w:t>
      </w:r>
      <w:r w:rsidR="00CA3B0E">
        <w:t>Ibis</w:t>
      </w:r>
      <w:r w:rsidRPr="00AA0CC5">
        <w:t>, however the provision of aquatic habitat for foraging is also important in supporting breeding events</w:t>
      </w:r>
      <w:r>
        <w:t xml:space="preserve"> (Waterbird 2.3.3)</w:t>
      </w:r>
      <w:r w:rsidRPr="00AA0CC5">
        <w:t xml:space="preserve">. </w:t>
      </w:r>
    </w:p>
    <w:p w14:paraId="190B7DA1" w14:textId="24C07E8B" w:rsidR="00806EAE" w:rsidRPr="00AA0CC5" w:rsidRDefault="00806EAE" w:rsidP="00E53E38">
      <w:pPr>
        <w:pStyle w:val="BodyText"/>
      </w:pPr>
      <w:r w:rsidRPr="00AA0CC5">
        <w:t>Water management actions to support survival of eggs and chicks include provision and maintenance of water within breeding habitats. It is well known that rapid or early declines in water levels can trigger nest abandonment.  Abandonment is more likely during the egg stage than the chick stage, however it is still important to maintain water levels late in the breeding season, for two primary reasons: 1) Maintaining food and foraging habitat availability; and 2) Preventing feral predator access. In addition to provision of environmental water for breeding sites, provision of water to support nearby foraging sites and food before, during and after a breeding event is likely to affect the size and success of the event</w:t>
      </w:r>
      <w:r>
        <w:t xml:space="preserve"> (Waterbird 2.4.3)</w:t>
      </w:r>
      <w:r w:rsidRPr="00AA0CC5">
        <w:t>.</w:t>
      </w:r>
    </w:p>
    <w:p w14:paraId="0314FCA2" w14:textId="339BFC82" w:rsidR="00806EAE" w:rsidRPr="00AA0CC5" w:rsidRDefault="00806EAE" w:rsidP="00E53E38">
      <w:pPr>
        <w:pStyle w:val="BodyText"/>
      </w:pPr>
      <w:r w:rsidRPr="00AA0CC5">
        <w:t xml:space="preserve">The dietary differences between </w:t>
      </w:r>
      <w:r w:rsidR="00CA3B0E">
        <w:t>Straw-necked</w:t>
      </w:r>
      <w:r w:rsidRPr="00AA0CC5">
        <w:t xml:space="preserve"> </w:t>
      </w:r>
      <w:r w:rsidR="00CA3B0E">
        <w:t>Ibis</w:t>
      </w:r>
      <w:r w:rsidRPr="00AA0CC5">
        <w:t xml:space="preserve"> (terrestrial feeders) and Australian </w:t>
      </w:r>
      <w:r w:rsidR="00CA3B0E">
        <w:t>White</w:t>
      </w:r>
      <w:r w:rsidRPr="00AA0CC5">
        <w:t xml:space="preserve"> </w:t>
      </w:r>
      <w:r w:rsidR="00CA3B0E">
        <w:t>Ibis</w:t>
      </w:r>
      <w:r w:rsidRPr="00AA0CC5">
        <w:t xml:space="preserve"> (more aquatic feeders) illustrate niche partitioning between two closely related species to avoid interspecific competition. The implications for water management include:</w:t>
      </w:r>
    </w:p>
    <w:p w14:paraId="572C771E" w14:textId="77777777" w:rsidR="00806EAE" w:rsidRPr="00AA0CC5" w:rsidRDefault="00806EAE" w:rsidP="00E53E38">
      <w:pPr>
        <w:pStyle w:val="BodyText"/>
        <w:numPr>
          <w:ilvl w:val="0"/>
          <w:numId w:val="64"/>
        </w:numPr>
      </w:pPr>
      <w:r w:rsidRPr="00AA0CC5">
        <w:t>Recognising that waterbird species differ in their dietary requirements,</w:t>
      </w:r>
    </w:p>
    <w:p w14:paraId="5FE29071" w14:textId="77777777" w:rsidR="00806EAE" w:rsidRPr="00AA0CC5" w:rsidRDefault="00806EAE" w:rsidP="00E53E38">
      <w:pPr>
        <w:pStyle w:val="BodyText"/>
        <w:numPr>
          <w:ilvl w:val="0"/>
          <w:numId w:val="64"/>
        </w:numPr>
      </w:pPr>
      <w:r w:rsidRPr="00AA0CC5">
        <w:t>Different diets are sourced from different foraging habitats,</w:t>
      </w:r>
    </w:p>
    <w:p w14:paraId="11CC2807" w14:textId="77777777" w:rsidR="00806EAE" w:rsidRPr="00AA0CC5" w:rsidRDefault="00806EAE" w:rsidP="00E53E38">
      <w:pPr>
        <w:pStyle w:val="BodyText"/>
        <w:numPr>
          <w:ilvl w:val="0"/>
          <w:numId w:val="64"/>
        </w:numPr>
      </w:pPr>
      <w:r w:rsidRPr="00AA0CC5">
        <w:t>Ensuring that a mosaic of habitats is available for foraging,</w:t>
      </w:r>
    </w:p>
    <w:p w14:paraId="60285A60" w14:textId="0232C486" w:rsidR="00806EAE" w:rsidRPr="00AA0CC5" w:rsidRDefault="00806EAE" w:rsidP="00E53E38">
      <w:pPr>
        <w:pStyle w:val="BodyText"/>
        <w:numPr>
          <w:ilvl w:val="0"/>
          <w:numId w:val="64"/>
        </w:numPr>
      </w:pPr>
      <w:r w:rsidRPr="00AA0CC5">
        <w:t>Not all waterbirds forage in wetland areas, managing these terrestrial foraging sites is often beyond the remit of the water manager</w:t>
      </w:r>
      <w:r>
        <w:t xml:space="preserve"> (Waterbirds 2.8.3)</w:t>
      </w:r>
      <w:r w:rsidRPr="00AA0CC5">
        <w:t>.</w:t>
      </w:r>
    </w:p>
    <w:p w14:paraId="2B7DD52F" w14:textId="403FA4C0" w:rsidR="00333246" w:rsidRDefault="00806EAE" w:rsidP="00E53E38">
      <w:pPr>
        <w:pStyle w:val="BodyText"/>
      </w:pPr>
      <w:r>
        <w:t xml:space="preserve">Management can be tailored to support the specific dietary requirements of different waterbird species. </w:t>
      </w:r>
      <w:r w:rsidRPr="00AA0CC5">
        <w:t xml:space="preserve">For example, if </w:t>
      </w:r>
      <w:r w:rsidR="00CA3B0E">
        <w:t>Royal</w:t>
      </w:r>
      <w:r w:rsidRPr="00AA0CC5">
        <w:t xml:space="preserve"> </w:t>
      </w:r>
      <w:r w:rsidR="00CA3B0E">
        <w:t>Spoonbill</w:t>
      </w:r>
      <w:r w:rsidRPr="00AA0CC5">
        <w:t>s are known to breed in a particular location, watering should be targeted to maximise the abundance of aquatic food resources, such as small fish, yabbies and prawns. If</w:t>
      </w:r>
      <w:r>
        <w:t>,</w:t>
      </w:r>
      <w:r w:rsidRPr="00AA0CC5">
        <w:t xml:space="preserve"> however</w:t>
      </w:r>
      <w:r>
        <w:t>,</w:t>
      </w:r>
      <w:r w:rsidRPr="00AA0CC5">
        <w:t xml:space="preserve"> a location is known to support primarily </w:t>
      </w:r>
      <w:r w:rsidR="00CA3B0E">
        <w:t>Straw-necked</w:t>
      </w:r>
      <w:r w:rsidRPr="00AA0CC5">
        <w:t xml:space="preserve"> </w:t>
      </w:r>
      <w:r w:rsidR="00CA3B0E">
        <w:t>Ibis</w:t>
      </w:r>
      <w:r w:rsidRPr="00AA0CC5">
        <w:t xml:space="preserve"> colonial breeding, environmental water might be better used to promote diverse floodplain, riparian and terrestrial foraging habitats that support a diverse array of vertebrate and invertebrate prey</w:t>
      </w:r>
      <w:r>
        <w:t xml:space="preserve"> (Waterbird 2.9.3)</w:t>
      </w:r>
      <w:r w:rsidRPr="00AA0CC5">
        <w:t>.</w:t>
      </w:r>
    </w:p>
    <w:p w14:paraId="0A6522A4" w14:textId="05A5E2BE" w:rsidR="00806EAE" w:rsidRPr="00AA0CC5" w:rsidRDefault="00806EAE" w:rsidP="00E53E38">
      <w:pPr>
        <w:pStyle w:val="BodyText"/>
      </w:pPr>
      <w:r w:rsidRPr="00AA0CC5">
        <w:t>Both nesting and foraging habitats must be carefully managed during and after breeding to optimise energy source availability and quality. However</w:t>
      </w:r>
      <w:r>
        <w:t>,</w:t>
      </w:r>
      <w:r w:rsidRPr="00AA0CC5">
        <w:t xml:space="preserve"> at present we have limited knowledge regarding the biomass or availability of appropriate food sources for waterbirds, spatially or temporally, or how these are affected by environmental flows and other pressures. The primary food sources for which this information is needed include: small fish (including juvenile large fish) such as smelt, gudgeons, carp, goldfish, gambusia, redfin; frogs and tadpoles; crustaceans such as yabbies, crayfish, crabs, shrimp, prawns, amphipods, isopods; molluscs such as shellfish, bivalves and snails; aquatic invertebrates such as dragonfly nymphs, bugs, beetles; and terrestrial invertebrates such as spiders, locusts, crickets, beetles, caterpillars, grubs, centipedes and earthworms).</w:t>
      </w:r>
    </w:p>
    <w:p w14:paraId="64EEAE04" w14:textId="64A02666" w:rsidR="00806EAE" w:rsidRPr="00AA0CC5" w:rsidRDefault="00806EAE" w:rsidP="00E53E38">
      <w:pPr>
        <w:pStyle w:val="BodyText"/>
      </w:pPr>
      <w:r w:rsidRPr="00AA0CC5">
        <w:t>If we can quantify prey energy value and availability, this information could be used together with chick energy requirements and food web information to develop landscape scale management targets to ensure that food requirements are met to support chicks until they attain independence</w:t>
      </w:r>
      <w:r>
        <w:t xml:space="preserve"> (Waterbirds 2.10.3)</w:t>
      </w:r>
      <w:r w:rsidRPr="00AA0CC5">
        <w:t>.</w:t>
      </w:r>
    </w:p>
    <w:p w14:paraId="36F1E43A" w14:textId="61BABA02" w:rsidR="00333246" w:rsidRDefault="00333246" w:rsidP="001C7655">
      <w:pPr>
        <w:pStyle w:val="Heading2numbered"/>
      </w:pPr>
      <w:bookmarkStart w:id="93" w:name="_Toc17202469"/>
      <w:r>
        <w:t>5.5. Waterbird theme knowledge status</w:t>
      </w:r>
      <w:bookmarkEnd w:id="93"/>
      <w:r>
        <w:t xml:space="preserve"> </w:t>
      </w:r>
    </w:p>
    <w:p w14:paraId="537ECBF9" w14:textId="00BCC038" w:rsidR="00333246" w:rsidRDefault="00806EAE" w:rsidP="00E53E38">
      <w:pPr>
        <w:pStyle w:val="BodyText"/>
      </w:pPr>
      <w:r>
        <w:t>The waterbirds theme uncovered knowledge about the drivers of mortality for chicks and eggs, however there is still limited knowledge about these drivers for juveniles and adults. Given ongoing population reductions in colonial waterbird populations, in spite of flows targeted to improve breeding outcomes, it is important to address all sources of mortality and this needs further study</w:t>
      </w:r>
      <w:r w:rsidR="00FC1713">
        <w:t>.</w:t>
      </w:r>
      <w:r>
        <w:t xml:space="preserve"> </w:t>
      </w:r>
    </w:p>
    <w:p w14:paraId="4F10A75A" w14:textId="3DF3BCAD" w:rsidR="004C10CE" w:rsidRDefault="00806EAE" w:rsidP="00E53E38">
      <w:pPr>
        <w:pStyle w:val="BodyText"/>
      </w:pPr>
      <w:r>
        <w:t>These studies have identified important information about waterbird diet</w:t>
      </w:r>
      <w:r w:rsidR="004C10CE">
        <w:t xml:space="preserve"> and energy needs however we are still unsure how much food is available in a wetland, </w:t>
      </w:r>
      <w:r w:rsidR="007D6773">
        <w:t xml:space="preserve">and </w:t>
      </w:r>
      <w:r w:rsidR="004C10CE">
        <w:t xml:space="preserve">which flows best support the provision of these resources. The current study </w:t>
      </w:r>
      <w:r w:rsidR="007D6773">
        <w:t xml:space="preserve">could </w:t>
      </w:r>
      <w:r w:rsidR="004C10CE">
        <w:t xml:space="preserve">also be expanded to other waterbird species and populations that are declining to improve understanding.  </w:t>
      </w:r>
    </w:p>
    <w:p w14:paraId="1CE66056" w14:textId="13AEFCE8" w:rsidR="004C10CE" w:rsidRPr="00333246" w:rsidRDefault="000B7CE6" w:rsidP="00E53E38">
      <w:pPr>
        <w:pStyle w:val="BodyText"/>
      </w:pPr>
      <w:r>
        <w:t>This</w:t>
      </w:r>
      <w:r w:rsidR="00FC1713">
        <w:t xml:space="preserve"> research has showed that there is a consistent north-south route being used by colonial waterbirds. Future research should focus on identifying critical foraging, roosting</w:t>
      </w:r>
      <w:r w:rsidR="00C00E2A">
        <w:t xml:space="preserve"> </w:t>
      </w:r>
      <w:r w:rsidR="00FC1713">
        <w:t>and stopover sites. In addition, more information about what stimulates movement and the relationship to other factors such as flooding, weather and food availability will allow identification of critical habitats for protection (Waterbirds 5).</w:t>
      </w:r>
    </w:p>
    <w:p w14:paraId="735714C7" w14:textId="3A7913FF" w:rsidR="00C263CA" w:rsidRPr="007642EE" w:rsidRDefault="006B0E61" w:rsidP="00BC4287">
      <w:pPr>
        <w:pStyle w:val="Heading1"/>
        <w:spacing w:line="240" w:lineRule="auto"/>
        <w:rPr>
          <w:rFonts w:asciiTheme="minorHAnsi" w:hAnsiTheme="minorHAnsi" w:cstheme="minorHAnsi"/>
          <w:szCs w:val="44"/>
        </w:rPr>
      </w:pPr>
      <w:bookmarkStart w:id="94" w:name="_Toc17202470"/>
      <w:bookmarkStart w:id="95" w:name="_Toc515371690"/>
      <w:bookmarkEnd w:id="86"/>
      <w:bookmarkEnd w:id="87"/>
      <w:bookmarkEnd w:id="88"/>
      <w:bookmarkEnd w:id="89"/>
      <w:bookmarkEnd w:id="90"/>
      <w:bookmarkEnd w:id="91"/>
      <w:r w:rsidRPr="007642EE">
        <w:rPr>
          <w:rFonts w:asciiTheme="minorHAnsi" w:hAnsiTheme="minorHAnsi" w:cstheme="minorHAnsi"/>
          <w:szCs w:val="44"/>
        </w:rPr>
        <w:t>Synthesis</w:t>
      </w:r>
      <w:r w:rsidR="00D2777E" w:rsidRPr="007642EE">
        <w:rPr>
          <w:rFonts w:asciiTheme="minorHAnsi" w:hAnsiTheme="minorHAnsi" w:cstheme="minorHAnsi"/>
          <w:szCs w:val="44"/>
        </w:rPr>
        <w:t xml:space="preserve"> Between Themes</w:t>
      </w:r>
      <w:bookmarkEnd w:id="94"/>
    </w:p>
    <w:p w14:paraId="3588A543" w14:textId="74BD1864" w:rsidR="0036223B" w:rsidRPr="00BC4287" w:rsidRDefault="00B236FE" w:rsidP="00E53E38">
      <w:pPr>
        <w:pStyle w:val="BodyText"/>
      </w:pPr>
      <w:r>
        <w:t xml:space="preserve">This report has </w:t>
      </w:r>
      <w:r w:rsidR="0036223B" w:rsidRPr="00BC4287">
        <w:t>pulled together information</w:t>
      </w:r>
      <w:r w:rsidR="007642EE">
        <w:t xml:space="preserve"> from</w:t>
      </w:r>
      <w:r w:rsidR="007642EE" w:rsidRPr="00BC4287">
        <w:t xml:space="preserve"> </w:t>
      </w:r>
      <w:r>
        <w:t>all four themes with learnings that can be applied across the Basin</w:t>
      </w:r>
      <w:r w:rsidR="0036223B" w:rsidRPr="00BC4287">
        <w:t xml:space="preserve">. </w:t>
      </w:r>
      <w:r w:rsidR="00C00E2A">
        <w:t xml:space="preserve">This section </w:t>
      </w:r>
      <w:r w:rsidR="007642EE">
        <w:t>brings together information that is highlighted by the theme reports and is consistent across themes. The six ideas below are a synthesis of the main findings of EWKR.</w:t>
      </w:r>
    </w:p>
    <w:p w14:paraId="6134B24D" w14:textId="085C7B45" w:rsidR="00C263CA" w:rsidRPr="00BC4287" w:rsidRDefault="008417E7" w:rsidP="001C7655">
      <w:pPr>
        <w:pStyle w:val="Heading2"/>
      </w:pPr>
      <w:bookmarkStart w:id="96" w:name="_Toc17202471"/>
      <w:bookmarkEnd w:id="95"/>
      <w:r>
        <w:t xml:space="preserve">6.1 </w:t>
      </w:r>
      <w:r w:rsidR="0069174B" w:rsidRPr="00BC4287">
        <w:t xml:space="preserve">The importance of flooplain </w:t>
      </w:r>
      <w:r w:rsidR="00F97B32" w:rsidRPr="00BC4287">
        <w:t>inundation</w:t>
      </w:r>
      <w:bookmarkEnd w:id="96"/>
    </w:p>
    <w:p w14:paraId="03257817" w14:textId="77777777" w:rsidR="008417E7" w:rsidRPr="008417E7" w:rsidRDefault="008417E7" w:rsidP="008417E7">
      <w:pPr>
        <w:tabs>
          <w:tab w:val="left" w:pos="9072"/>
        </w:tabs>
        <w:spacing w:before="120" w:after="0"/>
      </w:pPr>
      <w:r w:rsidRPr="008417E7">
        <w:t xml:space="preserve">There is overwhelming support for the importance of regular floodplain inundation. In-channel flows do not provide the breadth of energy that can be generated from more productive habitats such as anabranches and wetlands. Green algae that grow in floodplain wetlands are crucial in providing essential fatty acids that are transferred through the food web to invertebrates, fish and waterbirds. It is these highly productive regions that support larval fish and juvenile waterbird recruitment. Floodplain inundation needs to happen multiple times, connecting and reconnecting habitats to allow consumers to take advantage of resources and to move important energy stocks from the floodplain into the river channel. </w:t>
      </w:r>
    </w:p>
    <w:p w14:paraId="4F7CCD0B" w14:textId="77777777" w:rsidR="008417E7" w:rsidRPr="008417E7" w:rsidRDefault="008417E7" w:rsidP="008417E7">
      <w:pPr>
        <w:tabs>
          <w:tab w:val="left" w:pos="9072"/>
        </w:tabs>
        <w:spacing w:before="120" w:after="0"/>
      </w:pPr>
      <w:r w:rsidRPr="008417E7">
        <w:t xml:space="preserve">The timing, duration and frequency of floodplain inundation is also important in maintaining floodplain vegetation health and diversity. Inundation provides an important trigger for germination for many species, while dry periods are needed for seedling establishment. The frequency and duration of such flooding will also change the types of vegetation in a community, for example frequent flooding will promote the growth of lignum, while less frequent flooding promotes the establishment of woody vegetation. </w:t>
      </w:r>
    </w:p>
    <w:p w14:paraId="01D2EBCE" w14:textId="77777777" w:rsidR="008417E7" w:rsidRPr="008417E7" w:rsidRDefault="008417E7" w:rsidP="008417E7">
      <w:pPr>
        <w:tabs>
          <w:tab w:val="left" w:pos="9072"/>
        </w:tabs>
        <w:spacing w:before="120" w:after="0"/>
      </w:pPr>
      <w:r w:rsidRPr="008417E7">
        <w:t>The frequency and duration of floodplain inundation needs to be carefully considered from a management perspective. Retaining water on the floodplain for relatively long periods (weeks to months) may be needed to support waterbird and fish recruitment but may come at a cost in terms of seedling establishment. Longer-inundation cycles must also be managed while considering the risks of blackwater events. For example, ponding of water on floodplains, with no additional mixing may in some cases be risky. Currently there are local projects quantifying floodplain leaf litter loads to better understand these risks and how they vary spatially and from year to year.</w:t>
      </w:r>
    </w:p>
    <w:p w14:paraId="5C5E7425" w14:textId="2E9AA228" w:rsidR="00C40D25" w:rsidRPr="00BC4287" w:rsidRDefault="00C40D25" w:rsidP="00E53E38">
      <w:pPr>
        <w:pStyle w:val="BodyText"/>
      </w:pPr>
    </w:p>
    <w:p w14:paraId="7D4BB5E3" w14:textId="29C4BDFA" w:rsidR="00C40D25" w:rsidRPr="00BC4287" w:rsidRDefault="008417E7" w:rsidP="001C7655">
      <w:pPr>
        <w:pStyle w:val="Heading2"/>
      </w:pPr>
      <w:bookmarkStart w:id="97" w:name="_Toc17202472"/>
      <w:r>
        <w:t xml:space="preserve">6.2 </w:t>
      </w:r>
      <w:r w:rsidR="00C40D25" w:rsidRPr="00BC4287">
        <w:t>Processes within rivers happen at many scales</w:t>
      </w:r>
      <w:bookmarkEnd w:id="97"/>
    </w:p>
    <w:p w14:paraId="7B667F93" w14:textId="77777777" w:rsidR="00ED196F" w:rsidRPr="00ED196F" w:rsidRDefault="00ED196F" w:rsidP="00E53E38">
      <w:pPr>
        <w:pStyle w:val="BodyText"/>
      </w:pPr>
      <w:r w:rsidRPr="00ED196F">
        <w:t>Rivers can be divided into multiple scales: patch, site, reach, segment, catchment and Basin (see Figure 2 in the Fish Theme report for more detail). Processes that affect the biodiversity in the river happen at each of those scales and interact to influence where and when organisms will be found. Management across these scales is complex. From patch to reach the retention of nutrients in regions with higher hydraulic complexity and water residence time can make those regions more likely to have higher production of algae, zooplankton and hence fish and birds. Vegetation may help provide retentive zones on the floodplain and high concentrations of waterbirds in the vegetation may focus even more nutrients in small areas. However, the movement of adult fish, waterbirds and vegetation propagules (e.g. seeds) is more likely to be operating at a catchment scale (e.g. Murray Cod) or a Basin scale (e.g. Golden Perch and waterbirds). The consequence of this is that processes such as recruitment and movement need to be managed at multiple scales. Colonial waterbirds that nest together in high densities at sometimes, may, outside of breeding times, move 1000’s of kilometres to forage and disperse widely to different habitats. Therefore, breeding and non-breeding management operates at different scales. Importantly, both may impact on long-term population dynamics of such species.</w:t>
      </w:r>
    </w:p>
    <w:p w14:paraId="2107A76F" w14:textId="63ECEC9C" w:rsidR="00556D7C" w:rsidRPr="00BC4287" w:rsidRDefault="00ED196F" w:rsidP="001C7655">
      <w:pPr>
        <w:pStyle w:val="Heading2"/>
      </w:pPr>
      <w:bookmarkStart w:id="98" w:name="_Toc17202473"/>
      <w:r>
        <w:t xml:space="preserve">6.3 </w:t>
      </w:r>
      <w:r w:rsidR="00556D7C" w:rsidRPr="00BC4287">
        <w:t>Connectivity is a crucial component</w:t>
      </w:r>
      <w:bookmarkEnd w:id="98"/>
    </w:p>
    <w:p w14:paraId="67A2A57B" w14:textId="18E385E7" w:rsidR="00ED196F" w:rsidRPr="00ED196F" w:rsidRDefault="00ED196F" w:rsidP="00ED196F">
      <w:pPr>
        <w:tabs>
          <w:tab w:val="left" w:pos="9072"/>
        </w:tabs>
        <w:spacing w:before="120" w:after="0"/>
      </w:pPr>
      <w:r w:rsidRPr="00ED196F">
        <w:t xml:space="preserve">We know the importance of connecting the main river channel to the floodplain, wetlands and anabranches. However, connectivity has other important implications throughout the </w:t>
      </w:r>
      <w:r w:rsidR="00BE5A56">
        <w:t>Basin</w:t>
      </w:r>
      <w:r w:rsidRPr="00ED196F">
        <w:t xml:space="preserve">. In the Northern Basin, waterways often shrink to a series of disconnected waterholes and only re-join when there is sufficient flow. Providing enough water to allow this connectivity is crucial in ensuring the movement of nutrients, larvae, seeds, adults and juveniles of a range of species. In one waterhole a species may go seasonally extinct and without connection to other populations will not recover. Disjunct populations can also experience low genetic diversity, and so in general maintaining dispersal patterns, which may be linked to flow, is critical.  </w:t>
      </w:r>
    </w:p>
    <w:p w14:paraId="65B33BEB" w14:textId="77777777" w:rsidR="00ED196F" w:rsidRPr="00ED196F" w:rsidRDefault="00ED196F" w:rsidP="00ED196F">
      <w:pPr>
        <w:tabs>
          <w:tab w:val="left" w:pos="9072"/>
        </w:tabs>
        <w:spacing w:before="120" w:after="0"/>
      </w:pPr>
      <w:r w:rsidRPr="00ED196F">
        <w:t xml:space="preserve">How often connections need to be made remains a critical knowledge gap and will vary through time as a result of antecedent events. For example, following disturbance events such as fish kills (e.g. those associated with extreme events such as heatwaves and blackwater events), it may be more important to provide connection events to allow animals (and sometimes plants) to recolonise. Conversely, the ability to move between habitats during extreme events, to avoid adverse conditions is an important component of connectivity that has in some instances been lost from the Basin. </w:t>
      </w:r>
    </w:p>
    <w:p w14:paraId="66D4176A" w14:textId="1C6AA4E0" w:rsidR="0036223B" w:rsidRPr="00BC4287" w:rsidRDefault="00ED196F" w:rsidP="001C7655">
      <w:pPr>
        <w:pStyle w:val="Heading2"/>
      </w:pPr>
      <w:bookmarkStart w:id="99" w:name="_Toc17202474"/>
      <w:r>
        <w:t xml:space="preserve">6.4 </w:t>
      </w:r>
      <w:r w:rsidR="00224EAE" w:rsidRPr="00BC4287">
        <w:t xml:space="preserve">Habitat can be improved through </w:t>
      </w:r>
      <w:r>
        <w:t xml:space="preserve">flow </w:t>
      </w:r>
      <w:r w:rsidR="00224EAE" w:rsidRPr="00BC4287">
        <w:t>management</w:t>
      </w:r>
      <w:bookmarkEnd w:id="99"/>
      <w:r w:rsidR="00224EAE" w:rsidRPr="00BC4287">
        <w:t xml:space="preserve"> </w:t>
      </w:r>
    </w:p>
    <w:p w14:paraId="37A103E8" w14:textId="77777777" w:rsidR="00ED196F" w:rsidRPr="00ED196F" w:rsidRDefault="00ED196F" w:rsidP="00ED196F">
      <w:pPr>
        <w:tabs>
          <w:tab w:val="left" w:pos="9072"/>
        </w:tabs>
        <w:spacing w:before="120" w:after="0"/>
      </w:pPr>
      <w:r w:rsidRPr="00ED196F">
        <w:t xml:space="preserve">Retentiveness, or the ability to trap particles (including seeds, eggs and larvae) being transported in the water column, is an important property of rivers. Maintaining structural complexity within a river channel (e.g. by maintaining channel meanders, or with the addition of snags, benches, and other in-channel features) increases retention. Managers can add or remove such structures or influence their formation by varying flow. </w:t>
      </w:r>
    </w:p>
    <w:p w14:paraId="371FB113" w14:textId="77777777" w:rsidR="00ED196F" w:rsidRPr="00ED196F" w:rsidRDefault="00ED196F" w:rsidP="00ED196F">
      <w:pPr>
        <w:tabs>
          <w:tab w:val="left" w:pos="9072"/>
        </w:tabs>
        <w:spacing w:before="120" w:after="0"/>
      </w:pPr>
      <w:r w:rsidRPr="00ED196F">
        <w:t>Retentiveness also varies considerably between river reaches and with flow.  The relationship between flow and retention is complex, and more work is required to provide guiding principles regarding managing flows to increase retention.</w:t>
      </w:r>
    </w:p>
    <w:p w14:paraId="55D8FEEB" w14:textId="77777777" w:rsidR="00ED196F" w:rsidRPr="00ED196F" w:rsidRDefault="00ED196F" w:rsidP="00ED196F">
      <w:pPr>
        <w:tabs>
          <w:tab w:val="left" w:pos="9072"/>
        </w:tabs>
        <w:spacing w:before="120" w:after="0"/>
      </w:pPr>
      <w:r w:rsidRPr="00ED196F">
        <w:t xml:space="preserve">Cold water pollution can significantly reduce the growth of algae, zooplankton and larval fish. This could also reduce the prey availability for juvenile waterbirds. Care needs to be taken that large cold-water releases happen outside of peak breeding periods to ensure the health of species. </w:t>
      </w:r>
    </w:p>
    <w:p w14:paraId="7008CBC9" w14:textId="78E9F608" w:rsidR="00E454A0" w:rsidRPr="00BC4287" w:rsidRDefault="00ED196F" w:rsidP="001C7655">
      <w:pPr>
        <w:pStyle w:val="Heading2"/>
      </w:pPr>
      <w:bookmarkStart w:id="100" w:name="_Toc17202475"/>
      <w:r>
        <w:t xml:space="preserve">6.5 </w:t>
      </w:r>
      <w:r w:rsidR="00E454A0" w:rsidRPr="00BC4287">
        <w:t>There is no one water management recipe for all species</w:t>
      </w:r>
      <w:bookmarkEnd w:id="100"/>
    </w:p>
    <w:p w14:paraId="04131723" w14:textId="45DCDAC1" w:rsidR="00703123" w:rsidRPr="00BC4287" w:rsidRDefault="00703123" w:rsidP="00E53E38">
      <w:pPr>
        <w:pStyle w:val="BodyText"/>
      </w:pPr>
      <w:r w:rsidRPr="00BC4287">
        <w:t xml:space="preserve">Across all themes there were species specific responses to changes in flow regimes, temperature, timing of events, scales and a host of other factors. In unregulated rivers, natural cycles of ‘boom and bust’ would ensure that conditions are right </w:t>
      </w:r>
      <w:r w:rsidR="008A1D6F" w:rsidRPr="00BC4287">
        <w:t xml:space="preserve">for recruitment, movement etc. at some point in time. Australia’s biota has evolved to ensure that different species are ready to take advantage of different events. In regulated systems we need to recreate this diversity of conditions. We need fast and slow water velocity, large floods and dry periods, connections at multiple scales and a range of wetting and drying regimes to ensure that we recreate </w:t>
      </w:r>
      <w:r w:rsidR="00C4049C" w:rsidRPr="00BC4287">
        <w:t>all</w:t>
      </w:r>
      <w:r w:rsidR="008A1D6F" w:rsidRPr="00BC4287">
        <w:t xml:space="preserve"> the niches that species have evolved to exploit. Regularly doing the same thing, be it low or high flow, single flood events or regular connections will homogenise a system so that it becomes reflective of those specific actions. Diversity is maintained and enhanced when we change management regularly. </w:t>
      </w:r>
    </w:p>
    <w:p w14:paraId="0B5C6F02" w14:textId="16D21F79" w:rsidR="00E65A13" w:rsidRDefault="00ED196F" w:rsidP="001C7655">
      <w:pPr>
        <w:pStyle w:val="Heading2"/>
      </w:pPr>
      <w:bookmarkStart w:id="101" w:name="_Toc17202476"/>
      <w:r>
        <w:t>6.6 There are significant opportunities created by projects such as EWKR</w:t>
      </w:r>
      <w:bookmarkEnd w:id="101"/>
    </w:p>
    <w:p w14:paraId="08283696" w14:textId="09C2BCD6" w:rsidR="00E53E38" w:rsidRDefault="00ED196F" w:rsidP="00E53E38">
      <w:pPr>
        <w:pStyle w:val="BodyText"/>
      </w:pPr>
      <w:r>
        <w:t xml:space="preserve">There are few projects that provide opportunities for collaboration and knowledge exchange such as EWKR. Scientists working </w:t>
      </w:r>
      <w:r w:rsidR="00BB0942">
        <w:t>in specific knowledge domains such as vegetation science are rarely part of teams that provide access to complimentary knowledge practitioners such as hydrologists. Bringing multi-disciplinary groups together often sparks innovation that provides insights that transcend any one domain. Additionally, bringing together scientists and water managers creates a new dialogue where each group better understands the messages and needs of the other</w:t>
      </w:r>
      <w:r w:rsidR="00E53E38">
        <w:t>.</w:t>
      </w:r>
    </w:p>
    <w:p w14:paraId="12215823" w14:textId="5B1871FA" w:rsidR="005853A6" w:rsidRPr="00BF0330" w:rsidRDefault="00723F00" w:rsidP="00BC4287">
      <w:pPr>
        <w:pStyle w:val="Heading1"/>
        <w:spacing w:line="240" w:lineRule="auto"/>
        <w:rPr>
          <w:rFonts w:asciiTheme="minorHAnsi" w:hAnsiTheme="minorHAnsi" w:cstheme="minorHAnsi"/>
          <w:sz w:val="36"/>
          <w:szCs w:val="36"/>
        </w:rPr>
      </w:pPr>
      <w:bookmarkStart w:id="102" w:name="_Toc531616559"/>
      <w:bookmarkStart w:id="103" w:name="_Toc531616598"/>
      <w:bookmarkStart w:id="104" w:name="_Toc17202477"/>
      <w:r w:rsidRPr="00BF0330">
        <w:rPr>
          <w:rFonts w:asciiTheme="minorHAnsi" w:hAnsiTheme="minorHAnsi" w:cstheme="minorHAnsi"/>
          <w:sz w:val="36"/>
          <w:szCs w:val="36"/>
        </w:rPr>
        <w:t>References</w:t>
      </w:r>
      <w:bookmarkEnd w:id="102"/>
      <w:bookmarkEnd w:id="103"/>
      <w:bookmarkEnd w:id="104"/>
    </w:p>
    <w:p w14:paraId="567E5C87" w14:textId="77777777" w:rsidR="00BB0942" w:rsidRPr="00BC4287" w:rsidRDefault="00BB0942" w:rsidP="00C67378">
      <w:pPr>
        <w:pStyle w:val="BodyText"/>
        <w:ind w:left="567" w:hanging="567"/>
        <w:rPr>
          <w:lang w:eastAsia="en-US"/>
        </w:rPr>
      </w:pPr>
      <w:r w:rsidRPr="00BC4287">
        <w:rPr>
          <w:lang w:eastAsia="en-US"/>
        </w:rPr>
        <w:t>Campbell CJ, Capon SJ, Gehrig SL, James CS, Morris K, Nicol JM, Nielsen DL and Thomas RF. (2019) Murray‒Darling Basin Environmental Water Knowledge and Research Project — Vegetation Theme Research Report. Report prepared for the Department of the Environment and Energy, Commonwealth Environmental Water Office by La Trobe University, Centre for Freshwater Ecosystems, CFE Publication 226 June 2019 29p. [Appendices 119 p.]</w:t>
      </w:r>
    </w:p>
    <w:p w14:paraId="48B07E56" w14:textId="77777777" w:rsidR="00BB0942" w:rsidRPr="00BC4287" w:rsidRDefault="00BB0942" w:rsidP="00C67378">
      <w:pPr>
        <w:spacing w:before="120"/>
        <w:ind w:left="567" w:hanging="567"/>
        <w:rPr>
          <w:rFonts w:asciiTheme="minorHAnsi" w:hAnsiTheme="minorHAnsi" w:cstheme="minorHAnsi"/>
        </w:rPr>
      </w:pPr>
      <w:r w:rsidRPr="00BC4287">
        <w:rPr>
          <w:rFonts w:asciiTheme="minorHAnsi" w:hAnsiTheme="minorHAnsi" w:cstheme="minorHAnsi"/>
        </w:rPr>
        <w:t xml:space="preserve">Ecological Associates (2007) </w:t>
      </w:r>
      <w:r w:rsidRPr="00BC4287">
        <w:rPr>
          <w:rFonts w:asciiTheme="minorHAnsi" w:hAnsiTheme="minorHAnsi" w:cstheme="minorHAnsi"/>
          <w:i/>
        </w:rPr>
        <w:t>Floodplain options investigation: Lindsay, Mulcra and Wallpolla islands</w:t>
      </w:r>
      <w:r w:rsidRPr="00BC4287">
        <w:rPr>
          <w:rFonts w:asciiTheme="minorHAnsi" w:hAnsiTheme="minorHAnsi" w:cstheme="minorHAnsi"/>
        </w:rPr>
        <w:t>. Report AL007–3A. Mallee Catchment Management Authority, Victoria.</w:t>
      </w:r>
    </w:p>
    <w:p w14:paraId="35EB742C" w14:textId="5704E7CF" w:rsidR="00BB0942" w:rsidRPr="00BC4287" w:rsidRDefault="00BB0942" w:rsidP="00C67378">
      <w:pPr>
        <w:spacing w:before="120"/>
        <w:ind w:left="567" w:hanging="567"/>
        <w:rPr>
          <w:rFonts w:asciiTheme="minorHAnsi" w:hAnsiTheme="minorHAnsi" w:cstheme="minorHAnsi"/>
        </w:rPr>
      </w:pPr>
      <w:r w:rsidRPr="00BC4287">
        <w:rPr>
          <w:rFonts w:asciiTheme="minorHAnsi" w:hAnsiTheme="minorHAnsi" w:cstheme="minorHAnsi"/>
        </w:rPr>
        <w:t>Jenkins KM, Wolfenden,</w:t>
      </w:r>
      <w:r w:rsidR="003E4C0F">
        <w:rPr>
          <w:rFonts w:asciiTheme="minorHAnsi" w:hAnsiTheme="minorHAnsi" w:cstheme="minorHAnsi"/>
        </w:rPr>
        <w:t xml:space="preserve"> </w:t>
      </w:r>
      <w:r w:rsidRPr="00BC4287">
        <w:rPr>
          <w:rFonts w:asciiTheme="minorHAnsi" w:hAnsiTheme="minorHAnsi" w:cstheme="minorHAnsi"/>
        </w:rPr>
        <w:t xml:space="preserve">BJ (2006) </w:t>
      </w:r>
      <w:r w:rsidRPr="00BC4287">
        <w:rPr>
          <w:rFonts w:asciiTheme="minorHAnsi" w:hAnsiTheme="minorHAnsi" w:cstheme="minorHAnsi"/>
          <w:i/>
        </w:rPr>
        <w:t>Invertebrates, fish and river flows: historical and baseline data analysis for the Macquarie Marshes</w:t>
      </w:r>
      <w:r w:rsidRPr="00BC4287">
        <w:rPr>
          <w:rFonts w:asciiTheme="minorHAnsi" w:hAnsiTheme="minorHAnsi" w:cstheme="minorHAnsi"/>
        </w:rPr>
        <w:t>.</w:t>
      </w:r>
      <w:r w:rsidRPr="00BC4287">
        <w:rPr>
          <w:rFonts w:asciiTheme="minorHAnsi" w:hAnsiTheme="minorHAnsi" w:cstheme="minorHAnsi"/>
          <w:i/>
        </w:rPr>
        <w:t xml:space="preserve"> </w:t>
      </w:r>
      <w:r w:rsidRPr="00BC4287">
        <w:rPr>
          <w:rFonts w:asciiTheme="minorHAnsi" w:hAnsiTheme="minorHAnsi" w:cstheme="minorHAnsi"/>
        </w:rPr>
        <w:t>Environmental Management Plan, University of New England, Armidale.</w:t>
      </w:r>
    </w:p>
    <w:p w14:paraId="24D4880A" w14:textId="77777777" w:rsidR="00BB0942" w:rsidRPr="00BC4287" w:rsidRDefault="00BB0942" w:rsidP="00C67378">
      <w:pPr>
        <w:spacing w:before="120"/>
        <w:ind w:left="567" w:hanging="567"/>
        <w:rPr>
          <w:rFonts w:asciiTheme="minorHAnsi" w:hAnsiTheme="minorHAnsi" w:cstheme="minorHAnsi"/>
        </w:rPr>
      </w:pPr>
      <w:r w:rsidRPr="00BC4287">
        <w:rPr>
          <w:rFonts w:asciiTheme="minorHAnsi" w:hAnsiTheme="minorHAnsi" w:cstheme="minorHAnsi"/>
        </w:rPr>
        <w:t xml:space="preserve">Kingsford RT, Auld K (2005) Waterbird breeding and environmental flow management in the Macquarie Marshes, arid Australia. </w:t>
      </w:r>
      <w:r w:rsidRPr="00BC4287">
        <w:rPr>
          <w:rFonts w:asciiTheme="minorHAnsi" w:hAnsiTheme="minorHAnsi" w:cstheme="minorHAnsi"/>
          <w:i/>
        </w:rPr>
        <w:t>River Research and Applications</w:t>
      </w:r>
      <w:r w:rsidRPr="00BC4287">
        <w:rPr>
          <w:rFonts w:asciiTheme="minorHAnsi" w:hAnsiTheme="minorHAnsi" w:cstheme="minorHAnsi"/>
        </w:rPr>
        <w:t xml:space="preserve"> </w:t>
      </w:r>
      <w:r w:rsidRPr="00BC4287">
        <w:rPr>
          <w:rFonts w:asciiTheme="minorHAnsi" w:hAnsiTheme="minorHAnsi" w:cstheme="minorHAnsi"/>
          <w:b/>
        </w:rPr>
        <w:t>21</w:t>
      </w:r>
      <w:r w:rsidRPr="00BC4287">
        <w:rPr>
          <w:rFonts w:asciiTheme="minorHAnsi" w:hAnsiTheme="minorHAnsi" w:cstheme="minorHAnsi"/>
        </w:rPr>
        <w:t>, 187-200.</w:t>
      </w:r>
    </w:p>
    <w:p w14:paraId="0873A920" w14:textId="77777777" w:rsidR="00BB0942" w:rsidRPr="00BC4287" w:rsidRDefault="00BB0942" w:rsidP="00C67378">
      <w:pPr>
        <w:spacing w:before="120"/>
        <w:ind w:left="567" w:hanging="567"/>
        <w:rPr>
          <w:rFonts w:asciiTheme="minorHAnsi" w:hAnsiTheme="minorHAnsi" w:cstheme="minorHAnsi"/>
        </w:rPr>
      </w:pPr>
      <w:r w:rsidRPr="00BC4287">
        <w:rPr>
          <w:rFonts w:asciiTheme="minorHAnsi" w:hAnsiTheme="minorHAnsi" w:cstheme="minorHAnsi"/>
        </w:rPr>
        <w:t xml:space="preserve">Kingsford RT, Johnson WJ (1998) Impact of water diversions on colonially-nesting waterbirds in the Macquarie Marshes of arid Australia. </w:t>
      </w:r>
      <w:r w:rsidRPr="00BC4287">
        <w:rPr>
          <w:rFonts w:asciiTheme="minorHAnsi" w:hAnsiTheme="minorHAnsi" w:cstheme="minorHAnsi"/>
          <w:i/>
        </w:rPr>
        <w:t>Colonial Waterbirds</w:t>
      </w:r>
      <w:r w:rsidRPr="00BC4287">
        <w:rPr>
          <w:rFonts w:asciiTheme="minorHAnsi" w:hAnsiTheme="minorHAnsi" w:cstheme="minorHAnsi"/>
        </w:rPr>
        <w:t xml:space="preserve"> </w:t>
      </w:r>
      <w:r w:rsidRPr="00BC4287">
        <w:rPr>
          <w:rFonts w:asciiTheme="minorHAnsi" w:hAnsiTheme="minorHAnsi" w:cstheme="minorHAnsi"/>
          <w:b/>
        </w:rPr>
        <w:t>21(2)</w:t>
      </w:r>
      <w:r w:rsidRPr="00BC4287">
        <w:rPr>
          <w:rFonts w:asciiTheme="minorHAnsi" w:hAnsiTheme="minorHAnsi" w:cstheme="minorHAnsi"/>
        </w:rPr>
        <w:t>, 159-170.</w:t>
      </w:r>
    </w:p>
    <w:p w14:paraId="582BDAA9" w14:textId="77777777" w:rsidR="00BB0942" w:rsidRPr="00BC4287" w:rsidRDefault="00BB0942" w:rsidP="00C67378">
      <w:pPr>
        <w:spacing w:before="120"/>
        <w:ind w:left="567" w:hanging="567"/>
        <w:rPr>
          <w:rFonts w:asciiTheme="minorHAnsi" w:hAnsiTheme="minorHAnsi" w:cstheme="minorHAnsi"/>
        </w:rPr>
      </w:pPr>
      <w:r w:rsidRPr="00BC4287">
        <w:rPr>
          <w:rFonts w:asciiTheme="minorHAnsi" w:hAnsiTheme="minorHAnsi" w:cstheme="minorHAnsi"/>
        </w:rPr>
        <w:t xml:space="preserve">Macquarie Marshes Investigation Committee (1951) </w:t>
      </w:r>
      <w:r w:rsidRPr="00BC4287">
        <w:rPr>
          <w:rFonts w:asciiTheme="minorHAnsi" w:hAnsiTheme="minorHAnsi" w:cstheme="minorHAnsi"/>
          <w:i/>
        </w:rPr>
        <w:t>Report of Macquarie Marshes Investigation Committee.</w:t>
      </w:r>
      <w:r w:rsidRPr="00BC4287">
        <w:rPr>
          <w:rFonts w:asciiTheme="minorHAnsi" w:hAnsiTheme="minorHAnsi" w:cstheme="minorHAnsi"/>
        </w:rPr>
        <w:t xml:space="preserve"> Department of Conservation, Sydney.</w:t>
      </w:r>
    </w:p>
    <w:p w14:paraId="25705B6A" w14:textId="77777777" w:rsidR="00BB0942" w:rsidRPr="00BC4287" w:rsidRDefault="00BB0942" w:rsidP="00C67378">
      <w:pPr>
        <w:spacing w:before="120"/>
        <w:ind w:left="567" w:hanging="567"/>
        <w:rPr>
          <w:rFonts w:asciiTheme="minorHAnsi" w:hAnsiTheme="minorHAnsi" w:cstheme="minorHAnsi"/>
        </w:rPr>
      </w:pPr>
      <w:r w:rsidRPr="00BC4287">
        <w:rPr>
          <w:rFonts w:asciiTheme="minorHAnsi" w:hAnsiTheme="minorHAnsi" w:cstheme="minorHAnsi"/>
        </w:rPr>
        <w:t xml:space="preserve">Marchant S, Higgins PJ (1990) </w:t>
      </w:r>
      <w:r w:rsidRPr="00BC4287">
        <w:rPr>
          <w:rFonts w:asciiTheme="minorHAnsi" w:hAnsiTheme="minorHAnsi" w:cstheme="minorHAnsi"/>
          <w:i/>
        </w:rPr>
        <w:t>Handbook of Australian, New Zealand and Antarctic Birds, Volume 1: Ratites to Ducks</w:t>
      </w:r>
      <w:r w:rsidRPr="00BC4287">
        <w:rPr>
          <w:rFonts w:asciiTheme="minorHAnsi" w:hAnsiTheme="minorHAnsi" w:cstheme="minorHAnsi"/>
        </w:rPr>
        <w:t>. Oxford University Press, Melbourne.</w:t>
      </w:r>
    </w:p>
    <w:p w14:paraId="626FB910" w14:textId="77777777" w:rsidR="00BB0942" w:rsidRPr="00BC4287" w:rsidRDefault="00BB0942" w:rsidP="00C67378">
      <w:pPr>
        <w:pStyle w:val="BodyText"/>
        <w:ind w:left="567" w:hanging="567"/>
        <w:rPr>
          <w:lang w:eastAsia="en-US"/>
        </w:rPr>
      </w:pPr>
      <w:r w:rsidRPr="00BC4287">
        <w:rPr>
          <w:lang w:eastAsia="en-US"/>
        </w:rPr>
        <w:t>McGinness HM, Brandis K, Robinson F, Piper M, O’Brien L, Langston A, Hodgson J, Wenger L, Martin J, Bellio M, Callaghan D, Webster E, Francis R, McCann J, Lyons M, Doerr V, Kingsford R, Mac Nally R (2019) Murray‒Darling Basin Environmental Water Knowledge and Research Project — Waterbird Theme Research Report. Report prepared for the Department of the Environment and Energy, Commonwealth Environmental Water Office by CSIRO and La Trobe University, Centre for Freshwater Ecosystems, CFE Publication 225 June 2019 44p. [Appendices 422p]</w:t>
      </w:r>
    </w:p>
    <w:p w14:paraId="731B868E" w14:textId="77777777" w:rsidR="00BB0942" w:rsidRPr="00BC4287" w:rsidRDefault="00BB0942" w:rsidP="00C67378">
      <w:pPr>
        <w:pStyle w:val="BodyText"/>
        <w:ind w:left="567" w:hanging="567"/>
        <w:rPr>
          <w:lang w:eastAsia="en-US"/>
        </w:rPr>
      </w:pPr>
      <w:r w:rsidRPr="00BC4287">
        <w:rPr>
          <w:lang w:eastAsia="en-US"/>
        </w:rPr>
        <w:t>McInerney P, Bond N, Kopf K, Lester R, Ryder D, Thompson R, Baldwin D, Brandis K, Butler G, Drouart R, Frost L, Gawne B, Growns I, Holt G, Koster W, MacNally R, Macqueen A, McGinness H, Petrie R, Robson B, Rolls R, Thiem J, Thurgate N, Watson G and Zampatti B. (2019) Murray‒Darling Basin Environmental Water Knowledge and Research Project — Food Webs Theme Research Report. Report prepared for the Department of the Environment and Energy, Commonwealth Environmental Water Office by La Trobe University, Centre for Freshwater Ecosystems, CFE Publication 224 June 2019 28p. [Appendices 119p.]</w:t>
      </w:r>
    </w:p>
    <w:p w14:paraId="0205FD6F" w14:textId="77777777" w:rsidR="00BB0942" w:rsidRPr="00BC4287" w:rsidRDefault="00BB0942" w:rsidP="00C67378">
      <w:pPr>
        <w:ind w:left="567" w:hanging="567"/>
        <w:jc w:val="both"/>
        <w:rPr>
          <w:rFonts w:asciiTheme="minorHAnsi" w:hAnsiTheme="minorHAnsi" w:cstheme="minorHAnsi"/>
        </w:rPr>
      </w:pPr>
      <w:r w:rsidRPr="00BC4287">
        <w:rPr>
          <w:rFonts w:asciiTheme="minorHAnsi" w:hAnsiTheme="minorHAnsi" w:cstheme="minorHAnsi"/>
        </w:rPr>
        <w:t xml:space="preserve">MDFRC (2015) </w:t>
      </w:r>
      <w:r w:rsidRPr="00BC4287">
        <w:rPr>
          <w:rFonts w:asciiTheme="minorHAnsi" w:hAnsiTheme="minorHAnsi" w:cstheme="minorHAnsi"/>
          <w:i/>
        </w:rPr>
        <w:t>Murray-Darling Basin Environmental Water Knowledge and Research Project: Research Site Description Report</w:t>
      </w:r>
      <w:r w:rsidRPr="00BC4287">
        <w:rPr>
          <w:rFonts w:asciiTheme="minorHAnsi" w:hAnsiTheme="minorHAnsi" w:cstheme="minorHAnsi"/>
        </w:rPr>
        <w:t>. Draft Report prepared for the Department of the Environment by The Murray-Darling Freshwater Research Centre, MDFRC Publication 21/2014, May 2015, 12pp.</w:t>
      </w:r>
    </w:p>
    <w:p w14:paraId="3AD84AF0" w14:textId="77777777" w:rsidR="00BB0942" w:rsidRPr="00BC4287" w:rsidRDefault="00BB0942" w:rsidP="00C67378">
      <w:pPr>
        <w:pStyle w:val="BodyText"/>
        <w:ind w:left="567" w:hanging="567"/>
        <w:rPr>
          <w:lang w:eastAsia="en-US"/>
        </w:rPr>
      </w:pPr>
      <w:r w:rsidRPr="00BC4287">
        <w:rPr>
          <w:lang w:eastAsia="en-US"/>
        </w:rPr>
        <w:t>MDFRC (2016) Murray–Darling Basin Environmental Water Knowledge and Research Project Annual Research Plan 2016–17. Final Report prepared for the Department of the Environment and Energy by The Murray–Darling Freshwater Research Centre, MDFRC Publication 121/2016, December 2016, 45pp.</w:t>
      </w:r>
    </w:p>
    <w:p w14:paraId="16BFBB33" w14:textId="77777777" w:rsidR="00BB0942" w:rsidRPr="00BC4287" w:rsidRDefault="00BB0942" w:rsidP="00C67378">
      <w:pPr>
        <w:spacing w:before="120"/>
        <w:ind w:left="567" w:hanging="567"/>
        <w:rPr>
          <w:rFonts w:asciiTheme="minorHAnsi" w:hAnsiTheme="minorHAnsi" w:cstheme="minorHAnsi"/>
        </w:rPr>
      </w:pPr>
      <w:r w:rsidRPr="00BC4287">
        <w:rPr>
          <w:rFonts w:asciiTheme="minorHAnsi" w:hAnsiTheme="minorHAnsi" w:cstheme="minorHAnsi"/>
        </w:rPr>
        <w:t xml:space="preserve">Merritt WS, Pollino C, Powell S, Rayburg S (2009) </w:t>
      </w:r>
      <w:r w:rsidRPr="00BC4287">
        <w:rPr>
          <w:rFonts w:asciiTheme="minorHAnsi" w:hAnsiTheme="minorHAnsi" w:cstheme="minorHAnsi"/>
          <w:i/>
        </w:rPr>
        <w:t>Integrating hydrology and ecology models into flexible and adaptive decision support tools: the IBIS DSS</w:t>
      </w:r>
      <w:r w:rsidRPr="00BC4287">
        <w:rPr>
          <w:rFonts w:asciiTheme="minorHAnsi" w:hAnsiTheme="minorHAnsi" w:cstheme="minorHAnsi"/>
        </w:rPr>
        <w:t>. 18th World IMACS / MODSIM Congress, Cairns, Australia 13-17 July 2009. http://mssanz.org.au/modsim09</w:t>
      </w:r>
    </w:p>
    <w:p w14:paraId="547D4E1F" w14:textId="77777777" w:rsidR="00BB0942" w:rsidRPr="00BC4287" w:rsidRDefault="00BB0942" w:rsidP="00C67378">
      <w:pPr>
        <w:spacing w:before="120"/>
        <w:ind w:left="567" w:hanging="567"/>
        <w:rPr>
          <w:rFonts w:asciiTheme="minorHAnsi" w:hAnsiTheme="minorHAnsi" w:cstheme="minorHAnsi"/>
        </w:rPr>
      </w:pPr>
      <w:r w:rsidRPr="00BC4287">
        <w:rPr>
          <w:rFonts w:asciiTheme="minorHAnsi" w:hAnsiTheme="minorHAnsi" w:cstheme="minorHAnsi"/>
        </w:rPr>
        <w:t xml:space="preserve">Murray-Darling Basin Authority (2012a) </w:t>
      </w:r>
      <w:r w:rsidRPr="00BC4287">
        <w:rPr>
          <w:rFonts w:asciiTheme="minorHAnsi" w:hAnsiTheme="minorHAnsi" w:cstheme="minorHAnsi"/>
          <w:i/>
        </w:rPr>
        <w:t>Assessment of environmental water requirements for the proposed Basin Plan: Barmah–Millewa Forest</w:t>
      </w:r>
      <w:r w:rsidRPr="00BC4287">
        <w:rPr>
          <w:rFonts w:asciiTheme="minorHAnsi" w:hAnsiTheme="minorHAnsi" w:cstheme="minorHAnsi"/>
        </w:rPr>
        <w:t>. MDBA publication no: 16/12, Murray-Darling Basin Authority, Canberra.</w:t>
      </w:r>
    </w:p>
    <w:p w14:paraId="662AD6BF" w14:textId="77777777" w:rsidR="00BB0942" w:rsidRPr="00BC4287" w:rsidRDefault="00BB0942" w:rsidP="00C67378">
      <w:pPr>
        <w:spacing w:before="120"/>
        <w:ind w:left="567" w:hanging="567"/>
        <w:rPr>
          <w:rFonts w:asciiTheme="minorHAnsi" w:hAnsiTheme="minorHAnsi" w:cstheme="minorHAnsi"/>
        </w:rPr>
      </w:pPr>
      <w:r w:rsidRPr="00BC4287">
        <w:rPr>
          <w:rFonts w:asciiTheme="minorHAnsi" w:hAnsiTheme="minorHAnsi" w:cstheme="minorHAnsi"/>
        </w:rPr>
        <w:t xml:space="preserve">Murray-Darling Basin Authority (2012b) </w:t>
      </w:r>
      <w:r w:rsidRPr="00BC4287">
        <w:rPr>
          <w:rFonts w:asciiTheme="minorHAnsi" w:hAnsiTheme="minorHAnsi" w:cstheme="minorHAnsi"/>
          <w:i/>
        </w:rPr>
        <w:t>Barmah–Millewa Forest: Environmental Water Management Plan 2012</w:t>
      </w:r>
      <w:r w:rsidRPr="00BC4287">
        <w:rPr>
          <w:rFonts w:asciiTheme="minorHAnsi" w:hAnsiTheme="minorHAnsi" w:cstheme="minorHAnsi"/>
        </w:rPr>
        <w:t>. Murray-Darling Basin Authority, Canberra.</w:t>
      </w:r>
    </w:p>
    <w:p w14:paraId="147D5546" w14:textId="77777777" w:rsidR="00BB0942" w:rsidRPr="00BC4287" w:rsidRDefault="00BB0942" w:rsidP="00C67378">
      <w:pPr>
        <w:spacing w:before="120"/>
        <w:ind w:left="567" w:hanging="567"/>
        <w:rPr>
          <w:rFonts w:asciiTheme="minorHAnsi" w:hAnsiTheme="minorHAnsi" w:cstheme="minorHAnsi"/>
        </w:rPr>
      </w:pPr>
      <w:r w:rsidRPr="00BC4287">
        <w:rPr>
          <w:rFonts w:asciiTheme="minorHAnsi" w:hAnsiTheme="minorHAnsi" w:cstheme="minorHAnsi"/>
        </w:rPr>
        <w:t xml:space="preserve">Murray-Darling Basin Authority (2012c) </w:t>
      </w:r>
      <w:r w:rsidRPr="00BC4287">
        <w:rPr>
          <w:rFonts w:asciiTheme="minorHAnsi" w:hAnsiTheme="minorHAnsi" w:cstheme="minorHAnsi"/>
          <w:i/>
        </w:rPr>
        <w:t>Chowilla Floodplain: Environmental Water Management Plan 2012</w:t>
      </w:r>
      <w:r w:rsidRPr="00BC4287">
        <w:rPr>
          <w:rFonts w:asciiTheme="minorHAnsi" w:hAnsiTheme="minorHAnsi" w:cstheme="minorHAnsi"/>
        </w:rPr>
        <w:t>. MDBA Publication No. 220/11, Canberra.</w:t>
      </w:r>
    </w:p>
    <w:p w14:paraId="273D29E2" w14:textId="77777777" w:rsidR="00BB0942" w:rsidRPr="00BC4287" w:rsidRDefault="00BB0942" w:rsidP="00C67378">
      <w:pPr>
        <w:spacing w:before="120"/>
        <w:ind w:left="567" w:hanging="567"/>
        <w:rPr>
          <w:rFonts w:asciiTheme="minorHAnsi" w:hAnsiTheme="minorHAnsi" w:cstheme="minorHAnsi"/>
        </w:rPr>
      </w:pPr>
      <w:r w:rsidRPr="00BC4287">
        <w:rPr>
          <w:rFonts w:asciiTheme="minorHAnsi" w:hAnsiTheme="minorHAnsi" w:cstheme="minorHAnsi"/>
        </w:rPr>
        <w:t xml:space="preserve">Murray-Darling Basin Authority (2012d) </w:t>
      </w:r>
      <w:r w:rsidRPr="00BC4287">
        <w:rPr>
          <w:rFonts w:asciiTheme="minorHAnsi" w:hAnsiTheme="minorHAnsi" w:cstheme="minorHAnsi"/>
          <w:i/>
        </w:rPr>
        <w:t>Lindsay–Wallpolla Islands: Environmental Water Management Plan 2012</w:t>
      </w:r>
      <w:r w:rsidRPr="00BC4287">
        <w:rPr>
          <w:rFonts w:asciiTheme="minorHAnsi" w:hAnsiTheme="minorHAnsi" w:cstheme="minorHAnsi"/>
        </w:rPr>
        <w:t>. MDBA Publication No. 224/11, Canberra.</w:t>
      </w:r>
    </w:p>
    <w:p w14:paraId="707C9991" w14:textId="77777777" w:rsidR="00BB0942" w:rsidRPr="00BC4287" w:rsidRDefault="00BB0942" w:rsidP="00C67378">
      <w:pPr>
        <w:spacing w:before="120"/>
        <w:ind w:left="567" w:hanging="567"/>
        <w:rPr>
          <w:rFonts w:asciiTheme="minorHAnsi" w:hAnsiTheme="minorHAnsi" w:cstheme="minorHAnsi"/>
        </w:rPr>
      </w:pPr>
      <w:r w:rsidRPr="00BC4287">
        <w:rPr>
          <w:rFonts w:asciiTheme="minorHAnsi" w:hAnsiTheme="minorHAnsi" w:cstheme="minorHAnsi"/>
        </w:rPr>
        <w:t xml:space="preserve">New South Wales Department of Environment, Climate Change and Water (2010) </w:t>
      </w:r>
      <w:r w:rsidRPr="00BC4287">
        <w:rPr>
          <w:rFonts w:asciiTheme="minorHAnsi" w:hAnsiTheme="minorHAnsi" w:cstheme="minorHAnsi"/>
          <w:i/>
        </w:rPr>
        <w:t>Macquarie Marshes adaptive environmental management plan- Synthesis of information projects and actions</w:t>
      </w:r>
      <w:r w:rsidRPr="00BC4287">
        <w:rPr>
          <w:rFonts w:asciiTheme="minorHAnsi" w:hAnsiTheme="minorHAnsi" w:cstheme="minorHAnsi"/>
        </w:rPr>
        <w:t>. NSW Department of Environment and Climate Change, Sydney.</w:t>
      </w:r>
    </w:p>
    <w:p w14:paraId="771C410A" w14:textId="77777777" w:rsidR="00BB0942" w:rsidRPr="00BC4287" w:rsidRDefault="00BB0942" w:rsidP="00C67378">
      <w:pPr>
        <w:spacing w:before="120"/>
        <w:ind w:left="567" w:hanging="567"/>
        <w:rPr>
          <w:rFonts w:asciiTheme="minorHAnsi" w:hAnsiTheme="minorHAnsi" w:cstheme="minorHAnsi"/>
        </w:rPr>
      </w:pPr>
      <w:r w:rsidRPr="00BC4287">
        <w:rPr>
          <w:rFonts w:asciiTheme="minorHAnsi" w:hAnsiTheme="minorHAnsi" w:cstheme="minorHAnsi"/>
        </w:rPr>
        <w:t xml:space="preserve">Newall PR, Lloyd LN, Gell PA, Walker KF (2009) </w:t>
      </w:r>
      <w:r w:rsidRPr="00BC4287">
        <w:rPr>
          <w:rFonts w:asciiTheme="minorHAnsi" w:hAnsiTheme="minorHAnsi" w:cstheme="minorHAnsi"/>
          <w:i/>
        </w:rPr>
        <w:t>Ecological Character Description for the Riverland Ramsar Site.</w:t>
      </w:r>
      <w:r w:rsidRPr="00BC4287">
        <w:rPr>
          <w:rFonts w:asciiTheme="minorHAnsi" w:hAnsiTheme="minorHAnsi" w:cstheme="minorHAnsi"/>
        </w:rPr>
        <w:t xml:space="preserve"> Department for Environment and Heritage, South Australia.</w:t>
      </w:r>
    </w:p>
    <w:p w14:paraId="11F81618" w14:textId="77777777" w:rsidR="00BB0942" w:rsidRPr="00BC4287" w:rsidRDefault="00BB0942" w:rsidP="00C67378">
      <w:pPr>
        <w:pStyle w:val="BodyText"/>
        <w:ind w:left="567" w:hanging="567"/>
        <w:rPr>
          <w:lang w:eastAsia="en-US"/>
        </w:rPr>
      </w:pPr>
      <w:r w:rsidRPr="00BC4287">
        <w:rPr>
          <w:lang w:eastAsia="en-US"/>
        </w:rPr>
        <w:t>Price A, Balcombe S, Humphries P, King A, Zampatti B, (2019) Murray‒Darling Basin Environmental Water Knowledge and Research Project — Fish Theme Research Report. Report prepared for the Department of the Environment and Energy, Commonwealth Environmental Water Office by La Trobe University, Centre for Freshwater, CFE Publication 223 June 2019 41p. [Appendices 203p.]</w:t>
      </w:r>
    </w:p>
    <w:p w14:paraId="75745B20" w14:textId="77777777" w:rsidR="00BB0942" w:rsidRPr="00BC4287" w:rsidRDefault="00BB0942" w:rsidP="00C67378">
      <w:pPr>
        <w:spacing w:before="120"/>
        <w:ind w:left="567" w:hanging="567"/>
        <w:rPr>
          <w:rFonts w:asciiTheme="minorHAnsi" w:hAnsiTheme="minorHAnsi" w:cstheme="minorHAnsi"/>
        </w:rPr>
      </w:pPr>
      <w:r w:rsidRPr="00BC4287">
        <w:rPr>
          <w:rFonts w:asciiTheme="minorHAnsi" w:hAnsiTheme="minorHAnsi" w:cstheme="minorHAnsi"/>
        </w:rPr>
        <w:t xml:space="preserve">Sims N (2004) </w:t>
      </w:r>
      <w:r w:rsidRPr="00BC4287">
        <w:rPr>
          <w:rFonts w:asciiTheme="minorHAnsi" w:hAnsiTheme="minorHAnsi" w:cstheme="minorHAnsi"/>
          <w:i/>
        </w:rPr>
        <w:t>The landscape‐scale structure and functioning of floodplains</w:t>
      </w:r>
      <w:r w:rsidRPr="00BC4287">
        <w:rPr>
          <w:rFonts w:asciiTheme="minorHAnsi" w:hAnsiTheme="minorHAnsi" w:cstheme="minorHAnsi"/>
        </w:rPr>
        <w:t xml:space="preserve"> PhD thesis, University of Canberra.</w:t>
      </w:r>
    </w:p>
    <w:p w14:paraId="0BD8D49D" w14:textId="77777777" w:rsidR="00BB0942" w:rsidRPr="00BC4287" w:rsidRDefault="00BB0942" w:rsidP="00C67378">
      <w:pPr>
        <w:spacing w:before="120"/>
        <w:ind w:left="567" w:hanging="567"/>
        <w:rPr>
          <w:rFonts w:asciiTheme="minorHAnsi" w:hAnsiTheme="minorHAnsi" w:cstheme="minorHAnsi"/>
        </w:rPr>
      </w:pPr>
      <w:r w:rsidRPr="00BC4287">
        <w:rPr>
          <w:rFonts w:asciiTheme="minorHAnsi" w:hAnsiTheme="minorHAnsi" w:cstheme="minorHAnsi"/>
        </w:rPr>
        <w:t xml:space="preserve">Sims N, Thoms M (2002) </w:t>
      </w:r>
      <w:r w:rsidRPr="00BC4287">
        <w:rPr>
          <w:rFonts w:asciiTheme="minorHAnsi" w:hAnsiTheme="minorHAnsi" w:cstheme="minorHAnsi"/>
          <w:i/>
        </w:rPr>
        <w:t>What happens when floodplains wet themselves: vegetation response to inundation on the Lower Balonne floodplain</w:t>
      </w:r>
      <w:r w:rsidRPr="00BC4287">
        <w:rPr>
          <w:rFonts w:asciiTheme="minorHAnsi" w:hAnsiTheme="minorHAnsi" w:cstheme="minorHAnsi"/>
        </w:rPr>
        <w:t>. Proceedings of the structure, function and management implications of fluvial sedimentary systems, International Association of Hydrological Sciences Publication, 276. Ecology, University of Canberra. Report to Queensland DNR, Lower Balonne Advisory.</w:t>
      </w:r>
    </w:p>
    <w:p w14:paraId="1861336D" w14:textId="77777777" w:rsidR="00BB0942" w:rsidRPr="00BC4287" w:rsidRDefault="00BB0942" w:rsidP="00C67378">
      <w:pPr>
        <w:spacing w:before="120"/>
        <w:ind w:left="567" w:hanging="567"/>
        <w:rPr>
          <w:rFonts w:asciiTheme="minorHAnsi" w:hAnsiTheme="minorHAnsi" w:cstheme="minorHAnsi"/>
        </w:rPr>
      </w:pPr>
      <w:r w:rsidRPr="00BC4287">
        <w:rPr>
          <w:rFonts w:asciiTheme="minorHAnsi" w:hAnsiTheme="minorHAnsi" w:cstheme="minorHAnsi"/>
        </w:rPr>
        <w:t xml:space="preserve">Sinclair Knight Merz (SKM) (2003) </w:t>
      </w:r>
      <w:r w:rsidRPr="00BC4287">
        <w:rPr>
          <w:rFonts w:asciiTheme="minorHAnsi" w:hAnsiTheme="minorHAnsi" w:cstheme="minorHAnsi"/>
          <w:i/>
        </w:rPr>
        <w:t>Assessment of water management options for Lindsay and Wallpolla islands.</w:t>
      </w:r>
      <w:r w:rsidRPr="00BC4287">
        <w:rPr>
          <w:rFonts w:asciiTheme="minorHAnsi" w:hAnsiTheme="minorHAnsi" w:cstheme="minorHAnsi"/>
        </w:rPr>
        <w:t xml:space="preserve"> Mallee Catchment Management Authority, Victoria.</w:t>
      </w:r>
    </w:p>
    <w:p w14:paraId="63FE8C66" w14:textId="77777777" w:rsidR="00BB0942" w:rsidRPr="00BC4287" w:rsidRDefault="00BB0942" w:rsidP="00C67378">
      <w:pPr>
        <w:spacing w:before="120"/>
        <w:ind w:left="567" w:hanging="567"/>
        <w:rPr>
          <w:rFonts w:asciiTheme="minorHAnsi" w:hAnsiTheme="minorHAnsi" w:cstheme="minorHAnsi"/>
        </w:rPr>
      </w:pPr>
      <w:r w:rsidRPr="00BC4287">
        <w:rPr>
          <w:rFonts w:asciiTheme="minorHAnsi" w:hAnsiTheme="minorHAnsi" w:cstheme="minorHAnsi"/>
        </w:rPr>
        <w:t xml:space="preserve">Thoms M, Quinn G, Butcher R, Phillips B, Wilson G, Brock M and Gawne B (2002) </w:t>
      </w:r>
      <w:r w:rsidRPr="00BC4287">
        <w:rPr>
          <w:rFonts w:asciiTheme="minorHAnsi" w:hAnsiTheme="minorHAnsi" w:cstheme="minorHAnsi"/>
          <w:i/>
        </w:rPr>
        <w:t>Scoping study for the Narran Lakes and Lower Balonne floodplain management study (R2011)</w:t>
      </w:r>
      <w:r w:rsidRPr="00BC4287">
        <w:rPr>
          <w:rFonts w:asciiTheme="minorHAnsi" w:hAnsiTheme="minorHAnsi" w:cstheme="minorHAnsi"/>
        </w:rPr>
        <w:t>. Technical Report 3/2002, Cooperative Research Centre for Freshwater Ecology, Canberra.</w:t>
      </w:r>
    </w:p>
    <w:p w14:paraId="375D20E9" w14:textId="77777777" w:rsidR="00BB0942" w:rsidRPr="00BC4287" w:rsidRDefault="00BB0942" w:rsidP="00C67378">
      <w:pPr>
        <w:pStyle w:val="BodyText"/>
        <w:ind w:left="567" w:hanging="567"/>
      </w:pPr>
      <w:r w:rsidRPr="00BC4287">
        <w:t xml:space="preserve">U.S. EPA. EPA's Report On The Environment (ROE) (2018 Final Report). U.S. Environmental Protection Agency, Washington, D.C. </w:t>
      </w:r>
      <w:hyperlink r:id="rId26" w:history="1">
        <w:r w:rsidRPr="00BC4287">
          <w:rPr>
            <w:color w:val="0000FF"/>
            <w:u w:val="single"/>
          </w:rPr>
          <w:t>https://www.epa.gov/report-environment</w:t>
        </w:r>
      </w:hyperlink>
    </w:p>
    <w:p w14:paraId="0AC46E27" w14:textId="77777777" w:rsidR="00BB0942" w:rsidRPr="00BC4287" w:rsidRDefault="00BB0942" w:rsidP="00C67378">
      <w:pPr>
        <w:spacing w:before="120"/>
        <w:ind w:left="567" w:hanging="567"/>
        <w:rPr>
          <w:rFonts w:asciiTheme="minorHAnsi" w:hAnsiTheme="minorHAnsi" w:cstheme="minorHAnsi"/>
        </w:rPr>
      </w:pPr>
      <w:r w:rsidRPr="00BC4287">
        <w:rPr>
          <w:rFonts w:asciiTheme="minorHAnsi" w:hAnsiTheme="minorHAnsi" w:cstheme="minorHAnsi"/>
        </w:rPr>
        <w:t xml:space="preserve">Zampatti BP, Leigh SJ, Nicol JM (2008) </w:t>
      </w:r>
      <w:r w:rsidRPr="00BC4287">
        <w:rPr>
          <w:rFonts w:asciiTheme="minorHAnsi" w:hAnsiTheme="minorHAnsi" w:cstheme="minorHAnsi"/>
          <w:i/>
        </w:rPr>
        <w:t>Chowilla Icon Site – Fish Assemblage Condition Monitoring 2005‐2008</w:t>
      </w:r>
      <w:r w:rsidRPr="00BC4287">
        <w:rPr>
          <w:rFonts w:asciiTheme="minorHAnsi" w:hAnsiTheme="minorHAnsi" w:cstheme="minorHAnsi"/>
        </w:rPr>
        <w:t>. SARDI Publication Number F2008/000907‐1. SARDI Research Report Series No. 319. South Australian Research and Development Institute (Aquatic Sciences), Adelaide.</w:t>
      </w:r>
    </w:p>
    <w:p w14:paraId="2CC28A0A" w14:textId="1DB0CC57" w:rsidR="00BB0942" w:rsidRDefault="00BB0942" w:rsidP="00C67378">
      <w:pPr>
        <w:spacing w:before="120"/>
        <w:ind w:left="567" w:hanging="567"/>
        <w:rPr>
          <w:rFonts w:asciiTheme="minorHAnsi" w:hAnsiTheme="minorHAnsi" w:cstheme="minorHAnsi"/>
        </w:rPr>
      </w:pPr>
      <w:r w:rsidRPr="00BC4287">
        <w:rPr>
          <w:rFonts w:asciiTheme="minorHAnsi" w:hAnsiTheme="minorHAnsi" w:cstheme="minorHAnsi"/>
        </w:rPr>
        <w:t xml:space="preserve">Zampatti BP, Leigh SJ, Nicol JM (2011) </w:t>
      </w:r>
      <w:r w:rsidRPr="00BC4287">
        <w:rPr>
          <w:rFonts w:asciiTheme="minorHAnsi" w:hAnsiTheme="minorHAnsi" w:cstheme="minorHAnsi"/>
          <w:i/>
        </w:rPr>
        <w:t>Fish and Aquatic Macrophyte Communities in the Chowilla Anabranch System, South Australia. A report on investigations from 2004‐2007</w:t>
      </w:r>
      <w:r w:rsidRPr="00BC4287">
        <w:rPr>
          <w:rFonts w:asciiTheme="minorHAnsi" w:hAnsiTheme="minorHAnsi" w:cstheme="minorHAnsi"/>
        </w:rPr>
        <w:t>. SARDI Publication Number F2010/000719‐1. SARDI Research Report Series No. 525 180pp. South Australian Research and Development Institute (Aquatic Sciences), Adelaide.</w:t>
      </w:r>
    </w:p>
    <w:p w14:paraId="05B46A83" w14:textId="77777777" w:rsidR="00E53E38" w:rsidRDefault="00E53E38" w:rsidP="00C67378">
      <w:pPr>
        <w:spacing w:before="120"/>
        <w:ind w:left="567" w:hanging="567"/>
        <w:rPr>
          <w:rFonts w:asciiTheme="minorHAnsi" w:hAnsiTheme="minorHAnsi" w:cstheme="minorHAnsi"/>
        </w:rPr>
        <w:sectPr w:rsidR="00E53E38" w:rsidSect="004F61BA">
          <w:footerReference w:type="default" r:id="rId27"/>
          <w:pgSz w:w="11906" w:h="16838"/>
          <w:pgMar w:top="1440" w:right="1440" w:bottom="1440" w:left="1440" w:header="709" w:footer="709" w:gutter="0"/>
          <w:pgNumType w:start="1"/>
          <w:cols w:space="708"/>
          <w:docGrid w:linePitch="360"/>
        </w:sectPr>
      </w:pPr>
    </w:p>
    <w:p w14:paraId="6A89DF31" w14:textId="77777777" w:rsidR="00E53E38" w:rsidRPr="00E53E38" w:rsidRDefault="00E53E38" w:rsidP="00E53E38">
      <w:pPr>
        <w:keepNext/>
        <w:keepLines/>
        <w:pageBreakBefore/>
        <w:tabs>
          <w:tab w:val="left" w:pos="1134"/>
        </w:tabs>
        <w:spacing w:after="240" w:line="480" w:lineRule="exact"/>
        <w:outlineLvl w:val="0"/>
        <w:rPr>
          <w:rFonts w:eastAsiaTheme="majorEastAsia" w:cstheme="majorBidi"/>
          <w:b/>
          <w:bCs/>
          <w:color w:val="00313C" w:themeColor="accent2"/>
          <w:sz w:val="44"/>
          <w:szCs w:val="28"/>
        </w:rPr>
      </w:pPr>
      <w:bookmarkStart w:id="105" w:name="_Toc11934707"/>
      <w:bookmarkStart w:id="106" w:name="_Toc17202478"/>
      <w:r w:rsidRPr="00E53E38">
        <w:rPr>
          <w:rFonts w:eastAsiaTheme="majorEastAsia" w:cstheme="majorBidi"/>
          <w:b/>
          <w:bCs/>
          <w:color w:val="00313C" w:themeColor="accent2"/>
          <w:sz w:val="44"/>
          <w:szCs w:val="28"/>
        </w:rPr>
        <w:t>Appendix 1: Research Site Report</w:t>
      </w:r>
      <w:bookmarkEnd w:id="105"/>
      <w:bookmarkEnd w:id="106"/>
    </w:p>
    <w:p w14:paraId="464457C8" w14:textId="77777777" w:rsidR="00E53E38" w:rsidRPr="00E53E38" w:rsidRDefault="00E53E38" w:rsidP="00E53E38">
      <w:pPr>
        <w:keepNext/>
        <w:keepLines/>
        <w:numPr>
          <w:ilvl w:val="0"/>
          <w:numId w:val="56"/>
        </w:numPr>
        <w:spacing w:before="240"/>
        <w:outlineLvl w:val="3"/>
        <w:rPr>
          <w:rFonts w:eastAsiaTheme="majorEastAsia" w:cstheme="majorBidi"/>
          <w:bCs/>
          <w:iCs/>
          <w:noProof/>
          <w:color w:val="00313C" w:themeColor="accent2"/>
          <w:spacing w:val="1"/>
          <w:sz w:val="44"/>
          <w:szCs w:val="44"/>
        </w:rPr>
      </w:pPr>
      <w:r w:rsidRPr="00E53E38">
        <w:rPr>
          <w:rFonts w:eastAsiaTheme="majorEastAsia" w:cstheme="majorBidi"/>
          <w:bCs/>
          <w:iCs/>
          <w:noProof/>
          <w:color w:val="00313C" w:themeColor="accent2"/>
          <w:spacing w:val="1"/>
          <w:sz w:val="44"/>
          <w:szCs w:val="44"/>
        </w:rPr>
        <w:t>Sites</w:t>
      </w:r>
    </w:p>
    <w:p w14:paraId="46E86C99" w14:textId="77777777" w:rsidR="00E53E38" w:rsidRPr="00E53E38" w:rsidRDefault="00E53E38" w:rsidP="00E53E38">
      <w:r w:rsidRPr="00E53E38">
        <w:t xml:space="preserve">The Research Site report brings together an overview of the research that was conducted at broad scale sites within the Environmental Water Knowledge and Research (EWKR) program and provides a platform for future Murray-Darling Basin research to build on rather than duplicate. </w:t>
      </w:r>
    </w:p>
    <w:p w14:paraId="5D9AF45C" w14:textId="77777777" w:rsidR="00E53E38" w:rsidRPr="00E53E38" w:rsidRDefault="00E53E38" w:rsidP="00E53E38">
      <w:pPr>
        <w:keepNext/>
        <w:keepLines/>
        <w:numPr>
          <w:ilvl w:val="1"/>
          <w:numId w:val="56"/>
        </w:numPr>
        <w:spacing w:before="240"/>
        <w:ind w:left="426"/>
        <w:outlineLvl w:val="3"/>
        <w:rPr>
          <w:rFonts w:eastAsiaTheme="majorEastAsia" w:cstheme="majorBidi"/>
          <w:bCs/>
          <w:iCs/>
          <w:noProof/>
          <w:color w:val="00313C" w:themeColor="accent2"/>
          <w:spacing w:val="1"/>
          <w:sz w:val="32"/>
          <w:szCs w:val="32"/>
        </w:rPr>
      </w:pPr>
      <w:r w:rsidRPr="00E53E38">
        <w:rPr>
          <w:rFonts w:eastAsiaTheme="majorEastAsia" w:cstheme="majorBidi"/>
          <w:bCs/>
          <w:iCs/>
          <w:noProof/>
          <w:color w:val="00313C" w:themeColor="accent2"/>
          <w:spacing w:val="1"/>
          <w:sz w:val="32"/>
          <w:szCs w:val="32"/>
        </w:rPr>
        <w:t>Site Choice Rationales</w:t>
      </w:r>
    </w:p>
    <w:p w14:paraId="1C9D51E7" w14:textId="77777777" w:rsidR="00E53E38" w:rsidRPr="00E53E38" w:rsidRDefault="00E53E38" w:rsidP="00E53E38">
      <w:r w:rsidRPr="00E53E38">
        <w:t xml:space="preserve">The EWKR project sought to identify four broad scale sites that were to be the focus of field-based research activities, the research sites needed to span the Basin. Ideally, with at least one northern, one central and one southern. The broad scale sites were the basis for field-based studies, but the project did also undertake laboratory experiments and data analysis activities that were not defined by the boundaries of the four sites. </w:t>
      </w:r>
    </w:p>
    <w:p w14:paraId="5A5BD4A5" w14:textId="77777777" w:rsidR="00E53E38" w:rsidRPr="00E53E38" w:rsidRDefault="00E53E38" w:rsidP="00E53E38">
      <w:r w:rsidRPr="00E53E38">
        <w:t>The selection criteria outlined below was used to support the evaluation of potential research sites for EWKR. Broad scale sites were evaluated qualitatively but ultimately the choice of these sites required subjective judgement to weigh up the relative significance of the criteria.</w:t>
      </w:r>
    </w:p>
    <w:p w14:paraId="0FF9B3F5" w14:textId="77777777" w:rsidR="00E53E38" w:rsidRPr="00E53E38" w:rsidRDefault="00E53E38" w:rsidP="00E53E38">
      <w:pPr>
        <w:keepNext/>
        <w:keepLines/>
        <w:numPr>
          <w:ilvl w:val="1"/>
          <w:numId w:val="56"/>
        </w:numPr>
        <w:spacing w:before="240"/>
        <w:ind w:left="426"/>
        <w:outlineLvl w:val="3"/>
        <w:rPr>
          <w:rFonts w:eastAsiaTheme="majorEastAsia" w:cstheme="majorBidi"/>
          <w:bCs/>
          <w:iCs/>
          <w:noProof/>
          <w:color w:val="00313C" w:themeColor="accent2"/>
          <w:spacing w:val="1"/>
          <w:sz w:val="32"/>
          <w:szCs w:val="32"/>
        </w:rPr>
      </w:pPr>
      <w:r w:rsidRPr="00E53E38">
        <w:rPr>
          <w:rFonts w:eastAsiaTheme="majorEastAsia" w:cstheme="majorBidi"/>
          <w:bCs/>
          <w:iCs/>
          <w:noProof/>
          <w:color w:val="00313C" w:themeColor="accent2"/>
          <w:spacing w:val="1"/>
          <w:sz w:val="32"/>
          <w:szCs w:val="32"/>
        </w:rPr>
        <w:t>Identification of candidate sites</w:t>
      </w:r>
    </w:p>
    <w:p w14:paraId="797974B3" w14:textId="77777777" w:rsidR="00E53E38" w:rsidRPr="00E53E38" w:rsidRDefault="00E53E38" w:rsidP="00E53E38">
      <w:r w:rsidRPr="00E53E38">
        <w:t>The process of identifying research sites began with the identification of candidate sites. These are sites of a sufficient size and with some available baseline and inventory knowledge that would support research, and that are likely to receive environmental flows under the Basin Plan. It should be noted that the site names are used in a general sense, that each of the sites would include the full spectrum of adjacent riverine, wetland and floodplain components (e.g. Barmah–Millewa Forest would include the associated reaches of the River Murray and Edward River system), and that the exact boundary of the sites will be determined based on requirements to facilitate research.</w:t>
      </w:r>
    </w:p>
    <w:p w14:paraId="437EE7CB" w14:textId="77777777" w:rsidR="00E53E38" w:rsidRPr="00E53E38" w:rsidRDefault="00E53E38" w:rsidP="00E53E38">
      <w:pPr>
        <w:rPr>
          <w:u w:val="single"/>
        </w:rPr>
      </w:pPr>
      <w:r w:rsidRPr="00E53E38">
        <w:rPr>
          <w:u w:val="single"/>
        </w:rPr>
        <w:t>Potential candidate sites for EWKR</w:t>
      </w:r>
    </w:p>
    <w:p w14:paraId="768F3ED2" w14:textId="77777777" w:rsidR="00E53E38" w:rsidRPr="00E53E38" w:rsidRDefault="00E53E38" w:rsidP="00E53E38">
      <w:pPr>
        <w:sectPr w:rsidR="00E53E38" w:rsidRPr="00E53E38" w:rsidSect="00D379AE">
          <w:headerReference w:type="default" r:id="rId28"/>
          <w:footerReference w:type="default" r:id="rId29"/>
          <w:pgSz w:w="11906" w:h="16838" w:code="9"/>
          <w:pgMar w:top="1134" w:right="1134" w:bottom="1134" w:left="1134" w:header="624" w:footer="624" w:gutter="0"/>
          <w:cols w:space="708"/>
          <w:docGrid w:linePitch="360"/>
        </w:sectPr>
      </w:pPr>
    </w:p>
    <w:p w14:paraId="7069E397" w14:textId="77777777" w:rsidR="00E53E38" w:rsidRPr="00E53E38" w:rsidRDefault="00E53E38" w:rsidP="00E53E38">
      <w:pPr>
        <w:numPr>
          <w:ilvl w:val="0"/>
          <w:numId w:val="44"/>
        </w:numPr>
        <w:tabs>
          <w:tab w:val="left" w:pos="397"/>
        </w:tabs>
        <w:spacing w:before="120" w:after="100"/>
      </w:pPr>
      <w:r w:rsidRPr="00E53E38">
        <w:t>Barmah–Millewa Forest</w:t>
      </w:r>
    </w:p>
    <w:p w14:paraId="294D07E0" w14:textId="77777777" w:rsidR="00E53E38" w:rsidRPr="00E53E38" w:rsidRDefault="00E53E38" w:rsidP="00E53E38">
      <w:pPr>
        <w:numPr>
          <w:ilvl w:val="0"/>
          <w:numId w:val="44"/>
        </w:numPr>
        <w:tabs>
          <w:tab w:val="left" w:pos="397"/>
        </w:tabs>
        <w:spacing w:before="120" w:after="100"/>
      </w:pPr>
      <w:r w:rsidRPr="00E53E38">
        <w:t>Booligal Wetlands</w:t>
      </w:r>
    </w:p>
    <w:p w14:paraId="0B33E522" w14:textId="77777777" w:rsidR="00E53E38" w:rsidRPr="00E53E38" w:rsidRDefault="00E53E38" w:rsidP="00E53E38">
      <w:pPr>
        <w:numPr>
          <w:ilvl w:val="0"/>
          <w:numId w:val="44"/>
        </w:numPr>
        <w:tabs>
          <w:tab w:val="left" w:pos="397"/>
        </w:tabs>
        <w:spacing w:before="120" w:after="100"/>
      </w:pPr>
      <w:r w:rsidRPr="00E53E38">
        <w:t>Lower Campaspe River</w:t>
      </w:r>
    </w:p>
    <w:p w14:paraId="60EA0B23" w14:textId="77777777" w:rsidR="00E53E38" w:rsidRPr="00E53E38" w:rsidRDefault="00E53E38" w:rsidP="00E53E38">
      <w:pPr>
        <w:numPr>
          <w:ilvl w:val="0"/>
          <w:numId w:val="44"/>
        </w:numPr>
        <w:tabs>
          <w:tab w:val="left" w:pos="397"/>
        </w:tabs>
        <w:spacing w:before="120" w:after="100"/>
      </w:pPr>
      <w:r w:rsidRPr="00E53E38">
        <w:t>Edward–Wakool River system</w:t>
      </w:r>
    </w:p>
    <w:p w14:paraId="0DBA29FD" w14:textId="77777777" w:rsidR="00E53E38" w:rsidRPr="00E53E38" w:rsidRDefault="00E53E38" w:rsidP="00E53E38">
      <w:pPr>
        <w:numPr>
          <w:ilvl w:val="0"/>
          <w:numId w:val="44"/>
        </w:numPr>
        <w:tabs>
          <w:tab w:val="left" w:pos="397"/>
        </w:tabs>
        <w:spacing w:before="120" w:after="100"/>
      </w:pPr>
      <w:r w:rsidRPr="00E53E38">
        <w:t>Great Cumbung Swamp</w:t>
      </w:r>
    </w:p>
    <w:p w14:paraId="39E99472" w14:textId="77777777" w:rsidR="00E53E38" w:rsidRPr="00E53E38" w:rsidRDefault="00E53E38" w:rsidP="00E53E38">
      <w:pPr>
        <w:numPr>
          <w:ilvl w:val="0"/>
          <w:numId w:val="44"/>
        </w:numPr>
        <w:tabs>
          <w:tab w:val="left" w:pos="397"/>
        </w:tabs>
        <w:spacing w:before="120" w:after="100"/>
      </w:pPr>
      <w:r w:rsidRPr="00E53E38">
        <w:t>Gunbower–Koondrook–Perricoota Forest</w:t>
      </w:r>
    </w:p>
    <w:p w14:paraId="50F0A278" w14:textId="77777777" w:rsidR="00E53E38" w:rsidRPr="00E53E38" w:rsidRDefault="00E53E38" w:rsidP="00E53E38">
      <w:pPr>
        <w:numPr>
          <w:ilvl w:val="0"/>
          <w:numId w:val="44"/>
        </w:numPr>
        <w:tabs>
          <w:tab w:val="left" w:pos="397"/>
        </w:tabs>
        <w:spacing w:before="120" w:after="100"/>
      </w:pPr>
      <w:r w:rsidRPr="00E53E38">
        <w:t>Gwydir wetlands</w:t>
      </w:r>
    </w:p>
    <w:p w14:paraId="3A95B341" w14:textId="77777777" w:rsidR="00E53E38" w:rsidRPr="00E53E38" w:rsidRDefault="00E53E38" w:rsidP="00E53E38">
      <w:pPr>
        <w:numPr>
          <w:ilvl w:val="0"/>
          <w:numId w:val="44"/>
        </w:numPr>
        <w:tabs>
          <w:tab w:val="left" w:pos="397"/>
        </w:tabs>
        <w:spacing w:before="120" w:after="100"/>
      </w:pPr>
      <w:r w:rsidRPr="00E53E38">
        <w:t>Hattah Lakes</w:t>
      </w:r>
    </w:p>
    <w:p w14:paraId="1C0AA067" w14:textId="77777777" w:rsidR="00E53E38" w:rsidRPr="00E53E38" w:rsidRDefault="00E53E38" w:rsidP="00E53E38">
      <w:pPr>
        <w:numPr>
          <w:ilvl w:val="0"/>
          <w:numId w:val="44"/>
        </w:numPr>
        <w:tabs>
          <w:tab w:val="left" w:pos="397"/>
        </w:tabs>
        <w:spacing w:before="120" w:after="100"/>
      </w:pPr>
      <w:r w:rsidRPr="00E53E38">
        <w:t>Lachlan Swamp</w:t>
      </w:r>
    </w:p>
    <w:p w14:paraId="5EB85673" w14:textId="77777777" w:rsidR="00E53E38" w:rsidRPr="00E53E38" w:rsidRDefault="00E53E38" w:rsidP="00E53E38">
      <w:pPr>
        <w:numPr>
          <w:ilvl w:val="0"/>
          <w:numId w:val="44"/>
        </w:numPr>
        <w:tabs>
          <w:tab w:val="left" w:pos="397"/>
        </w:tabs>
        <w:spacing w:before="120" w:after="100"/>
      </w:pPr>
      <w:r w:rsidRPr="00E53E38">
        <w:t>Lindsay, Mulcra and Wallpolla islands</w:t>
      </w:r>
    </w:p>
    <w:p w14:paraId="60D95B1C" w14:textId="77777777" w:rsidR="00E53E38" w:rsidRPr="00E53E38" w:rsidRDefault="00E53E38" w:rsidP="00E53E38">
      <w:pPr>
        <w:numPr>
          <w:ilvl w:val="0"/>
          <w:numId w:val="44"/>
        </w:numPr>
        <w:tabs>
          <w:tab w:val="left" w:pos="397"/>
        </w:tabs>
        <w:spacing w:before="120" w:after="100"/>
      </w:pPr>
      <w:r w:rsidRPr="00E53E38">
        <w:t>Lower Loddon River</w:t>
      </w:r>
    </w:p>
    <w:p w14:paraId="0D891924" w14:textId="77777777" w:rsidR="00E53E38" w:rsidRPr="00E53E38" w:rsidRDefault="00E53E38" w:rsidP="00E53E38">
      <w:pPr>
        <w:numPr>
          <w:ilvl w:val="0"/>
          <w:numId w:val="44"/>
        </w:numPr>
        <w:tabs>
          <w:tab w:val="left" w:pos="397"/>
        </w:tabs>
        <w:spacing w:before="120" w:after="100"/>
      </w:pPr>
      <w:r w:rsidRPr="00E53E38">
        <w:t>Lower Balonne floodplain</w:t>
      </w:r>
    </w:p>
    <w:p w14:paraId="5F9636FE" w14:textId="77777777" w:rsidR="00E53E38" w:rsidRPr="00E53E38" w:rsidRDefault="00E53E38" w:rsidP="00E53E38">
      <w:pPr>
        <w:numPr>
          <w:ilvl w:val="0"/>
          <w:numId w:val="43"/>
        </w:numPr>
        <w:tabs>
          <w:tab w:val="left" w:pos="397"/>
        </w:tabs>
        <w:spacing w:before="120" w:after="100"/>
      </w:pPr>
      <w:r w:rsidRPr="00E53E38">
        <w:t>Lower Darling River</w:t>
      </w:r>
    </w:p>
    <w:p w14:paraId="20C8A1F7" w14:textId="77777777" w:rsidR="00E53E38" w:rsidRPr="00E53E38" w:rsidRDefault="00E53E38" w:rsidP="00E53E38">
      <w:pPr>
        <w:numPr>
          <w:ilvl w:val="0"/>
          <w:numId w:val="43"/>
        </w:numPr>
        <w:tabs>
          <w:tab w:val="left" w:pos="397"/>
        </w:tabs>
        <w:spacing w:before="120" w:after="100"/>
      </w:pPr>
      <w:r w:rsidRPr="00E53E38">
        <w:t>Lower Goulburn River</w:t>
      </w:r>
    </w:p>
    <w:p w14:paraId="4BFA4597" w14:textId="77777777" w:rsidR="00E53E38" w:rsidRPr="00E53E38" w:rsidRDefault="00E53E38" w:rsidP="00E53E38">
      <w:pPr>
        <w:numPr>
          <w:ilvl w:val="0"/>
          <w:numId w:val="43"/>
        </w:numPr>
        <w:tabs>
          <w:tab w:val="left" w:pos="397"/>
        </w:tabs>
        <w:spacing w:before="120" w:after="100"/>
      </w:pPr>
      <w:r w:rsidRPr="00E53E38">
        <w:t>Lower Murray (including Riverland Ramsar site and Chowilla)</w:t>
      </w:r>
    </w:p>
    <w:p w14:paraId="5B4C88EC" w14:textId="77777777" w:rsidR="00E53E38" w:rsidRPr="00E53E38" w:rsidRDefault="00E53E38" w:rsidP="00E53E38">
      <w:pPr>
        <w:numPr>
          <w:ilvl w:val="0"/>
          <w:numId w:val="43"/>
        </w:numPr>
        <w:tabs>
          <w:tab w:val="left" w:pos="397"/>
        </w:tabs>
        <w:spacing w:before="120" w:after="100"/>
      </w:pPr>
      <w:r w:rsidRPr="00E53E38">
        <w:t>Lower Murrumbidgee River and associated wetlands</w:t>
      </w:r>
    </w:p>
    <w:p w14:paraId="222DA220" w14:textId="77777777" w:rsidR="00E53E38" w:rsidRPr="00E53E38" w:rsidRDefault="00E53E38" w:rsidP="00E53E38">
      <w:pPr>
        <w:numPr>
          <w:ilvl w:val="0"/>
          <w:numId w:val="43"/>
        </w:numPr>
        <w:tabs>
          <w:tab w:val="left" w:pos="397"/>
        </w:tabs>
        <w:spacing w:before="120" w:after="100"/>
      </w:pPr>
      <w:r w:rsidRPr="00E53E38">
        <w:t>Macquarie Marshes</w:t>
      </w:r>
    </w:p>
    <w:p w14:paraId="4BB157AD" w14:textId="77777777" w:rsidR="00E53E38" w:rsidRPr="00E53E38" w:rsidRDefault="00E53E38" w:rsidP="00E53E38">
      <w:pPr>
        <w:numPr>
          <w:ilvl w:val="0"/>
          <w:numId w:val="43"/>
        </w:numPr>
        <w:tabs>
          <w:tab w:val="left" w:pos="397"/>
        </w:tabs>
        <w:spacing w:before="120" w:after="100"/>
      </w:pPr>
      <w:r w:rsidRPr="00E53E38">
        <w:t>Mid Murrumbidgee wetlands</w:t>
      </w:r>
    </w:p>
    <w:p w14:paraId="6D7D6E92" w14:textId="77777777" w:rsidR="00E53E38" w:rsidRPr="00E53E38" w:rsidRDefault="00E53E38" w:rsidP="00E53E38">
      <w:pPr>
        <w:numPr>
          <w:ilvl w:val="0"/>
          <w:numId w:val="43"/>
        </w:numPr>
        <w:tabs>
          <w:tab w:val="left" w:pos="397"/>
        </w:tabs>
        <w:spacing w:before="120" w:after="100"/>
      </w:pPr>
      <w:r w:rsidRPr="00E53E38">
        <w:t>Narran Lakes</w:t>
      </w:r>
    </w:p>
    <w:p w14:paraId="0007D85F" w14:textId="77777777" w:rsidR="00E53E38" w:rsidRPr="00E53E38" w:rsidRDefault="00E53E38" w:rsidP="00E53E38">
      <w:pPr>
        <w:numPr>
          <w:ilvl w:val="0"/>
          <w:numId w:val="43"/>
        </w:numPr>
        <w:tabs>
          <w:tab w:val="left" w:pos="397"/>
        </w:tabs>
        <w:spacing w:before="120" w:after="100"/>
      </w:pPr>
      <w:r w:rsidRPr="00E53E38">
        <w:t>Nimmie–Caira system</w:t>
      </w:r>
    </w:p>
    <w:p w14:paraId="48045568" w14:textId="77777777" w:rsidR="00E53E38" w:rsidRPr="00E53E38" w:rsidRDefault="00E53E38" w:rsidP="00E53E38">
      <w:pPr>
        <w:numPr>
          <w:ilvl w:val="0"/>
          <w:numId w:val="43"/>
        </w:numPr>
        <w:tabs>
          <w:tab w:val="left" w:pos="397"/>
        </w:tabs>
        <w:spacing w:before="120" w:after="100"/>
      </w:pPr>
      <w:r w:rsidRPr="00E53E38">
        <w:t>Warrego–Darling junction</w:t>
      </w:r>
    </w:p>
    <w:p w14:paraId="694D46A7" w14:textId="77777777" w:rsidR="00E53E38" w:rsidRPr="00E53E38" w:rsidRDefault="00E53E38" w:rsidP="00E53E38">
      <w:pPr>
        <w:numPr>
          <w:ilvl w:val="0"/>
          <w:numId w:val="43"/>
        </w:numPr>
        <w:tabs>
          <w:tab w:val="left" w:pos="397"/>
        </w:tabs>
        <w:spacing w:before="120" w:after="100"/>
      </w:pPr>
      <w:r w:rsidRPr="00E53E38">
        <w:t>Wimmera terminal wetlands</w:t>
      </w:r>
    </w:p>
    <w:p w14:paraId="549C7445" w14:textId="77777777" w:rsidR="00E53E38" w:rsidRPr="00E53E38" w:rsidRDefault="00E53E38" w:rsidP="00E53E38">
      <w:pPr>
        <w:sectPr w:rsidR="00E53E38" w:rsidRPr="00E53E38" w:rsidSect="00ED2B1B">
          <w:type w:val="continuous"/>
          <w:pgSz w:w="11906" w:h="16838"/>
          <w:pgMar w:top="1134" w:right="1134" w:bottom="1134" w:left="1134" w:header="624" w:footer="624" w:gutter="0"/>
          <w:cols w:num="2" w:space="708"/>
          <w:docGrid w:linePitch="360"/>
        </w:sectPr>
      </w:pPr>
    </w:p>
    <w:p w14:paraId="112561B9" w14:textId="77777777" w:rsidR="00E53E38" w:rsidRPr="00E53E38" w:rsidRDefault="00E53E38" w:rsidP="00E53E38">
      <w:pPr>
        <w:sectPr w:rsidR="00E53E38" w:rsidRPr="00E53E38" w:rsidSect="00ED2B1B">
          <w:type w:val="continuous"/>
          <w:pgSz w:w="11906" w:h="16838"/>
          <w:pgMar w:top="1134" w:right="1134" w:bottom="1134" w:left="1134" w:header="624" w:footer="624" w:gutter="0"/>
          <w:cols w:space="708"/>
          <w:docGrid w:linePitch="360"/>
        </w:sectPr>
      </w:pPr>
    </w:p>
    <w:p w14:paraId="6222A3D6" w14:textId="77777777" w:rsidR="00E53E38" w:rsidRPr="00E53E38" w:rsidRDefault="00E53E38" w:rsidP="00E53E38">
      <w:r w:rsidRPr="00E53E38">
        <w:t>The following sites were also considered but not included as potential candidate sites for the reasons identified:</w:t>
      </w:r>
    </w:p>
    <w:p w14:paraId="65F43A55" w14:textId="77777777" w:rsidR="00E53E38" w:rsidRPr="00E53E38" w:rsidRDefault="00E53E38" w:rsidP="00E53E38">
      <w:pPr>
        <w:numPr>
          <w:ilvl w:val="0"/>
          <w:numId w:val="52"/>
        </w:numPr>
        <w:tabs>
          <w:tab w:val="left" w:pos="397"/>
        </w:tabs>
        <w:spacing w:before="60" w:after="60"/>
      </w:pPr>
      <w:r w:rsidRPr="00E53E38">
        <w:t>Banrock Station wetland — Ramsar listed but small in size and therefore does not cover the full spectrum of riverine and floodplain components. Potential for inclusion as an extension to the Lower Murray site (if selected), but not considered a potential site in its own right.</w:t>
      </w:r>
    </w:p>
    <w:p w14:paraId="656EB6CD" w14:textId="77777777" w:rsidR="00E53E38" w:rsidRPr="00E53E38" w:rsidRDefault="00E53E38" w:rsidP="00E53E38">
      <w:pPr>
        <w:numPr>
          <w:ilvl w:val="0"/>
          <w:numId w:val="52"/>
        </w:numPr>
        <w:tabs>
          <w:tab w:val="left" w:pos="397"/>
        </w:tabs>
        <w:spacing w:before="60" w:after="60"/>
      </w:pPr>
      <w:r w:rsidRPr="00E53E38">
        <w:t>Ginini Flats — Ramsar listed, but as a sub-alpine bog it is not representative of priority environmental assets to receive water under the Basin Plan.</w:t>
      </w:r>
    </w:p>
    <w:p w14:paraId="6367D433" w14:textId="77777777" w:rsidR="00E53E38" w:rsidRPr="00E53E38" w:rsidRDefault="00E53E38" w:rsidP="00E53E38">
      <w:pPr>
        <w:numPr>
          <w:ilvl w:val="0"/>
          <w:numId w:val="52"/>
        </w:numPr>
        <w:tabs>
          <w:tab w:val="left" w:pos="397"/>
        </w:tabs>
        <w:spacing w:before="60" w:after="60"/>
      </w:pPr>
      <w:r w:rsidRPr="00E53E38">
        <w:t>Lower Ovens River — recognised for its high conservation values, but unlikely to receive significant environmental water under the Basin Plan. Potential for inclusion as an extension to the Barmah–Millewa Forest, but not considered a potential site in its own right.</w:t>
      </w:r>
    </w:p>
    <w:p w14:paraId="2144A0CA" w14:textId="77777777" w:rsidR="00E53E38" w:rsidRPr="00E53E38" w:rsidRDefault="00E53E38" w:rsidP="00E53E38">
      <w:pPr>
        <w:numPr>
          <w:ilvl w:val="0"/>
          <w:numId w:val="52"/>
        </w:numPr>
        <w:tabs>
          <w:tab w:val="left" w:pos="397"/>
        </w:tabs>
        <w:spacing w:before="60" w:after="60"/>
      </w:pPr>
      <w:r w:rsidRPr="00E53E38">
        <w:t>Paroo River and associated wetlands — Ramsar listed, but unlikely to receive environmental water under the Basin Plan.</w:t>
      </w:r>
    </w:p>
    <w:p w14:paraId="60D92D50" w14:textId="77777777" w:rsidR="00E53E38" w:rsidRPr="00E53E38" w:rsidRDefault="00E53E38" w:rsidP="00E53E38">
      <w:pPr>
        <w:keepNext/>
        <w:keepLines/>
        <w:numPr>
          <w:ilvl w:val="1"/>
          <w:numId w:val="56"/>
        </w:numPr>
        <w:spacing w:before="240"/>
        <w:ind w:left="426"/>
        <w:outlineLvl w:val="3"/>
        <w:rPr>
          <w:rFonts w:eastAsiaTheme="majorEastAsia" w:cstheme="majorBidi"/>
          <w:bCs/>
          <w:iCs/>
          <w:noProof/>
          <w:color w:val="00313C" w:themeColor="accent2"/>
          <w:spacing w:val="1"/>
          <w:sz w:val="32"/>
          <w:szCs w:val="32"/>
        </w:rPr>
      </w:pPr>
      <w:r w:rsidRPr="00E53E38">
        <w:rPr>
          <w:rFonts w:eastAsiaTheme="majorEastAsia" w:cstheme="majorBidi"/>
          <w:bCs/>
          <w:iCs/>
          <w:noProof/>
          <w:color w:val="00313C" w:themeColor="accent2"/>
          <w:spacing w:val="1"/>
          <w:sz w:val="32"/>
          <w:szCs w:val="32"/>
        </w:rPr>
        <w:t>Site selection criteria</w:t>
      </w:r>
    </w:p>
    <w:p w14:paraId="06AC3E4B" w14:textId="77777777" w:rsidR="00E53E38" w:rsidRPr="00E53E38" w:rsidRDefault="00E53E38" w:rsidP="00E53E38">
      <w:r w:rsidRPr="00E53E38">
        <w:t xml:space="preserve">The following criteria were used as the basis for evaluating the candidate sites and informing the selection of research sites for EWKR. </w:t>
      </w:r>
    </w:p>
    <w:p w14:paraId="18DE69C3" w14:textId="77777777" w:rsidR="00E53E38" w:rsidRPr="00E53E38" w:rsidRDefault="00E53E38" w:rsidP="00E53E38">
      <w:pPr>
        <w:rPr>
          <w:b/>
          <w:bCs/>
        </w:rPr>
      </w:pPr>
      <w:r w:rsidRPr="00E53E38">
        <w:rPr>
          <w:b/>
          <w:bCs/>
        </w:rPr>
        <w:t>Criterion 1: Recognised environmental significance, including in relation to the priority questions</w:t>
      </w:r>
    </w:p>
    <w:p w14:paraId="278C1F41" w14:textId="77777777" w:rsidR="00E53E38" w:rsidRPr="00E53E38" w:rsidRDefault="00E53E38" w:rsidP="00E53E38">
      <w:r w:rsidRPr="00E53E38">
        <w:t>This criterion was to ensure that the selected research sites were recognised as having the environmental characteristics and values associated with the proposed research themes, and questions and that the research focusses on sites that are of significance to Basin governments and communities.</w:t>
      </w:r>
    </w:p>
    <w:p w14:paraId="4597CA0B" w14:textId="77777777" w:rsidR="00E53E38" w:rsidRPr="00E53E38" w:rsidRDefault="00E53E38" w:rsidP="00E53E38">
      <w:pPr>
        <w:rPr>
          <w:u w:val="single"/>
        </w:rPr>
      </w:pPr>
      <w:r w:rsidRPr="00E53E38">
        <w:rPr>
          <w:u w:val="single"/>
        </w:rPr>
        <w:t>Indicators</w:t>
      </w:r>
    </w:p>
    <w:p w14:paraId="6B2EE222" w14:textId="77777777" w:rsidR="00E53E38" w:rsidRPr="00E53E38" w:rsidRDefault="00E53E38" w:rsidP="007642EE">
      <w:pPr>
        <w:numPr>
          <w:ilvl w:val="0"/>
          <w:numId w:val="65"/>
        </w:numPr>
        <w:tabs>
          <w:tab w:val="left" w:pos="397"/>
        </w:tabs>
        <w:spacing w:before="120" w:after="100"/>
      </w:pPr>
      <w:r w:rsidRPr="00E53E38">
        <w:t>Recognised values at the Basin scale</w:t>
      </w:r>
    </w:p>
    <w:p w14:paraId="00A61FE7" w14:textId="77777777" w:rsidR="00E53E38" w:rsidRPr="00E53E38" w:rsidRDefault="00E53E38" w:rsidP="00E53E38">
      <w:pPr>
        <w:numPr>
          <w:ilvl w:val="0"/>
          <w:numId w:val="46"/>
        </w:numPr>
        <w:tabs>
          <w:tab w:val="left" w:pos="397"/>
        </w:tabs>
        <w:spacing w:before="120" w:after="100"/>
      </w:pPr>
      <w:r w:rsidRPr="00E53E38">
        <w:t>Vegetation — contains large areas (greater than approximately 5000 ha) of multiple vegetation types including wetland, lignum and tree communities</w:t>
      </w:r>
    </w:p>
    <w:p w14:paraId="0022839D" w14:textId="77777777" w:rsidR="00E53E38" w:rsidRPr="00E53E38" w:rsidRDefault="00E53E38" w:rsidP="00E53E38">
      <w:pPr>
        <w:numPr>
          <w:ilvl w:val="0"/>
          <w:numId w:val="46"/>
        </w:numPr>
        <w:tabs>
          <w:tab w:val="left" w:pos="397"/>
        </w:tabs>
        <w:spacing w:before="120" w:after="100"/>
      </w:pPr>
      <w:r w:rsidRPr="00E53E38">
        <w:t>Fish — identified as an important Basin environmental asset for fish</w:t>
      </w:r>
    </w:p>
    <w:p w14:paraId="471FD555" w14:textId="77777777" w:rsidR="00E53E38" w:rsidRPr="00E53E38" w:rsidRDefault="00E53E38" w:rsidP="00E53E38">
      <w:pPr>
        <w:numPr>
          <w:ilvl w:val="0"/>
          <w:numId w:val="46"/>
        </w:numPr>
        <w:tabs>
          <w:tab w:val="left" w:pos="397"/>
        </w:tabs>
        <w:spacing w:before="120" w:after="100"/>
      </w:pPr>
      <w:r w:rsidRPr="00E53E38">
        <w:t>Waterbirds — identified as an important Basin environmental asset for waterbirds (particularly, recruitment of colonial nesting waterbirds)</w:t>
      </w:r>
    </w:p>
    <w:p w14:paraId="2B48052B" w14:textId="77777777" w:rsidR="00E53E38" w:rsidRPr="00E53E38" w:rsidRDefault="00E53E38" w:rsidP="007642EE">
      <w:pPr>
        <w:numPr>
          <w:ilvl w:val="0"/>
          <w:numId w:val="65"/>
        </w:numPr>
        <w:tabs>
          <w:tab w:val="left" w:pos="397"/>
        </w:tabs>
        <w:spacing w:before="120" w:after="100"/>
      </w:pPr>
      <w:r w:rsidRPr="00E53E38">
        <w:t>Formal recognition of significance</w:t>
      </w:r>
    </w:p>
    <w:p w14:paraId="04FB0430" w14:textId="77777777" w:rsidR="00E53E38" w:rsidRPr="00E53E38" w:rsidRDefault="00E53E38" w:rsidP="00E53E38">
      <w:pPr>
        <w:numPr>
          <w:ilvl w:val="0"/>
          <w:numId w:val="47"/>
        </w:numPr>
        <w:tabs>
          <w:tab w:val="left" w:pos="397"/>
        </w:tabs>
        <w:spacing w:before="120" w:after="100"/>
      </w:pPr>
      <w:r w:rsidRPr="00E53E38">
        <w:t>Ramsar listing</w:t>
      </w:r>
    </w:p>
    <w:p w14:paraId="2CDC5671" w14:textId="77777777" w:rsidR="00E53E38" w:rsidRPr="00E53E38" w:rsidRDefault="00E53E38" w:rsidP="00E53E38">
      <w:pPr>
        <w:numPr>
          <w:ilvl w:val="0"/>
          <w:numId w:val="47"/>
        </w:numPr>
        <w:tabs>
          <w:tab w:val="left" w:pos="397"/>
        </w:tabs>
        <w:spacing w:before="120" w:after="100"/>
      </w:pPr>
      <w:r w:rsidRPr="00E53E38">
        <w:t>The Living Murray icon site</w:t>
      </w:r>
    </w:p>
    <w:p w14:paraId="1BECFEF3" w14:textId="77777777" w:rsidR="00E53E38" w:rsidRPr="00E53E38" w:rsidRDefault="00E53E38" w:rsidP="007642EE">
      <w:pPr>
        <w:numPr>
          <w:ilvl w:val="0"/>
          <w:numId w:val="65"/>
        </w:numPr>
        <w:tabs>
          <w:tab w:val="left" w:pos="397"/>
        </w:tabs>
        <w:spacing w:before="120" w:after="100"/>
      </w:pPr>
      <w:r w:rsidRPr="00E53E38">
        <w:t>Other indicators</w:t>
      </w:r>
    </w:p>
    <w:p w14:paraId="6DFD7835" w14:textId="77777777" w:rsidR="00E53E38" w:rsidRPr="00E53E38" w:rsidRDefault="00E53E38" w:rsidP="00E53E38">
      <w:pPr>
        <w:numPr>
          <w:ilvl w:val="0"/>
          <w:numId w:val="48"/>
        </w:numPr>
        <w:tabs>
          <w:tab w:val="left" w:pos="397"/>
        </w:tabs>
        <w:spacing w:before="120" w:after="100"/>
      </w:pPr>
      <w:r w:rsidRPr="00E53E38">
        <w:t>Likely achievement of criteria for identifying environmental assets (Schedule 8 of the Basin Plan) — using the assessments undertaken by the MDBA in developing the Basin Plan as a guide (noting this assessment and outcomes have no formal significance)</w:t>
      </w:r>
    </w:p>
    <w:p w14:paraId="2FF9717B" w14:textId="77777777" w:rsidR="00E53E38" w:rsidRPr="00E53E38" w:rsidRDefault="00E53E38" w:rsidP="00E53E38">
      <w:pPr>
        <w:rPr>
          <w:b/>
          <w:bCs/>
        </w:rPr>
      </w:pPr>
      <w:r w:rsidRPr="00E53E38">
        <w:rPr>
          <w:b/>
          <w:bCs/>
        </w:rPr>
        <w:t>Criterion 2: Existing data and knowledge to support the proposed research questions and activities</w:t>
      </w:r>
    </w:p>
    <w:p w14:paraId="0F8348A3" w14:textId="77777777" w:rsidR="00E53E38" w:rsidRPr="00E53E38" w:rsidRDefault="00E53E38" w:rsidP="00E53E38">
      <w:r w:rsidRPr="00E53E38">
        <w:t>This criterion recognised that EWKR project would achieve the best outcomes where there was a high level of existing data and knowledge available to support the proposed research questions and activities, rather than a ‘greenfield’ site where resources will need to be directed to collecting baseline knowledge and information. Historical monitoring data and baseline data will be useful in identifying current and historical characteristics of the site (e.g. does the site support a target species of plant, fish or bird).</w:t>
      </w:r>
    </w:p>
    <w:p w14:paraId="3A865D99" w14:textId="77777777" w:rsidR="00E53E38" w:rsidRPr="00E53E38" w:rsidRDefault="00E53E38" w:rsidP="00E53E38">
      <w:pPr>
        <w:rPr>
          <w:u w:val="single"/>
        </w:rPr>
      </w:pPr>
      <w:r w:rsidRPr="00E53E38">
        <w:rPr>
          <w:u w:val="single"/>
        </w:rPr>
        <w:t>Indicators</w:t>
      </w:r>
    </w:p>
    <w:p w14:paraId="4FC17BE4" w14:textId="77777777" w:rsidR="00E53E38" w:rsidRPr="00E53E38" w:rsidRDefault="00E53E38" w:rsidP="007642EE">
      <w:pPr>
        <w:numPr>
          <w:ilvl w:val="0"/>
          <w:numId w:val="66"/>
        </w:numPr>
        <w:tabs>
          <w:tab w:val="left" w:pos="397"/>
        </w:tabs>
        <w:spacing w:before="120" w:after="100"/>
      </w:pPr>
      <w:r w:rsidRPr="00E53E38">
        <w:t>Inundation modelling and mapping — categorised according to the type of modelling or mapping available</w:t>
      </w:r>
    </w:p>
    <w:p w14:paraId="4CBAB457" w14:textId="77777777" w:rsidR="00E53E38" w:rsidRPr="00E53E38" w:rsidRDefault="00E53E38" w:rsidP="007642EE">
      <w:pPr>
        <w:numPr>
          <w:ilvl w:val="0"/>
          <w:numId w:val="66"/>
        </w:numPr>
        <w:tabs>
          <w:tab w:val="left" w:pos="397"/>
        </w:tabs>
        <w:spacing w:before="120" w:after="100"/>
      </w:pPr>
      <w:r w:rsidRPr="00E53E38">
        <w:t>Past monitoring and research activities — summary descriptions of available information under the themes of vegetation, fish and waterbirds</w:t>
      </w:r>
    </w:p>
    <w:p w14:paraId="31A557A1" w14:textId="77777777" w:rsidR="00E53E38" w:rsidRPr="00E53E38" w:rsidRDefault="00E53E38" w:rsidP="007642EE">
      <w:pPr>
        <w:numPr>
          <w:ilvl w:val="0"/>
          <w:numId w:val="66"/>
        </w:numPr>
        <w:tabs>
          <w:tab w:val="left" w:pos="397"/>
        </w:tabs>
        <w:spacing w:before="120" w:after="100"/>
      </w:pPr>
      <w:r w:rsidRPr="00E53E38">
        <w:t>Sustainable Rivers Audit — fish sites</w:t>
      </w:r>
    </w:p>
    <w:p w14:paraId="2F1F9627" w14:textId="77777777" w:rsidR="00E53E38" w:rsidRPr="00E53E38" w:rsidRDefault="00E53E38" w:rsidP="007642EE">
      <w:pPr>
        <w:numPr>
          <w:ilvl w:val="0"/>
          <w:numId w:val="66"/>
        </w:numPr>
        <w:tabs>
          <w:tab w:val="left" w:pos="397"/>
        </w:tabs>
        <w:spacing w:before="120" w:after="100"/>
      </w:pPr>
      <w:r w:rsidRPr="00E53E38">
        <w:t>State monitoring program sites — Victorian Environmental Flows Monitoring and Assessment Program (VEFMAP), Index of Stream Condition (ISC), NSW Integrated Monitoring and Environmental Flows (IMEF)</w:t>
      </w:r>
    </w:p>
    <w:p w14:paraId="69D027C3" w14:textId="77777777" w:rsidR="00E53E38" w:rsidRPr="00E53E38" w:rsidRDefault="00E53E38" w:rsidP="007642EE">
      <w:pPr>
        <w:numPr>
          <w:ilvl w:val="0"/>
          <w:numId w:val="66"/>
        </w:numPr>
        <w:tabs>
          <w:tab w:val="left" w:pos="397"/>
        </w:tabs>
        <w:spacing w:before="120" w:after="100"/>
      </w:pPr>
      <w:r w:rsidRPr="00E53E38">
        <w:t xml:space="preserve">Number of references identified in Google Scholar and Web of Science search engines — as general indicators of past research activities </w:t>
      </w:r>
    </w:p>
    <w:p w14:paraId="71925C9F" w14:textId="77777777" w:rsidR="00E53E38" w:rsidRPr="00E53E38" w:rsidRDefault="00E53E38" w:rsidP="007642EE">
      <w:pPr>
        <w:numPr>
          <w:ilvl w:val="0"/>
          <w:numId w:val="66"/>
        </w:numPr>
        <w:tabs>
          <w:tab w:val="left" w:pos="397"/>
        </w:tabs>
        <w:spacing w:before="120" w:after="100"/>
      </w:pPr>
      <w:r w:rsidRPr="00E53E38">
        <w:t>Basin Plan hydrologic indicator sites</w:t>
      </w:r>
    </w:p>
    <w:p w14:paraId="16F83879" w14:textId="77777777" w:rsidR="00E53E38" w:rsidRPr="00E53E38" w:rsidRDefault="00E53E38" w:rsidP="00E53E38">
      <w:pPr>
        <w:rPr>
          <w:b/>
          <w:bCs/>
        </w:rPr>
      </w:pPr>
      <w:r w:rsidRPr="00E53E38">
        <w:rPr>
          <w:b/>
          <w:bCs/>
        </w:rPr>
        <w:t>Criterion 3: Alignment with current and future monitoring programs</w:t>
      </w:r>
    </w:p>
    <w:p w14:paraId="4B9B4569" w14:textId="77777777" w:rsidR="00E53E38" w:rsidRPr="00E53E38" w:rsidRDefault="00E53E38" w:rsidP="00E53E38">
      <w:r w:rsidRPr="00E53E38">
        <w:t>Recognising that the EWKR project was likely to achieve better research outcomes where it was aligned to other relevant monitoring and research programs. There may also be efficiencies in the coordination of activities, reducing costs for one or multiple programs.</w:t>
      </w:r>
    </w:p>
    <w:p w14:paraId="1EC2A39D" w14:textId="77777777" w:rsidR="00E53E38" w:rsidRPr="00E53E38" w:rsidRDefault="00E53E38" w:rsidP="00E53E38">
      <w:pPr>
        <w:rPr>
          <w:u w:val="single"/>
        </w:rPr>
      </w:pPr>
      <w:r w:rsidRPr="00E53E38">
        <w:rPr>
          <w:u w:val="single"/>
        </w:rPr>
        <w:t>Indicators</w:t>
      </w:r>
    </w:p>
    <w:p w14:paraId="2C0B890A" w14:textId="77777777" w:rsidR="00E53E38" w:rsidRPr="00E53E38" w:rsidRDefault="00E53E38" w:rsidP="007642EE">
      <w:pPr>
        <w:numPr>
          <w:ilvl w:val="0"/>
          <w:numId w:val="67"/>
        </w:numPr>
        <w:tabs>
          <w:tab w:val="left" w:pos="397"/>
        </w:tabs>
        <w:spacing w:before="120" w:after="100"/>
      </w:pPr>
      <w:r w:rsidRPr="00E53E38">
        <w:t>Commonwealth Environmental Water Office (CEWO) Long Term Intervention Monitoring (LTIM) sites</w:t>
      </w:r>
    </w:p>
    <w:p w14:paraId="519517A7" w14:textId="77777777" w:rsidR="00E53E38" w:rsidRPr="00E53E38" w:rsidRDefault="00E53E38" w:rsidP="007642EE">
      <w:pPr>
        <w:numPr>
          <w:ilvl w:val="0"/>
          <w:numId w:val="67"/>
        </w:numPr>
        <w:tabs>
          <w:tab w:val="left" w:pos="397"/>
        </w:tabs>
        <w:spacing w:before="120" w:after="100"/>
      </w:pPr>
      <w:r w:rsidRPr="00E53E38">
        <w:t>MDBA Basin Plan fish and bird monitoring sites</w:t>
      </w:r>
    </w:p>
    <w:p w14:paraId="5FB94565" w14:textId="77777777" w:rsidR="00E53E38" w:rsidRPr="00E53E38" w:rsidRDefault="00E53E38" w:rsidP="007642EE">
      <w:pPr>
        <w:numPr>
          <w:ilvl w:val="0"/>
          <w:numId w:val="67"/>
        </w:numPr>
        <w:tabs>
          <w:tab w:val="left" w:pos="397"/>
        </w:tabs>
        <w:spacing w:before="120" w:after="100"/>
      </w:pPr>
      <w:r w:rsidRPr="00E53E38">
        <w:t>Other — including state Basin Plan monitoring sites, where these are known</w:t>
      </w:r>
    </w:p>
    <w:p w14:paraId="61A82AD3" w14:textId="77777777" w:rsidR="00E53E38" w:rsidRPr="00E53E38" w:rsidRDefault="00E53E38" w:rsidP="00E53E38">
      <w:pPr>
        <w:rPr>
          <w:b/>
          <w:bCs/>
        </w:rPr>
      </w:pPr>
      <w:r w:rsidRPr="00E53E38">
        <w:rPr>
          <w:b/>
          <w:bCs/>
        </w:rPr>
        <w:t>Criterion 4: Geographic spread of sites</w:t>
      </w:r>
    </w:p>
    <w:p w14:paraId="0B7FD984" w14:textId="77777777" w:rsidR="00E53E38" w:rsidRPr="00E53E38" w:rsidRDefault="00E53E38" w:rsidP="00E53E38">
      <w:r w:rsidRPr="00E53E38">
        <w:t>The objective of EWKR to provide knowledge that is transferable across the Basin (noting that there will be some limitations on the extent to which knowledge will be transferable from site to site) required a spread of sites across the Basin within different regions and bioregions. The objective for this was to identify if responses/drivers differ across the Basin, and the extent to which outcomes are representative and transferable.</w:t>
      </w:r>
    </w:p>
    <w:p w14:paraId="42C84FE8" w14:textId="77777777" w:rsidR="00E53E38" w:rsidRPr="00E53E38" w:rsidRDefault="00E53E38" w:rsidP="00E53E38">
      <w:pPr>
        <w:rPr>
          <w:u w:val="single"/>
        </w:rPr>
      </w:pPr>
      <w:r w:rsidRPr="00E53E38">
        <w:rPr>
          <w:u w:val="single"/>
        </w:rPr>
        <w:t>Indicators</w:t>
      </w:r>
    </w:p>
    <w:p w14:paraId="19AE3E8A" w14:textId="77777777" w:rsidR="00E53E38" w:rsidRPr="00E53E38" w:rsidRDefault="00E53E38" w:rsidP="007642EE">
      <w:pPr>
        <w:numPr>
          <w:ilvl w:val="0"/>
          <w:numId w:val="68"/>
        </w:numPr>
        <w:tabs>
          <w:tab w:val="left" w:pos="397"/>
        </w:tabs>
        <w:spacing w:before="120" w:after="100"/>
      </w:pPr>
      <w:r w:rsidRPr="00E53E38">
        <w:t>Basin region — south (Murray and southern tributaries), central (Murrumbidgee, Lachlan, Macquarie) or north (Darling and northern tributaries)</w:t>
      </w:r>
    </w:p>
    <w:p w14:paraId="4CA20402" w14:textId="77777777" w:rsidR="00E53E38" w:rsidRPr="00E53E38" w:rsidRDefault="00E53E38" w:rsidP="00E53E38">
      <w:pPr>
        <w:keepNext/>
        <w:keepLines/>
        <w:numPr>
          <w:ilvl w:val="1"/>
          <w:numId w:val="56"/>
        </w:numPr>
        <w:spacing w:before="240"/>
        <w:ind w:left="426"/>
        <w:outlineLvl w:val="3"/>
        <w:rPr>
          <w:rFonts w:eastAsiaTheme="majorEastAsia" w:cstheme="majorBidi"/>
          <w:bCs/>
          <w:iCs/>
          <w:noProof/>
          <w:color w:val="00313C" w:themeColor="accent2"/>
          <w:spacing w:val="1"/>
          <w:sz w:val="32"/>
          <w:szCs w:val="32"/>
        </w:rPr>
      </w:pPr>
      <w:r w:rsidRPr="00E53E38">
        <w:rPr>
          <w:rFonts w:eastAsiaTheme="majorEastAsia" w:cstheme="majorBidi"/>
          <w:bCs/>
          <w:iCs/>
          <w:noProof/>
          <w:color w:val="00313C" w:themeColor="accent2"/>
          <w:spacing w:val="1"/>
          <w:sz w:val="32"/>
          <w:szCs w:val="32"/>
        </w:rPr>
        <w:t>Selected sites</w:t>
      </w:r>
    </w:p>
    <w:p w14:paraId="7E808C53" w14:textId="77777777" w:rsidR="00E53E38" w:rsidRPr="00E53E38" w:rsidRDefault="00E53E38" w:rsidP="00E53E38">
      <w:r w:rsidRPr="00E53E38">
        <w:t xml:space="preserve">The sites that were selected are listed below and shown in Figure 1, the exact boundaries of the research sites were fluid to the consideration of how best able to support the research and provide effective alignment with past and future monitoring and research activities. This means the scale of the sites are not truly defined – as the option to reduce or expand from the identified boundaries listed below was given to enhance research opportunities within the EWKR project. </w:t>
      </w:r>
    </w:p>
    <w:p w14:paraId="249456EC" w14:textId="77777777" w:rsidR="00E53E38" w:rsidRPr="00E53E38" w:rsidRDefault="00E53E38" w:rsidP="00E53E38">
      <w:pPr>
        <w:rPr>
          <w:b/>
          <w:bCs/>
        </w:rPr>
      </w:pPr>
      <w:r w:rsidRPr="00E53E38">
        <w:rPr>
          <w:b/>
          <w:bCs/>
        </w:rPr>
        <w:t>Southern basin</w:t>
      </w:r>
    </w:p>
    <w:p w14:paraId="69D75E7E" w14:textId="77777777" w:rsidR="00E53E38" w:rsidRPr="00E53E38" w:rsidRDefault="00E53E38" w:rsidP="00E53E38">
      <w:r w:rsidRPr="00E53E38">
        <w:t xml:space="preserve">The Living Murray icon sites and adjacent river reaches evaluated strongly against the criteria used due to the size, recognised environmental significance and scale of past investment in data collection, monitoring and research. </w:t>
      </w:r>
    </w:p>
    <w:p w14:paraId="065101E9" w14:textId="77777777" w:rsidR="00E53E38" w:rsidRPr="00E53E38" w:rsidRDefault="00E53E38" w:rsidP="00E53E38">
      <w:r w:rsidRPr="00E53E38">
        <w:t>The two sites selected in the southern basin were:</w:t>
      </w:r>
    </w:p>
    <w:p w14:paraId="6CC2FDF7" w14:textId="77777777" w:rsidR="00E53E38" w:rsidRPr="00E53E38" w:rsidRDefault="00E53E38" w:rsidP="00E53E38">
      <w:pPr>
        <w:numPr>
          <w:ilvl w:val="0"/>
          <w:numId w:val="52"/>
        </w:numPr>
        <w:tabs>
          <w:tab w:val="left" w:pos="397"/>
        </w:tabs>
        <w:spacing w:before="60" w:after="60"/>
      </w:pPr>
      <w:r w:rsidRPr="00E53E38">
        <w:t>the Mid Murray centred around Barmah–Millewa Forest and potentially including lower reaches of adjacent tributaries (Goulburn, Campaspe and Ovens) and parts of the Edward–Wakool system.</w:t>
      </w:r>
    </w:p>
    <w:p w14:paraId="0F95E106" w14:textId="77777777" w:rsidR="00E53E38" w:rsidRPr="00E53E38" w:rsidRDefault="00E53E38" w:rsidP="00E53E38">
      <w:pPr>
        <w:numPr>
          <w:ilvl w:val="0"/>
          <w:numId w:val="52"/>
        </w:numPr>
        <w:tabs>
          <w:tab w:val="left" w:pos="397"/>
        </w:tabs>
        <w:spacing w:before="60" w:after="60"/>
      </w:pPr>
      <w:r w:rsidRPr="00E53E38">
        <w:t>the Lower Murray centred around the Chowilla–Lindsay–Wallpolla floodplain and potentially including the Riverland Ramsar site and adjacent floodplain systems and river reaches.</w:t>
      </w:r>
    </w:p>
    <w:p w14:paraId="03E65310" w14:textId="77777777" w:rsidR="00E53E38" w:rsidRPr="00E53E38" w:rsidRDefault="00E53E38" w:rsidP="00E53E38">
      <w:pPr>
        <w:rPr>
          <w:b/>
          <w:bCs/>
        </w:rPr>
      </w:pPr>
    </w:p>
    <w:p w14:paraId="360D42E9" w14:textId="77777777" w:rsidR="00E53E38" w:rsidRPr="00E53E38" w:rsidRDefault="00E53E38" w:rsidP="00E53E38">
      <w:pPr>
        <w:rPr>
          <w:b/>
          <w:bCs/>
        </w:rPr>
      </w:pPr>
    </w:p>
    <w:p w14:paraId="35CCC407" w14:textId="77777777" w:rsidR="00E53E38" w:rsidRPr="00E53E38" w:rsidRDefault="00E53E38" w:rsidP="00E53E38">
      <w:pPr>
        <w:rPr>
          <w:b/>
          <w:bCs/>
        </w:rPr>
      </w:pPr>
      <w:r w:rsidRPr="00E53E38">
        <w:rPr>
          <w:b/>
          <w:bCs/>
        </w:rPr>
        <w:t>Central basin</w:t>
      </w:r>
    </w:p>
    <w:p w14:paraId="0B892327" w14:textId="77777777" w:rsidR="00E53E38" w:rsidRPr="00E53E38" w:rsidRDefault="00E53E38" w:rsidP="00E53E38">
      <w:r w:rsidRPr="00E53E38">
        <w:t>Within the central basin, the Macquarie Marshes evaluated most favourably against the stated criteria. The marshes are recognised as being internationally important under the Ramsar Convention because of their size, diversity of wetland types, extent of wetland communities and large-scale colonial waterbird breeding events.</w:t>
      </w:r>
    </w:p>
    <w:p w14:paraId="27164425" w14:textId="77777777" w:rsidR="00E53E38" w:rsidRPr="00E53E38" w:rsidRDefault="00E53E38" w:rsidP="00E53E38">
      <w:r w:rsidRPr="00E53E38">
        <w:t>The selected site for the central basin was:</w:t>
      </w:r>
    </w:p>
    <w:p w14:paraId="1C410307" w14:textId="77777777" w:rsidR="00E53E38" w:rsidRPr="00E53E38" w:rsidRDefault="00E53E38" w:rsidP="00E53E38">
      <w:pPr>
        <w:numPr>
          <w:ilvl w:val="0"/>
          <w:numId w:val="53"/>
        </w:numPr>
        <w:spacing w:after="160"/>
        <w:contextualSpacing/>
      </w:pPr>
      <w:r w:rsidRPr="00E53E38">
        <w:t xml:space="preserve">the Macquarie Marshes that is one of the largest semi-permanent freshwater wetlands in south-east Australia. </w:t>
      </w:r>
    </w:p>
    <w:p w14:paraId="051DF73E" w14:textId="77777777" w:rsidR="00E53E38" w:rsidRPr="00E53E38" w:rsidRDefault="00E53E38" w:rsidP="00E53E38">
      <w:r w:rsidRPr="00E53E38">
        <w:t>The Lower Murrumbidgee, including the Nimmie–Caira system, also evaluated highly. However, the Lower Murrumbidgee at the time did not have the same depth of historical research activity as the Macquarie Marshes. The more northern location of the Macquarie Marshes also provided a better geographic spread across the Basin.</w:t>
      </w:r>
    </w:p>
    <w:p w14:paraId="69A2B4E0" w14:textId="77777777" w:rsidR="00E53E38" w:rsidRPr="00E53E38" w:rsidRDefault="00E53E38" w:rsidP="00E53E38">
      <w:pPr>
        <w:rPr>
          <w:b/>
          <w:bCs/>
        </w:rPr>
      </w:pPr>
      <w:r w:rsidRPr="00E53E38">
        <w:rPr>
          <w:b/>
          <w:bCs/>
        </w:rPr>
        <w:t>Northern basin</w:t>
      </w:r>
    </w:p>
    <w:p w14:paraId="2201EDC9" w14:textId="77777777" w:rsidR="00E53E38" w:rsidRPr="00E53E38" w:rsidRDefault="00E53E38" w:rsidP="00E53E38">
      <w:r w:rsidRPr="00E53E38">
        <w:t xml:space="preserve">The Lower Balonne floodplain is identified as a research site for EWKR in the project funding agreement to facilitate delivery of the Queensland Floodplain Vegetation Water Requirements Project. Incorporating Narran Lakes given its recognised values in supporting waterbird breeding and recruitment, and available monitoring data and monitoring infrastructure. </w:t>
      </w:r>
    </w:p>
    <w:p w14:paraId="3F0C0DE3" w14:textId="77777777" w:rsidR="00E53E38" w:rsidRPr="00E53E38" w:rsidRDefault="00E53E38" w:rsidP="00E53E38">
      <w:r w:rsidRPr="00E53E38">
        <w:t>The selected site for the northern basin was:</w:t>
      </w:r>
    </w:p>
    <w:p w14:paraId="4C7D9D73" w14:textId="77777777" w:rsidR="00E53E38" w:rsidRPr="00E53E38" w:rsidRDefault="00E53E38" w:rsidP="00E53E38">
      <w:pPr>
        <w:numPr>
          <w:ilvl w:val="0"/>
          <w:numId w:val="53"/>
        </w:numPr>
        <w:spacing w:after="160"/>
        <w:contextualSpacing/>
      </w:pPr>
      <w:r w:rsidRPr="00E53E38">
        <w:t xml:space="preserve">the Lower Balonne floodplain including Narran Lakes. </w:t>
      </w:r>
    </w:p>
    <w:p w14:paraId="0A0E1268" w14:textId="77777777" w:rsidR="00E53E38" w:rsidRPr="00E53E38" w:rsidRDefault="00E53E38" w:rsidP="00E53E38">
      <w:pPr>
        <w:spacing w:before="120" w:after="100"/>
      </w:pPr>
      <w:r w:rsidRPr="00E53E38">
        <w:rPr>
          <w:noProof/>
        </w:rPr>
        <w:drawing>
          <wp:inline distT="0" distB="0" distL="0" distR="0" wp14:anchorId="45111174" wp14:editId="3AD75D37">
            <wp:extent cx="6646477" cy="47148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WKR_SiteReport_ResearchSiteLocations.tif"/>
                    <pic:cNvPicPr/>
                  </pic:nvPicPr>
                  <pic:blipFill>
                    <a:blip r:embed="rId30"/>
                    <a:stretch>
                      <a:fillRect/>
                    </a:stretch>
                  </pic:blipFill>
                  <pic:spPr>
                    <a:xfrm>
                      <a:off x="0" y="0"/>
                      <a:ext cx="6661123" cy="4725265"/>
                    </a:xfrm>
                    <a:prstGeom prst="rect">
                      <a:avLst/>
                    </a:prstGeom>
                  </pic:spPr>
                </pic:pic>
              </a:graphicData>
            </a:graphic>
          </wp:inline>
        </w:drawing>
      </w:r>
    </w:p>
    <w:p w14:paraId="58E4DA26" w14:textId="77777777" w:rsidR="00E53E38" w:rsidRPr="00E53E38" w:rsidRDefault="00E53E38" w:rsidP="00E53E38">
      <w:pPr>
        <w:spacing w:before="120" w:after="100"/>
      </w:pPr>
      <w:r w:rsidRPr="00E53E38">
        <w:rPr>
          <w:bCs/>
          <w:sz w:val="20"/>
          <w:szCs w:val="18"/>
        </w:rPr>
        <w:t>Figure 1. Overview of selected research site locations within the Murray</w:t>
      </w:r>
      <w:r w:rsidRPr="00E53E38">
        <w:t>–</w:t>
      </w:r>
      <w:r w:rsidRPr="00E53E38">
        <w:rPr>
          <w:bCs/>
          <w:sz w:val="20"/>
          <w:szCs w:val="18"/>
        </w:rPr>
        <w:t xml:space="preserve">Darling Basin. </w:t>
      </w:r>
    </w:p>
    <w:p w14:paraId="5E91D0C0" w14:textId="77777777" w:rsidR="00E53E38" w:rsidRPr="00E53E38" w:rsidRDefault="00E53E38" w:rsidP="00E53E38"/>
    <w:p w14:paraId="1B0233A3" w14:textId="77777777" w:rsidR="00E53E38" w:rsidRPr="00E53E38" w:rsidRDefault="00E53E38" w:rsidP="00E53E38">
      <w:pPr>
        <w:keepNext/>
        <w:keepLines/>
        <w:numPr>
          <w:ilvl w:val="0"/>
          <w:numId w:val="56"/>
        </w:numPr>
        <w:spacing w:before="240"/>
        <w:outlineLvl w:val="3"/>
        <w:rPr>
          <w:rFonts w:eastAsiaTheme="majorEastAsia" w:cstheme="majorBidi"/>
          <w:bCs/>
          <w:iCs/>
          <w:noProof/>
          <w:color w:val="00313C" w:themeColor="accent2"/>
          <w:spacing w:val="1"/>
          <w:sz w:val="44"/>
          <w:szCs w:val="44"/>
        </w:rPr>
      </w:pPr>
      <w:r w:rsidRPr="00E53E38">
        <w:rPr>
          <w:rFonts w:eastAsiaTheme="majorEastAsia" w:cstheme="majorBidi"/>
          <w:bCs/>
          <w:iCs/>
          <w:noProof/>
          <w:color w:val="00313C" w:themeColor="accent2"/>
          <w:spacing w:val="1"/>
          <w:sz w:val="44"/>
          <w:szCs w:val="44"/>
        </w:rPr>
        <w:t>Site Descriptions</w:t>
      </w:r>
    </w:p>
    <w:p w14:paraId="3E83BE8B" w14:textId="77777777" w:rsidR="00E53E38" w:rsidRPr="00E53E38" w:rsidRDefault="00E53E38" w:rsidP="00E53E38">
      <w:pPr>
        <w:keepNext/>
        <w:keepLines/>
        <w:numPr>
          <w:ilvl w:val="1"/>
          <w:numId w:val="56"/>
        </w:numPr>
        <w:spacing w:before="240"/>
        <w:ind w:left="426"/>
        <w:outlineLvl w:val="3"/>
        <w:rPr>
          <w:rFonts w:eastAsiaTheme="majorEastAsia" w:cstheme="majorBidi"/>
          <w:bCs/>
          <w:iCs/>
          <w:noProof/>
          <w:color w:val="00313C" w:themeColor="accent2"/>
          <w:spacing w:val="1"/>
          <w:sz w:val="32"/>
          <w:szCs w:val="32"/>
        </w:rPr>
      </w:pPr>
      <w:r w:rsidRPr="00E53E38">
        <w:rPr>
          <w:rFonts w:eastAsiaTheme="majorEastAsia" w:cstheme="majorBidi"/>
          <w:bCs/>
          <w:iCs/>
          <w:noProof/>
          <w:color w:val="00313C" w:themeColor="accent2"/>
          <w:spacing w:val="1"/>
          <w:sz w:val="32"/>
          <w:szCs w:val="32"/>
        </w:rPr>
        <w:t xml:space="preserve">Mid-Murray Site </w:t>
      </w:r>
    </w:p>
    <w:p w14:paraId="5F31BB87" w14:textId="77777777" w:rsidR="00E53E38" w:rsidRPr="00E53E38" w:rsidRDefault="00E53E38" w:rsidP="00E53E38">
      <w:pPr>
        <w:tabs>
          <w:tab w:val="left" w:pos="397"/>
        </w:tabs>
        <w:spacing w:before="60" w:after="60"/>
      </w:pPr>
      <w:r w:rsidRPr="00E53E38">
        <w:t>This site centred around the Barmah–Millewa Forest and included the lower reaches of the adjacent tributaries of the Goulburn, Campaspe and parts of the Edward–Wakool river systems. The research undertaken on the Ovens River is also included in this section as had been indicated as an option when candidate sites were identified.</w:t>
      </w:r>
    </w:p>
    <w:p w14:paraId="11F40C80" w14:textId="77777777" w:rsidR="00E53E38" w:rsidRPr="00E53E38" w:rsidRDefault="00E53E38" w:rsidP="00E53E38">
      <w:r w:rsidRPr="00E53E38">
        <w:t xml:space="preserve">The Barmah–Millewa Forest Icon Site supports the largest river red gum forest in Australia and is the largest and most intact freshwater floodplain system along the River Murray. The Victorian component of the Icon Site also supports the most extensive area of moira grass plains in the state, despite recent declines (MDBA 2012b). </w:t>
      </w:r>
    </w:p>
    <w:p w14:paraId="5A9057E6" w14:textId="77777777" w:rsidR="00E53E38" w:rsidRPr="00E53E38" w:rsidRDefault="00E53E38" w:rsidP="00E53E38">
      <w:r w:rsidRPr="00E53E38">
        <w:t>Ecological communities within the Barmah–Millewa Icon Site have evolved to use a variable flooding regime, dictated by the combination of natural seasonal flows and the effect of the Barmah Choke.</w:t>
      </w:r>
    </w:p>
    <w:p w14:paraId="6E8904BE" w14:textId="77777777" w:rsidR="00E53E38" w:rsidRPr="00E53E38" w:rsidRDefault="00E53E38" w:rsidP="00E53E38">
      <w:r w:rsidRPr="00E53E38">
        <w:rPr>
          <w:rFonts w:eastAsiaTheme="minorHAnsi" w:cs="Calibri"/>
        </w:rPr>
        <w:t>The Barmah</w:t>
      </w:r>
      <w:r w:rsidRPr="00E53E38">
        <w:t>–</w:t>
      </w:r>
      <w:r w:rsidRPr="00E53E38">
        <w:rPr>
          <w:rFonts w:eastAsiaTheme="minorHAnsi" w:cs="Calibri"/>
        </w:rPr>
        <w:t xml:space="preserve">Millewa Forest supports important species and habitats that are listed in international agreements such as Ramsar that includes vulnerable and endangered species (MDBA 2012a). </w:t>
      </w:r>
      <w:r w:rsidRPr="00E53E38">
        <w:t>At least 381 indigenous flora species and 221 indigenous vertebrate fauna species have been recorded in Barmah Forest including birds, fish and reptile (MDBA 2012b).</w:t>
      </w:r>
    </w:p>
    <w:p w14:paraId="1987E656" w14:textId="77777777" w:rsidR="00E53E38" w:rsidRPr="00E53E38" w:rsidRDefault="00E53E38" w:rsidP="00E53E38">
      <w:r w:rsidRPr="00E53E38">
        <w:t>When flooded, Barmah–Millewa Forest provides important feeding and breeding habitat for thousands of waterbirds. About 54 species have been recorded breeding in the forest, including 25 colonial nesting species. Barmah Forest regularly supports 1% of the population of Australian white ibis (</w:t>
      </w:r>
      <w:r w:rsidRPr="00E53E38">
        <w:rPr>
          <w:i/>
        </w:rPr>
        <w:t>Threskiornis molucca</w:t>
      </w:r>
      <w:r w:rsidRPr="00E53E38">
        <w:t>) and straw</w:t>
      </w:r>
      <w:r w:rsidRPr="00E53E38">
        <w:rPr>
          <w:rFonts w:ascii="MS Gothic" w:eastAsia="MS Gothic" w:hAnsi="MS Gothic" w:cs="MS Gothic" w:hint="eastAsia"/>
        </w:rPr>
        <w:t>-</w:t>
      </w:r>
      <w:r w:rsidRPr="00E53E38">
        <w:t>necked ibis (</w:t>
      </w:r>
      <w:r w:rsidRPr="00E53E38">
        <w:rPr>
          <w:i/>
        </w:rPr>
        <w:t>T. spinicollis</w:t>
      </w:r>
      <w:r w:rsidRPr="00E53E38">
        <w:t>) (MDBA 2012b).</w:t>
      </w:r>
    </w:p>
    <w:p w14:paraId="0D9C27B8" w14:textId="77777777" w:rsidR="00E53E38" w:rsidRPr="00E53E38" w:rsidRDefault="00E53E38" w:rsidP="00E53E38">
      <w:r w:rsidRPr="00E53E38">
        <w:t>The site also supports large numbers of migratory bird species, including 13 listed under international migratory bird treaties (China–Australia Migratory Bird Agreement, Japan–Australia Migratory Bird Agreement, and the Republic of Korea – Australia Migratory Bird Agreement) and 23 listed under the Bonn Convention on Migratory Species (MDBA 2012b).</w:t>
      </w:r>
    </w:p>
    <w:p w14:paraId="3AAC7358" w14:textId="77777777" w:rsidR="00E53E38" w:rsidRPr="00E53E38" w:rsidRDefault="00E53E38" w:rsidP="00E53E38">
      <w:pPr>
        <w:keepNext/>
        <w:keepLines/>
        <w:numPr>
          <w:ilvl w:val="1"/>
          <w:numId w:val="56"/>
        </w:numPr>
        <w:spacing w:before="240"/>
        <w:ind w:left="426"/>
        <w:outlineLvl w:val="3"/>
        <w:rPr>
          <w:rFonts w:eastAsiaTheme="majorEastAsia" w:cstheme="majorBidi"/>
          <w:bCs/>
          <w:iCs/>
          <w:noProof/>
          <w:color w:val="00313C" w:themeColor="accent2"/>
          <w:spacing w:val="1"/>
          <w:sz w:val="32"/>
          <w:szCs w:val="32"/>
        </w:rPr>
      </w:pPr>
      <w:r w:rsidRPr="00E53E38">
        <w:rPr>
          <w:rFonts w:eastAsiaTheme="majorEastAsia" w:cstheme="majorBidi"/>
          <w:bCs/>
          <w:iCs/>
          <w:noProof/>
          <w:color w:val="00313C" w:themeColor="accent2"/>
          <w:spacing w:val="1"/>
          <w:sz w:val="32"/>
          <w:szCs w:val="32"/>
        </w:rPr>
        <w:t>Lower Murray site</w:t>
      </w:r>
    </w:p>
    <w:p w14:paraId="04D1C4F9" w14:textId="77777777" w:rsidR="00E53E38" w:rsidRPr="00E53E38" w:rsidRDefault="00E53E38" w:rsidP="00E53E38">
      <w:pPr>
        <w:tabs>
          <w:tab w:val="left" w:pos="397"/>
        </w:tabs>
        <w:spacing w:before="60" w:after="60"/>
      </w:pPr>
      <w:r w:rsidRPr="00E53E38">
        <w:t>The Lower Murray site is centred around the Chowilla–Lindsay–Wallpolla floodplain and includes the Riverland Ramsar site and adjacent floodplain systems and river reaches, such as Hattah Lakes.</w:t>
      </w:r>
    </w:p>
    <w:p w14:paraId="7E7E3B4D" w14:textId="77777777" w:rsidR="00E53E38" w:rsidRPr="00E53E38" w:rsidRDefault="00E53E38" w:rsidP="00E53E38">
      <w:r w:rsidRPr="00E53E38">
        <w:t>The Lower River Murray extends from the junction of the Murray and Darling Rivers in Victoria downstream to the Lower Lakes in South Australia.</w:t>
      </w:r>
      <w:r w:rsidRPr="00E53E38">
        <w:rPr>
          <w:rFonts w:cs="ArialMT"/>
        </w:rPr>
        <w:t xml:space="preserve"> The site comprises of four floodplain areas: the Chowilla Floodplain and Lindsay</w:t>
      </w:r>
      <w:r w:rsidRPr="00E53E38">
        <w:t>–</w:t>
      </w:r>
      <w:r w:rsidRPr="00E53E38">
        <w:rPr>
          <w:rFonts w:cs="ArialMT"/>
        </w:rPr>
        <w:t>Mulcra</w:t>
      </w:r>
      <w:r w:rsidRPr="00E53E38">
        <w:t>–</w:t>
      </w:r>
      <w:r w:rsidRPr="00E53E38">
        <w:rPr>
          <w:rFonts w:cs="ArialMT"/>
        </w:rPr>
        <w:t xml:space="preserve">Wallpolla Islands. </w:t>
      </w:r>
    </w:p>
    <w:p w14:paraId="4BB5F7AD" w14:textId="77777777" w:rsidR="00E53E38" w:rsidRPr="00E53E38" w:rsidRDefault="00E53E38" w:rsidP="00E53E38">
      <w:pPr>
        <w:rPr>
          <w:rFonts w:eastAsiaTheme="minorHAnsi"/>
        </w:rPr>
      </w:pPr>
      <w:r w:rsidRPr="00E53E38">
        <w:rPr>
          <w:rFonts w:eastAsiaTheme="minorHAnsi"/>
        </w:rPr>
        <w:t>The Lower River Murray channel and the island anabranch environments support significant populations of native fish. In particular, these areas provide valuable habitat for Murray cod (</w:t>
      </w:r>
      <w:r w:rsidRPr="00E53E38">
        <w:rPr>
          <w:rFonts w:eastAsiaTheme="minorHAnsi"/>
          <w:i/>
          <w:iCs/>
        </w:rPr>
        <w:t>Maccullochella peelii peelii</w:t>
      </w:r>
      <w:r w:rsidRPr="00E53E38">
        <w:rPr>
          <w:rFonts w:eastAsiaTheme="minorHAnsi"/>
        </w:rPr>
        <w:t xml:space="preserve">), providing important habitat for a wide range of size-classes (Zampatti et al. 2008; Newall et al. 2009; Zampatti et al. 2011). This attribute is considered to be somewhat rare since regulation of the River Murray and is largely restricted to the Lower River Murray and other Ramsar sites. </w:t>
      </w:r>
    </w:p>
    <w:p w14:paraId="1EEB87AF" w14:textId="77777777" w:rsidR="00E53E38" w:rsidRPr="00E53E38" w:rsidRDefault="00E53E38" w:rsidP="00E53E38">
      <w:pPr>
        <w:rPr>
          <w:rFonts w:eastAsiaTheme="minorHAnsi"/>
        </w:rPr>
      </w:pPr>
      <w:r w:rsidRPr="00E53E38">
        <w:rPr>
          <w:rFonts w:eastAsiaTheme="minorHAnsi"/>
        </w:rPr>
        <w:t>The Chowilla Floodplain and Lindsay</w:t>
      </w:r>
      <w:r w:rsidRPr="00E53E38">
        <w:t>–</w:t>
      </w:r>
      <w:r w:rsidRPr="00E53E38">
        <w:rPr>
          <w:rFonts w:eastAsiaTheme="minorHAnsi"/>
        </w:rPr>
        <w:t>Mulcra</w:t>
      </w:r>
      <w:r w:rsidRPr="00E53E38">
        <w:t>–</w:t>
      </w:r>
      <w:r w:rsidRPr="00E53E38">
        <w:rPr>
          <w:rFonts w:eastAsiaTheme="minorHAnsi"/>
        </w:rPr>
        <w:t>Wallpolla Islands are dominated by river red gum woodland, lignum shrublands, black box woodlands and grasslands. A total of 28 threatened wetland plant species have been reported on Lindsay Island (SKM 2003; MDBA 2012d).</w:t>
      </w:r>
    </w:p>
    <w:p w14:paraId="4CC10443" w14:textId="77777777" w:rsidR="00E53E38" w:rsidRPr="00E53E38" w:rsidRDefault="00E53E38" w:rsidP="00E53E38">
      <w:pPr>
        <w:rPr>
          <w:rFonts w:eastAsiaTheme="minorHAnsi"/>
        </w:rPr>
      </w:pPr>
      <w:r w:rsidRPr="00E53E38">
        <w:rPr>
          <w:rFonts w:eastAsiaTheme="minorHAnsi"/>
        </w:rPr>
        <w:t>The Chowilla Floodplain and Lindsay</w:t>
      </w:r>
      <w:r w:rsidRPr="00E53E38">
        <w:t>–</w:t>
      </w:r>
      <w:r w:rsidRPr="00E53E38">
        <w:rPr>
          <w:rFonts w:eastAsiaTheme="minorHAnsi"/>
        </w:rPr>
        <w:t>Mulcra</w:t>
      </w:r>
      <w:r w:rsidRPr="00E53E38">
        <w:t>–</w:t>
      </w:r>
      <w:r w:rsidRPr="00E53E38">
        <w:rPr>
          <w:rFonts w:eastAsiaTheme="minorHAnsi"/>
        </w:rPr>
        <w:t>Wallpolla Islands provide critical habitat for both nomadic and migratory waterbirds during times of drought in central and eastern Australia. This includes ‘stop‐over’ habitat for a number of migratory bird species listed under the Japan–Australia, China–Australia and Republic of Korea–Australia migratory bird agreements (Newall et al. 2009; Chowilla EWR 2012). Forty-nine species of birds, dependent upon water habitats, are known to use the Lindsay</w:t>
      </w:r>
      <w:r w:rsidRPr="00E53E38">
        <w:t>–</w:t>
      </w:r>
      <w:r w:rsidRPr="00E53E38">
        <w:rPr>
          <w:rFonts w:eastAsiaTheme="minorHAnsi"/>
        </w:rPr>
        <w:t>Mulcra</w:t>
      </w:r>
      <w:r w:rsidRPr="00E53E38">
        <w:t>–</w:t>
      </w:r>
      <w:r w:rsidRPr="00E53E38">
        <w:rPr>
          <w:rFonts w:eastAsiaTheme="minorHAnsi"/>
        </w:rPr>
        <w:t xml:space="preserve">Wallpolla floodplains for breeding, feeding and roosting. Of these, 40 are considered threatened in Victoria; 24 are listed under the </w:t>
      </w:r>
      <w:r w:rsidRPr="00E53E38">
        <w:rPr>
          <w:rFonts w:eastAsiaTheme="minorHAnsi"/>
          <w:i/>
          <w:iCs/>
        </w:rPr>
        <w:t xml:space="preserve">Flora and Fauna Guarantee Act 1988 </w:t>
      </w:r>
      <w:r w:rsidRPr="00E53E38">
        <w:rPr>
          <w:rFonts w:eastAsiaTheme="minorHAnsi"/>
        </w:rPr>
        <w:t xml:space="preserve">(Vic.) and three are listed under the </w:t>
      </w:r>
      <w:r w:rsidRPr="00E53E38">
        <w:rPr>
          <w:rFonts w:eastAsiaTheme="minorHAnsi"/>
          <w:i/>
          <w:iCs/>
        </w:rPr>
        <w:t>Environment Protection and</w:t>
      </w:r>
      <w:r w:rsidRPr="00E53E38">
        <w:rPr>
          <w:rFonts w:eastAsiaTheme="minorHAnsi"/>
        </w:rPr>
        <w:t xml:space="preserve"> </w:t>
      </w:r>
      <w:r w:rsidRPr="00E53E38">
        <w:rPr>
          <w:rFonts w:eastAsiaTheme="minorHAnsi"/>
          <w:i/>
          <w:iCs/>
        </w:rPr>
        <w:t xml:space="preserve">Biodiversity Conservation Act 1999 </w:t>
      </w:r>
      <w:r w:rsidRPr="00E53E38">
        <w:rPr>
          <w:rFonts w:eastAsiaTheme="minorHAnsi"/>
        </w:rPr>
        <w:t>(Cwlth) (Ecological Associates 2007; MDBA 2012c).</w:t>
      </w:r>
    </w:p>
    <w:p w14:paraId="23CD6751" w14:textId="77777777" w:rsidR="00E53E38" w:rsidRPr="00E53E38" w:rsidRDefault="00E53E38" w:rsidP="00E53E38">
      <w:pPr>
        <w:keepNext/>
        <w:keepLines/>
        <w:numPr>
          <w:ilvl w:val="1"/>
          <w:numId w:val="56"/>
        </w:numPr>
        <w:spacing w:before="240"/>
        <w:ind w:left="426"/>
        <w:outlineLvl w:val="3"/>
        <w:rPr>
          <w:rFonts w:eastAsiaTheme="majorEastAsia" w:cstheme="majorBidi"/>
          <w:bCs/>
          <w:iCs/>
          <w:noProof/>
          <w:color w:val="00313C" w:themeColor="accent2"/>
          <w:spacing w:val="1"/>
          <w:sz w:val="32"/>
          <w:szCs w:val="32"/>
        </w:rPr>
      </w:pPr>
      <w:r w:rsidRPr="00E53E38">
        <w:rPr>
          <w:rFonts w:eastAsiaTheme="majorEastAsia" w:cstheme="majorBidi"/>
          <w:bCs/>
          <w:iCs/>
          <w:noProof/>
          <w:color w:val="00313C" w:themeColor="accent2"/>
          <w:spacing w:val="1"/>
          <w:sz w:val="32"/>
          <w:szCs w:val="32"/>
        </w:rPr>
        <w:t xml:space="preserve">Macquarie Marshes site </w:t>
      </w:r>
    </w:p>
    <w:p w14:paraId="1A015443" w14:textId="77777777" w:rsidR="00E53E38" w:rsidRPr="00E53E38" w:rsidRDefault="00E53E38" w:rsidP="00E53E38">
      <w:pPr>
        <w:autoSpaceDE w:val="0"/>
        <w:autoSpaceDN w:val="0"/>
        <w:adjustRightInd w:val="0"/>
        <w:spacing w:after="0"/>
        <w:rPr>
          <w:rFonts w:cs="Calibri"/>
        </w:rPr>
      </w:pPr>
      <w:r w:rsidRPr="00E53E38">
        <w:t xml:space="preserve">The Macquarie Marshes are a representative example of an inland floodplain wetland relying on water from a higher rainfall upper catchment and having extensive and changeable wetlands in the semi-arid lowland reaches. They are unique in terms of both their size (approximately 200,000 ha) and their diversity of wetland types. The Macquarie Marshes contain a variety of habitats including </w:t>
      </w:r>
      <w:r w:rsidRPr="00E53E38">
        <w:rPr>
          <w:rFonts w:cs="Calibri"/>
        </w:rPr>
        <w:t>aquatic, riparian, floodplain and woodland, including Ramsar-listed wetlands and a diversity of ecologically valuable species.</w:t>
      </w:r>
    </w:p>
    <w:p w14:paraId="400A4CE8" w14:textId="77777777" w:rsidR="00E53E38" w:rsidRPr="00E53E38" w:rsidRDefault="00E53E38" w:rsidP="00E53E38">
      <w:r w:rsidRPr="00E53E38">
        <w:t>Any change to the process of water distribution to the Marshes will inevitably mean changes for the wetlands receiving that flow.</w:t>
      </w:r>
    </w:p>
    <w:p w14:paraId="66352D75" w14:textId="77777777" w:rsidR="00E53E38" w:rsidRPr="00E53E38" w:rsidRDefault="00E53E38" w:rsidP="00E53E38">
      <w:r w:rsidRPr="00E53E38">
        <w:t xml:space="preserve">The Macquarie Marshes is located in the area covered by the endangered ecological community listed under the NSW </w:t>
      </w:r>
      <w:r w:rsidRPr="00E53E38">
        <w:rPr>
          <w:i/>
          <w:iCs/>
        </w:rPr>
        <w:t xml:space="preserve">Fisheries Management Act 1994 </w:t>
      </w:r>
      <w:r w:rsidRPr="00E53E38">
        <w:t xml:space="preserve">as the ‘aquatic ecological community in the natural drainage system of the lowland catchment of the Darling River’. This community covers all native fish and aquatic invertebrates and the natural rivers, creeks, lagoons, billabongs, wetlands, lakes, tributaries, anabranches and effluents in which they live. Densities of microinvertebrates in recently inundated floodplain habitats are amongst the highest recorded in the world (Jenkins and Wolfenden 2006). </w:t>
      </w:r>
    </w:p>
    <w:p w14:paraId="211DBECB" w14:textId="77777777" w:rsidR="00E53E38" w:rsidRPr="00E53E38" w:rsidRDefault="00E53E38" w:rsidP="00E53E38">
      <w:r w:rsidRPr="00E53E38">
        <w:t>Vegetation includes extensive areas of common reed, water couch, stands of cumbungi,</w:t>
      </w:r>
      <w:r w:rsidRPr="00E53E38">
        <w:rPr>
          <w:iCs/>
        </w:rPr>
        <w:t xml:space="preserve"> </w:t>
      </w:r>
      <w:r w:rsidRPr="00E53E38">
        <w:t>river red gum forests and woodlands, lignum and river cooba shrubland</w:t>
      </w:r>
      <w:r w:rsidRPr="00E53E38">
        <w:rPr>
          <w:i/>
          <w:iCs/>
        </w:rPr>
        <w:t xml:space="preserve"> </w:t>
      </w:r>
      <w:r w:rsidRPr="00E53E38">
        <w:rPr>
          <w:iCs/>
        </w:rPr>
        <w:t xml:space="preserve">that all </w:t>
      </w:r>
      <w:r w:rsidRPr="00E53E38">
        <w:t xml:space="preserve">provide critical habitat for waterbirds and other wetland animals in the Marshes (NSW Department of Environment, Climate Change and Water 2010). </w:t>
      </w:r>
    </w:p>
    <w:p w14:paraId="0D2D2AB2" w14:textId="77777777" w:rsidR="00E53E38" w:rsidRPr="00E53E38" w:rsidRDefault="00E53E38" w:rsidP="00E53E38">
      <w:r w:rsidRPr="00E53E38">
        <w:t>The Macquarie Marshes are one of the more important wetlands in Australia for breeding of colonial nesting waterbirds (Kingsford and Auld 2005). Seventy-six waterbird species have been recorded in the Marshes, 42 of which have been recorded breeding. This includes species that are listed as threatened in New South Wales and nationally, as well as the only recorded pied heron (</w:t>
      </w:r>
      <w:r w:rsidRPr="00E53E38">
        <w:rPr>
          <w:i/>
        </w:rPr>
        <w:t>Ardea</w:t>
      </w:r>
      <w:r w:rsidRPr="00E53E38">
        <w:t xml:space="preserve"> </w:t>
      </w:r>
      <w:r w:rsidRPr="00E53E38">
        <w:rPr>
          <w:i/>
        </w:rPr>
        <w:t>picata</w:t>
      </w:r>
      <w:r w:rsidRPr="00E53E38">
        <w:t xml:space="preserve">) breeding in New South Wales (NSW Department of Environment, Climate Change and Water 2010). </w:t>
      </w:r>
    </w:p>
    <w:p w14:paraId="18CBA3F1" w14:textId="77777777" w:rsidR="00E53E38" w:rsidRPr="00E53E38" w:rsidRDefault="00E53E38" w:rsidP="00E53E38">
      <w:r w:rsidRPr="00E53E38">
        <w:t>The Macquarie Marshes have long been regarded as an important refuge for waterbirds during dry times, as well as supporting some of Australia’s largest recorded waterbird breeding colonies (Macquarie Marshes Investigation Committee 1951; Marchant and Higgins 1990; Kingsford and Johnson 1998; Kingsford and Auld 2005).</w:t>
      </w:r>
    </w:p>
    <w:p w14:paraId="575D0DA5" w14:textId="77777777" w:rsidR="00E53E38" w:rsidRPr="00E53E38" w:rsidRDefault="00E53E38" w:rsidP="00E53E38">
      <w:pPr>
        <w:keepNext/>
        <w:keepLines/>
        <w:numPr>
          <w:ilvl w:val="1"/>
          <w:numId w:val="56"/>
        </w:numPr>
        <w:spacing w:before="240"/>
        <w:ind w:left="426"/>
        <w:outlineLvl w:val="3"/>
        <w:rPr>
          <w:rFonts w:eastAsiaTheme="majorEastAsia" w:cstheme="majorBidi"/>
          <w:bCs/>
          <w:iCs/>
          <w:noProof/>
          <w:color w:val="00313C" w:themeColor="accent2"/>
          <w:spacing w:val="1"/>
          <w:sz w:val="32"/>
          <w:szCs w:val="32"/>
        </w:rPr>
      </w:pPr>
      <w:r w:rsidRPr="00E53E38">
        <w:rPr>
          <w:rFonts w:eastAsiaTheme="majorEastAsia" w:cstheme="majorBidi"/>
          <w:bCs/>
          <w:iCs/>
          <w:noProof/>
          <w:color w:val="00313C" w:themeColor="accent2"/>
          <w:spacing w:val="1"/>
          <w:sz w:val="32"/>
          <w:szCs w:val="32"/>
        </w:rPr>
        <w:t xml:space="preserve">Lower Balonne floodplain including Narran Lakes site </w:t>
      </w:r>
    </w:p>
    <w:p w14:paraId="27E15C84" w14:textId="77777777" w:rsidR="00E53E38" w:rsidRPr="00E53E38" w:rsidRDefault="00E53E38" w:rsidP="00E53E38">
      <w:pPr>
        <w:spacing w:before="120" w:after="100"/>
      </w:pPr>
      <w:r w:rsidRPr="00E53E38">
        <w:t xml:space="preserve">The Lower Balonne Floodplain forms the most southerly portion of the Condamine Balonne catchment ranging from St George to the Queensland Border. It is essentially a large floodplain wetland complex (Thoms et al. 2002). It supports the largest number of wetlands greater than five hectares in size within the Murray Darling Basin. </w:t>
      </w:r>
    </w:p>
    <w:p w14:paraId="0BA70B2C" w14:textId="77777777" w:rsidR="00E53E38" w:rsidRPr="00E53E38" w:rsidRDefault="00E53E38" w:rsidP="00E53E38">
      <w:pPr>
        <w:spacing w:before="120" w:after="100"/>
      </w:pPr>
      <w:r w:rsidRPr="00E53E38">
        <w:t xml:space="preserve">Narran Lake Nature Reserve forms part of the Condamine Balonne catchment in the central north of NSW, between Brewarrina and Walgett. It is comprised of Narran Lake and the Northern Lakes: Clear Lake, Back Lake, Long Arm and the interconnecting channels and lignum floodplains (Merret et al. 2009). Significantly it provides waterbird habitat and refuge for species of conservation concern. The lakes are surrounded by extensive expanses of channelised wetlands. Surrounding the wetlands are extensive and dense stands of lignum and less extensive stands of river red gum. </w:t>
      </w:r>
    </w:p>
    <w:p w14:paraId="7F01C615" w14:textId="4B66BA97" w:rsidR="00E53E38" w:rsidRPr="00E53E38" w:rsidRDefault="00E53E38" w:rsidP="00E53E38">
      <w:pPr>
        <w:spacing w:before="120" w:after="100"/>
      </w:pPr>
      <w:r w:rsidRPr="00E53E38">
        <w:t xml:space="preserve">Flooding frequency defines and structures ecosystem types in the Lower Balonne Floodplain with types ranging from river red gum, coolabah and lignum communities in the high flood frequency regions to open grasslands in the less flooded regions (Sims and Thoms 2002; Sims 2004). </w:t>
      </w:r>
    </w:p>
    <w:p w14:paraId="02192179" w14:textId="77777777" w:rsidR="00E53E38" w:rsidRPr="00E53E38" w:rsidRDefault="00E53E38" w:rsidP="00E53E38">
      <w:pPr>
        <w:keepNext/>
        <w:keepLines/>
        <w:numPr>
          <w:ilvl w:val="0"/>
          <w:numId w:val="56"/>
        </w:numPr>
        <w:spacing w:before="240"/>
        <w:outlineLvl w:val="3"/>
        <w:rPr>
          <w:rFonts w:eastAsiaTheme="majorEastAsia" w:cstheme="majorBidi"/>
          <w:bCs/>
          <w:iCs/>
          <w:noProof/>
          <w:color w:val="00313C" w:themeColor="accent2"/>
          <w:spacing w:val="1"/>
          <w:sz w:val="44"/>
          <w:szCs w:val="44"/>
        </w:rPr>
      </w:pPr>
      <w:r w:rsidRPr="00E53E38">
        <w:rPr>
          <w:rFonts w:eastAsiaTheme="majorEastAsia" w:cstheme="majorBidi"/>
          <w:bCs/>
          <w:iCs/>
          <w:noProof/>
          <w:color w:val="00313C" w:themeColor="accent2"/>
          <w:spacing w:val="1"/>
          <w:sz w:val="44"/>
          <w:szCs w:val="44"/>
        </w:rPr>
        <w:t>Relationship between sites and questions</w:t>
      </w:r>
    </w:p>
    <w:p w14:paraId="1925CC97" w14:textId="77777777" w:rsidR="00E53E38" w:rsidRPr="00E53E38" w:rsidRDefault="00E53E38" w:rsidP="00E53E38">
      <w:r w:rsidRPr="00E53E38">
        <w:t>Not all priority research questions and topics were to be explored at the four sites. For some topics, the proposed research approach is one of laboratory experiments and/or data analysis activities that are not defined by the boundaries of the four sites. For the other topics, some sites may not contain the necessary environmental characteristics to support the research and/or may not have the necessary existing information to enable the proposed research. In addition, there is the issue of getting value for money and the potential value of focussing on a number of sites, rather than spreading resources thinly across all four sites.</w:t>
      </w:r>
    </w:p>
    <w:p w14:paraId="5A268816" w14:textId="7C8FD71C" w:rsidR="00E53E38" w:rsidRPr="00E53E38" w:rsidRDefault="005031A5" w:rsidP="00E53E38">
      <w:r>
        <w:t xml:space="preserve">Table 1 </w:t>
      </w:r>
      <w:r w:rsidR="00E53E38" w:rsidRPr="00E53E38">
        <w:t xml:space="preserve">shows the sites and priority research topics where fieldwork was undertaken during the EWKR project. </w:t>
      </w:r>
    </w:p>
    <w:p w14:paraId="133F8C8F" w14:textId="33307EF6" w:rsidR="00E53E38" w:rsidRPr="005031A5" w:rsidRDefault="00E53E38" w:rsidP="00E53E38">
      <w:pPr>
        <w:spacing w:before="120"/>
        <w:rPr>
          <w:rFonts w:asciiTheme="minorHAnsi" w:eastAsia="Times New Roman" w:hAnsiTheme="minorHAnsi" w:cstheme="minorHAnsi"/>
          <w:color w:val="auto"/>
          <w:lang w:val="en-GB" w:eastAsia="en-GB"/>
        </w:rPr>
      </w:pPr>
      <w:r w:rsidRPr="00E53E38">
        <w:rPr>
          <w:rFonts w:asciiTheme="minorHAnsi" w:eastAsia="Times New Roman" w:hAnsiTheme="minorHAnsi" w:cstheme="minorHAnsi"/>
          <w:color w:val="auto"/>
          <w:szCs w:val="24"/>
          <w:lang w:val="en-GB" w:eastAsia="en-GB"/>
        </w:rPr>
        <w:t xml:space="preserve">All fieldwork sites conducted as part of the EWKR project, irrespective of whether they occurred in the four broad-scale sites, are shown in the following Basin-scale </w:t>
      </w:r>
      <w:r w:rsidRPr="00E53E38">
        <w:rPr>
          <w:rFonts w:asciiTheme="minorHAnsi" w:eastAsia="Times New Roman" w:hAnsiTheme="minorHAnsi" w:cstheme="minorHAnsi"/>
          <w:color w:val="auto"/>
          <w:lang w:val="en-GB" w:eastAsia="en-GB"/>
        </w:rPr>
        <w:t>maps</w:t>
      </w:r>
      <w:r w:rsidRPr="005031A5">
        <w:rPr>
          <w:rFonts w:asciiTheme="minorHAnsi" w:eastAsia="Times New Roman" w:hAnsiTheme="minorHAnsi" w:cstheme="minorHAnsi"/>
          <w:color w:val="auto"/>
          <w:lang w:val="en-GB" w:eastAsia="en-GB"/>
        </w:rPr>
        <w:t xml:space="preserve"> (</w:t>
      </w:r>
      <w:r w:rsidR="005031A5" w:rsidRPr="005031A5">
        <w:rPr>
          <w:rFonts w:asciiTheme="minorHAnsi" w:eastAsia="Times New Roman" w:hAnsiTheme="minorHAnsi" w:cstheme="minorHAnsi"/>
          <w:color w:val="auto"/>
          <w:lang w:val="en-GB" w:eastAsia="en-GB"/>
        </w:rPr>
        <w:t>Figure 1 and Figure 2</w:t>
      </w:r>
      <w:r w:rsidRPr="005031A5">
        <w:rPr>
          <w:rFonts w:asciiTheme="minorHAnsi" w:eastAsia="Times New Roman" w:hAnsiTheme="minorHAnsi" w:cstheme="minorHAnsi"/>
          <w:color w:val="auto"/>
          <w:lang w:val="en-GB" w:eastAsia="en-GB"/>
        </w:rPr>
        <w:t xml:space="preserve">). A list of sites corresponding to these maps is provided in Appendix 1. </w:t>
      </w:r>
    </w:p>
    <w:p w14:paraId="08001841" w14:textId="6DA2BAC5" w:rsidR="00E53E38" w:rsidRPr="00E53E38" w:rsidRDefault="00E53E38" w:rsidP="00E53E38">
      <w:pPr>
        <w:keepNext/>
        <w:spacing w:before="120"/>
        <w:contextualSpacing/>
        <w:rPr>
          <w:bCs/>
          <w:color w:val="auto"/>
          <w:sz w:val="20"/>
          <w:szCs w:val="18"/>
        </w:rPr>
      </w:pPr>
      <w:bookmarkStart w:id="107" w:name="_Ref17200070"/>
      <w:r w:rsidRPr="00E53E38">
        <w:rPr>
          <w:bCs/>
          <w:noProof/>
          <w:color w:val="auto"/>
          <w:sz w:val="20"/>
          <w:szCs w:val="18"/>
        </w:rPr>
        <mc:AlternateContent>
          <mc:Choice Requires="wps">
            <w:drawing>
              <wp:anchor distT="45720" distB="45720" distL="114300" distR="114300" simplePos="0" relativeHeight="251861504" behindDoc="1" locked="0" layoutInCell="1" allowOverlap="1" wp14:anchorId="731FEB28" wp14:editId="2A8D581E">
                <wp:simplePos x="0" y="0"/>
                <wp:positionH relativeFrom="margin">
                  <wp:posOffset>-91440</wp:posOffset>
                </wp:positionH>
                <wp:positionV relativeFrom="paragraph">
                  <wp:posOffset>3065145</wp:posOffset>
                </wp:positionV>
                <wp:extent cx="6591300" cy="4572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57200"/>
                        </a:xfrm>
                        <a:prstGeom prst="rect">
                          <a:avLst/>
                        </a:prstGeom>
                        <a:solidFill>
                          <a:srgbClr val="FFFFFF"/>
                        </a:solidFill>
                        <a:ln w="9525">
                          <a:noFill/>
                          <a:miter lim="800000"/>
                          <a:headEnd/>
                          <a:tailEnd/>
                        </a:ln>
                      </wps:spPr>
                      <wps:txbx>
                        <w:txbxContent>
                          <w:p w14:paraId="3779647C" w14:textId="77777777" w:rsidR="00662A36" w:rsidRPr="00EF79FA" w:rsidRDefault="00662A36" w:rsidP="00E53E38">
                            <w:pPr>
                              <w:rPr>
                                <w:sz w:val="18"/>
                                <w:szCs w:val="18"/>
                              </w:rPr>
                            </w:pPr>
                            <w:r w:rsidRPr="00EF79FA">
                              <w:rPr>
                                <w:sz w:val="18"/>
                                <w:szCs w:val="18"/>
                                <w:vertAlign w:val="superscript"/>
                              </w:rPr>
                              <w:t>1</w:t>
                            </w:r>
                            <w:r w:rsidRPr="00EF79FA">
                              <w:rPr>
                                <w:sz w:val="18"/>
                                <w:szCs w:val="18"/>
                              </w:rPr>
                              <w:t>Lower Balonne on trees and lignum; Lower Murray, Macquarie Marshes &amp; Narran Lakes had lignum assessed; lignum communities not relevant to the Mid Murray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FEB28" id="_x0000_s1028" type="#_x0000_t202" style="position:absolute;margin-left:-7.2pt;margin-top:241.35pt;width:519pt;height:36pt;z-index:-25145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" stroked="f">
                <v:textbox>
                  <w:txbxContent>
                    <w:p w14:paraId="3779647C" w14:textId="77777777" w:rsidR="00662A36" w:rsidRPr="00EF79FA" w:rsidRDefault="00662A36" w:rsidP="00E53E38">
                      <w:pPr>
                        <w:rPr>
                          <w:sz w:val="18"/>
                          <w:szCs w:val="18"/>
                        </w:rPr>
                      </w:pPr>
                      <w:r w:rsidRPr="00EF79FA">
                        <w:rPr>
                          <w:sz w:val="18"/>
                          <w:szCs w:val="18"/>
                          <w:vertAlign w:val="superscript"/>
                        </w:rPr>
                        <w:t>1</w:t>
                      </w:r>
                      <w:r w:rsidRPr="00EF79FA">
                        <w:rPr>
                          <w:sz w:val="18"/>
                          <w:szCs w:val="18"/>
                        </w:rPr>
                        <w:t>Lower Balonne on trees and lignum; Lower Murray, Macquarie Marshes &amp; Narran Lakes had lignum assessed; lignum communities not relevant to the Mid Murray</w:t>
                      </w:r>
                    </w:p>
                  </w:txbxContent>
                </v:textbox>
                <w10:wrap anchorx="margin"/>
              </v:shape>
            </w:pict>
          </mc:Fallback>
        </mc:AlternateContent>
      </w:r>
      <w:r w:rsidRPr="00E53E38">
        <w:rPr>
          <w:bCs/>
          <w:color w:val="auto"/>
          <w:sz w:val="20"/>
          <w:szCs w:val="18"/>
        </w:rPr>
        <w:t xml:space="preserve">Table </w:t>
      </w:r>
      <w:r w:rsidRPr="00E53E38">
        <w:rPr>
          <w:bCs/>
          <w:noProof/>
          <w:color w:val="auto"/>
          <w:sz w:val="20"/>
          <w:szCs w:val="18"/>
        </w:rPr>
        <w:fldChar w:fldCharType="begin"/>
      </w:r>
      <w:r w:rsidRPr="00E53E38">
        <w:rPr>
          <w:bCs/>
          <w:noProof/>
          <w:color w:val="auto"/>
          <w:sz w:val="20"/>
          <w:szCs w:val="18"/>
        </w:rPr>
        <w:instrText xml:space="preserve"> SEQ Table \* ARABIC </w:instrText>
      </w:r>
      <w:r w:rsidRPr="00E53E38">
        <w:rPr>
          <w:bCs/>
          <w:noProof/>
          <w:color w:val="auto"/>
          <w:sz w:val="20"/>
          <w:szCs w:val="18"/>
        </w:rPr>
        <w:fldChar w:fldCharType="separate"/>
      </w:r>
      <w:r w:rsidR="001976CD">
        <w:rPr>
          <w:bCs/>
          <w:noProof/>
          <w:color w:val="auto"/>
          <w:sz w:val="20"/>
          <w:szCs w:val="18"/>
        </w:rPr>
        <w:t>1</w:t>
      </w:r>
      <w:r w:rsidRPr="00E53E38">
        <w:rPr>
          <w:bCs/>
          <w:noProof/>
          <w:color w:val="auto"/>
          <w:sz w:val="20"/>
          <w:szCs w:val="18"/>
        </w:rPr>
        <w:fldChar w:fldCharType="end"/>
      </w:r>
      <w:bookmarkEnd w:id="107"/>
      <w:r w:rsidRPr="00E53E38">
        <w:rPr>
          <w:bCs/>
          <w:color w:val="auto"/>
          <w:sz w:val="20"/>
          <w:szCs w:val="18"/>
        </w:rPr>
        <w:t>. Sites and priority topics for fieldwork undertaken during the EWKR project.</w:t>
      </w:r>
    </w:p>
    <w:tbl>
      <w:tblPr>
        <w:tblStyle w:val="TableGrid10"/>
        <w:tblW w:w="9776" w:type="dxa"/>
        <w:tblLook w:val="0420" w:firstRow="1" w:lastRow="0" w:firstColumn="0" w:lastColumn="0" w:noHBand="0" w:noVBand="1"/>
      </w:tblPr>
      <w:tblGrid>
        <w:gridCol w:w="559"/>
        <w:gridCol w:w="3122"/>
        <w:gridCol w:w="1134"/>
        <w:gridCol w:w="1417"/>
        <w:gridCol w:w="1322"/>
        <w:gridCol w:w="2222"/>
      </w:tblGrid>
      <w:tr w:rsidR="00E53E38" w:rsidRPr="00E53E38" w14:paraId="15B97F53" w14:textId="77777777" w:rsidTr="00E53E38">
        <w:trPr>
          <w:trHeight w:val="266"/>
        </w:trPr>
        <w:tc>
          <w:tcPr>
            <w:tcW w:w="3681" w:type="dxa"/>
            <w:gridSpan w:val="2"/>
            <w:vMerge w:val="restart"/>
            <w:shd w:val="clear" w:color="auto" w:fill="D9D9D9" w:themeFill="background1" w:themeFillShade="D9"/>
            <w:vAlign w:val="center"/>
          </w:tcPr>
          <w:p w14:paraId="06AF21FA" w14:textId="77777777" w:rsidR="00E53E38" w:rsidRPr="00E53E38" w:rsidRDefault="00E53E38" w:rsidP="00E53E38">
            <w:pPr>
              <w:spacing w:after="0"/>
              <w:rPr>
                <w:rFonts w:asciiTheme="minorHAnsi" w:eastAsia="Times New Roman" w:hAnsiTheme="minorHAnsi" w:cs="Arial"/>
                <w:b/>
                <w:kern w:val="28"/>
                <w:lang w:eastAsia="en-US"/>
              </w:rPr>
            </w:pPr>
          </w:p>
        </w:tc>
        <w:tc>
          <w:tcPr>
            <w:tcW w:w="6095" w:type="dxa"/>
            <w:gridSpan w:val="4"/>
            <w:shd w:val="clear" w:color="auto" w:fill="D9D9D9" w:themeFill="background1" w:themeFillShade="D9"/>
            <w:vAlign w:val="center"/>
          </w:tcPr>
          <w:p w14:paraId="07B71551" w14:textId="77777777" w:rsidR="00E53E38" w:rsidRPr="00E53E38" w:rsidRDefault="00E53E38" w:rsidP="00E53E38">
            <w:pPr>
              <w:spacing w:after="0"/>
              <w:jc w:val="center"/>
              <w:rPr>
                <w:rFonts w:asciiTheme="minorHAnsi" w:eastAsia="Times New Roman" w:hAnsiTheme="minorHAnsi" w:cs="Arial"/>
                <w:b/>
                <w:bCs/>
                <w:kern w:val="28"/>
                <w:lang w:eastAsia="en-US"/>
              </w:rPr>
            </w:pPr>
            <w:r w:rsidRPr="00E53E38">
              <w:rPr>
                <w:rFonts w:asciiTheme="minorHAnsi" w:eastAsia="Times New Roman" w:hAnsiTheme="minorHAnsi" w:cs="Arial"/>
                <w:b/>
                <w:bCs/>
                <w:kern w:val="28"/>
                <w:lang w:eastAsia="en-US"/>
              </w:rPr>
              <w:t>EWKR fieldwork sites</w:t>
            </w:r>
          </w:p>
        </w:tc>
      </w:tr>
      <w:tr w:rsidR="00E53E38" w:rsidRPr="00E53E38" w14:paraId="62AB26FC" w14:textId="77777777" w:rsidTr="00E53E38">
        <w:trPr>
          <w:trHeight w:val="431"/>
        </w:trPr>
        <w:tc>
          <w:tcPr>
            <w:tcW w:w="3681" w:type="dxa"/>
            <w:gridSpan w:val="2"/>
            <w:vMerge/>
            <w:shd w:val="clear" w:color="auto" w:fill="D9D9D9" w:themeFill="background1" w:themeFillShade="D9"/>
            <w:vAlign w:val="center"/>
            <w:hideMark/>
          </w:tcPr>
          <w:p w14:paraId="08563DCA" w14:textId="77777777" w:rsidR="00E53E38" w:rsidRPr="00E53E38" w:rsidRDefault="00E53E38" w:rsidP="00E53E38">
            <w:pPr>
              <w:spacing w:after="0"/>
              <w:jc w:val="both"/>
              <w:rPr>
                <w:rFonts w:asciiTheme="minorHAnsi" w:eastAsia="Times New Roman" w:hAnsiTheme="minorHAnsi" w:cs="Arial"/>
                <w:b/>
                <w:kern w:val="28"/>
                <w:lang w:eastAsia="en-US"/>
              </w:rPr>
            </w:pPr>
          </w:p>
        </w:tc>
        <w:tc>
          <w:tcPr>
            <w:tcW w:w="1134" w:type="dxa"/>
            <w:shd w:val="clear" w:color="auto" w:fill="D9D9D9" w:themeFill="background1" w:themeFillShade="D9"/>
            <w:vAlign w:val="center"/>
            <w:hideMark/>
          </w:tcPr>
          <w:p w14:paraId="6F8D2F6B" w14:textId="77777777" w:rsidR="00E53E38" w:rsidRPr="00E53E38" w:rsidRDefault="00E53E38" w:rsidP="00E53E38">
            <w:pPr>
              <w:spacing w:after="0"/>
              <w:jc w:val="center"/>
              <w:rPr>
                <w:rFonts w:asciiTheme="minorHAnsi" w:eastAsia="Times New Roman" w:hAnsiTheme="minorHAnsi" w:cs="Arial"/>
                <w:b/>
                <w:kern w:val="28"/>
                <w:lang w:eastAsia="en-US"/>
              </w:rPr>
            </w:pPr>
            <w:r w:rsidRPr="00E53E38">
              <w:rPr>
                <w:rFonts w:asciiTheme="minorHAnsi" w:eastAsia="Times New Roman" w:hAnsiTheme="minorHAnsi" w:cs="Arial"/>
                <w:b/>
                <w:bCs/>
                <w:kern w:val="28"/>
                <w:lang w:eastAsia="en-US"/>
              </w:rPr>
              <w:t>Mid Murray</w:t>
            </w:r>
          </w:p>
        </w:tc>
        <w:tc>
          <w:tcPr>
            <w:tcW w:w="1417" w:type="dxa"/>
            <w:shd w:val="clear" w:color="auto" w:fill="D9D9D9" w:themeFill="background1" w:themeFillShade="D9"/>
            <w:vAlign w:val="center"/>
          </w:tcPr>
          <w:p w14:paraId="16610F30" w14:textId="77777777" w:rsidR="00E53E38" w:rsidRPr="00E53E38" w:rsidRDefault="00E53E38" w:rsidP="00E53E38">
            <w:pPr>
              <w:spacing w:after="0"/>
              <w:jc w:val="center"/>
              <w:rPr>
                <w:rFonts w:asciiTheme="minorHAnsi" w:eastAsia="Times New Roman" w:hAnsiTheme="minorHAnsi" w:cs="Arial"/>
                <w:b/>
                <w:bCs/>
                <w:kern w:val="28"/>
                <w:lang w:eastAsia="en-US"/>
              </w:rPr>
            </w:pPr>
            <w:r w:rsidRPr="00E53E38">
              <w:rPr>
                <w:rFonts w:asciiTheme="minorHAnsi" w:eastAsia="Times New Roman" w:hAnsiTheme="minorHAnsi" w:cs="Arial"/>
                <w:b/>
                <w:bCs/>
                <w:kern w:val="28"/>
                <w:lang w:eastAsia="en-US"/>
              </w:rPr>
              <w:t>Lower Murray</w:t>
            </w:r>
          </w:p>
        </w:tc>
        <w:tc>
          <w:tcPr>
            <w:tcW w:w="1322" w:type="dxa"/>
            <w:shd w:val="clear" w:color="auto" w:fill="D9D9D9" w:themeFill="background1" w:themeFillShade="D9"/>
            <w:vAlign w:val="center"/>
            <w:hideMark/>
          </w:tcPr>
          <w:p w14:paraId="24906CE5" w14:textId="77777777" w:rsidR="00E53E38" w:rsidRPr="00E53E38" w:rsidRDefault="00E53E38" w:rsidP="00E53E38">
            <w:pPr>
              <w:spacing w:after="0"/>
              <w:jc w:val="center"/>
              <w:rPr>
                <w:rFonts w:asciiTheme="minorHAnsi" w:eastAsia="Times New Roman" w:hAnsiTheme="minorHAnsi" w:cs="Arial"/>
                <w:b/>
                <w:kern w:val="28"/>
                <w:lang w:eastAsia="en-US"/>
              </w:rPr>
            </w:pPr>
            <w:r w:rsidRPr="00E53E38">
              <w:rPr>
                <w:rFonts w:asciiTheme="minorHAnsi" w:eastAsia="Times New Roman" w:hAnsiTheme="minorHAnsi" w:cs="Arial"/>
                <w:b/>
                <w:bCs/>
                <w:kern w:val="28"/>
                <w:lang w:eastAsia="en-US"/>
              </w:rPr>
              <w:t>Macquarie Marshes</w:t>
            </w:r>
          </w:p>
        </w:tc>
        <w:tc>
          <w:tcPr>
            <w:tcW w:w="2222" w:type="dxa"/>
            <w:shd w:val="clear" w:color="auto" w:fill="D9D9D9" w:themeFill="background1" w:themeFillShade="D9"/>
            <w:vAlign w:val="center"/>
            <w:hideMark/>
          </w:tcPr>
          <w:p w14:paraId="53AE5978" w14:textId="77777777" w:rsidR="00E53E38" w:rsidRPr="00E53E38" w:rsidRDefault="00E53E38" w:rsidP="00E53E38">
            <w:pPr>
              <w:spacing w:after="0"/>
              <w:jc w:val="center"/>
              <w:rPr>
                <w:rFonts w:asciiTheme="minorHAnsi" w:eastAsia="Times New Roman" w:hAnsiTheme="minorHAnsi" w:cs="Arial"/>
                <w:b/>
                <w:kern w:val="28"/>
                <w:lang w:eastAsia="en-US"/>
              </w:rPr>
            </w:pPr>
            <w:r w:rsidRPr="00E53E38">
              <w:rPr>
                <w:rFonts w:asciiTheme="minorHAnsi" w:eastAsia="Times New Roman" w:hAnsiTheme="minorHAnsi" w:cs="Arial"/>
                <w:b/>
                <w:bCs/>
                <w:kern w:val="28"/>
                <w:lang w:eastAsia="en-US"/>
              </w:rPr>
              <w:t>Lower Balonne, including Narran Lakes</w:t>
            </w:r>
          </w:p>
        </w:tc>
      </w:tr>
      <w:tr w:rsidR="00E53E38" w:rsidRPr="00E53E38" w14:paraId="45C1D720" w14:textId="77777777" w:rsidTr="00E53E38">
        <w:trPr>
          <w:trHeight w:val="170"/>
        </w:trPr>
        <w:tc>
          <w:tcPr>
            <w:tcW w:w="559" w:type="dxa"/>
            <w:vMerge w:val="restart"/>
            <w:textDirection w:val="btLr"/>
            <w:vAlign w:val="center"/>
            <w:hideMark/>
          </w:tcPr>
          <w:p w14:paraId="5B037BF2" w14:textId="77777777" w:rsidR="00E53E38" w:rsidRPr="00E53E38" w:rsidRDefault="00E53E38" w:rsidP="00E53E38">
            <w:pPr>
              <w:spacing w:after="0"/>
              <w:jc w:val="center"/>
              <w:rPr>
                <w:b/>
                <w:sz w:val="18"/>
              </w:rPr>
            </w:pPr>
            <w:r w:rsidRPr="00E53E38">
              <w:rPr>
                <w:b/>
                <w:sz w:val="18"/>
              </w:rPr>
              <w:t>Vegetation</w:t>
            </w:r>
          </w:p>
        </w:tc>
        <w:tc>
          <w:tcPr>
            <w:tcW w:w="3122" w:type="dxa"/>
            <w:vAlign w:val="center"/>
            <w:hideMark/>
          </w:tcPr>
          <w:p w14:paraId="2FB6CA0F" w14:textId="77777777" w:rsidR="00E53E38" w:rsidRPr="00E53E38" w:rsidRDefault="00E53E38" w:rsidP="00E53E38">
            <w:pPr>
              <w:spacing w:after="0"/>
              <w:rPr>
                <w:rFonts w:asciiTheme="minorHAnsi" w:eastAsia="Times New Roman" w:hAnsiTheme="minorHAnsi"/>
                <w:color w:val="auto"/>
                <w:lang w:eastAsia="en-US"/>
              </w:rPr>
            </w:pPr>
            <w:r w:rsidRPr="00E53E38">
              <w:rPr>
                <w:rFonts w:asciiTheme="minorHAnsi" w:eastAsia="Times New Roman" w:hAnsiTheme="minorHAnsi"/>
                <w:color w:val="auto"/>
                <w:lang w:eastAsia="en-US"/>
              </w:rPr>
              <w:t>Diversity (understorey)</w:t>
            </w:r>
          </w:p>
        </w:tc>
        <w:tc>
          <w:tcPr>
            <w:tcW w:w="1134" w:type="dxa"/>
            <w:vAlign w:val="center"/>
            <w:hideMark/>
          </w:tcPr>
          <w:p w14:paraId="12725E72" w14:textId="77777777" w:rsidR="00E53E38" w:rsidRPr="00E53E38" w:rsidRDefault="00E53E38" w:rsidP="00E53E38">
            <w:pPr>
              <w:spacing w:after="0"/>
              <w:jc w:val="center"/>
              <w:rPr>
                <w:sz w:val="24"/>
                <w:szCs w:val="24"/>
              </w:rPr>
            </w:pPr>
            <w:r w:rsidRPr="00E53E38">
              <w:rPr>
                <w:sz w:val="24"/>
                <w:szCs w:val="24"/>
              </w:rPr>
              <w:sym w:font="Wingdings" w:char="F0FC"/>
            </w:r>
          </w:p>
        </w:tc>
        <w:tc>
          <w:tcPr>
            <w:tcW w:w="1417" w:type="dxa"/>
            <w:vAlign w:val="center"/>
          </w:tcPr>
          <w:p w14:paraId="489DE958" w14:textId="77777777" w:rsidR="00E53E38" w:rsidRPr="00E53E38" w:rsidRDefault="00E53E38" w:rsidP="00E53E38">
            <w:pPr>
              <w:spacing w:after="0"/>
              <w:jc w:val="center"/>
              <w:rPr>
                <w:sz w:val="24"/>
                <w:szCs w:val="24"/>
              </w:rPr>
            </w:pPr>
            <w:r w:rsidRPr="00E53E38">
              <w:rPr>
                <w:sz w:val="24"/>
                <w:szCs w:val="24"/>
              </w:rPr>
              <w:sym w:font="Wingdings" w:char="F0FC"/>
            </w:r>
          </w:p>
        </w:tc>
        <w:tc>
          <w:tcPr>
            <w:tcW w:w="1322" w:type="dxa"/>
            <w:vAlign w:val="center"/>
            <w:hideMark/>
          </w:tcPr>
          <w:p w14:paraId="6D0DBC11" w14:textId="77777777" w:rsidR="00E53E38" w:rsidRPr="00E53E38" w:rsidRDefault="00E53E38" w:rsidP="00E53E38">
            <w:pPr>
              <w:spacing w:after="0"/>
              <w:jc w:val="center"/>
              <w:rPr>
                <w:sz w:val="24"/>
                <w:szCs w:val="24"/>
              </w:rPr>
            </w:pPr>
            <w:r w:rsidRPr="00E53E38">
              <w:rPr>
                <w:sz w:val="24"/>
                <w:szCs w:val="24"/>
              </w:rPr>
              <w:sym w:font="Wingdings" w:char="F0FC"/>
            </w:r>
          </w:p>
        </w:tc>
        <w:tc>
          <w:tcPr>
            <w:tcW w:w="2222" w:type="dxa"/>
            <w:vAlign w:val="center"/>
            <w:hideMark/>
          </w:tcPr>
          <w:p w14:paraId="42F4D5FB" w14:textId="77777777" w:rsidR="00E53E38" w:rsidRPr="00E53E38" w:rsidRDefault="00E53E38" w:rsidP="00E53E38">
            <w:pPr>
              <w:spacing w:after="0"/>
              <w:jc w:val="center"/>
              <w:rPr>
                <w:sz w:val="24"/>
                <w:szCs w:val="24"/>
              </w:rPr>
            </w:pPr>
            <w:r w:rsidRPr="00E53E38">
              <w:rPr>
                <w:sz w:val="24"/>
                <w:szCs w:val="24"/>
              </w:rPr>
              <w:sym w:font="Wingdings" w:char="F0FC"/>
            </w:r>
          </w:p>
        </w:tc>
      </w:tr>
      <w:tr w:rsidR="00E53E38" w:rsidRPr="00E53E38" w14:paraId="58C4A4D2" w14:textId="77777777" w:rsidTr="00E53E38">
        <w:trPr>
          <w:trHeight w:val="170"/>
        </w:trPr>
        <w:tc>
          <w:tcPr>
            <w:tcW w:w="559" w:type="dxa"/>
            <w:vMerge/>
            <w:vAlign w:val="center"/>
            <w:hideMark/>
          </w:tcPr>
          <w:p w14:paraId="3866B167" w14:textId="77777777" w:rsidR="00E53E38" w:rsidRPr="00E53E38" w:rsidRDefault="00E53E38" w:rsidP="00E53E38">
            <w:pPr>
              <w:spacing w:after="0"/>
              <w:jc w:val="center"/>
              <w:rPr>
                <w:b/>
                <w:sz w:val="18"/>
              </w:rPr>
            </w:pPr>
          </w:p>
        </w:tc>
        <w:tc>
          <w:tcPr>
            <w:tcW w:w="3122" w:type="dxa"/>
            <w:vAlign w:val="center"/>
            <w:hideMark/>
          </w:tcPr>
          <w:p w14:paraId="56B0A0E5" w14:textId="77777777" w:rsidR="00E53E38" w:rsidRPr="00E53E38" w:rsidRDefault="00E53E38" w:rsidP="00E53E38">
            <w:pPr>
              <w:spacing w:after="0"/>
              <w:rPr>
                <w:rFonts w:asciiTheme="minorHAnsi" w:eastAsia="Times New Roman" w:hAnsiTheme="minorHAnsi"/>
                <w:color w:val="auto"/>
                <w:vertAlign w:val="superscript"/>
                <w:lang w:eastAsia="en-US"/>
              </w:rPr>
            </w:pPr>
            <w:r w:rsidRPr="00E53E38">
              <w:rPr>
                <w:rFonts w:asciiTheme="minorHAnsi" w:eastAsia="Times New Roman" w:hAnsiTheme="minorHAnsi"/>
                <w:color w:val="auto"/>
                <w:lang w:eastAsia="en-US"/>
              </w:rPr>
              <w:t>Survival/condition (trees, lignum)</w:t>
            </w:r>
            <w:r w:rsidRPr="00E53E38">
              <w:rPr>
                <w:rFonts w:asciiTheme="minorHAnsi" w:eastAsia="Times New Roman" w:hAnsiTheme="minorHAnsi"/>
                <w:color w:val="auto"/>
                <w:vertAlign w:val="superscript"/>
                <w:lang w:eastAsia="en-US"/>
              </w:rPr>
              <w:t>1</w:t>
            </w:r>
          </w:p>
        </w:tc>
        <w:tc>
          <w:tcPr>
            <w:tcW w:w="1134" w:type="dxa"/>
            <w:vAlign w:val="center"/>
            <w:hideMark/>
          </w:tcPr>
          <w:p w14:paraId="51196149" w14:textId="77777777" w:rsidR="00E53E38" w:rsidRPr="00E53E38" w:rsidRDefault="00E53E38" w:rsidP="00E53E38">
            <w:pPr>
              <w:spacing w:after="0"/>
              <w:jc w:val="center"/>
              <w:rPr>
                <w:sz w:val="24"/>
                <w:szCs w:val="24"/>
              </w:rPr>
            </w:pPr>
            <w:r w:rsidRPr="00E53E38">
              <w:rPr>
                <w:sz w:val="24"/>
                <w:szCs w:val="24"/>
              </w:rPr>
              <w:sym w:font="Wingdings" w:char="F0FC"/>
            </w:r>
          </w:p>
        </w:tc>
        <w:tc>
          <w:tcPr>
            <w:tcW w:w="1417" w:type="dxa"/>
            <w:vAlign w:val="center"/>
          </w:tcPr>
          <w:p w14:paraId="55B5FD2B" w14:textId="77777777" w:rsidR="00E53E38" w:rsidRPr="00E53E38" w:rsidRDefault="00E53E38" w:rsidP="00E53E38">
            <w:pPr>
              <w:spacing w:after="0"/>
              <w:jc w:val="center"/>
              <w:rPr>
                <w:sz w:val="24"/>
                <w:szCs w:val="24"/>
              </w:rPr>
            </w:pPr>
            <w:r w:rsidRPr="00E53E38">
              <w:rPr>
                <w:sz w:val="24"/>
                <w:szCs w:val="24"/>
              </w:rPr>
              <w:sym w:font="Wingdings" w:char="F0FC"/>
            </w:r>
          </w:p>
        </w:tc>
        <w:tc>
          <w:tcPr>
            <w:tcW w:w="1322" w:type="dxa"/>
            <w:vAlign w:val="center"/>
          </w:tcPr>
          <w:p w14:paraId="41BE37AF" w14:textId="77777777" w:rsidR="00E53E38" w:rsidRPr="00E53E38" w:rsidRDefault="00E53E38" w:rsidP="00E53E38">
            <w:pPr>
              <w:spacing w:after="0"/>
              <w:jc w:val="center"/>
              <w:rPr>
                <w:sz w:val="24"/>
                <w:szCs w:val="24"/>
              </w:rPr>
            </w:pPr>
            <w:r w:rsidRPr="00E53E38">
              <w:rPr>
                <w:sz w:val="24"/>
                <w:szCs w:val="24"/>
              </w:rPr>
              <w:sym w:font="Wingdings" w:char="F0FC"/>
            </w:r>
          </w:p>
        </w:tc>
        <w:tc>
          <w:tcPr>
            <w:tcW w:w="2222" w:type="dxa"/>
            <w:vAlign w:val="center"/>
          </w:tcPr>
          <w:p w14:paraId="396AFEFB" w14:textId="77777777" w:rsidR="00E53E38" w:rsidRPr="00E53E38" w:rsidRDefault="00E53E38" w:rsidP="00E53E38">
            <w:pPr>
              <w:spacing w:after="0"/>
              <w:jc w:val="center"/>
              <w:rPr>
                <w:sz w:val="24"/>
                <w:szCs w:val="24"/>
              </w:rPr>
            </w:pPr>
            <w:r w:rsidRPr="00E53E38">
              <w:rPr>
                <w:sz w:val="24"/>
                <w:szCs w:val="24"/>
              </w:rPr>
              <w:sym w:font="Wingdings" w:char="F0FC"/>
            </w:r>
          </w:p>
        </w:tc>
      </w:tr>
      <w:tr w:rsidR="00E53E38" w:rsidRPr="00E53E38" w14:paraId="1CA15ABD" w14:textId="77777777" w:rsidTr="00E53E38">
        <w:trPr>
          <w:trHeight w:val="170"/>
        </w:trPr>
        <w:tc>
          <w:tcPr>
            <w:tcW w:w="559" w:type="dxa"/>
            <w:vMerge/>
            <w:vAlign w:val="center"/>
            <w:hideMark/>
          </w:tcPr>
          <w:p w14:paraId="0AF3EAA1" w14:textId="77777777" w:rsidR="00E53E38" w:rsidRPr="00E53E38" w:rsidRDefault="00E53E38" w:rsidP="00E53E38">
            <w:pPr>
              <w:spacing w:after="0"/>
              <w:jc w:val="center"/>
              <w:rPr>
                <w:b/>
                <w:sz w:val="18"/>
              </w:rPr>
            </w:pPr>
          </w:p>
        </w:tc>
        <w:tc>
          <w:tcPr>
            <w:tcW w:w="3122" w:type="dxa"/>
            <w:shd w:val="clear" w:color="auto" w:fill="auto"/>
            <w:vAlign w:val="center"/>
            <w:hideMark/>
          </w:tcPr>
          <w:p w14:paraId="4A7CC9E6" w14:textId="77777777" w:rsidR="00E53E38" w:rsidRPr="00E53E38" w:rsidRDefault="00E53E38" w:rsidP="00E53E38">
            <w:pPr>
              <w:spacing w:after="0"/>
              <w:rPr>
                <w:rFonts w:asciiTheme="minorHAnsi" w:eastAsia="Times New Roman" w:hAnsiTheme="minorHAnsi"/>
                <w:color w:val="auto"/>
                <w:lang w:eastAsia="en-US"/>
              </w:rPr>
            </w:pPr>
            <w:r w:rsidRPr="00E53E38">
              <w:rPr>
                <w:rFonts w:asciiTheme="minorHAnsi" w:eastAsia="Times New Roman" w:hAnsiTheme="minorHAnsi"/>
                <w:color w:val="auto"/>
                <w:lang w:eastAsia="en-US"/>
              </w:rPr>
              <w:t>Reproduction (trees, lignum)</w:t>
            </w:r>
          </w:p>
        </w:tc>
        <w:tc>
          <w:tcPr>
            <w:tcW w:w="1134" w:type="dxa"/>
            <w:shd w:val="clear" w:color="auto" w:fill="auto"/>
            <w:vAlign w:val="center"/>
            <w:hideMark/>
          </w:tcPr>
          <w:p w14:paraId="305A6B3A" w14:textId="77777777" w:rsidR="00E53E38" w:rsidRPr="00E53E38" w:rsidRDefault="00E53E38" w:rsidP="00E53E38">
            <w:pPr>
              <w:spacing w:after="0"/>
              <w:jc w:val="center"/>
              <w:rPr>
                <w:sz w:val="24"/>
                <w:szCs w:val="24"/>
              </w:rPr>
            </w:pPr>
            <w:r w:rsidRPr="00E53E38">
              <w:rPr>
                <w:sz w:val="24"/>
                <w:szCs w:val="24"/>
              </w:rPr>
              <w:sym w:font="Wingdings" w:char="F0FC"/>
            </w:r>
          </w:p>
        </w:tc>
        <w:tc>
          <w:tcPr>
            <w:tcW w:w="1417" w:type="dxa"/>
            <w:shd w:val="clear" w:color="auto" w:fill="auto"/>
            <w:vAlign w:val="center"/>
          </w:tcPr>
          <w:p w14:paraId="17D04E6A" w14:textId="77777777" w:rsidR="00E53E38" w:rsidRPr="00E53E38" w:rsidRDefault="00E53E38" w:rsidP="00E53E38">
            <w:pPr>
              <w:spacing w:after="0"/>
              <w:jc w:val="center"/>
              <w:rPr>
                <w:sz w:val="24"/>
                <w:szCs w:val="24"/>
              </w:rPr>
            </w:pPr>
            <w:r w:rsidRPr="00E53E38">
              <w:rPr>
                <w:sz w:val="24"/>
                <w:szCs w:val="24"/>
              </w:rPr>
              <w:sym w:font="Wingdings" w:char="F0FC"/>
            </w:r>
          </w:p>
        </w:tc>
        <w:tc>
          <w:tcPr>
            <w:tcW w:w="1322" w:type="dxa"/>
            <w:shd w:val="clear" w:color="auto" w:fill="auto"/>
            <w:vAlign w:val="center"/>
          </w:tcPr>
          <w:p w14:paraId="2D5CF0C8" w14:textId="77777777" w:rsidR="00E53E38" w:rsidRPr="00E53E38" w:rsidRDefault="00E53E38" w:rsidP="00E53E38">
            <w:pPr>
              <w:spacing w:after="0"/>
              <w:jc w:val="center"/>
              <w:rPr>
                <w:sz w:val="24"/>
                <w:szCs w:val="24"/>
              </w:rPr>
            </w:pPr>
            <w:r w:rsidRPr="00E53E38">
              <w:rPr>
                <w:sz w:val="24"/>
                <w:szCs w:val="24"/>
              </w:rPr>
              <w:sym w:font="Wingdings" w:char="F0FC"/>
            </w:r>
          </w:p>
        </w:tc>
        <w:tc>
          <w:tcPr>
            <w:tcW w:w="2222" w:type="dxa"/>
            <w:shd w:val="clear" w:color="auto" w:fill="auto"/>
            <w:vAlign w:val="center"/>
          </w:tcPr>
          <w:p w14:paraId="618DEBF1" w14:textId="77777777" w:rsidR="00E53E38" w:rsidRPr="00E53E38" w:rsidRDefault="00E53E38" w:rsidP="00E53E38">
            <w:pPr>
              <w:spacing w:after="0"/>
              <w:jc w:val="center"/>
              <w:rPr>
                <w:sz w:val="24"/>
                <w:szCs w:val="24"/>
              </w:rPr>
            </w:pPr>
            <w:r w:rsidRPr="00E53E38">
              <w:rPr>
                <w:sz w:val="24"/>
                <w:szCs w:val="24"/>
              </w:rPr>
              <w:sym w:font="Wingdings" w:char="F0FC"/>
            </w:r>
          </w:p>
        </w:tc>
      </w:tr>
      <w:tr w:rsidR="00E53E38" w:rsidRPr="00E53E38" w14:paraId="3B032485" w14:textId="77777777" w:rsidTr="00E53E38">
        <w:trPr>
          <w:trHeight w:val="170"/>
        </w:trPr>
        <w:tc>
          <w:tcPr>
            <w:tcW w:w="559" w:type="dxa"/>
            <w:vMerge/>
            <w:vAlign w:val="center"/>
            <w:hideMark/>
          </w:tcPr>
          <w:p w14:paraId="7522C47F" w14:textId="77777777" w:rsidR="00E53E38" w:rsidRPr="00E53E38" w:rsidRDefault="00E53E38" w:rsidP="00E53E38">
            <w:pPr>
              <w:spacing w:after="0"/>
              <w:jc w:val="center"/>
              <w:rPr>
                <w:b/>
                <w:sz w:val="18"/>
              </w:rPr>
            </w:pPr>
          </w:p>
        </w:tc>
        <w:tc>
          <w:tcPr>
            <w:tcW w:w="3122" w:type="dxa"/>
            <w:vAlign w:val="center"/>
            <w:hideMark/>
          </w:tcPr>
          <w:p w14:paraId="51D9330C" w14:textId="77777777" w:rsidR="00E53E38" w:rsidRPr="00E53E38" w:rsidRDefault="00E53E38" w:rsidP="00E53E38">
            <w:pPr>
              <w:spacing w:after="0"/>
              <w:rPr>
                <w:rFonts w:asciiTheme="minorHAnsi" w:eastAsia="Times New Roman" w:hAnsiTheme="minorHAnsi"/>
                <w:color w:val="auto"/>
                <w:lang w:eastAsia="en-US"/>
              </w:rPr>
            </w:pPr>
            <w:r w:rsidRPr="00E53E38">
              <w:rPr>
                <w:rFonts w:asciiTheme="minorHAnsi" w:eastAsia="Times New Roman" w:hAnsiTheme="minorHAnsi"/>
                <w:color w:val="auto"/>
                <w:lang w:eastAsia="en-US"/>
              </w:rPr>
              <w:t>Recruitment</w:t>
            </w:r>
            <w:r w:rsidRPr="00E53E38">
              <w:rPr>
                <w:rFonts w:asciiTheme="minorHAnsi" w:eastAsia="Times New Roman" w:hAnsiTheme="minorHAnsi"/>
                <w:color w:val="auto"/>
                <w:vertAlign w:val="superscript"/>
                <w:lang w:eastAsia="en-US"/>
              </w:rPr>
              <w:t xml:space="preserve">1 </w:t>
            </w:r>
            <w:r w:rsidRPr="00E53E38">
              <w:rPr>
                <w:rFonts w:asciiTheme="minorHAnsi" w:eastAsia="Times New Roman" w:hAnsiTheme="minorHAnsi"/>
                <w:color w:val="auto"/>
                <w:lang w:eastAsia="en-US"/>
              </w:rPr>
              <w:t>(trees, lignum)</w:t>
            </w:r>
          </w:p>
        </w:tc>
        <w:tc>
          <w:tcPr>
            <w:tcW w:w="1134" w:type="dxa"/>
            <w:vAlign w:val="center"/>
            <w:hideMark/>
          </w:tcPr>
          <w:p w14:paraId="14883764" w14:textId="77777777" w:rsidR="00E53E38" w:rsidRPr="00E53E38" w:rsidRDefault="00E53E38" w:rsidP="00E53E38">
            <w:pPr>
              <w:spacing w:after="0"/>
              <w:jc w:val="center"/>
              <w:rPr>
                <w:sz w:val="24"/>
                <w:szCs w:val="24"/>
              </w:rPr>
            </w:pPr>
            <w:r w:rsidRPr="00E53E38">
              <w:rPr>
                <w:sz w:val="24"/>
                <w:szCs w:val="24"/>
              </w:rPr>
              <w:sym w:font="Wingdings" w:char="F0FC"/>
            </w:r>
          </w:p>
        </w:tc>
        <w:tc>
          <w:tcPr>
            <w:tcW w:w="1417" w:type="dxa"/>
            <w:vAlign w:val="center"/>
          </w:tcPr>
          <w:p w14:paraId="48C1BD9C" w14:textId="77777777" w:rsidR="00E53E38" w:rsidRPr="00E53E38" w:rsidRDefault="00E53E38" w:rsidP="00E53E38">
            <w:pPr>
              <w:spacing w:after="0"/>
              <w:jc w:val="center"/>
              <w:rPr>
                <w:sz w:val="24"/>
                <w:szCs w:val="24"/>
              </w:rPr>
            </w:pPr>
            <w:r w:rsidRPr="00E53E38">
              <w:rPr>
                <w:sz w:val="24"/>
                <w:szCs w:val="24"/>
              </w:rPr>
              <w:sym w:font="Wingdings" w:char="F0FC"/>
            </w:r>
          </w:p>
        </w:tc>
        <w:tc>
          <w:tcPr>
            <w:tcW w:w="1322" w:type="dxa"/>
            <w:vAlign w:val="center"/>
            <w:hideMark/>
          </w:tcPr>
          <w:p w14:paraId="4B93F20C" w14:textId="77777777" w:rsidR="00E53E38" w:rsidRPr="00E53E38" w:rsidRDefault="00E53E38" w:rsidP="00E53E38">
            <w:pPr>
              <w:spacing w:after="0"/>
              <w:jc w:val="center"/>
              <w:rPr>
                <w:sz w:val="24"/>
                <w:szCs w:val="24"/>
              </w:rPr>
            </w:pPr>
            <w:r w:rsidRPr="00E53E38">
              <w:rPr>
                <w:sz w:val="24"/>
                <w:szCs w:val="24"/>
              </w:rPr>
              <w:sym w:font="Wingdings" w:char="F0FC"/>
            </w:r>
          </w:p>
        </w:tc>
        <w:tc>
          <w:tcPr>
            <w:tcW w:w="2222" w:type="dxa"/>
            <w:vAlign w:val="center"/>
            <w:hideMark/>
          </w:tcPr>
          <w:p w14:paraId="05B9912D" w14:textId="77777777" w:rsidR="00E53E38" w:rsidRPr="00E53E38" w:rsidRDefault="00E53E38" w:rsidP="00E53E38">
            <w:pPr>
              <w:spacing w:after="0"/>
              <w:jc w:val="center"/>
              <w:rPr>
                <w:sz w:val="24"/>
                <w:szCs w:val="24"/>
              </w:rPr>
            </w:pPr>
            <w:r w:rsidRPr="00E53E38">
              <w:rPr>
                <w:sz w:val="24"/>
                <w:szCs w:val="24"/>
              </w:rPr>
              <w:sym w:font="Wingdings" w:char="F0FC"/>
            </w:r>
          </w:p>
        </w:tc>
      </w:tr>
      <w:tr w:rsidR="00E53E38" w:rsidRPr="00E53E38" w14:paraId="1960561F" w14:textId="77777777" w:rsidTr="00E53E38">
        <w:trPr>
          <w:cantSplit/>
          <w:trHeight w:val="170"/>
        </w:trPr>
        <w:tc>
          <w:tcPr>
            <w:tcW w:w="559" w:type="dxa"/>
            <w:vMerge w:val="restart"/>
            <w:textDirection w:val="btLr"/>
            <w:vAlign w:val="center"/>
            <w:hideMark/>
          </w:tcPr>
          <w:p w14:paraId="029CCC80" w14:textId="77777777" w:rsidR="00E53E38" w:rsidRPr="00E53E38" w:rsidRDefault="00E53E38" w:rsidP="00E53E38">
            <w:pPr>
              <w:spacing w:after="0"/>
              <w:ind w:left="113" w:right="113"/>
              <w:jc w:val="center"/>
              <w:rPr>
                <w:b/>
                <w:sz w:val="18"/>
              </w:rPr>
            </w:pPr>
            <w:r w:rsidRPr="00E53E38">
              <w:rPr>
                <w:b/>
                <w:sz w:val="18"/>
              </w:rPr>
              <w:t>Native fish</w:t>
            </w:r>
          </w:p>
        </w:tc>
        <w:tc>
          <w:tcPr>
            <w:tcW w:w="3122" w:type="dxa"/>
            <w:vAlign w:val="center"/>
            <w:hideMark/>
          </w:tcPr>
          <w:p w14:paraId="545DF73B" w14:textId="77777777" w:rsidR="00E53E38" w:rsidRPr="00E53E38" w:rsidRDefault="00E53E38" w:rsidP="00E53E38">
            <w:pPr>
              <w:spacing w:after="0"/>
              <w:rPr>
                <w:rFonts w:asciiTheme="minorHAnsi" w:eastAsia="Times New Roman" w:hAnsiTheme="minorHAnsi"/>
                <w:color w:val="auto"/>
                <w:vertAlign w:val="superscript"/>
                <w:lang w:eastAsia="en-US"/>
              </w:rPr>
            </w:pPr>
            <w:r w:rsidRPr="00E53E38">
              <w:rPr>
                <w:rFonts w:asciiTheme="minorHAnsi" w:eastAsia="Times New Roman" w:hAnsiTheme="minorHAnsi"/>
                <w:color w:val="auto"/>
                <w:lang w:eastAsia="en-US"/>
              </w:rPr>
              <w:t>Survival/condition</w:t>
            </w:r>
          </w:p>
        </w:tc>
        <w:tc>
          <w:tcPr>
            <w:tcW w:w="1134" w:type="dxa"/>
            <w:vAlign w:val="center"/>
          </w:tcPr>
          <w:p w14:paraId="33E27D23" w14:textId="77777777" w:rsidR="00E53E38" w:rsidRPr="00E53E38" w:rsidRDefault="00E53E38" w:rsidP="00E53E38">
            <w:pPr>
              <w:spacing w:after="0"/>
              <w:jc w:val="center"/>
              <w:rPr>
                <w:sz w:val="24"/>
                <w:szCs w:val="24"/>
              </w:rPr>
            </w:pPr>
          </w:p>
        </w:tc>
        <w:tc>
          <w:tcPr>
            <w:tcW w:w="1417" w:type="dxa"/>
            <w:vAlign w:val="center"/>
          </w:tcPr>
          <w:p w14:paraId="12E76502" w14:textId="77777777" w:rsidR="00E53E38" w:rsidRPr="00E53E38" w:rsidRDefault="00E53E38" w:rsidP="00E53E38">
            <w:pPr>
              <w:spacing w:after="0"/>
              <w:jc w:val="center"/>
              <w:rPr>
                <w:sz w:val="24"/>
                <w:szCs w:val="24"/>
              </w:rPr>
            </w:pPr>
          </w:p>
        </w:tc>
        <w:tc>
          <w:tcPr>
            <w:tcW w:w="1322" w:type="dxa"/>
            <w:vAlign w:val="center"/>
            <w:hideMark/>
          </w:tcPr>
          <w:p w14:paraId="521AC788" w14:textId="77777777" w:rsidR="00E53E38" w:rsidRPr="00E53E38" w:rsidRDefault="00E53E38" w:rsidP="00E53E38">
            <w:pPr>
              <w:spacing w:after="0"/>
              <w:jc w:val="center"/>
              <w:rPr>
                <w:sz w:val="24"/>
                <w:szCs w:val="24"/>
              </w:rPr>
            </w:pPr>
          </w:p>
        </w:tc>
        <w:tc>
          <w:tcPr>
            <w:tcW w:w="2222" w:type="dxa"/>
            <w:vAlign w:val="center"/>
            <w:hideMark/>
          </w:tcPr>
          <w:p w14:paraId="68658305" w14:textId="77777777" w:rsidR="00E53E38" w:rsidRPr="00E53E38" w:rsidRDefault="00E53E38" w:rsidP="00E53E38">
            <w:pPr>
              <w:spacing w:after="0"/>
              <w:jc w:val="center"/>
              <w:rPr>
                <w:sz w:val="24"/>
                <w:szCs w:val="24"/>
              </w:rPr>
            </w:pPr>
            <w:r w:rsidRPr="00E53E38">
              <w:rPr>
                <w:sz w:val="24"/>
                <w:szCs w:val="24"/>
              </w:rPr>
              <w:sym w:font="Wingdings" w:char="F0FC"/>
            </w:r>
          </w:p>
        </w:tc>
      </w:tr>
      <w:tr w:rsidR="00E53E38" w:rsidRPr="00E53E38" w14:paraId="7475C0BC" w14:textId="77777777" w:rsidTr="00E53E38">
        <w:trPr>
          <w:trHeight w:val="170"/>
        </w:trPr>
        <w:tc>
          <w:tcPr>
            <w:tcW w:w="559" w:type="dxa"/>
            <w:vMerge/>
            <w:vAlign w:val="center"/>
            <w:hideMark/>
          </w:tcPr>
          <w:p w14:paraId="1FD4AE0B" w14:textId="77777777" w:rsidR="00E53E38" w:rsidRPr="00E53E38" w:rsidRDefault="00E53E38" w:rsidP="00E53E38">
            <w:pPr>
              <w:spacing w:after="0"/>
              <w:jc w:val="center"/>
              <w:rPr>
                <w:b/>
                <w:sz w:val="18"/>
              </w:rPr>
            </w:pPr>
          </w:p>
        </w:tc>
        <w:tc>
          <w:tcPr>
            <w:tcW w:w="3122" w:type="dxa"/>
            <w:vAlign w:val="center"/>
            <w:hideMark/>
          </w:tcPr>
          <w:p w14:paraId="3D259A1D" w14:textId="77777777" w:rsidR="00E53E38" w:rsidRPr="00E53E38" w:rsidRDefault="00E53E38" w:rsidP="00E53E38">
            <w:pPr>
              <w:spacing w:after="0"/>
              <w:rPr>
                <w:rFonts w:asciiTheme="minorHAnsi" w:eastAsia="Times New Roman" w:hAnsiTheme="minorHAnsi"/>
                <w:color w:val="auto"/>
                <w:lang w:eastAsia="en-US"/>
              </w:rPr>
            </w:pPr>
            <w:r w:rsidRPr="00E53E38">
              <w:rPr>
                <w:rFonts w:asciiTheme="minorHAnsi" w:eastAsia="Times New Roman" w:hAnsiTheme="minorHAnsi"/>
                <w:color w:val="auto"/>
                <w:lang w:eastAsia="en-US"/>
              </w:rPr>
              <w:t>Reproduction</w:t>
            </w:r>
          </w:p>
        </w:tc>
        <w:tc>
          <w:tcPr>
            <w:tcW w:w="1134" w:type="dxa"/>
            <w:vAlign w:val="center"/>
            <w:hideMark/>
          </w:tcPr>
          <w:p w14:paraId="66961443" w14:textId="77777777" w:rsidR="00E53E38" w:rsidRPr="00E53E38" w:rsidRDefault="00E53E38" w:rsidP="00E53E38">
            <w:pPr>
              <w:spacing w:after="0"/>
              <w:jc w:val="center"/>
              <w:rPr>
                <w:sz w:val="24"/>
                <w:szCs w:val="24"/>
              </w:rPr>
            </w:pPr>
          </w:p>
        </w:tc>
        <w:tc>
          <w:tcPr>
            <w:tcW w:w="1417" w:type="dxa"/>
            <w:vAlign w:val="center"/>
          </w:tcPr>
          <w:p w14:paraId="2694445B" w14:textId="77777777" w:rsidR="00E53E38" w:rsidRPr="00E53E38" w:rsidRDefault="00E53E38" w:rsidP="00E53E38">
            <w:pPr>
              <w:spacing w:after="0"/>
              <w:jc w:val="center"/>
              <w:rPr>
                <w:sz w:val="24"/>
                <w:szCs w:val="24"/>
              </w:rPr>
            </w:pPr>
          </w:p>
        </w:tc>
        <w:tc>
          <w:tcPr>
            <w:tcW w:w="1322" w:type="dxa"/>
            <w:vAlign w:val="center"/>
          </w:tcPr>
          <w:p w14:paraId="210F0DC2" w14:textId="77777777" w:rsidR="00E53E38" w:rsidRPr="00E53E38" w:rsidRDefault="00E53E38" w:rsidP="00E53E38">
            <w:pPr>
              <w:spacing w:after="0"/>
              <w:jc w:val="center"/>
              <w:rPr>
                <w:sz w:val="24"/>
                <w:szCs w:val="24"/>
              </w:rPr>
            </w:pPr>
          </w:p>
        </w:tc>
        <w:tc>
          <w:tcPr>
            <w:tcW w:w="2222" w:type="dxa"/>
            <w:vAlign w:val="center"/>
          </w:tcPr>
          <w:p w14:paraId="598F95E1" w14:textId="77777777" w:rsidR="00E53E38" w:rsidRPr="00E53E38" w:rsidRDefault="00E53E38" w:rsidP="00E53E38">
            <w:pPr>
              <w:spacing w:after="0"/>
              <w:jc w:val="center"/>
              <w:rPr>
                <w:sz w:val="24"/>
                <w:szCs w:val="24"/>
              </w:rPr>
            </w:pPr>
            <w:r w:rsidRPr="00E53E38">
              <w:rPr>
                <w:sz w:val="24"/>
                <w:szCs w:val="24"/>
              </w:rPr>
              <w:sym w:font="Wingdings" w:char="F0FC"/>
            </w:r>
          </w:p>
        </w:tc>
      </w:tr>
      <w:tr w:rsidR="00E53E38" w:rsidRPr="00E53E38" w14:paraId="6AAC6CEB" w14:textId="77777777" w:rsidTr="00E53E38">
        <w:trPr>
          <w:trHeight w:val="170"/>
        </w:trPr>
        <w:tc>
          <w:tcPr>
            <w:tcW w:w="559" w:type="dxa"/>
            <w:vMerge/>
            <w:vAlign w:val="center"/>
            <w:hideMark/>
          </w:tcPr>
          <w:p w14:paraId="646FF0FE" w14:textId="77777777" w:rsidR="00E53E38" w:rsidRPr="00E53E38" w:rsidRDefault="00E53E38" w:rsidP="00E53E38">
            <w:pPr>
              <w:spacing w:after="0"/>
              <w:jc w:val="center"/>
              <w:rPr>
                <w:b/>
                <w:sz w:val="18"/>
              </w:rPr>
            </w:pPr>
          </w:p>
        </w:tc>
        <w:tc>
          <w:tcPr>
            <w:tcW w:w="3122" w:type="dxa"/>
            <w:vAlign w:val="center"/>
            <w:hideMark/>
          </w:tcPr>
          <w:p w14:paraId="357D347D" w14:textId="77777777" w:rsidR="00E53E38" w:rsidRPr="00E53E38" w:rsidRDefault="00E53E38" w:rsidP="00E53E38">
            <w:pPr>
              <w:spacing w:after="0"/>
              <w:rPr>
                <w:rFonts w:asciiTheme="minorHAnsi" w:eastAsia="Times New Roman" w:hAnsiTheme="minorHAnsi"/>
                <w:color w:val="auto"/>
                <w:vertAlign w:val="superscript"/>
                <w:lang w:eastAsia="en-US"/>
              </w:rPr>
            </w:pPr>
            <w:r w:rsidRPr="00E53E38">
              <w:rPr>
                <w:rFonts w:asciiTheme="minorHAnsi" w:eastAsia="Times New Roman" w:hAnsiTheme="minorHAnsi"/>
                <w:color w:val="auto"/>
                <w:lang w:eastAsia="en-US"/>
              </w:rPr>
              <w:t>Recruitment</w:t>
            </w:r>
          </w:p>
        </w:tc>
        <w:tc>
          <w:tcPr>
            <w:tcW w:w="1134" w:type="dxa"/>
            <w:vAlign w:val="center"/>
            <w:hideMark/>
          </w:tcPr>
          <w:p w14:paraId="1F536EB0" w14:textId="77777777" w:rsidR="00E53E38" w:rsidRPr="00E53E38" w:rsidRDefault="00E53E38" w:rsidP="00E53E38">
            <w:pPr>
              <w:spacing w:after="0"/>
              <w:jc w:val="center"/>
              <w:rPr>
                <w:sz w:val="24"/>
                <w:szCs w:val="24"/>
              </w:rPr>
            </w:pPr>
            <w:r w:rsidRPr="00E53E38">
              <w:rPr>
                <w:sz w:val="24"/>
                <w:szCs w:val="24"/>
              </w:rPr>
              <w:sym w:font="Wingdings" w:char="F0FC"/>
            </w:r>
          </w:p>
        </w:tc>
        <w:tc>
          <w:tcPr>
            <w:tcW w:w="1417" w:type="dxa"/>
            <w:vAlign w:val="center"/>
          </w:tcPr>
          <w:p w14:paraId="5ECA1028" w14:textId="77777777" w:rsidR="00E53E38" w:rsidRPr="00E53E38" w:rsidRDefault="00E53E38" w:rsidP="00E53E38">
            <w:pPr>
              <w:spacing w:after="0"/>
              <w:jc w:val="center"/>
              <w:rPr>
                <w:sz w:val="24"/>
                <w:szCs w:val="24"/>
              </w:rPr>
            </w:pPr>
            <w:r w:rsidRPr="00E53E38">
              <w:rPr>
                <w:sz w:val="24"/>
                <w:szCs w:val="24"/>
              </w:rPr>
              <w:sym w:font="Wingdings" w:char="F0FC"/>
            </w:r>
          </w:p>
        </w:tc>
        <w:tc>
          <w:tcPr>
            <w:tcW w:w="1322" w:type="dxa"/>
            <w:vAlign w:val="center"/>
          </w:tcPr>
          <w:p w14:paraId="08DAAD8B" w14:textId="77777777" w:rsidR="00E53E38" w:rsidRPr="00E53E38" w:rsidRDefault="00E53E38" w:rsidP="00E53E38">
            <w:pPr>
              <w:spacing w:after="0"/>
              <w:jc w:val="center"/>
              <w:rPr>
                <w:sz w:val="24"/>
                <w:szCs w:val="24"/>
              </w:rPr>
            </w:pPr>
            <w:r w:rsidRPr="00E53E38">
              <w:rPr>
                <w:sz w:val="24"/>
                <w:szCs w:val="24"/>
              </w:rPr>
              <w:sym w:font="Wingdings" w:char="F0FC"/>
            </w:r>
          </w:p>
        </w:tc>
        <w:tc>
          <w:tcPr>
            <w:tcW w:w="2222" w:type="dxa"/>
            <w:vAlign w:val="center"/>
            <w:hideMark/>
          </w:tcPr>
          <w:p w14:paraId="48406D43" w14:textId="77777777" w:rsidR="00E53E38" w:rsidRPr="00E53E38" w:rsidRDefault="00E53E38" w:rsidP="00E53E38">
            <w:pPr>
              <w:spacing w:after="0"/>
              <w:jc w:val="center"/>
              <w:rPr>
                <w:sz w:val="24"/>
                <w:szCs w:val="24"/>
              </w:rPr>
            </w:pPr>
            <w:r w:rsidRPr="00E53E38">
              <w:rPr>
                <w:sz w:val="24"/>
                <w:szCs w:val="24"/>
              </w:rPr>
              <w:sym w:font="Wingdings" w:char="F0FC"/>
            </w:r>
          </w:p>
        </w:tc>
      </w:tr>
      <w:tr w:rsidR="00E53E38" w:rsidRPr="00E53E38" w14:paraId="296E0FDE" w14:textId="77777777" w:rsidTr="00E53E38">
        <w:trPr>
          <w:trHeight w:val="170"/>
        </w:trPr>
        <w:tc>
          <w:tcPr>
            <w:tcW w:w="559" w:type="dxa"/>
            <w:vMerge w:val="restart"/>
            <w:textDirection w:val="btLr"/>
            <w:vAlign w:val="center"/>
            <w:hideMark/>
          </w:tcPr>
          <w:p w14:paraId="73DB5B72" w14:textId="77777777" w:rsidR="00E53E38" w:rsidRPr="00E53E38" w:rsidRDefault="00E53E38" w:rsidP="00E53E38">
            <w:pPr>
              <w:spacing w:after="0"/>
              <w:jc w:val="center"/>
              <w:rPr>
                <w:b/>
                <w:sz w:val="18"/>
              </w:rPr>
            </w:pPr>
            <w:r w:rsidRPr="00E53E38">
              <w:rPr>
                <w:b/>
                <w:sz w:val="18"/>
              </w:rPr>
              <w:t>Waterbirds</w:t>
            </w:r>
          </w:p>
        </w:tc>
        <w:tc>
          <w:tcPr>
            <w:tcW w:w="3122" w:type="dxa"/>
            <w:shd w:val="clear" w:color="auto" w:fill="auto"/>
            <w:vAlign w:val="center"/>
            <w:hideMark/>
          </w:tcPr>
          <w:p w14:paraId="415009B8" w14:textId="77777777" w:rsidR="00E53E38" w:rsidRPr="00E53E38" w:rsidRDefault="00E53E38" w:rsidP="00E53E38">
            <w:pPr>
              <w:spacing w:after="0"/>
              <w:rPr>
                <w:rFonts w:asciiTheme="minorHAnsi" w:eastAsia="Times New Roman" w:hAnsiTheme="minorHAnsi"/>
                <w:color w:val="auto"/>
                <w:lang w:eastAsia="en-US"/>
              </w:rPr>
            </w:pPr>
            <w:r w:rsidRPr="00E53E38">
              <w:rPr>
                <w:rFonts w:asciiTheme="minorHAnsi" w:eastAsia="Times New Roman" w:hAnsiTheme="minorHAnsi"/>
                <w:color w:val="auto"/>
                <w:lang w:eastAsia="en-US"/>
              </w:rPr>
              <w:t>Survival/condition</w:t>
            </w:r>
          </w:p>
        </w:tc>
        <w:tc>
          <w:tcPr>
            <w:tcW w:w="1134" w:type="dxa"/>
            <w:shd w:val="clear" w:color="auto" w:fill="auto"/>
            <w:vAlign w:val="center"/>
            <w:hideMark/>
          </w:tcPr>
          <w:p w14:paraId="3691A180" w14:textId="77777777" w:rsidR="00E53E38" w:rsidRPr="00E53E38" w:rsidRDefault="00E53E38" w:rsidP="00E53E38">
            <w:pPr>
              <w:spacing w:after="0"/>
              <w:jc w:val="center"/>
              <w:rPr>
                <w:sz w:val="24"/>
                <w:szCs w:val="24"/>
              </w:rPr>
            </w:pPr>
            <w:r w:rsidRPr="00E53E38">
              <w:rPr>
                <w:sz w:val="24"/>
                <w:szCs w:val="24"/>
              </w:rPr>
              <w:sym w:font="Wingdings" w:char="F0FC"/>
            </w:r>
          </w:p>
        </w:tc>
        <w:tc>
          <w:tcPr>
            <w:tcW w:w="1417" w:type="dxa"/>
            <w:shd w:val="clear" w:color="auto" w:fill="auto"/>
            <w:vAlign w:val="center"/>
          </w:tcPr>
          <w:p w14:paraId="0BED742F" w14:textId="77777777" w:rsidR="00E53E38" w:rsidRPr="00E53E38" w:rsidRDefault="00E53E38" w:rsidP="00E53E38">
            <w:pPr>
              <w:spacing w:after="0"/>
              <w:jc w:val="center"/>
              <w:rPr>
                <w:sz w:val="24"/>
                <w:szCs w:val="24"/>
              </w:rPr>
            </w:pPr>
          </w:p>
        </w:tc>
        <w:tc>
          <w:tcPr>
            <w:tcW w:w="1322" w:type="dxa"/>
            <w:shd w:val="clear" w:color="auto" w:fill="auto"/>
            <w:vAlign w:val="center"/>
          </w:tcPr>
          <w:p w14:paraId="2F8EE9E5" w14:textId="77777777" w:rsidR="00E53E38" w:rsidRPr="00E53E38" w:rsidRDefault="00E53E38" w:rsidP="00E53E38">
            <w:pPr>
              <w:spacing w:after="0"/>
              <w:jc w:val="center"/>
              <w:rPr>
                <w:sz w:val="24"/>
                <w:szCs w:val="24"/>
              </w:rPr>
            </w:pPr>
            <w:r w:rsidRPr="00E53E38">
              <w:rPr>
                <w:sz w:val="24"/>
                <w:szCs w:val="24"/>
              </w:rPr>
              <w:sym w:font="Wingdings" w:char="F0FC"/>
            </w:r>
          </w:p>
        </w:tc>
        <w:tc>
          <w:tcPr>
            <w:tcW w:w="2222" w:type="dxa"/>
            <w:shd w:val="clear" w:color="auto" w:fill="auto"/>
            <w:vAlign w:val="center"/>
          </w:tcPr>
          <w:p w14:paraId="18AFC039" w14:textId="77777777" w:rsidR="00E53E38" w:rsidRPr="00E53E38" w:rsidRDefault="00E53E38" w:rsidP="00E53E38">
            <w:pPr>
              <w:spacing w:after="0"/>
              <w:jc w:val="center"/>
              <w:rPr>
                <w:sz w:val="24"/>
                <w:szCs w:val="24"/>
              </w:rPr>
            </w:pPr>
          </w:p>
        </w:tc>
      </w:tr>
      <w:tr w:rsidR="00E53E38" w:rsidRPr="00E53E38" w14:paraId="08FAC97D" w14:textId="77777777" w:rsidTr="00E53E38">
        <w:trPr>
          <w:trHeight w:val="170"/>
        </w:trPr>
        <w:tc>
          <w:tcPr>
            <w:tcW w:w="559" w:type="dxa"/>
            <w:vMerge/>
            <w:vAlign w:val="center"/>
            <w:hideMark/>
          </w:tcPr>
          <w:p w14:paraId="7E638439" w14:textId="77777777" w:rsidR="00E53E38" w:rsidRPr="00E53E38" w:rsidRDefault="00E53E38" w:rsidP="00E53E38">
            <w:pPr>
              <w:spacing w:after="0"/>
              <w:jc w:val="center"/>
              <w:rPr>
                <w:b/>
                <w:sz w:val="18"/>
              </w:rPr>
            </w:pPr>
          </w:p>
        </w:tc>
        <w:tc>
          <w:tcPr>
            <w:tcW w:w="3122" w:type="dxa"/>
            <w:shd w:val="clear" w:color="auto" w:fill="auto"/>
            <w:vAlign w:val="center"/>
            <w:hideMark/>
          </w:tcPr>
          <w:p w14:paraId="4AD470F9" w14:textId="77777777" w:rsidR="00E53E38" w:rsidRPr="00E53E38" w:rsidRDefault="00E53E38" w:rsidP="00E53E38">
            <w:pPr>
              <w:spacing w:after="0"/>
              <w:rPr>
                <w:rFonts w:asciiTheme="minorHAnsi" w:eastAsia="Times New Roman" w:hAnsiTheme="minorHAnsi"/>
                <w:color w:val="auto"/>
                <w:lang w:eastAsia="en-US"/>
              </w:rPr>
            </w:pPr>
            <w:r w:rsidRPr="00E53E38">
              <w:rPr>
                <w:rFonts w:asciiTheme="minorHAnsi" w:eastAsia="Times New Roman" w:hAnsiTheme="minorHAnsi"/>
                <w:color w:val="auto"/>
                <w:lang w:eastAsia="en-US"/>
              </w:rPr>
              <w:t>Reproduction</w:t>
            </w:r>
          </w:p>
        </w:tc>
        <w:tc>
          <w:tcPr>
            <w:tcW w:w="1134" w:type="dxa"/>
            <w:shd w:val="clear" w:color="auto" w:fill="auto"/>
            <w:vAlign w:val="center"/>
            <w:hideMark/>
          </w:tcPr>
          <w:p w14:paraId="52FEDA72" w14:textId="77777777" w:rsidR="00E53E38" w:rsidRPr="00E53E38" w:rsidRDefault="00E53E38" w:rsidP="00E53E38">
            <w:pPr>
              <w:spacing w:after="0"/>
              <w:jc w:val="center"/>
              <w:rPr>
                <w:sz w:val="24"/>
                <w:szCs w:val="24"/>
              </w:rPr>
            </w:pPr>
            <w:r w:rsidRPr="00E53E38">
              <w:rPr>
                <w:sz w:val="24"/>
                <w:szCs w:val="24"/>
              </w:rPr>
              <w:sym w:font="Wingdings" w:char="F0FC"/>
            </w:r>
          </w:p>
        </w:tc>
        <w:tc>
          <w:tcPr>
            <w:tcW w:w="1417" w:type="dxa"/>
            <w:shd w:val="clear" w:color="auto" w:fill="auto"/>
            <w:vAlign w:val="center"/>
          </w:tcPr>
          <w:p w14:paraId="160F2707" w14:textId="77777777" w:rsidR="00E53E38" w:rsidRPr="00E53E38" w:rsidRDefault="00E53E38" w:rsidP="00E53E38">
            <w:pPr>
              <w:spacing w:after="0"/>
              <w:jc w:val="center"/>
              <w:rPr>
                <w:sz w:val="24"/>
                <w:szCs w:val="24"/>
              </w:rPr>
            </w:pPr>
          </w:p>
        </w:tc>
        <w:tc>
          <w:tcPr>
            <w:tcW w:w="1322" w:type="dxa"/>
            <w:shd w:val="clear" w:color="auto" w:fill="auto"/>
            <w:vAlign w:val="center"/>
          </w:tcPr>
          <w:p w14:paraId="5E58E253" w14:textId="77777777" w:rsidR="00E53E38" w:rsidRPr="00E53E38" w:rsidRDefault="00E53E38" w:rsidP="00E53E38">
            <w:pPr>
              <w:spacing w:after="0"/>
              <w:jc w:val="center"/>
              <w:rPr>
                <w:sz w:val="24"/>
                <w:szCs w:val="24"/>
              </w:rPr>
            </w:pPr>
          </w:p>
        </w:tc>
        <w:tc>
          <w:tcPr>
            <w:tcW w:w="2222" w:type="dxa"/>
            <w:shd w:val="clear" w:color="auto" w:fill="auto"/>
            <w:vAlign w:val="center"/>
          </w:tcPr>
          <w:p w14:paraId="12EF7F7E" w14:textId="77777777" w:rsidR="00E53E38" w:rsidRPr="00E53E38" w:rsidRDefault="00E53E38" w:rsidP="00E53E38">
            <w:pPr>
              <w:spacing w:after="0"/>
              <w:jc w:val="center"/>
              <w:rPr>
                <w:sz w:val="24"/>
                <w:szCs w:val="24"/>
              </w:rPr>
            </w:pPr>
          </w:p>
        </w:tc>
      </w:tr>
      <w:tr w:rsidR="00E53E38" w:rsidRPr="00E53E38" w14:paraId="457266F8" w14:textId="77777777" w:rsidTr="00E53E38">
        <w:trPr>
          <w:trHeight w:val="170"/>
        </w:trPr>
        <w:tc>
          <w:tcPr>
            <w:tcW w:w="559" w:type="dxa"/>
            <w:vMerge/>
            <w:vAlign w:val="center"/>
            <w:hideMark/>
          </w:tcPr>
          <w:p w14:paraId="1810632E" w14:textId="77777777" w:rsidR="00E53E38" w:rsidRPr="00E53E38" w:rsidRDefault="00E53E38" w:rsidP="00E53E38">
            <w:pPr>
              <w:spacing w:after="0"/>
              <w:jc w:val="center"/>
              <w:rPr>
                <w:b/>
                <w:sz w:val="18"/>
              </w:rPr>
            </w:pPr>
          </w:p>
        </w:tc>
        <w:tc>
          <w:tcPr>
            <w:tcW w:w="3122" w:type="dxa"/>
            <w:vAlign w:val="center"/>
            <w:hideMark/>
          </w:tcPr>
          <w:p w14:paraId="47B999FA" w14:textId="77777777" w:rsidR="00E53E38" w:rsidRPr="00E53E38" w:rsidRDefault="00E53E38" w:rsidP="00E53E38">
            <w:pPr>
              <w:spacing w:after="0"/>
              <w:rPr>
                <w:rFonts w:asciiTheme="minorHAnsi" w:eastAsia="Times New Roman" w:hAnsiTheme="minorHAnsi"/>
                <w:color w:val="auto"/>
                <w:lang w:eastAsia="en-US"/>
              </w:rPr>
            </w:pPr>
            <w:r w:rsidRPr="00E53E38">
              <w:rPr>
                <w:rFonts w:asciiTheme="minorHAnsi" w:eastAsia="Times New Roman" w:hAnsiTheme="minorHAnsi"/>
                <w:color w:val="auto"/>
                <w:lang w:eastAsia="en-US"/>
              </w:rPr>
              <w:t>Recruitment</w:t>
            </w:r>
          </w:p>
        </w:tc>
        <w:tc>
          <w:tcPr>
            <w:tcW w:w="1134" w:type="dxa"/>
            <w:vAlign w:val="center"/>
            <w:hideMark/>
          </w:tcPr>
          <w:p w14:paraId="3654E37D" w14:textId="77777777" w:rsidR="00E53E38" w:rsidRPr="00E53E38" w:rsidRDefault="00E53E38" w:rsidP="00E53E38">
            <w:pPr>
              <w:spacing w:after="0"/>
              <w:jc w:val="center"/>
              <w:rPr>
                <w:sz w:val="24"/>
                <w:szCs w:val="24"/>
              </w:rPr>
            </w:pPr>
            <w:r w:rsidRPr="00E53E38">
              <w:rPr>
                <w:sz w:val="24"/>
                <w:szCs w:val="24"/>
              </w:rPr>
              <w:sym w:font="Wingdings" w:char="F0FC"/>
            </w:r>
          </w:p>
        </w:tc>
        <w:tc>
          <w:tcPr>
            <w:tcW w:w="1417" w:type="dxa"/>
            <w:vAlign w:val="center"/>
          </w:tcPr>
          <w:p w14:paraId="71A7F9D0" w14:textId="77777777" w:rsidR="00E53E38" w:rsidRPr="00E53E38" w:rsidRDefault="00E53E38" w:rsidP="00E53E38">
            <w:pPr>
              <w:spacing w:after="0"/>
              <w:jc w:val="center"/>
              <w:rPr>
                <w:sz w:val="24"/>
                <w:szCs w:val="24"/>
              </w:rPr>
            </w:pPr>
          </w:p>
        </w:tc>
        <w:tc>
          <w:tcPr>
            <w:tcW w:w="1322" w:type="dxa"/>
            <w:vAlign w:val="center"/>
            <w:hideMark/>
          </w:tcPr>
          <w:p w14:paraId="5427A4BC" w14:textId="77777777" w:rsidR="00E53E38" w:rsidRPr="00E53E38" w:rsidRDefault="00E53E38" w:rsidP="00E53E38">
            <w:pPr>
              <w:spacing w:after="0"/>
              <w:jc w:val="center"/>
              <w:rPr>
                <w:sz w:val="24"/>
                <w:szCs w:val="24"/>
              </w:rPr>
            </w:pPr>
            <w:r w:rsidRPr="00E53E38">
              <w:rPr>
                <w:sz w:val="24"/>
                <w:szCs w:val="24"/>
              </w:rPr>
              <w:sym w:font="Wingdings" w:char="F0FC"/>
            </w:r>
          </w:p>
        </w:tc>
        <w:tc>
          <w:tcPr>
            <w:tcW w:w="2222" w:type="dxa"/>
            <w:vAlign w:val="center"/>
            <w:hideMark/>
          </w:tcPr>
          <w:p w14:paraId="0FE7AA06" w14:textId="77777777" w:rsidR="00E53E38" w:rsidRPr="00E53E38" w:rsidRDefault="00E53E38" w:rsidP="00E53E38">
            <w:pPr>
              <w:spacing w:after="0"/>
              <w:jc w:val="center"/>
              <w:rPr>
                <w:sz w:val="24"/>
                <w:szCs w:val="24"/>
              </w:rPr>
            </w:pPr>
          </w:p>
        </w:tc>
      </w:tr>
      <w:tr w:rsidR="00E53E38" w:rsidRPr="00E53E38" w14:paraId="0DA8F496" w14:textId="77777777" w:rsidTr="00E53E38">
        <w:trPr>
          <w:cantSplit/>
          <w:trHeight w:val="170"/>
        </w:trPr>
        <w:tc>
          <w:tcPr>
            <w:tcW w:w="559" w:type="dxa"/>
            <w:vMerge w:val="restart"/>
            <w:textDirection w:val="btLr"/>
            <w:vAlign w:val="center"/>
          </w:tcPr>
          <w:p w14:paraId="50E51A2D" w14:textId="77777777" w:rsidR="00E53E38" w:rsidRPr="00E53E38" w:rsidRDefault="00E53E38" w:rsidP="00E53E38">
            <w:pPr>
              <w:spacing w:after="0"/>
              <w:jc w:val="center"/>
              <w:rPr>
                <w:b/>
                <w:sz w:val="18"/>
              </w:rPr>
            </w:pPr>
            <w:r w:rsidRPr="00E53E38">
              <w:rPr>
                <w:b/>
                <w:sz w:val="18"/>
              </w:rPr>
              <w:t>Food webs</w:t>
            </w:r>
          </w:p>
        </w:tc>
        <w:tc>
          <w:tcPr>
            <w:tcW w:w="3122" w:type="dxa"/>
            <w:vAlign w:val="center"/>
          </w:tcPr>
          <w:p w14:paraId="002A0146" w14:textId="77777777" w:rsidR="00E53E38" w:rsidRPr="00E53E38" w:rsidRDefault="00E53E38" w:rsidP="00E53E38">
            <w:pPr>
              <w:spacing w:after="0"/>
              <w:rPr>
                <w:rFonts w:asciiTheme="minorHAnsi" w:eastAsia="Times New Roman" w:hAnsiTheme="minorHAnsi"/>
                <w:color w:val="auto"/>
                <w:lang w:eastAsia="en-US"/>
              </w:rPr>
            </w:pPr>
            <w:r w:rsidRPr="00E53E38">
              <w:rPr>
                <w:rFonts w:asciiTheme="minorHAnsi" w:eastAsia="Times New Roman" w:hAnsiTheme="minorHAnsi"/>
                <w:color w:val="auto"/>
                <w:lang w:eastAsia="en-US"/>
              </w:rPr>
              <w:t>Basal resources</w:t>
            </w:r>
          </w:p>
        </w:tc>
        <w:tc>
          <w:tcPr>
            <w:tcW w:w="1134" w:type="dxa"/>
            <w:vAlign w:val="center"/>
          </w:tcPr>
          <w:p w14:paraId="667F947F" w14:textId="77777777" w:rsidR="00E53E38" w:rsidRPr="00E53E38" w:rsidRDefault="00E53E38" w:rsidP="00E53E38">
            <w:pPr>
              <w:spacing w:after="0"/>
              <w:jc w:val="center"/>
              <w:rPr>
                <w:sz w:val="24"/>
                <w:szCs w:val="24"/>
              </w:rPr>
            </w:pPr>
            <w:r w:rsidRPr="00E53E38">
              <w:rPr>
                <w:sz w:val="24"/>
                <w:szCs w:val="24"/>
              </w:rPr>
              <w:sym w:font="Wingdings" w:char="F0FC"/>
            </w:r>
          </w:p>
        </w:tc>
        <w:tc>
          <w:tcPr>
            <w:tcW w:w="1417" w:type="dxa"/>
            <w:vAlign w:val="center"/>
          </w:tcPr>
          <w:p w14:paraId="4770C393" w14:textId="77777777" w:rsidR="00E53E38" w:rsidRPr="00E53E38" w:rsidRDefault="00E53E38" w:rsidP="00E53E38">
            <w:pPr>
              <w:spacing w:after="0"/>
              <w:jc w:val="center"/>
              <w:rPr>
                <w:sz w:val="24"/>
                <w:szCs w:val="24"/>
              </w:rPr>
            </w:pPr>
          </w:p>
        </w:tc>
        <w:tc>
          <w:tcPr>
            <w:tcW w:w="1322" w:type="dxa"/>
            <w:vAlign w:val="center"/>
          </w:tcPr>
          <w:p w14:paraId="4C0BB4CB" w14:textId="77777777" w:rsidR="00E53E38" w:rsidRPr="00E53E38" w:rsidRDefault="00E53E38" w:rsidP="00E53E38">
            <w:pPr>
              <w:spacing w:after="0"/>
              <w:jc w:val="center"/>
              <w:rPr>
                <w:sz w:val="24"/>
                <w:szCs w:val="24"/>
              </w:rPr>
            </w:pPr>
          </w:p>
        </w:tc>
        <w:tc>
          <w:tcPr>
            <w:tcW w:w="2222" w:type="dxa"/>
            <w:vAlign w:val="center"/>
          </w:tcPr>
          <w:p w14:paraId="7823BA24" w14:textId="77777777" w:rsidR="00E53E38" w:rsidRPr="00E53E38" w:rsidRDefault="00E53E38" w:rsidP="00E53E38">
            <w:pPr>
              <w:spacing w:after="0"/>
              <w:jc w:val="center"/>
              <w:rPr>
                <w:sz w:val="24"/>
                <w:szCs w:val="24"/>
              </w:rPr>
            </w:pPr>
          </w:p>
        </w:tc>
      </w:tr>
      <w:tr w:rsidR="00E53E38" w:rsidRPr="00E53E38" w14:paraId="35FC1D3C" w14:textId="77777777" w:rsidTr="00E53E38">
        <w:trPr>
          <w:cantSplit/>
          <w:trHeight w:val="170"/>
        </w:trPr>
        <w:tc>
          <w:tcPr>
            <w:tcW w:w="559" w:type="dxa"/>
            <w:vMerge/>
            <w:textDirection w:val="btLr"/>
            <w:vAlign w:val="center"/>
          </w:tcPr>
          <w:p w14:paraId="25BBDB90" w14:textId="77777777" w:rsidR="00E53E38" w:rsidRPr="00E53E38" w:rsidRDefault="00E53E38" w:rsidP="00E53E38">
            <w:pPr>
              <w:spacing w:after="0"/>
              <w:jc w:val="center"/>
              <w:rPr>
                <w:b/>
                <w:sz w:val="18"/>
              </w:rPr>
            </w:pPr>
          </w:p>
        </w:tc>
        <w:tc>
          <w:tcPr>
            <w:tcW w:w="3122" w:type="dxa"/>
            <w:vAlign w:val="center"/>
          </w:tcPr>
          <w:p w14:paraId="32E2D837" w14:textId="77777777" w:rsidR="00E53E38" w:rsidRPr="00E53E38" w:rsidRDefault="00E53E38" w:rsidP="00E53E38">
            <w:pPr>
              <w:spacing w:after="0"/>
              <w:rPr>
                <w:rFonts w:asciiTheme="minorHAnsi" w:eastAsia="Times New Roman" w:hAnsiTheme="minorHAnsi"/>
                <w:color w:val="auto"/>
                <w:lang w:eastAsia="en-US"/>
              </w:rPr>
            </w:pPr>
            <w:r w:rsidRPr="00E53E38">
              <w:rPr>
                <w:rFonts w:asciiTheme="minorHAnsi" w:eastAsia="Times New Roman" w:hAnsiTheme="minorHAnsi"/>
                <w:color w:val="auto"/>
                <w:lang w:eastAsia="en-US"/>
              </w:rPr>
              <w:t>Trophic niche</w:t>
            </w:r>
          </w:p>
        </w:tc>
        <w:tc>
          <w:tcPr>
            <w:tcW w:w="1134" w:type="dxa"/>
            <w:vAlign w:val="center"/>
          </w:tcPr>
          <w:p w14:paraId="438D7299" w14:textId="77777777" w:rsidR="00E53E38" w:rsidRPr="00E53E38" w:rsidRDefault="00E53E38" w:rsidP="00E53E38">
            <w:pPr>
              <w:spacing w:after="0"/>
              <w:jc w:val="center"/>
              <w:rPr>
                <w:sz w:val="24"/>
                <w:szCs w:val="24"/>
              </w:rPr>
            </w:pPr>
            <w:r w:rsidRPr="00E53E38">
              <w:rPr>
                <w:sz w:val="24"/>
                <w:szCs w:val="24"/>
              </w:rPr>
              <w:sym w:font="Wingdings" w:char="F0FC"/>
            </w:r>
          </w:p>
        </w:tc>
        <w:tc>
          <w:tcPr>
            <w:tcW w:w="1417" w:type="dxa"/>
            <w:vAlign w:val="center"/>
          </w:tcPr>
          <w:p w14:paraId="24722F66" w14:textId="77777777" w:rsidR="00E53E38" w:rsidRPr="00E53E38" w:rsidRDefault="00E53E38" w:rsidP="00E53E38">
            <w:pPr>
              <w:spacing w:after="0"/>
              <w:jc w:val="center"/>
              <w:rPr>
                <w:sz w:val="24"/>
                <w:szCs w:val="24"/>
              </w:rPr>
            </w:pPr>
            <w:r w:rsidRPr="00E53E38">
              <w:rPr>
                <w:sz w:val="24"/>
                <w:szCs w:val="24"/>
              </w:rPr>
              <w:sym w:font="Wingdings" w:char="F0FC"/>
            </w:r>
          </w:p>
        </w:tc>
        <w:tc>
          <w:tcPr>
            <w:tcW w:w="1322" w:type="dxa"/>
            <w:vAlign w:val="center"/>
          </w:tcPr>
          <w:p w14:paraId="4B913166" w14:textId="77777777" w:rsidR="00E53E38" w:rsidRPr="00E53E38" w:rsidRDefault="00E53E38" w:rsidP="00E53E38">
            <w:pPr>
              <w:spacing w:after="0"/>
              <w:jc w:val="center"/>
              <w:rPr>
                <w:sz w:val="24"/>
                <w:szCs w:val="24"/>
              </w:rPr>
            </w:pPr>
          </w:p>
        </w:tc>
        <w:tc>
          <w:tcPr>
            <w:tcW w:w="2222" w:type="dxa"/>
            <w:vAlign w:val="center"/>
          </w:tcPr>
          <w:p w14:paraId="1C20EBA0" w14:textId="77777777" w:rsidR="00E53E38" w:rsidRPr="00E53E38" w:rsidRDefault="00E53E38" w:rsidP="00E53E38">
            <w:pPr>
              <w:spacing w:after="0"/>
              <w:jc w:val="center"/>
              <w:rPr>
                <w:sz w:val="24"/>
                <w:szCs w:val="24"/>
              </w:rPr>
            </w:pPr>
          </w:p>
        </w:tc>
      </w:tr>
      <w:tr w:rsidR="00E53E38" w:rsidRPr="00E53E38" w14:paraId="1E18B0F8" w14:textId="77777777" w:rsidTr="00E53E38">
        <w:trPr>
          <w:cantSplit/>
          <w:trHeight w:val="170"/>
        </w:trPr>
        <w:tc>
          <w:tcPr>
            <w:tcW w:w="559" w:type="dxa"/>
            <w:vMerge/>
            <w:textDirection w:val="btLr"/>
            <w:vAlign w:val="center"/>
          </w:tcPr>
          <w:p w14:paraId="23FA64E9" w14:textId="77777777" w:rsidR="00E53E38" w:rsidRPr="00E53E38" w:rsidRDefault="00E53E38" w:rsidP="00E53E38">
            <w:pPr>
              <w:spacing w:after="0"/>
              <w:jc w:val="center"/>
              <w:rPr>
                <w:b/>
                <w:sz w:val="18"/>
              </w:rPr>
            </w:pPr>
          </w:p>
        </w:tc>
        <w:tc>
          <w:tcPr>
            <w:tcW w:w="3122" w:type="dxa"/>
            <w:vAlign w:val="center"/>
          </w:tcPr>
          <w:p w14:paraId="57FDF784" w14:textId="77777777" w:rsidR="00E53E38" w:rsidRPr="00E53E38" w:rsidRDefault="00E53E38" w:rsidP="00E53E38">
            <w:pPr>
              <w:spacing w:after="0"/>
              <w:rPr>
                <w:rFonts w:asciiTheme="minorHAnsi" w:eastAsia="Times New Roman" w:hAnsiTheme="minorHAnsi"/>
                <w:color w:val="auto"/>
                <w:lang w:eastAsia="en-US"/>
              </w:rPr>
            </w:pPr>
            <w:r w:rsidRPr="00E53E38">
              <w:rPr>
                <w:rFonts w:asciiTheme="minorHAnsi" w:eastAsia="Times New Roman" w:hAnsiTheme="minorHAnsi"/>
                <w:color w:val="auto"/>
                <w:lang w:eastAsia="en-US"/>
              </w:rPr>
              <w:t>Modelling</w:t>
            </w:r>
          </w:p>
        </w:tc>
        <w:tc>
          <w:tcPr>
            <w:tcW w:w="1134" w:type="dxa"/>
            <w:vAlign w:val="center"/>
          </w:tcPr>
          <w:p w14:paraId="450D579F" w14:textId="77777777" w:rsidR="00E53E38" w:rsidRPr="00E53E38" w:rsidRDefault="00E53E38" w:rsidP="00E53E38">
            <w:pPr>
              <w:spacing w:after="0"/>
              <w:jc w:val="center"/>
              <w:rPr>
                <w:sz w:val="24"/>
                <w:szCs w:val="24"/>
              </w:rPr>
            </w:pPr>
            <w:r w:rsidRPr="00E53E38">
              <w:rPr>
                <w:sz w:val="24"/>
                <w:szCs w:val="24"/>
              </w:rPr>
              <w:sym w:font="Wingdings" w:char="F0FC"/>
            </w:r>
          </w:p>
        </w:tc>
        <w:tc>
          <w:tcPr>
            <w:tcW w:w="1417" w:type="dxa"/>
            <w:vAlign w:val="center"/>
          </w:tcPr>
          <w:p w14:paraId="2BE75258" w14:textId="77777777" w:rsidR="00E53E38" w:rsidRPr="00E53E38" w:rsidRDefault="00E53E38" w:rsidP="00E53E38">
            <w:pPr>
              <w:spacing w:after="0"/>
              <w:jc w:val="center"/>
              <w:rPr>
                <w:sz w:val="24"/>
                <w:szCs w:val="24"/>
              </w:rPr>
            </w:pPr>
            <w:r w:rsidRPr="00E53E38">
              <w:rPr>
                <w:sz w:val="24"/>
                <w:szCs w:val="24"/>
              </w:rPr>
              <w:sym w:font="Wingdings" w:char="F0FC"/>
            </w:r>
          </w:p>
        </w:tc>
        <w:tc>
          <w:tcPr>
            <w:tcW w:w="1322" w:type="dxa"/>
            <w:vAlign w:val="center"/>
          </w:tcPr>
          <w:p w14:paraId="644EBCCE" w14:textId="77777777" w:rsidR="00E53E38" w:rsidRPr="00E53E38" w:rsidRDefault="00E53E38" w:rsidP="00E53E38">
            <w:pPr>
              <w:spacing w:after="0"/>
              <w:jc w:val="center"/>
              <w:rPr>
                <w:sz w:val="24"/>
                <w:szCs w:val="24"/>
              </w:rPr>
            </w:pPr>
            <w:r w:rsidRPr="00E53E38">
              <w:rPr>
                <w:sz w:val="24"/>
                <w:szCs w:val="24"/>
              </w:rPr>
              <w:sym w:font="Wingdings" w:char="F0FC"/>
            </w:r>
          </w:p>
        </w:tc>
        <w:tc>
          <w:tcPr>
            <w:tcW w:w="2222" w:type="dxa"/>
            <w:vAlign w:val="center"/>
          </w:tcPr>
          <w:p w14:paraId="3BAE0593" w14:textId="77777777" w:rsidR="00E53E38" w:rsidRPr="00E53E38" w:rsidRDefault="00E53E38" w:rsidP="00E53E38">
            <w:pPr>
              <w:spacing w:after="0"/>
              <w:jc w:val="center"/>
              <w:rPr>
                <w:sz w:val="24"/>
                <w:szCs w:val="24"/>
              </w:rPr>
            </w:pPr>
            <w:r w:rsidRPr="00E53E38">
              <w:rPr>
                <w:sz w:val="24"/>
                <w:szCs w:val="24"/>
              </w:rPr>
              <w:sym w:font="Wingdings" w:char="F0FC"/>
            </w:r>
          </w:p>
        </w:tc>
      </w:tr>
    </w:tbl>
    <w:p w14:paraId="3449E865" w14:textId="77777777" w:rsidR="00E53E38" w:rsidRPr="00E53E38" w:rsidRDefault="00E53E38" w:rsidP="00E53E38">
      <w:pPr>
        <w:numPr>
          <w:ilvl w:val="0"/>
          <w:numId w:val="20"/>
        </w:numPr>
        <w:spacing w:before="120"/>
        <w:ind w:left="0" w:firstLine="0"/>
        <w:rPr>
          <w:rFonts w:asciiTheme="minorHAnsi" w:eastAsia="Times New Roman" w:hAnsiTheme="minorHAnsi" w:cstheme="minorHAnsi"/>
          <w:color w:val="auto"/>
          <w:szCs w:val="24"/>
          <w:lang w:val="en-GB" w:eastAsia="en-GB"/>
        </w:rPr>
        <w:sectPr w:rsidR="00E53E38" w:rsidRPr="00E53E38" w:rsidSect="00ED2B1B">
          <w:headerReference w:type="even" r:id="rId31"/>
          <w:headerReference w:type="default" r:id="rId32"/>
          <w:footerReference w:type="even" r:id="rId33"/>
          <w:footerReference w:type="default" r:id="rId34"/>
          <w:headerReference w:type="first" r:id="rId35"/>
          <w:footerReference w:type="first" r:id="rId36"/>
          <w:pgSz w:w="11906" w:h="16838" w:code="9"/>
          <w:pgMar w:top="1134" w:right="1134" w:bottom="1134" w:left="1134" w:header="624" w:footer="624" w:gutter="0"/>
          <w:cols w:space="850"/>
          <w:docGrid w:linePitch="360"/>
        </w:sectPr>
      </w:pPr>
    </w:p>
    <w:p w14:paraId="12653D6A" w14:textId="77777777" w:rsidR="00E53E38" w:rsidRPr="00E53E38" w:rsidRDefault="00E53E38" w:rsidP="00E53E38">
      <w:pPr>
        <w:spacing w:before="120"/>
        <w:jc w:val="center"/>
        <w:rPr>
          <w:rFonts w:asciiTheme="minorHAnsi" w:eastAsia="Times New Roman" w:hAnsiTheme="minorHAnsi" w:cstheme="minorHAnsi"/>
          <w:color w:val="auto"/>
          <w:szCs w:val="24"/>
          <w:lang w:val="en-GB" w:eastAsia="en-GB"/>
        </w:rPr>
      </w:pPr>
      <w:r w:rsidRPr="00E53E38">
        <w:rPr>
          <w:rFonts w:asciiTheme="minorHAnsi" w:eastAsia="Times New Roman" w:hAnsiTheme="minorHAnsi" w:cstheme="minorHAnsi"/>
          <w:noProof/>
          <w:color w:val="auto"/>
          <w:szCs w:val="24"/>
        </w:rPr>
        <w:drawing>
          <wp:inline distT="0" distB="0" distL="0" distR="0" wp14:anchorId="0B7A30AC" wp14:editId="69A9EBAE">
            <wp:extent cx="8185150" cy="5792628"/>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WKR_SiteReport_OverallValleys.tif"/>
                    <pic:cNvPicPr/>
                  </pic:nvPicPr>
                  <pic:blipFill>
                    <a:blip r:embed="rId37"/>
                    <a:stretch>
                      <a:fillRect/>
                    </a:stretch>
                  </pic:blipFill>
                  <pic:spPr>
                    <a:xfrm>
                      <a:off x="0" y="0"/>
                      <a:ext cx="8231298" cy="5825287"/>
                    </a:xfrm>
                    <a:prstGeom prst="rect">
                      <a:avLst/>
                    </a:prstGeom>
                  </pic:spPr>
                </pic:pic>
              </a:graphicData>
            </a:graphic>
          </wp:inline>
        </w:drawing>
      </w:r>
    </w:p>
    <w:p w14:paraId="50F1D35D" w14:textId="77777777" w:rsidR="00E53E38" w:rsidRPr="00E53E38" w:rsidRDefault="00E53E38" w:rsidP="00E53E38">
      <w:pPr>
        <w:spacing w:before="120"/>
        <w:ind w:left="1440" w:firstLine="720"/>
        <w:rPr>
          <w:rFonts w:asciiTheme="minorHAnsi" w:hAnsiTheme="minorHAnsi" w:cstheme="minorHAnsi"/>
          <w:color w:val="auto"/>
          <w:szCs w:val="24"/>
        </w:rPr>
      </w:pPr>
      <w:r w:rsidRPr="00E53E38">
        <w:rPr>
          <w:bCs/>
          <w:color w:val="auto"/>
          <w:sz w:val="20"/>
          <w:szCs w:val="18"/>
        </w:rPr>
        <w:t>Figure 2. Field sampling sites undertaken from across the EWKR project defined by LTIM valleys.</w:t>
      </w:r>
    </w:p>
    <w:p w14:paraId="6846780A" w14:textId="77777777" w:rsidR="00E53E38" w:rsidRPr="00E53E38" w:rsidRDefault="00E53E38" w:rsidP="00E53E38">
      <w:pPr>
        <w:spacing w:before="120" w:line="360" w:lineRule="auto"/>
        <w:ind w:firstLine="720"/>
        <w:rPr>
          <w:rFonts w:ascii="Times New Roman" w:hAnsi="Times New Roman"/>
          <w:color w:val="auto"/>
          <w:sz w:val="24"/>
          <w:szCs w:val="24"/>
        </w:rPr>
        <w:sectPr w:rsidR="00E53E38" w:rsidRPr="00E53E38" w:rsidSect="00ED2B1B">
          <w:pgSz w:w="16838" w:h="11906" w:orient="landscape" w:code="9"/>
          <w:pgMar w:top="1134" w:right="1134" w:bottom="1134" w:left="1134" w:header="624" w:footer="624" w:gutter="0"/>
          <w:cols w:space="850"/>
          <w:docGrid w:linePitch="360"/>
        </w:sectPr>
      </w:pPr>
    </w:p>
    <w:p w14:paraId="72780EFE" w14:textId="77777777" w:rsidR="00E53E38" w:rsidRPr="00E53E38" w:rsidRDefault="00E53E38" w:rsidP="00E53E38">
      <w:pPr>
        <w:keepNext/>
        <w:keepLines/>
        <w:numPr>
          <w:ilvl w:val="0"/>
          <w:numId w:val="56"/>
        </w:numPr>
        <w:spacing w:before="240"/>
        <w:outlineLvl w:val="3"/>
        <w:rPr>
          <w:rFonts w:eastAsiaTheme="majorEastAsia" w:cstheme="majorBidi"/>
          <w:bCs/>
          <w:iCs/>
          <w:noProof/>
          <w:color w:val="00313C" w:themeColor="accent2"/>
          <w:spacing w:val="1"/>
          <w:sz w:val="44"/>
          <w:szCs w:val="44"/>
        </w:rPr>
      </w:pPr>
      <w:r w:rsidRPr="00E53E38">
        <w:rPr>
          <w:rFonts w:eastAsiaTheme="majorEastAsia" w:cstheme="majorBidi"/>
          <w:bCs/>
          <w:iCs/>
          <w:noProof/>
          <w:color w:val="00313C" w:themeColor="accent2"/>
          <w:spacing w:val="1"/>
          <w:sz w:val="44"/>
          <w:szCs w:val="44"/>
        </w:rPr>
        <w:t xml:space="preserve">Summary of Research Activities </w:t>
      </w:r>
    </w:p>
    <w:p w14:paraId="02E40DAE" w14:textId="77777777" w:rsidR="00E53E38" w:rsidRPr="00E53E38" w:rsidRDefault="00E53E38" w:rsidP="00E53E38">
      <w:pPr>
        <w:keepNext/>
        <w:keepLines/>
        <w:numPr>
          <w:ilvl w:val="1"/>
          <w:numId w:val="56"/>
        </w:numPr>
        <w:spacing w:before="240"/>
        <w:ind w:left="426"/>
        <w:outlineLvl w:val="3"/>
        <w:rPr>
          <w:rFonts w:eastAsiaTheme="majorEastAsia" w:cstheme="majorBidi"/>
          <w:bCs/>
          <w:iCs/>
          <w:noProof/>
          <w:color w:val="00313C" w:themeColor="accent2"/>
          <w:spacing w:val="1"/>
          <w:sz w:val="32"/>
          <w:szCs w:val="32"/>
        </w:rPr>
      </w:pPr>
      <w:r w:rsidRPr="00E53E38">
        <w:rPr>
          <w:rFonts w:eastAsiaTheme="majorEastAsia" w:cstheme="majorBidi"/>
          <w:bCs/>
          <w:iCs/>
          <w:noProof/>
          <w:color w:val="00313C" w:themeColor="accent2"/>
          <w:spacing w:val="1"/>
          <w:sz w:val="32"/>
          <w:szCs w:val="32"/>
        </w:rPr>
        <w:t>Mid-Murray Site research activity</w:t>
      </w:r>
    </w:p>
    <w:p w14:paraId="01ED72CE" w14:textId="20F8E0CE" w:rsidR="00E53E38" w:rsidRPr="00E53E38" w:rsidRDefault="00E53E38" w:rsidP="00E53E38">
      <w:r w:rsidRPr="00E53E38">
        <w:t>Fieldwork undertaken in the Mid-Murray was predominantly in the Barmah–Millewa Forest but also included Kerang Lakes, Kow Swamp, Goulburn River, Campaspe River, Loddon River, Edward-Wakool Rivers and the Ovens River. All four themes undertook fieldwork at this site, as shown in</w:t>
      </w:r>
      <w:r w:rsidR="005031A5">
        <w:t xml:space="preserve"> Table 2</w:t>
      </w:r>
      <w:r w:rsidRPr="00E53E38">
        <w:t>. Sites by theme are shown in</w:t>
      </w:r>
      <w:r w:rsidR="005031A5">
        <w:t xml:space="preserve"> Figure 3</w:t>
      </w:r>
      <w:r w:rsidRPr="00E53E38">
        <w:t>.</w:t>
      </w:r>
    </w:p>
    <w:p w14:paraId="0D59EADC" w14:textId="77777777" w:rsidR="00E53E38" w:rsidRPr="00E53E38" w:rsidRDefault="00E53E38" w:rsidP="00E53E38">
      <w:r w:rsidRPr="00E53E38">
        <w:rPr>
          <w:noProof/>
        </w:rPr>
        <w:drawing>
          <wp:inline distT="0" distB="0" distL="0" distR="0" wp14:anchorId="36C37111" wp14:editId="02D56083">
            <wp:extent cx="6067425" cy="4495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EWKR_SiteReport_MidMurrayMap.tif"/>
                    <pic:cNvPicPr/>
                  </pic:nvPicPr>
                  <pic:blipFill rotWithShape="1">
                    <a:blip r:embed="rId38"/>
                    <a:srcRect l="4691" r="1923" b="2801"/>
                    <a:stretch/>
                  </pic:blipFill>
                  <pic:spPr bwMode="auto">
                    <a:xfrm>
                      <a:off x="0" y="0"/>
                      <a:ext cx="6068291" cy="4496442"/>
                    </a:xfrm>
                    <a:prstGeom prst="rect">
                      <a:avLst/>
                    </a:prstGeom>
                    <a:ln>
                      <a:noFill/>
                    </a:ln>
                    <a:extLst>
                      <a:ext uri="{53640926-AAD7-44D8-BBD7-CCE9431645EC}">
                        <a14:shadowObscured xmlns:a14="http://schemas.microsoft.com/office/drawing/2010/main"/>
                      </a:ext>
                    </a:extLst>
                  </pic:spPr>
                </pic:pic>
              </a:graphicData>
            </a:graphic>
          </wp:inline>
        </w:drawing>
      </w:r>
    </w:p>
    <w:p w14:paraId="4D93AFDD" w14:textId="78495122" w:rsidR="00E53E38" w:rsidRPr="00E53E38" w:rsidRDefault="00E53E38" w:rsidP="00E53E38">
      <w:pPr>
        <w:rPr>
          <w:sz w:val="20"/>
          <w:szCs w:val="20"/>
        </w:rPr>
      </w:pPr>
      <w:r w:rsidRPr="00E53E38">
        <w:rPr>
          <w:sz w:val="20"/>
          <w:szCs w:val="20"/>
        </w:rPr>
        <w:t xml:space="preserve">Figure </w:t>
      </w:r>
      <w:r w:rsidR="005031A5">
        <w:rPr>
          <w:sz w:val="20"/>
          <w:szCs w:val="20"/>
        </w:rPr>
        <w:t>3.</w:t>
      </w:r>
      <w:r w:rsidRPr="00E53E38">
        <w:rPr>
          <w:sz w:val="20"/>
          <w:szCs w:val="20"/>
        </w:rPr>
        <w:t xml:space="preserve"> Field sampling sites undertaken during the EWKR project in the Mid Murray.</w:t>
      </w:r>
    </w:p>
    <w:p w14:paraId="35CEA179" w14:textId="77777777" w:rsidR="00E53E38" w:rsidRPr="00E53E38" w:rsidRDefault="00E53E38" w:rsidP="00E53E38"/>
    <w:p w14:paraId="0B12A67F" w14:textId="77777777" w:rsidR="00C67378" w:rsidRDefault="00C67378" w:rsidP="00E53E38">
      <w:pPr>
        <w:spacing w:before="120" w:after="100"/>
        <w:sectPr w:rsidR="00C67378" w:rsidSect="007210D3">
          <w:headerReference w:type="even" r:id="rId39"/>
          <w:headerReference w:type="default" r:id="rId40"/>
          <w:footerReference w:type="even" r:id="rId41"/>
          <w:headerReference w:type="first" r:id="rId42"/>
          <w:footerReference w:type="first" r:id="rId43"/>
          <w:pgSz w:w="11906" w:h="16838"/>
          <w:pgMar w:top="1134" w:right="1134" w:bottom="1134" w:left="1134" w:header="624" w:footer="624" w:gutter="0"/>
          <w:cols w:space="708"/>
          <w:docGrid w:linePitch="360"/>
        </w:sectPr>
      </w:pPr>
    </w:p>
    <w:p w14:paraId="781E8EEB" w14:textId="62F75E58" w:rsidR="00E53E38" w:rsidRPr="00E53E38" w:rsidRDefault="00E53E38" w:rsidP="00E53E38">
      <w:pPr>
        <w:keepNext/>
        <w:spacing w:before="120"/>
        <w:contextualSpacing/>
        <w:rPr>
          <w:bCs/>
          <w:color w:val="auto"/>
          <w:sz w:val="20"/>
          <w:szCs w:val="18"/>
        </w:rPr>
      </w:pPr>
      <w:r w:rsidRPr="00E53E38">
        <w:rPr>
          <w:bCs/>
          <w:color w:val="auto"/>
          <w:sz w:val="20"/>
          <w:szCs w:val="18"/>
        </w:rPr>
        <w:t xml:space="preserve">Table </w:t>
      </w:r>
      <w:r w:rsidRPr="00E53E38">
        <w:rPr>
          <w:bCs/>
          <w:noProof/>
          <w:color w:val="auto"/>
          <w:sz w:val="20"/>
          <w:szCs w:val="18"/>
        </w:rPr>
        <w:fldChar w:fldCharType="begin"/>
      </w:r>
      <w:r w:rsidRPr="00E53E38">
        <w:rPr>
          <w:bCs/>
          <w:noProof/>
          <w:color w:val="auto"/>
          <w:sz w:val="20"/>
          <w:szCs w:val="18"/>
        </w:rPr>
        <w:instrText xml:space="preserve"> SEQ Table \* ARABIC </w:instrText>
      </w:r>
      <w:r w:rsidRPr="00E53E38">
        <w:rPr>
          <w:bCs/>
          <w:noProof/>
          <w:color w:val="auto"/>
          <w:sz w:val="20"/>
          <w:szCs w:val="18"/>
        </w:rPr>
        <w:fldChar w:fldCharType="separate"/>
      </w:r>
      <w:r w:rsidR="001976CD">
        <w:rPr>
          <w:bCs/>
          <w:noProof/>
          <w:color w:val="auto"/>
          <w:sz w:val="20"/>
          <w:szCs w:val="18"/>
        </w:rPr>
        <w:t>2</w:t>
      </w:r>
      <w:r w:rsidRPr="00E53E38">
        <w:rPr>
          <w:bCs/>
          <w:noProof/>
          <w:color w:val="auto"/>
          <w:sz w:val="20"/>
          <w:szCs w:val="18"/>
        </w:rPr>
        <w:fldChar w:fldCharType="end"/>
      </w:r>
      <w:r w:rsidRPr="00E53E38">
        <w:rPr>
          <w:bCs/>
          <w:color w:val="auto"/>
          <w:sz w:val="20"/>
          <w:szCs w:val="18"/>
        </w:rPr>
        <w:t>. Research activities undertaken by themes in the Mid Murray with the activity and question listed for reference to EWKR reports.</w:t>
      </w:r>
    </w:p>
    <w:tbl>
      <w:tblPr>
        <w:tblStyle w:val="DSITIA-Blue"/>
        <w:tblW w:w="10355" w:type="dxa"/>
        <w:jc w:val="cente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1E0" w:firstRow="1" w:lastRow="1" w:firstColumn="1" w:lastColumn="1" w:noHBand="0" w:noVBand="0"/>
      </w:tblPr>
      <w:tblGrid>
        <w:gridCol w:w="1140"/>
        <w:gridCol w:w="2866"/>
        <w:gridCol w:w="4195"/>
        <w:gridCol w:w="2154"/>
      </w:tblGrid>
      <w:tr w:rsidR="00E53E38" w:rsidRPr="00E53E38" w14:paraId="685ACD82" w14:textId="77777777" w:rsidTr="00E53E3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vAlign w:val="center"/>
          </w:tcPr>
          <w:p w14:paraId="475DC93A" w14:textId="77777777" w:rsidR="00E53E38" w:rsidRPr="00E53E38" w:rsidRDefault="00E53E38" w:rsidP="00E53E38">
            <w:pPr>
              <w:spacing w:after="0"/>
              <w:jc w:val="both"/>
              <w:rPr>
                <w:rFonts w:asciiTheme="minorHAnsi" w:eastAsia="Times New Roman" w:hAnsiTheme="minorHAnsi" w:cstheme="minorHAnsi"/>
                <w:b/>
                <w:kern w:val="28"/>
                <w:sz w:val="20"/>
                <w:szCs w:val="20"/>
                <w:lang w:eastAsia="en-US"/>
              </w:rPr>
            </w:pPr>
            <w:r w:rsidRPr="00E53E38">
              <w:rPr>
                <w:rFonts w:asciiTheme="minorHAnsi" w:eastAsia="Times New Roman" w:hAnsiTheme="minorHAnsi" w:cstheme="minorHAnsi"/>
                <w:b/>
                <w:kern w:val="28"/>
                <w:sz w:val="20"/>
                <w:szCs w:val="20"/>
                <w:lang w:eastAsia="en-US"/>
              </w:rPr>
              <w:t>Theme</w:t>
            </w:r>
          </w:p>
        </w:tc>
        <w:tc>
          <w:tcPr>
            <w:tcW w:w="0" w:type="auto"/>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vAlign w:val="center"/>
            <w:hideMark/>
          </w:tcPr>
          <w:p w14:paraId="73FD99A6" w14:textId="77777777" w:rsidR="00E53E38" w:rsidRPr="00E53E38" w:rsidRDefault="00E53E38" w:rsidP="00C67378">
            <w:pPr>
              <w:spacing w:after="100"/>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kern w:val="28"/>
                <w:sz w:val="20"/>
                <w:szCs w:val="20"/>
                <w:lang w:eastAsia="en-US"/>
              </w:rPr>
            </w:pPr>
            <w:r w:rsidRPr="00E53E38">
              <w:rPr>
                <w:rFonts w:asciiTheme="minorHAnsi" w:eastAsia="Times New Roman" w:hAnsiTheme="minorHAnsi" w:cstheme="minorHAnsi"/>
                <w:b/>
                <w:kern w:val="28"/>
                <w:sz w:val="20"/>
                <w:szCs w:val="20"/>
                <w:lang w:eastAsia="en-US"/>
              </w:rPr>
              <w:t>Component – Activity</w:t>
            </w:r>
          </w:p>
        </w:tc>
        <w:tc>
          <w:tcPr>
            <w:tcW w:w="0" w:type="auto"/>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vAlign w:val="center"/>
            <w:hideMark/>
          </w:tcPr>
          <w:p w14:paraId="62FC5E81" w14:textId="77777777" w:rsidR="00E53E38" w:rsidRPr="00E53E38" w:rsidRDefault="00E53E38" w:rsidP="00E53E38">
            <w:pPr>
              <w:spacing w:after="0"/>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kern w:val="28"/>
                <w:sz w:val="20"/>
                <w:szCs w:val="20"/>
                <w:lang w:eastAsia="en-US"/>
              </w:rPr>
            </w:pPr>
            <w:r w:rsidRPr="00E53E38">
              <w:rPr>
                <w:rFonts w:asciiTheme="minorHAnsi" w:eastAsia="Times New Roman" w:hAnsiTheme="minorHAnsi" w:cstheme="minorHAnsi"/>
                <w:b/>
                <w:kern w:val="28"/>
                <w:sz w:val="20"/>
                <w:szCs w:val="20"/>
                <w:lang w:eastAsia="en-US"/>
              </w:rPr>
              <w:t>Research question</w:t>
            </w:r>
          </w:p>
        </w:tc>
        <w:tc>
          <w:tcPr>
            <w:tcW w:w="0" w:type="auto"/>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vAlign w:val="center"/>
            <w:hideMark/>
          </w:tcPr>
          <w:p w14:paraId="06C2559B" w14:textId="77777777" w:rsidR="00E53E38" w:rsidRPr="00E53E38" w:rsidRDefault="00E53E38" w:rsidP="00E53E38">
            <w:pPr>
              <w:spacing w:after="0"/>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kern w:val="28"/>
                <w:sz w:val="20"/>
                <w:szCs w:val="20"/>
                <w:lang w:eastAsia="en-US"/>
              </w:rPr>
            </w:pPr>
            <w:r w:rsidRPr="00E53E38">
              <w:rPr>
                <w:rFonts w:asciiTheme="minorHAnsi" w:eastAsia="Times New Roman" w:hAnsiTheme="minorHAnsi" w:cstheme="minorHAnsi"/>
                <w:b/>
                <w:kern w:val="28"/>
                <w:sz w:val="20"/>
                <w:szCs w:val="20"/>
                <w:lang w:eastAsia="en-US"/>
              </w:rPr>
              <w:t>Location</w:t>
            </w:r>
          </w:p>
        </w:tc>
      </w:tr>
      <w:tr w:rsidR="00E53E38" w:rsidRPr="00E53E38" w14:paraId="701C8FD3"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vAlign w:val="center"/>
          </w:tcPr>
          <w:p w14:paraId="7E8AE8E3" w14:textId="77777777" w:rsidR="00E53E38" w:rsidRPr="00E53E38" w:rsidRDefault="00E53E38" w:rsidP="00E53E38">
            <w:pPr>
              <w:spacing w:after="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Vegetation</w:t>
            </w:r>
          </w:p>
        </w:tc>
        <w:tc>
          <w:tcPr>
            <w:tcW w:w="0" w:type="auto"/>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vAlign w:val="center"/>
            <w:hideMark/>
          </w:tcPr>
          <w:p w14:paraId="3215458D"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V3 — Field site assessments and germination trials</w:t>
            </w:r>
          </w:p>
        </w:tc>
        <w:tc>
          <w:tcPr>
            <w:tcW w:w="419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vAlign w:val="center"/>
          </w:tcPr>
          <w:p w14:paraId="7519FA13"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Are species unique to locations and are the relatively assemblages of species different at the four locations</w:t>
            </w:r>
          </w:p>
        </w:tc>
        <w:tc>
          <w:tcPr>
            <w:tcW w:w="215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vAlign w:val="center"/>
          </w:tcPr>
          <w:p w14:paraId="009BB287"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Barmah–Millewa Forest</w:t>
            </w:r>
          </w:p>
        </w:tc>
      </w:tr>
      <w:tr w:rsidR="00E53E38" w:rsidRPr="00E53E38" w14:paraId="44CEC236"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2C686FF" w14:textId="77777777" w:rsidR="00E53E38" w:rsidRPr="00E53E38" w:rsidRDefault="00E53E38" w:rsidP="00E53E38">
            <w:pPr>
              <w:spacing w:after="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Fish</w:t>
            </w:r>
          </w:p>
        </w:tc>
        <w:tc>
          <w:tcPr>
            <w:tcW w:w="0" w:type="auto"/>
            <w:tcMar>
              <w:top w:w="85" w:type="dxa"/>
              <w:left w:w="113" w:type="dxa"/>
              <w:bottom w:w="28" w:type="dxa"/>
              <w:right w:w="113" w:type="dxa"/>
            </w:tcMar>
            <w:vAlign w:val="center"/>
          </w:tcPr>
          <w:p w14:paraId="65358E85"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F2.3.1 — Thermal and nutritional regimes between channel and floodplain habitat</w:t>
            </w:r>
          </w:p>
        </w:tc>
        <w:tc>
          <w:tcPr>
            <w:tcW w:w="4195" w:type="dxa"/>
            <w:tcMar>
              <w:top w:w="85" w:type="dxa"/>
              <w:left w:w="113" w:type="dxa"/>
              <w:bottom w:w="28" w:type="dxa"/>
              <w:right w:w="113" w:type="dxa"/>
            </w:tcMar>
            <w:vAlign w:val="center"/>
          </w:tcPr>
          <w:p w14:paraId="52A972C3"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Comparison of the thermal and nutritional regimes among main channel and floodplain habitat patches</w:t>
            </w:r>
          </w:p>
        </w:tc>
        <w:tc>
          <w:tcPr>
            <w:tcW w:w="2154" w:type="dxa"/>
            <w:tcMar>
              <w:top w:w="85" w:type="dxa"/>
              <w:left w:w="113" w:type="dxa"/>
              <w:bottom w:w="28" w:type="dxa"/>
              <w:right w:w="113" w:type="dxa"/>
            </w:tcMar>
            <w:vAlign w:val="center"/>
          </w:tcPr>
          <w:p w14:paraId="49A472A3"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Ovens River</w:t>
            </w:r>
          </w:p>
        </w:tc>
      </w:tr>
      <w:tr w:rsidR="00E53E38" w:rsidRPr="00E53E38" w14:paraId="03BCE06A"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AFD7A24" w14:textId="77777777" w:rsidR="00E53E38" w:rsidRPr="00E53E38" w:rsidRDefault="00E53E38" w:rsidP="00E53E38">
            <w:pPr>
              <w:spacing w:after="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Fish</w:t>
            </w:r>
          </w:p>
        </w:tc>
        <w:tc>
          <w:tcPr>
            <w:tcW w:w="0" w:type="auto"/>
            <w:tcMar>
              <w:top w:w="85" w:type="dxa"/>
              <w:left w:w="113" w:type="dxa"/>
              <w:bottom w:w="28" w:type="dxa"/>
              <w:right w:w="113" w:type="dxa"/>
            </w:tcMar>
            <w:vAlign w:val="center"/>
          </w:tcPr>
          <w:p w14:paraId="79439FD3"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F2.3.2 — Thermal and nutritional zones</w:t>
            </w:r>
          </w:p>
        </w:tc>
        <w:tc>
          <w:tcPr>
            <w:tcW w:w="4195" w:type="dxa"/>
            <w:tcMar>
              <w:top w:w="85" w:type="dxa"/>
              <w:left w:w="113" w:type="dxa"/>
              <w:bottom w:w="28" w:type="dxa"/>
              <w:right w:w="113" w:type="dxa"/>
            </w:tcMar>
            <w:vAlign w:val="center"/>
          </w:tcPr>
          <w:p w14:paraId="32575F4F"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Identification of optimal thermal and nutritional zones, and the scales at which they function within a lowland river system</w:t>
            </w:r>
          </w:p>
        </w:tc>
        <w:tc>
          <w:tcPr>
            <w:tcW w:w="2154" w:type="dxa"/>
            <w:tcMar>
              <w:top w:w="85" w:type="dxa"/>
              <w:left w:w="113" w:type="dxa"/>
              <w:bottom w:w="28" w:type="dxa"/>
              <w:right w:w="113" w:type="dxa"/>
            </w:tcMar>
            <w:vAlign w:val="center"/>
          </w:tcPr>
          <w:p w14:paraId="5CF024B3"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Ovens River</w:t>
            </w:r>
          </w:p>
        </w:tc>
      </w:tr>
      <w:tr w:rsidR="00E53E38" w:rsidRPr="00E53E38" w14:paraId="525A65EC"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FF9FFDF" w14:textId="77777777" w:rsidR="00E53E38" w:rsidRPr="00E53E38" w:rsidRDefault="00E53E38" w:rsidP="00E53E38">
            <w:pPr>
              <w:spacing w:after="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Fish</w:t>
            </w:r>
          </w:p>
        </w:tc>
        <w:tc>
          <w:tcPr>
            <w:tcW w:w="0" w:type="auto"/>
            <w:tcMar>
              <w:top w:w="85" w:type="dxa"/>
              <w:left w:w="113" w:type="dxa"/>
              <w:bottom w:w="28" w:type="dxa"/>
              <w:right w:w="113" w:type="dxa"/>
            </w:tcMar>
            <w:vAlign w:val="center"/>
          </w:tcPr>
          <w:p w14:paraId="34DA0526"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F2.4 — Relationship of structure and hydrodynamics to patterns of larval settlement and retention</w:t>
            </w:r>
          </w:p>
        </w:tc>
        <w:tc>
          <w:tcPr>
            <w:tcW w:w="4195" w:type="dxa"/>
            <w:tcMar>
              <w:top w:w="85" w:type="dxa"/>
              <w:left w:w="113" w:type="dxa"/>
              <w:bottom w:w="28" w:type="dxa"/>
              <w:right w:w="113" w:type="dxa"/>
            </w:tcMar>
            <w:vAlign w:val="center"/>
          </w:tcPr>
          <w:p w14:paraId="2B045574"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Investigating the relationship between flow, structural habitat, hydrodynamics and patterns of larval settlement and retention</w:t>
            </w:r>
          </w:p>
        </w:tc>
        <w:tc>
          <w:tcPr>
            <w:tcW w:w="2154" w:type="dxa"/>
            <w:tcMar>
              <w:top w:w="85" w:type="dxa"/>
              <w:left w:w="113" w:type="dxa"/>
              <w:bottom w:w="28" w:type="dxa"/>
              <w:right w:w="113" w:type="dxa"/>
            </w:tcMar>
            <w:vAlign w:val="center"/>
          </w:tcPr>
          <w:p w14:paraId="604F0407"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Ovens River</w:t>
            </w:r>
          </w:p>
        </w:tc>
      </w:tr>
      <w:tr w:rsidR="00E53E38" w:rsidRPr="00E53E38" w14:paraId="41C84337"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04DF5B" w14:textId="77777777" w:rsidR="00E53E38" w:rsidRPr="00E53E38" w:rsidRDefault="00E53E38" w:rsidP="00E53E38">
            <w:pPr>
              <w:spacing w:after="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Fish</w:t>
            </w:r>
          </w:p>
        </w:tc>
        <w:tc>
          <w:tcPr>
            <w:tcW w:w="0" w:type="auto"/>
            <w:tcMar>
              <w:top w:w="85" w:type="dxa"/>
              <w:left w:w="113" w:type="dxa"/>
              <w:bottom w:w="28" w:type="dxa"/>
              <w:right w:w="113" w:type="dxa"/>
            </w:tcMar>
            <w:vAlign w:val="center"/>
          </w:tcPr>
          <w:p w14:paraId="62F990FB"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F2.5 — Population dynamics of golden perch and Murray cod</w:t>
            </w:r>
          </w:p>
        </w:tc>
        <w:tc>
          <w:tcPr>
            <w:tcW w:w="4195" w:type="dxa"/>
            <w:tcMar>
              <w:top w:w="85" w:type="dxa"/>
              <w:left w:w="113" w:type="dxa"/>
              <w:bottom w:w="28" w:type="dxa"/>
              <w:right w:w="113" w:type="dxa"/>
            </w:tcMar>
            <w:vAlign w:val="center"/>
          </w:tcPr>
          <w:p w14:paraId="1B3BCED1"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Basin-scale population dynamics of golden perch and Murray cod: relating flow to provenance, movement and recruitment in the Murray–Darling Basin</w:t>
            </w:r>
          </w:p>
        </w:tc>
        <w:tc>
          <w:tcPr>
            <w:tcW w:w="2154" w:type="dxa"/>
            <w:tcMar>
              <w:top w:w="85" w:type="dxa"/>
              <w:left w:w="113" w:type="dxa"/>
              <w:bottom w:w="28" w:type="dxa"/>
              <w:right w:w="113" w:type="dxa"/>
            </w:tcMar>
            <w:vAlign w:val="center"/>
          </w:tcPr>
          <w:p w14:paraId="6079F566"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 xml:space="preserve">Loddon, Campaspe, Goulburn and Murray Rivers </w:t>
            </w:r>
          </w:p>
        </w:tc>
      </w:tr>
      <w:tr w:rsidR="00E53E38" w:rsidRPr="00E53E38" w14:paraId="7FA09AE6"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AC763CE" w14:textId="77777777" w:rsidR="00E53E38" w:rsidRPr="00E53E38" w:rsidRDefault="00E53E38" w:rsidP="00E53E38">
            <w:pPr>
              <w:spacing w:after="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Waterbirds</w:t>
            </w:r>
          </w:p>
        </w:tc>
        <w:tc>
          <w:tcPr>
            <w:tcW w:w="0" w:type="auto"/>
            <w:tcMar>
              <w:top w:w="85" w:type="dxa"/>
              <w:left w:w="113" w:type="dxa"/>
              <w:bottom w:w="28" w:type="dxa"/>
              <w:right w:w="113" w:type="dxa"/>
            </w:tcMar>
            <w:vAlign w:val="center"/>
          </w:tcPr>
          <w:p w14:paraId="0E4CB2FA"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B2.4 — Field research analyses</w:t>
            </w:r>
          </w:p>
        </w:tc>
        <w:tc>
          <w:tcPr>
            <w:tcW w:w="4195" w:type="dxa"/>
            <w:tcMar>
              <w:top w:w="85" w:type="dxa"/>
              <w:left w:w="113" w:type="dxa"/>
              <w:bottom w:w="28" w:type="dxa"/>
              <w:right w:w="113" w:type="dxa"/>
            </w:tcMar>
            <w:vAlign w:val="center"/>
          </w:tcPr>
          <w:p w14:paraId="2F7ACBD5"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lang w:eastAsia="en-US"/>
              </w:rPr>
            </w:pPr>
            <w:r w:rsidRPr="00E53E38">
              <w:rPr>
                <w:rFonts w:asciiTheme="minorHAnsi" w:eastAsia="Times New Roman" w:hAnsiTheme="minorHAnsi" w:cstheme="minorHAnsi"/>
                <w:color w:val="auto"/>
                <w:sz w:val="20"/>
                <w:lang w:eastAsia="en-US"/>
              </w:rPr>
              <w:t>Tagged nests, water depths and nesting habitat data analyses</w:t>
            </w:r>
          </w:p>
        </w:tc>
        <w:tc>
          <w:tcPr>
            <w:tcW w:w="2154" w:type="dxa"/>
            <w:tcMar>
              <w:top w:w="85" w:type="dxa"/>
              <w:left w:w="113" w:type="dxa"/>
              <w:bottom w:w="28" w:type="dxa"/>
              <w:right w:w="113" w:type="dxa"/>
            </w:tcMar>
            <w:vAlign w:val="center"/>
          </w:tcPr>
          <w:p w14:paraId="14EA67E6"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Reed Beds, Millewa</w:t>
            </w:r>
          </w:p>
        </w:tc>
      </w:tr>
      <w:tr w:rsidR="00E53E38" w:rsidRPr="00E53E38" w14:paraId="59E80788"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635A2C" w14:textId="77777777" w:rsidR="00E53E38" w:rsidRPr="00E53E38" w:rsidRDefault="00E53E38" w:rsidP="00E53E38">
            <w:pPr>
              <w:spacing w:after="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Waterbirds</w:t>
            </w:r>
          </w:p>
        </w:tc>
        <w:tc>
          <w:tcPr>
            <w:tcW w:w="0" w:type="auto"/>
            <w:tcMar>
              <w:top w:w="85" w:type="dxa"/>
              <w:left w:w="113" w:type="dxa"/>
              <w:bottom w:w="28" w:type="dxa"/>
              <w:right w:w="113" w:type="dxa"/>
            </w:tcMar>
            <w:vAlign w:val="center"/>
          </w:tcPr>
          <w:p w14:paraId="31872420"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B2.4 — Field research analyses</w:t>
            </w:r>
          </w:p>
        </w:tc>
        <w:tc>
          <w:tcPr>
            <w:tcW w:w="4195" w:type="dxa"/>
            <w:tcMar>
              <w:top w:w="85" w:type="dxa"/>
              <w:left w:w="113" w:type="dxa"/>
              <w:bottom w:w="28" w:type="dxa"/>
              <w:right w:w="113" w:type="dxa"/>
            </w:tcMar>
            <w:vAlign w:val="center"/>
          </w:tcPr>
          <w:p w14:paraId="2881A6CF"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lang w:eastAsia="en-US"/>
              </w:rPr>
            </w:pPr>
            <w:r w:rsidRPr="00E53E38">
              <w:rPr>
                <w:rFonts w:asciiTheme="minorHAnsi" w:eastAsia="Times New Roman" w:hAnsiTheme="minorHAnsi" w:cstheme="minorHAnsi"/>
                <w:color w:val="auto"/>
                <w:sz w:val="20"/>
                <w:lang w:eastAsia="en-US"/>
              </w:rPr>
              <w:t>Colony mapping</w:t>
            </w:r>
          </w:p>
        </w:tc>
        <w:tc>
          <w:tcPr>
            <w:tcW w:w="2154" w:type="dxa"/>
            <w:tcMar>
              <w:top w:w="85" w:type="dxa"/>
              <w:left w:w="113" w:type="dxa"/>
              <w:bottom w:w="28" w:type="dxa"/>
              <w:right w:w="113" w:type="dxa"/>
            </w:tcMar>
            <w:vAlign w:val="center"/>
          </w:tcPr>
          <w:p w14:paraId="10E91C1C"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Reed Beds, Millewa</w:t>
            </w:r>
          </w:p>
        </w:tc>
      </w:tr>
      <w:tr w:rsidR="00E53E38" w:rsidRPr="00E53E38" w14:paraId="7D10EB50"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575D070" w14:textId="77777777" w:rsidR="00E53E38" w:rsidRPr="00E53E38" w:rsidRDefault="00E53E38" w:rsidP="00E53E38">
            <w:pPr>
              <w:spacing w:after="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Waterbirds</w:t>
            </w:r>
          </w:p>
        </w:tc>
        <w:tc>
          <w:tcPr>
            <w:tcW w:w="0" w:type="auto"/>
            <w:tcMar>
              <w:top w:w="85" w:type="dxa"/>
              <w:left w:w="113" w:type="dxa"/>
              <w:bottom w:w="28" w:type="dxa"/>
              <w:right w:w="113" w:type="dxa"/>
            </w:tcMar>
            <w:vAlign w:val="center"/>
          </w:tcPr>
          <w:p w14:paraId="03CA1EF9"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B2.4 — Field research analyses</w:t>
            </w:r>
          </w:p>
        </w:tc>
        <w:tc>
          <w:tcPr>
            <w:tcW w:w="4195" w:type="dxa"/>
            <w:tcMar>
              <w:top w:w="85" w:type="dxa"/>
              <w:left w:w="113" w:type="dxa"/>
              <w:bottom w:w="28" w:type="dxa"/>
              <w:right w:w="113" w:type="dxa"/>
            </w:tcMar>
            <w:vAlign w:val="center"/>
          </w:tcPr>
          <w:p w14:paraId="7C12F877"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lang w:eastAsia="en-US"/>
              </w:rPr>
            </w:pPr>
            <w:r w:rsidRPr="00E53E38">
              <w:rPr>
                <w:rFonts w:asciiTheme="minorHAnsi" w:eastAsia="Times New Roman" w:hAnsiTheme="minorHAnsi" w:cstheme="minorHAnsi"/>
                <w:color w:val="auto"/>
                <w:sz w:val="20"/>
                <w:lang w:eastAsia="en-US"/>
              </w:rPr>
              <w:t>Similarities and differences in breeding ecology of straw-necked ibis and Australian white ibis in response to environmental flows (Honours thesis)</w:t>
            </w:r>
          </w:p>
        </w:tc>
        <w:tc>
          <w:tcPr>
            <w:tcW w:w="2154" w:type="dxa"/>
            <w:tcMar>
              <w:top w:w="85" w:type="dxa"/>
              <w:left w:w="113" w:type="dxa"/>
              <w:bottom w:w="28" w:type="dxa"/>
              <w:right w:w="113" w:type="dxa"/>
            </w:tcMar>
            <w:vAlign w:val="center"/>
          </w:tcPr>
          <w:p w14:paraId="7ED2EE67"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Barmah–Millewa Forest</w:t>
            </w:r>
          </w:p>
        </w:tc>
      </w:tr>
      <w:tr w:rsidR="00E53E38" w:rsidRPr="00E53E38" w14:paraId="07FC51AB"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204CAF" w14:textId="77777777" w:rsidR="00E53E38" w:rsidRPr="00E53E38" w:rsidRDefault="00E53E38" w:rsidP="00E53E38">
            <w:pPr>
              <w:spacing w:after="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Waterbirds</w:t>
            </w:r>
          </w:p>
        </w:tc>
        <w:tc>
          <w:tcPr>
            <w:tcW w:w="0" w:type="auto"/>
            <w:tcMar>
              <w:top w:w="85" w:type="dxa"/>
              <w:left w:w="113" w:type="dxa"/>
              <w:bottom w:w="28" w:type="dxa"/>
              <w:right w:w="113" w:type="dxa"/>
            </w:tcMar>
            <w:vAlign w:val="center"/>
          </w:tcPr>
          <w:p w14:paraId="2B2A895A"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B2.4 — Field research analyses</w:t>
            </w:r>
          </w:p>
        </w:tc>
        <w:tc>
          <w:tcPr>
            <w:tcW w:w="4195" w:type="dxa"/>
            <w:tcMar>
              <w:top w:w="85" w:type="dxa"/>
              <w:left w:w="113" w:type="dxa"/>
              <w:bottom w:w="28" w:type="dxa"/>
              <w:right w:w="113" w:type="dxa"/>
            </w:tcMar>
            <w:vAlign w:val="center"/>
          </w:tcPr>
          <w:p w14:paraId="19E408E1"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lang w:eastAsia="en-US"/>
              </w:rPr>
            </w:pPr>
            <w:r w:rsidRPr="00E53E38">
              <w:rPr>
                <w:rFonts w:asciiTheme="minorHAnsi" w:eastAsia="Times New Roman" w:hAnsiTheme="minorHAnsi" w:cstheme="minorHAnsi"/>
                <w:color w:val="auto"/>
                <w:sz w:val="20"/>
                <w:lang w:eastAsia="en-US"/>
              </w:rPr>
              <w:t>Satellite tracking bird movements</w:t>
            </w:r>
          </w:p>
        </w:tc>
        <w:tc>
          <w:tcPr>
            <w:tcW w:w="2154" w:type="dxa"/>
            <w:tcMar>
              <w:top w:w="85" w:type="dxa"/>
              <w:left w:w="113" w:type="dxa"/>
              <w:bottom w:w="28" w:type="dxa"/>
              <w:right w:w="113" w:type="dxa"/>
            </w:tcMar>
            <w:vAlign w:val="center"/>
          </w:tcPr>
          <w:p w14:paraId="5C3568A4"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Kerang wetlands, Kow Swamp, Barmah–Millewa Forest</w:t>
            </w:r>
          </w:p>
        </w:tc>
      </w:tr>
      <w:tr w:rsidR="00E53E38" w:rsidRPr="00E53E38" w14:paraId="6DF358B8"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5D5CAC9" w14:textId="77777777" w:rsidR="00E53E38" w:rsidRPr="00E53E38" w:rsidRDefault="00E53E38" w:rsidP="00E53E38">
            <w:pPr>
              <w:spacing w:after="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Waterbirds</w:t>
            </w:r>
          </w:p>
        </w:tc>
        <w:tc>
          <w:tcPr>
            <w:tcW w:w="0" w:type="auto"/>
            <w:tcMar>
              <w:top w:w="85" w:type="dxa"/>
              <w:left w:w="113" w:type="dxa"/>
              <w:bottom w:w="28" w:type="dxa"/>
              <w:right w:w="113" w:type="dxa"/>
            </w:tcMar>
            <w:vAlign w:val="center"/>
          </w:tcPr>
          <w:p w14:paraId="25D16DAB"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B2.4 — Field research analyses</w:t>
            </w:r>
          </w:p>
        </w:tc>
        <w:tc>
          <w:tcPr>
            <w:tcW w:w="4195" w:type="dxa"/>
            <w:tcMar>
              <w:top w:w="85" w:type="dxa"/>
              <w:left w:w="113" w:type="dxa"/>
              <w:bottom w:w="28" w:type="dxa"/>
              <w:right w:w="113" w:type="dxa"/>
            </w:tcMar>
            <w:vAlign w:val="center"/>
          </w:tcPr>
          <w:p w14:paraId="6E68FB48"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lang w:eastAsia="en-US"/>
              </w:rPr>
            </w:pPr>
            <w:r w:rsidRPr="00E53E38">
              <w:rPr>
                <w:rFonts w:asciiTheme="minorHAnsi" w:eastAsia="Times New Roman" w:hAnsiTheme="minorHAnsi" w:cstheme="minorHAnsi"/>
                <w:color w:val="auto"/>
                <w:sz w:val="20"/>
                <w:lang w:eastAsia="en-US"/>
              </w:rPr>
              <w:t>Motion-sensing and time-lapse camera nest monitoring</w:t>
            </w:r>
          </w:p>
        </w:tc>
        <w:tc>
          <w:tcPr>
            <w:tcW w:w="2154" w:type="dxa"/>
            <w:tcMar>
              <w:top w:w="85" w:type="dxa"/>
              <w:left w:w="113" w:type="dxa"/>
              <w:bottom w:w="28" w:type="dxa"/>
              <w:right w:w="113" w:type="dxa"/>
            </w:tcMar>
            <w:vAlign w:val="center"/>
          </w:tcPr>
          <w:p w14:paraId="4C7CE1E8"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Reed Beds, Millewa</w:t>
            </w:r>
          </w:p>
        </w:tc>
      </w:tr>
      <w:tr w:rsidR="00E53E38" w:rsidRPr="00E53E38" w14:paraId="2674581B"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B9F8A13" w14:textId="77777777" w:rsidR="00E53E38" w:rsidRPr="00E53E38" w:rsidRDefault="00E53E38" w:rsidP="00E53E38">
            <w:pPr>
              <w:spacing w:after="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Waterbirds</w:t>
            </w:r>
          </w:p>
        </w:tc>
        <w:tc>
          <w:tcPr>
            <w:tcW w:w="0" w:type="auto"/>
            <w:tcMar>
              <w:top w:w="85" w:type="dxa"/>
              <w:left w:w="113" w:type="dxa"/>
              <w:bottom w:w="28" w:type="dxa"/>
              <w:right w:w="113" w:type="dxa"/>
            </w:tcMar>
            <w:vAlign w:val="center"/>
          </w:tcPr>
          <w:p w14:paraId="2280BEDD"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B2.4 — Field research analyses</w:t>
            </w:r>
          </w:p>
        </w:tc>
        <w:tc>
          <w:tcPr>
            <w:tcW w:w="4195" w:type="dxa"/>
            <w:tcMar>
              <w:top w:w="85" w:type="dxa"/>
              <w:left w:w="113" w:type="dxa"/>
              <w:bottom w:w="28" w:type="dxa"/>
              <w:right w:w="113" w:type="dxa"/>
            </w:tcMar>
            <w:vAlign w:val="center"/>
          </w:tcPr>
          <w:p w14:paraId="4026F475"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lang w:eastAsia="en-US"/>
              </w:rPr>
            </w:pPr>
            <w:r w:rsidRPr="00E53E38">
              <w:rPr>
                <w:rFonts w:asciiTheme="minorHAnsi" w:eastAsia="Times New Roman" w:hAnsiTheme="minorHAnsi" w:cstheme="minorHAnsi"/>
                <w:color w:val="auto"/>
                <w:sz w:val="20"/>
                <w:lang w:eastAsia="en-US"/>
              </w:rPr>
              <w:t>Waterbird chick energy sources: Food Web cross-theme collaboration project</w:t>
            </w:r>
          </w:p>
        </w:tc>
        <w:tc>
          <w:tcPr>
            <w:tcW w:w="2154" w:type="dxa"/>
            <w:tcMar>
              <w:top w:w="85" w:type="dxa"/>
              <w:left w:w="113" w:type="dxa"/>
              <w:bottom w:w="28" w:type="dxa"/>
              <w:right w:w="113" w:type="dxa"/>
            </w:tcMar>
            <w:vAlign w:val="center"/>
          </w:tcPr>
          <w:p w14:paraId="317D13FB"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Kerang wetlands, Kow Swamp, Barmah–Millewa Forest</w:t>
            </w:r>
          </w:p>
        </w:tc>
      </w:tr>
      <w:tr w:rsidR="00E53E38" w:rsidRPr="00E53E38" w14:paraId="02A8C2F4"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864C811" w14:textId="77777777" w:rsidR="00E53E38" w:rsidRPr="00E53E38" w:rsidRDefault="00E53E38" w:rsidP="00E53E38">
            <w:pPr>
              <w:spacing w:after="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Waterbirds</w:t>
            </w:r>
          </w:p>
        </w:tc>
        <w:tc>
          <w:tcPr>
            <w:tcW w:w="0" w:type="auto"/>
            <w:tcMar>
              <w:top w:w="85" w:type="dxa"/>
              <w:left w:w="113" w:type="dxa"/>
              <w:bottom w:w="28" w:type="dxa"/>
              <w:right w:w="113" w:type="dxa"/>
            </w:tcMar>
            <w:vAlign w:val="center"/>
          </w:tcPr>
          <w:p w14:paraId="2D5C2039"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B2.4 — Field research analyses</w:t>
            </w:r>
          </w:p>
        </w:tc>
        <w:tc>
          <w:tcPr>
            <w:tcW w:w="4195" w:type="dxa"/>
            <w:tcMar>
              <w:top w:w="85" w:type="dxa"/>
              <w:left w:w="113" w:type="dxa"/>
              <w:bottom w:w="28" w:type="dxa"/>
              <w:right w:w="113" w:type="dxa"/>
            </w:tcMar>
            <w:vAlign w:val="center"/>
          </w:tcPr>
          <w:p w14:paraId="424D01B3"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lang w:eastAsia="en-US"/>
              </w:rPr>
            </w:pPr>
            <w:r w:rsidRPr="00E53E38">
              <w:rPr>
                <w:rFonts w:asciiTheme="minorHAnsi" w:eastAsia="Times New Roman" w:hAnsiTheme="minorHAnsi" w:cstheme="minorHAnsi"/>
                <w:color w:val="auto"/>
                <w:sz w:val="20"/>
                <w:lang w:eastAsia="en-US"/>
              </w:rPr>
              <w:t>Ibis and spoonbill chick energy requirements</w:t>
            </w:r>
          </w:p>
        </w:tc>
        <w:tc>
          <w:tcPr>
            <w:tcW w:w="2154" w:type="dxa"/>
            <w:tcMar>
              <w:top w:w="85" w:type="dxa"/>
              <w:left w:w="113" w:type="dxa"/>
              <w:bottom w:w="28" w:type="dxa"/>
              <w:right w:w="113" w:type="dxa"/>
            </w:tcMar>
            <w:vAlign w:val="center"/>
          </w:tcPr>
          <w:p w14:paraId="1F470573"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Reed Beds, Millewa</w:t>
            </w:r>
          </w:p>
        </w:tc>
      </w:tr>
      <w:tr w:rsidR="00E53E38" w:rsidRPr="00E53E38" w14:paraId="5AC6123F"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F4BCAA2" w14:textId="77777777" w:rsidR="00E53E38" w:rsidRPr="00E53E38" w:rsidRDefault="00E53E38" w:rsidP="00E53E38">
            <w:pPr>
              <w:spacing w:after="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Food webs</w:t>
            </w:r>
          </w:p>
        </w:tc>
        <w:tc>
          <w:tcPr>
            <w:tcW w:w="0" w:type="auto"/>
            <w:tcMar>
              <w:top w:w="85" w:type="dxa"/>
              <w:left w:w="113" w:type="dxa"/>
              <w:bottom w:w="28" w:type="dxa"/>
              <w:right w:w="113" w:type="dxa"/>
            </w:tcMar>
            <w:vAlign w:val="center"/>
          </w:tcPr>
          <w:p w14:paraId="39A960FA"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Component W2 — Identifying critical basal resources</w:t>
            </w:r>
          </w:p>
        </w:tc>
        <w:tc>
          <w:tcPr>
            <w:tcW w:w="4195" w:type="dxa"/>
            <w:tcMar>
              <w:top w:w="85" w:type="dxa"/>
              <w:left w:w="113" w:type="dxa"/>
              <w:bottom w:w="28" w:type="dxa"/>
              <w:right w:w="113" w:type="dxa"/>
            </w:tcMar>
            <w:vAlign w:val="center"/>
          </w:tcPr>
          <w:p w14:paraId="31FA232C"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lang w:eastAsia="en-US"/>
              </w:rPr>
            </w:pPr>
            <w:r w:rsidRPr="00E53E38">
              <w:rPr>
                <w:rFonts w:asciiTheme="minorHAnsi" w:eastAsia="Times New Roman" w:hAnsiTheme="minorHAnsi" w:cstheme="minorHAnsi"/>
                <w:color w:val="auto"/>
                <w:sz w:val="20"/>
                <w:lang w:eastAsia="en-US"/>
              </w:rPr>
              <w:t>2.1 — Fish field program</w:t>
            </w:r>
          </w:p>
        </w:tc>
        <w:tc>
          <w:tcPr>
            <w:tcW w:w="2154" w:type="dxa"/>
            <w:tcMar>
              <w:top w:w="85" w:type="dxa"/>
              <w:left w:w="113" w:type="dxa"/>
              <w:bottom w:w="28" w:type="dxa"/>
              <w:right w:w="113" w:type="dxa"/>
            </w:tcMar>
            <w:vAlign w:val="center"/>
          </w:tcPr>
          <w:p w14:paraId="64242C58"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Ovens River</w:t>
            </w:r>
          </w:p>
        </w:tc>
      </w:tr>
      <w:tr w:rsidR="00E53E38" w:rsidRPr="00E53E38" w14:paraId="353B2627"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B6D266" w14:textId="77777777" w:rsidR="00E53E38" w:rsidRPr="00E53E38" w:rsidRDefault="00E53E38" w:rsidP="00E53E38">
            <w:pPr>
              <w:spacing w:after="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Food webs</w:t>
            </w:r>
          </w:p>
        </w:tc>
        <w:tc>
          <w:tcPr>
            <w:tcW w:w="0" w:type="auto"/>
            <w:tcMar>
              <w:top w:w="85" w:type="dxa"/>
              <w:left w:w="113" w:type="dxa"/>
              <w:bottom w:w="28" w:type="dxa"/>
              <w:right w:w="113" w:type="dxa"/>
            </w:tcMar>
            <w:vAlign w:val="center"/>
          </w:tcPr>
          <w:p w14:paraId="2FB29941"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Component W2 — Identifying critical basal resources</w:t>
            </w:r>
          </w:p>
        </w:tc>
        <w:tc>
          <w:tcPr>
            <w:tcW w:w="4195" w:type="dxa"/>
            <w:tcMar>
              <w:top w:w="85" w:type="dxa"/>
              <w:left w:w="113" w:type="dxa"/>
              <w:bottom w:w="28" w:type="dxa"/>
              <w:right w:w="113" w:type="dxa"/>
            </w:tcMar>
            <w:vAlign w:val="center"/>
          </w:tcPr>
          <w:p w14:paraId="71AE1260"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lang w:eastAsia="en-US"/>
              </w:rPr>
            </w:pPr>
            <w:r w:rsidRPr="00E53E38">
              <w:rPr>
                <w:rFonts w:asciiTheme="minorHAnsi" w:eastAsia="Times New Roman" w:hAnsiTheme="minorHAnsi" w:cstheme="minorHAnsi"/>
                <w:color w:val="auto"/>
                <w:sz w:val="20"/>
                <w:lang w:eastAsia="en-US"/>
              </w:rPr>
              <w:t>2.2</w:t>
            </w:r>
            <w:r w:rsidRPr="00E53E38">
              <w:rPr>
                <w:rFonts w:asciiTheme="minorHAnsi" w:eastAsia="Times New Roman" w:hAnsiTheme="minorHAnsi" w:cstheme="minorHAnsi"/>
                <w:b/>
                <w:color w:val="auto"/>
                <w:sz w:val="20"/>
                <w:lang w:eastAsia="en-US"/>
              </w:rPr>
              <w:t xml:space="preserve"> </w:t>
            </w:r>
            <w:r w:rsidRPr="00E53E38">
              <w:rPr>
                <w:rFonts w:asciiTheme="minorHAnsi" w:eastAsia="Times New Roman" w:hAnsiTheme="minorHAnsi" w:cstheme="minorHAnsi"/>
                <w:color w:val="auto"/>
                <w:sz w:val="20"/>
                <w:lang w:eastAsia="en-US"/>
              </w:rPr>
              <w:t>—</w:t>
            </w:r>
            <w:r w:rsidRPr="00E53E38">
              <w:rPr>
                <w:rFonts w:asciiTheme="minorHAnsi" w:eastAsia="Times New Roman" w:hAnsiTheme="minorHAnsi" w:cstheme="minorHAnsi"/>
                <w:b/>
                <w:color w:val="auto"/>
                <w:sz w:val="20"/>
                <w:lang w:eastAsia="en-US"/>
              </w:rPr>
              <w:t xml:space="preserve"> </w:t>
            </w:r>
            <w:r w:rsidRPr="00E53E38">
              <w:rPr>
                <w:rFonts w:asciiTheme="minorHAnsi" w:eastAsia="Times New Roman" w:hAnsiTheme="minorHAnsi" w:cstheme="minorHAnsi"/>
                <w:color w:val="auto"/>
                <w:sz w:val="20"/>
                <w:lang w:eastAsia="en-US"/>
              </w:rPr>
              <w:t>Waterbird food requirements research program</w:t>
            </w:r>
          </w:p>
        </w:tc>
        <w:tc>
          <w:tcPr>
            <w:tcW w:w="2154" w:type="dxa"/>
            <w:tcMar>
              <w:top w:w="85" w:type="dxa"/>
              <w:left w:w="113" w:type="dxa"/>
              <w:bottom w:w="28" w:type="dxa"/>
              <w:right w:w="113" w:type="dxa"/>
            </w:tcMar>
            <w:vAlign w:val="center"/>
          </w:tcPr>
          <w:p w14:paraId="3E03DCD1"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Barmah–Millewa Forest</w:t>
            </w:r>
          </w:p>
        </w:tc>
      </w:tr>
      <w:tr w:rsidR="00E53E38" w:rsidRPr="00E53E38" w14:paraId="426F137F"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33730C" w14:textId="77777777" w:rsidR="00E53E38" w:rsidRPr="00E53E38" w:rsidRDefault="00E53E38" w:rsidP="00E53E38">
            <w:pPr>
              <w:spacing w:after="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Food webs</w:t>
            </w:r>
          </w:p>
        </w:tc>
        <w:tc>
          <w:tcPr>
            <w:tcW w:w="0" w:type="auto"/>
            <w:tcMar>
              <w:top w:w="85" w:type="dxa"/>
              <w:left w:w="113" w:type="dxa"/>
              <w:bottom w:w="28" w:type="dxa"/>
              <w:right w:w="113" w:type="dxa"/>
            </w:tcMar>
            <w:vAlign w:val="center"/>
          </w:tcPr>
          <w:p w14:paraId="05D154C7"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Component W2 — Identifying critical basal resources</w:t>
            </w:r>
          </w:p>
        </w:tc>
        <w:tc>
          <w:tcPr>
            <w:tcW w:w="4195" w:type="dxa"/>
            <w:tcMar>
              <w:top w:w="85" w:type="dxa"/>
              <w:left w:w="113" w:type="dxa"/>
              <w:bottom w:w="28" w:type="dxa"/>
              <w:right w:w="113" w:type="dxa"/>
            </w:tcMar>
            <w:vAlign w:val="center"/>
          </w:tcPr>
          <w:p w14:paraId="4AADF95C"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lang w:eastAsia="en-US"/>
              </w:rPr>
            </w:pPr>
            <w:r w:rsidRPr="00E53E38">
              <w:rPr>
                <w:rFonts w:asciiTheme="minorHAnsi" w:eastAsia="Times New Roman" w:hAnsiTheme="minorHAnsi" w:cstheme="minorHAnsi"/>
                <w:color w:val="auto"/>
                <w:sz w:val="20"/>
                <w:lang w:eastAsia="en-US"/>
              </w:rPr>
              <w:t>2.4 — Basin scale resource use by fish</w:t>
            </w:r>
          </w:p>
        </w:tc>
        <w:tc>
          <w:tcPr>
            <w:tcW w:w="2154" w:type="dxa"/>
            <w:tcMar>
              <w:top w:w="85" w:type="dxa"/>
              <w:left w:w="113" w:type="dxa"/>
              <w:bottom w:w="28" w:type="dxa"/>
              <w:right w:w="113" w:type="dxa"/>
            </w:tcMar>
            <w:vAlign w:val="center"/>
          </w:tcPr>
          <w:p w14:paraId="0F441890"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Edward-Wakool and Goulburn Rivers</w:t>
            </w:r>
          </w:p>
        </w:tc>
      </w:tr>
      <w:tr w:rsidR="00E53E38" w:rsidRPr="00E53E38" w14:paraId="6851D767"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A4BB80B" w14:textId="77777777" w:rsidR="00E53E38" w:rsidRPr="00E53E38" w:rsidRDefault="00E53E38" w:rsidP="00E53E38">
            <w:pPr>
              <w:spacing w:after="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Food webs</w:t>
            </w:r>
          </w:p>
        </w:tc>
        <w:tc>
          <w:tcPr>
            <w:tcW w:w="0" w:type="auto"/>
            <w:tcMar>
              <w:top w:w="85" w:type="dxa"/>
              <w:left w:w="113" w:type="dxa"/>
              <w:bottom w:w="28" w:type="dxa"/>
              <w:right w:w="113" w:type="dxa"/>
            </w:tcMar>
            <w:vAlign w:val="center"/>
          </w:tcPr>
          <w:p w14:paraId="05E04DB9"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Component W3 — Identifying important sites of production</w:t>
            </w:r>
          </w:p>
        </w:tc>
        <w:tc>
          <w:tcPr>
            <w:tcW w:w="4195" w:type="dxa"/>
            <w:tcMar>
              <w:top w:w="85" w:type="dxa"/>
              <w:left w:w="113" w:type="dxa"/>
              <w:bottom w:w="28" w:type="dxa"/>
              <w:right w:w="113" w:type="dxa"/>
            </w:tcMar>
            <w:vAlign w:val="center"/>
          </w:tcPr>
          <w:p w14:paraId="09126FE0"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lang w:eastAsia="en-US"/>
              </w:rPr>
            </w:pPr>
          </w:p>
        </w:tc>
        <w:tc>
          <w:tcPr>
            <w:tcW w:w="2154" w:type="dxa"/>
            <w:tcMar>
              <w:top w:w="85" w:type="dxa"/>
              <w:left w:w="113" w:type="dxa"/>
              <w:bottom w:w="28" w:type="dxa"/>
              <w:right w:w="113" w:type="dxa"/>
            </w:tcMar>
            <w:vAlign w:val="center"/>
          </w:tcPr>
          <w:p w14:paraId="235AAAA9"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Ovens River</w:t>
            </w:r>
          </w:p>
        </w:tc>
      </w:tr>
      <w:tr w:rsidR="00E53E38" w:rsidRPr="00E53E38" w14:paraId="04A7634F" w14:textId="77777777" w:rsidTr="00E53E38">
        <w:tblPrEx>
          <w:tblCellMar>
            <w:top w:w="85" w:type="dxa"/>
            <w:left w:w="113" w:type="dxa"/>
            <w:right w:w="113" w:type="dxa"/>
          </w:tblCellMar>
        </w:tblPrEx>
        <w:trPr>
          <w:cnfStyle w:val="010000000000" w:firstRow="0" w:lastRow="1"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C18B99" w14:textId="77777777" w:rsidR="00E53E38" w:rsidRPr="00E53E38" w:rsidRDefault="00E53E38" w:rsidP="00E53E38">
            <w:pPr>
              <w:spacing w:after="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Food webs</w:t>
            </w:r>
          </w:p>
        </w:tc>
        <w:tc>
          <w:tcPr>
            <w:tcW w:w="0" w:type="auto"/>
            <w:tcMar>
              <w:top w:w="85" w:type="dxa"/>
              <w:left w:w="113" w:type="dxa"/>
              <w:bottom w:w="28" w:type="dxa"/>
              <w:right w:w="113" w:type="dxa"/>
            </w:tcMar>
            <w:vAlign w:val="center"/>
          </w:tcPr>
          <w:p w14:paraId="6A1525C0" w14:textId="77777777" w:rsidR="00E53E38" w:rsidRPr="00E53E38" w:rsidRDefault="00E53E38" w:rsidP="00E53E38">
            <w:pPr>
              <w:spacing w:after="0"/>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Component W4 — Modelling bioenergetics within identified production sites</w:t>
            </w:r>
          </w:p>
        </w:tc>
        <w:tc>
          <w:tcPr>
            <w:tcW w:w="4195" w:type="dxa"/>
            <w:tcMar>
              <w:top w:w="85" w:type="dxa"/>
              <w:left w:w="113" w:type="dxa"/>
              <w:bottom w:w="28" w:type="dxa"/>
              <w:right w:w="113" w:type="dxa"/>
            </w:tcMar>
            <w:vAlign w:val="center"/>
          </w:tcPr>
          <w:p w14:paraId="4856274B" w14:textId="77777777" w:rsidR="00E53E38" w:rsidRPr="00E53E38" w:rsidRDefault="00E53E38" w:rsidP="00E53E38">
            <w:pPr>
              <w:spacing w:after="0"/>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lang w:eastAsia="en-US"/>
              </w:rPr>
            </w:pPr>
          </w:p>
        </w:tc>
        <w:tc>
          <w:tcPr>
            <w:tcW w:w="2154" w:type="dxa"/>
            <w:shd w:val="clear" w:color="auto" w:fill="auto"/>
            <w:tcMar>
              <w:top w:w="85" w:type="dxa"/>
              <w:left w:w="113" w:type="dxa"/>
              <w:bottom w:w="28" w:type="dxa"/>
              <w:right w:w="113" w:type="dxa"/>
            </w:tcMar>
            <w:vAlign w:val="center"/>
          </w:tcPr>
          <w:p w14:paraId="2C2E3B58" w14:textId="77777777" w:rsidR="00E53E38" w:rsidRPr="00E53E38" w:rsidRDefault="00E53E38" w:rsidP="00E53E38">
            <w:pPr>
              <w:spacing w:after="0"/>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lang w:eastAsia="en-US"/>
              </w:rPr>
            </w:pPr>
            <w:r w:rsidRPr="00E53E38">
              <w:rPr>
                <w:rFonts w:asciiTheme="minorHAnsi" w:eastAsia="Times New Roman" w:hAnsiTheme="minorHAnsi" w:cstheme="minorHAnsi"/>
                <w:color w:val="auto"/>
                <w:sz w:val="20"/>
                <w:lang w:eastAsia="en-US"/>
              </w:rPr>
              <w:t>Ovens River</w:t>
            </w:r>
          </w:p>
        </w:tc>
      </w:tr>
    </w:tbl>
    <w:p w14:paraId="535B1D9A" w14:textId="77777777" w:rsidR="00C67378" w:rsidRPr="00C67378" w:rsidRDefault="00C67378" w:rsidP="00C67378">
      <w:pPr>
        <w:sectPr w:rsidR="00C67378" w:rsidRPr="00C67378" w:rsidSect="007210D3">
          <w:pgSz w:w="11906" w:h="16838"/>
          <w:pgMar w:top="1134" w:right="1134" w:bottom="1134" w:left="1134" w:header="624" w:footer="624" w:gutter="0"/>
          <w:cols w:space="708"/>
          <w:docGrid w:linePitch="360"/>
        </w:sectPr>
      </w:pPr>
    </w:p>
    <w:p w14:paraId="249973FD" w14:textId="2B7F7292" w:rsidR="00E53E38" w:rsidRPr="00E53E38" w:rsidRDefault="00E53E38" w:rsidP="00E53E38">
      <w:pPr>
        <w:keepNext/>
        <w:keepLines/>
        <w:numPr>
          <w:ilvl w:val="1"/>
          <w:numId w:val="56"/>
        </w:numPr>
        <w:spacing w:before="240"/>
        <w:ind w:left="426"/>
        <w:outlineLvl w:val="3"/>
        <w:rPr>
          <w:rFonts w:eastAsiaTheme="majorEastAsia" w:cstheme="majorBidi"/>
          <w:bCs/>
          <w:iCs/>
          <w:noProof/>
          <w:color w:val="00313C" w:themeColor="accent2"/>
          <w:spacing w:val="1"/>
          <w:sz w:val="32"/>
          <w:szCs w:val="32"/>
        </w:rPr>
      </w:pPr>
      <w:r w:rsidRPr="00E53E38">
        <w:rPr>
          <w:rFonts w:eastAsiaTheme="majorEastAsia" w:cstheme="majorBidi"/>
          <w:bCs/>
          <w:iCs/>
          <w:noProof/>
          <w:color w:val="00313C" w:themeColor="accent2"/>
          <w:spacing w:val="1"/>
          <w:sz w:val="32"/>
          <w:szCs w:val="32"/>
        </w:rPr>
        <w:t>Lower-Murray Site research activity</w:t>
      </w:r>
    </w:p>
    <w:p w14:paraId="2E0383C8" w14:textId="28FD6D3E" w:rsidR="00E53E38" w:rsidRPr="00E53E38" w:rsidRDefault="00E53E38" w:rsidP="00E53E38">
      <w:r w:rsidRPr="00E53E38">
        <w:t>Fieldwork undertaken in the Lower Murray was predominantly in the Chowilla–Lindsay–Wallpolla floodplain but also included Hattah Lakes and Lower Murray River. Three themes undertook fieldwork at this site, as shown in</w:t>
      </w:r>
      <w:r w:rsidR="00C04EC6">
        <w:t xml:space="preserve"> Table 3</w:t>
      </w:r>
      <w:r w:rsidRPr="00E53E38">
        <w:t>. Sites by theme are shown in</w:t>
      </w:r>
      <w:r w:rsidR="00C04EC6">
        <w:t xml:space="preserve"> Figure 4</w:t>
      </w:r>
      <w:r w:rsidRPr="00E53E38">
        <w:t>.</w:t>
      </w:r>
    </w:p>
    <w:p w14:paraId="57E36573" w14:textId="77777777" w:rsidR="00E53E38" w:rsidRPr="00E53E38" w:rsidRDefault="00E53E38" w:rsidP="00E53E38">
      <w:r w:rsidRPr="00E53E38">
        <w:rPr>
          <w:noProof/>
        </w:rPr>
        <w:drawing>
          <wp:inline distT="0" distB="0" distL="0" distR="0" wp14:anchorId="4EE43211" wp14:editId="2361A406">
            <wp:extent cx="6120130" cy="4325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4325370"/>
                    </a:xfrm>
                    <a:prstGeom prst="rect">
                      <a:avLst/>
                    </a:prstGeom>
                    <a:noFill/>
                    <a:ln>
                      <a:noFill/>
                    </a:ln>
                  </pic:spPr>
                </pic:pic>
              </a:graphicData>
            </a:graphic>
          </wp:inline>
        </w:drawing>
      </w:r>
    </w:p>
    <w:p w14:paraId="2A2BCE7F" w14:textId="5BE50867" w:rsidR="00E53E38" w:rsidRPr="00E53E38" w:rsidRDefault="00E53E38" w:rsidP="00ED2B1B">
      <w:r w:rsidRPr="00E53E38">
        <w:rPr>
          <w:sz w:val="20"/>
          <w:szCs w:val="20"/>
        </w:rPr>
        <w:t>Figure</w:t>
      </w:r>
      <w:r w:rsidR="005031A5">
        <w:rPr>
          <w:sz w:val="20"/>
          <w:szCs w:val="20"/>
        </w:rPr>
        <w:t xml:space="preserve"> 4</w:t>
      </w:r>
      <w:r w:rsidRPr="00E53E38">
        <w:rPr>
          <w:sz w:val="20"/>
          <w:szCs w:val="20"/>
        </w:rPr>
        <w:t>. Field sampling sites undertaken during the EWKR project in the Lower Murray.</w:t>
      </w:r>
    </w:p>
    <w:p w14:paraId="6D9D9821" w14:textId="7DBC0CF0" w:rsidR="00E53E38" w:rsidRPr="00E53E38" w:rsidRDefault="00E53E38" w:rsidP="00E53E38">
      <w:pPr>
        <w:keepNext/>
        <w:spacing w:before="120"/>
        <w:contextualSpacing/>
        <w:rPr>
          <w:bCs/>
          <w:color w:val="auto"/>
          <w:sz w:val="20"/>
          <w:szCs w:val="18"/>
        </w:rPr>
      </w:pPr>
      <w:r w:rsidRPr="00E53E38">
        <w:rPr>
          <w:bCs/>
          <w:color w:val="auto"/>
          <w:sz w:val="20"/>
          <w:szCs w:val="18"/>
        </w:rPr>
        <w:t xml:space="preserve">Table </w:t>
      </w:r>
      <w:r w:rsidRPr="00E53E38">
        <w:rPr>
          <w:bCs/>
          <w:noProof/>
          <w:color w:val="auto"/>
          <w:sz w:val="20"/>
          <w:szCs w:val="18"/>
        </w:rPr>
        <w:fldChar w:fldCharType="begin"/>
      </w:r>
      <w:r w:rsidRPr="00E53E38">
        <w:rPr>
          <w:bCs/>
          <w:noProof/>
          <w:color w:val="auto"/>
          <w:sz w:val="20"/>
          <w:szCs w:val="18"/>
        </w:rPr>
        <w:instrText xml:space="preserve"> SEQ Table \* ARABIC </w:instrText>
      </w:r>
      <w:r w:rsidRPr="00E53E38">
        <w:rPr>
          <w:bCs/>
          <w:noProof/>
          <w:color w:val="auto"/>
          <w:sz w:val="20"/>
          <w:szCs w:val="18"/>
        </w:rPr>
        <w:fldChar w:fldCharType="separate"/>
      </w:r>
      <w:r w:rsidR="001976CD">
        <w:rPr>
          <w:bCs/>
          <w:noProof/>
          <w:color w:val="auto"/>
          <w:sz w:val="20"/>
          <w:szCs w:val="18"/>
        </w:rPr>
        <w:t>3</w:t>
      </w:r>
      <w:r w:rsidRPr="00E53E38">
        <w:rPr>
          <w:bCs/>
          <w:noProof/>
          <w:color w:val="auto"/>
          <w:sz w:val="20"/>
          <w:szCs w:val="18"/>
        </w:rPr>
        <w:fldChar w:fldCharType="end"/>
      </w:r>
      <w:r w:rsidRPr="00E53E38">
        <w:rPr>
          <w:bCs/>
          <w:color w:val="auto"/>
          <w:sz w:val="20"/>
          <w:szCs w:val="18"/>
        </w:rPr>
        <w:t>. Research activities undertaken by themes in the Lower Murray with the activity and question listed for reference to EWKR reports.</w:t>
      </w:r>
    </w:p>
    <w:tbl>
      <w:tblPr>
        <w:tblStyle w:val="DSITIA-Blue"/>
        <w:tblW w:w="0" w:type="auto"/>
        <w:jc w:val="cente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1E0" w:firstRow="1" w:lastRow="1" w:firstColumn="1" w:lastColumn="1" w:noHBand="0" w:noVBand="0"/>
      </w:tblPr>
      <w:tblGrid>
        <w:gridCol w:w="1120"/>
        <w:gridCol w:w="2334"/>
        <w:gridCol w:w="4488"/>
        <w:gridCol w:w="1683"/>
      </w:tblGrid>
      <w:tr w:rsidR="00E53E38" w:rsidRPr="00E53E38" w14:paraId="02EE1C6B" w14:textId="77777777" w:rsidTr="00E53E38">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vAlign w:val="center"/>
          </w:tcPr>
          <w:p w14:paraId="51E21A74" w14:textId="77777777" w:rsidR="00E53E38" w:rsidRPr="00E53E38" w:rsidRDefault="00E53E38" w:rsidP="00E53E38">
            <w:pPr>
              <w:spacing w:after="0"/>
              <w:rPr>
                <w:rFonts w:asciiTheme="minorHAnsi" w:eastAsia="Times New Roman" w:hAnsiTheme="minorHAnsi" w:cstheme="minorHAnsi"/>
                <w:b/>
                <w:color w:val="auto"/>
                <w:kern w:val="28"/>
                <w:sz w:val="20"/>
                <w:szCs w:val="20"/>
                <w:lang w:eastAsia="en-US"/>
              </w:rPr>
            </w:pPr>
            <w:r w:rsidRPr="00E53E38">
              <w:rPr>
                <w:rFonts w:asciiTheme="minorHAnsi" w:eastAsia="Times New Roman" w:hAnsiTheme="minorHAnsi" w:cstheme="minorHAnsi"/>
                <w:b/>
                <w:color w:val="auto"/>
                <w:kern w:val="28"/>
                <w:sz w:val="20"/>
                <w:szCs w:val="20"/>
                <w:lang w:eastAsia="en-US"/>
              </w:rPr>
              <w:t>Theme</w:t>
            </w:r>
          </w:p>
        </w:tc>
        <w:tc>
          <w:tcPr>
            <w:tcW w:w="0" w:type="auto"/>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vAlign w:val="center"/>
            <w:hideMark/>
          </w:tcPr>
          <w:p w14:paraId="6A1DC6B4" w14:textId="77777777" w:rsidR="00E53E38" w:rsidRPr="00E53E38" w:rsidRDefault="00E53E38" w:rsidP="00E53E38">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kern w:val="28"/>
                <w:sz w:val="20"/>
                <w:szCs w:val="20"/>
                <w:lang w:eastAsia="en-US"/>
              </w:rPr>
            </w:pPr>
            <w:r w:rsidRPr="00E53E38">
              <w:rPr>
                <w:rFonts w:asciiTheme="minorHAnsi" w:eastAsia="Times New Roman" w:hAnsiTheme="minorHAnsi" w:cstheme="minorHAnsi"/>
                <w:b/>
                <w:color w:val="auto"/>
                <w:kern w:val="28"/>
                <w:sz w:val="20"/>
                <w:szCs w:val="20"/>
                <w:lang w:eastAsia="en-US"/>
              </w:rPr>
              <w:t>Component – Activity</w:t>
            </w:r>
          </w:p>
        </w:tc>
        <w:tc>
          <w:tcPr>
            <w:tcW w:w="0" w:type="auto"/>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vAlign w:val="center"/>
            <w:hideMark/>
          </w:tcPr>
          <w:p w14:paraId="135CDD2E" w14:textId="77777777" w:rsidR="00E53E38" w:rsidRPr="00E53E38" w:rsidRDefault="00E53E38" w:rsidP="00E53E38">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kern w:val="28"/>
                <w:sz w:val="20"/>
                <w:szCs w:val="20"/>
                <w:lang w:eastAsia="en-US"/>
              </w:rPr>
            </w:pPr>
            <w:r w:rsidRPr="00E53E38">
              <w:rPr>
                <w:rFonts w:asciiTheme="minorHAnsi" w:eastAsia="Times New Roman" w:hAnsiTheme="minorHAnsi" w:cstheme="minorHAnsi"/>
                <w:b/>
                <w:color w:val="auto"/>
                <w:kern w:val="28"/>
                <w:sz w:val="20"/>
                <w:szCs w:val="20"/>
                <w:lang w:eastAsia="en-US"/>
              </w:rPr>
              <w:t>Research question</w:t>
            </w:r>
          </w:p>
        </w:tc>
        <w:tc>
          <w:tcPr>
            <w:tcW w:w="0" w:type="auto"/>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vAlign w:val="center"/>
            <w:hideMark/>
          </w:tcPr>
          <w:p w14:paraId="6C9DF5DD" w14:textId="77777777" w:rsidR="00E53E38" w:rsidRPr="00E53E38" w:rsidRDefault="00E53E38" w:rsidP="00E53E38">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kern w:val="28"/>
                <w:sz w:val="20"/>
                <w:szCs w:val="20"/>
                <w:lang w:eastAsia="en-US"/>
              </w:rPr>
            </w:pPr>
            <w:r w:rsidRPr="00E53E38">
              <w:rPr>
                <w:rFonts w:asciiTheme="minorHAnsi" w:eastAsia="Times New Roman" w:hAnsiTheme="minorHAnsi" w:cstheme="minorHAnsi"/>
                <w:b/>
                <w:color w:val="auto"/>
                <w:kern w:val="28"/>
                <w:sz w:val="20"/>
                <w:szCs w:val="20"/>
                <w:lang w:eastAsia="en-US"/>
              </w:rPr>
              <w:t>Location</w:t>
            </w:r>
          </w:p>
        </w:tc>
      </w:tr>
      <w:tr w:rsidR="00E53E38" w:rsidRPr="00E53E38" w14:paraId="3C6CFA8C"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vAlign w:val="center"/>
          </w:tcPr>
          <w:p w14:paraId="03C4F58A" w14:textId="77777777" w:rsidR="00E53E38" w:rsidRPr="00E53E38" w:rsidRDefault="00E53E38" w:rsidP="00E53E38">
            <w:pPr>
              <w:spacing w:after="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Vegetation</w:t>
            </w:r>
          </w:p>
        </w:tc>
        <w:tc>
          <w:tcPr>
            <w:tcW w:w="0" w:type="auto"/>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vAlign w:val="center"/>
            <w:hideMark/>
          </w:tcPr>
          <w:p w14:paraId="360C593F"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 xml:space="preserve">V2 </w:t>
            </w:r>
            <w:r w:rsidRPr="00E53E38">
              <w:rPr>
                <w:rFonts w:asciiTheme="minorHAnsi" w:eastAsia="Times New Roman" w:hAnsiTheme="minorHAnsi"/>
                <w:color w:val="auto"/>
                <w:lang w:eastAsia="en-US"/>
              </w:rPr>
              <w:t xml:space="preserve">— </w:t>
            </w:r>
            <w:r w:rsidRPr="00E53E38">
              <w:rPr>
                <w:rFonts w:asciiTheme="minorHAnsi" w:eastAsia="Times New Roman" w:hAnsiTheme="minorHAnsi"/>
                <w:color w:val="auto"/>
                <w:sz w:val="20"/>
                <w:lang w:eastAsia="en-US"/>
              </w:rPr>
              <w:t>Data integration and synthesis</w:t>
            </w:r>
          </w:p>
        </w:tc>
        <w:tc>
          <w:tcPr>
            <w:tcW w:w="0" w:type="auto"/>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vAlign w:val="center"/>
          </w:tcPr>
          <w:p w14:paraId="12C89382"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Disentangling flow-vegetation relationships and legacy effects to inform environmental flows</w:t>
            </w:r>
          </w:p>
        </w:tc>
        <w:tc>
          <w:tcPr>
            <w:tcW w:w="0" w:type="auto"/>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vAlign w:val="center"/>
            <w:hideMark/>
          </w:tcPr>
          <w:p w14:paraId="33CF8D50"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Hattah Lakes</w:t>
            </w:r>
          </w:p>
        </w:tc>
      </w:tr>
      <w:tr w:rsidR="00E53E38" w:rsidRPr="00E53E38" w14:paraId="422AD5AD"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vAlign w:val="center"/>
          </w:tcPr>
          <w:p w14:paraId="3BD4A773" w14:textId="77777777" w:rsidR="00E53E38" w:rsidRPr="00E53E38" w:rsidRDefault="00E53E38" w:rsidP="00E53E38">
            <w:pPr>
              <w:spacing w:after="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Vegetation</w:t>
            </w:r>
          </w:p>
        </w:tc>
        <w:tc>
          <w:tcPr>
            <w:tcW w:w="0" w:type="auto"/>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vAlign w:val="center"/>
            <w:hideMark/>
          </w:tcPr>
          <w:p w14:paraId="6828B167"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 xml:space="preserve">V3 </w:t>
            </w:r>
            <w:r w:rsidRPr="00E53E38">
              <w:rPr>
                <w:rFonts w:asciiTheme="minorHAnsi" w:eastAsia="Times New Roman" w:hAnsiTheme="minorHAnsi"/>
                <w:color w:val="auto"/>
                <w:lang w:eastAsia="en-US"/>
              </w:rPr>
              <w:t xml:space="preserve">— </w:t>
            </w:r>
            <w:r w:rsidRPr="00E53E38">
              <w:rPr>
                <w:rFonts w:asciiTheme="minorHAnsi" w:eastAsia="Times New Roman" w:hAnsiTheme="minorHAnsi"/>
                <w:color w:val="auto"/>
                <w:sz w:val="20"/>
                <w:lang w:eastAsia="en-US"/>
              </w:rPr>
              <w:t>Field site assessments and germination trials</w:t>
            </w:r>
          </w:p>
        </w:tc>
        <w:tc>
          <w:tcPr>
            <w:tcW w:w="0" w:type="auto"/>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vAlign w:val="center"/>
          </w:tcPr>
          <w:p w14:paraId="7C2AB952"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Are species unique to locations and are the relatively assemblages of species different at the four locations</w:t>
            </w:r>
          </w:p>
        </w:tc>
        <w:tc>
          <w:tcPr>
            <w:tcW w:w="0" w:type="auto"/>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vAlign w:val="center"/>
          </w:tcPr>
          <w:p w14:paraId="0E147721"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Chowilla–Lindsay–Wallpolla floodplain</w:t>
            </w:r>
          </w:p>
        </w:tc>
      </w:tr>
      <w:tr w:rsidR="00E53E38" w:rsidRPr="00E53E38" w14:paraId="2C696BD1"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541988" w14:textId="77777777" w:rsidR="00E53E38" w:rsidRPr="00E53E38" w:rsidRDefault="00E53E38" w:rsidP="00E53E38">
            <w:pPr>
              <w:spacing w:after="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Fish</w:t>
            </w:r>
          </w:p>
        </w:tc>
        <w:tc>
          <w:tcPr>
            <w:tcW w:w="0" w:type="auto"/>
            <w:tcMar>
              <w:top w:w="85" w:type="dxa"/>
              <w:left w:w="113" w:type="dxa"/>
              <w:bottom w:w="28" w:type="dxa"/>
              <w:right w:w="113" w:type="dxa"/>
            </w:tcMar>
            <w:vAlign w:val="center"/>
          </w:tcPr>
          <w:p w14:paraId="3564150E"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F2.5 — Population dynamics of golden perch and Murray cod</w:t>
            </w:r>
          </w:p>
        </w:tc>
        <w:tc>
          <w:tcPr>
            <w:tcW w:w="0" w:type="auto"/>
            <w:tcMar>
              <w:top w:w="85" w:type="dxa"/>
              <w:left w:w="113" w:type="dxa"/>
              <w:bottom w:w="28" w:type="dxa"/>
              <w:right w:w="113" w:type="dxa"/>
            </w:tcMar>
            <w:vAlign w:val="center"/>
          </w:tcPr>
          <w:p w14:paraId="5B8878BA"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Basin-scale population dynamics of golden perch and Murray cod: relating flow to provenance, movement and recruitment in the Murray–Darling Basin</w:t>
            </w:r>
          </w:p>
        </w:tc>
        <w:tc>
          <w:tcPr>
            <w:tcW w:w="0" w:type="auto"/>
            <w:tcMar>
              <w:top w:w="85" w:type="dxa"/>
              <w:left w:w="113" w:type="dxa"/>
              <w:bottom w:w="28" w:type="dxa"/>
              <w:right w:w="113" w:type="dxa"/>
            </w:tcMar>
            <w:vAlign w:val="center"/>
          </w:tcPr>
          <w:p w14:paraId="1D8C5A1A"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Lower Murray River</w:t>
            </w:r>
          </w:p>
        </w:tc>
      </w:tr>
      <w:tr w:rsidR="00E53E38" w:rsidRPr="00E53E38" w14:paraId="4DA05D91" w14:textId="77777777" w:rsidTr="00E53E38">
        <w:tblPrEx>
          <w:tblCellMar>
            <w:top w:w="85" w:type="dxa"/>
            <w:left w:w="113" w:type="dxa"/>
            <w:right w:w="113" w:type="dxa"/>
          </w:tblCellMar>
        </w:tblPrEx>
        <w:trPr>
          <w:cnfStyle w:val="010000000000" w:firstRow="0" w:lastRow="1"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359F8A1" w14:textId="77777777" w:rsidR="00E53E38" w:rsidRPr="00E53E38" w:rsidRDefault="00E53E38" w:rsidP="00E53E38">
            <w:pPr>
              <w:spacing w:after="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Food webs</w:t>
            </w:r>
          </w:p>
        </w:tc>
        <w:tc>
          <w:tcPr>
            <w:tcW w:w="0" w:type="auto"/>
            <w:tcMar>
              <w:top w:w="85" w:type="dxa"/>
              <w:left w:w="113" w:type="dxa"/>
              <w:bottom w:w="28" w:type="dxa"/>
              <w:right w:w="113" w:type="dxa"/>
            </w:tcMar>
            <w:vAlign w:val="center"/>
          </w:tcPr>
          <w:p w14:paraId="0DA4322D" w14:textId="77777777" w:rsidR="00E53E38" w:rsidRPr="00E53E38" w:rsidRDefault="00E53E38" w:rsidP="00E53E38">
            <w:pPr>
              <w:spacing w:after="0"/>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Component W2 — Identifying critical basal resources</w:t>
            </w:r>
          </w:p>
        </w:tc>
        <w:tc>
          <w:tcPr>
            <w:tcW w:w="0" w:type="auto"/>
            <w:tcMar>
              <w:top w:w="85" w:type="dxa"/>
              <w:left w:w="113" w:type="dxa"/>
              <w:bottom w:w="28" w:type="dxa"/>
              <w:right w:w="113" w:type="dxa"/>
            </w:tcMar>
            <w:vAlign w:val="center"/>
          </w:tcPr>
          <w:p w14:paraId="6F259B39" w14:textId="77777777" w:rsidR="00E53E38" w:rsidRPr="00E53E38" w:rsidRDefault="00E53E38" w:rsidP="00E53E38">
            <w:pPr>
              <w:spacing w:after="0"/>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2.4 — Basin scale resource use by fish</w:t>
            </w:r>
          </w:p>
        </w:tc>
        <w:tc>
          <w:tcPr>
            <w:tcW w:w="0" w:type="auto"/>
            <w:tcMar>
              <w:top w:w="85" w:type="dxa"/>
              <w:left w:w="113" w:type="dxa"/>
              <w:bottom w:w="28" w:type="dxa"/>
              <w:right w:w="113" w:type="dxa"/>
            </w:tcMar>
            <w:vAlign w:val="center"/>
          </w:tcPr>
          <w:p w14:paraId="10C0C05D" w14:textId="77777777" w:rsidR="00E53E38" w:rsidRPr="00E53E38" w:rsidRDefault="00E53E38" w:rsidP="00E53E38">
            <w:pPr>
              <w:spacing w:after="0"/>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Lower Murray River</w:t>
            </w:r>
          </w:p>
        </w:tc>
      </w:tr>
    </w:tbl>
    <w:p w14:paraId="1C325CD8" w14:textId="77777777" w:rsidR="00E53E38" w:rsidRPr="00E53E38" w:rsidRDefault="00E53E38" w:rsidP="00E53E38">
      <w:pPr>
        <w:keepNext/>
        <w:keepLines/>
        <w:numPr>
          <w:ilvl w:val="1"/>
          <w:numId w:val="56"/>
        </w:numPr>
        <w:spacing w:before="240"/>
        <w:ind w:left="426"/>
        <w:outlineLvl w:val="3"/>
        <w:rPr>
          <w:rFonts w:eastAsiaTheme="majorEastAsia" w:cstheme="majorBidi"/>
          <w:bCs/>
          <w:iCs/>
          <w:noProof/>
          <w:color w:val="00313C" w:themeColor="accent2"/>
          <w:spacing w:val="1"/>
          <w:sz w:val="32"/>
          <w:szCs w:val="32"/>
        </w:rPr>
      </w:pPr>
      <w:r w:rsidRPr="00E53E38">
        <w:rPr>
          <w:rFonts w:eastAsiaTheme="majorEastAsia" w:cstheme="majorBidi"/>
          <w:bCs/>
          <w:iCs/>
          <w:noProof/>
          <w:color w:val="00313C" w:themeColor="accent2"/>
          <w:spacing w:val="1"/>
          <w:sz w:val="32"/>
          <w:szCs w:val="32"/>
        </w:rPr>
        <w:t>Macquarie Marshes Site research activity</w:t>
      </w:r>
    </w:p>
    <w:p w14:paraId="532083CA" w14:textId="29632232" w:rsidR="00E53E38" w:rsidRPr="00E53E38" w:rsidRDefault="00E53E38" w:rsidP="00E53E38">
      <w:pPr>
        <w:spacing w:after="0"/>
      </w:pPr>
      <w:r w:rsidRPr="00E53E38">
        <w:t>Fieldwork undertaken was predominantly in the Macquarie Marshes but also included the Macquarie River. Three themes undertook fieldwork at this site, as shown in</w:t>
      </w:r>
      <w:r w:rsidR="00C04EC6">
        <w:t xml:space="preserve"> Table 4</w:t>
      </w:r>
      <w:r w:rsidRPr="00E53E38">
        <w:t>. Sites by theme are shown in</w:t>
      </w:r>
      <w:r w:rsidR="00C04EC6">
        <w:t xml:space="preserve"> Figure 5</w:t>
      </w:r>
      <w:r w:rsidRPr="00E53E38">
        <w:t>.</w:t>
      </w:r>
    </w:p>
    <w:p w14:paraId="216CB480" w14:textId="77777777" w:rsidR="00E53E38" w:rsidRPr="00E53E38" w:rsidRDefault="00E53E38" w:rsidP="00ED2B1B">
      <w:pPr>
        <w:spacing w:before="60" w:after="60"/>
      </w:pPr>
      <w:r w:rsidRPr="00E53E38">
        <w:rPr>
          <w:noProof/>
        </w:rPr>
        <w:drawing>
          <wp:inline distT="0" distB="0" distL="0" distR="0" wp14:anchorId="73DE4F98" wp14:editId="1D766A12">
            <wp:extent cx="5686425" cy="4133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a:extLst>
                        <a:ext uri="{28A0092B-C50C-407E-A947-70E740481C1C}">
                          <a14:useLocalDpi xmlns:a14="http://schemas.microsoft.com/office/drawing/2010/main" val="0"/>
                        </a:ext>
                      </a:extLst>
                    </a:blip>
                    <a:srcRect l="4368" t="1755" r="2496" b="3071"/>
                    <a:stretch/>
                  </pic:blipFill>
                  <pic:spPr bwMode="auto">
                    <a:xfrm>
                      <a:off x="0" y="0"/>
                      <a:ext cx="5686425" cy="4133850"/>
                    </a:xfrm>
                    <a:prstGeom prst="rect">
                      <a:avLst/>
                    </a:prstGeom>
                    <a:noFill/>
                    <a:ln>
                      <a:noFill/>
                    </a:ln>
                    <a:extLst>
                      <a:ext uri="{53640926-AAD7-44D8-BBD7-CCE9431645EC}">
                        <a14:shadowObscured xmlns:a14="http://schemas.microsoft.com/office/drawing/2010/main"/>
                      </a:ext>
                    </a:extLst>
                  </pic:spPr>
                </pic:pic>
              </a:graphicData>
            </a:graphic>
          </wp:inline>
        </w:drawing>
      </w:r>
    </w:p>
    <w:p w14:paraId="7FEB3124" w14:textId="7C803779" w:rsidR="00E53E38" w:rsidRPr="00E53E38" w:rsidRDefault="00E53E38" w:rsidP="00ED2B1B">
      <w:r w:rsidRPr="00E53E38">
        <w:rPr>
          <w:sz w:val="20"/>
          <w:szCs w:val="20"/>
        </w:rPr>
        <w:t>Figure</w:t>
      </w:r>
      <w:r w:rsidR="005031A5">
        <w:rPr>
          <w:sz w:val="20"/>
          <w:szCs w:val="20"/>
        </w:rPr>
        <w:t xml:space="preserve"> 5</w:t>
      </w:r>
      <w:r w:rsidRPr="00E53E38">
        <w:rPr>
          <w:sz w:val="20"/>
          <w:szCs w:val="20"/>
        </w:rPr>
        <w:t>. Field sampling sites undertaken during the EWKR project in the Macquarie Marshes.</w:t>
      </w:r>
    </w:p>
    <w:p w14:paraId="7CC91E0C" w14:textId="5C6C059C" w:rsidR="00E53E38" w:rsidRPr="00E53E38" w:rsidRDefault="00E53E38" w:rsidP="00E53E38">
      <w:pPr>
        <w:keepNext/>
        <w:spacing w:before="120"/>
        <w:contextualSpacing/>
        <w:rPr>
          <w:bCs/>
          <w:color w:val="auto"/>
          <w:sz w:val="20"/>
          <w:szCs w:val="18"/>
        </w:rPr>
      </w:pPr>
      <w:r w:rsidRPr="00E53E38">
        <w:rPr>
          <w:bCs/>
          <w:color w:val="auto"/>
          <w:sz w:val="20"/>
          <w:szCs w:val="18"/>
        </w:rPr>
        <w:t xml:space="preserve">Table </w:t>
      </w:r>
      <w:r w:rsidRPr="00E53E38">
        <w:rPr>
          <w:bCs/>
          <w:noProof/>
          <w:color w:val="auto"/>
          <w:sz w:val="20"/>
          <w:szCs w:val="18"/>
        </w:rPr>
        <w:fldChar w:fldCharType="begin"/>
      </w:r>
      <w:r w:rsidRPr="00E53E38">
        <w:rPr>
          <w:bCs/>
          <w:noProof/>
          <w:color w:val="auto"/>
          <w:sz w:val="20"/>
          <w:szCs w:val="18"/>
        </w:rPr>
        <w:instrText xml:space="preserve"> SEQ Table \* ARABIC </w:instrText>
      </w:r>
      <w:r w:rsidRPr="00E53E38">
        <w:rPr>
          <w:bCs/>
          <w:noProof/>
          <w:color w:val="auto"/>
          <w:sz w:val="20"/>
          <w:szCs w:val="18"/>
        </w:rPr>
        <w:fldChar w:fldCharType="separate"/>
      </w:r>
      <w:r w:rsidR="001976CD">
        <w:rPr>
          <w:bCs/>
          <w:noProof/>
          <w:color w:val="auto"/>
          <w:sz w:val="20"/>
          <w:szCs w:val="18"/>
        </w:rPr>
        <w:t>4</w:t>
      </w:r>
      <w:r w:rsidRPr="00E53E38">
        <w:rPr>
          <w:bCs/>
          <w:noProof/>
          <w:color w:val="auto"/>
          <w:sz w:val="20"/>
          <w:szCs w:val="18"/>
        </w:rPr>
        <w:fldChar w:fldCharType="end"/>
      </w:r>
      <w:r w:rsidRPr="00E53E38">
        <w:rPr>
          <w:bCs/>
          <w:color w:val="auto"/>
          <w:sz w:val="20"/>
          <w:szCs w:val="18"/>
        </w:rPr>
        <w:t>. Research activities undertaken by themes in the Macquarie Marshes with the activity and question listed for reference to EWKR reports.</w:t>
      </w:r>
    </w:p>
    <w:tbl>
      <w:tblPr>
        <w:tblStyle w:val="DSITIA-Blue"/>
        <w:tblW w:w="5076" w:type="pct"/>
        <w:jc w:val="cente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1E0" w:firstRow="1" w:lastRow="1" w:firstColumn="1" w:lastColumn="1" w:noHBand="0" w:noVBand="0"/>
      </w:tblPr>
      <w:tblGrid>
        <w:gridCol w:w="1209"/>
        <w:gridCol w:w="2910"/>
        <w:gridCol w:w="4196"/>
        <w:gridCol w:w="1456"/>
      </w:tblGrid>
      <w:tr w:rsidR="00E53E38" w:rsidRPr="00E53E38" w14:paraId="478EF87E" w14:textId="77777777" w:rsidTr="00E53E38">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619" w:type="pct"/>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vAlign w:val="center"/>
          </w:tcPr>
          <w:p w14:paraId="4A92A8D2" w14:textId="77777777" w:rsidR="00E53E38" w:rsidRPr="00E53E38" w:rsidRDefault="00E53E38" w:rsidP="00E53E38">
            <w:pPr>
              <w:spacing w:after="0"/>
              <w:rPr>
                <w:rFonts w:asciiTheme="minorHAnsi" w:eastAsia="Times New Roman" w:hAnsiTheme="minorHAnsi" w:cstheme="minorHAnsi"/>
                <w:b/>
                <w:color w:val="auto"/>
                <w:kern w:val="28"/>
                <w:sz w:val="20"/>
                <w:szCs w:val="20"/>
                <w:lang w:eastAsia="en-US"/>
              </w:rPr>
            </w:pPr>
            <w:r w:rsidRPr="00E53E38">
              <w:rPr>
                <w:rFonts w:asciiTheme="minorHAnsi" w:eastAsia="Times New Roman" w:hAnsiTheme="minorHAnsi" w:cstheme="minorHAnsi"/>
                <w:b/>
                <w:color w:val="auto"/>
                <w:kern w:val="28"/>
                <w:sz w:val="20"/>
                <w:szCs w:val="20"/>
                <w:lang w:eastAsia="en-US"/>
              </w:rPr>
              <w:t>Theme</w:t>
            </w:r>
          </w:p>
        </w:tc>
        <w:tc>
          <w:tcPr>
            <w:tcW w:w="1489" w:type="pct"/>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vAlign w:val="center"/>
            <w:hideMark/>
          </w:tcPr>
          <w:p w14:paraId="776360DE" w14:textId="77777777" w:rsidR="00E53E38" w:rsidRPr="00E53E38" w:rsidRDefault="00E53E38" w:rsidP="00E53E38">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kern w:val="28"/>
                <w:sz w:val="20"/>
                <w:szCs w:val="20"/>
                <w:lang w:eastAsia="en-US"/>
              </w:rPr>
            </w:pPr>
            <w:r w:rsidRPr="00E53E38">
              <w:rPr>
                <w:rFonts w:asciiTheme="minorHAnsi" w:eastAsia="Times New Roman" w:hAnsiTheme="minorHAnsi" w:cstheme="minorHAnsi"/>
                <w:b/>
                <w:color w:val="auto"/>
                <w:kern w:val="28"/>
                <w:sz w:val="20"/>
                <w:szCs w:val="20"/>
                <w:lang w:eastAsia="en-US"/>
              </w:rPr>
              <w:t>Component – Activity</w:t>
            </w:r>
          </w:p>
        </w:tc>
        <w:tc>
          <w:tcPr>
            <w:tcW w:w="2147" w:type="pct"/>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vAlign w:val="center"/>
            <w:hideMark/>
          </w:tcPr>
          <w:p w14:paraId="3A882A05" w14:textId="77777777" w:rsidR="00E53E38" w:rsidRPr="00E53E38" w:rsidRDefault="00E53E38" w:rsidP="00E53E38">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kern w:val="28"/>
                <w:sz w:val="20"/>
                <w:szCs w:val="20"/>
                <w:lang w:eastAsia="en-US"/>
              </w:rPr>
            </w:pPr>
            <w:r w:rsidRPr="00E53E38">
              <w:rPr>
                <w:rFonts w:asciiTheme="minorHAnsi" w:eastAsia="Times New Roman" w:hAnsiTheme="minorHAnsi" w:cstheme="minorHAnsi"/>
                <w:b/>
                <w:color w:val="auto"/>
                <w:kern w:val="28"/>
                <w:sz w:val="20"/>
                <w:szCs w:val="20"/>
                <w:lang w:eastAsia="en-US"/>
              </w:rPr>
              <w:t>Research question</w:t>
            </w:r>
          </w:p>
        </w:tc>
        <w:tc>
          <w:tcPr>
            <w:tcW w:w="746" w:type="pct"/>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vAlign w:val="center"/>
            <w:hideMark/>
          </w:tcPr>
          <w:p w14:paraId="14C0E7F2" w14:textId="77777777" w:rsidR="00E53E38" w:rsidRPr="00E53E38" w:rsidRDefault="00E53E38" w:rsidP="00E53E38">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kern w:val="28"/>
                <w:sz w:val="20"/>
                <w:szCs w:val="20"/>
                <w:lang w:eastAsia="en-US"/>
              </w:rPr>
            </w:pPr>
            <w:r w:rsidRPr="00E53E38">
              <w:rPr>
                <w:rFonts w:asciiTheme="minorHAnsi" w:eastAsia="Times New Roman" w:hAnsiTheme="minorHAnsi" w:cstheme="minorHAnsi"/>
                <w:b/>
                <w:color w:val="auto"/>
                <w:kern w:val="28"/>
                <w:sz w:val="20"/>
                <w:szCs w:val="20"/>
                <w:lang w:eastAsia="en-US"/>
              </w:rPr>
              <w:t>Location</w:t>
            </w:r>
          </w:p>
        </w:tc>
      </w:tr>
      <w:tr w:rsidR="00E53E38" w:rsidRPr="00E53E38" w14:paraId="3CB6F4EE"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619"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vAlign w:val="center"/>
          </w:tcPr>
          <w:p w14:paraId="52DFE1D9" w14:textId="77777777" w:rsidR="00E53E38" w:rsidRPr="00E53E38" w:rsidRDefault="00E53E38" w:rsidP="00E53E38">
            <w:pPr>
              <w:spacing w:after="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Vegetation</w:t>
            </w:r>
          </w:p>
        </w:tc>
        <w:tc>
          <w:tcPr>
            <w:tcW w:w="1489"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vAlign w:val="center"/>
            <w:hideMark/>
          </w:tcPr>
          <w:p w14:paraId="71E82722"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 xml:space="preserve">V1 </w:t>
            </w:r>
            <w:r w:rsidRPr="00E53E38">
              <w:rPr>
                <w:rFonts w:asciiTheme="minorHAnsi" w:eastAsia="Times New Roman" w:hAnsiTheme="minorHAnsi"/>
                <w:color w:val="auto"/>
                <w:lang w:eastAsia="en-US"/>
              </w:rPr>
              <w:t xml:space="preserve">— </w:t>
            </w:r>
            <w:r w:rsidRPr="00E53E38">
              <w:rPr>
                <w:rFonts w:asciiTheme="minorHAnsi" w:eastAsia="Times New Roman" w:hAnsiTheme="minorHAnsi"/>
                <w:color w:val="auto"/>
                <w:sz w:val="20"/>
                <w:lang w:eastAsia="en-US"/>
              </w:rPr>
              <w:t>Conceptualisation</w:t>
            </w:r>
          </w:p>
        </w:tc>
        <w:tc>
          <w:tcPr>
            <w:tcW w:w="2147"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vAlign w:val="center"/>
          </w:tcPr>
          <w:p w14:paraId="7232335E"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Evaluating wetland vegetation responses to environmental flows</w:t>
            </w:r>
          </w:p>
        </w:tc>
        <w:tc>
          <w:tcPr>
            <w:tcW w:w="746"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tcPr>
          <w:p w14:paraId="0AE98C45"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Macquarie Marshes</w:t>
            </w:r>
          </w:p>
        </w:tc>
      </w:tr>
      <w:tr w:rsidR="00E53E38" w:rsidRPr="00E53E38" w14:paraId="2E29A5CD"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619"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vAlign w:val="center"/>
          </w:tcPr>
          <w:p w14:paraId="51DF1B56" w14:textId="77777777" w:rsidR="00E53E38" w:rsidRPr="00E53E38" w:rsidRDefault="00E53E38" w:rsidP="00E53E38">
            <w:pPr>
              <w:spacing w:after="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Vegetation</w:t>
            </w:r>
          </w:p>
        </w:tc>
        <w:tc>
          <w:tcPr>
            <w:tcW w:w="1489"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vAlign w:val="center"/>
            <w:hideMark/>
          </w:tcPr>
          <w:p w14:paraId="77289A04"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 xml:space="preserve">V2 </w:t>
            </w:r>
            <w:r w:rsidRPr="00E53E38">
              <w:rPr>
                <w:rFonts w:asciiTheme="minorHAnsi" w:eastAsia="Times New Roman" w:hAnsiTheme="minorHAnsi"/>
                <w:color w:val="auto"/>
                <w:lang w:eastAsia="en-US"/>
              </w:rPr>
              <w:t xml:space="preserve">— </w:t>
            </w:r>
            <w:r w:rsidRPr="00E53E38">
              <w:rPr>
                <w:rFonts w:asciiTheme="minorHAnsi" w:eastAsia="Times New Roman" w:hAnsiTheme="minorHAnsi"/>
                <w:color w:val="auto"/>
                <w:sz w:val="20"/>
                <w:lang w:eastAsia="en-US"/>
              </w:rPr>
              <w:t>Data integration and synthesis</w:t>
            </w:r>
          </w:p>
        </w:tc>
        <w:tc>
          <w:tcPr>
            <w:tcW w:w="2147"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vAlign w:val="center"/>
          </w:tcPr>
          <w:p w14:paraId="6BA97B3E"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Disentangling flow-vegetation relationships and legacy effects to inform environmental flows</w:t>
            </w:r>
          </w:p>
        </w:tc>
        <w:tc>
          <w:tcPr>
            <w:tcW w:w="746"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tcPr>
          <w:p w14:paraId="5FE9FA06"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Macquarie Marshes</w:t>
            </w:r>
          </w:p>
        </w:tc>
      </w:tr>
      <w:tr w:rsidR="00E53E38" w:rsidRPr="00E53E38" w14:paraId="4EEECEEF"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619"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vAlign w:val="center"/>
          </w:tcPr>
          <w:p w14:paraId="0ECA7959" w14:textId="77777777" w:rsidR="00E53E38" w:rsidRPr="00E53E38" w:rsidRDefault="00E53E38" w:rsidP="00E53E38">
            <w:pPr>
              <w:spacing w:after="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Vegetation</w:t>
            </w:r>
          </w:p>
        </w:tc>
        <w:tc>
          <w:tcPr>
            <w:tcW w:w="1489"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vAlign w:val="center"/>
            <w:hideMark/>
          </w:tcPr>
          <w:p w14:paraId="089E16F0"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 xml:space="preserve">V3 </w:t>
            </w:r>
            <w:r w:rsidRPr="00E53E38">
              <w:rPr>
                <w:rFonts w:asciiTheme="minorHAnsi" w:eastAsia="Times New Roman" w:hAnsiTheme="minorHAnsi"/>
                <w:color w:val="auto"/>
                <w:lang w:eastAsia="en-US"/>
              </w:rPr>
              <w:t xml:space="preserve">— </w:t>
            </w:r>
            <w:r w:rsidRPr="00E53E38">
              <w:rPr>
                <w:rFonts w:asciiTheme="minorHAnsi" w:eastAsia="Times New Roman" w:hAnsiTheme="minorHAnsi"/>
                <w:color w:val="auto"/>
                <w:sz w:val="20"/>
                <w:lang w:eastAsia="en-US"/>
              </w:rPr>
              <w:t>Field site assessments and germination trials</w:t>
            </w:r>
          </w:p>
        </w:tc>
        <w:tc>
          <w:tcPr>
            <w:tcW w:w="2147"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vAlign w:val="center"/>
          </w:tcPr>
          <w:p w14:paraId="33E2B33B"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Are species unique to locations and are the relatively assemblages of species different at the four locations</w:t>
            </w:r>
          </w:p>
        </w:tc>
        <w:tc>
          <w:tcPr>
            <w:tcW w:w="746"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tcPr>
          <w:p w14:paraId="1B02A133"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Macquarie Marshes</w:t>
            </w:r>
          </w:p>
        </w:tc>
      </w:tr>
      <w:tr w:rsidR="00E53E38" w:rsidRPr="00E53E38" w14:paraId="7436B781"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619" w:type="pct"/>
            <w:vAlign w:val="center"/>
          </w:tcPr>
          <w:p w14:paraId="3A858383" w14:textId="77777777" w:rsidR="00E53E38" w:rsidRPr="00E53E38" w:rsidRDefault="00E53E38" w:rsidP="00E53E38">
            <w:pPr>
              <w:spacing w:after="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Vegetation</w:t>
            </w:r>
          </w:p>
        </w:tc>
        <w:tc>
          <w:tcPr>
            <w:tcW w:w="1489" w:type="pct"/>
            <w:tcMar>
              <w:top w:w="85" w:type="dxa"/>
              <w:left w:w="113" w:type="dxa"/>
              <w:bottom w:w="28" w:type="dxa"/>
              <w:right w:w="113" w:type="dxa"/>
            </w:tcMar>
            <w:vAlign w:val="center"/>
            <w:hideMark/>
          </w:tcPr>
          <w:p w14:paraId="2F130684"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 xml:space="preserve">V4 </w:t>
            </w:r>
            <w:r w:rsidRPr="00E53E38">
              <w:rPr>
                <w:rFonts w:asciiTheme="minorHAnsi" w:eastAsia="Times New Roman" w:hAnsiTheme="minorHAnsi"/>
                <w:color w:val="auto"/>
                <w:lang w:eastAsia="en-US"/>
              </w:rPr>
              <w:t xml:space="preserve">— </w:t>
            </w:r>
            <w:r w:rsidRPr="00E53E38">
              <w:rPr>
                <w:rFonts w:asciiTheme="minorHAnsi" w:eastAsia="Times New Roman" w:hAnsiTheme="minorHAnsi"/>
                <w:color w:val="auto"/>
                <w:sz w:val="20"/>
                <w:lang w:eastAsia="en-US"/>
              </w:rPr>
              <w:t>Mesocosm study</w:t>
            </w:r>
          </w:p>
        </w:tc>
        <w:tc>
          <w:tcPr>
            <w:tcW w:w="2147" w:type="pct"/>
            <w:tcMar>
              <w:top w:w="85" w:type="dxa"/>
              <w:left w:w="113" w:type="dxa"/>
              <w:bottom w:w="28" w:type="dxa"/>
              <w:right w:w="113" w:type="dxa"/>
            </w:tcMar>
            <w:vAlign w:val="center"/>
          </w:tcPr>
          <w:p w14:paraId="07EDCC33"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Establishment strategies of dominant trees of highly variable floodplains</w:t>
            </w:r>
          </w:p>
        </w:tc>
        <w:tc>
          <w:tcPr>
            <w:tcW w:w="746" w:type="pct"/>
            <w:tcMar>
              <w:top w:w="85" w:type="dxa"/>
              <w:left w:w="113" w:type="dxa"/>
              <w:bottom w:w="28" w:type="dxa"/>
              <w:right w:w="113" w:type="dxa"/>
            </w:tcMar>
          </w:tcPr>
          <w:p w14:paraId="48BF76A0"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Macquarie Marshes</w:t>
            </w:r>
          </w:p>
        </w:tc>
      </w:tr>
      <w:tr w:rsidR="00E53E38" w:rsidRPr="00E53E38" w14:paraId="276ABB83"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619" w:type="pct"/>
            <w:vAlign w:val="center"/>
          </w:tcPr>
          <w:p w14:paraId="722AD8D4" w14:textId="77777777" w:rsidR="00E53E38" w:rsidRPr="00E53E38" w:rsidRDefault="00E53E38" w:rsidP="00E53E38">
            <w:pPr>
              <w:spacing w:after="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Fish</w:t>
            </w:r>
          </w:p>
        </w:tc>
        <w:tc>
          <w:tcPr>
            <w:tcW w:w="1489" w:type="pct"/>
            <w:tcMar>
              <w:top w:w="85" w:type="dxa"/>
              <w:left w:w="113" w:type="dxa"/>
              <w:bottom w:w="28" w:type="dxa"/>
              <w:right w:w="113" w:type="dxa"/>
            </w:tcMar>
            <w:vAlign w:val="center"/>
          </w:tcPr>
          <w:p w14:paraId="70CD3EB7"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F2.5 — Population dynamics of golden perch and Murray cod</w:t>
            </w:r>
          </w:p>
        </w:tc>
        <w:tc>
          <w:tcPr>
            <w:tcW w:w="2147" w:type="pct"/>
            <w:tcMar>
              <w:top w:w="85" w:type="dxa"/>
              <w:left w:w="113" w:type="dxa"/>
              <w:bottom w:w="28" w:type="dxa"/>
              <w:right w:w="113" w:type="dxa"/>
            </w:tcMar>
            <w:vAlign w:val="center"/>
          </w:tcPr>
          <w:p w14:paraId="0CEBDC82"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Basin-scale population dynamics of golden perch and Murray cod: relating flow to provenance, movement and recruitment in the Murray–Darling Basin</w:t>
            </w:r>
          </w:p>
        </w:tc>
        <w:tc>
          <w:tcPr>
            <w:tcW w:w="746" w:type="pct"/>
            <w:tcMar>
              <w:top w:w="85" w:type="dxa"/>
              <w:left w:w="113" w:type="dxa"/>
              <w:bottom w:w="28" w:type="dxa"/>
              <w:right w:w="113" w:type="dxa"/>
            </w:tcMar>
            <w:vAlign w:val="center"/>
          </w:tcPr>
          <w:p w14:paraId="4F771B9A"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Macquarie River</w:t>
            </w:r>
          </w:p>
        </w:tc>
      </w:tr>
      <w:tr w:rsidR="00E53E38" w:rsidRPr="00E53E38" w14:paraId="48A3E5AD" w14:textId="77777777" w:rsidTr="00E53E38">
        <w:tblPrEx>
          <w:tblCellMar>
            <w:top w:w="85" w:type="dxa"/>
            <w:left w:w="113" w:type="dxa"/>
            <w:right w:w="113" w:type="dxa"/>
          </w:tblCellMar>
        </w:tblPrEx>
        <w:trPr>
          <w:cnfStyle w:val="010000000000" w:firstRow="0" w:lastRow="1"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19" w:type="pct"/>
            <w:vAlign w:val="center"/>
          </w:tcPr>
          <w:p w14:paraId="44A85EE4" w14:textId="77777777" w:rsidR="00E53E38" w:rsidRPr="00E53E38" w:rsidRDefault="00E53E38" w:rsidP="00E53E38">
            <w:pPr>
              <w:spacing w:after="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Waterbirds</w:t>
            </w:r>
          </w:p>
        </w:tc>
        <w:tc>
          <w:tcPr>
            <w:tcW w:w="1489" w:type="pct"/>
            <w:tcMar>
              <w:top w:w="85" w:type="dxa"/>
              <w:left w:w="113" w:type="dxa"/>
              <w:bottom w:w="28" w:type="dxa"/>
              <w:right w:w="113" w:type="dxa"/>
            </w:tcMar>
            <w:vAlign w:val="center"/>
          </w:tcPr>
          <w:p w14:paraId="0A4D238D" w14:textId="77777777" w:rsidR="00E53E38" w:rsidRPr="00E53E38" w:rsidRDefault="00E53E38" w:rsidP="00E53E38">
            <w:pPr>
              <w:spacing w:after="0"/>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B2.4 — 2018–19 Field research analyses</w:t>
            </w:r>
          </w:p>
        </w:tc>
        <w:tc>
          <w:tcPr>
            <w:tcW w:w="2147" w:type="pct"/>
            <w:tcMar>
              <w:top w:w="85" w:type="dxa"/>
              <w:left w:w="113" w:type="dxa"/>
              <w:bottom w:w="28" w:type="dxa"/>
              <w:right w:w="113" w:type="dxa"/>
            </w:tcMar>
            <w:vAlign w:val="center"/>
          </w:tcPr>
          <w:p w14:paraId="4C59A014" w14:textId="77777777" w:rsidR="00E53E38" w:rsidRPr="00E53E38" w:rsidRDefault="00E53E38" w:rsidP="00E53E38">
            <w:pPr>
              <w:spacing w:after="0"/>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Satellite tracking bird movements</w:t>
            </w:r>
          </w:p>
        </w:tc>
        <w:tc>
          <w:tcPr>
            <w:tcW w:w="746" w:type="pct"/>
            <w:tcMar>
              <w:top w:w="85" w:type="dxa"/>
              <w:left w:w="113" w:type="dxa"/>
              <w:bottom w:w="28" w:type="dxa"/>
              <w:right w:w="113" w:type="dxa"/>
            </w:tcMar>
            <w:vAlign w:val="center"/>
          </w:tcPr>
          <w:p w14:paraId="255F0086" w14:textId="77777777" w:rsidR="00E53E38" w:rsidRPr="00E53E38" w:rsidRDefault="00E53E38" w:rsidP="00E53E38">
            <w:pPr>
              <w:spacing w:after="0"/>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Macquarie Marshes</w:t>
            </w:r>
          </w:p>
        </w:tc>
      </w:tr>
    </w:tbl>
    <w:p w14:paraId="52AF053F" w14:textId="77777777" w:rsidR="00E53E38" w:rsidRPr="00E53E38" w:rsidRDefault="00E53E38" w:rsidP="00E53E38">
      <w:pPr>
        <w:keepNext/>
        <w:keepLines/>
        <w:numPr>
          <w:ilvl w:val="1"/>
          <w:numId w:val="56"/>
        </w:numPr>
        <w:spacing w:before="240"/>
        <w:ind w:left="426"/>
        <w:outlineLvl w:val="3"/>
        <w:rPr>
          <w:rFonts w:eastAsiaTheme="majorEastAsia" w:cstheme="majorBidi"/>
          <w:bCs/>
          <w:iCs/>
          <w:noProof/>
          <w:color w:val="00313C" w:themeColor="accent2"/>
          <w:spacing w:val="1"/>
          <w:sz w:val="32"/>
          <w:szCs w:val="32"/>
        </w:rPr>
      </w:pPr>
      <w:r w:rsidRPr="00E53E38">
        <w:rPr>
          <w:rFonts w:eastAsiaTheme="majorEastAsia" w:cstheme="majorBidi"/>
          <w:bCs/>
          <w:iCs/>
          <w:noProof/>
          <w:color w:val="00313C" w:themeColor="accent2"/>
          <w:spacing w:val="1"/>
          <w:sz w:val="32"/>
          <w:szCs w:val="32"/>
        </w:rPr>
        <w:t>Lower Balonne and Narran Lakes Site research activity</w:t>
      </w:r>
    </w:p>
    <w:p w14:paraId="1F693534" w14:textId="24A55C74" w:rsidR="00E53E38" w:rsidRPr="00E53E38" w:rsidRDefault="00E53E38" w:rsidP="00E53E38">
      <w:r w:rsidRPr="00E53E38">
        <w:t>Fieldwork undertaken was predominantly undertaken in the Narran Lakes but also included the Narran and Culgoa Rivers and the Queensland Floodplain Vegetation Water Requirements Project Lower Balonne sites. Two themes undertook fieldwork at this site, as shown in</w:t>
      </w:r>
      <w:r w:rsidR="00C04EC6">
        <w:t xml:space="preserve"> Table 5</w:t>
      </w:r>
      <w:r w:rsidRPr="00E53E38">
        <w:t>. Sites by theme are shown in</w:t>
      </w:r>
      <w:r w:rsidR="00C04EC6">
        <w:t xml:space="preserve"> Figure 6.</w:t>
      </w:r>
      <w:r w:rsidRPr="00E53E38">
        <w:t xml:space="preserve"> </w:t>
      </w:r>
    </w:p>
    <w:p w14:paraId="222AD446" w14:textId="77777777" w:rsidR="00E53E38" w:rsidRPr="00E53E38" w:rsidRDefault="00E53E38" w:rsidP="00E53E38">
      <w:pPr>
        <w:spacing w:after="0"/>
      </w:pPr>
      <w:r w:rsidRPr="00E53E38">
        <w:rPr>
          <w:noProof/>
        </w:rPr>
        <w:drawing>
          <wp:inline distT="0" distB="0" distL="0" distR="0" wp14:anchorId="51ECCE53" wp14:editId="04B42B9C">
            <wp:extent cx="5991225" cy="4265593"/>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WKR_SiteReport_LowerBalonneNarranMap.tif"/>
                    <pic:cNvPicPr/>
                  </pic:nvPicPr>
                  <pic:blipFill>
                    <a:blip r:embed="rId46"/>
                    <a:stretch>
                      <a:fillRect/>
                    </a:stretch>
                  </pic:blipFill>
                  <pic:spPr>
                    <a:xfrm>
                      <a:off x="0" y="0"/>
                      <a:ext cx="6016364" cy="4283491"/>
                    </a:xfrm>
                    <a:prstGeom prst="rect">
                      <a:avLst/>
                    </a:prstGeom>
                  </pic:spPr>
                </pic:pic>
              </a:graphicData>
            </a:graphic>
          </wp:inline>
        </w:drawing>
      </w:r>
    </w:p>
    <w:p w14:paraId="601E46BD" w14:textId="60DE5507" w:rsidR="00E53E38" w:rsidRPr="00E53E38" w:rsidRDefault="00E53E38" w:rsidP="00E53E38">
      <w:pPr>
        <w:rPr>
          <w:bCs/>
          <w:sz w:val="20"/>
          <w:szCs w:val="20"/>
        </w:rPr>
      </w:pPr>
      <w:r w:rsidRPr="00E53E38">
        <w:rPr>
          <w:bCs/>
          <w:sz w:val="20"/>
          <w:szCs w:val="20"/>
        </w:rPr>
        <w:t>Figure</w:t>
      </w:r>
      <w:r w:rsidR="005031A5">
        <w:rPr>
          <w:bCs/>
          <w:sz w:val="20"/>
          <w:szCs w:val="20"/>
        </w:rPr>
        <w:t xml:space="preserve"> 6</w:t>
      </w:r>
      <w:r w:rsidRPr="00E53E38">
        <w:rPr>
          <w:bCs/>
          <w:sz w:val="20"/>
          <w:szCs w:val="20"/>
        </w:rPr>
        <w:t>. Field sampling sites undertaken during the EWKR project in the Lower Balonne and Narran Lakes.</w:t>
      </w:r>
    </w:p>
    <w:p w14:paraId="2129D103" w14:textId="4705A26E" w:rsidR="00E53E38" w:rsidRPr="00E53E38" w:rsidRDefault="00E53E38" w:rsidP="00E53E38">
      <w:pPr>
        <w:keepNext/>
        <w:spacing w:after="60"/>
        <w:rPr>
          <w:bCs/>
          <w:color w:val="auto"/>
          <w:sz w:val="20"/>
          <w:szCs w:val="18"/>
        </w:rPr>
      </w:pPr>
      <w:r w:rsidRPr="00E53E38">
        <w:rPr>
          <w:bCs/>
          <w:color w:val="auto"/>
          <w:sz w:val="20"/>
          <w:szCs w:val="18"/>
        </w:rPr>
        <w:t xml:space="preserve">Table </w:t>
      </w:r>
      <w:r w:rsidRPr="00E53E38">
        <w:rPr>
          <w:bCs/>
          <w:noProof/>
          <w:color w:val="auto"/>
          <w:sz w:val="20"/>
          <w:szCs w:val="18"/>
        </w:rPr>
        <w:fldChar w:fldCharType="begin"/>
      </w:r>
      <w:r w:rsidRPr="00E53E38">
        <w:rPr>
          <w:bCs/>
          <w:noProof/>
          <w:color w:val="auto"/>
          <w:sz w:val="20"/>
          <w:szCs w:val="18"/>
        </w:rPr>
        <w:instrText xml:space="preserve"> SEQ Table \* ARABIC </w:instrText>
      </w:r>
      <w:r w:rsidRPr="00E53E38">
        <w:rPr>
          <w:bCs/>
          <w:noProof/>
          <w:color w:val="auto"/>
          <w:sz w:val="20"/>
          <w:szCs w:val="18"/>
        </w:rPr>
        <w:fldChar w:fldCharType="separate"/>
      </w:r>
      <w:r w:rsidR="001976CD">
        <w:rPr>
          <w:bCs/>
          <w:noProof/>
          <w:color w:val="auto"/>
          <w:sz w:val="20"/>
          <w:szCs w:val="18"/>
        </w:rPr>
        <w:t>5</w:t>
      </w:r>
      <w:r w:rsidRPr="00E53E38">
        <w:rPr>
          <w:bCs/>
          <w:noProof/>
          <w:color w:val="auto"/>
          <w:sz w:val="20"/>
          <w:szCs w:val="18"/>
        </w:rPr>
        <w:fldChar w:fldCharType="end"/>
      </w:r>
      <w:r w:rsidRPr="00E53E38">
        <w:rPr>
          <w:bCs/>
          <w:color w:val="auto"/>
          <w:sz w:val="20"/>
          <w:szCs w:val="18"/>
        </w:rPr>
        <w:t>. Research activities undertaken by themes in the Lower Balonne and Narran Lakes with the activity and question listed for reference to EWKR reports.</w:t>
      </w:r>
    </w:p>
    <w:tbl>
      <w:tblPr>
        <w:tblStyle w:val="DSITIA-Blue"/>
        <w:tblW w:w="10360" w:type="dxa"/>
        <w:jc w:val="cente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1E0" w:firstRow="1" w:lastRow="1" w:firstColumn="1" w:lastColumn="1" w:noHBand="0" w:noVBand="0"/>
      </w:tblPr>
      <w:tblGrid>
        <w:gridCol w:w="1119"/>
        <w:gridCol w:w="2778"/>
        <w:gridCol w:w="4422"/>
        <w:gridCol w:w="2041"/>
      </w:tblGrid>
      <w:tr w:rsidR="00E53E38" w:rsidRPr="00E53E38" w14:paraId="7350E022" w14:textId="77777777" w:rsidTr="00E53E38">
        <w:trPr>
          <w:cnfStyle w:val="100000000000" w:firstRow="1" w:lastRow="0" w:firstColumn="0" w:lastColumn="0" w:oddVBand="0" w:evenVBand="0" w:oddHBand="0" w:evenHBand="0" w:firstRowFirstColumn="0" w:firstRowLastColumn="0" w:lastRowFirstColumn="0" w:lastRowLastColumn="0"/>
          <w:trHeight w:val="57"/>
          <w:tblHeade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vAlign w:val="center"/>
          </w:tcPr>
          <w:p w14:paraId="5C441463" w14:textId="77777777" w:rsidR="00E53E38" w:rsidRPr="00E53E38" w:rsidRDefault="00E53E38" w:rsidP="00E53E38">
            <w:pPr>
              <w:spacing w:after="0"/>
              <w:rPr>
                <w:rFonts w:asciiTheme="minorHAnsi" w:eastAsia="Times New Roman" w:hAnsiTheme="minorHAnsi" w:cstheme="minorHAnsi"/>
                <w:b/>
                <w:color w:val="auto"/>
                <w:kern w:val="28"/>
                <w:sz w:val="20"/>
                <w:szCs w:val="20"/>
                <w:lang w:eastAsia="en-US"/>
              </w:rPr>
            </w:pPr>
            <w:r w:rsidRPr="00E53E38">
              <w:rPr>
                <w:rFonts w:asciiTheme="minorHAnsi" w:eastAsia="Times New Roman" w:hAnsiTheme="minorHAnsi" w:cstheme="minorHAnsi"/>
                <w:b/>
                <w:color w:val="auto"/>
                <w:kern w:val="28"/>
                <w:sz w:val="20"/>
                <w:szCs w:val="20"/>
                <w:lang w:eastAsia="en-US"/>
              </w:rPr>
              <w:t>Theme</w:t>
            </w:r>
          </w:p>
        </w:tc>
        <w:tc>
          <w:tcPr>
            <w:tcW w:w="2778"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vAlign w:val="center"/>
            <w:hideMark/>
          </w:tcPr>
          <w:p w14:paraId="3ACF11ED" w14:textId="77777777" w:rsidR="00E53E38" w:rsidRPr="00E53E38" w:rsidRDefault="00E53E38" w:rsidP="00E53E38">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kern w:val="28"/>
                <w:sz w:val="20"/>
                <w:szCs w:val="20"/>
                <w:lang w:eastAsia="en-US"/>
              </w:rPr>
            </w:pPr>
            <w:r w:rsidRPr="00E53E38">
              <w:rPr>
                <w:rFonts w:asciiTheme="minorHAnsi" w:eastAsia="Times New Roman" w:hAnsiTheme="minorHAnsi" w:cstheme="minorHAnsi"/>
                <w:b/>
                <w:color w:val="auto"/>
                <w:kern w:val="28"/>
                <w:sz w:val="20"/>
                <w:szCs w:val="20"/>
                <w:lang w:eastAsia="en-US"/>
              </w:rPr>
              <w:t>Component – Activity</w:t>
            </w:r>
          </w:p>
        </w:tc>
        <w:tc>
          <w:tcPr>
            <w:tcW w:w="4422"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vAlign w:val="center"/>
            <w:hideMark/>
          </w:tcPr>
          <w:p w14:paraId="34EF8385" w14:textId="77777777" w:rsidR="00E53E38" w:rsidRPr="00E53E38" w:rsidRDefault="00E53E38" w:rsidP="00E53E38">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kern w:val="28"/>
                <w:sz w:val="20"/>
                <w:szCs w:val="20"/>
                <w:lang w:eastAsia="en-US"/>
              </w:rPr>
            </w:pPr>
            <w:r w:rsidRPr="00E53E38">
              <w:rPr>
                <w:rFonts w:asciiTheme="minorHAnsi" w:eastAsia="Times New Roman" w:hAnsiTheme="minorHAnsi" w:cstheme="minorHAnsi"/>
                <w:b/>
                <w:color w:val="auto"/>
                <w:kern w:val="28"/>
                <w:sz w:val="20"/>
                <w:szCs w:val="20"/>
                <w:lang w:eastAsia="en-US"/>
              </w:rPr>
              <w:t>Research question</w:t>
            </w:r>
          </w:p>
        </w:tc>
        <w:tc>
          <w:tcPr>
            <w:tcW w:w="2041"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vAlign w:val="center"/>
            <w:hideMark/>
          </w:tcPr>
          <w:p w14:paraId="639557A9" w14:textId="77777777" w:rsidR="00E53E38" w:rsidRPr="00E53E38" w:rsidRDefault="00E53E38" w:rsidP="00E53E38">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kern w:val="28"/>
                <w:sz w:val="20"/>
                <w:szCs w:val="20"/>
                <w:lang w:eastAsia="en-US"/>
              </w:rPr>
            </w:pPr>
            <w:r w:rsidRPr="00E53E38">
              <w:rPr>
                <w:rFonts w:asciiTheme="minorHAnsi" w:eastAsia="Times New Roman" w:hAnsiTheme="minorHAnsi" w:cstheme="minorHAnsi"/>
                <w:b/>
                <w:color w:val="auto"/>
                <w:kern w:val="28"/>
                <w:sz w:val="20"/>
                <w:szCs w:val="20"/>
                <w:lang w:eastAsia="en-US"/>
              </w:rPr>
              <w:t>Location</w:t>
            </w:r>
          </w:p>
        </w:tc>
      </w:tr>
      <w:tr w:rsidR="00E53E38" w:rsidRPr="00E53E38" w14:paraId="036DBFFF"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vAlign w:val="center"/>
          </w:tcPr>
          <w:p w14:paraId="00B36E38" w14:textId="77777777" w:rsidR="00E53E38" w:rsidRPr="00E53E38" w:rsidRDefault="00E53E38" w:rsidP="00E53E38">
            <w:pPr>
              <w:spacing w:after="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Vegetation</w:t>
            </w:r>
          </w:p>
        </w:tc>
        <w:tc>
          <w:tcPr>
            <w:tcW w:w="2778"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vAlign w:val="center"/>
            <w:hideMark/>
          </w:tcPr>
          <w:p w14:paraId="7E98032D"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 xml:space="preserve">V1 </w:t>
            </w:r>
            <w:r w:rsidRPr="00E53E38">
              <w:rPr>
                <w:rFonts w:asciiTheme="minorHAnsi" w:eastAsia="Times New Roman" w:hAnsiTheme="minorHAnsi"/>
                <w:color w:val="auto"/>
                <w:lang w:eastAsia="en-US"/>
              </w:rPr>
              <w:t xml:space="preserve">— </w:t>
            </w:r>
            <w:r w:rsidRPr="00E53E38">
              <w:rPr>
                <w:rFonts w:asciiTheme="minorHAnsi" w:eastAsia="Times New Roman" w:hAnsiTheme="minorHAnsi"/>
                <w:color w:val="auto"/>
                <w:sz w:val="20"/>
                <w:lang w:eastAsia="en-US"/>
              </w:rPr>
              <w:t>Conceptualisation</w:t>
            </w:r>
          </w:p>
        </w:tc>
        <w:tc>
          <w:tcPr>
            <w:tcW w:w="442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vAlign w:val="center"/>
          </w:tcPr>
          <w:p w14:paraId="28BED554"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Evaluating wetland vegetation responses to environmental flows</w:t>
            </w:r>
          </w:p>
        </w:tc>
        <w:tc>
          <w:tcPr>
            <w:tcW w:w="204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vAlign w:val="center"/>
          </w:tcPr>
          <w:p w14:paraId="3C0ABFD2"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Narran Lakes</w:t>
            </w:r>
          </w:p>
        </w:tc>
      </w:tr>
      <w:tr w:rsidR="00E53E38" w:rsidRPr="00E53E38" w14:paraId="1A4AC5FE" w14:textId="77777777" w:rsidTr="00E53E38">
        <w:tblPrEx>
          <w:tblCellMar>
            <w:top w:w="85" w:type="dxa"/>
            <w:left w:w="113" w:type="dxa"/>
            <w:right w:w="113" w:type="dxa"/>
          </w:tblCellMar>
        </w:tblPrEx>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vAlign w:val="center"/>
          </w:tcPr>
          <w:p w14:paraId="246B51E9" w14:textId="77777777" w:rsidR="00E53E38" w:rsidRPr="00E53E38" w:rsidRDefault="00E53E38" w:rsidP="00E53E38">
            <w:pPr>
              <w:spacing w:after="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Vegetation</w:t>
            </w:r>
          </w:p>
        </w:tc>
        <w:tc>
          <w:tcPr>
            <w:tcW w:w="2778"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vAlign w:val="center"/>
            <w:hideMark/>
          </w:tcPr>
          <w:p w14:paraId="44321AEE"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 xml:space="preserve">V2 </w:t>
            </w:r>
            <w:r w:rsidRPr="00E53E38">
              <w:rPr>
                <w:rFonts w:asciiTheme="minorHAnsi" w:eastAsia="Times New Roman" w:hAnsiTheme="minorHAnsi"/>
                <w:color w:val="auto"/>
                <w:lang w:eastAsia="en-US"/>
              </w:rPr>
              <w:t xml:space="preserve">— </w:t>
            </w:r>
            <w:r w:rsidRPr="00E53E38">
              <w:rPr>
                <w:rFonts w:asciiTheme="minorHAnsi" w:eastAsia="Times New Roman" w:hAnsiTheme="minorHAnsi"/>
                <w:color w:val="auto"/>
                <w:sz w:val="20"/>
                <w:lang w:eastAsia="en-US"/>
              </w:rPr>
              <w:t>Data integration and synthesis</w:t>
            </w:r>
          </w:p>
        </w:tc>
        <w:tc>
          <w:tcPr>
            <w:tcW w:w="442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vAlign w:val="center"/>
          </w:tcPr>
          <w:p w14:paraId="513FFAA5"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Disentangling flow-vegetation relationships and legacy effects to inform environmental flows</w:t>
            </w:r>
          </w:p>
        </w:tc>
        <w:tc>
          <w:tcPr>
            <w:tcW w:w="204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vAlign w:val="center"/>
          </w:tcPr>
          <w:p w14:paraId="1E7F7225"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Narran Lakes</w:t>
            </w:r>
          </w:p>
        </w:tc>
      </w:tr>
      <w:tr w:rsidR="00E53E38" w:rsidRPr="00E53E38" w14:paraId="3E3E5256"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vAlign w:val="center"/>
          </w:tcPr>
          <w:p w14:paraId="419A5EDD" w14:textId="77777777" w:rsidR="00E53E38" w:rsidRPr="00E53E38" w:rsidRDefault="00E53E38" w:rsidP="00E53E38">
            <w:pPr>
              <w:spacing w:after="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Vegetation</w:t>
            </w:r>
          </w:p>
        </w:tc>
        <w:tc>
          <w:tcPr>
            <w:tcW w:w="2778"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vAlign w:val="center"/>
            <w:hideMark/>
          </w:tcPr>
          <w:p w14:paraId="5A3629F6"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 xml:space="preserve">V3 </w:t>
            </w:r>
            <w:r w:rsidRPr="00E53E38">
              <w:rPr>
                <w:rFonts w:asciiTheme="minorHAnsi" w:eastAsia="Times New Roman" w:hAnsiTheme="minorHAnsi"/>
                <w:color w:val="auto"/>
                <w:lang w:eastAsia="en-US"/>
              </w:rPr>
              <w:t xml:space="preserve">— </w:t>
            </w:r>
            <w:r w:rsidRPr="00E53E38">
              <w:rPr>
                <w:rFonts w:asciiTheme="minorHAnsi" w:eastAsia="Times New Roman" w:hAnsiTheme="minorHAnsi"/>
                <w:color w:val="auto"/>
                <w:sz w:val="20"/>
                <w:lang w:eastAsia="en-US"/>
              </w:rPr>
              <w:t>Field site assessments and germination trials</w:t>
            </w:r>
          </w:p>
        </w:tc>
        <w:tc>
          <w:tcPr>
            <w:tcW w:w="442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vAlign w:val="center"/>
          </w:tcPr>
          <w:p w14:paraId="6AF4AEDC"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Are species unique to locations and are the relatively assemblages of species different at the four locations</w:t>
            </w:r>
          </w:p>
        </w:tc>
        <w:tc>
          <w:tcPr>
            <w:tcW w:w="204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vAlign w:val="center"/>
          </w:tcPr>
          <w:p w14:paraId="47E52EB9"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Narran Lakes</w:t>
            </w:r>
          </w:p>
        </w:tc>
      </w:tr>
      <w:tr w:rsidR="00E53E38" w:rsidRPr="00E53E38" w14:paraId="6CA13767"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vAlign w:val="center"/>
          </w:tcPr>
          <w:p w14:paraId="77E992FE" w14:textId="77777777" w:rsidR="00E53E38" w:rsidRPr="00E53E38" w:rsidRDefault="00E53E38" w:rsidP="00E53E38">
            <w:pPr>
              <w:spacing w:after="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Vegetation</w:t>
            </w:r>
          </w:p>
        </w:tc>
        <w:tc>
          <w:tcPr>
            <w:tcW w:w="2778"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vAlign w:val="center"/>
          </w:tcPr>
          <w:p w14:paraId="56B90DBD"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Queensland Floodplain Vegetation Water Requirements Project</w:t>
            </w:r>
          </w:p>
        </w:tc>
        <w:tc>
          <w:tcPr>
            <w:tcW w:w="442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vAlign w:val="center"/>
          </w:tcPr>
          <w:p w14:paraId="1450E20E"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Watering requirements of floodplain vegetation asset species of the Northern Murray-Darling Basin</w:t>
            </w:r>
          </w:p>
        </w:tc>
        <w:tc>
          <w:tcPr>
            <w:tcW w:w="204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85" w:type="dxa"/>
              <w:left w:w="113" w:type="dxa"/>
              <w:bottom w:w="28" w:type="dxa"/>
              <w:right w:w="113" w:type="dxa"/>
            </w:tcMar>
            <w:vAlign w:val="center"/>
          </w:tcPr>
          <w:p w14:paraId="7DFCF71E"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Lower Balonne floodplain</w:t>
            </w:r>
          </w:p>
        </w:tc>
      </w:tr>
      <w:tr w:rsidR="00E53E38" w:rsidRPr="00E53E38" w14:paraId="36C816FC" w14:textId="77777777" w:rsidTr="00E53E38">
        <w:tblPrEx>
          <w:tblCellMar>
            <w:top w:w="85" w:type="dxa"/>
            <w:left w:w="113" w:type="dxa"/>
            <w:right w:w="113" w:type="dxa"/>
          </w:tblCellMar>
        </w:tblPrEx>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FD74DD8" w14:textId="77777777" w:rsidR="00E53E38" w:rsidRPr="00E53E38" w:rsidRDefault="00E53E38" w:rsidP="00E53E38">
            <w:pPr>
              <w:spacing w:after="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Fish</w:t>
            </w:r>
          </w:p>
        </w:tc>
        <w:tc>
          <w:tcPr>
            <w:tcW w:w="2778" w:type="dxa"/>
            <w:tcMar>
              <w:top w:w="85" w:type="dxa"/>
              <w:left w:w="113" w:type="dxa"/>
              <w:bottom w:w="28" w:type="dxa"/>
              <w:right w:w="113" w:type="dxa"/>
            </w:tcMar>
            <w:vAlign w:val="center"/>
          </w:tcPr>
          <w:p w14:paraId="01D2592C"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F2.1 — Larval fish</w:t>
            </w:r>
          </w:p>
        </w:tc>
        <w:tc>
          <w:tcPr>
            <w:tcW w:w="4422" w:type="dxa"/>
            <w:tcMar>
              <w:top w:w="85" w:type="dxa"/>
              <w:left w:w="113" w:type="dxa"/>
              <w:bottom w:w="28" w:type="dxa"/>
              <w:right w:w="113" w:type="dxa"/>
            </w:tcMar>
            <w:vAlign w:val="center"/>
          </w:tcPr>
          <w:p w14:paraId="7DB3B0A4"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Understanding the feeding requirements of larval fish in the northern Murray–Darling Basin</w:t>
            </w:r>
          </w:p>
        </w:tc>
        <w:tc>
          <w:tcPr>
            <w:tcW w:w="2041" w:type="dxa"/>
            <w:tcMar>
              <w:top w:w="85" w:type="dxa"/>
              <w:left w:w="113" w:type="dxa"/>
              <w:bottom w:w="28" w:type="dxa"/>
              <w:right w:w="113" w:type="dxa"/>
            </w:tcMar>
            <w:vAlign w:val="center"/>
          </w:tcPr>
          <w:p w14:paraId="718C849B" w14:textId="77777777" w:rsidR="00E53E38" w:rsidRPr="00E53E38" w:rsidRDefault="00E53E38" w:rsidP="00E53E3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Narren and Culgoa Rivers</w:t>
            </w:r>
          </w:p>
        </w:tc>
      </w:tr>
      <w:tr w:rsidR="00E53E38" w:rsidRPr="00E53E38" w14:paraId="3013FF08" w14:textId="77777777" w:rsidTr="00E53E38">
        <w:tblPrEx>
          <w:tblCellMar>
            <w:top w:w="85" w:type="dxa"/>
            <w:left w:w="113" w:type="dxa"/>
            <w:right w:w="113" w:type="dxa"/>
          </w:tblCellMar>
        </w:tblPrEx>
        <w:trPr>
          <w:cnfStyle w:val="010000000000" w:firstRow="0" w:lastRow="1"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52691F2" w14:textId="77777777" w:rsidR="00E53E38" w:rsidRPr="00E53E38" w:rsidRDefault="00E53E38" w:rsidP="00E53E38">
            <w:pPr>
              <w:spacing w:after="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Fish</w:t>
            </w:r>
          </w:p>
        </w:tc>
        <w:tc>
          <w:tcPr>
            <w:tcW w:w="2778" w:type="dxa"/>
            <w:tcMar>
              <w:top w:w="85" w:type="dxa"/>
              <w:left w:w="113" w:type="dxa"/>
              <w:bottom w:w="28" w:type="dxa"/>
              <w:right w:w="113" w:type="dxa"/>
            </w:tcMar>
            <w:vAlign w:val="center"/>
          </w:tcPr>
          <w:p w14:paraId="23B9C6EF" w14:textId="77777777" w:rsidR="00E53E38" w:rsidRPr="00E53E38" w:rsidRDefault="00E53E38" w:rsidP="00E53E38">
            <w:pPr>
              <w:spacing w:after="0"/>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F2.5 — Population dynamics of golden perch and Murray cod</w:t>
            </w:r>
          </w:p>
        </w:tc>
        <w:tc>
          <w:tcPr>
            <w:tcW w:w="4422" w:type="dxa"/>
            <w:tcMar>
              <w:top w:w="85" w:type="dxa"/>
              <w:left w:w="113" w:type="dxa"/>
              <w:bottom w:w="28" w:type="dxa"/>
              <w:right w:w="113" w:type="dxa"/>
            </w:tcMar>
            <w:vAlign w:val="center"/>
          </w:tcPr>
          <w:p w14:paraId="29118662" w14:textId="77777777" w:rsidR="00E53E38" w:rsidRPr="00E53E38" w:rsidRDefault="00E53E38" w:rsidP="00E53E38">
            <w:pPr>
              <w:spacing w:after="0"/>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Basin-scale population dynamics of golden perch and Murray cod: relating flow to provenance, movement and recruitment in the Murray–Darling Basin</w:t>
            </w:r>
          </w:p>
        </w:tc>
        <w:tc>
          <w:tcPr>
            <w:tcW w:w="2041" w:type="dxa"/>
            <w:tcMar>
              <w:top w:w="85" w:type="dxa"/>
              <w:left w:w="113" w:type="dxa"/>
              <w:bottom w:w="28" w:type="dxa"/>
              <w:right w:w="113" w:type="dxa"/>
            </w:tcMar>
            <w:vAlign w:val="center"/>
          </w:tcPr>
          <w:p w14:paraId="205D22FD" w14:textId="77777777" w:rsidR="00E53E38" w:rsidRPr="00E53E38" w:rsidRDefault="00E53E38" w:rsidP="00E53E38">
            <w:pPr>
              <w:spacing w:after="0"/>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olor w:val="auto"/>
                <w:sz w:val="20"/>
                <w:lang w:eastAsia="en-US"/>
              </w:rPr>
            </w:pPr>
            <w:r w:rsidRPr="00E53E38">
              <w:rPr>
                <w:rFonts w:asciiTheme="minorHAnsi" w:eastAsia="Times New Roman" w:hAnsiTheme="minorHAnsi"/>
                <w:color w:val="auto"/>
                <w:sz w:val="20"/>
                <w:lang w:eastAsia="en-US"/>
              </w:rPr>
              <w:t>Upper Balonne and Condamine Rivers</w:t>
            </w:r>
          </w:p>
        </w:tc>
      </w:tr>
    </w:tbl>
    <w:p w14:paraId="3E66BF18" w14:textId="77777777" w:rsidR="00AA68DF" w:rsidRPr="00BC4287" w:rsidRDefault="00AA68DF" w:rsidP="00ED2B1B">
      <w:pPr>
        <w:pStyle w:val="BodyText"/>
        <w:rPr>
          <w:lang w:eastAsia="en-US"/>
        </w:rPr>
      </w:pPr>
    </w:p>
    <w:sectPr w:rsidR="00AA68DF" w:rsidRPr="00BC4287" w:rsidSect="007210D3">
      <w:pgSz w:w="11906" w:h="16838" w:code="9"/>
      <w:pgMar w:top="1134" w:right="1134" w:bottom="1134" w:left="1134"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B1A49D" w14:textId="77777777" w:rsidR="00662A36" w:rsidRDefault="00662A36" w:rsidP="009964E7">
      <w:r>
        <w:separator/>
      </w:r>
    </w:p>
    <w:p w14:paraId="6C04F925" w14:textId="77777777" w:rsidR="00662A36" w:rsidRDefault="00662A36"/>
  </w:endnote>
  <w:endnote w:type="continuationSeparator" w:id="0">
    <w:p w14:paraId="6F4FC497" w14:textId="77777777" w:rsidR="00662A36" w:rsidRDefault="00662A36" w:rsidP="009964E7">
      <w:r>
        <w:continuationSeparator/>
      </w:r>
    </w:p>
    <w:p w14:paraId="6235BF67" w14:textId="77777777" w:rsidR="00662A36" w:rsidRDefault="00662A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3D049" w14:textId="77777777" w:rsidR="00A61C86" w:rsidRDefault="00A61C8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FE98B" w14:textId="31F5E34A" w:rsidR="00662A36" w:rsidRPr="0097662E" w:rsidRDefault="00662A36" w:rsidP="007210D3">
    <w:pPr>
      <w:pStyle w:val="Footer"/>
      <w:tabs>
        <w:tab w:val="clear" w:pos="9026"/>
        <w:tab w:val="left" w:pos="6060"/>
      </w:tabs>
    </w:pPr>
    <w:r w:rsidRPr="007F618C">
      <w:t xml:space="preserve">MDB EWKR </w:t>
    </w:r>
    <w:r w:rsidR="003C7540">
      <w:t>Research Site</w:t>
    </w:r>
    <w:r>
      <w:t xml:space="preserve"> Report</w:t>
    </w:r>
    <w:r w:rsidRPr="00D46C61">
      <w:tab/>
    </w:r>
    <w:sdt>
      <w:sdtPr>
        <w:id w:val="8509253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61C86">
          <w:rPr>
            <w:noProof/>
          </w:rPr>
          <w:t>38</w:t>
        </w:r>
        <w:r>
          <w:fldChar w:fldCharType="end"/>
        </w:r>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0AAA9" w14:textId="77777777" w:rsidR="00662A36" w:rsidRDefault="00662A36" w:rsidP="00E53E3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B2319" w14:textId="77777777" w:rsidR="00662A36" w:rsidRDefault="00662A36" w:rsidP="00E53E38">
    <w:pPr>
      <w:pStyle w:val="Footer"/>
    </w:pPr>
  </w:p>
  <w:p w14:paraId="0B40AF45" w14:textId="77777777" w:rsidR="00662A36" w:rsidRDefault="00662A36"/>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FB908" w14:textId="77777777" w:rsidR="00662A36" w:rsidRDefault="00662A36" w:rsidP="00E53E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0204111"/>
      <w:docPartObj>
        <w:docPartGallery w:val="Page Numbers (Bottom of Page)"/>
        <w:docPartUnique/>
      </w:docPartObj>
    </w:sdtPr>
    <w:sdtEndPr>
      <w:rPr>
        <w:noProof/>
      </w:rPr>
    </w:sdtEndPr>
    <w:sdtContent>
      <w:p w14:paraId="54B9B8FB" w14:textId="23564C69" w:rsidR="00662A36" w:rsidRPr="00F6112A" w:rsidRDefault="00662A36" w:rsidP="00E53E38">
        <w:pPr>
          <w:pStyle w:val="Footer"/>
          <w:rPr>
            <w:noProof/>
          </w:rPr>
        </w:pPr>
        <w:r w:rsidRPr="007F618C">
          <w:rPr>
            <w:szCs w:val="16"/>
          </w:rPr>
          <w:t xml:space="preserve">MDB EWKR </w:t>
        </w:r>
        <w:r>
          <w:rPr>
            <w:szCs w:val="16"/>
          </w:rPr>
          <w:t>Waterbird Theme Research Report</w:t>
        </w:r>
        <w:r>
          <w:tab/>
        </w:r>
        <w:r>
          <w:fldChar w:fldCharType="begin"/>
        </w:r>
        <w:r>
          <w:instrText xml:space="preserve"> PAGE  \* roman  \* MERGEFORMAT </w:instrText>
        </w:r>
        <w:r>
          <w:fldChar w:fldCharType="separate"/>
        </w:r>
        <w:r>
          <w:rPr>
            <w:noProof/>
          </w:rPr>
          <w:t>ii</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5A156" w14:textId="7AD39E9A" w:rsidR="00662A36" w:rsidRDefault="00662A36" w:rsidP="00E53E38">
    <w:pPr>
      <w:pStyle w:val="Footer"/>
    </w:pPr>
    <w:r>
      <w:rPr>
        <w:noProof/>
      </w:rPr>
      <w:drawing>
        <wp:inline distT="0" distB="0" distL="0" distR="0" wp14:anchorId="7180AED3" wp14:editId="4B04CC5B">
          <wp:extent cx="1386000" cy="399600"/>
          <wp:effectExtent l="0" t="0" r="5080" b="635"/>
          <wp:docPr id="6" name="Picture 6" descr="W:\knowledge-exchange\LOGOS\La Trobe University\2013\LTU_BRAND_H_RGB 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knowledge-exchange\LOGOS\La Trobe University\2013\LTU_BRAND_H_RGB hire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6000" cy="399600"/>
                  </a:xfrm>
                  <a:prstGeom prst="rect">
                    <a:avLst/>
                  </a:prstGeom>
                  <a:solidFill>
                    <a:schemeClr val="accent5">
                      <a:lumMod val="20000"/>
                      <a:lumOff val="80000"/>
                    </a:schemeClr>
                  </a:solidFill>
                  <a:extLst/>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18198" w14:textId="4B9F0D12" w:rsidR="00662A36" w:rsidRDefault="00662A36" w:rsidP="00E53E38">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Pr>
        <w:noProof/>
      </w:rPr>
      <w:t>Murray-Darling Basin Environmental Water Knowledge and Research Project</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3409266"/>
      <w:docPartObj>
        <w:docPartGallery w:val="Page Numbers (Bottom of Page)"/>
        <w:docPartUnique/>
      </w:docPartObj>
    </w:sdtPr>
    <w:sdtEndPr>
      <w:rPr>
        <w:noProof/>
      </w:rPr>
    </w:sdtEndPr>
    <w:sdtContent>
      <w:p w14:paraId="3E1E6424" w14:textId="795BD7D2" w:rsidR="00662A36" w:rsidRPr="0045643E" w:rsidRDefault="00662A36" w:rsidP="00E53E38">
        <w:pPr>
          <w:pStyle w:val="Footer"/>
        </w:pPr>
        <w:r w:rsidRPr="0045643E">
          <w:t xml:space="preserve">MDB EWKR </w:t>
        </w:r>
        <w:r>
          <w:t>Synthesis Report</w:t>
        </w:r>
        <w:r w:rsidRPr="0045643E">
          <w:tab/>
        </w:r>
        <w:r>
          <w:fldChar w:fldCharType="begin"/>
        </w:r>
        <w:r>
          <w:instrText xml:space="preserve"> PAGE  \* roman  \* MERGEFORMAT </w:instrText>
        </w:r>
        <w:r>
          <w:fldChar w:fldCharType="separate"/>
        </w:r>
        <w:r w:rsidR="00A61C86">
          <w:rPr>
            <w:noProof/>
          </w:rPr>
          <w:t>iii</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C7052" w14:textId="77777777" w:rsidR="00662A36" w:rsidRPr="002E41CB" w:rsidRDefault="00662A36" w:rsidP="00E53E38">
    <w:pPr>
      <w:pStyle w:val="LTU-Disclaimer-SubheadLine"/>
    </w:pPr>
    <w:r w:rsidRPr="002E41CB">
      <w:t>Disclaimer</w:t>
    </w:r>
  </w:p>
  <w:p w14:paraId="7B3B0D53" w14:textId="77777777" w:rsidR="00662A36" w:rsidRPr="00324CAF" w:rsidRDefault="00662A36" w:rsidP="00E53E38">
    <w:pPr>
      <w:pStyle w:val="LTU-Disclaimer-Body"/>
    </w:pPr>
    <w:r w:rsidRPr="00324CAF">
      <w:t>The information contained in this publication is indicative only. While every effort is made to provide full and accurate information at the time of publication, the University does not give any warranties in relation to the accuracy and completeness of the contents. The University reserves the right to make changes without notice at any time in its absolute discretion, including but not limited to varying admission and assessment requirements, and discontinuing or varying courses. To the extent permitted by law, the University does not accept responsibility of liability for any injury, loss, claim or damage arising out of or in any way connected with the use of the information contained in this publication or any error, omission or defect in the information contained in this publication.</w:t>
    </w:r>
  </w:p>
  <w:p w14:paraId="237B21DD" w14:textId="77777777" w:rsidR="00662A36" w:rsidRPr="00B169FB" w:rsidRDefault="00662A36" w:rsidP="00E53E38">
    <w:pPr>
      <w:pStyle w:val="LTU-Disclaimer-Body"/>
      <w:rPr>
        <w:color w:val="auto"/>
      </w:rPr>
    </w:pPr>
    <w:r w:rsidRPr="00324CAF">
      <w:t xml:space="preserve">La Trobe University is a registered provider under the Commonwealth Register of Institutions and Courses for Overseas Students (CRICOS). </w:t>
    </w:r>
    <w:r w:rsidRPr="004C76F3">
      <w:t>La Trobe University CRICOS Provider Code Number 00115M</w:t>
    </w:r>
  </w:p>
  <w:sdt>
    <w:sdtPr>
      <w:id w:val="-568729171"/>
      <w:docPartObj>
        <w:docPartGallery w:val="Page Numbers (Bottom of Page)"/>
        <w:docPartUnique/>
      </w:docPartObj>
    </w:sdtPr>
    <w:sdtEndPr>
      <w:rPr>
        <w:noProof/>
      </w:rPr>
    </w:sdtEndPr>
    <w:sdtContent>
      <w:p w14:paraId="196F7128" w14:textId="3CC47123" w:rsidR="00662A36" w:rsidRPr="002F2617" w:rsidRDefault="00662A36" w:rsidP="00E53E38">
        <w:pPr>
          <w:pStyle w:val="Footer"/>
        </w:pPr>
        <w:r w:rsidRPr="0045643E">
          <w:t xml:space="preserve">MDB EWKR </w:t>
        </w:r>
        <w:r>
          <w:t>Synthesis Report</w:t>
        </w:r>
        <w:r w:rsidRPr="0045643E">
          <w:tab/>
        </w:r>
        <w:r w:rsidRPr="0045643E">
          <w:fldChar w:fldCharType="begin"/>
        </w:r>
        <w:r w:rsidRPr="0045643E">
          <w:instrText xml:space="preserve"> PAGE  \* roman  \* MERGEFORMAT </w:instrText>
        </w:r>
        <w:r w:rsidRPr="0045643E">
          <w:fldChar w:fldCharType="separate"/>
        </w:r>
        <w:r w:rsidR="00A61C86">
          <w:rPr>
            <w:noProof/>
          </w:rPr>
          <w:t>i</w:t>
        </w:r>
        <w:r w:rsidRPr="0045643E">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5581399"/>
      <w:docPartObj>
        <w:docPartGallery w:val="Page Numbers (Bottom of Page)"/>
        <w:docPartUnique/>
      </w:docPartObj>
    </w:sdtPr>
    <w:sdtEndPr>
      <w:rPr>
        <w:noProof/>
      </w:rPr>
    </w:sdtEndPr>
    <w:sdtContent>
      <w:p w14:paraId="0EF9B0E7" w14:textId="77777777" w:rsidR="00662A36" w:rsidRDefault="00662A36" w:rsidP="00E53E38">
        <w:pPr>
          <w:pStyle w:val="Footer"/>
        </w:pPr>
        <w:r w:rsidRPr="0045643E">
          <w:t xml:space="preserve">MDB EWKR </w:t>
        </w:r>
        <w:r>
          <w:t xml:space="preserve">Synthesis Report </w:t>
        </w:r>
        <w:r>
          <w:tab/>
        </w:r>
        <w:r>
          <w:fldChar w:fldCharType="begin"/>
        </w:r>
        <w:r>
          <w:instrText xml:space="preserve"> PAGE   \* MERGEFORMAT </w:instrText>
        </w:r>
        <w:r>
          <w:fldChar w:fldCharType="separate"/>
        </w:r>
        <w:r w:rsidR="00A61C86">
          <w:rPr>
            <w:noProof/>
          </w:rPr>
          <w:t>17</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0192484"/>
      <w:docPartObj>
        <w:docPartGallery w:val="Page Numbers (Bottom of Page)"/>
        <w:docPartUnique/>
      </w:docPartObj>
    </w:sdtPr>
    <w:sdtEndPr>
      <w:rPr>
        <w:noProof/>
      </w:rPr>
    </w:sdtEndPr>
    <w:sdtContent>
      <w:p w14:paraId="01D26AC5" w14:textId="558D9584" w:rsidR="003C7540" w:rsidRDefault="003C7540" w:rsidP="00E53E38">
        <w:pPr>
          <w:pStyle w:val="Footer"/>
        </w:pPr>
        <w:r w:rsidRPr="0045643E">
          <w:t xml:space="preserve">MDB EWKR </w:t>
        </w:r>
        <w:r>
          <w:t xml:space="preserve">Research Site Report </w:t>
        </w:r>
        <w:r>
          <w:tab/>
        </w:r>
        <w:r>
          <w:fldChar w:fldCharType="begin"/>
        </w:r>
        <w:r>
          <w:instrText xml:space="preserve"> PAGE   \* MERGEFORMAT </w:instrText>
        </w:r>
        <w:r>
          <w:fldChar w:fldCharType="separate"/>
        </w:r>
        <w:r w:rsidR="00A61C86">
          <w:rPr>
            <w:noProof/>
          </w:rPr>
          <w:t>25</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6F63D" w14:textId="77777777" w:rsidR="00662A36" w:rsidRDefault="00662A36" w:rsidP="00E53E38">
    <w:pPr>
      <w:pStyle w:val="Footer"/>
    </w:pPr>
  </w:p>
  <w:p w14:paraId="1CD14021" w14:textId="77777777" w:rsidR="00662A36" w:rsidRDefault="00662A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B9618" w14:textId="77777777" w:rsidR="00662A36" w:rsidRDefault="00662A36" w:rsidP="009964E7">
      <w:r>
        <w:separator/>
      </w:r>
    </w:p>
    <w:p w14:paraId="1079F1FC" w14:textId="77777777" w:rsidR="00662A36" w:rsidRDefault="00662A36"/>
  </w:footnote>
  <w:footnote w:type="continuationSeparator" w:id="0">
    <w:p w14:paraId="4116DC13" w14:textId="77777777" w:rsidR="00662A36" w:rsidRDefault="00662A36" w:rsidP="009964E7">
      <w:r>
        <w:continuationSeparator/>
      </w:r>
    </w:p>
    <w:p w14:paraId="25059A3F" w14:textId="77777777" w:rsidR="00662A36" w:rsidRDefault="00662A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7597B" w14:textId="77777777" w:rsidR="00A61C86" w:rsidRDefault="00A61C8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B756F" w14:textId="77777777" w:rsidR="00662A36" w:rsidRDefault="00662A3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03BAF" w14:textId="3DC0C439" w:rsidR="00662A36" w:rsidRDefault="00662A36">
    <w:pPr>
      <w:pStyle w:val="Header"/>
    </w:pPr>
  </w:p>
  <w:p w14:paraId="10D0BD1D" w14:textId="77777777" w:rsidR="00662A36" w:rsidRDefault="00662A36"/>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B3E12" w14:textId="27349CF8" w:rsidR="00662A36" w:rsidRDefault="00662A36">
    <w:pPr>
      <w:pStyle w:val="Header"/>
    </w:pPr>
  </w:p>
  <w:p w14:paraId="4BACE9BB" w14:textId="77777777" w:rsidR="00662A36" w:rsidRDefault="00662A36"/>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C3CE3" w14:textId="612E069E" w:rsidR="00662A36" w:rsidRDefault="00662A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338EB" w14:textId="77777777" w:rsidR="00A61C86" w:rsidRDefault="00A61C8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F80C8" w14:textId="77777777" w:rsidR="00662A36" w:rsidRDefault="00662A36" w:rsidP="00847216">
    <w:pPr>
      <w:pStyle w:val="Header"/>
    </w:pPr>
    <w:bookmarkStart w:id="4" w:name="_Hlk11746582"/>
    <w:bookmarkStart w:id="5" w:name="_Hlk11746583"/>
    <w:r w:rsidRPr="007F42E0">
      <w:rPr>
        <w:rFonts w:asciiTheme="minorHAnsi" w:hAnsiTheme="minorHAnsi" w:cstheme="minorHAnsi"/>
        <w:noProof/>
      </w:rPr>
      <w:drawing>
        <wp:anchor distT="0" distB="0" distL="114300" distR="114300" simplePos="0" relativeHeight="251664384" behindDoc="1" locked="0" layoutInCell="1" allowOverlap="1" wp14:anchorId="503C659A" wp14:editId="3812A2D5">
          <wp:simplePos x="0" y="0"/>
          <wp:positionH relativeFrom="margin">
            <wp:posOffset>-581025</wp:posOffset>
          </wp:positionH>
          <wp:positionV relativeFrom="paragraph">
            <wp:posOffset>133795</wp:posOffset>
          </wp:positionV>
          <wp:extent cx="3531235" cy="7486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531235" cy="7486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DFD8FB5" wp14:editId="437EF3C9">
          <wp:simplePos x="0" y="0"/>
          <wp:positionH relativeFrom="column">
            <wp:posOffset>2931795</wp:posOffset>
          </wp:positionH>
          <wp:positionV relativeFrom="page">
            <wp:posOffset>443040</wp:posOffset>
          </wp:positionV>
          <wp:extent cx="3228975" cy="813435"/>
          <wp:effectExtent l="0" t="0" r="9525" b="571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228975" cy="813435"/>
                  </a:xfrm>
                  <a:prstGeom prst="rect">
                    <a:avLst/>
                  </a:prstGeom>
                </pic:spPr>
              </pic:pic>
            </a:graphicData>
          </a:graphic>
          <wp14:sizeRelH relativeFrom="page">
            <wp14:pctWidth>0</wp14:pctWidth>
          </wp14:sizeRelH>
          <wp14:sizeRelV relativeFrom="page">
            <wp14:pctHeight>0</wp14:pctHeight>
          </wp14:sizeRelV>
        </wp:anchor>
      </w:drawing>
    </w:r>
    <w:bookmarkEnd w:id="4"/>
    <w:bookmarkEnd w:id="5"/>
  </w:p>
  <w:p w14:paraId="20BE2628" w14:textId="190B6572" w:rsidR="00662A36" w:rsidRPr="00847216" w:rsidRDefault="00662A36" w:rsidP="0084721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06852" w14:textId="3EB5BD6E" w:rsidR="00662A36" w:rsidRDefault="00662A3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AE537" w14:textId="5D310757" w:rsidR="00662A36" w:rsidRDefault="00662A36" w:rsidP="002A47D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BC0FA" w14:textId="0B5B0AB0" w:rsidR="00662A36" w:rsidRDefault="00662A3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94F54" w14:textId="77777777" w:rsidR="003C7540" w:rsidRDefault="003C7540" w:rsidP="002A47D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EDAFD" w14:textId="77777777" w:rsidR="00662A36" w:rsidRDefault="00662A36">
    <w:pPr>
      <w:pStyle w:val="Header"/>
    </w:pPr>
  </w:p>
  <w:p w14:paraId="42640542" w14:textId="77777777" w:rsidR="00662A36" w:rsidRDefault="00662A36"/>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49FBC" w14:textId="77777777" w:rsidR="00662A36" w:rsidRPr="003C4DB0" w:rsidRDefault="00662A36" w:rsidP="004F61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6" w15:restartNumberingAfterBreak="0">
    <w:nsid w:val="009D439E"/>
    <w:multiLevelType w:val="hybridMultilevel"/>
    <w:tmpl w:val="A98CD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18D1B99"/>
    <w:multiLevelType w:val="hybridMultilevel"/>
    <w:tmpl w:val="F668AA02"/>
    <w:lvl w:ilvl="0" w:tplc="C080804A">
      <w:start w:val="1"/>
      <w:numFmt w:val="bullet"/>
      <w:lvlText w:val=""/>
      <w:lvlJc w:val="left"/>
      <w:pPr>
        <w:ind w:left="-1547" w:hanging="359"/>
      </w:pPr>
      <w:rPr>
        <w:rFonts w:ascii="Symbol" w:hAnsi="Symbol" w:hint="default"/>
      </w:rPr>
    </w:lvl>
    <w:lvl w:ilvl="1" w:tplc="1D1CFD1C">
      <w:start w:val="1"/>
      <w:numFmt w:val="bullet"/>
      <w:lvlText w:val="o"/>
      <w:lvlJc w:val="left"/>
      <w:pPr>
        <w:ind w:left="-827" w:hanging="359"/>
      </w:pPr>
      <w:rPr>
        <w:rFonts w:ascii="Courier New" w:hAnsi="Courier New" w:cs="Arial" w:hint="default"/>
      </w:rPr>
    </w:lvl>
    <w:lvl w:ilvl="2" w:tplc="B420A952">
      <w:start w:val="1"/>
      <w:numFmt w:val="bullet"/>
      <w:lvlText w:val=""/>
      <w:lvlJc w:val="left"/>
      <w:pPr>
        <w:ind w:left="-107" w:hanging="359"/>
      </w:pPr>
      <w:rPr>
        <w:rFonts w:ascii="Wingdings" w:hAnsi="Wingdings" w:hint="default"/>
      </w:rPr>
    </w:lvl>
    <w:lvl w:ilvl="3" w:tplc="5DA02622">
      <w:start w:val="1"/>
      <w:numFmt w:val="bullet"/>
      <w:lvlText w:val=""/>
      <w:lvlJc w:val="left"/>
      <w:pPr>
        <w:ind w:left="612" w:hanging="359"/>
      </w:pPr>
      <w:rPr>
        <w:rFonts w:ascii="Symbol" w:hAnsi="Symbol" w:hint="default"/>
      </w:rPr>
    </w:lvl>
    <w:lvl w:ilvl="4" w:tplc="51D85914">
      <w:start w:val="1"/>
      <w:numFmt w:val="bullet"/>
      <w:lvlText w:val="o"/>
      <w:lvlJc w:val="left"/>
      <w:pPr>
        <w:ind w:left="1332" w:hanging="359"/>
      </w:pPr>
      <w:rPr>
        <w:rFonts w:ascii="Courier New" w:hAnsi="Courier New" w:cs="Arial" w:hint="default"/>
      </w:rPr>
    </w:lvl>
    <w:lvl w:ilvl="5" w:tplc="B5E235E4">
      <w:start w:val="1"/>
      <w:numFmt w:val="bullet"/>
      <w:lvlText w:val=""/>
      <w:lvlJc w:val="left"/>
      <w:pPr>
        <w:ind w:left="2052" w:hanging="359"/>
      </w:pPr>
      <w:rPr>
        <w:rFonts w:ascii="Wingdings" w:hAnsi="Wingdings" w:hint="default"/>
      </w:rPr>
    </w:lvl>
    <w:lvl w:ilvl="6" w:tplc="DCE86282">
      <w:start w:val="1"/>
      <w:numFmt w:val="bullet"/>
      <w:lvlText w:val=""/>
      <w:lvlJc w:val="left"/>
      <w:pPr>
        <w:ind w:left="2772" w:hanging="359"/>
      </w:pPr>
      <w:rPr>
        <w:rFonts w:ascii="Symbol" w:hAnsi="Symbol" w:hint="default"/>
      </w:rPr>
    </w:lvl>
    <w:lvl w:ilvl="7" w:tplc="A4141650">
      <w:start w:val="1"/>
      <w:numFmt w:val="bullet"/>
      <w:lvlText w:val="o"/>
      <w:lvlJc w:val="left"/>
      <w:pPr>
        <w:ind w:left="3492" w:hanging="359"/>
      </w:pPr>
      <w:rPr>
        <w:rFonts w:ascii="Courier New" w:hAnsi="Courier New" w:cs="Arial" w:hint="default"/>
      </w:rPr>
    </w:lvl>
    <w:lvl w:ilvl="8" w:tplc="83A48B3A">
      <w:start w:val="1"/>
      <w:numFmt w:val="bullet"/>
      <w:lvlText w:val=""/>
      <w:lvlJc w:val="left"/>
      <w:pPr>
        <w:ind w:left="4212" w:hanging="359"/>
      </w:pPr>
      <w:rPr>
        <w:rFonts w:ascii="Wingdings" w:hAnsi="Wingdings" w:hint="default"/>
      </w:rPr>
    </w:lvl>
  </w:abstractNum>
  <w:abstractNum w:abstractNumId="8" w15:restartNumberingAfterBreak="0">
    <w:nsid w:val="02FC3D71"/>
    <w:multiLevelType w:val="hybridMultilevel"/>
    <w:tmpl w:val="AAEA7A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5EC5EB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60A4AAC"/>
    <w:multiLevelType w:val="multilevel"/>
    <w:tmpl w:val="22BA912C"/>
    <w:lvl w:ilvl="0">
      <w:start w:val="1"/>
      <w:numFmt w:val="decimal"/>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8FD7B95"/>
    <w:multiLevelType w:val="hybridMultilevel"/>
    <w:tmpl w:val="CF08E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A736C3"/>
    <w:multiLevelType w:val="hybridMultilevel"/>
    <w:tmpl w:val="2200D6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0178E3"/>
    <w:multiLevelType w:val="hybridMultilevel"/>
    <w:tmpl w:val="DA022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210F7C"/>
    <w:multiLevelType w:val="hybridMultilevel"/>
    <w:tmpl w:val="544EB37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50B04D8"/>
    <w:multiLevelType w:val="hybridMultilevel"/>
    <w:tmpl w:val="E5325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A34E6A"/>
    <w:multiLevelType w:val="hybridMultilevel"/>
    <w:tmpl w:val="1FB4B2BE"/>
    <w:lvl w:ilvl="0" w:tplc="96DC035E">
      <w:start w:val="1"/>
      <w:numFmt w:val="bullet"/>
      <w:lvlText w:val="•"/>
      <w:lvlJc w:val="left"/>
      <w:pPr>
        <w:ind w:left="360" w:hanging="359"/>
      </w:pPr>
      <w:rPr>
        <w:rFonts w:ascii="Arial" w:hAnsi="Arial" w:hint="default"/>
      </w:rPr>
    </w:lvl>
    <w:lvl w:ilvl="1" w:tplc="ACBC57C4">
      <w:start w:val="1"/>
      <w:numFmt w:val="bullet"/>
      <w:lvlText w:val="o"/>
      <w:lvlJc w:val="left"/>
      <w:pPr>
        <w:ind w:left="1080" w:hanging="359"/>
      </w:pPr>
      <w:rPr>
        <w:rFonts w:ascii="Courier New" w:hAnsi="Courier New" w:cs="Arial" w:hint="default"/>
      </w:rPr>
    </w:lvl>
    <w:lvl w:ilvl="2" w:tplc="8086F5CE">
      <w:start w:val="1"/>
      <w:numFmt w:val="bullet"/>
      <w:lvlText w:val=""/>
      <w:lvlJc w:val="left"/>
      <w:pPr>
        <w:ind w:left="1800" w:hanging="359"/>
      </w:pPr>
      <w:rPr>
        <w:rFonts w:ascii="Wingdings" w:hAnsi="Wingdings" w:hint="default"/>
      </w:rPr>
    </w:lvl>
    <w:lvl w:ilvl="3" w:tplc="7F6CD98C">
      <w:start w:val="1"/>
      <w:numFmt w:val="bullet"/>
      <w:lvlText w:val=""/>
      <w:lvlJc w:val="left"/>
      <w:pPr>
        <w:ind w:left="2520" w:hanging="359"/>
      </w:pPr>
      <w:rPr>
        <w:rFonts w:ascii="Symbol" w:hAnsi="Symbol" w:hint="default"/>
      </w:rPr>
    </w:lvl>
    <w:lvl w:ilvl="4" w:tplc="712AD988">
      <w:start w:val="1"/>
      <w:numFmt w:val="bullet"/>
      <w:lvlText w:val="o"/>
      <w:lvlJc w:val="left"/>
      <w:pPr>
        <w:ind w:left="3240" w:hanging="359"/>
      </w:pPr>
      <w:rPr>
        <w:rFonts w:ascii="Courier New" w:hAnsi="Courier New" w:cs="Arial" w:hint="default"/>
      </w:rPr>
    </w:lvl>
    <w:lvl w:ilvl="5" w:tplc="B49684F0">
      <w:start w:val="1"/>
      <w:numFmt w:val="bullet"/>
      <w:lvlText w:val=""/>
      <w:lvlJc w:val="left"/>
      <w:pPr>
        <w:ind w:left="3960" w:hanging="359"/>
      </w:pPr>
      <w:rPr>
        <w:rFonts w:ascii="Wingdings" w:hAnsi="Wingdings" w:hint="default"/>
      </w:rPr>
    </w:lvl>
    <w:lvl w:ilvl="6" w:tplc="55540444">
      <w:start w:val="1"/>
      <w:numFmt w:val="bullet"/>
      <w:lvlText w:val=""/>
      <w:lvlJc w:val="left"/>
      <w:pPr>
        <w:ind w:left="4680" w:hanging="359"/>
      </w:pPr>
      <w:rPr>
        <w:rFonts w:ascii="Symbol" w:hAnsi="Symbol" w:hint="default"/>
      </w:rPr>
    </w:lvl>
    <w:lvl w:ilvl="7" w:tplc="2272B7B4">
      <w:start w:val="1"/>
      <w:numFmt w:val="bullet"/>
      <w:lvlText w:val="o"/>
      <w:lvlJc w:val="left"/>
      <w:pPr>
        <w:ind w:left="5400" w:hanging="359"/>
      </w:pPr>
      <w:rPr>
        <w:rFonts w:ascii="Courier New" w:hAnsi="Courier New" w:cs="Arial" w:hint="default"/>
      </w:rPr>
    </w:lvl>
    <w:lvl w:ilvl="8" w:tplc="2D08F3CC">
      <w:start w:val="1"/>
      <w:numFmt w:val="bullet"/>
      <w:lvlText w:val=""/>
      <w:lvlJc w:val="left"/>
      <w:pPr>
        <w:ind w:left="6120" w:hanging="359"/>
      </w:pPr>
      <w:rPr>
        <w:rFonts w:ascii="Wingdings" w:hAnsi="Wingdings" w:hint="default"/>
      </w:rPr>
    </w:lvl>
  </w:abstractNum>
  <w:abstractNum w:abstractNumId="17"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F37CD"/>
    <w:multiLevelType w:val="hybridMultilevel"/>
    <w:tmpl w:val="FA7AA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20"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2C381800"/>
    <w:multiLevelType w:val="hybridMultilevel"/>
    <w:tmpl w:val="E49E2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C810EE2"/>
    <w:multiLevelType w:val="hybridMultilevel"/>
    <w:tmpl w:val="4EB85BE0"/>
    <w:lvl w:ilvl="0" w:tplc="05EA3F18">
      <w:start w:val="1"/>
      <w:numFmt w:val="decimal"/>
      <w:pStyle w:val="Numberedlist"/>
      <w:lvlText w:val="%1."/>
      <w:lvlJc w:val="left"/>
      <w:pPr>
        <w:ind w:left="720" w:hanging="360"/>
      </w:pPr>
      <w:rPr>
        <w:rFonts w:hint="default"/>
      </w:rPr>
    </w:lvl>
    <w:lvl w:ilvl="1" w:tplc="FE3AC208">
      <w:start w:val="1"/>
      <w:numFmt w:val="lowerLetter"/>
      <w:lvlText w:val="(%2)"/>
      <w:lvlJc w:val="left"/>
      <w:pPr>
        <w:ind w:left="1233" w:hanging="360"/>
      </w:pPr>
      <w:rPr>
        <w:rFonts w:hint="default"/>
      </w:rPr>
    </w:lvl>
    <w:lvl w:ilvl="2" w:tplc="77E4D7DE">
      <w:start w:val="1"/>
      <w:numFmt w:val="lowerRoman"/>
      <w:lvlText w:val="(%3)"/>
      <w:lvlJc w:val="right"/>
      <w:pPr>
        <w:ind w:left="1953" w:hanging="180"/>
      </w:pPr>
      <w:rPr>
        <w:rFonts w:hint="default"/>
      </w:rPr>
    </w:lvl>
    <w:lvl w:ilvl="3" w:tplc="0809000F" w:tentative="1">
      <w:start w:val="1"/>
      <w:numFmt w:val="decimal"/>
      <w:lvlText w:val="%4."/>
      <w:lvlJc w:val="left"/>
      <w:pPr>
        <w:ind w:left="2673" w:hanging="360"/>
      </w:pPr>
    </w:lvl>
    <w:lvl w:ilvl="4" w:tplc="08090019" w:tentative="1">
      <w:start w:val="1"/>
      <w:numFmt w:val="lowerLetter"/>
      <w:lvlText w:val="%5."/>
      <w:lvlJc w:val="left"/>
      <w:pPr>
        <w:ind w:left="3393" w:hanging="360"/>
      </w:pPr>
    </w:lvl>
    <w:lvl w:ilvl="5" w:tplc="0809001B" w:tentative="1">
      <w:start w:val="1"/>
      <w:numFmt w:val="lowerRoman"/>
      <w:lvlText w:val="%6."/>
      <w:lvlJc w:val="right"/>
      <w:pPr>
        <w:ind w:left="4113" w:hanging="180"/>
      </w:pPr>
    </w:lvl>
    <w:lvl w:ilvl="6" w:tplc="0809000F" w:tentative="1">
      <w:start w:val="1"/>
      <w:numFmt w:val="decimal"/>
      <w:lvlText w:val="%7."/>
      <w:lvlJc w:val="left"/>
      <w:pPr>
        <w:ind w:left="4833" w:hanging="360"/>
      </w:pPr>
    </w:lvl>
    <w:lvl w:ilvl="7" w:tplc="08090019" w:tentative="1">
      <w:start w:val="1"/>
      <w:numFmt w:val="lowerLetter"/>
      <w:lvlText w:val="%8."/>
      <w:lvlJc w:val="left"/>
      <w:pPr>
        <w:ind w:left="5553" w:hanging="360"/>
      </w:pPr>
    </w:lvl>
    <w:lvl w:ilvl="8" w:tplc="0809001B" w:tentative="1">
      <w:start w:val="1"/>
      <w:numFmt w:val="lowerRoman"/>
      <w:lvlText w:val="%9."/>
      <w:lvlJc w:val="right"/>
      <w:pPr>
        <w:ind w:left="6273" w:hanging="180"/>
      </w:pPr>
    </w:lvl>
  </w:abstractNum>
  <w:abstractNum w:abstractNumId="23" w15:restartNumberingAfterBreak="0">
    <w:nsid w:val="2CC4285A"/>
    <w:multiLevelType w:val="hybridMultilevel"/>
    <w:tmpl w:val="990035C8"/>
    <w:lvl w:ilvl="0" w:tplc="81C27B42">
      <w:start w:val="1"/>
      <w:numFmt w:val="bullet"/>
      <w:lvlText w:val=""/>
      <w:lvlJc w:val="left"/>
      <w:pPr>
        <w:ind w:left="360" w:hanging="359"/>
      </w:pPr>
      <w:rPr>
        <w:rFonts w:ascii="Symbol" w:hAnsi="Symbol" w:hint="default"/>
      </w:rPr>
    </w:lvl>
    <w:lvl w:ilvl="1" w:tplc="EED402B8">
      <w:start w:val="1"/>
      <w:numFmt w:val="bullet"/>
      <w:lvlText w:val="o"/>
      <w:lvlJc w:val="left"/>
      <w:pPr>
        <w:ind w:left="1080" w:hanging="359"/>
      </w:pPr>
      <w:rPr>
        <w:rFonts w:ascii="Courier New" w:hAnsi="Courier New" w:cs="Courier New" w:hint="default"/>
      </w:rPr>
    </w:lvl>
    <w:lvl w:ilvl="2" w:tplc="AF4A3590">
      <w:start w:val="1"/>
      <w:numFmt w:val="bullet"/>
      <w:lvlText w:val=""/>
      <w:lvlJc w:val="left"/>
      <w:pPr>
        <w:ind w:left="1800" w:hanging="359"/>
      </w:pPr>
      <w:rPr>
        <w:rFonts w:ascii="Wingdings" w:hAnsi="Wingdings" w:hint="default"/>
      </w:rPr>
    </w:lvl>
    <w:lvl w:ilvl="3" w:tplc="5364AEA4">
      <w:start w:val="1"/>
      <w:numFmt w:val="bullet"/>
      <w:lvlText w:val=""/>
      <w:lvlJc w:val="left"/>
      <w:pPr>
        <w:ind w:left="2520" w:hanging="359"/>
      </w:pPr>
      <w:rPr>
        <w:rFonts w:ascii="Symbol" w:hAnsi="Symbol" w:hint="default"/>
      </w:rPr>
    </w:lvl>
    <w:lvl w:ilvl="4" w:tplc="376214C8">
      <w:start w:val="1"/>
      <w:numFmt w:val="bullet"/>
      <w:lvlText w:val="o"/>
      <w:lvlJc w:val="left"/>
      <w:pPr>
        <w:ind w:left="3240" w:hanging="359"/>
      </w:pPr>
      <w:rPr>
        <w:rFonts w:ascii="Courier New" w:hAnsi="Courier New" w:cs="Courier New" w:hint="default"/>
      </w:rPr>
    </w:lvl>
    <w:lvl w:ilvl="5" w:tplc="96CA3832">
      <w:start w:val="1"/>
      <w:numFmt w:val="bullet"/>
      <w:lvlText w:val=""/>
      <w:lvlJc w:val="left"/>
      <w:pPr>
        <w:ind w:left="3960" w:hanging="359"/>
      </w:pPr>
      <w:rPr>
        <w:rFonts w:ascii="Wingdings" w:hAnsi="Wingdings" w:hint="default"/>
      </w:rPr>
    </w:lvl>
    <w:lvl w:ilvl="6" w:tplc="5BCCFE46">
      <w:start w:val="1"/>
      <w:numFmt w:val="bullet"/>
      <w:lvlText w:val=""/>
      <w:lvlJc w:val="left"/>
      <w:pPr>
        <w:ind w:left="4680" w:hanging="359"/>
      </w:pPr>
      <w:rPr>
        <w:rFonts w:ascii="Symbol" w:hAnsi="Symbol" w:hint="default"/>
      </w:rPr>
    </w:lvl>
    <w:lvl w:ilvl="7" w:tplc="912CD90E">
      <w:start w:val="1"/>
      <w:numFmt w:val="bullet"/>
      <w:lvlText w:val="o"/>
      <w:lvlJc w:val="left"/>
      <w:pPr>
        <w:ind w:left="5400" w:hanging="359"/>
      </w:pPr>
      <w:rPr>
        <w:rFonts w:ascii="Courier New" w:hAnsi="Courier New" w:cs="Courier New" w:hint="default"/>
      </w:rPr>
    </w:lvl>
    <w:lvl w:ilvl="8" w:tplc="9B825916">
      <w:start w:val="1"/>
      <w:numFmt w:val="bullet"/>
      <w:lvlText w:val=""/>
      <w:lvlJc w:val="left"/>
      <w:pPr>
        <w:ind w:left="6120" w:hanging="359"/>
      </w:pPr>
      <w:rPr>
        <w:rFonts w:ascii="Wingdings" w:hAnsi="Wingdings" w:hint="default"/>
      </w:rPr>
    </w:lvl>
  </w:abstractNum>
  <w:abstractNum w:abstractNumId="24"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15:restartNumberingAfterBreak="0">
    <w:nsid w:val="39AB1BF5"/>
    <w:multiLevelType w:val="hybridMultilevel"/>
    <w:tmpl w:val="682CF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3118D8"/>
    <w:multiLevelType w:val="multilevel"/>
    <w:tmpl w:val="22BA912C"/>
    <w:lvl w:ilvl="0">
      <w:start w:val="1"/>
      <w:numFmt w:val="decimal"/>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8" w15:restartNumberingAfterBreak="0">
    <w:nsid w:val="405A6B88"/>
    <w:multiLevelType w:val="hybridMultilevel"/>
    <w:tmpl w:val="0C8A4B6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30" w15:restartNumberingAfterBreak="0">
    <w:nsid w:val="47CE7E57"/>
    <w:multiLevelType w:val="hybridMultilevel"/>
    <w:tmpl w:val="F6C46B92"/>
    <w:lvl w:ilvl="0" w:tplc="5CCECA5A">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B26198"/>
    <w:multiLevelType w:val="hybridMultilevel"/>
    <w:tmpl w:val="AD202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B681629"/>
    <w:multiLevelType w:val="hybridMultilevel"/>
    <w:tmpl w:val="9280A92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EFB3A62"/>
    <w:multiLevelType w:val="hybridMultilevel"/>
    <w:tmpl w:val="FDC65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0E05851"/>
    <w:multiLevelType w:val="hybridMultilevel"/>
    <w:tmpl w:val="D1FC2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005D7A"/>
    <w:multiLevelType w:val="multilevel"/>
    <w:tmpl w:val="22BA912C"/>
    <w:lvl w:ilvl="0">
      <w:start w:val="1"/>
      <w:numFmt w:val="decimal"/>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5F60C03"/>
    <w:multiLevelType w:val="hybridMultilevel"/>
    <w:tmpl w:val="1E063ADE"/>
    <w:lvl w:ilvl="0" w:tplc="C0262A20">
      <w:start w:val="1"/>
      <w:numFmt w:val="bullet"/>
      <w:lvlText w:val=""/>
      <w:lvlJc w:val="left"/>
      <w:pPr>
        <w:ind w:left="720" w:hanging="359"/>
      </w:pPr>
      <w:rPr>
        <w:rFonts w:ascii="Symbol" w:hAnsi="Symbol" w:hint="default"/>
      </w:rPr>
    </w:lvl>
    <w:lvl w:ilvl="1" w:tplc="98E64054">
      <w:start w:val="1"/>
      <w:numFmt w:val="bullet"/>
      <w:lvlText w:val="o"/>
      <w:lvlJc w:val="left"/>
      <w:pPr>
        <w:ind w:left="1440" w:hanging="359"/>
      </w:pPr>
      <w:rPr>
        <w:rFonts w:ascii="Courier New" w:hAnsi="Courier New" w:cs="Courier New" w:hint="default"/>
      </w:rPr>
    </w:lvl>
    <w:lvl w:ilvl="2" w:tplc="21807DB6">
      <w:start w:val="1"/>
      <w:numFmt w:val="bullet"/>
      <w:lvlText w:val=""/>
      <w:lvlJc w:val="left"/>
      <w:pPr>
        <w:ind w:left="2160" w:hanging="359"/>
      </w:pPr>
      <w:rPr>
        <w:rFonts w:ascii="Wingdings" w:hAnsi="Wingdings" w:hint="default"/>
      </w:rPr>
    </w:lvl>
    <w:lvl w:ilvl="3" w:tplc="16B4402C">
      <w:start w:val="1"/>
      <w:numFmt w:val="bullet"/>
      <w:lvlText w:val=""/>
      <w:lvlJc w:val="left"/>
      <w:pPr>
        <w:ind w:left="2880" w:hanging="359"/>
      </w:pPr>
      <w:rPr>
        <w:rFonts w:ascii="Symbol" w:hAnsi="Symbol" w:hint="default"/>
      </w:rPr>
    </w:lvl>
    <w:lvl w:ilvl="4" w:tplc="46B88C06">
      <w:start w:val="1"/>
      <w:numFmt w:val="bullet"/>
      <w:lvlText w:val="o"/>
      <w:lvlJc w:val="left"/>
      <w:pPr>
        <w:ind w:left="3600" w:hanging="359"/>
      </w:pPr>
      <w:rPr>
        <w:rFonts w:ascii="Courier New" w:hAnsi="Courier New" w:cs="Courier New" w:hint="default"/>
      </w:rPr>
    </w:lvl>
    <w:lvl w:ilvl="5" w:tplc="2EAA99AC">
      <w:start w:val="1"/>
      <w:numFmt w:val="bullet"/>
      <w:lvlText w:val=""/>
      <w:lvlJc w:val="left"/>
      <w:pPr>
        <w:ind w:left="4320" w:hanging="359"/>
      </w:pPr>
      <w:rPr>
        <w:rFonts w:ascii="Wingdings" w:hAnsi="Wingdings" w:hint="default"/>
      </w:rPr>
    </w:lvl>
    <w:lvl w:ilvl="6" w:tplc="F4D66E94">
      <w:start w:val="1"/>
      <w:numFmt w:val="bullet"/>
      <w:lvlText w:val=""/>
      <w:lvlJc w:val="left"/>
      <w:pPr>
        <w:ind w:left="5040" w:hanging="359"/>
      </w:pPr>
      <w:rPr>
        <w:rFonts w:ascii="Symbol" w:hAnsi="Symbol" w:hint="default"/>
      </w:rPr>
    </w:lvl>
    <w:lvl w:ilvl="7" w:tplc="9D2C30B2">
      <w:start w:val="1"/>
      <w:numFmt w:val="bullet"/>
      <w:lvlText w:val="o"/>
      <w:lvlJc w:val="left"/>
      <w:pPr>
        <w:ind w:left="5760" w:hanging="359"/>
      </w:pPr>
      <w:rPr>
        <w:rFonts w:ascii="Courier New" w:hAnsi="Courier New" w:cs="Courier New" w:hint="default"/>
      </w:rPr>
    </w:lvl>
    <w:lvl w:ilvl="8" w:tplc="AAC84480">
      <w:start w:val="1"/>
      <w:numFmt w:val="bullet"/>
      <w:lvlText w:val=""/>
      <w:lvlJc w:val="left"/>
      <w:pPr>
        <w:ind w:left="6480" w:hanging="359"/>
      </w:pPr>
      <w:rPr>
        <w:rFonts w:ascii="Wingdings" w:hAnsi="Wingdings" w:hint="default"/>
      </w:rPr>
    </w:lvl>
  </w:abstractNum>
  <w:abstractNum w:abstractNumId="37" w15:restartNumberingAfterBreak="0">
    <w:nsid w:val="56DE4E0A"/>
    <w:multiLevelType w:val="hybridMultilevel"/>
    <w:tmpl w:val="502C1B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9444BE6"/>
    <w:multiLevelType w:val="multilevel"/>
    <w:tmpl w:val="951A7E2A"/>
    <w:lvl w:ilvl="0">
      <w:start w:val="1"/>
      <w:numFmt w:val="decimal"/>
      <w:pStyle w:val="Heading1"/>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pStyle w:val="Heading3"/>
      <w:lvlText w:val="%1.%2.%3"/>
      <w:lvlJc w:val="left"/>
      <w:pPr>
        <w:ind w:left="1429"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9"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40" w15:restartNumberingAfterBreak="0">
    <w:nsid w:val="5B662029"/>
    <w:multiLevelType w:val="hybridMultilevel"/>
    <w:tmpl w:val="F5E01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BD96BF8"/>
    <w:multiLevelType w:val="hybridMultilevel"/>
    <w:tmpl w:val="655E2886"/>
    <w:lvl w:ilvl="0" w:tplc="0456C424">
      <w:start w:val="1"/>
      <w:numFmt w:val="bullet"/>
      <w:pStyle w:val="Bulleted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142CF4"/>
    <w:multiLevelType w:val="hybridMultilevel"/>
    <w:tmpl w:val="774633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D7468BE"/>
    <w:multiLevelType w:val="hybridMultilevel"/>
    <w:tmpl w:val="1F88F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6" w15:restartNumberingAfterBreak="0">
    <w:nsid w:val="613F6FE4"/>
    <w:multiLevelType w:val="hybridMultilevel"/>
    <w:tmpl w:val="BFCA380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45D0B3A"/>
    <w:multiLevelType w:val="multilevel"/>
    <w:tmpl w:val="22BA912C"/>
    <w:lvl w:ilvl="0">
      <w:start w:val="1"/>
      <w:numFmt w:val="decimal"/>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65E262B7"/>
    <w:multiLevelType w:val="hybridMultilevel"/>
    <w:tmpl w:val="A154BA84"/>
    <w:lvl w:ilvl="0" w:tplc="F38E12A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6063429"/>
    <w:multiLevelType w:val="multilevel"/>
    <w:tmpl w:val="7A2A3AF6"/>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50" w15:restartNumberingAfterBreak="0">
    <w:nsid w:val="66C13864"/>
    <w:multiLevelType w:val="multilevel"/>
    <w:tmpl w:val="26062C2C"/>
    <w:lvl w:ilvl="0">
      <w:start w:val="1"/>
      <w:numFmt w:val="lowerLetter"/>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1" w15:restartNumberingAfterBreak="0">
    <w:nsid w:val="6788220D"/>
    <w:multiLevelType w:val="hybridMultilevel"/>
    <w:tmpl w:val="EE34C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81C3F59"/>
    <w:multiLevelType w:val="multilevel"/>
    <w:tmpl w:val="F320A074"/>
    <w:lvl w:ilvl="0">
      <w:start w:val="1"/>
      <w:numFmt w:val="decimal"/>
      <w:pStyle w:val="LegalClauseLevel1"/>
      <w:lvlText w:val="%1."/>
      <w:lvlJc w:val="left"/>
      <w:pPr>
        <w:tabs>
          <w:tab w:val="num" w:pos="851"/>
        </w:tabs>
        <w:ind w:left="851" w:hanging="851"/>
      </w:pPr>
      <w:rPr>
        <w:rFonts w:ascii="Arial" w:hAnsi="Arial" w:hint="default"/>
        <w:b/>
        <w:sz w:val="28"/>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pStyle w:val="LegalClauseLevel3"/>
      <w:lvlText w:val="(%3)"/>
      <w:lvlJc w:val="left"/>
      <w:pPr>
        <w:tabs>
          <w:tab w:val="num" w:pos="1418"/>
        </w:tabs>
        <w:ind w:left="1418" w:hanging="567"/>
      </w:pPr>
      <w:rPr>
        <w:rFonts w:ascii="Arial" w:hAnsi="Arial" w:hint="default"/>
        <w:b w:val="0"/>
        <w:i w:val="0"/>
        <w:sz w:val="22"/>
      </w:rPr>
    </w:lvl>
    <w:lvl w:ilvl="3">
      <w:start w:val="1"/>
      <w:numFmt w:val="lowerRoman"/>
      <w:pStyle w:val="LegalClauseLevel4"/>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6A3C4504"/>
    <w:multiLevelType w:val="hybridMultilevel"/>
    <w:tmpl w:val="8CE0FC26"/>
    <w:lvl w:ilvl="0" w:tplc="FC18A7B6">
      <w:start w:val="1"/>
      <w:numFmt w:val="bullet"/>
      <w:lvlText w:val=""/>
      <w:lvlJc w:val="left"/>
      <w:pPr>
        <w:ind w:left="720" w:hanging="360"/>
      </w:pPr>
      <w:rPr>
        <w:rFonts w:ascii="Symbol" w:hAnsi="Symbol" w:hint="default"/>
      </w:rPr>
    </w:lvl>
    <w:lvl w:ilvl="1" w:tplc="F774DBD4">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CF00E93"/>
    <w:multiLevelType w:val="hybridMultilevel"/>
    <w:tmpl w:val="8E62C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F8F0637"/>
    <w:multiLevelType w:val="multilevel"/>
    <w:tmpl w:val="22BA912C"/>
    <w:lvl w:ilvl="0">
      <w:start w:val="1"/>
      <w:numFmt w:val="decimal"/>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6FBA75CE"/>
    <w:multiLevelType w:val="multilevel"/>
    <w:tmpl w:val="7FDE0830"/>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851"/>
        </w:tabs>
        <w:ind w:left="851" w:hanging="851"/>
      </w:pPr>
      <w:rPr>
        <w:rFonts w:ascii="Arial" w:hAnsi="Arial" w:hint="default"/>
        <w:b/>
        <w:i w:val="0"/>
        <w:sz w:val="24"/>
      </w:rPr>
    </w:lvl>
    <w:lvl w:ilvl="2">
      <w:start w:val="1"/>
      <w:numFmt w:val="lowerLetter"/>
      <w:pStyle w:val="LegalScheduleLevel3"/>
      <w:lvlText w:val="(%3)"/>
      <w:lvlJc w:val="left"/>
      <w:pPr>
        <w:tabs>
          <w:tab w:val="num" w:pos="1418"/>
        </w:tabs>
        <w:ind w:left="1418" w:hanging="567"/>
      </w:pPr>
      <w:rPr>
        <w:rFonts w:ascii="Arial" w:hAnsi="Arial" w:hint="default"/>
        <w:b w:val="0"/>
        <w:i w:val="0"/>
        <w:sz w:val="22"/>
      </w:rPr>
    </w:lvl>
    <w:lvl w:ilvl="3">
      <w:start w:val="1"/>
      <w:numFmt w:val="lowerRoman"/>
      <w:pStyle w:val="LegalScheduleLevel4"/>
      <w:lvlText w:val="(%4)"/>
      <w:lvlJc w:val="left"/>
      <w:pPr>
        <w:tabs>
          <w:tab w:val="num" w:pos="1985"/>
        </w:tabs>
        <w:ind w:left="1985" w:hanging="567"/>
      </w:pPr>
      <w:rPr>
        <w:rFonts w:ascii="Arial" w:hAnsi="Arial"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pStyle w:val="ClauseLevel8"/>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70E00E8F"/>
    <w:multiLevelType w:val="multilevel"/>
    <w:tmpl w:val="5CB0450E"/>
    <w:lvl w:ilvl="0">
      <w:start w:val="1"/>
      <w:numFmt w:val="lowerLetter"/>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8" w15:restartNumberingAfterBreak="0">
    <w:nsid w:val="715E6E27"/>
    <w:multiLevelType w:val="multilevel"/>
    <w:tmpl w:val="063C71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60" w15:restartNumberingAfterBreak="0">
    <w:nsid w:val="7BC74D29"/>
    <w:multiLevelType w:val="hybridMultilevel"/>
    <w:tmpl w:val="E39A4A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DA213D1"/>
    <w:multiLevelType w:val="multilevel"/>
    <w:tmpl w:val="F8B6FD26"/>
    <w:lvl w:ilvl="0">
      <w:start w:val="1"/>
      <w:numFmt w:val="lowerLetter"/>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4"/>
  </w:num>
  <w:num w:numId="2">
    <w:abstractNumId w:val="3"/>
  </w:num>
  <w:num w:numId="3">
    <w:abstractNumId w:val="2"/>
  </w:num>
  <w:num w:numId="4">
    <w:abstractNumId w:val="1"/>
  </w:num>
  <w:num w:numId="5">
    <w:abstractNumId w:val="29"/>
  </w:num>
  <w:num w:numId="6">
    <w:abstractNumId w:val="19"/>
  </w:num>
  <w:num w:numId="7">
    <w:abstractNumId w:val="17"/>
  </w:num>
  <w:num w:numId="8">
    <w:abstractNumId w:val="39"/>
  </w:num>
  <w:num w:numId="9">
    <w:abstractNumId w:val="24"/>
  </w:num>
  <w:num w:numId="10">
    <w:abstractNumId w:val="20"/>
  </w:num>
  <w:num w:numId="11">
    <w:abstractNumId w:val="45"/>
  </w:num>
  <w:num w:numId="12">
    <w:abstractNumId w:val="0"/>
  </w:num>
  <w:num w:numId="13">
    <w:abstractNumId w:val="38"/>
  </w:num>
  <w:num w:numId="14">
    <w:abstractNumId w:val="49"/>
  </w:num>
  <w:num w:numId="15">
    <w:abstractNumId w:val="59"/>
  </w:num>
  <w:num w:numId="16">
    <w:abstractNumId w:val="44"/>
  </w:num>
  <w:num w:numId="17">
    <w:abstractNumId w:val="27"/>
  </w:num>
  <w:num w:numId="18">
    <w:abstractNumId w:val="5"/>
  </w:num>
  <w:num w:numId="19">
    <w:abstractNumId w:val="41"/>
  </w:num>
  <w:num w:numId="20">
    <w:abstractNumId w:val="52"/>
  </w:num>
  <w:num w:numId="21">
    <w:abstractNumId w:val="22"/>
  </w:num>
  <w:num w:numId="22">
    <w:abstractNumId w:val="33"/>
  </w:num>
  <w:num w:numId="23">
    <w:abstractNumId w:val="54"/>
  </w:num>
  <w:num w:numId="24">
    <w:abstractNumId w:val="28"/>
  </w:num>
  <w:num w:numId="25">
    <w:abstractNumId w:val="14"/>
  </w:num>
  <w:num w:numId="26">
    <w:abstractNumId w:val="8"/>
  </w:num>
  <w:num w:numId="27">
    <w:abstractNumId w:val="18"/>
  </w:num>
  <w:num w:numId="28">
    <w:abstractNumId w:val="37"/>
  </w:num>
  <w:num w:numId="29">
    <w:abstractNumId w:val="12"/>
  </w:num>
  <w:num w:numId="30">
    <w:abstractNumId w:val="25"/>
  </w:num>
  <w:num w:numId="31">
    <w:abstractNumId w:val="60"/>
  </w:num>
  <w:num w:numId="32">
    <w:abstractNumId w:val="53"/>
  </w:num>
  <w:num w:numId="33">
    <w:abstractNumId w:val="6"/>
  </w:num>
  <w:num w:numId="34">
    <w:abstractNumId w:val="40"/>
  </w:num>
  <w:num w:numId="35">
    <w:abstractNumId w:val="11"/>
  </w:num>
  <w:num w:numId="36">
    <w:abstractNumId w:val="15"/>
  </w:num>
  <w:num w:numId="37">
    <w:abstractNumId w:val="13"/>
  </w:num>
  <w:num w:numId="38">
    <w:abstractNumId w:val="51"/>
  </w:num>
  <w:num w:numId="39">
    <w:abstractNumId w:val="21"/>
  </w:num>
  <w:num w:numId="40">
    <w:abstractNumId w:val="31"/>
  </w:num>
  <w:num w:numId="41">
    <w:abstractNumId w:val="23"/>
  </w:num>
  <w:num w:numId="42">
    <w:abstractNumId w:val="56"/>
  </w:num>
  <w:num w:numId="43">
    <w:abstractNumId w:val="26"/>
  </w:num>
  <w:num w:numId="44">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1"/>
  </w:num>
  <w:num w:numId="47">
    <w:abstractNumId w:val="50"/>
  </w:num>
  <w:num w:numId="48">
    <w:abstractNumId w:val="57"/>
  </w:num>
  <w:num w:numId="49">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3"/>
  </w:num>
  <w:num w:numId="53">
    <w:abstractNumId w:val="42"/>
  </w:num>
  <w:num w:numId="54">
    <w:abstractNumId w:val="34"/>
  </w:num>
  <w:num w:numId="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
  </w:num>
  <w:num w:numId="57">
    <w:abstractNumId w:val="46"/>
  </w:num>
  <w:num w:numId="58">
    <w:abstractNumId w:val="30"/>
  </w:num>
  <w:num w:numId="59">
    <w:abstractNumId w:val="32"/>
  </w:num>
  <w:num w:numId="60">
    <w:abstractNumId w:val="58"/>
  </w:num>
  <w:num w:numId="61">
    <w:abstractNumId w:val="48"/>
  </w:num>
  <w:num w:numId="62">
    <w:abstractNumId w:val="7"/>
  </w:num>
  <w:num w:numId="63">
    <w:abstractNumId w:val="16"/>
  </w:num>
  <w:num w:numId="64">
    <w:abstractNumId w:val="36"/>
  </w:num>
  <w:num w:numId="65">
    <w:abstractNumId w:val="10"/>
  </w:num>
  <w:num w:numId="66">
    <w:abstractNumId w:val="55"/>
  </w:num>
  <w:num w:numId="67">
    <w:abstractNumId w:val="47"/>
  </w:num>
  <w:num w:numId="68">
    <w:abstractNumId w:val="3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20481"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Chosen" w:val="Core"/>
    <w:docVar w:name="CoverChosen" w:val="Standard"/>
  </w:docVars>
  <w:rsids>
    <w:rsidRoot w:val="00900DE3"/>
    <w:rsid w:val="000002AE"/>
    <w:rsid w:val="00000EEA"/>
    <w:rsid w:val="0000108B"/>
    <w:rsid w:val="00001864"/>
    <w:rsid w:val="000026FB"/>
    <w:rsid w:val="00002AA7"/>
    <w:rsid w:val="00003036"/>
    <w:rsid w:val="000031E1"/>
    <w:rsid w:val="00003970"/>
    <w:rsid w:val="0000551D"/>
    <w:rsid w:val="00006C9B"/>
    <w:rsid w:val="00007008"/>
    <w:rsid w:val="0001150A"/>
    <w:rsid w:val="00011D8D"/>
    <w:rsid w:val="00011E3B"/>
    <w:rsid w:val="00011FC6"/>
    <w:rsid w:val="0001241C"/>
    <w:rsid w:val="0001252E"/>
    <w:rsid w:val="000126EB"/>
    <w:rsid w:val="000154A4"/>
    <w:rsid w:val="0001563E"/>
    <w:rsid w:val="00015953"/>
    <w:rsid w:val="00015D7E"/>
    <w:rsid w:val="00015E82"/>
    <w:rsid w:val="000169BF"/>
    <w:rsid w:val="000172C4"/>
    <w:rsid w:val="0001775B"/>
    <w:rsid w:val="0001785C"/>
    <w:rsid w:val="00021069"/>
    <w:rsid w:val="00022CFC"/>
    <w:rsid w:val="0002370F"/>
    <w:rsid w:val="00024F6E"/>
    <w:rsid w:val="00025FD5"/>
    <w:rsid w:val="0002686D"/>
    <w:rsid w:val="00026F57"/>
    <w:rsid w:val="000312EA"/>
    <w:rsid w:val="000316D4"/>
    <w:rsid w:val="0003217B"/>
    <w:rsid w:val="00032C10"/>
    <w:rsid w:val="000331D4"/>
    <w:rsid w:val="00033F73"/>
    <w:rsid w:val="00034562"/>
    <w:rsid w:val="000346A1"/>
    <w:rsid w:val="000353F1"/>
    <w:rsid w:val="00041891"/>
    <w:rsid w:val="00042A1A"/>
    <w:rsid w:val="00043876"/>
    <w:rsid w:val="00043B8A"/>
    <w:rsid w:val="000443E1"/>
    <w:rsid w:val="00046533"/>
    <w:rsid w:val="0005048B"/>
    <w:rsid w:val="00051219"/>
    <w:rsid w:val="00051456"/>
    <w:rsid w:val="0005226F"/>
    <w:rsid w:val="000522CF"/>
    <w:rsid w:val="000532CC"/>
    <w:rsid w:val="0005371F"/>
    <w:rsid w:val="000539DB"/>
    <w:rsid w:val="00053E83"/>
    <w:rsid w:val="000546FD"/>
    <w:rsid w:val="0005490B"/>
    <w:rsid w:val="00054E89"/>
    <w:rsid w:val="00055877"/>
    <w:rsid w:val="00056FD0"/>
    <w:rsid w:val="00060EDE"/>
    <w:rsid w:val="00061F5C"/>
    <w:rsid w:val="00064612"/>
    <w:rsid w:val="000667A4"/>
    <w:rsid w:val="00067B0B"/>
    <w:rsid w:val="00072331"/>
    <w:rsid w:val="00074DFE"/>
    <w:rsid w:val="0007532B"/>
    <w:rsid w:val="00075774"/>
    <w:rsid w:val="00075B0B"/>
    <w:rsid w:val="00077956"/>
    <w:rsid w:val="00080CAF"/>
    <w:rsid w:val="000815C2"/>
    <w:rsid w:val="00083CBE"/>
    <w:rsid w:val="00083FBD"/>
    <w:rsid w:val="00085DC0"/>
    <w:rsid w:val="00086178"/>
    <w:rsid w:val="00087ADA"/>
    <w:rsid w:val="00087EAF"/>
    <w:rsid w:val="00090264"/>
    <w:rsid w:val="000910F1"/>
    <w:rsid w:val="00091EF9"/>
    <w:rsid w:val="000926B4"/>
    <w:rsid w:val="0009394C"/>
    <w:rsid w:val="000979AD"/>
    <w:rsid w:val="000A0C62"/>
    <w:rsid w:val="000A12B2"/>
    <w:rsid w:val="000A2B3E"/>
    <w:rsid w:val="000A2DF4"/>
    <w:rsid w:val="000A38E5"/>
    <w:rsid w:val="000A6F40"/>
    <w:rsid w:val="000B0A3D"/>
    <w:rsid w:val="000B1470"/>
    <w:rsid w:val="000B3486"/>
    <w:rsid w:val="000B7CDB"/>
    <w:rsid w:val="000B7CE6"/>
    <w:rsid w:val="000C02C0"/>
    <w:rsid w:val="000C05F1"/>
    <w:rsid w:val="000C0940"/>
    <w:rsid w:val="000C0E41"/>
    <w:rsid w:val="000C2B90"/>
    <w:rsid w:val="000C3D01"/>
    <w:rsid w:val="000C4051"/>
    <w:rsid w:val="000C4FAB"/>
    <w:rsid w:val="000C527C"/>
    <w:rsid w:val="000C5523"/>
    <w:rsid w:val="000C61C0"/>
    <w:rsid w:val="000C7D15"/>
    <w:rsid w:val="000C7F5C"/>
    <w:rsid w:val="000D0298"/>
    <w:rsid w:val="000D19DE"/>
    <w:rsid w:val="000D436B"/>
    <w:rsid w:val="000D4E7C"/>
    <w:rsid w:val="000D5B28"/>
    <w:rsid w:val="000D5F1F"/>
    <w:rsid w:val="000D6210"/>
    <w:rsid w:val="000D6B9E"/>
    <w:rsid w:val="000D6D2F"/>
    <w:rsid w:val="000E0E38"/>
    <w:rsid w:val="000E1CF3"/>
    <w:rsid w:val="000E2422"/>
    <w:rsid w:val="000E3A4A"/>
    <w:rsid w:val="000E4F72"/>
    <w:rsid w:val="000E5075"/>
    <w:rsid w:val="000E52A5"/>
    <w:rsid w:val="000E599F"/>
    <w:rsid w:val="000F1EC3"/>
    <w:rsid w:val="000F1FE4"/>
    <w:rsid w:val="000F23C6"/>
    <w:rsid w:val="000F3167"/>
    <w:rsid w:val="000F4DF0"/>
    <w:rsid w:val="00101A2A"/>
    <w:rsid w:val="00101C66"/>
    <w:rsid w:val="00103865"/>
    <w:rsid w:val="00104FBD"/>
    <w:rsid w:val="001067F0"/>
    <w:rsid w:val="001068F9"/>
    <w:rsid w:val="001071AC"/>
    <w:rsid w:val="001100D4"/>
    <w:rsid w:val="00112A3E"/>
    <w:rsid w:val="001131B7"/>
    <w:rsid w:val="0011346D"/>
    <w:rsid w:val="0011470B"/>
    <w:rsid w:val="00114721"/>
    <w:rsid w:val="00114B30"/>
    <w:rsid w:val="00116C3E"/>
    <w:rsid w:val="00117E59"/>
    <w:rsid w:val="0012201E"/>
    <w:rsid w:val="00123BCC"/>
    <w:rsid w:val="00123FD7"/>
    <w:rsid w:val="001248E5"/>
    <w:rsid w:val="001249CC"/>
    <w:rsid w:val="00126204"/>
    <w:rsid w:val="00130215"/>
    <w:rsid w:val="0013089B"/>
    <w:rsid w:val="001314A0"/>
    <w:rsid w:val="00132F76"/>
    <w:rsid w:val="0013384F"/>
    <w:rsid w:val="00134FC3"/>
    <w:rsid w:val="00134FF9"/>
    <w:rsid w:val="001362D8"/>
    <w:rsid w:val="00136B7F"/>
    <w:rsid w:val="00141D5A"/>
    <w:rsid w:val="001426CE"/>
    <w:rsid w:val="00142C2C"/>
    <w:rsid w:val="00143CA3"/>
    <w:rsid w:val="001448C9"/>
    <w:rsid w:val="00144B37"/>
    <w:rsid w:val="00145535"/>
    <w:rsid w:val="0015334A"/>
    <w:rsid w:val="00153F62"/>
    <w:rsid w:val="00154168"/>
    <w:rsid w:val="00155B5C"/>
    <w:rsid w:val="0015605C"/>
    <w:rsid w:val="00156DB5"/>
    <w:rsid w:val="00157AAE"/>
    <w:rsid w:val="00160B14"/>
    <w:rsid w:val="00161BB6"/>
    <w:rsid w:val="001633C3"/>
    <w:rsid w:val="001634C1"/>
    <w:rsid w:val="001708B3"/>
    <w:rsid w:val="00171DF9"/>
    <w:rsid w:val="00172D5D"/>
    <w:rsid w:val="00173C4D"/>
    <w:rsid w:val="00174A49"/>
    <w:rsid w:val="00175388"/>
    <w:rsid w:val="00175DE1"/>
    <w:rsid w:val="00176BF7"/>
    <w:rsid w:val="00177270"/>
    <w:rsid w:val="001772D6"/>
    <w:rsid w:val="0017758B"/>
    <w:rsid w:val="0018199F"/>
    <w:rsid w:val="00183A5B"/>
    <w:rsid w:val="00190E0B"/>
    <w:rsid w:val="00191211"/>
    <w:rsid w:val="0019283B"/>
    <w:rsid w:val="00192E59"/>
    <w:rsid w:val="00193162"/>
    <w:rsid w:val="00194542"/>
    <w:rsid w:val="00195301"/>
    <w:rsid w:val="001960B2"/>
    <w:rsid w:val="00196146"/>
    <w:rsid w:val="001976CD"/>
    <w:rsid w:val="001A0AE1"/>
    <w:rsid w:val="001A1020"/>
    <w:rsid w:val="001A1186"/>
    <w:rsid w:val="001A26B3"/>
    <w:rsid w:val="001A3065"/>
    <w:rsid w:val="001A434E"/>
    <w:rsid w:val="001A4CCD"/>
    <w:rsid w:val="001A58EC"/>
    <w:rsid w:val="001A7BF9"/>
    <w:rsid w:val="001B00A0"/>
    <w:rsid w:val="001B156B"/>
    <w:rsid w:val="001B16A9"/>
    <w:rsid w:val="001B23ED"/>
    <w:rsid w:val="001B2D5D"/>
    <w:rsid w:val="001B34DE"/>
    <w:rsid w:val="001B6CB5"/>
    <w:rsid w:val="001B79DA"/>
    <w:rsid w:val="001B7BF3"/>
    <w:rsid w:val="001C0001"/>
    <w:rsid w:val="001C07F5"/>
    <w:rsid w:val="001C2165"/>
    <w:rsid w:val="001C2574"/>
    <w:rsid w:val="001C25D9"/>
    <w:rsid w:val="001C3137"/>
    <w:rsid w:val="001C540A"/>
    <w:rsid w:val="001C5C87"/>
    <w:rsid w:val="001C5CA5"/>
    <w:rsid w:val="001C5DBE"/>
    <w:rsid w:val="001C6336"/>
    <w:rsid w:val="001C663B"/>
    <w:rsid w:val="001C7655"/>
    <w:rsid w:val="001D1412"/>
    <w:rsid w:val="001D36DC"/>
    <w:rsid w:val="001D4561"/>
    <w:rsid w:val="001D4D59"/>
    <w:rsid w:val="001D66BA"/>
    <w:rsid w:val="001D713C"/>
    <w:rsid w:val="001E0602"/>
    <w:rsid w:val="001E26F9"/>
    <w:rsid w:val="001E2B8F"/>
    <w:rsid w:val="001E2D97"/>
    <w:rsid w:val="001E30E8"/>
    <w:rsid w:val="001E4C59"/>
    <w:rsid w:val="001E531C"/>
    <w:rsid w:val="001E604D"/>
    <w:rsid w:val="001E6BB4"/>
    <w:rsid w:val="001F1AED"/>
    <w:rsid w:val="001F2BB2"/>
    <w:rsid w:val="001F4138"/>
    <w:rsid w:val="001F599E"/>
    <w:rsid w:val="001F7410"/>
    <w:rsid w:val="0020034E"/>
    <w:rsid w:val="00201C06"/>
    <w:rsid w:val="00202D54"/>
    <w:rsid w:val="002040A8"/>
    <w:rsid w:val="00205560"/>
    <w:rsid w:val="00207117"/>
    <w:rsid w:val="002101A4"/>
    <w:rsid w:val="002109F9"/>
    <w:rsid w:val="002124B9"/>
    <w:rsid w:val="0021341E"/>
    <w:rsid w:val="002137D2"/>
    <w:rsid w:val="00214440"/>
    <w:rsid w:val="00215132"/>
    <w:rsid w:val="002154A2"/>
    <w:rsid w:val="002156C8"/>
    <w:rsid w:val="002157BE"/>
    <w:rsid w:val="002161C6"/>
    <w:rsid w:val="002163D8"/>
    <w:rsid w:val="00216DE0"/>
    <w:rsid w:val="00217401"/>
    <w:rsid w:val="00220858"/>
    <w:rsid w:val="00220A8F"/>
    <w:rsid w:val="00220CF6"/>
    <w:rsid w:val="00221A8F"/>
    <w:rsid w:val="00221D5A"/>
    <w:rsid w:val="002222BA"/>
    <w:rsid w:val="0022431B"/>
    <w:rsid w:val="00224EAE"/>
    <w:rsid w:val="002254A0"/>
    <w:rsid w:val="002256CA"/>
    <w:rsid w:val="002266AC"/>
    <w:rsid w:val="002267D5"/>
    <w:rsid w:val="002274F9"/>
    <w:rsid w:val="00232458"/>
    <w:rsid w:val="002326A3"/>
    <w:rsid w:val="00232B56"/>
    <w:rsid w:val="00237425"/>
    <w:rsid w:val="00237AE2"/>
    <w:rsid w:val="00237B90"/>
    <w:rsid w:val="002418DA"/>
    <w:rsid w:val="00241BAC"/>
    <w:rsid w:val="002421F2"/>
    <w:rsid w:val="002422E7"/>
    <w:rsid w:val="0024666C"/>
    <w:rsid w:val="002504EC"/>
    <w:rsid w:val="00251361"/>
    <w:rsid w:val="0025177C"/>
    <w:rsid w:val="00251DDE"/>
    <w:rsid w:val="00252CBB"/>
    <w:rsid w:val="00253A0A"/>
    <w:rsid w:val="002573E5"/>
    <w:rsid w:val="002579B2"/>
    <w:rsid w:val="00260CC9"/>
    <w:rsid w:val="00263744"/>
    <w:rsid w:val="00263A58"/>
    <w:rsid w:val="00266222"/>
    <w:rsid w:val="00266655"/>
    <w:rsid w:val="00267364"/>
    <w:rsid w:val="0026739B"/>
    <w:rsid w:val="0027039C"/>
    <w:rsid w:val="002736FC"/>
    <w:rsid w:val="00273A31"/>
    <w:rsid w:val="00274483"/>
    <w:rsid w:val="00274558"/>
    <w:rsid w:val="00274DF1"/>
    <w:rsid w:val="00274FEA"/>
    <w:rsid w:val="00275C87"/>
    <w:rsid w:val="00276E3E"/>
    <w:rsid w:val="00277240"/>
    <w:rsid w:val="00277610"/>
    <w:rsid w:val="00277A23"/>
    <w:rsid w:val="00280E4B"/>
    <w:rsid w:val="00282290"/>
    <w:rsid w:val="002824C0"/>
    <w:rsid w:val="00282718"/>
    <w:rsid w:val="002852DB"/>
    <w:rsid w:val="00285E25"/>
    <w:rsid w:val="00285F27"/>
    <w:rsid w:val="00285F3B"/>
    <w:rsid w:val="00287FBB"/>
    <w:rsid w:val="0029026E"/>
    <w:rsid w:val="00290FD8"/>
    <w:rsid w:val="0029371B"/>
    <w:rsid w:val="00293926"/>
    <w:rsid w:val="00293EB0"/>
    <w:rsid w:val="00295718"/>
    <w:rsid w:val="00295D01"/>
    <w:rsid w:val="0029696E"/>
    <w:rsid w:val="002978F6"/>
    <w:rsid w:val="002A0A24"/>
    <w:rsid w:val="002A1A46"/>
    <w:rsid w:val="002A1DCC"/>
    <w:rsid w:val="002A250F"/>
    <w:rsid w:val="002A47DB"/>
    <w:rsid w:val="002A4CD5"/>
    <w:rsid w:val="002A52A4"/>
    <w:rsid w:val="002A544F"/>
    <w:rsid w:val="002A5A18"/>
    <w:rsid w:val="002A5D8F"/>
    <w:rsid w:val="002A658F"/>
    <w:rsid w:val="002A6A2E"/>
    <w:rsid w:val="002B0837"/>
    <w:rsid w:val="002B11C0"/>
    <w:rsid w:val="002B2723"/>
    <w:rsid w:val="002B344C"/>
    <w:rsid w:val="002B3E6E"/>
    <w:rsid w:val="002B4524"/>
    <w:rsid w:val="002B565A"/>
    <w:rsid w:val="002B5E03"/>
    <w:rsid w:val="002C39E9"/>
    <w:rsid w:val="002C54A6"/>
    <w:rsid w:val="002C60CB"/>
    <w:rsid w:val="002C61A7"/>
    <w:rsid w:val="002C78F8"/>
    <w:rsid w:val="002C7F8A"/>
    <w:rsid w:val="002D01CD"/>
    <w:rsid w:val="002D19CD"/>
    <w:rsid w:val="002D62DA"/>
    <w:rsid w:val="002D688F"/>
    <w:rsid w:val="002D7F8C"/>
    <w:rsid w:val="002E00BA"/>
    <w:rsid w:val="002E0823"/>
    <w:rsid w:val="002E0C1E"/>
    <w:rsid w:val="002E11E5"/>
    <w:rsid w:val="002E22B6"/>
    <w:rsid w:val="002E3B33"/>
    <w:rsid w:val="002E3BB0"/>
    <w:rsid w:val="002E41CB"/>
    <w:rsid w:val="002E6619"/>
    <w:rsid w:val="002E7AB1"/>
    <w:rsid w:val="002E7DC9"/>
    <w:rsid w:val="002F0071"/>
    <w:rsid w:val="002F06CC"/>
    <w:rsid w:val="002F0E60"/>
    <w:rsid w:val="002F13E9"/>
    <w:rsid w:val="002F22E0"/>
    <w:rsid w:val="002F2617"/>
    <w:rsid w:val="002F5550"/>
    <w:rsid w:val="002F5E1C"/>
    <w:rsid w:val="002F6563"/>
    <w:rsid w:val="002F6753"/>
    <w:rsid w:val="002F67AD"/>
    <w:rsid w:val="002F7A19"/>
    <w:rsid w:val="002F7E8B"/>
    <w:rsid w:val="00300085"/>
    <w:rsid w:val="0030072C"/>
    <w:rsid w:val="00301C5C"/>
    <w:rsid w:val="003036A2"/>
    <w:rsid w:val="00303C1A"/>
    <w:rsid w:val="003053C7"/>
    <w:rsid w:val="003059EB"/>
    <w:rsid w:val="00306A4B"/>
    <w:rsid w:val="00306F3E"/>
    <w:rsid w:val="00307B3C"/>
    <w:rsid w:val="00310421"/>
    <w:rsid w:val="00310763"/>
    <w:rsid w:val="003108D5"/>
    <w:rsid w:val="003139EB"/>
    <w:rsid w:val="00313CAE"/>
    <w:rsid w:val="0031605A"/>
    <w:rsid w:val="00317424"/>
    <w:rsid w:val="00320351"/>
    <w:rsid w:val="00320E23"/>
    <w:rsid w:val="00322BA1"/>
    <w:rsid w:val="00322C86"/>
    <w:rsid w:val="00323601"/>
    <w:rsid w:val="00324931"/>
    <w:rsid w:val="00325188"/>
    <w:rsid w:val="00325732"/>
    <w:rsid w:val="0032796C"/>
    <w:rsid w:val="0033133E"/>
    <w:rsid w:val="00331731"/>
    <w:rsid w:val="00331F56"/>
    <w:rsid w:val="003327AE"/>
    <w:rsid w:val="00333246"/>
    <w:rsid w:val="00333EED"/>
    <w:rsid w:val="0033551F"/>
    <w:rsid w:val="00336FA5"/>
    <w:rsid w:val="00340806"/>
    <w:rsid w:val="00340B25"/>
    <w:rsid w:val="003415A3"/>
    <w:rsid w:val="00341FFE"/>
    <w:rsid w:val="003425BE"/>
    <w:rsid w:val="00342B69"/>
    <w:rsid w:val="003450A8"/>
    <w:rsid w:val="003455D2"/>
    <w:rsid w:val="003461B2"/>
    <w:rsid w:val="003516DF"/>
    <w:rsid w:val="00353F86"/>
    <w:rsid w:val="003557E5"/>
    <w:rsid w:val="00355B43"/>
    <w:rsid w:val="00355CED"/>
    <w:rsid w:val="00357251"/>
    <w:rsid w:val="003579A8"/>
    <w:rsid w:val="00357F24"/>
    <w:rsid w:val="00361EE2"/>
    <w:rsid w:val="0036223B"/>
    <w:rsid w:val="0036319D"/>
    <w:rsid w:val="00363498"/>
    <w:rsid w:val="00364F92"/>
    <w:rsid w:val="00367D24"/>
    <w:rsid w:val="0037018D"/>
    <w:rsid w:val="00373E17"/>
    <w:rsid w:val="00380563"/>
    <w:rsid w:val="0038093D"/>
    <w:rsid w:val="003827A1"/>
    <w:rsid w:val="00382853"/>
    <w:rsid w:val="003831C9"/>
    <w:rsid w:val="00383ADF"/>
    <w:rsid w:val="0038407D"/>
    <w:rsid w:val="00384B01"/>
    <w:rsid w:val="00385D68"/>
    <w:rsid w:val="003862E9"/>
    <w:rsid w:val="00387974"/>
    <w:rsid w:val="00387EFC"/>
    <w:rsid w:val="00390015"/>
    <w:rsid w:val="0039270B"/>
    <w:rsid w:val="0039379B"/>
    <w:rsid w:val="00395EF5"/>
    <w:rsid w:val="0039729E"/>
    <w:rsid w:val="00397370"/>
    <w:rsid w:val="003975A1"/>
    <w:rsid w:val="003A1060"/>
    <w:rsid w:val="003A2944"/>
    <w:rsid w:val="003A2FF2"/>
    <w:rsid w:val="003A3052"/>
    <w:rsid w:val="003A3173"/>
    <w:rsid w:val="003A3919"/>
    <w:rsid w:val="003A476E"/>
    <w:rsid w:val="003A490C"/>
    <w:rsid w:val="003A4AF4"/>
    <w:rsid w:val="003A5B8C"/>
    <w:rsid w:val="003A647C"/>
    <w:rsid w:val="003A710E"/>
    <w:rsid w:val="003B1238"/>
    <w:rsid w:val="003B4380"/>
    <w:rsid w:val="003B5708"/>
    <w:rsid w:val="003B58A6"/>
    <w:rsid w:val="003C0386"/>
    <w:rsid w:val="003C0BA1"/>
    <w:rsid w:val="003C1D95"/>
    <w:rsid w:val="003C315C"/>
    <w:rsid w:val="003C40B6"/>
    <w:rsid w:val="003C4968"/>
    <w:rsid w:val="003C7540"/>
    <w:rsid w:val="003C7AF3"/>
    <w:rsid w:val="003D265E"/>
    <w:rsid w:val="003D26A3"/>
    <w:rsid w:val="003D277F"/>
    <w:rsid w:val="003D410F"/>
    <w:rsid w:val="003D62C9"/>
    <w:rsid w:val="003D641F"/>
    <w:rsid w:val="003D6565"/>
    <w:rsid w:val="003D75C5"/>
    <w:rsid w:val="003D778D"/>
    <w:rsid w:val="003E14DA"/>
    <w:rsid w:val="003E177A"/>
    <w:rsid w:val="003E27E2"/>
    <w:rsid w:val="003E2947"/>
    <w:rsid w:val="003E2A79"/>
    <w:rsid w:val="003E3972"/>
    <w:rsid w:val="003E4196"/>
    <w:rsid w:val="003E4C0F"/>
    <w:rsid w:val="003E7DC1"/>
    <w:rsid w:val="003F061A"/>
    <w:rsid w:val="003F13C8"/>
    <w:rsid w:val="003F1806"/>
    <w:rsid w:val="003F1967"/>
    <w:rsid w:val="003F1FBD"/>
    <w:rsid w:val="003F25BD"/>
    <w:rsid w:val="003F4C94"/>
    <w:rsid w:val="003F4CD6"/>
    <w:rsid w:val="003F5659"/>
    <w:rsid w:val="003F5D80"/>
    <w:rsid w:val="003F60C7"/>
    <w:rsid w:val="003F6EAD"/>
    <w:rsid w:val="0040108B"/>
    <w:rsid w:val="00401C9F"/>
    <w:rsid w:val="00402E8F"/>
    <w:rsid w:val="004043F4"/>
    <w:rsid w:val="0040640B"/>
    <w:rsid w:val="00407036"/>
    <w:rsid w:val="004070AA"/>
    <w:rsid w:val="00410CB7"/>
    <w:rsid w:val="004110F1"/>
    <w:rsid w:val="00411649"/>
    <w:rsid w:val="00411FA7"/>
    <w:rsid w:val="00412553"/>
    <w:rsid w:val="004134DD"/>
    <w:rsid w:val="0041517D"/>
    <w:rsid w:val="00416DF7"/>
    <w:rsid w:val="00416FAA"/>
    <w:rsid w:val="00417929"/>
    <w:rsid w:val="004200A5"/>
    <w:rsid w:val="00420CC0"/>
    <w:rsid w:val="00424719"/>
    <w:rsid w:val="00425B20"/>
    <w:rsid w:val="00426B5E"/>
    <w:rsid w:val="00426E03"/>
    <w:rsid w:val="00426E97"/>
    <w:rsid w:val="004323AB"/>
    <w:rsid w:val="00432D7D"/>
    <w:rsid w:val="004362E3"/>
    <w:rsid w:val="00436927"/>
    <w:rsid w:val="00437023"/>
    <w:rsid w:val="00440CFE"/>
    <w:rsid w:val="00441D99"/>
    <w:rsid w:val="00443CE8"/>
    <w:rsid w:val="00444967"/>
    <w:rsid w:val="00444D4A"/>
    <w:rsid w:val="004459B1"/>
    <w:rsid w:val="00447D3E"/>
    <w:rsid w:val="00450B7D"/>
    <w:rsid w:val="00450C41"/>
    <w:rsid w:val="00450FD3"/>
    <w:rsid w:val="0045317F"/>
    <w:rsid w:val="00453944"/>
    <w:rsid w:val="00453A9C"/>
    <w:rsid w:val="00453AFB"/>
    <w:rsid w:val="004543D7"/>
    <w:rsid w:val="00454CD1"/>
    <w:rsid w:val="00455456"/>
    <w:rsid w:val="00455807"/>
    <w:rsid w:val="00457141"/>
    <w:rsid w:val="00457440"/>
    <w:rsid w:val="00461793"/>
    <w:rsid w:val="0046209B"/>
    <w:rsid w:val="00462182"/>
    <w:rsid w:val="00462195"/>
    <w:rsid w:val="00463ED6"/>
    <w:rsid w:val="0046565E"/>
    <w:rsid w:val="004656B7"/>
    <w:rsid w:val="00466264"/>
    <w:rsid w:val="00466556"/>
    <w:rsid w:val="004666B7"/>
    <w:rsid w:val="00467438"/>
    <w:rsid w:val="0047112F"/>
    <w:rsid w:val="004712A8"/>
    <w:rsid w:val="004714C6"/>
    <w:rsid w:val="00471DED"/>
    <w:rsid w:val="00473916"/>
    <w:rsid w:val="004741DA"/>
    <w:rsid w:val="004746FC"/>
    <w:rsid w:val="004748CA"/>
    <w:rsid w:val="00475BB5"/>
    <w:rsid w:val="00475EB7"/>
    <w:rsid w:val="00476470"/>
    <w:rsid w:val="004766E5"/>
    <w:rsid w:val="0048198A"/>
    <w:rsid w:val="00482674"/>
    <w:rsid w:val="004826CF"/>
    <w:rsid w:val="004833E0"/>
    <w:rsid w:val="00483F64"/>
    <w:rsid w:val="004849F7"/>
    <w:rsid w:val="0048620C"/>
    <w:rsid w:val="0048768F"/>
    <w:rsid w:val="00487D3D"/>
    <w:rsid w:val="00491B05"/>
    <w:rsid w:val="00492547"/>
    <w:rsid w:val="00494587"/>
    <w:rsid w:val="00494743"/>
    <w:rsid w:val="004A067D"/>
    <w:rsid w:val="004A3608"/>
    <w:rsid w:val="004A4028"/>
    <w:rsid w:val="004A575F"/>
    <w:rsid w:val="004A594F"/>
    <w:rsid w:val="004A5B33"/>
    <w:rsid w:val="004A79F8"/>
    <w:rsid w:val="004A7FA7"/>
    <w:rsid w:val="004B1330"/>
    <w:rsid w:val="004B192E"/>
    <w:rsid w:val="004B1C58"/>
    <w:rsid w:val="004B297E"/>
    <w:rsid w:val="004B2DAA"/>
    <w:rsid w:val="004B2E7D"/>
    <w:rsid w:val="004B5AC9"/>
    <w:rsid w:val="004B637C"/>
    <w:rsid w:val="004B7AE8"/>
    <w:rsid w:val="004C0712"/>
    <w:rsid w:val="004C08B6"/>
    <w:rsid w:val="004C0D00"/>
    <w:rsid w:val="004C10CE"/>
    <w:rsid w:val="004C11CE"/>
    <w:rsid w:val="004C14AB"/>
    <w:rsid w:val="004C3462"/>
    <w:rsid w:val="004C5530"/>
    <w:rsid w:val="004C5772"/>
    <w:rsid w:val="004D0A90"/>
    <w:rsid w:val="004D0BB9"/>
    <w:rsid w:val="004D139E"/>
    <w:rsid w:val="004D1CE2"/>
    <w:rsid w:val="004D3DB4"/>
    <w:rsid w:val="004D44AC"/>
    <w:rsid w:val="004D5ED7"/>
    <w:rsid w:val="004D64C5"/>
    <w:rsid w:val="004D6FA1"/>
    <w:rsid w:val="004D73FA"/>
    <w:rsid w:val="004D7860"/>
    <w:rsid w:val="004E06B9"/>
    <w:rsid w:val="004E1262"/>
    <w:rsid w:val="004E3049"/>
    <w:rsid w:val="004E3B61"/>
    <w:rsid w:val="004E411B"/>
    <w:rsid w:val="004E4FDE"/>
    <w:rsid w:val="004E5109"/>
    <w:rsid w:val="004E5C69"/>
    <w:rsid w:val="004E60D0"/>
    <w:rsid w:val="004E6233"/>
    <w:rsid w:val="004E7837"/>
    <w:rsid w:val="004F12A6"/>
    <w:rsid w:val="004F14D8"/>
    <w:rsid w:val="004F1565"/>
    <w:rsid w:val="004F1878"/>
    <w:rsid w:val="004F189A"/>
    <w:rsid w:val="004F2304"/>
    <w:rsid w:val="004F26F8"/>
    <w:rsid w:val="004F2770"/>
    <w:rsid w:val="004F287F"/>
    <w:rsid w:val="004F2D80"/>
    <w:rsid w:val="004F43AD"/>
    <w:rsid w:val="004F4CC9"/>
    <w:rsid w:val="004F4EAD"/>
    <w:rsid w:val="004F5328"/>
    <w:rsid w:val="004F61BA"/>
    <w:rsid w:val="004F6D23"/>
    <w:rsid w:val="004F74D2"/>
    <w:rsid w:val="004F75D8"/>
    <w:rsid w:val="004F7B90"/>
    <w:rsid w:val="005006A0"/>
    <w:rsid w:val="00500925"/>
    <w:rsid w:val="0050163D"/>
    <w:rsid w:val="00501D69"/>
    <w:rsid w:val="005025FE"/>
    <w:rsid w:val="005031A5"/>
    <w:rsid w:val="00504585"/>
    <w:rsid w:val="005050DE"/>
    <w:rsid w:val="00506DDE"/>
    <w:rsid w:val="00506F94"/>
    <w:rsid w:val="00511CAF"/>
    <w:rsid w:val="00511D91"/>
    <w:rsid w:val="00511F1D"/>
    <w:rsid w:val="00512C97"/>
    <w:rsid w:val="005136AD"/>
    <w:rsid w:val="005138BA"/>
    <w:rsid w:val="00513923"/>
    <w:rsid w:val="005154BA"/>
    <w:rsid w:val="00516657"/>
    <w:rsid w:val="00516904"/>
    <w:rsid w:val="00520CB5"/>
    <w:rsid w:val="005210CC"/>
    <w:rsid w:val="005211AF"/>
    <w:rsid w:val="005213E2"/>
    <w:rsid w:val="00522266"/>
    <w:rsid w:val="005276C2"/>
    <w:rsid w:val="00530DC1"/>
    <w:rsid w:val="00535708"/>
    <w:rsid w:val="00535C4B"/>
    <w:rsid w:val="0053686D"/>
    <w:rsid w:val="00536BF0"/>
    <w:rsid w:val="005406F8"/>
    <w:rsid w:val="0054169B"/>
    <w:rsid w:val="00541722"/>
    <w:rsid w:val="005417D2"/>
    <w:rsid w:val="005422E4"/>
    <w:rsid w:val="00542621"/>
    <w:rsid w:val="00543721"/>
    <w:rsid w:val="00544161"/>
    <w:rsid w:val="0054436C"/>
    <w:rsid w:val="00545CF8"/>
    <w:rsid w:val="005469AA"/>
    <w:rsid w:val="00550E4D"/>
    <w:rsid w:val="00550EFA"/>
    <w:rsid w:val="00550F69"/>
    <w:rsid w:val="005523C6"/>
    <w:rsid w:val="0055278D"/>
    <w:rsid w:val="00552AD2"/>
    <w:rsid w:val="005535C1"/>
    <w:rsid w:val="00553EB0"/>
    <w:rsid w:val="00554573"/>
    <w:rsid w:val="00556D7C"/>
    <w:rsid w:val="00557097"/>
    <w:rsid w:val="0055737B"/>
    <w:rsid w:val="005616AE"/>
    <w:rsid w:val="0056231D"/>
    <w:rsid w:val="005629C1"/>
    <w:rsid w:val="0056423E"/>
    <w:rsid w:val="005647F3"/>
    <w:rsid w:val="00565DF3"/>
    <w:rsid w:val="00566653"/>
    <w:rsid w:val="00566808"/>
    <w:rsid w:val="005669DE"/>
    <w:rsid w:val="00566C56"/>
    <w:rsid w:val="005679D7"/>
    <w:rsid w:val="00571AAC"/>
    <w:rsid w:val="00571ADF"/>
    <w:rsid w:val="00571CEA"/>
    <w:rsid w:val="00571F91"/>
    <w:rsid w:val="0057388C"/>
    <w:rsid w:val="00573AE8"/>
    <w:rsid w:val="0057516A"/>
    <w:rsid w:val="00575499"/>
    <w:rsid w:val="00575E75"/>
    <w:rsid w:val="0058104D"/>
    <w:rsid w:val="00581C8A"/>
    <w:rsid w:val="00581DAC"/>
    <w:rsid w:val="005827DE"/>
    <w:rsid w:val="00583C63"/>
    <w:rsid w:val="00584D88"/>
    <w:rsid w:val="00584EDC"/>
    <w:rsid w:val="00585197"/>
    <w:rsid w:val="005853A6"/>
    <w:rsid w:val="00585C0D"/>
    <w:rsid w:val="00586C57"/>
    <w:rsid w:val="005871BD"/>
    <w:rsid w:val="0058790C"/>
    <w:rsid w:val="005900A1"/>
    <w:rsid w:val="00590B01"/>
    <w:rsid w:val="00592026"/>
    <w:rsid w:val="005927BE"/>
    <w:rsid w:val="005927ED"/>
    <w:rsid w:val="00594B45"/>
    <w:rsid w:val="00594B90"/>
    <w:rsid w:val="00595936"/>
    <w:rsid w:val="00595BCF"/>
    <w:rsid w:val="00595E34"/>
    <w:rsid w:val="005962D4"/>
    <w:rsid w:val="005A0224"/>
    <w:rsid w:val="005A0446"/>
    <w:rsid w:val="005A0BA6"/>
    <w:rsid w:val="005A1201"/>
    <w:rsid w:val="005A15E8"/>
    <w:rsid w:val="005A1B16"/>
    <w:rsid w:val="005A35B2"/>
    <w:rsid w:val="005A35D5"/>
    <w:rsid w:val="005A366C"/>
    <w:rsid w:val="005A3671"/>
    <w:rsid w:val="005A38F7"/>
    <w:rsid w:val="005A3F38"/>
    <w:rsid w:val="005A68C6"/>
    <w:rsid w:val="005A6C20"/>
    <w:rsid w:val="005A6F02"/>
    <w:rsid w:val="005A78CA"/>
    <w:rsid w:val="005A7970"/>
    <w:rsid w:val="005B055C"/>
    <w:rsid w:val="005B0BCB"/>
    <w:rsid w:val="005B1665"/>
    <w:rsid w:val="005B170A"/>
    <w:rsid w:val="005B2B2E"/>
    <w:rsid w:val="005B4187"/>
    <w:rsid w:val="005B5412"/>
    <w:rsid w:val="005B6773"/>
    <w:rsid w:val="005B6D97"/>
    <w:rsid w:val="005B753C"/>
    <w:rsid w:val="005B77B6"/>
    <w:rsid w:val="005C0B7D"/>
    <w:rsid w:val="005C0CA6"/>
    <w:rsid w:val="005C1879"/>
    <w:rsid w:val="005C1B4B"/>
    <w:rsid w:val="005C2541"/>
    <w:rsid w:val="005C3202"/>
    <w:rsid w:val="005C4DC8"/>
    <w:rsid w:val="005C6EF8"/>
    <w:rsid w:val="005C71E9"/>
    <w:rsid w:val="005C74E0"/>
    <w:rsid w:val="005C76D3"/>
    <w:rsid w:val="005C7EEE"/>
    <w:rsid w:val="005D0553"/>
    <w:rsid w:val="005D2EFA"/>
    <w:rsid w:val="005D5ACA"/>
    <w:rsid w:val="005D5D01"/>
    <w:rsid w:val="005D7700"/>
    <w:rsid w:val="005E250C"/>
    <w:rsid w:val="005E34D4"/>
    <w:rsid w:val="005E3758"/>
    <w:rsid w:val="005E3E90"/>
    <w:rsid w:val="005E4946"/>
    <w:rsid w:val="005E5EEE"/>
    <w:rsid w:val="005E7012"/>
    <w:rsid w:val="005F0DA6"/>
    <w:rsid w:val="005F32AD"/>
    <w:rsid w:val="005F395C"/>
    <w:rsid w:val="005F41CD"/>
    <w:rsid w:val="005F5214"/>
    <w:rsid w:val="005F573F"/>
    <w:rsid w:val="005F5B7A"/>
    <w:rsid w:val="005F5DA6"/>
    <w:rsid w:val="005F7C32"/>
    <w:rsid w:val="005F7E05"/>
    <w:rsid w:val="005F7ED5"/>
    <w:rsid w:val="00601BED"/>
    <w:rsid w:val="00602CC0"/>
    <w:rsid w:val="0060311C"/>
    <w:rsid w:val="00604DBE"/>
    <w:rsid w:val="00606338"/>
    <w:rsid w:val="006065A9"/>
    <w:rsid w:val="006075B1"/>
    <w:rsid w:val="00607651"/>
    <w:rsid w:val="006078C8"/>
    <w:rsid w:val="006101EB"/>
    <w:rsid w:val="006103AF"/>
    <w:rsid w:val="00610833"/>
    <w:rsid w:val="00610C1D"/>
    <w:rsid w:val="00611A6A"/>
    <w:rsid w:val="006131D3"/>
    <w:rsid w:val="00613743"/>
    <w:rsid w:val="006137A9"/>
    <w:rsid w:val="00613805"/>
    <w:rsid w:val="00613818"/>
    <w:rsid w:val="00620AB1"/>
    <w:rsid w:val="00620C5C"/>
    <w:rsid w:val="00622516"/>
    <w:rsid w:val="00622B2C"/>
    <w:rsid w:val="006230E4"/>
    <w:rsid w:val="00625BAE"/>
    <w:rsid w:val="0062711F"/>
    <w:rsid w:val="00627195"/>
    <w:rsid w:val="006301AE"/>
    <w:rsid w:val="00630E7C"/>
    <w:rsid w:val="00632CB1"/>
    <w:rsid w:val="00633782"/>
    <w:rsid w:val="0063561B"/>
    <w:rsid w:val="006401FC"/>
    <w:rsid w:val="0064042D"/>
    <w:rsid w:val="00640A93"/>
    <w:rsid w:val="00641AEC"/>
    <w:rsid w:val="006429FE"/>
    <w:rsid w:val="00643348"/>
    <w:rsid w:val="0064524B"/>
    <w:rsid w:val="0064616D"/>
    <w:rsid w:val="00646654"/>
    <w:rsid w:val="006469A4"/>
    <w:rsid w:val="0064737D"/>
    <w:rsid w:val="00650A8F"/>
    <w:rsid w:val="00651877"/>
    <w:rsid w:val="00655388"/>
    <w:rsid w:val="00655D06"/>
    <w:rsid w:val="00655D42"/>
    <w:rsid w:val="00655ED9"/>
    <w:rsid w:val="00656199"/>
    <w:rsid w:val="00656441"/>
    <w:rsid w:val="00661AFA"/>
    <w:rsid w:val="0066272C"/>
    <w:rsid w:val="00662A36"/>
    <w:rsid w:val="0066415D"/>
    <w:rsid w:val="0066421B"/>
    <w:rsid w:val="00664D3A"/>
    <w:rsid w:val="00666B96"/>
    <w:rsid w:val="00671F37"/>
    <w:rsid w:val="00675060"/>
    <w:rsid w:val="00675635"/>
    <w:rsid w:val="006759C2"/>
    <w:rsid w:val="00675CD9"/>
    <w:rsid w:val="0067631B"/>
    <w:rsid w:val="006765C2"/>
    <w:rsid w:val="00676831"/>
    <w:rsid w:val="00677A9F"/>
    <w:rsid w:val="00681CA4"/>
    <w:rsid w:val="00682027"/>
    <w:rsid w:val="00682C28"/>
    <w:rsid w:val="006839AA"/>
    <w:rsid w:val="00683A29"/>
    <w:rsid w:val="00685B63"/>
    <w:rsid w:val="0068750A"/>
    <w:rsid w:val="00690252"/>
    <w:rsid w:val="006904FF"/>
    <w:rsid w:val="0069174B"/>
    <w:rsid w:val="00691F4D"/>
    <w:rsid w:val="006937BC"/>
    <w:rsid w:val="00694CA7"/>
    <w:rsid w:val="00694E1A"/>
    <w:rsid w:val="00695290"/>
    <w:rsid w:val="00695A1E"/>
    <w:rsid w:val="006963EB"/>
    <w:rsid w:val="006979FA"/>
    <w:rsid w:val="006A1A38"/>
    <w:rsid w:val="006A25BB"/>
    <w:rsid w:val="006A3B74"/>
    <w:rsid w:val="006A3EC5"/>
    <w:rsid w:val="006A4E81"/>
    <w:rsid w:val="006A5C6A"/>
    <w:rsid w:val="006A5D0B"/>
    <w:rsid w:val="006A68B5"/>
    <w:rsid w:val="006B08B9"/>
    <w:rsid w:val="006B0E61"/>
    <w:rsid w:val="006B10B6"/>
    <w:rsid w:val="006B1377"/>
    <w:rsid w:val="006B24B2"/>
    <w:rsid w:val="006B2726"/>
    <w:rsid w:val="006B57B2"/>
    <w:rsid w:val="006B5B18"/>
    <w:rsid w:val="006C0EDC"/>
    <w:rsid w:val="006C109B"/>
    <w:rsid w:val="006C180F"/>
    <w:rsid w:val="006C2F7A"/>
    <w:rsid w:val="006C3DCD"/>
    <w:rsid w:val="006C4214"/>
    <w:rsid w:val="006C63D3"/>
    <w:rsid w:val="006C73B9"/>
    <w:rsid w:val="006D01CF"/>
    <w:rsid w:val="006D1B2D"/>
    <w:rsid w:val="006D1E80"/>
    <w:rsid w:val="006D48B9"/>
    <w:rsid w:val="006D555F"/>
    <w:rsid w:val="006D5AE5"/>
    <w:rsid w:val="006D6BC3"/>
    <w:rsid w:val="006D7D06"/>
    <w:rsid w:val="006D7E28"/>
    <w:rsid w:val="006E04C2"/>
    <w:rsid w:val="006E17CD"/>
    <w:rsid w:val="006E23B6"/>
    <w:rsid w:val="006E25AB"/>
    <w:rsid w:val="006E31A0"/>
    <w:rsid w:val="006E31B3"/>
    <w:rsid w:val="006E3262"/>
    <w:rsid w:val="006E3A6D"/>
    <w:rsid w:val="006E43D8"/>
    <w:rsid w:val="006E4748"/>
    <w:rsid w:val="006E49E1"/>
    <w:rsid w:val="006E51E6"/>
    <w:rsid w:val="006E7746"/>
    <w:rsid w:val="006E7F70"/>
    <w:rsid w:val="006F25B7"/>
    <w:rsid w:val="006F4826"/>
    <w:rsid w:val="006F4D0E"/>
    <w:rsid w:val="006F560A"/>
    <w:rsid w:val="006F56CE"/>
    <w:rsid w:val="006F697D"/>
    <w:rsid w:val="006F738D"/>
    <w:rsid w:val="00700738"/>
    <w:rsid w:val="00702CC3"/>
    <w:rsid w:val="00703123"/>
    <w:rsid w:val="007037DB"/>
    <w:rsid w:val="00704508"/>
    <w:rsid w:val="00707997"/>
    <w:rsid w:val="0071029B"/>
    <w:rsid w:val="0071052E"/>
    <w:rsid w:val="00711762"/>
    <w:rsid w:val="00712963"/>
    <w:rsid w:val="007156C4"/>
    <w:rsid w:val="00715D5F"/>
    <w:rsid w:val="00716588"/>
    <w:rsid w:val="007210D3"/>
    <w:rsid w:val="00721552"/>
    <w:rsid w:val="007229C5"/>
    <w:rsid w:val="00722E24"/>
    <w:rsid w:val="00723F00"/>
    <w:rsid w:val="007244CD"/>
    <w:rsid w:val="00726831"/>
    <w:rsid w:val="00726E5E"/>
    <w:rsid w:val="00726F57"/>
    <w:rsid w:val="00731ED4"/>
    <w:rsid w:val="007327F4"/>
    <w:rsid w:val="00732C5D"/>
    <w:rsid w:val="007335D3"/>
    <w:rsid w:val="007367A7"/>
    <w:rsid w:val="00736C13"/>
    <w:rsid w:val="00736E1E"/>
    <w:rsid w:val="00736F0E"/>
    <w:rsid w:val="00737C77"/>
    <w:rsid w:val="00737F92"/>
    <w:rsid w:val="00741157"/>
    <w:rsid w:val="0074270D"/>
    <w:rsid w:val="007445DB"/>
    <w:rsid w:val="0074569B"/>
    <w:rsid w:val="00745A22"/>
    <w:rsid w:val="00746FE8"/>
    <w:rsid w:val="007510E2"/>
    <w:rsid w:val="007512E1"/>
    <w:rsid w:val="007513AA"/>
    <w:rsid w:val="00752314"/>
    <w:rsid w:val="00752473"/>
    <w:rsid w:val="00752903"/>
    <w:rsid w:val="0075384B"/>
    <w:rsid w:val="00753E30"/>
    <w:rsid w:val="007542F1"/>
    <w:rsid w:val="00754F71"/>
    <w:rsid w:val="00755E71"/>
    <w:rsid w:val="00757D44"/>
    <w:rsid w:val="007609D0"/>
    <w:rsid w:val="0076350C"/>
    <w:rsid w:val="007636F2"/>
    <w:rsid w:val="007642EE"/>
    <w:rsid w:val="0076521C"/>
    <w:rsid w:val="00765333"/>
    <w:rsid w:val="00765955"/>
    <w:rsid w:val="00766BBE"/>
    <w:rsid w:val="00767521"/>
    <w:rsid w:val="007732C9"/>
    <w:rsid w:val="007738F3"/>
    <w:rsid w:val="00774793"/>
    <w:rsid w:val="00774CB6"/>
    <w:rsid w:val="00775CB3"/>
    <w:rsid w:val="00776075"/>
    <w:rsid w:val="00776A3D"/>
    <w:rsid w:val="0077730D"/>
    <w:rsid w:val="00780C02"/>
    <w:rsid w:val="00782488"/>
    <w:rsid w:val="00783258"/>
    <w:rsid w:val="00785E49"/>
    <w:rsid w:val="007868C5"/>
    <w:rsid w:val="00786A8D"/>
    <w:rsid w:val="00786B17"/>
    <w:rsid w:val="00787338"/>
    <w:rsid w:val="00787C90"/>
    <w:rsid w:val="00790A1F"/>
    <w:rsid w:val="0079214F"/>
    <w:rsid w:val="00792614"/>
    <w:rsid w:val="00792A89"/>
    <w:rsid w:val="00793B7A"/>
    <w:rsid w:val="00793C15"/>
    <w:rsid w:val="00793DA2"/>
    <w:rsid w:val="00796A60"/>
    <w:rsid w:val="007A01EB"/>
    <w:rsid w:val="007A18AB"/>
    <w:rsid w:val="007A5DA0"/>
    <w:rsid w:val="007A7212"/>
    <w:rsid w:val="007A73F7"/>
    <w:rsid w:val="007B13AE"/>
    <w:rsid w:val="007B2475"/>
    <w:rsid w:val="007B249F"/>
    <w:rsid w:val="007B2ECC"/>
    <w:rsid w:val="007B442D"/>
    <w:rsid w:val="007B7A97"/>
    <w:rsid w:val="007C1DF4"/>
    <w:rsid w:val="007C3486"/>
    <w:rsid w:val="007C3487"/>
    <w:rsid w:val="007C5394"/>
    <w:rsid w:val="007C56C5"/>
    <w:rsid w:val="007C58A4"/>
    <w:rsid w:val="007C6919"/>
    <w:rsid w:val="007C6BB4"/>
    <w:rsid w:val="007C6BB9"/>
    <w:rsid w:val="007C7B86"/>
    <w:rsid w:val="007D1633"/>
    <w:rsid w:val="007D1B60"/>
    <w:rsid w:val="007D2C29"/>
    <w:rsid w:val="007D2E6D"/>
    <w:rsid w:val="007D5501"/>
    <w:rsid w:val="007D6773"/>
    <w:rsid w:val="007D78B6"/>
    <w:rsid w:val="007D7F23"/>
    <w:rsid w:val="007E073D"/>
    <w:rsid w:val="007E17C4"/>
    <w:rsid w:val="007E1C94"/>
    <w:rsid w:val="007E260F"/>
    <w:rsid w:val="007E337A"/>
    <w:rsid w:val="007E35CB"/>
    <w:rsid w:val="007E36A9"/>
    <w:rsid w:val="007E436E"/>
    <w:rsid w:val="007E4B05"/>
    <w:rsid w:val="007E5EEA"/>
    <w:rsid w:val="007E6582"/>
    <w:rsid w:val="007F16A8"/>
    <w:rsid w:val="007F31D0"/>
    <w:rsid w:val="007F6149"/>
    <w:rsid w:val="007F618C"/>
    <w:rsid w:val="007F6582"/>
    <w:rsid w:val="007F688D"/>
    <w:rsid w:val="00800DB1"/>
    <w:rsid w:val="008010D7"/>
    <w:rsid w:val="0080189C"/>
    <w:rsid w:val="008018C2"/>
    <w:rsid w:val="00802325"/>
    <w:rsid w:val="00803A25"/>
    <w:rsid w:val="008047AF"/>
    <w:rsid w:val="00804FD6"/>
    <w:rsid w:val="00806EAE"/>
    <w:rsid w:val="00806F44"/>
    <w:rsid w:val="00807954"/>
    <w:rsid w:val="00812E7D"/>
    <w:rsid w:val="00815DBC"/>
    <w:rsid w:val="00816F1C"/>
    <w:rsid w:val="008175AA"/>
    <w:rsid w:val="00822356"/>
    <w:rsid w:val="008223E7"/>
    <w:rsid w:val="00823C95"/>
    <w:rsid w:val="00825667"/>
    <w:rsid w:val="00826D20"/>
    <w:rsid w:val="0083049A"/>
    <w:rsid w:val="00833678"/>
    <w:rsid w:val="00835FCF"/>
    <w:rsid w:val="00836F3A"/>
    <w:rsid w:val="00840259"/>
    <w:rsid w:val="00840460"/>
    <w:rsid w:val="008408C1"/>
    <w:rsid w:val="00840B15"/>
    <w:rsid w:val="008413D6"/>
    <w:rsid w:val="008417E7"/>
    <w:rsid w:val="00843A62"/>
    <w:rsid w:val="00843D7B"/>
    <w:rsid w:val="00843DD0"/>
    <w:rsid w:val="008441D4"/>
    <w:rsid w:val="00844B0F"/>
    <w:rsid w:val="00846190"/>
    <w:rsid w:val="00847216"/>
    <w:rsid w:val="00847405"/>
    <w:rsid w:val="0084763A"/>
    <w:rsid w:val="008503AA"/>
    <w:rsid w:val="0085234E"/>
    <w:rsid w:val="00854E3D"/>
    <w:rsid w:val="00856B4A"/>
    <w:rsid w:val="00856E94"/>
    <w:rsid w:val="00857E65"/>
    <w:rsid w:val="00857F18"/>
    <w:rsid w:val="008601C5"/>
    <w:rsid w:val="008631BE"/>
    <w:rsid w:val="00863C52"/>
    <w:rsid w:val="00863F9A"/>
    <w:rsid w:val="00864126"/>
    <w:rsid w:val="008642C6"/>
    <w:rsid w:val="00865F66"/>
    <w:rsid w:val="00866A9B"/>
    <w:rsid w:val="00867518"/>
    <w:rsid w:val="008704E4"/>
    <w:rsid w:val="0087373D"/>
    <w:rsid w:val="00873907"/>
    <w:rsid w:val="00876062"/>
    <w:rsid w:val="00876D14"/>
    <w:rsid w:val="00880650"/>
    <w:rsid w:val="00880DE8"/>
    <w:rsid w:val="00880E85"/>
    <w:rsid w:val="00881984"/>
    <w:rsid w:val="00881FA5"/>
    <w:rsid w:val="008829A1"/>
    <w:rsid w:val="00884773"/>
    <w:rsid w:val="00886170"/>
    <w:rsid w:val="00887370"/>
    <w:rsid w:val="00887AC1"/>
    <w:rsid w:val="00887AD9"/>
    <w:rsid w:val="00890BD7"/>
    <w:rsid w:val="00891A6E"/>
    <w:rsid w:val="008922C6"/>
    <w:rsid w:val="008937AA"/>
    <w:rsid w:val="008941B7"/>
    <w:rsid w:val="00894230"/>
    <w:rsid w:val="008951FB"/>
    <w:rsid w:val="008968EB"/>
    <w:rsid w:val="00897689"/>
    <w:rsid w:val="00897FEE"/>
    <w:rsid w:val="008A0D51"/>
    <w:rsid w:val="008A11B6"/>
    <w:rsid w:val="008A1720"/>
    <w:rsid w:val="008A1D6F"/>
    <w:rsid w:val="008A3A56"/>
    <w:rsid w:val="008A405E"/>
    <w:rsid w:val="008A4DD1"/>
    <w:rsid w:val="008A51A2"/>
    <w:rsid w:val="008A51C6"/>
    <w:rsid w:val="008A51D2"/>
    <w:rsid w:val="008A56BF"/>
    <w:rsid w:val="008B0666"/>
    <w:rsid w:val="008B16E5"/>
    <w:rsid w:val="008B2EB2"/>
    <w:rsid w:val="008B423D"/>
    <w:rsid w:val="008B5009"/>
    <w:rsid w:val="008B6514"/>
    <w:rsid w:val="008B6603"/>
    <w:rsid w:val="008B7AF1"/>
    <w:rsid w:val="008C1F02"/>
    <w:rsid w:val="008C2323"/>
    <w:rsid w:val="008C29DD"/>
    <w:rsid w:val="008C3EB9"/>
    <w:rsid w:val="008C4BB0"/>
    <w:rsid w:val="008C603F"/>
    <w:rsid w:val="008C6B12"/>
    <w:rsid w:val="008D07FA"/>
    <w:rsid w:val="008D0832"/>
    <w:rsid w:val="008D1474"/>
    <w:rsid w:val="008D2799"/>
    <w:rsid w:val="008D3E64"/>
    <w:rsid w:val="008D5E56"/>
    <w:rsid w:val="008D7264"/>
    <w:rsid w:val="008E0CC1"/>
    <w:rsid w:val="008E233D"/>
    <w:rsid w:val="008E36EC"/>
    <w:rsid w:val="008E3A6A"/>
    <w:rsid w:val="008E4F33"/>
    <w:rsid w:val="008E5CE3"/>
    <w:rsid w:val="008E68F6"/>
    <w:rsid w:val="008F0E49"/>
    <w:rsid w:val="008F10C0"/>
    <w:rsid w:val="008F1194"/>
    <w:rsid w:val="008F273A"/>
    <w:rsid w:val="008F5FA6"/>
    <w:rsid w:val="008F64BD"/>
    <w:rsid w:val="008F660B"/>
    <w:rsid w:val="008F7A9C"/>
    <w:rsid w:val="008F7FCF"/>
    <w:rsid w:val="00900503"/>
    <w:rsid w:val="00900D4B"/>
    <w:rsid w:val="00900D86"/>
    <w:rsid w:val="00900DE3"/>
    <w:rsid w:val="00903530"/>
    <w:rsid w:val="00904865"/>
    <w:rsid w:val="0090536A"/>
    <w:rsid w:val="00910C0E"/>
    <w:rsid w:val="0091228E"/>
    <w:rsid w:val="0091299A"/>
    <w:rsid w:val="0091389B"/>
    <w:rsid w:val="00913B7E"/>
    <w:rsid w:val="00913BD8"/>
    <w:rsid w:val="00914764"/>
    <w:rsid w:val="0091539C"/>
    <w:rsid w:val="00915E9F"/>
    <w:rsid w:val="00917822"/>
    <w:rsid w:val="00921389"/>
    <w:rsid w:val="00921C10"/>
    <w:rsid w:val="009238C0"/>
    <w:rsid w:val="00924487"/>
    <w:rsid w:val="00924D99"/>
    <w:rsid w:val="00925BAA"/>
    <w:rsid w:val="00925EE3"/>
    <w:rsid w:val="00926722"/>
    <w:rsid w:val="00926D8B"/>
    <w:rsid w:val="0092796F"/>
    <w:rsid w:val="009317F7"/>
    <w:rsid w:val="009324C1"/>
    <w:rsid w:val="009328FC"/>
    <w:rsid w:val="00933D7D"/>
    <w:rsid w:val="00934812"/>
    <w:rsid w:val="009360C5"/>
    <w:rsid w:val="00937A57"/>
    <w:rsid w:val="00937C65"/>
    <w:rsid w:val="009400E5"/>
    <w:rsid w:val="009443AA"/>
    <w:rsid w:val="00944443"/>
    <w:rsid w:val="00945C1E"/>
    <w:rsid w:val="0094665F"/>
    <w:rsid w:val="0094678A"/>
    <w:rsid w:val="00947F74"/>
    <w:rsid w:val="009502AB"/>
    <w:rsid w:val="00950842"/>
    <w:rsid w:val="00951C7E"/>
    <w:rsid w:val="009526D5"/>
    <w:rsid w:val="00952997"/>
    <w:rsid w:val="0095328A"/>
    <w:rsid w:val="00953E06"/>
    <w:rsid w:val="009570C8"/>
    <w:rsid w:val="00957152"/>
    <w:rsid w:val="0096064B"/>
    <w:rsid w:val="0096155B"/>
    <w:rsid w:val="00962C63"/>
    <w:rsid w:val="00963045"/>
    <w:rsid w:val="00963568"/>
    <w:rsid w:val="00963574"/>
    <w:rsid w:val="009644C5"/>
    <w:rsid w:val="00964C55"/>
    <w:rsid w:val="0096599C"/>
    <w:rsid w:val="00966E7A"/>
    <w:rsid w:val="009704B0"/>
    <w:rsid w:val="00972036"/>
    <w:rsid w:val="00972B9D"/>
    <w:rsid w:val="009730A5"/>
    <w:rsid w:val="00973CBB"/>
    <w:rsid w:val="00974731"/>
    <w:rsid w:val="0097662E"/>
    <w:rsid w:val="00976BC2"/>
    <w:rsid w:val="009775D3"/>
    <w:rsid w:val="00977C87"/>
    <w:rsid w:val="00981684"/>
    <w:rsid w:val="00982989"/>
    <w:rsid w:val="009835FB"/>
    <w:rsid w:val="00983F19"/>
    <w:rsid w:val="009842A0"/>
    <w:rsid w:val="00986283"/>
    <w:rsid w:val="00987853"/>
    <w:rsid w:val="0099190F"/>
    <w:rsid w:val="00991AEC"/>
    <w:rsid w:val="00991D7E"/>
    <w:rsid w:val="009920D4"/>
    <w:rsid w:val="00993617"/>
    <w:rsid w:val="0099432F"/>
    <w:rsid w:val="009952EB"/>
    <w:rsid w:val="00995D43"/>
    <w:rsid w:val="009964E7"/>
    <w:rsid w:val="009965BF"/>
    <w:rsid w:val="009971B0"/>
    <w:rsid w:val="00997B07"/>
    <w:rsid w:val="009A148A"/>
    <w:rsid w:val="009A180F"/>
    <w:rsid w:val="009A1915"/>
    <w:rsid w:val="009A20E5"/>
    <w:rsid w:val="009A2A7C"/>
    <w:rsid w:val="009A2ED3"/>
    <w:rsid w:val="009A354C"/>
    <w:rsid w:val="009A44E9"/>
    <w:rsid w:val="009A516B"/>
    <w:rsid w:val="009A5E75"/>
    <w:rsid w:val="009A623A"/>
    <w:rsid w:val="009A68A0"/>
    <w:rsid w:val="009B0746"/>
    <w:rsid w:val="009B3319"/>
    <w:rsid w:val="009B4B17"/>
    <w:rsid w:val="009B5214"/>
    <w:rsid w:val="009B532B"/>
    <w:rsid w:val="009B55E8"/>
    <w:rsid w:val="009B5F0E"/>
    <w:rsid w:val="009B6B20"/>
    <w:rsid w:val="009B7055"/>
    <w:rsid w:val="009B755B"/>
    <w:rsid w:val="009B7560"/>
    <w:rsid w:val="009B77E9"/>
    <w:rsid w:val="009C00FB"/>
    <w:rsid w:val="009C1138"/>
    <w:rsid w:val="009C1CAC"/>
    <w:rsid w:val="009C216A"/>
    <w:rsid w:val="009C3571"/>
    <w:rsid w:val="009C39A6"/>
    <w:rsid w:val="009C3E19"/>
    <w:rsid w:val="009C4035"/>
    <w:rsid w:val="009C4684"/>
    <w:rsid w:val="009C532F"/>
    <w:rsid w:val="009C5CA3"/>
    <w:rsid w:val="009C5DC9"/>
    <w:rsid w:val="009C780E"/>
    <w:rsid w:val="009D179B"/>
    <w:rsid w:val="009D2397"/>
    <w:rsid w:val="009D3EE1"/>
    <w:rsid w:val="009D561B"/>
    <w:rsid w:val="009D73F1"/>
    <w:rsid w:val="009D7DCB"/>
    <w:rsid w:val="009D7E49"/>
    <w:rsid w:val="009E1195"/>
    <w:rsid w:val="009E24FB"/>
    <w:rsid w:val="009E31CF"/>
    <w:rsid w:val="009E354F"/>
    <w:rsid w:val="009E3E67"/>
    <w:rsid w:val="009E51CE"/>
    <w:rsid w:val="009E5D82"/>
    <w:rsid w:val="009E5ECF"/>
    <w:rsid w:val="009E6072"/>
    <w:rsid w:val="009E62F8"/>
    <w:rsid w:val="009E7276"/>
    <w:rsid w:val="009E734D"/>
    <w:rsid w:val="009F03D9"/>
    <w:rsid w:val="009F0667"/>
    <w:rsid w:val="009F0E6B"/>
    <w:rsid w:val="009F0EAA"/>
    <w:rsid w:val="009F38A2"/>
    <w:rsid w:val="009F42AB"/>
    <w:rsid w:val="009F5A9B"/>
    <w:rsid w:val="009F6396"/>
    <w:rsid w:val="009F6F66"/>
    <w:rsid w:val="009F78CB"/>
    <w:rsid w:val="009F79DC"/>
    <w:rsid w:val="00A0007D"/>
    <w:rsid w:val="00A00A06"/>
    <w:rsid w:val="00A00D9B"/>
    <w:rsid w:val="00A024E1"/>
    <w:rsid w:val="00A02ACE"/>
    <w:rsid w:val="00A0309C"/>
    <w:rsid w:val="00A03EE2"/>
    <w:rsid w:val="00A0599B"/>
    <w:rsid w:val="00A06CC3"/>
    <w:rsid w:val="00A108E1"/>
    <w:rsid w:val="00A114AB"/>
    <w:rsid w:val="00A14107"/>
    <w:rsid w:val="00A17169"/>
    <w:rsid w:val="00A2077A"/>
    <w:rsid w:val="00A20871"/>
    <w:rsid w:val="00A20DBC"/>
    <w:rsid w:val="00A224DB"/>
    <w:rsid w:val="00A231EE"/>
    <w:rsid w:val="00A23D9B"/>
    <w:rsid w:val="00A23FE4"/>
    <w:rsid w:val="00A25D4C"/>
    <w:rsid w:val="00A273AB"/>
    <w:rsid w:val="00A27780"/>
    <w:rsid w:val="00A30675"/>
    <w:rsid w:val="00A3198A"/>
    <w:rsid w:val="00A31C35"/>
    <w:rsid w:val="00A32EDC"/>
    <w:rsid w:val="00A33251"/>
    <w:rsid w:val="00A35817"/>
    <w:rsid w:val="00A35896"/>
    <w:rsid w:val="00A35ADD"/>
    <w:rsid w:val="00A36110"/>
    <w:rsid w:val="00A36C54"/>
    <w:rsid w:val="00A37466"/>
    <w:rsid w:val="00A37D8C"/>
    <w:rsid w:val="00A406E4"/>
    <w:rsid w:val="00A40CC4"/>
    <w:rsid w:val="00A410CD"/>
    <w:rsid w:val="00A41431"/>
    <w:rsid w:val="00A41883"/>
    <w:rsid w:val="00A4301D"/>
    <w:rsid w:val="00A43454"/>
    <w:rsid w:val="00A43854"/>
    <w:rsid w:val="00A46635"/>
    <w:rsid w:val="00A47E7C"/>
    <w:rsid w:val="00A5011D"/>
    <w:rsid w:val="00A502B4"/>
    <w:rsid w:val="00A50B88"/>
    <w:rsid w:val="00A51997"/>
    <w:rsid w:val="00A51E1B"/>
    <w:rsid w:val="00A525FD"/>
    <w:rsid w:val="00A52C01"/>
    <w:rsid w:val="00A5335A"/>
    <w:rsid w:val="00A55391"/>
    <w:rsid w:val="00A554E9"/>
    <w:rsid w:val="00A60275"/>
    <w:rsid w:val="00A61C86"/>
    <w:rsid w:val="00A63318"/>
    <w:rsid w:val="00A6408E"/>
    <w:rsid w:val="00A65678"/>
    <w:rsid w:val="00A66691"/>
    <w:rsid w:val="00A6756F"/>
    <w:rsid w:val="00A70DD1"/>
    <w:rsid w:val="00A716CA"/>
    <w:rsid w:val="00A71704"/>
    <w:rsid w:val="00A72E0F"/>
    <w:rsid w:val="00A72F0E"/>
    <w:rsid w:val="00A736E8"/>
    <w:rsid w:val="00A738A5"/>
    <w:rsid w:val="00A7397B"/>
    <w:rsid w:val="00A803B7"/>
    <w:rsid w:val="00A81299"/>
    <w:rsid w:val="00A82227"/>
    <w:rsid w:val="00A82BD4"/>
    <w:rsid w:val="00A84719"/>
    <w:rsid w:val="00A847E1"/>
    <w:rsid w:val="00A853C8"/>
    <w:rsid w:val="00A85C20"/>
    <w:rsid w:val="00A85D8C"/>
    <w:rsid w:val="00A86058"/>
    <w:rsid w:val="00A86985"/>
    <w:rsid w:val="00A86C2D"/>
    <w:rsid w:val="00A86DD8"/>
    <w:rsid w:val="00A900BB"/>
    <w:rsid w:val="00A90BD5"/>
    <w:rsid w:val="00A90F41"/>
    <w:rsid w:val="00A91AAB"/>
    <w:rsid w:val="00A91DF4"/>
    <w:rsid w:val="00A941D7"/>
    <w:rsid w:val="00A943B2"/>
    <w:rsid w:val="00A95C97"/>
    <w:rsid w:val="00A95ECC"/>
    <w:rsid w:val="00A9602E"/>
    <w:rsid w:val="00A965CC"/>
    <w:rsid w:val="00A9734F"/>
    <w:rsid w:val="00A97779"/>
    <w:rsid w:val="00AA00C1"/>
    <w:rsid w:val="00AA0222"/>
    <w:rsid w:val="00AA0DA9"/>
    <w:rsid w:val="00AA2476"/>
    <w:rsid w:val="00AA4BB9"/>
    <w:rsid w:val="00AA68DF"/>
    <w:rsid w:val="00AB07A4"/>
    <w:rsid w:val="00AB0C9E"/>
    <w:rsid w:val="00AB116F"/>
    <w:rsid w:val="00AB181B"/>
    <w:rsid w:val="00AB2E64"/>
    <w:rsid w:val="00AB4D25"/>
    <w:rsid w:val="00AB4D75"/>
    <w:rsid w:val="00AB7521"/>
    <w:rsid w:val="00AC310B"/>
    <w:rsid w:val="00AC3B69"/>
    <w:rsid w:val="00AC3E58"/>
    <w:rsid w:val="00AC6720"/>
    <w:rsid w:val="00AC786B"/>
    <w:rsid w:val="00AC7ECD"/>
    <w:rsid w:val="00AD0766"/>
    <w:rsid w:val="00AD083F"/>
    <w:rsid w:val="00AD1B5A"/>
    <w:rsid w:val="00AD2170"/>
    <w:rsid w:val="00AD275A"/>
    <w:rsid w:val="00AD3D6D"/>
    <w:rsid w:val="00AD3EC4"/>
    <w:rsid w:val="00AD7DA1"/>
    <w:rsid w:val="00AD7F00"/>
    <w:rsid w:val="00AD7F52"/>
    <w:rsid w:val="00AE0559"/>
    <w:rsid w:val="00AE0D97"/>
    <w:rsid w:val="00AE203A"/>
    <w:rsid w:val="00AE22BA"/>
    <w:rsid w:val="00AE3B5F"/>
    <w:rsid w:val="00AE3CFD"/>
    <w:rsid w:val="00AE55D2"/>
    <w:rsid w:val="00AE7106"/>
    <w:rsid w:val="00AF06CB"/>
    <w:rsid w:val="00AF09B0"/>
    <w:rsid w:val="00AF1B84"/>
    <w:rsid w:val="00AF245D"/>
    <w:rsid w:val="00AF37BE"/>
    <w:rsid w:val="00AF4C20"/>
    <w:rsid w:val="00AF4D16"/>
    <w:rsid w:val="00AF53F2"/>
    <w:rsid w:val="00AF5B4A"/>
    <w:rsid w:val="00AF6215"/>
    <w:rsid w:val="00B0055C"/>
    <w:rsid w:val="00B01342"/>
    <w:rsid w:val="00B03428"/>
    <w:rsid w:val="00B035CC"/>
    <w:rsid w:val="00B05F9D"/>
    <w:rsid w:val="00B06606"/>
    <w:rsid w:val="00B0680D"/>
    <w:rsid w:val="00B068D9"/>
    <w:rsid w:val="00B06E83"/>
    <w:rsid w:val="00B103CA"/>
    <w:rsid w:val="00B1080B"/>
    <w:rsid w:val="00B10943"/>
    <w:rsid w:val="00B11673"/>
    <w:rsid w:val="00B11DA4"/>
    <w:rsid w:val="00B12447"/>
    <w:rsid w:val="00B13482"/>
    <w:rsid w:val="00B14087"/>
    <w:rsid w:val="00B178FF"/>
    <w:rsid w:val="00B17BDF"/>
    <w:rsid w:val="00B222AD"/>
    <w:rsid w:val="00B236FE"/>
    <w:rsid w:val="00B23CE0"/>
    <w:rsid w:val="00B2498C"/>
    <w:rsid w:val="00B26878"/>
    <w:rsid w:val="00B268F6"/>
    <w:rsid w:val="00B26E9A"/>
    <w:rsid w:val="00B32719"/>
    <w:rsid w:val="00B34418"/>
    <w:rsid w:val="00B3452A"/>
    <w:rsid w:val="00B34F64"/>
    <w:rsid w:val="00B406C3"/>
    <w:rsid w:val="00B45E08"/>
    <w:rsid w:val="00B46B69"/>
    <w:rsid w:val="00B51E8B"/>
    <w:rsid w:val="00B522B8"/>
    <w:rsid w:val="00B53061"/>
    <w:rsid w:val="00B532C1"/>
    <w:rsid w:val="00B5338E"/>
    <w:rsid w:val="00B54F28"/>
    <w:rsid w:val="00B5561F"/>
    <w:rsid w:val="00B55F0E"/>
    <w:rsid w:val="00B56412"/>
    <w:rsid w:val="00B568CC"/>
    <w:rsid w:val="00B57D56"/>
    <w:rsid w:val="00B60A81"/>
    <w:rsid w:val="00B611AA"/>
    <w:rsid w:val="00B6527B"/>
    <w:rsid w:val="00B6596E"/>
    <w:rsid w:val="00B6606B"/>
    <w:rsid w:val="00B6651B"/>
    <w:rsid w:val="00B71059"/>
    <w:rsid w:val="00B71C4A"/>
    <w:rsid w:val="00B73072"/>
    <w:rsid w:val="00B73734"/>
    <w:rsid w:val="00B74A92"/>
    <w:rsid w:val="00B752C5"/>
    <w:rsid w:val="00B80087"/>
    <w:rsid w:val="00B805EE"/>
    <w:rsid w:val="00B80723"/>
    <w:rsid w:val="00B816CE"/>
    <w:rsid w:val="00B827FF"/>
    <w:rsid w:val="00B82D74"/>
    <w:rsid w:val="00B8445D"/>
    <w:rsid w:val="00B846E1"/>
    <w:rsid w:val="00B9000E"/>
    <w:rsid w:val="00B9010E"/>
    <w:rsid w:val="00B9061C"/>
    <w:rsid w:val="00B90A67"/>
    <w:rsid w:val="00B924B0"/>
    <w:rsid w:val="00B93351"/>
    <w:rsid w:val="00B93FAF"/>
    <w:rsid w:val="00B94054"/>
    <w:rsid w:val="00B96AC7"/>
    <w:rsid w:val="00B96DBD"/>
    <w:rsid w:val="00B9744A"/>
    <w:rsid w:val="00B97C29"/>
    <w:rsid w:val="00BA0D89"/>
    <w:rsid w:val="00BA15AB"/>
    <w:rsid w:val="00BA22F0"/>
    <w:rsid w:val="00BA6833"/>
    <w:rsid w:val="00BA6C89"/>
    <w:rsid w:val="00BA7B16"/>
    <w:rsid w:val="00BB08FF"/>
    <w:rsid w:val="00BB0942"/>
    <w:rsid w:val="00BB7ED2"/>
    <w:rsid w:val="00BC00D5"/>
    <w:rsid w:val="00BC0CB7"/>
    <w:rsid w:val="00BC1CF6"/>
    <w:rsid w:val="00BC2074"/>
    <w:rsid w:val="00BC4287"/>
    <w:rsid w:val="00BC46FA"/>
    <w:rsid w:val="00BC513F"/>
    <w:rsid w:val="00BC622C"/>
    <w:rsid w:val="00BC7F45"/>
    <w:rsid w:val="00BD0813"/>
    <w:rsid w:val="00BD19EE"/>
    <w:rsid w:val="00BD1DCB"/>
    <w:rsid w:val="00BD241F"/>
    <w:rsid w:val="00BD403D"/>
    <w:rsid w:val="00BD4685"/>
    <w:rsid w:val="00BD5C05"/>
    <w:rsid w:val="00BD7002"/>
    <w:rsid w:val="00BE01D9"/>
    <w:rsid w:val="00BE2019"/>
    <w:rsid w:val="00BE239F"/>
    <w:rsid w:val="00BE2D0B"/>
    <w:rsid w:val="00BE327E"/>
    <w:rsid w:val="00BE3C7B"/>
    <w:rsid w:val="00BE4296"/>
    <w:rsid w:val="00BE5A56"/>
    <w:rsid w:val="00BE7F02"/>
    <w:rsid w:val="00BF0330"/>
    <w:rsid w:val="00BF041A"/>
    <w:rsid w:val="00BF184A"/>
    <w:rsid w:val="00BF2BC7"/>
    <w:rsid w:val="00BF2E42"/>
    <w:rsid w:val="00BF5BE5"/>
    <w:rsid w:val="00BF5E44"/>
    <w:rsid w:val="00BF6512"/>
    <w:rsid w:val="00BF6C6A"/>
    <w:rsid w:val="00C00AB9"/>
    <w:rsid w:val="00C00E2A"/>
    <w:rsid w:val="00C0309C"/>
    <w:rsid w:val="00C03CD3"/>
    <w:rsid w:val="00C0427F"/>
    <w:rsid w:val="00C04EC6"/>
    <w:rsid w:val="00C0641F"/>
    <w:rsid w:val="00C06C64"/>
    <w:rsid w:val="00C102B5"/>
    <w:rsid w:val="00C102D8"/>
    <w:rsid w:val="00C114E1"/>
    <w:rsid w:val="00C121A2"/>
    <w:rsid w:val="00C12AB0"/>
    <w:rsid w:val="00C14160"/>
    <w:rsid w:val="00C14296"/>
    <w:rsid w:val="00C148C1"/>
    <w:rsid w:val="00C16DF1"/>
    <w:rsid w:val="00C21D5F"/>
    <w:rsid w:val="00C21F8D"/>
    <w:rsid w:val="00C23138"/>
    <w:rsid w:val="00C235CA"/>
    <w:rsid w:val="00C25CB9"/>
    <w:rsid w:val="00C263CA"/>
    <w:rsid w:val="00C27641"/>
    <w:rsid w:val="00C32517"/>
    <w:rsid w:val="00C32855"/>
    <w:rsid w:val="00C32E7A"/>
    <w:rsid w:val="00C33BDB"/>
    <w:rsid w:val="00C35A51"/>
    <w:rsid w:val="00C366DE"/>
    <w:rsid w:val="00C36E4B"/>
    <w:rsid w:val="00C37A01"/>
    <w:rsid w:val="00C4049C"/>
    <w:rsid w:val="00C40D25"/>
    <w:rsid w:val="00C4177F"/>
    <w:rsid w:val="00C41BCA"/>
    <w:rsid w:val="00C422BC"/>
    <w:rsid w:val="00C42B47"/>
    <w:rsid w:val="00C43EC5"/>
    <w:rsid w:val="00C448E8"/>
    <w:rsid w:val="00C44BBE"/>
    <w:rsid w:val="00C45244"/>
    <w:rsid w:val="00C45F03"/>
    <w:rsid w:val="00C4650F"/>
    <w:rsid w:val="00C469A4"/>
    <w:rsid w:val="00C507C3"/>
    <w:rsid w:val="00C508AD"/>
    <w:rsid w:val="00C52188"/>
    <w:rsid w:val="00C5358D"/>
    <w:rsid w:val="00C5364A"/>
    <w:rsid w:val="00C54580"/>
    <w:rsid w:val="00C56AB8"/>
    <w:rsid w:val="00C56C88"/>
    <w:rsid w:val="00C56D03"/>
    <w:rsid w:val="00C572F6"/>
    <w:rsid w:val="00C607F8"/>
    <w:rsid w:val="00C611F6"/>
    <w:rsid w:val="00C61603"/>
    <w:rsid w:val="00C61828"/>
    <w:rsid w:val="00C62BBB"/>
    <w:rsid w:val="00C6302E"/>
    <w:rsid w:val="00C633E7"/>
    <w:rsid w:val="00C63430"/>
    <w:rsid w:val="00C63B3B"/>
    <w:rsid w:val="00C646E4"/>
    <w:rsid w:val="00C64AD3"/>
    <w:rsid w:val="00C66A8B"/>
    <w:rsid w:val="00C67378"/>
    <w:rsid w:val="00C7086F"/>
    <w:rsid w:val="00C731E8"/>
    <w:rsid w:val="00C738D3"/>
    <w:rsid w:val="00C73A32"/>
    <w:rsid w:val="00C74FA2"/>
    <w:rsid w:val="00C75466"/>
    <w:rsid w:val="00C770B0"/>
    <w:rsid w:val="00C77B1D"/>
    <w:rsid w:val="00C80108"/>
    <w:rsid w:val="00C81CE4"/>
    <w:rsid w:val="00C82375"/>
    <w:rsid w:val="00C832E2"/>
    <w:rsid w:val="00C83B2F"/>
    <w:rsid w:val="00C83DF8"/>
    <w:rsid w:val="00C858FA"/>
    <w:rsid w:val="00C8699C"/>
    <w:rsid w:val="00C86A37"/>
    <w:rsid w:val="00C94010"/>
    <w:rsid w:val="00C945DD"/>
    <w:rsid w:val="00C963DC"/>
    <w:rsid w:val="00C97298"/>
    <w:rsid w:val="00CA0DC9"/>
    <w:rsid w:val="00CA1075"/>
    <w:rsid w:val="00CA1B31"/>
    <w:rsid w:val="00CA2883"/>
    <w:rsid w:val="00CA391F"/>
    <w:rsid w:val="00CA3B0E"/>
    <w:rsid w:val="00CA43A1"/>
    <w:rsid w:val="00CA4E97"/>
    <w:rsid w:val="00CA5249"/>
    <w:rsid w:val="00CA702C"/>
    <w:rsid w:val="00CB0E75"/>
    <w:rsid w:val="00CB23A9"/>
    <w:rsid w:val="00CB2C1A"/>
    <w:rsid w:val="00CB2DEC"/>
    <w:rsid w:val="00CB3557"/>
    <w:rsid w:val="00CB41C7"/>
    <w:rsid w:val="00CB59D1"/>
    <w:rsid w:val="00CC0F54"/>
    <w:rsid w:val="00CC1C28"/>
    <w:rsid w:val="00CC3A77"/>
    <w:rsid w:val="00CC3D0D"/>
    <w:rsid w:val="00CC6C15"/>
    <w:rsid w:val="00CC6FA2"/>
    <w:rsid w:val="00CC7184"/>
    <w:rsid w:val="00CC7D57"/>
    <w:rsid w:val="00CD01A9"/>
    <w:rsid w:val="00CD23DC"/>
    <w:rsid w:val="00CD2514"/>
    <w:rsid w:val="00CD26FE"/>
    <w:rsid w:val="00CD27C9"/>
    <w:rsid w:val="00CD33C4"/>
    <w:rsid w:val="00CD3668"/>
    <w:rsid w:val="00CD410C"/>
    <w:rsid w:val="00CD4424"/>
    <w:rsid w:val="00CD5730"/>
    <w:rsid w:val="00CD5B9E"/>
    <w:rsid w:val="00CD64DB"/>
    <w:rsid w:val="00CE0AF4"/>
    <w:rsid w:val="00CE17A5"/>
    <w:rsid w:val="00CE44C5"/>
    <w:rsid w:val="00CE6D6D"/>
    <w:rsid w:val="00CF1106"/>
    <w:rsid w:val="00CF1C3C"/>
    <w:rsid w:val="00CF1F0A"/>
    <w:rsid w:val="00CF42E6"/>
    <w:rsid w:val="00CF561E"/>
    <w:rsid w:val="00CF5F93"/>
    <w:rsid w:val="00CF6520"/>
    <w:rsid w:val="00CF65CD"/>
    <w:rsid w:val="00CF7499"/>
    <w:rsid w:val="00CF7B71"/>
    <w:rsid w:val="00CF7E4D"/>
    <w:rsid w:val="00D0366F"/>
    <w:rsid w:val="00D03CF9"/>
    <w:rsid w:val="00D044DD"/>
    <w:rsid w:val="00D051DE"/>
    <w:rsid w:val="00D0571E"/>
    <w:rsid w:val="00D05E16"/>
    <w:rsid w:val="00D064C6"/>
    <w:rsid w:val="00D0744F"/>
    <w:rsid w:val="00D1044D"/>
    <w:rsid w:val="00D105D7"/>
    <w:rsid w:val="00D11502"/>
    <w:rsid w:val="00D11503"/>
    <w:rsid w:val="00D115BD"/>
    <w:rsid w:val="00D133FD"/>
    <w:rsid w:val="00D13E40"/>
    <w:rsid w:val="00D13FD5"/>
    <w:rsid w:val="00D14796"/>
    <w:rsid w:val="00D15825"/>
    <w:rsid w:val="00D1613E"/>
    <w:rsid w:val="00D16D7D"/>
    <w:rsid w:val="00D17ACB"/>
    <w:rsid w:val="00D20077"/>
    <w:rsid w:val="00D23445"/>
    <w:rsid w:val="00D23BCB"/>
    <w:rsid w:val="00D26A36"/>
    <w:rsid w:val="00D26EB7"/>
    <w:rsid w:val="00D2777E"/>
    <w:rsid w:val="00D27C90"/>
    <w:rsid w:val="00D308D9"/>
    <w:rsid w:val="00D30CCA"/>
    <w:rsid w:val="00D30DD9"/>
    <w:rsid w:val="00D31665"/>
    <w:rsid w:val="00D33546"/>
    <w:rsid w:val="00D349D1"/>
    <w:rsid w:val="00D34C47"/>
    <w:rsid w:val="00D36B37"/>
    <w:rsid w:val="00D379AE"/>
    <w:rsid w:val="00D4056B"/>
    <w:rsid w:val="00D4229E"/>
    <w:rsid w:val="00D42DF1"/>
    <w:rsid w:val="00D45037"/>
    <w:rsid w:val="00D452B0"/>
    <w:rsid w:val="00D4597D"/>
    <w:rsid w:val="00D46438"/>
    <w:rsid w:val="00D47F07"/>
    <w:rsid w:val="00D523B5"/>
    <w:rsid w:val="00D54319"/>
    <w:rsid w:val="00D5513A"/>
    <w:rsid w:val="00D558A6"/>
    <w:rsid w:val="00D55D46"/>
    <w:rsid w:val="00D563D4"/>
    <w:rsid w:val="00D572EB"/>
    <w:rsid w:val="00D61701"/>
    <w:rsid w:val="00D61F41"/>
    <w:rsid w:val="00D62C77"/>
    <w:rsid w:val="00D62DA7"/>
    <w:rsid w:val="00D6323F"/>
    <w:rsid w:val="00D65504"/>
    <w:rsid w:val="00D66A0D"/>
    <w:rsid w:val="00D676DC"/>
    <w:rsid w:val="00D679DE"/>
    <w:rsid w:val="00D7081E"/>
    <w:rsid w:val="00D709A2"/>
    <w:rsid w:val="00D70FA8"/>
    <w:rsid w:val="00D726E8"/>
    <w:rsid w:val="00D736A1"/>
    <w:rsid w:val="00D743B6"/>
    <w:rsid w:val="00D74957"/>
    <w:rsid w:val="00D76F05"/>
    <w:rsid w:val="00D77474"/>
    <w:rsid w:val="00D77D41"/>
    <w:rsid w:val="00D77DD7"/>
    <w:rsid w:val="00D77F94"/>
    <w:rsid w:val="00D80059"/>
    <w:rsid w:val="00D800D4"/>
    <w:rsid w:val="00D801D4"/>
    <w:rsid w:val="00D81447"/>
    <w:rsid w:val="00D81B3B"/>
    <w:rsid w:val="00D83B15"/>
    <w:rsid w:val="00D84113"/>
    <w:rsid w:val="00D844DE"/>
    <w:rsid w:val="00D86132"/>
    <w:rsid w:val="00D869E9"/>
    <w:rsid w:val="00D902D6"/>
    <w:rsid w:val="00D92D7D"/>
    <w:rsid w:val="00D92DC5"/>
    <w:rsid w:val="00D92E2E"/>
    <w:rsid w:val="00D93834"/>
    <w:rsid w:val="00D93F3A"/>
    <w:rsid w:val="00D94F12"/>
    <w:rsid w:val="00D95CA1"/>
    <w:rsid w:val="00D97206"/>
    <w:rsid w:val="00DA1601"/>
    <w:rsid w:val="00DA1A87"/>
    <w:rsid w:val="00DA2C9D"/>
    <w:rsid w:val="00DA392C"/>
    <w:rsid w:val="00DA5CE7"/>
    <w:rsid w:val="00DA715F"/>
    <w:rsid w:val="00DA72D4"/>
    <w:rsid w:val="00DB0F4C"/>
    <w:rsid w:val="00DB2075"/>
    <w:rsid w:val="00DB4CF2"/>
    <w:rsid w:val="00DB515C"/>
    <w:rsid w:val="00DB525D"/>
    <w:rsid w:val="00DB55B9"/>
    <w:rsid w:val="00DB6EAD"/>
    <w:rsid w:val="00DB6EE5"/>
    <w:rsid w:val="00DC1119"/>
    <w:rsid w:val="00DC2413"/>
    <w:rsid w:val="00DC2B97"/>
    <w:rsid w:val="00DC3CE7"/>
    <w:rsid w:val="00DC5857"/>
    <w:rsid w:val="00DC6109"/>
    <w:rsid w:val="00DC739A"/>
    <w:rsid w:val="00DD01B2"/>
    <w:rsid w:val="00DD29DC"/>
    <w:rsid w:val="00DD404E"/>
    <w:rsid w:val="00DD4E93"/>
    <w:rsid w:val="00DD4F5E"/>
    <w:rsid w:val="00DD5BBB"/>
    <w:rsid w:val="00DD5D97"/>
    <w:rsid w:val="00DD778B"/>
    <w:rsid w:val="00DE09D9"/>
    <w:rsid w:val="00DE0E3A"/>
    <w:rsid w:val="00DE1C54"/>
    <w:rsid w:val="00DE1FE6"/>
    <w:rsid w:val="00DE208A"/>
    <w:rsid w:val="00DE2957"/>
    <w:rsid w:val="00DE2E4D"/>
    <w:rsid w:val="00DE30A8"/>
    <w:rsid w:val="00DE35F8"/>
    <w:rsid w:val="00DE3AC2"/>
    <w:rsid w:val="00DE4DD2"/>
    <w:rsid w:val="00DE4E47"/>
    <w:rsid w:val="00DE4F44"/>
    <w:rsid w:val="00DE63F9"/>
    <w:rsid w:val="00DE72AE"/>
    <w:rsid w:val="00DE7B38"/>
    <w:rsid w:val="00DF0D55"/>
    <w:rsid w:val="00DF1A83"/>
    <w:rsid w:val="00DF238C"/>
    <w:rsid w:val="00DF4393"/>
    <w:rsid w:val="00DF5531"/>
    <w:rsid w:val="00DF590C"/>
    <w:rsid w:val="00DF5AEE"/>
    <w:rsid w:val="00E002AF"/>
    <w:rsid w:val="00E01D92"/>
    <w:rsid w:val="00E021E3"/>
    <w:rsid w:val="00E032D3"/>
    <w:rsid w:val="00E03976"/>
    <w:rsid w:val="00E04447"/>
    <w:rsid w:val="00E0678A"/>
    <w:rsid w:val="00E06970"/>
    <w:rsid w:val="00E079CA"/>
    <w:rsid w:val="00E07DEF"/>
    <w:rsid w:val="00E10702"/>
    <w:rsid w:val="00E11490"/>
    <w:rsid w:val="00E115A3"/>
    <w:rsid w:val="00E1167F"/>
    <w:rsid w:val="00E126EB"/>
    <w:rsid w:val="00E12BFF"/>
    <w:rsid w:val="00E1500D"/>
    <w:rsid w:val="00E15774"/>
    <w:rsid w:val="00E15CA5"/>
    <w:rsid w:val="00E20A2C"/>
    <w:rsid w:val="00E22258"/>
    <w:rsid w:val="00E22F46"/>
    <w:rsid w:val="00E23F0F"/>
    <w:rsid w:val="00E246B2"/>
    <w:rsid w:val="00E251B6"/>
    <w:rsid w:val="00E256D7"/>
    <w:rsid w:val="00E26026"/>
    <w:rsid w:val="00E27D98"/>
    <w:rsid w:val="00E30412"/>
    <w:rsid w:val="00E313DA"/>
    <w:rsid w:val="00E32A95"/>
    <w:rsid w:val="00E33BE9"/>
    <w:rsid w:val="00E34923"/>
    <w:rsid w:val="00E34CA5"/>
    <w:rsid w:val="00E35E63"/>
    <w:rsid w:val="00E35E89"/>
    <w:rsid w:val="00E36862"/>
    <w:rsid w:val="00E37202"/>
    <w:rsid w:val="00E404F9"/>
    <w:rsid w:val="00E414CC"/>
    <w:rsid w:val="00E42988"/>
    <w:rsid w:val="00E4491D"/>
    <w:rsid w:val="00E454A0"/>
    <w:rsid w:val="00E45DEF"/>
    <w:rsid w:val="00E467E7"/>
    <w:rsid w:val="00E47087"/>
    <w:rsid w:val="00E471AF"/>
    <w:rsid w:val="00E477CC"/>
    <w:rsid w:val="00E47B7C"/>
    <w:rsid w:val="00E47EFC"/>
    <w:rsid w:val="00E50F60"/>
    <w:rsid w:val="00E52AED"/>
    <w:rsid w:val="00E539E7"/>
    <w:rsid w:val="00E53E38"/>
    <w:rsid w:val="00E56136"/>
    <w:rsid w:val="00E5660A"/>
    <w:rsid w:val="00E60214"/>
    <w:rsid w:val="00E65A13"/>
    <w:rsid w:val="00E66BA4"/>
    <w:rsid w:val="00E66F0F"/>
    <w:rsid w:val="00E706DE"/>
    <w:rsid w:val="00E7095D"/>
    <w:rsid w:val="00E70BB6"/>
    <w:rsid w:val="00E7122C"/>
    <w:rsid w:val="00E7164D"/>
    <w:rsid w:val="00E71F2C"/>
    <w:rsid w:val="00E72DB6"/>
    <w:rsid w:val="00E72FEF"/>
    <w:rsid w:val="00E72FFF"/>
    <w:rsid w:val="00E742DD"/>
    <w:rsid w:val="00E74CF6"/>
    <w:rsid w:val="00E7566A"/>
    <w:rsid w:val="00E75EAB"/>
    <w:rsid w:val="00E7637C"/>
    <w:rsid w:val="00E769DF"/>
    <w:rsid w:val="00E80CC5"/>
    <w:rsid w:val="00E811F0"/>
    <w:rsid w:val="00E81CC9"/>
    <w:rsid w:val="00E825CA"/>
    <w:rsid w:val="00E84118"/>
    <w:rsid w:val="00E84B8C"/>
    <w:rsid w:val="00E857E0"/>
    <w:rsid w:val="00E86979"/>
    <w:rsid w:val="00E904EB"/>
    <w:rsid w:val="00E909DE"/>
    <w:rsid w:val="00E92EF9"/>
    <w:rsid w:val="00E93AB8"/>
    <w:rsid w:val="00E95956"/>
    <w:rsid w:val="00E97D76"/>
    <w:rsid w:val="00EA111D"/>
    <w:rsid w:val="00EA1519"/>
    <w:rsid w:val="00EA1A1D"/>
    <w:rsid w:val="00EA1D11"/>
    <w:rsid w:val="00EA3214"/>
    <w:rsid w:val="00EB0407"/>
    <w:rsid w:val="00EB0536"/>
    <w:rsid w:val="00EB2587"/>
    <w:rsid w:val="00EB2AF6"/>
    <w:rsid w:val="00EB42A8"/>
    <w:rsid w:val="00EB5186"/>
    <w:rsid w:val="00EB5601"/>
    <w:rsid w:val="00EC0C00"/>
    <w:rsid w:val="00EC1F77"/>
    <w:rsid w:val="00EC2565"/>
    <w:rsid w:val="00EC501A"/>
    <w:rsid w:val="00EC526F"/>
    <w:rsid w:val="00EC5C01"/>
    <w:rsid w:val="00ED0A75"/>
    <w:rsid w:val="00ED15CD"/>
    <w:rsid w:val="00ED196F"/>
    <w:rsid w:val="00ED1E63"/>
    <w:rsid w:val="00ED2AB9"/>
    <w:rsid w:val="00ED2B1B"/>
    <w:rsid w:val="00ED40C4"/>
    <w:rsid w:val="00ED5D3B"/>
    <w:rsid w:val="00ED74C3"/>
    <w:rsid w:val="00ED7F2F"/>
    <w:rsid w:val="00EE12AB"/>
    <w:rsid w:val="00EE268C"/>
    <w:rsid w:val="00EE360D"/>
    <w:rsid w:val="00EE4967"/>
    <w:rsid w:val="00EE5956"/>
    <w:rsid w:val="00EF08E3"/>
    <w:rsid w:val="00EF2E4D"/>
    <w:rsid w:val="00EF3427"/>
    <w:rsid w:val="00EF5074"/>
    <w:rsid w:val="00EF6ABA"/>
    <w:rsid w:val="00F016E9"/>
    <w:rsid w:val="00F0179A"/>
    <w:rsid w:val="00F01F0C"/>
    <w:rsid w:val="00F020F8"/>
    <w:rsid w:val="00F026A1"/>
    <w:rsid w:val="00F0278D"/>
    <w:rsid w:val="00F034CC"/>
    <w:rsid w:val="00F0607A"/>
    <w:rsid w:val="00F0680C"/>
    <w:rsid w:val="00F10027"/>
    <w:rsid w:val="00F10410"/>
    <w:rsid w:val="00F10924"/>
    <w:rsid w:val="00F136EE"/>
    <w:rsid w:val="00F14CEC"/>
    <w:rsid w:val="00F1548E"/>
    <w:rsid w:val="00F159DC"/>
    <w:rsid w:val="00F15CEC"/>
    <w:rsid w:val="00F16569"/>
    <w:rsid w:val="00F16ECE"/>
    <w:rsid w:val="00F178DE"/>
    <w:rsid w:val="00F17EF3"/>
    <w:rsid w:val="00F2262A"/>
    <w:rsid w:val="00F22C5F"/>
    <w:rsid w:val="00F25ABB"/>
    <w:rsid w:val="00F279DF"/>
    <w:rsid w:val="00F3096D"/>
    <w:rsid w:val="00F31ECF"/>
    <w:rsid w:val="00F32B48"/>
    <w:rsid w:val="00F34445"/>
    <w:rsid w:val="00F34B2F"/>
    <w:rsid w:val="00F34BA8"/>
    <w:rsid w:val="00F35C6E"/>
    <w:rsid w:val="00F366BC"/>
    <w:rsid w:val="00F40B38"/>
    <w:rsid w:val="00F428AA"/>
    <w:rsid w:val="00F43209"/>
    <w:rsid w:val="00F436B2"/>
    <w:rsid w:val="00F444B7"/>
    <w:rsid w:val="00F45304"/>
    <w:rsid w:val="00F45FBA"/>
    <w:rsid w:val="00F460C6"/>
    <w:rsid w:val="00F46A55"/>
    <w:rsid w:val="00F46AB9"/>
    <w:rsid w:val="00F46B5A"/>
    <w:rsid w:val="00F46CC7"/>
    <w:rsid w:val="00F5057A"/>
    <w:rsid w:val="00F509EF"/>
    <w:rsid w:val="00F50E71"/>
    <w:rsid w:val="00F519E6"/>
    <w:rsid w:val="00F52633"/>
    <w:rsid w:val="00F526DD"/>
    <w:rsid w:val="00F52DC9"/>
    <w:rsid w:val="00F537E6"/>
    <w:rsid w:val="00F53DC4"/>
    <w:rsid w:val="00F53E99"/>
    <w:rsid w:val="00F57032"/>
    <w:rsid w:val="00F6074E"/>
    <w:rsid w:val="00F6104A"/>
    <w:rsid w:val="00F6112A"/>
    <w:rsid w:val="00F64021"/>
    <w:rsid w:val="00F640E5"/>
    <w:rsid w:val="00F65292"/>
    <w:rsid w:val="00F66234"/>
    <w:rsid w:val="00F677F5"/>
    <w:rsid w:val="00F67EB3"/>
    <w:rsid w:val="00F7229F"/>
    <w:rsid w:val="00F73397"/>
    <w:rsid w:val="00F7361B"/>
    <w:rsid w:val="00F759F0"/>
    <w:rsid w:val="00F75CA3"/>
    <w:rsid w:val="00F76488"/>
    <w:rsid w:val="00F76B77"/>
    <w:rsid w:val="00F80238"/>
    <w:rsid w:val="00F810EC"/>
    <w:rsid w:val="00F83363"/>
    <w:rsid w:val="00F83572"/>
    <w:rsid w:val="00F8357C"/>
    <w:rsid w:val="00F8494F"/>
    <w:rsid w:val="00F84B52"/>
    <w:rsid w:val="00F8588A"/>
    <w:rsid w:val="00F85E4C"/>
    <w:rsid w:val="00F86215"/>
    <w:rsid w:val="00F86688"/>
    <w:rsid w:val="00F86881"/>
    <w:rsid w:val="00F8713D"/>
    <w:rsid w:val="00F87ECD"/>
    <w:rsid w:val="00F90B68"/>
    <w:rsid w:val="00F91888"/>
    <w:rsid w:val="00F91BA1"/>
    <w:rsid w:val="00F92D06"/>
    <w:rsid w:val="00F947AE"/>
    <w:rsid w:val="00F94EF4"/>
    <w:rsid w:val="00F95061"/>
    <w:rsid w:val="00F96D01"/>
    <w:rsid w:val="00F97B32"/>
    <w:rsid w:val="00FA0898"/>
    <w:rsid w:val="00FA0A5E"/>
    <w:rsid w:val="00FA1C4A"/>
    <w:rsid w:val="00FA3625"/>
    <w:rsid w:val="00FA385B"/>
    <w:rsid w:val="00FA4CF8"/>
    <w:rsid w:val="00FA4DB3"/>
    <w:rsid w:val="00FA5234"/>
    <w:rsid w:val="00FA5C75"/>
    <w:rsid w:val="00FA61F0"/>
    <w:rsid w:val="00FA64DA"/>
    <w:rsid w:val="00FA652A"/>
    <w:rsid w:val="00FA7D7E"/>
    <w:rsid w:val="00FB4B84"/>
    <w:rsid w:val="00FB4C0B"/>
    <w:rsid w:val="00FB4CDD"/>
    <w:rsid w:val="00FB55E3"/>
    <w:rsid w:val="00FB5BF5"/>
    <w:rsid w:val="00FB5EDF"/>
    <w:rsid w:val="00FB6C47"/>
    <w:rsid w:val="00FB6FD0"/>
    <w:rsid w:val="00FB702E"/>
    <w:rsid w:val="00FB7458"/>
    <w:rsid w:val="00FB7E2B"/>
    <w:rsid w:val="00FC0A83"/>
    <w:rsid w:val="00FC1713"/>
    <w:rsid w:val="00FC1729"/>
    <w:rsid w:val="00FC21E2"/>
    <w:rsid w:val="00FC2995"/>
    <w:rsid w:val="00FC345F"/>
    <w:rsid w:val="00FC4B72"/>
    <w:rsid w:val="00FC4D89"/>
    <w:rsid w:val="00FC5206"/>
    <w:rsid w:val="00FC61A2"/>
    <w:rsid w:val="00FC6EC6"/>
    <w:rsid w:val="00FC7127"/>
    <w:rsid w:val="00FC74C0"/>
    <w:rsid w:val="00FD028C"/>
    <w:rsid w:val="00FD0BE3"/>
    <w:rsid w:val="00FD1E9A"/>
    <w:rsid w:val="00FD1F1D"/>
    <w:rsid w:val="00FD2217"/>
    <w:rsid w:val="00FD2CF8"/>
    <w:rsid w:val="00FD3496"/>
    <w:rsid w:val="00FD4477"/>
    <w:rsid w:val="00FD5AA1"/>
    <w:rsid w:val="00FD76CC"/>
    <w:rsid w:val="00FD7796"/>
    <w:rsid w:val="00FE097C"/>
    <w:rsid w:val="00FE0CF9"/>
    <w:rsid w:val="00FE2645"/>
    <w:rsid w:val="00FE3F4D"/>
    <w:rsid w:val="00FE45A9"/>
    <w:rsid w:val="00FE5074"/>
    <w:rsid w:val="00FE5649"/>
    <w:rsid w:val="00FE5704"/>
    <w:rsid w:val="00FE5DBC"/>
    <w:rsid w:val="00FE6FDC"/>
    <w:rsid w:val="00FE71D7"/>
    <w:rsid w:val="00FE75B0"/>
    <w:rsid w:val="00FE7842"/>
    <w:rsid w:val="00FE78AD"/>
    <w:rsid w:val="00FF014F"/>
    <w:rsid w:val="00FF03D7"/>
    <w:rsid w:val="00FF5108"/>
    <w:rsid w:val="00FF5B34"/>
    <w:rsid w:val="00FF5EE6"/>
    <w:rsid w:val="00FF6451"/>
    <w:rsid w:val="00FF701E"/>
    <w:rsid w:val="00FF793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0C1B9ADA"/>
  <w15:docId w15:val="{6955EE93-B59F-4DBF-9FBA-ECEC9BA79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1" w:qFormat="1"/>
    <w:lsdException w:name="heading 6" w:qFormat="1"/>
    <w:lsdException w:name="heading 7" w:semiHidden="1" w:unhideWhenUsed="1" w:qFormat="1"/>
    <w:lsdException w:name="heading 8" w:semiHidden="1" w:unhideWhenUsed="1" w:qFormat="1"/>
    <w:lsdException w:name="heading 9" w:semiHidden="1" w:uiPriority="10"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iPriority="0" w:unhideWhenUsed="1"/>
    <w:lsdException w:name="footnote text" w:locked="1" w:semiHidden="1" w:uiPriority="0" w:unhideWhenUsed="1" w:qFormat="1"/>
    <w:lsdException w:name="annotation text" w:locked="1" w:semiHidden="1" w:uiPriority="0" w:unhideWhenUsed="1"/>
    <w:lsdException w:name="header" w:locked="1" w:semiHidden="1" w:unhideWhenUsed="1"/>
    <w:lsdException w:name="footer" w:locked="1" w:semiHidden="1" w:unhideWhenUsed="1" w:qFormat="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iPriority="0" w:unhideWhenUsed="1"/>
    <w:lsdException w:name="page number" w:locked="1" w:semiHidden="1"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iPriority="2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iPriority="2"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uiPriority="1" w:qFormat="1"/>
    <w:lsdException w:name="Emphasis" w:uiPriority="2"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7229C5"/>
    <w:pPr>
      <w:spacing w:after="120"/>
    </w:pPr>
    <w:rPr>
      <w:rFonts w:eastAsia="Calibri"/>
      <w:color w:val="000000"/>
    </w:rPr>
  </w:style>
  <w:style w:type="paragraph" w:styleId="Heading1">
    <w:name w:val="heading 1"/>
    <w:next w:val="BodyText"/>
    <w:link w:val="Heading1Char"/>
    <w:uiPriority w:val="9"/>
    <w:qFormat/>
    <w:rsid w:val="00112A3E"/>
    <w:pPr>
      <w:keepNext/>
      <w:keepLines/>
      <w:pageBreakBefore/>
      <w:numPr>
        <w:numId w:val="13"/>
      </w:numPr>
      <w:tabs>
        <w:tab w:val="left" w:pos="1134"/>
      </w:tabs>
      <w:spacing w:after="240" w:line="480" w:lineRule="exact"/>
      <w:ind w:left="1134" w:hanging="1134"/>
      <w:outlineLvl w:val="0"/>
    </w:pPr>
    <w:rPr>
      <w:rFonts w:eastAsiaTheme="majorEastAsia" w:cstheme="majorBidi"/>
      <w:b/>
      <w:bCs/>
      <w:color w:val="00313C" w:themeColor="accent2"/>
      <w:sz w:val="44"/>
      <w:szCs w:val="28"/>
    </w:rPr>
  </w:style>
  <w:style w:type="paragraph" w:styleId="Heading2">
    <w:name w:val="heading 2"/>
    <w:basedOn w:val="Heading1"/>
    <w:next w:val="BodyText"/>
    <w:link w:val="Heading2Char"/>
    <w:autoRedefine/>
    <w:uiPriority w:val="9"/>
    <w:qFormat/>
    <w:rsid w:val="001C7655"/>
    <w:pPr>
      <w:keepLines w:val="0"/>
      <w:pageBreakBefore w:val="0"/>
      <w:numPr>
        <w:numId w:val="0"/>
      </w:numPr>
      <w:spacing w:before="240" w:line="240" w:lineRule="auto"/>
      <w:outlineLvl w:val="1"/>
    </w:pPr>
    <w:rPr>
      <w:rFonts w:asciiTheme="minorHAnsi" w:hAnsiTheme="minorHAnsi" w:cstheme="minorHAnsi"/>
      <w:noProof/>
      <w:sz w:val="28"/>
    </w:rPr>
  </w:style>
  <w:style w:type="paragraph" w:styleId="Heading3">
    <w:name w:val="heading 3"/>
    <w:basedOn w:val="Heading2"/>
    <w:next w:val="BodyText"/>
    <w:link w:val="Heading3Char"/>
    <w:autoRedefine/>
    <w:uiPriority w:val="9"/>
    <w:qFormat/>
    <w:rsid w:val="002E22B6"/>
    <w:pPr>
      <w:numPr>
        <w:ilvl w:val="2"/>
        <w:numId w:val="13"/>
      </w:numPr>
      <w:ind w:left="1134" w:hanging="1134"/>
      <w:outlineLvl w:val="2"/>
    </w:pPr>
    <w:rPr>
      <w:b w:val="0"/>
      <w:color w:val="auto"/>
      <w:sz w:val="26"/>
    </w:rPr>
  </w:style>
  <w:style w:type="paragraph" w:styleId="Heading4">
    <w:name w:val="heading 4"/>
    <w:basedOn w:val="Heading3"/>
    <w:next w:val="BodyText"/>
    <w:link w:val="Heading4Char"/>
    <w:uiPriority w:val="9"/>
    <w:qFormat/>
    <w:rsid w:val="005F395C"/>
    <w:pPr>
      <w:numPr>
        <w:ilvl w:val="0"/>
        <w:numId w:val="0"/>
      </w:numPr>
      <w:spacing w:after="120"/>
      <w:outlineLvl w:val="3"/>
    </w:pPr>
    <w:rPr>
      <w:iCs/>
      <w:color w:val="00313C" w:themeColor="accent2"/>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Heading1notnumbered"/>
    <w:next w:val="BodyText"/>
    <w:link w:val="Heading9Char"/>
    <w:uiPriority w:val="10"/>
    <w:locked/>
    <w:rsid w:val="00D1044D"/>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12A3E"/>
    <w:rPr>
      <w:rFonts w:eastAsiaTheme="majorEastAsia" w:cstheme="majorBidi"/>
      <w:b/>
      <w:bCs/>
      <w:color w:val="00313C" w:themeColor="accent2"/>
      <w:sz w:val="44"/>
      <w:szCs w:val="28"/>
    </w:rPr>
  </w:style>
  <w:style w:type="character" w:customStyle="1" w:styleId="Heading2Char">
    <w:name w:val="Heading 2 Char"/>
    <w:basedOn w:val="DefaultParagraphFont"/>
    <w:link w:val="Heading2"/>
    <w:uiPriority w:val="9"/>
    <w:locked/>
    <w:rsid w:val="001C7655"/>
    <w:rPr>
      <w:rFonts w:asciiTheme="minorHAnsi" w:eastAsiaTheme="majorEastAsia" w:hAnsiTheme="minorHAnsi" w:cstheme="minorHAnsi"/>
      <w:b/>
      <w:bCs/>
      <w:noProof/>
      <w:color w:val="00313C" w:themeColor="accent2"/>
      <w:sz w:val="28"/>
      <w:szCs w:val="28"/>
    </w:rPr>
  </w:style>
  <w:style w:type="character" w:customStyle="1" w:styleId="Heading3Char">
    <w:name w:val="Heading 3 Char"/>
    <w:basedOn w:val="DefaultParagraphFont"/>
    <w:link w:val="Heading3"/>
    <w:locked/>
    <w:rsid w:val="002E22B6"/>
    <w:rPr>
      <w:rFonts w:eastAsiaTheme="majorEastAsia" w:cstheme="majorBidi"/>
      <w:bCs/>
      <w:noProof/>
      <w:sz w:val="26"/>
    </w:rPr>
  </w:style>
  <w:style w:type="character" w:customStyle="1" w:styleId="Heading4Char">
    <w:name w:val="Heading 4 Char"/>
    <w:basedOn w:val="DefaultParagraphFont"/>
    <w:link w:val="Heading4"/>
    <w:locked/>
    <w:rsid w:val="005F395C"/>
    <w:rPr>
      <w:rFonts w:eastAsiaTheme="majorEastAsia" w:cstheme="majorBidi"/>
      <w:b/>
      <w:bCs/>
      <w:iCs/>
      <w:color w:val="00313C" w:themeColor="accent2"/>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7229C5"/>
    <w:rPr>
      <w:rFonts w:eastAsiaTheme="majorEastAsia" w:cstheme="majorBidi"/>
      <w:b/>
      <w:bCs/>
      <w:color w:val="00313C" w:themeColor="accent2"/>
      <w:sz w:val="44"/>
      <w:szCs w:val="28"/>
    </w:rPr>
  </w:style>
  <w:style w:type="paragraph" w:styleId="Header">
    <w:name w:val="header"/>
    <w:basedOn w:val="Normal"/>
    <w:link w:val="HeaderChar"/>
    <w:uiPriority w:val="99"/>
    <w:rsid w:val="00944443"/>
    <w:rPr>
      <w:caps/>
      <w:color w:val="FFFFFF"/>
      <w:spacing w:val="16"/>
    </w:rPr>
  </w:style>
  <w:style w:type="character" w:customStyle="1" w:styleId="HeaderChar">
    <w:name w:val="Header Char"/>
    <w:basedOn w:val="DefaultParagraphFont"/>
    <w:link w:val="Header"/>
    <w:uiPriority w:val="99"/>
    <w:locked/>
    <w:rsid w:val="00DB55B9"/>
    <w:rPr>
      <w:rFonts w:eastAsia="Calibri"/>
      <w:caps/>
      <w:color w:val="FFFFFF"/>
      <w:spacing w:val="16"/>
    </w:rPr>
  </w:style>
  <w:style w:type="paragraph" w:styleId="Footer">
    <w:name w:val="footer"/>
    <w:basedOn w:val="BodyText"/>
    <w:link w:val="FooterChar"/>
    <w:uiPriority w:val="99"/>
    <w:qFormat/>
    <w:rsid w:val="00DC2413"/>
    <w:pPr>
      <w:tabs>
        <w:tab w:val="center" w:pos="4513"/>
        <w:tab w:val="right" w:pos="9026"/>
      </w:tabs>
      <w:spacing w:line="220" w:lineRule="atLeast"/>
    </w:pPr>
    <w:rPr>
      <w:color w:val="auto"/>
      <w:sz w:val="16"/>
    </w:rPr>
  </w:style>
  <w:style w:type="character" w:customStyle="1" w:styleId="FooterChar">
    <w:name w:val="Footer Char"/>
    <w:basedOn w:val="DefaultParagraphFont"/>
    <w:link w:val="Footer"/>
    <w:uiPriority w:val="99"/>
    <w:locked/>
    <w:rsid w:val="00DC2413"/>
    <w:rPr>
      <w:rFonts w:eastAsia="Calibri"/>
      <w:sz w:val="16"/>
    </w:rPr>
  </w:style>
  <w:style w:type="paragraph" w:styleId="BalloonText">
    <w:name w:val="Balloon Text"/>
    <w:basedOn w:val="Normal"/>
    <w:link w:val="BalloonTextChar"/>
    <w:semiHidden/>
    <w:locked/>
    <w:rsid w:val="00064612"/>
    <w:pPr>
      <w:spacing w:after="0"/>
    </w:pPr>
    <w:rPr>
      <w:rFonts w:ascii="Tahoma" w:hAnsi="Tahoma" w:cs="Tahoma"/>
      <w:sz w:val="16"/>
      <w:szCs w:val="16"/>
    </w:rPr>
  </w:style>
  <w:style w:type="paragraph" w:styleId="ListBullet">
    <w:name w:val="List Bullet"/>
    <w:basedOn w:val="BodyText"/>
    <w:next w:val="BodyText"/>
    <w:uiPriority w:val="99"/>
    <w:qFormat/>
    <w:rsid w:val="00D349D1"/>
    <w:pPr>
      <w:numPr>
        <w:numId w:val="5"/>
      </w:numPr>
      <w:tabs>
        <w:tab w:val="left" w:pos="397"/>
      </w:tabs>
      <w:spacing w:before="60" w:after="60"/>
      <w:ind w:left="198" w:hanging="198"/>
    </w:pPr>
  </w:style>
  <w:style w:type="paragraph" w:styleId="ListNumber">
    <w:name w:val="List Number"/>
    <w:basedOn w:val="BodyText"/>
    <w:next w:val="BodyText"/>
    <w:autoRedefine/>
    <w:uiPriority w:val="22"/>
    <w:qFormat/>
    <w:rsid w:val="00B54F28"/>
    <w:pPr>
      <w:numPr>
        <w:numId w:val="8"/>
      </w:numPr>
      <w:tabs>
        <w:tab w:val="left" w:pos="397"/>
      </w:tabs>
    </w:pPr>
  </w:style>
  <w:style w:type="paragraph" w:styleId="ListBullet2">
    <w:name w:val="List Bullet 2"/>
    <w:basedOn w:val="ListBullet"/>
    <w:next w:val="BodyText"/>
    <w:uiPriority w:val="99"/>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94665F"/>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FFFFF" w:themeFill="background1"/>
      <w:tabs>
        <w:tab w:val="left" w:pos="737"/>
        <w:tab w:val="right" w:pos="9639"/>
      </w:tabs>
    </w:pPr>
    <w:rPr>
      <w:b/>
      <w:noProof/>
      <w:color w:val="auto"/>
    </w:rPr>
  </w:style>
  <w:style w:type="paragraph" w:styleId="TOC2">
    <w:name w:val="toc 2"/>
    <w:basedOn w:val="BodyText"/>
    <w:uiPriority w:val="39"/>
    <w:unhideWhenUsed/>
    <w:rsid w:val="0094665F"/>
    <w:pPr>
      <w:tabs>
        <w:tab w:val="left" w:pos="737"/>
        <w:tab w:val="left" w:pos="1531"/>
        <w:tab w:val="right" w:leader="dot" w:pos="9639"/>
      </w:tabs>
      <w:ind w:left="227"/>
    </w:pPr>
    <w:rPr>
      <w:noProof/>
      <w:color w:val="00313C" w:themeColor="accent2"/>
      <w:sz w:val="20"/>
    </w:rPr>
  </w:style>
  <w:style w:type="table" w:styleId="TableGrid">
    <w:name w:val="Table Grid"/>
    <w:basedOn w:val="TableNormal"/>
    <w:uiPriority w:val="3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rsid w:val="00F76488"/>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99"/>
    <w:rsid w:val="00D349D1"/>
    <w:pPr>
      <w:numPr>
        <w:ilvl w:val="0"/>
        <w:numId w:val="15"/>
      </w:numPr>
      <w:tabs>
        <w:tab w:val="clear" w:pos="794"/>
        <w:tab w:val="left" w:pos="851"/>
      </w:tabs>
      <w:ind w:left="1497" w:hanging="340"/>
    </w:pPr>
  </w:style>
  <w:style w:type="paragraph" w:styleId="FootnoteText">
    <w:name w:val="footnote text"/>
    <w:basedOn w:val="BodyText"/>
    <w:link w:val="FootnoteTextChar"/>
    <w:qFormat/>
    <w:rsid w:val="00DC2413"/>
    <w:pPr>
      <w:spacing w:before="60" w:line="180" w:lineRule="atLeast"/>
    </w:pPr>
    <w:rPr>
      <w:sz w:val="16"/>
      <w:szCs w:val="20"/>
    </w:rPr>
  </w:style>
  <w:style w:type="character" w:customStyle="1" w:styleId="FootnoteTextChar">
    <w:name w:val="Footnote Text Char"/>
    <w:basedOn w:val="DefaultParagraphFont"/>
    <w:link w:val="FootnoteText"/>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14"/>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39"/>
    <w:qFormat/>
    <w:rsid w:val="00462182"/>
    <w:pPr>
      <w:pageBreakBefore w:val="0"/>
      <w:numPr>
        <w:numId w:val="0"/>
      </w:numPr>
      <w:spacing w:before="480"/>
      <w:outlineLvl w:val="1"/>
    </w:pPr>
    <w:rPr>
      <w:bCs w:val="0"/>
    </w:rPr>
  </w:style>
  <w:style w:type="character" w:styleId="Hyperlink">
    <w:name w:val="Hyperlink"/>
    <w:basedOn w:val="DefaultParagraphFont"/>
    <w:uiPriority w:val="99"/>
    <w:qFormat/>
    <w:rsid w:val="00951C7E"/>
    <w:rPr>
      <w:rFonts w:cs="Times New Roman"/>
      <w:color w:val="0070C0"/>
      <w:u w:val="none"/>
    </w:rPr>
  </w:style>
  <w:style w:type="paragraph" w:styleId="TOC4">
    <w:name w:val="toc 4"/>
    <w:basedOn w:val="Normal"/>
    <w:next w:val="Normal"/>
    <w:autoRedefine/>
    <w:uiPriority w:val="39"/>
    <w:rsid w:val="00FE3F4D"/>
    <w:pPr>
      <w:spacing w:after="100"/>
      <w:ind w:left="660"/>
    </w:pPr>
  </w:style>
  <w:style w:type="paragraph" w:styleId="TOC9">
    <w:name w:val="toc 9"/>
    <w:basedOn w:val="Normal"/>
    <w:next w:val="Normal"/>
    <w:autoRedefine/>
    <w:uiPriority w:val="39"/>
    <w:rsid w:val="00FE3F4D"/>
    <w:pPr>
      <w:spacing w:after="100"/>
      <w:ind w:left="1760"/>
    </w:pPr>
  </w:style>
  <w:style w:type="character" w:customStyle="1" w:styleId="BalloonTextChar">
    <w:name w:val="Balloon Text Char"/>
    <w:basedOn w:val="DefaultParagraphFont"/>
    <w:link w:val="BalloonText"/>
    <w:semiHidden/>
    <w:rsid w:val="00DB55B9"/>
    <w:rPr>
      <w:rFonts w:ascii="Tahoma" w:eastAsia="Calibri" w:hAnsi="Tahoma" w:cs="Tahoma"/>
      <w:color w:val="000000"/>
      <w:sz w:val="16"/>
      <w:szCs w:val="16"/>
    </w:rPr>
  </w:style>
  <w:style w:type="paragraph" w:styleId="Caption">
    <w:name w:val="caption"/>
    <w:basedOn w:val="BodyText"/>
    <w:next w:val="BodyText"/>
    <w:link w:val="CaptionChar"/>
    <w:uiPriority w:val="35"/>
    <w:qFormat/>
    <w:rsid w:val="00B26878"/>
    <w:pPr>
      <w:keepNext/>
      <w:spacing w:before="180" w:after="180"/>
      <w:contextualSpacing/>
    </w:pPr>
    <w:rPr>
      <w:b/>
      <w:bCs/>
      <w:color w:val="007E9A" w:themeColor="accent1" w:themeShade="B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autoRedefine/>
    <w:uiPriority w:val="1"/>
    <w:qFormat/>
    <w:rsid w:val="003E4C0F"/>
    <w:pPr>
      <w:numPr>
        <w:numId w:val="0"/>
      </w:numPr>
      <w:spacing w:line="240" w:lineRule="auto"/>
    </w:pPr>
    <w:rPr>
      <w:rFonts w:asciiTheme="minorHAnsi" w:hAnsiTheme="minorHAnsi" w:cstheme="minorHAnsi"/>
      <w:szCs w:val="44"/>
    </w:rPr>
  </w:style>
  <w:style w:type="paragraph" w:customStyle="1" w:styleId="Heading3notnumbered">
    <w:name w:val="Heading 3 not numbered"/>
    <w:basedOn w:val="Heading3"/>
    <w:next w:val="BodyText"/>
    <w:autoRedefine/>
    <w:uiPriority w:val="1"/>
    <w:qFormat/>
    <w:rsid w:val="002266AC"/>
    <w:pPr>
      <w:numPr>
        <w:ilvl w:val="0"/>
        <w:numId w:val="0"/>
      </w:numPr>
    </w:pPr>
    <w:rPr>
      <w:color w:val="212121"/>
      <w:sz w:val="22"/>
      <w:shd w:val="clear" w:color="auto" w:fill="FFFFFF"/>
    </w:rPr>
  </w:style>
  <w:style w:type="paragraph" w:customStyle="1" w:styleId="Heading2numbered">
    <w:name w:val="Heading 2 numbered"/>
    <w:basedOn w:val="Heading2"/>
    <w:next w:val="BodyText"/>
    <w:uiPriority w:val="1"/>
    <w:qFormat/>
    <w:rsid w:val="00752314"/>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autoRedefine/>
    <w:qFormat/>
    <w:locked/>
    <w:rsid w:val="00E53E38"/>
    <w:pPr>
      <w:spacing w:after="120"/>
    </w:pPr>
    <w:rPr>
      <w:rFonts w:eastAsia="Calibri"/>
      <w:color w:val="000000"/>
    </w:rPr>
  </w:style>
  <w:style w:type="character" w:customStyle="1" w:styleId="BodyTextChar">
    <w:name w:val="Body Text Char"/>
    <w:basedOn w:val="DefaultParagraphFont"/>
    <w:link w:val="BodyText"/>
    <w:locked/>
    <w:rsid w:val="00E53E38"/>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2"/>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locked/>
    <w:rsid w:val="00E251B6"/>
    <w:pPr>
      <w:numPr>
        <w:numId w:val="1"/>
      </w:numPr>
      <w:tabs>
        <w:tab w:val="num" w:pos="1209"/>
      </w:tabs>
      <w:ind w:left="1209"/>
    </w:pPr>
  </w:style>
  <w:style w:type="paragraph" w:styleId="ListBullet5">
    <w:name w:val="List Bullet 5"/>
    <w:basedOn w:val="Normal"/>
    <w:uiPriority w:val="99"/>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1"/>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locked/>
    <w:rsid w:val="00AD275A"/>
    <w:rPr>
      <w:rFonts w:cs="Times New Roman"/>
      <w:sz w:val="16"/>
      <w:szCs w:val="16"/>
    </w:rPr>
  </w:style>
  <w:style w:type="paragraph" w:styleId="CommentText">
    <w:name w:val="annotation text"/>
    <w:basedOn w:val="Normal"/>
    <w:link w:val="CommentTextChar"/>
    <w:locked/>
    <w:rsid w:val="00AD275A"/>
    <w:rPr>
      <w:sz w:val="20"/>
      <w:szCs w:val="20"/>
    </w:rPr>
  </w:style>
  <w:style w:type="character" w:customStyle="1" w:styleId="CommentTextChar">
    <w:name w:val="Comment Text Char"/>
    <w:basedOn w:val="DefaultParagraphFont"/>
    <w:link w:val="CommentText"/>
    <w:rsid w:val="00DB55B9"/>
    <w:rPr>
      <w:rFonts w:eastAsia="Calibri"/>
      <w:color w:val="000000"/>
      <w:sz w:val="20"/>
      <w:szCs w:val="20"/>
    </w:rPr>
  </w:style>
  <w:style w:type="paragraph" w:styleId="CommentSubject">
    <w:name w:val="annotation subject"/>
    <w:basedOn w:val="CommentText"/>
    <w:next w:val="CommentText"/>
    <w:link w:val="CommentSubjectChar"/>
    <w:semiHidden/>
    <w:locked/>
    <w:rsid w:val="00AD275A"/>
    <w:rPr>
      <w:b/>
      <w:bCs/>
    </w:rPr>
  </w:style>
  <w:style w:type="character" w:customStyle="1" w:styleId="CommentSubjectChar">
    <w:name w:val="Comment Subject Char"/>
    <w:basedOn w:val="CommentTextChar"/>
    <w:link w:val="CommentSubject"/>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locked/>
    <w:rsid w:val="00AD275A"/>
    <w:rPr>
      <w:rFonts w:cs="Times New Roman"/>
      <w:vertAlign w:val="superscript"/>
    </w:rPr>
  </w:style>
  <w:style w:type="paragraph" w:styleId="EndnoteText">
    <w:name w:val="endnote text"/>
    <w:basedOn w:val="Normal"/>
    <w:link w:val="EndnoteTextChar"/>
    <w:locked/>
    <w:rsid w:val="00AD275A"/>
    <w:rPr>
      <w:sz w:val="20"/>
      <w:szCs w:val="20"/>
    </w:rPr>
  </w:style>
  <w:style w:type="character" w:customStyle="1" w:styleId="EndnoteTextChar">
    <w:name w:val="Endnote Text Char"/>
    <w:basedOn w:val="DefaultParagraphFont"/>
    <w:link w:val="EndnoteText"/>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39"/>
    <w:rsid w:val="00AD275A"/>
    <w:pPr>
      <w:ind w:left="880"/>
    </w:pPr>
  </w:style>
  <w:style w:type="paragraph" w:styleId="TOC6">
    <w:name w:val="toc 6"/>
    <w:basedOn w:val="Normal"/>
    <w:next w:val="Normal"/>
    <w:autoRedefine/>
    <w:uiPriority w:val="39"/>
    <w:rsid w:val="00AD275A"/>
    <w:pPr>
      <w:ind w:left="1100"/>
    </w:pPr>
  </w:style>
  <w:style w:type="paragraph" w:styleId="TOC7">
    <w:name w:val="toc 7"/>
    <w:basedOn w:val="Normal"/>
    <w:next w:val="Normal"/>
    <w:autoRedefine/>
    <w:uiPriority w:val="39"/>
    <w:rsid w:val="00AD275A"/>
    <w:pPr>
      <w:ind w:left="1320"/>
    </w:pPr>
  </w:style>
  <w:style w:type="paragraph" w:styleId="TOC8">
    <w:name w:val="toc 8"/>
    <w:basedOn w:val="Normal"/>
    <w:next w:val="Normal"/>
    <w:autoRedefine/>
    <w:uiPriority w:val="39"/>
    <w:rsid w:val="00AD275A"/>
    <w:pPr>
      <w:ind w:left="1540"/>
    </w:p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ind w:left="1134" w:hanging="1134"/>
    </w:pPr>
  </w:style>
  <w:style w:type="paragraph" w:customStyle="1" w:styleId="AppendixHeading3">
    <w:name w:val="Appendix Heading 3"/>
    <w:basedOn w:val="Heading3"/>
    <w:next w:val="BodyText"/>
    <w:uiPriority w:val="11"/>
    <w:qFormat/>
    <w:rsid w:val="00C80108"/>
    <w:pPr>
      <w:numPr>
        <w:numId w:val="14"/>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aliases w:val="Recommendation,List Paragraph1,table text,bullets"/>
    <w:basedOn w:val="Normal"/>
    <w:link w:val="ListParagraphChar"/>
    <w:autoRedefine/>
    <w:uiPriority w:val="34"/>
    <w:qFormat/>
    <w:rsid w:val="004D73FA"/>
    <w:pPr>
      <w:numPr>
        <w:numId w:val="58"/>
      </w:numPr>
      <w:spacing w:before="120" w:after="100" w:line="264" w:lineRule="auto"/>
      <w:contextualSpacing/>
    </w:pPr>
    <w:rPr>
      <w:sz w:val="24"/>
      <w:szCs w:val="24"/>
    </w:rPr>
  </w:style>
  <w:style w:type="character" w:styleId="IntenseEmphasis">
    <w:name w:val="Intense Emphasis"/>
    <w:basedOn w:val="DefaultParagraphFont"/>
    <w:uiPriority w:val="21"/>
    <w:semiHidden/>
    <w:qFormat/>
    <w:rsid w:val="00A65678"/>
    <w:rPr>
      <w:b/>
      <w:bCs/>
      <w:i/>
      <w:iCs/>
      <w:color w:val="00313C" w:themeColor="accent2"/>
    </w:rPr>
  </w:style>
  <w:style w:type="character" w:styleId="SubtleEmphasis">
    <w:name w:val="Subtle Emphasis"/>
    <w:basedOn w:val="DefaultParagraphFont"/>
    <w:uiPriority w:val="19"/>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313C"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8A11B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8A11B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595E34"/>
    <w:pPr>
      <w:numPr>
        <w:numId w:val="17"/>
      </w:numPr>
      <w:spacing w:before="0" w:after="0"/>
      <w:ind w:left="454" w:hanging="227"/>
      <w:contextualSpacing/>
    </w:pPr>
  </w:style>
  <w:style w:type="character" w:customStyle="1" w:styleId="ListParagraphChar">
    <w:name w:val="List Paragraph Char"/>
    <w:aliases w:val="Recommendation Char,List Paragraph1 Char,table text Char,bullets Char"/>
    <w:basedOn w:val="DefaultParagraphFont"/>
    <w:link w:val="ListParagraph"/>
    <w:uiPriority w:val="34"/>
    <w:rsid w:val="004D73FA"/>
    <w:rPr>
      <w:rFonts w:eastAsia="Calibri"/>
      <w:color w:val="000000"/>
      <w:sz w:val="24"/>
      <w:szCs w:val="24"/>
    </w:rPr>
  </w:style>
  <w:style w:type="table" w:styleId="LightShading-Accent1">
    <w:name w:val="Light Shading Accent 1"/>
    <w:basedOn w:val="TableNormal"/>
    <w:uiPriority w:val="60"/>
    <w:rsid w:val="005006A0"/>
    <w:rPr>
      <w:rFonts w:asciiTheme="minorHAnsi" w:hAnsiTheme="minorHAnsi" w:cstheme="minorBidi"/>
      <w:color w:val="007E9A" w:themeColor="accent1" w:themeShade="BF"/>
      <w:lang w:eastAsia="en-US"/>
    </w:rPr>
    <w:tblPr>
      <w:tblStyleRowBandSize w:val="1"/>
      <w:tblStyleColBandSize w:val="1"/>
      <w:tblBorders>
        <w:top w:val="single" w:sz="8" w:space="0" w:color="00A9CE" w:themeColor="accent1"/>
        <w:bottom w:val="single" w:sz="8" w:space="0" w:color="00A9CE" w:themeColor="accent1"/>
      </w:tblBorders>
    </w:tblPr>
    <w:tblStylePr w:type="firstRow">
      <w:pPr>
        <w:spacing w:before="0" w:after="0" w:line="240" w:lineRule="auto"/>
      </w:pPr>
      <w:rPr>
        <w:b/>
        <w:bCs/>
      </w:rPr>
      <w:tblPr/>
      <w:tcPr>
        <w:tcBorders>
          <w:top w:val="single" w:sz="8" w:space="0" w:color="00A9CE" w:themeColor="accent1"/>
          <w:left w:val="nil"/>
          <w:bottom w:val="single" w:sz="8" w:space="0" w:color="00A9CE" w:themeColor="accent1"/>
          <w:right w:val="nil"/>
          <w:insideH w:val="nil"/>
          <w:insideV w:val="nil"/>
        </w:tcBorders>
      </w:tcPr>
    </w:tblStylePr>
    <w:tblStylePr w:type="lastRow">
      <w:pPr>
        <w:spacing w:before="0" w:after="0" w:line="240" w:lineRule="auto"/>
      </w:pPr>
      <w:rPr>
        <w:b/>
        <w:bCs/>
      </w:rPr>
      <w:tblPr/>
      <w:tcPr>
        <w:tcBorders>
          <w:top w:val="single" w:sz="8" w:space="0" w:color="00A9CE" w:themeColor="accent1"/>
          <w:left w:val="nil"/>
          <w:bottom w:val="single" w:sz="8" w:space="0" w:color="00A9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F1FF" w:themeFill="accent1" w:themeFillTint="3F"/>
      </w:tcPr>
    </w:tblStylePr>
    <w:tblStylePr w:type="band1Horz">
      <w:tblPr/>
      <w:tcPr>
        <w:tcBorders>
          <w:left w:val="nil"/>
          <w:right w:val="nil"/>
          <w:insideH w:val="nil"/>
          <w:insideV w:val="nil"/>
        </w:tcBorders>
        <w:shd w:val="clear" w:color="auto" w:fill="B3F1FF" w:themeFill="accent1" w:themeFillTint="3F"/>
      </w:tcPr>
    </w:tblStylePr>
  </w:style>
  <w:style w:type="table" w:customStyle="1" w:styleId="GridTable5Dark-Accent51">
    <w:name w:val="Grid Table 5 Dark - Accent 51"/>
    <w:basedOn w:val="TableNormal"/>
    <w:uiPriority w:val="50"/>
    <w:rsid w:val="00BE7F02"/>
    <w:rPr>
      <w:rFonts w:asciiTheme="minorHAnsi"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E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AE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AE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AE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AEE5" w:themeFill="accent5"/>
      </w:tcPr>
    </w:tblStylePr>
    <w:tblStylePr w:type="band1Vert">
      <w:tblPr/>
      <w:tcPr>
        <w:shd w:val="clear" w:color="auto" w:fill="D8DEF4" w:themeFill="accent5" w:themeFillTint="66"/>
      </w:tcPr>
    </w:tblStylePr>
    <w:tblStylePr w:type="band1Horz">
      <w:tblPr/>
      <w:tcPr>
        <w:shd w:val="clear" w:color="auto" w:fill="D8DEF4" w:themeFill="accent5" w:themeFillTint="66"/>
      </w:tcPr>
    </w:tblStylePr>
  </w:style>
  <w:style w:type="table" w:customStyle="1" w:styleId="ListTable4-Accent51">
    <w:name w:val="List Table 4 - Accent 51"/>
    <w:basedOn w:val="TableNormal"/>
    <w:uiPriority w:val="49"/>
    <w:rsid w:val="00BE7F02"/>
    <w:rPr>
      <w:rFonts w:asciiTheme="minorHAnsi" w:hAnsiTheme="minorHAnsi" w:cstheme="minorBidi"/>
      <w:lang w:eastAsia="en-US"/>
    </w:rPr>
    <w:tblPr>
      <w:tblStyleRowBandSize w:val="1"/>
      <w:tblStyleColBandSize w:val="1"/>
      <w:tblBorders>
        <w:top w:val="single" w:sz="4" w:space="0" w:color="C5CEEF" w:themeColor="accent5" w:themeTint="99"/>
        <w:left w:val="single" w:sz="4" w:space="0" w:color="C5CEEF" w:themeColor="accent5" w:themeTint="99"/>
        <w:bottom w:val="single" w:sz="4" w:space="0" w:color="C5CEEF" w:themeColor="accent5" w:themeTint="99"/>
        <w:right w:val="single" w:sz="4" w:space="0" w:color="C5CEEF" w:themeColor="accent5" w:themeTint="99"/>
        <w:insideH w:val="single" w:sz="4" w:space="0" w:color="C5CEEF" w:themeColor="accent5" w:themeTint="99"/>
      </w:tblBorders>
    </w:tblPr>
    <w:tblStylePr w:type="firstRow">
      <w:rPr>
        <w:b/>
        <w:bCs/>
        <w:color w:val="FFFFFF" w:themeColor="background1"/>
      </w:rPr>
      <w:tblPr/>
      <w:tcPr>
        <w:tcBorders>
          <w:top w:val="single" w:sz="4" w:space="0" w:color="9FAEE5" w:themeColor="accent5"/>
          <w:left w:val="single" w:sz="4" w:space="0" w:color="9FAEE5" w:themeColor="accent5"/>
          <w:bottom w:val="single" w:sz="4" w:space="0" w:color="9FAEE5" w:themeColor="accent5"/>
          <w:right w:val="single" w:sz="4" w:space="0" w:color="9FAEE5" w:themeColor="accent5"/>
          <w:insideH w:val="nil"/>
        </w:tcBorders>
        <w:shd w:val="clear" w:color="auto" w:fill="9FAEE5" w:themeFill="accent5"/>
      </w:tcPr>
    </w:tblStylePr>
    <w:tblStylePr w:type="lastRow">
      <w:rPr>
        <w:b/>
        <w:bCs/>
      </w:rPr>
      <w:tblPr/>
      <w:tcPr>
        <w:tcBorders>
          <w:top w:val="double" w:sz="4" w:space="0" w:color="C5CEEF" w:themeColor="accent5" w:themeTint="99"/>
        </w:tcBorders>
      </w:tcPr>
    </w:tblStylePr>
    <w:tblStylePr w:type="firstCol">
      <w:rPr>
        <w:b/>
        <w:bCs/>
      </w:rPr>
    </w:tblStylePr>
    <w:tblStylePr w:type="lastCol">
      <w:rPr>
        <w:b/>
        <w:bCs/>
      </w:rPr>
    </w:tblStylePr>
    <w:tblStylePr w:type="band1Vert">
      <w:tblPr/>
      <w:tcPr>
        <w:shd w:val="clear" w:color="auto" w:fill="EBEEF9" w:themeFill="accent5" w:themeFillTint="33"/>
      </w:tcPr>
    </w:tblStylePr>
    <w:tblStylePr w:type="band1Horz">
      <w:tblPr/>
      <w:tcPr>
        <w:shd w:val="clear" w:color="auto" w:fill="EBEEF9" w:themeFill="accent5" w:themeFillTint="33"/>
      </w:tcPr>
    </w:tblStylePr>
  </w:style>
  <w:style w:type="table" w:customStyle="1" w:styleId="GridTable4-Accent51">
    <w:name w:val="Grid Table 4 - Accent 51"/>
    <w:basedOn w:val="TableNormal"/>
    <w:uiPriority w:val="49"/>
    <w:rsid w:val="00BE7F02"/>
    <w:rPr>
      <w:rFonts w:asciiTheme="minorHAnsi" w:hAnsiTheme="minorHAnsi" w:cstheme="minorBidi"/>
      <w:lang w:eastAsia="en-US"/>
    </w:rPr>
    <w:tblPr>
      <w:tblStyleRowBandSize w:val="1"/>
      <w:tblStyleColBandSize w:val="1"/>
      <w:tblBorders>
        <w:top w:val="single" w:sz="4" w:space="0" w:color="C5CEEF" w:themeColor="accent5" w:themeTint="99"/>
        <w:left w:val="single" w:sz="4" w:space="0" w:color="C5CEEF" w:themeColor="accent5" w:themeTint="99"/>
        <w:bottom w:val="single" w:sz="4" w:space="0" w:color="C5CEEF" w:themeColor="accent5" w:themeTint="99"/>
        <w:right w:val="single" w:sz="4" w:space="0" w:color="C5CEEF" w:themeColor="accent5" w:themeTint="99"/>
        <w:insideH w:val="single" w:sz="4" w:space="0" w:color="C5CEEF" w:themeColor="accent5" w:themeTint="99"/>
        <w:insideV w:val="single" w:sz="4" w:space="0" w:color="C5CEEF" w:themeColor="accent5" w:themeTint="99"/>
      </w:tblBorders>
    </w:tblPr>
    <w:tblStylePr w:type="firstRow">
      <w:rPr>
        <w:b/>
        <w:bCs/>
        <w:color w:val="FFFFFF" w:themeColor="background1"/>
      </w:rPr>
      <w:tblPr/>
      <w:tcPr>
        <w:tcBorders>
          <w:top w:val="single" w:sz="4" w:space="0" w:color="9FAEE5" w:themeColor="accent5"/>
          <w:left w:val="single" w:sz="4" w:space="0" w:color="9FAEE5" w:themeColor="accent5"/>
          <w:bottom w:val="single" w:sz="4" w:space="0" w:color="9FAEE5" w:themeColor="accent5"/>
          <w:right w:val="single" w:sz="4" w:space="0" w:color="9FAEE5" w:themeColor="accent5"/>
          <w:insideH w:val="nil"/>
          <w:insideV w:val="nil"/>
        </w:tcBorders>
        <w:shd w:val="clear" w:color="auto" w:fill="9FAEE5" w:themeFill="accent5"/>
      </w:tcPr>
    </w:tblStylePr>
    <w:tblStylePr w:type="lastRow">
      <w:rPr>
        <w:b/>
        <w:bCs/>
      </w:rPr>
      <w:tblPr/>
      <w:tcPr>
        <w:tcBorders>
          <w:top w:val="double" w:sz="4" w:space="0" w:color="9FAEE5" w:themeColor="accent5"/>
        </w:tcBorders>
      </w:tcPr>
    </w:tblStylePr>
    <w:tblStylePr w:type="firstCol">
      <w:rPr>
        <w:b/>
        <w:bCs/>
      </w:rPr>
    </w:tblStylePr>
    <w:tblStylePr w:type="lastCol">
      <w:rPr>
        <w:b/>
        <w:bCs/>
      </w:rPr>
    </w:tblStylePr>
    <w:tblStylePr w:type="band1Vert">
      <w:tblPr/>
      <w:tcPr>
        <w:shd w:val="clear" w:color="auto" w:fill="EBEEF9" w:themeFill="accent5" w:themeFillTint="33"/>
      </w:tcPr>
    </w:tblStylePr>
    <w:tblStylePr w:type="band1Horz">
      <w:tblPr/>
      <w:tcPr>
        <w:shd w:val="clear" w:color="auto" w:fill="EBEEF9" w:themeFill="accent5" w:themeFillTint="33"/>
      </w:tcPr>
    </w:tblStylePr>
  </w:style>
  <w:style w:type="table" w:customStyle="1" w:styleId="ListTable3-Accent11">
    <w:name w:val="List Table 3 - Accent 11"/>
    <w:basedOn w:val="TableNormal"/>
    <w:uiPriority w:val="48"/>
    <w:rsid w:val="005B5412"/>
    <w:tblPr>
      <w:tblStyleRowBandSize w:val="1"/>
      <w:tblStyleColBandSize w:val="1"/>
      <w:tblBorders>
        <w:top w:val="single" w:sz="4" w:space="0" w:color="00A9CE" w:themeColor="accent1"/>
        <w:left w:val="single" w:sz="4" w:space="0" w:color="00A9CE" w:themeColor="accent1"/>
        <w:bottom w:val="single" w:sz="4" w:space="0" w:color="00A9CE" w:themeColor="accent1"/>
        <w:right w:val="single" w:sz="4" w:space="0" w:color="00A9CE" w:themeColor="accent1"/>
      </w:tblBorders>
    </w:tblPr>
    <w:tblStylePr w:type="firstRow">
      <w:rPr>
        <w:b/>
        <w:bCs/>
        <w:color w:val="FFFFFF" w:themeColor="background1"/>
      </w:rPr>
      <w:tblPr/>
      <w:tcPr>
        <w:shd w:val="clear" w:color="auto" w:fill="00A9CE" w:themeFill="accent1"/>
      </w:tcPr>
    </w:tblStylePr>
    <w:tblStylePr w:type="lastRow">
      <w:rPr>
        <w:b/>
        <w:bCs/>
      </w:rPr>
      <w:tblPr/>
      <w:tcPr>
        <w:tcBorders>
          <w:top w:val="double" w:sz="4" w:space="0" w:color="00A9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CE" w:themeColor="accent1"/>
          <w:right w:val="single" w:sz="4" w:space="0" w:color="00A9CE" w:themeColor="accent1"/>
        </w:tcBorders>
      </w:tcPr>
    </w:tblStylePr>
    <w:tblStylePr w:type="band1Horz">
      <w:tblPr/>
      <w:tcPr>
        <w:tcBorders>
          <w:top w:val="single" w:sz="4" w:space="0" w:color="00A9CE" w:themeColor="accent1"/>
          <w:bottom w:val="single" w:sz="4" w:space="0" w:color="00A9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CE" w:themeColor="accent1"/>
          <w:left w:val="nil"/>
        </w:tcBorders>
      </w:tcPr>
    </w:tblStylePr>
    <w:tblStylePr w:type="swCell">
      <w:tblPr/>
      <w:tcPr>
        <w:tcBorders>
          <w:top w:val="double" w:sz="4" w:space="0" w:color="00A9CE" w:themeColor="accent1"/>
          <w:right w:val="nil"/>
        </w:tcBorders>
      </w:tcPr>
    </w:tblStylePr>
  </w:style>
  <w:style w:type="table" w:customStyle="1" w:styleId="GridTable5Dark-Accent11">
    <w:name w:val="Grid Table 5 Dark - Accent 11"/>
    <w:basedOn w:val="TableNormal"/>
    <w:uiPriority w:val="50"/>
    <w:rsid w:val="005B54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9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9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9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9CE" w:themeFill="accent1"/>
      </w:tcPr>
    </w:tblStylePr>
    <w:tblStylePr w:type="band1Vert">
      <w:tblPr/>
      <w:tcPr>
        <w:shd w:val="clear" w:color="auto" w:fill="85E9FF" w:themeFill="accent1" w:themeFillTint="66"/>
      </w:tcPr>
    </w:tblStylePr>
    <w:tblStylePr w:type="band1Horz">
      <w:tblPr/>
      <w:tcPr>
        <w:shd w:val="clear" w:color="auto" w:fill="85E9FF" w:themeFill="accent1" w:themeFillTint="66"/>
      </w:tcPr>
    </w:tblStylePr>
  </w:style>
  <w:style w:type="table" w:customStyle="1" w:styleId="GridTable5Dark1">
    <w:name w:val="Grid Table 5 Dark1"/>
    <w:basedOn w:val="TableNormal"/>
    <w:uiPriority w:val="50"/>
    <w:rsid w:val="005B54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31">
    <w:name w:val="Grid Table 5 Dark - Accent 31"/>
    <w:basedOn w:val="TableNormal"/>
    <w:uiPriority w:val="50"/>
    <w:rsid w:val="005B54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6C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E2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E2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E2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E20" w:themeFill="accent3"/>
      </w:tcPr>
    </w:tblStylePr>
    <w:tblStylePr w:type="band1Vert">
      <w:tblPr/>
      <w:tcPr>
        <w:shd w:val="clear" w:color="auto" w:fill="CAEE9C" w:themeFill="accent3" w:themeFillTint="66"/>
      </w:tcPr>
    </w:tblStylePr>
    <w:tblStylePr w:type="band1Horz">
      <w:tblPr/>
      <w:tcPr>
        <w:shd w:val="clear" w:color="auto" w:fill="CAEE9C" w:themeFill="accent3" w:themeFillTint="66"/>
      </w:tcPr>
    </w:tblStylePr>
  </w:style>
  <w:style w:type="table" w:customStyle="1" w:styleId="PlainTable41">
    <w:name w:val="Plain Table 41"/>
    <w:basedOn w:val="TableNormal"/>
    <w:uiPriority w:val="99"/>
    <w:rsid w:val="00A738A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ppendixheading1">
    <w:name w:val="Appendix heading 1"/>
    <w:basedOn w:val="Heading1"/>
    <w:next w:val="BodyText"/>
    <w:link w:val="Appendixheading1Char"/>
    <w:qFormat/>
    <w:rsid w:val="007229C5"/>
    <w:pPr>
      <w:numPr>
        <w:numId w:val="0"/>
      </w:numPr>
    </w:pPr>
  </w:style>
  <w:style w:type="character" w:customStyle="1" w:styleId="Appendixheading1Char">
    <w:name w:val="Appendix heading 1 Char"/>
    <w:basedOn w:val="Heading1Char"/>
    <w:link w:val="Appendixheading1"/>
    <w:rsid w:val="007229C5"/>
    <w:rPr>
      <w:rFonts w:eastAsiaTheme="majorEastAsia" w:cstheme="majorBidi"/>
      <w:b/>
      <w:bCs/>
      <w:color w:val="00313C" w:themeColor="accent2"/>
      <w:sz w:val="44"/>
      <w:szCs w:val="28"/>
    </w:rPr>
  </w:style>
  <w:style w:type="numbering" w:customStyle="1" w:styleId="BulletList">
    <w:name w:val="Bullet List"/>
    <w:uiPriority w:val="99"/>
    <w:rsid w:val="00776075"/>
    <w:pPr>
      <w:numPr>
        <w:numId w:val="18"/>
      </w:numPr>
    </w:pPr>
  </w:style>
  <w:style w:type="paragraph" w:customStyle="1" w:styleId="xl65">
    <w:name w:val="xl65"/>
    <w:basedOn w:val="Normal"/>
    <w:rsid w:val="002B0837"/>
    <w:pPr>
      <w:spacing w:before="100" w:beforeAutospacing="1" w:after="100" w:afterAutospacing="1"/>
      <w:textAlignment w:val="center"/>
    </w:pPr>
    <w:rPr>
      <w:rFonts w:ascii="Times New Roman" w:eastAsia="Times New Roman" w:hAnsi="Times New Roman"/>
      <w:color w:val="auto"/>
      <w:sz w:val="24"/>
      <w:szCs w:val="24"/>
    </w:rPr>
  </w:style>
  <w:style w:type="paragraph" w:customStyle="1" w:styleId="xl66">
    <w:name w:val="xl66"/>
    <w:basedOn w:val="Normal"/>
    <w:rsid w:val="002B0837"/>
    <w:pPr>
      <w:spacing w:before="100" w:beforeAutospacing="1" w:after="100" w:afterAutospacing="1"/>
    </w:pPr>
    <w:rPr>
      <w:rFonts w:ascii="Times New Roman" w:eastAsia="Times New Roman" w:hAnsi="Times New Roman"/>
      <w:color w:val="auto"/>
      <w:sz w:val="24"/>
      <w:szCs w:val="24"/>
    </w:rPr>
  </w:style>
  <w:style w:type="paragraph" w:customStyle="1" w:styleId="xl67">
    <w:name w:val="xl67"/>
    <w:basedOn w:val="Normal"/>
    <w:rsid w:val="002B0837"/>
    <w:pPr>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68">
    <w:name w:val="xl68"/>
    <w:basedOn w:val="Normal"/>
    <w:rsid w:val="002B0837"/>
    <w:pPr>
      <w:shd w:val="clear" w:color="000000" w:fill="F2F2F2"/>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69">
    <w:name w:val="xl69"/>
    <w:basedOn w:val="Normal"/>
    <w:rsid w:val="002B0837"/>
    <w:pPr>
      <w:shd w:val="clear" w:color="000000" w:fill="DAEEF3"/>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70">
    <w:name w:val="xl70"/>
    <w:basedOn w:val="Normal"/>
    <w:rsid w:val="002B0837"/>
    <w:pPr>
      <w:spacing w:before="100" w:beforeAutospacing="1" w:after="100" w:afterAutospacing="1"/>
      <w:jc w:val="center"/>
    </w:pPr>
    <w:rPr>
      <w:rFonts w:ascii="Times New Roman" w:eastAsia="Times New Roman" w:hAnsi="Times New Roman"/>
      <w:color w:val="auto"/>
      <w:sz w:val="24"/>
      <w:szCs w:val="24"/>
    </w:rPr>
  </w:style>
  <w:style w:type="paragraph" w:customStyle="1" w:styleId="xl71">
    <w:name w:val="xl71"/>
    <w:basedOn w:val="Normal"/>
    <w:rsid w:val="002B0837"/>
    <w:pPr>
      <w:spacing w:before="100" w:beforeAutospacing="1" w:after="100" w:afterAutospacing="1"/>
      <w:jc w:val="center"/>
    </w:pPr>
    <w:rPr>
      <w:rFonts w:ascii="Times New Roman" w:eastAsia="Times New Roman" w:hAnsi="Times New Roman"/>
      <w:color w:val="auto"/>
      <w:sz w:val="24"/>
      <w:szCs w:val="24"/>
    </w:rPr>
  </w:style>
  <w:style w:type="paragraph" w:customStyle="1" w:styleId="xl72">
    <w:name w:val="xl72"/>
    <w:basedOn w:val="Normal"/>
    <w:rsid w:val="002B0837"/>
    <w:pPr>
      <w:spacing w:before="100" w:beforeAutospacing="1" w:after="100" w:afterAutospacing="1"/>
      <w:jc w:val="center"/>
    </w:pPr>
    <w:rPr>
      <w:rFonts w:ascii="Times New Roman" w:eastAsia="Times New Roman" w:hAnsi="Times New Roman"/>
      <w:color w:val="auto"/>
      <w:sz w:val="24"/>
      <w:szCs w:val="24"/>
    </w:rPr>
  </w:style>
  <w:style w:type="paragraph" w:customStyle="1" w:styleId="xl73">
    <w:name w:val="xl73"/>
    <w:basedOn w:val="Normal"/>
    <w:rsid w:val="002B0837"/>
    <w:pPr>
      <w:spacing w:before="100" w:beforeAutospacing="1" w:after="100" w:afterAutospacing="1"/>
      <w:textAlignment w:val="center"/>
    </w:pPr>
    <w:rPr>
      <w:rFonts w:ascii="Times New Roman" w:eastAsia="Times New Roman" w:hAnsi="Times New Roman"/>
      <w:color w:val="auto"/>
      <w:sz w:val="24"/>
      <w:szCs w:val="24"/>
    </w:rPr>
  </w:style>
  <w:style w:type="paragraph" w:customStyle="1" w:styleId="xl74">
    <w:name w:val="xl74"/>
    <w:basedOn w:val="Normal"/>
    <w:rsid w:val="002B0837"/>
    <w:pPr>
      <w:shd w:val="clear" w:color="000000" w:fill="D9D9D9"/>
      <w:spacing w:before="100" w:beforeAutospacing="1" w:after="100" w:afterAutospacing="1"/>
    </w:pPr>
    <w:rPr>
      <w:rFonts w:ascii="Times New Roman" w:eastAsia="Times New Roman" w:hAnsi="Times New Roman"/>
      <w:color w:val="auto"/>
      <w:sz w:val="24"/>
      <w:szCs w:val="24"/>
    </w:rPr>
  </w:style>
  <w:style w:type="paragraph" w:customStyle="1" w:styleId="xl75">
    <w:name w:val="xl75"/>
    <w:basedOn w:val="Normal"/>
    <w:rsid w:val="002B0837"/>
    <w:pPr>
      <w:shd w:val="clear" w:color="000000"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6">
    <w:name w:val="xl76"/>
    <w:basedOn w:val="Normal"/>
    <w:rsid w:val="002B0837"/>
    <w:pPr>
      <w:shd w:val="clear" w:color="000000"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7">
    <w:name w:val="xl77"/>
    <w:basedOn w:val="Normal"/>
    <w:rsid w:val="002B0837"/>
    <w:pPr>
      <w:shd w:val="clear" w:color="000000"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8">
    <w:name w:val="xl78"/>
    <w:basedOn w:val="Normal"/>
    <w:rsid w:val="002B0837"/>
    <w:pPr>
      <w:shd w:val="clear" w:color="000000"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9">
    <w:name w:val="xl79"/>
    <w:basedOn w:val="Normal"/>
    <w:rsid w:val="002B0837"/>
    <w:pPr>
      <w:shd w:val="clear" w:color="000000" w:fill="D9D9D9"/>
      <w:spacing w:before="100" w:beforeAutospacing="1" w:after="100" w:afterAutospacing="1"/>
    </w:pPr>
    <w:rPr>
      <w:rFonts w:ascii="Times New Roman" w:eastAsia="Times New Roman" w:hAnsi="Times New Roman"/>
      <w:color w:val="auto"/>
      <w:sz w:val="24"/>
      <w:szCs w:val="24"/>
    </w:rPr>
  </w:style>
  <w:style w:type="paragraph" w:customStyle="1" w:styleId="xl80">
    <w:name w:val="xl80"/>
    <w:basedOn w:val="Normal"/>
    <w:rsid w:val="002B0837"/>
    <w:pPr>
      <w:spacing w:before="100" w:beforeAutospacing="1" w:after="100" w:afterAutospacing="1"/>
      <w:jc w:val="center"/>
    </w:pPr>
    <w:rPr>
      <w:rFonts w:ascii="Times New Roman" w:eastAsia="Times New Roman" w:hAnsi="Times New Roman"/>
      <w:color w:val="auto"/>
      <w:sz w:val="24"/>
      <w:szCs w:val="24"/>
    </w:rPr>
  </w:style>
  <w:style w:type="paragraph" w:customStyle="1" w:styleId="subheading">
    <w:name w:val="subheading"/>
    <w:basedOn w:val="Normal"/>
    <w:link w:val="subheadingChar"/>
    <w:qFormat/>
    <w:rsid w:val="002F7E8B"/>
    <w:pPr>
      <w:spacing w:before="120"/>
    </w:pPr>
    <w:rPr>
      <w:rFonts w:eastAsiaTheme="minorHAnsi"/>
      <w:color w:val="auto"/>
      <w:sz w:val="24"/>
      <w:szCs w:val="24"/>
      <w:lang w:eastAsia="en-US"/>
    </w:rPr>
  </w:style>
  <w:style w:type="character" w:customStyle="1" w:styleId="subheadingChar">
    <w:name w:val="subheading Char"/>
    <w:basedOn w:val="DefaultParagraphFont"/>
    <w:link w:val="subheading"/>
    <w:rsid w:val="002F7E8B"/>
    <w:rPr>
      <w:sz w:val="24"/>
      <w:szCs w:val="24"/>
      <w:lang w:eastAsia="en-US"/>
    </w:rPr>
  </w:style>
  <w:style w:type="paragraph" w:customStyle="1" w:styleId="xl81">
    <w:name w:val="xl81"/>
    <w:basedOn w:val="Normal"/>
    <w:rsid w:val="00F0607A"/>
    <w:pPr>
      <w:spacing w:before="100" w:beforeAutospacing="1" w:after="100" w:afterAutospacing="1"/>
      <w:jc w:val="center"/>
      <w:textAlignment w:val="center"/>
    </w:pPr>
    <w:rPr>
      <w:rFonts w:ascii="Times New Roman" w:eastAsia="Times New Roman" w:hAnsi="Times New Roman"/>
      <w:color w:val="auto"/>
      <w:sz w:val="18"/>
      <w:szCs w:val="18"/>
    </w:rPr>
  </w:style>
  <w:style w:type="paragraph" w:customStyle="1" w:styleId="Articletitle">
    <w:name w:val="Article title"/>
    <w:basedOn w:val="Normal"/>
    <w:next w:val="Normal"/>
    <w:qFormat/>
    <w:rsid w:val="008047AF"/>
    <w:pPr>
      <w:spacing w:before="120" w:line="360" w:lineRule="auto"/>
    </w:pPr>
    <w:rPr>
      <w:rFonts w:ascii="Times New Roman" w:eastAsia="Times New Roman" w:hAnsi="Times New Roman"/>
      <w:b/>
      <w:color w:val="auto"/>
      <w:sz w:val="28"/>
      <w:szCs w:val="24"/>
      <w:lang w:val="en-GB" w:eastAsia="en-GB"/>
    </w:rPr>
  </w:style>
  <w:style w:type="paragraph" w:customStyle="1" w:styleId="Authornames">
    <w:name w:val="Author names"/>
    <w:basedOn w:val="Normal"/>
    <w:next w:val="Normal"/>
    <w:qFormat/>
    <w:rsid w:val="008047AF"/>
    <w:pPr>
      <w:spacing w:before="240" w:line="360" w:lineRule="auto"/>
    </w:pPr>
    <w:rPr>
      <w:rFonts w:ascii="Times New Roman" w:eastAsia="Times New Roman" w:hAnsi="Times New Roman"/>
      <w:color w:val="auto"/>
      <w:sz w:val="28"/>
      <w:szCs w:val="24"/>
      <w:lang w:val="en-GB" w:eastAsia="en-GB"/>
    </w:rPr>
  </w:style>
  <w:style w:type="paragraph" w:customStyle="1" w:styleId="Affiliation">
    <w:name w:val="Affiliation"/>
    <w:basedOn w:val="Normal"/>
    <w:qFormat/>
    <w:rsid w:val="008047AF"/>
    <w:pPr>
      <w:spacing w:before="240" w:line="360" w:lineRule="auto"/>
    </w:pPr>
    <w:rPr>
      <w:rFonts w:ascii="Times New Roman" w:eastAsia="Times New Roman" w:hAnsi="Times New Roman"/>
      <w:i/>
      <w:color w:val="auto"/>
      <w:sz w:val="24"/>
      <w:szCs w:val="24"/>
      <w:lang w:val="en-GB" w:eastAsia="en-GB"/>
    </w:rPr>
  </w:style>
  <w:style w:type="paragraph" w:customStyle="1" w:styleId="Receiveddates">
    <w:name w:val="Received dates"/>
    <w:basedOn w:val="Affiliation"/>
    <w:next w:val="Normal"/>
    <w:qFormat/>
    <w:rsid w:val="008047AF"/>
  </w:style>
  <w:style w:type="paragraph" w:customStyle="1" w:styleId="Abstract">
    <w:name w:val="Abstract"/>
    <w:basedOn w:val="Normal"/>
    <w:next w:val="Keywords"/>
    <w:qFormat/>
    <w:rsid w:val="008047AF"/>
    <w:pPr>
      <w:spacing w:before="360" w:after="300" w:line="360" w:lineRule="auto"/>
      <w:ind w:left="720" w:right="567"/>
    </w:pPr>
    <w:rPr>
      <w:rFonts w:ascii="Times New Roman" w:eastAsia="Times New Roman" w:hAnsi="Times New Roman"/>
      <w:color w:val="auto"/>
      <w:szCs w:val="24"/>
      <w:lang w:val="en-GB" w:eastAsia="en-GB"/>
    </w:rPr>
  </w:style>
  <w:style w:type="paragraph" w:customStyle="1" w:styleId="Keywords">
    <w:name w:val="Keywords"/>
    <w:basedOn w:val="Normal"/>
    <w:next w:val="Paragraph"/>
    <w:qFormat/>
    <w:rsid w:val="008047AF"/>
    <w:pPr>
      <w:spacing w:before="240" w:after="240" w:line="360" w:lineRule="auto"/>
      <w:ind w:left="720" w:right="567"/>
    </w:pPr>
    <w:rPr>
      <w:rFonts w:ascii="Times New Roman" w:eastAsia="Times New Roman" w:hAnsi="Times New Roman"/>
      <w:color w:val="auto"/>
      <w:szCs w:val="24"/>
      <w:lang w:val="en-GB" w:eastAsia="en-GB"/>
    </w:rPr>
  </w:style>
  <w:style w:type="paragraph" w:customStyle="1" w:styleId="Correspondencedetails">
    <w:name w:val="Correspondence details"/>
    <w:basedOn w:val="Normal"/>
    <w:qFormat/>
    <w:rsid w:val="008047AF"/>
    <w:pPr>
      <w:spacing w:before="240" w:line="360" w:lineRule="auto"/>
    </w:pPr>
    <w:rPr>
      <w:rFonts w:ascii="Times New Roman" w:eastAsia="Times New Roman" w:hAnsi="Times New Roman"/>
      <w:color w:val="auto"/>
      <w:sz w:val="24"/>
      <w:szCs w:val="24"/>
      <w:lang w:val="en-GB" w:eastAsia="en-GB"/>
    </w:rPr>
  </w:style>
  <w:style w:type="paragraph" w:customStyle="1" w:styleId="Displayedquotation">
    <w:name w:val="Displayed quotation"/>
    <w:basedOn w:val="Normal"/>
    <w:qFormat/>
    <w:rsid w:val="008047AF"/>
    <w:pPr>
      <w:tabs>
        <w:tab w:val="left" w:pos="1077"/>
        <w:tab w:val="left" w:pos="1440"/>
        <w:tab w:val="left" w:pos="1797"/>
        <w:tab w:val="left" w:pos="2155"/>
        <w:tab w:val="left" w:pos="2512"/>
      </w:tabs>
      <w:spacing w:before="240" w:after="360" w:line="360" w:lineRule="auto"/>
      <w:ind w:left="709" w:right="425"/>
      <w:contextualSpacing/>
    </w:pPr>
    <w:rPr>
      <w:rFonts w:ascii="Times New Roman" w:eastAsia="Times New Roman" w:hAnsi="Times New Roman"/>
      <w:color w:val="auto"/>
      <w:szCs w:val="24"/>
      <w:lang w:val="en-GB" w:eastAsia="en-GB"/>
    </w:rPr>
  </w:style>
  <w:style w:type="paragraph" w:customStyle="1" w:styleId="Numberedlist">
    <w:name w:val="Numbered list"/>
    <w:basedOn w:val="Paragraph"/>
    <w:next w:val="Paragraph"/>
    <w:autoRedefine/>
    <w:qFormat/>
    <w:rsid w:val="00863C52"/>
    <w:pPr>
      <w:widowControl/>
      <w:numPr>
        <w:numId w:val="21"/>
      </w:numPr>
      <w:spacing w:before="0" w:line="240" w:lineRule="auto"/>
    </w:pPr>
    <w:rPr>
      <w:rFonts w:ascii="Calibri" w:hAnsi="Calibri"/>
      <w:sz w:val="22"/>
    </w:rPr>
  </w:style>
  <w:style w:type="paragraph" w:customStyle="1" w:styleId="Displayedequation">
    <w:name w:val="Displayed equation"/>
    <w:basedOn w:val="Normal"/>
    <w:next w:val="Paragraph"/>
    <w:qFormat/>
    <w:rsid w:val="008047AF"/>
    <w:pPr>
      <w:tabs>
        <w:tab w:val="center" w:pos="4253"/>
        <w:tab w:val="right" w:pos="8222"/>
      </w:tabs>
      <w:spacing w:before="240" w:after="240" w:line="360" w:lineRule="auto"/>
      <w:jc w:val="center"/>
    </w:pPr>
    <w:rPr>
      <w:rFonts w:ascii="Times New Roman" w:eastAsia="Times New Roman" w:hAnsi="Times New Roman"/>
      <w:color w:val="auto"/>
      <w:sz w:val="24"/>
      <w:szCs w:val="24"/>
      <w:lang w:val="en-GB" w:eastAsia="en-GB"/>
    </w:rPr>
  </w:style>
  <w:style w:type="paragraph" w:customStyle="1" w:styleId="Acknowledgements">
    <w:name w:val="Acknowledgements"/>
    <w:basedOn w:val="Normal"/>
    <w:next w:val="Normal"/>
    <w:qFormat/>
    <w:rsid w:val="008047AF"/>
    <w:pPr>
      <w:spacing w:before="120" w:line="360" w:lineRule="auto"/>
    </w:pPr>
    <w:rPr>
      <w:rFonts w:ascii="Times New Roman" w:eastAsia="Times New Roman" w:hAnsi="Times New Roman"/>
      <w:color w:val="auto"/>
      <w:szCs w:val="24"/>
      <w:lang w:val="en-GB" w:eastAsia="en-GB"/>
    </w:rPr>
  </w:style>
  <w:style w:type="paragraph" w:customStyle="1" w:styleId="Tabletitle">
    <w:name w:val="Table title"/>
    <w:basedOn w:val="Normal"/>
    <w:next w:val="Normal"/>
    <w:qFormat/>
    <w:rsid w:val="008047AF"/>
    <w:pPr>
      <w:spacing w:before="240" w:line="360" w:lineRule="auto"/>
    </w:pPr>
    <w:rPr>
      <w:rFonts w:ascii="Times New Roman" w:eastAsia="Times New Roman" w:hAnsi="Times New Roman"/>
      <w:color w:val="auto"/>
      <w:sz w:val="24"/>
      <w:szCs w:val="24"/>
      <w:lang w:val="en-GB" w:eastAsia="en-GB"/>
    </w:rPr>
  </w:style>
  <w:style w:type="paragraph" w:customStyle="1" w:styleId="Figurecaption">
    <w:name w:val="Figure caption"/>
    <w:basedOn w:val="Normal"/>
    <w:next w:val="Normal"/>
    <w:qFormat/>
    <w:rsid w:val="008047AF"/>
    <w:pPr>
      <w:spacing w:before="240" w:line="360" w:lineRule="auto"/>
    </w:pPr>
    <w:rPr>
      <w:rFonts w:ascii="Times New Roman" w:eastAsia="Times New Roman" w:hAnsi="Times New Roman"/>
      <w:color w:val="auto"/>
      <w:sz w:val="24"/>
      <w:szCs w:val="24"/>
      <w:lang w:val="en-GB" w:eastAsia="en-GB"/>
    </w:rPr>
  </w:style>
  <w:style w:type="paragraph" w:customStyle="1" w:styleId="Footnotes">
    <w:name w:val="Footnotes"/>
    <w:basedOn w:val="Normal"/>
    <w:qFormat/>
    <w:rsid w:val="008047AF"/>
    <w:pPr>
      <w:spacing w:before="120" w:line="360" w:lineRule="auto"/>
      <w:ind w:left="482" w:hanging="482"/>
      <w:contextualSpacing/>
    </w:pPr>
    <w:rPr>
      <w:rFonts w:ascii="Times New Roman" w:eastAsia="Times New Roman" w:hAnsi="Times New Roman"/>
      <w:color w:val="auto"/>
      <w:szCs w:val="24"/>
      <w:lang w:val="en-GB" w:eastAsia="en-GB"/>
    </w:rPr>
  </w:style>
  <w:style w:type="paragraph" w:customStyle="1" w:styleId="Notesoncontributors">
    <w:name w:val="Notes on contributors"/>
    <w:basedOn w:val="Normal"/>
    <w:qFormat/>
    <w:rsid w:val="008047AF"/>
    <w:pPr>
      <w:spacing w:before="240" w:line="360" w:lineRule="auto"/>
    </w:pPr>
    <w:rPr>
      <w:rFonts w:ascii="Times New Roman" w:eastAsia="Times New Roman" w:hAnsi="Times New Roman"/>
      <w:color w:val="auto"/>
      <w:szCs w:val="24"/>
      <w:lang w:val="en-GB" w:eastAsia="en-GB"/>
    </w:rPr>
  </w:style>
  <w:style w:type="paragraph" w:customStyle="1" w:styleId="Normalparagraphstyle">
    <w:name w:val="Normal paragraph style"/>
    <w:basedOn w:val="Normal"/>
    <w:next w:val="Normal"/>
    <w:rsid w:val="008047AF"/>
    <w:pPr>
      <w:spacing w:before="120" w:line="360" w:lineRule="auto"/>
    </w:pPr>
    <w:rPr>
      <w:rFonts w:ascii="Times New Roman" w:eastAsia="Times New Roman" w:hAnsi="Times New Roman"/>
      <w:color w:val="auto"/>
      <w:sz w:val="24"/>
      <w:szCs w:val="24"/>
      <w:lang w:val="en-GB" w:eastAsia="en-GB"/>
    </w:rPr>
  </w:style>
  <w:style w:type="paragraph" w:customStyle="1" w:styleId="Paragraph">
    <w:name w:val="Paragraph"/>
    <w:basedOn w:val="Normal"/>
    <w:next w:val="Newparagraph"/>
    <w:qFormat/>
    <w:rsid w:val="008047AF"/>
    <w:pPr>
      <w:widowControl w:val="0"/>
      <w:spacing w:before="240" w:line="360" w:lineRule="auto"/>
    </w:pPr>
    <w:rPr>
      <w:rFonts w:ascii="Times New Roman" w:eastAsia="Times New Roman" w:hAnsi="Times New Roman"/>
      <w:color w:val="auto"/>
      <w:sz w:val="24"/>
      <w:szCs w:val="24"/>
      <w:lang w:val="en-GB" w:eastAsia="en-GB"/>
    </w:rPr>
  </w:style>
  <w:style w:type="paragraph" w:customStyle="1" w:styleId="Newparagraph">
    <w:name w:val="New paragraph"/>
    <w:basedOn w:val="Normal"/>
    <w:qFormat/>
    <w:rsid w:val="008047AF"/>
    <w:pPr>
      <w:spacing w:before="120" w:line="360" w:lineRule="auto"/>
      <w:ind w:firstLine="720"/>
    </w:pPr>
    <w:rPr>
      <w:rFonts w:ascii="Times New Roman" w:eastAsia="Times New Roman" w:hAnsi="Times New Roman"/>
      <w:color w:val="auto"/>
      <w:sz w:val="24"/>
      <w:szCs w:val="24"/>
      <w:lang w:val="en-GB" w:eastAsia="en-GB"/>
    </w:rPr>
  </w:style>
  <w:style w:type="paragraph" w:customStyle="1" w:styleId="References">
    <w:name w:val="References"/>
    <w:basedOn w:val="Normal"/>
    <w:qFormat/>
    <w:rsid w:val="008047AF"/>
    <w:pPr>
      <w:spacing w:before="120" w:line="360" w:lineRule="auto"/>
      <w:ind w:left="720" w:hanging="720"/>
      <w:contextualSpacing/>
    </w:pPr>
    <w:rPr>
      <w:rFonts w:ascii="Times New Roman" w:eastAsia="Times New Roman" w:hAnsi="Times New Roman"/>
      <w:color w:val="auto"/>
      <w:sz w:val="24"/>
      <w:szCs w:val="24"/>
      <w:lang w:val="en-GB" w:eastAsia="en-GB"/>
    </w:rPr>
  </w:style>
  <w:style w:type="paragraph" w:customStyle="1" w:styleId="Subjectcodes">
    <w:name w:val="Subject codes"/>
    <w:basedOn w:val="Keywords"/>
    <w:next w:val="Paragraph"/>
    <w:qFormat/>
    <w:rsid w:val="008047AF"/>
  </w:style>
  <w:style w:type="paragraph" w:customStyle="1" w:styleId="Bulletedlist">
    <w:name w:val="Bulleted list"/>
    <w:basedOn w:val="Paragraph"/>
    <w:next w:val="Paragraph"/>
    <w:autoRedefine/>
    <w:qFormat/>
    <w:rsid w:val="00835FCF"/>
    <w:pPr>
      <w:widowControl/>
      <w:numPr>
        <w:numId w:val="19"/>
      </w:numPr>
      <w:spacing w:before="120" w:line="240" w:lineRule="auto"/>
    </w:pPr>
    <w:rPr>
      <w:rFonts w:ascii="Calibri" w:hAnsi="Calibri"/>
      <w:sz w:val="22"/>
    </w:rPr>
  </w:style>
  <w:style w:type="paragraph" w:customStyle="1" w:styleId="Heading4Paragraph">
    <w:name w:val="Heading 4 + Paragraph"/>
    <w:basedOn w:val="Paragraph"/>
    <w:next w:val="Newparagraph"/>
    <w:qFormat/>
    <w:rsid w:val="008047AF"/>
    <w:pPr>
      <w:widowControl/>
      <w:spacing w:before="360"/>
    </w:pPr>
  </w:style>
  <w:style w:type="paragraph" w:styleId="Revision">
    <w:name w:val="Revision"/>
    <w:hidden/>
    <w:semiHidden/>
    <w:rsid w:val="008047AF"/>
    <w:rPr>
      <w:rFonts w:ascii="Times New Roman" w:eastAsia="Times New Roman" w:hAnsi="Times New Roman"/>
      <w:sz w:val="24"/>
      <w:szCs w:val="24"/>
      <w:lang w:val="en-GB" w:eastAsia="en-GB"/>
    </w:rPr>
  </w:style>
  <w:style w:type="table" w:customStyle="1" w:styleId="GridTable1Light1">
    <w:name w:val="Grid Table 1 Light1"/>
    <w:basedOn w:val="TableNormal"/>
    <w:uiPriority w:val="46"/>
    <w:rsid w:val="008047AF"/>
    <w:rPr>
      <w:rFonts w:asciiTheme="minorHAnsi"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8047AF"/>
    <w:rPr>
      <w:rFonts w:ascii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orcid-id-https2">
    <w:name w:val="orcid-id-https2"/>
    <w:basedOn w:val="DefaultParagraphFont"/>
    <w:rsid w:val="00310763"/>
    <w:rPr>
      <w:sz w:val="18"/>
      <w:szCs w:val="18"/>
    </w:rPr>
  </w:style>
  <w:style w:type="paragraph" w:styleId="Title">
    <w:name w:val="Title"/>
    <w:basedOn w:val="Normal"/>
    <w:next w:val="Normal"/>
    <w:link w:val="TitleChar"/>
    <w:autoRedefine/>
    <w:uiPriority w:val="10"/>
    <w:qFormat/>
    <w:rsid w:val="00C06C64"/>
    <w:pPr>
      <w:spacing w:after="960"/>
    </w:pPr>
    <w:rPr>
      <w:rFonts w:asciiTheme="minorHAnsi" w:eastAsia="Times New Roman" w:hAnsiTheme="minorHAnsi" w:cs="Arial"/>
      <w:b/>
      <w:color w:val="0070C0"/>
      <w:kern w:val="28"/>
      <w:sz w:val="40"/>
      <w:szCs w:val="43"/>
      <w:lang w:eastAsia="en-US"/>
    </w:rPr>
  </w:style>
  <w:style w:type="character" w:customStyle="1" w:styleId="TitleChar">
    <w:name w:val="Title Char"/>
    <w:basedOn w:val="DefaultParagraphFont"/>
    <w:link w:val="Title"/>
    <w:uiPriority w:val="10"/>
    <w:rsid w:val="00C06C64"/>
    <w:rPr>
      <w:rFonts w:asciiTheme="minorHAnsi" w:eastAsia="Times New Roman" w:hAnsiTheme="minorHAnsi" w:cs="Arial"/>
      <w:b/>
      <w:color w:val="0070C0"/>
      <w:kern w:val="28"/>
      <w:sz w:val="40"/>
      <w:szCs w:val="43"/>
      <w:lang w:eastAsia="en-US"/>
    </w:rPr>
  </w:style>
  <w:style w:type="paragraph" w:customStyle="1" w:styleId="TitlePageVerticalPeriod">
    <w:name w:val="TitlePageVerticalPeriod"/>
    <w:basedOn w:val="Normal"/>
    <w:uiPriority w:val="99"/>
    <w:qFormat/>
    <w:rsid w:val="00C06C64"/>
    <w:pPr>
      <w:spacing w:after="160"/>
    </w:pPr>
    <w:rPr>
      <w:rFonts w:ascii="Arial Bold" w:eastAsia="Times New Roman" w:hAnsi="Arial Bold"/>
      <w:color w:val="0070C0"/>
      <w:kern w:val="28"/>
      <w:sz w:val="36"/>
      <w:szCs w:val="20"/>
      <w:lang w:eastAsia="en-US"/>
    </w:rPr>
  </w:style>
  <w:style w:type="paragraph" w:customStyle="1" w:styleId="PrelimText">
    <w:name w:val="PrelimText"/>
    <w:basedOn w:val="Normal"/>
    <w:uiPriority w:val="99"/>
    <w:rsid w:val="00077956"/>
    <w:pPr>
      <w:spacing w:after="160"/>
      <w:jc w:val="both"/>
    </w:pPr>
    <w:rPr>
      <w:rFonts w:asciiTheme="minorHAnsi" w:eastAsia="Times New Roman" w:hAnsiTheme="minorHAnsi" w:cs="Arial"/>
      <w:kern w:val="28"/>
      <w:lang w:eastAsia="en-US"/>
    </w:rPr>
  </w:style>
  <w:style w:type="paragraph" w:customStyle="1" w:styleId="PrelimTextLeftAlign">
    <w:name w:val="PrelimText+LeftAlign"/>
    <w:basedOn w:val="Normal"/>
    <w:uiPriority w:val="99"/>
    <w:rsid w:val="00077956"/>
    <w:pPr>
      <w:spacing w:after="160"/>
    </w:pPr>
    <w:rPr>
      <w:rFonts w:asciiTheme="minorHAnsi" w:eastAsia="Times New Roman" w:hAnsiTheme="minorHAnsi" w:cs="Arial"/>
      <w:kern w:val="28"/>
      <w:lang w:eastAsia="en-US"/>
    </w:rPr>
  </w:style>
  <w:style w:type="paragraph" w:customStyle="1" w:styleId="ReportSubtitle">
    <w:name w:val="ReportSubtitle"/>
    <w:basedOn w:val="Normal"/>
    <w:uiPriority w:val="18"/>
    <w:qFormat/>
    <w:rsid w:val="00077956"/>
    <w:pPr>
      <w:spacing w:after="160"/>
    </w:pPr>
    <w:rPr>
      <w:rFonts w:asciiTheme="minorHAnsi" w:eastAsia="Times New Roman" w:hAnsiTheme="minorHAnsi"/>
      <w:b/>
      <w:color w:val="0070C0"/>
      <w:kern w:val="28"/>
      <w:sz w:val="28"/>
      <w:szCs w:val="28"/>
      <w:lang w:eastAsia="en-US"/>
    </w:rPr>
  </w:style>
  <w:style w:type="paragraph" w:customStyle="1" w:styleId="LTU-Disclaimer-Body">
    <w:name w:val="LTU - Disclaimer - Body"/>
    <w:basedOn w:val="Footer"/>
    <w:qFormat/>
    <w:rsid w:val="00015D7E"/>
    <w:pPr>
      <w:spacing w:after="100" w:line="240" w:lineRule="auto"/>
      <w:jc w:val="both"/>
    </w:pPr>
    <w:rPr>
      <w:rFonts w:asciiTheme="minorHAnsi" w:hAnsiTheme="minorHAnsi"/>
      <w:color w:val="565652"/>
      <w:sz w:val="15"/>
      <w:szCs w:val="18"/>
      <w:lang w:eastAsia="en-US"/>
    </w:rPr>
  </w:style>
  <w:style w:type="paragraph" w:customStyle="1" w:styleId="LTU-Disclaimer-SubheadLine">
    <w:name w:val="LTU - Disclaimer - Subhead + Line"/>
    <w:basedOn w:val="Footer"/>
    <w:next w:val="LTU-Disclaimer-Body"/>
    <w:qFormat/>
    <w:rsid w:val="00015D7E"/>
    <w:pPr>
      <w:pBdr>
        <w:top w:val="single" w:sz="4" w:space="5" w:color="565652"/>
      </w:pBdr>
      <w:spacing w:after="100" w:line="240" w:lineRule="auto"/>
    </w:pPr>
    <w:rPr>
      <w:rFonts w:asciiTheme="minorHAnsi" w:hAnsiTheme="minorHAnsi"/>
      <w:b/>
      <w:color w:val="565652"/>
      <w:sz w:val="15"/>
      <w:szCs w:val="18"/>
      <w:lang w:eastAsia="en-US"/>
    </w:rPr>
  </w:style>
  <w:style w:type="paragraph" w:customStyle="1" w:styleId="LTU-Body10pt">
    <w:name w:val="LTU - Body 10pt"/>
    <w:basedOn w:val="Normal"/>
    <w:qFormat/>
    <w:rsid w:val="00B71C4A"/>
    <w:pPr>
      <w:spacing w:after="200" w:line="276" w:lineRule="auto"/>
    </w:pPr>
    <w:rPr>
      <w:rFonts w:asciiTheme="minorHAnsi" w:hAnsiTheme="minorHAnsi" w:cs="Arial"/>
      <w:color w:val="auto"/>
      <w:sz w:val="18"/>
      <w:szCs w:val="18"/>
      <w:lang w:eastAsia="en-US"/>
    </w:rPr>
  </w:style>
  <w:style w:type="paragraph" w:customStyle="1" w:styleId="TableHeading">
    <w:name w:val="TableHeading"/>
    <w:basedOn w:val="Normal"/>
    <w:uiPriority w:val="13"/>
    <w:qFormat/>
    <w:rsid w:val="002F2617"/>
    <w:pPr>
      <w:spacing w:after="160"/>
      <w:jc w:val="both"/>
    </w:pPr>
    <w:rPr>
      <w:rFonts w:asciiTheme="minorHAnsi" w:eastAsia="Times New Roman" w:hAnsiTheme="minorHAnsi" w:cs="Arial"/>
      <w:b/>
      <w:kern w:val="28"/>
      <w:sz w:val="20"/>
      <w:lang w:eastAsia="en-US"/>
    </w:rPr>
  </w:style>
  <w:style w:type="paragraph" w:customStyle="1" w:styleId="PrelimHeadings">
    <w:name w:val="PrelimHeadings"/>
    <w:basedOn w:val="Normal"/>
    <w:next w:val="Normal"/>
    <w:uiPriority w:val="99"/>
    <w:rsid w:val="002F2617"/>
    <w:pPr>
      <w:jc w:val="both"/>
    </w:pPr>
    <w:rPr>
      <w:rFonts w:asciiTheme="minorHAnsi" w:eastAsia="Times New Roman" w:hAnsiTheme="minorHAnsi" w:cs="Arial"/>
      <w:b/>
      <w:kern w:val="28"/>
      <w:lang w:eastAsia="en-US"/>
    </w:rPr>
  </w:style>
  <w:style w:type="paragraph" w:customStyle="1" w:styleId="LegalClauseLevel1">
    <w:name w:val="Legal Clause Level 1"/>
    <w:basedOn w:val="ListParagraph"/>
    <w:qFormat/>
    <w:rsid w:val="002F2617"/>
    <w:pPr>
      <w:numPr>
        <w:numId w:val="20"/>
      </w:numPr>
      <w:spacing w:before="240" w:line="240" w:lineRule="auto"/>
      <w:contextualSpacing w:val="0"/>
    </w:pPr>
    <w:rPr>
      <w:rFonts w:ascii="Arial" w:eastAsia="Times New Roman" w:hAnsi="Arial" w:cs="Arial"/>
      <w:b/>
      <w:color w:val="auto"/>
      <w:sz w:val="32"/>
      <w:szCs w:val="32"/>
      <w:lang w:eastAsia="zh-CN" w:bidi="th-TH"/>
    </w:rPr>
  </w:style>
  <w:style w:type="paragraph" w:customStyle="1" w:styleId="LegalClauseLevel2">
    <w:name w:val="Legal Clause Level 2"/>
    <w:basedOn w:val="ListParagraph"/>
    <w:qFormat/>
    <w:rsid w:val="002F2617"/>
    <w:pPr>
      <w:numPr>
        <w:ilvl w:val="1"/>
        <w:numId w:val="20"/>
      </w:numPr>
      <w:spacing w:line="240" w:lineRule="auto"/>
      <w:contextualSpacing w:val="0"/>
    </w:pPr>
    <w:rPr>
      <w:rFonts w:ascii="Arial" w:eastAsia="Times New Roman" w:hAnsi="Arial" w:cs="Arial"/>
      <w:b/>
      <w:color w:val="auto"/>
      <w:lang w:eastAsia="zh-CN" w:bidi="th-TH"/>
    </w:rPr>
  </w:style>
  <w:style w:type="paragraph" w:customStyle="1" w:styleId="LegalClauseLevel3">
    <w:name w:val="Legal Clause Level 3"/>
    <w:basedOn w:val="ListParagraph"/>
    <w:qFormat/>
    <w:rsid w:val="002F2617"/>
    <w:pPr>
      <w:numPr>
        <w:ilvl w:val="2"/>
        <w:numId w:val="20"/>
      </w:numPr>
      <w:spacing w:line="240" w:lineRule="auto"/>
      <w:contextualSpacing w:val="0"/>
    </w:pPr>
    <w:rPr>
      <w:rFonts w:ascii="Arial" w:eastAsia="Times New Roman" w:hAnsi="Arial" w:cs="Arial"/>
      <w:color w:val="auto"/>
      <w:sz w:val="22"/>
      <w:szCs w:val="22"/>
      <w:lang w:eastAsia="zh-CN" w:bidi="th-TH"/>
    </w:rPr>
  </w:style>
  <w:style w:type="paragraph" w:customStyle="1" w:styleId="LegalClauseLevel4">
    <w:name w:val="Legal Clause Level 4"/>
    <w:basedOn w:val="ListParagraph"/>
    <w:qFormat/>
    <w:rsid w:val="002F2617"/>
    <w:pPr>
      <w:numPr>
        <w:ilvl w:val="3"/>
        <w:numId w:val="20"/>
      </w:numPr>
      <w:spacing w:line="240" w:lineRule="auto"/>
      <w:contextualSpacing w:val="0"/>
    </w:pPr>
    <w:rPr>
      <w:rFonts w:ascii="Arial" w:eastAsia="Times New Roman" w:hAnsi="Arial" w:cs="Arial"/>
      <w:color w:val="auto"/>
      <w:sz w:val="22"/>
      <w:szCs w:val="22"/>
      <w:lang w:eastAsia="zh-CN" w:bidi="th-TH"/>
    </w:rPr>
  </w:style>
  <w:style w:type="paragraph" w:customStyle="1" w:styleId="LegalClauseLevel5">
    <w:name w:val="Legal Clause Level 5"/>
    <w:basedOn w:val="ListParagraph"/>
    <w:qFormat/>
    <w:rsid w:val="002F2617"/>
    <w:pPr>
      <w:numPr>
        <w:ilvl w:val="4"/>
        <w:numId w:val="20"/>
      </w:numPr>
      <w:spacing w:line="240" w:lineRule="auto"/>
      <w:contextualSpacing w:val="0"/>
    </w:pPr>
    <w:rPr>
      <w:rFonts w:ascii="Arial" w:eastAsia="Times New Roman" w:hAnsi="Arial" w:cs="Arial"/>
      <w:color w:val="auto"/>
      <w:sz w:val="22"/>
      <w:szCs w:val="22"/>
      <w:lang w:eastAsia="zh-CN" w:bidi="th-TH"/>
    </w:rPr>
  </w:style>
  <w:style w:type="paragraph" w:customStyle="1" w:styleId="DocumentDetails">
    <w:name w:val="DocumentDetails"/>
    <w:basedOn w:val="Normal"/>
    <w:uiPriority w:val="99"/>
    <w:rsid w:val="002E41CB"/>
    <w:pPr>
      <w:tabs>
        <w:tab w:val="left" w:pos="2552"/>
      </w:tabs>
      <w:spacing w:after="160"/>
      <w:ind w:left="2552" w:hanging="2552"/>
    </w:pPr>
    <w:rPr>
      <w:rFonts w:asciiTheme="minorHAnsi" w:eastAsia="Times New Roman" w:hAnsiTheme="minorHAnsi" w:cs="Arial"/>
      <w:kern w:val="28"/>
      <w:lang w:eastAsia="en-US"/>
    </w:rPr>
  </w:style>
  <w:style w:type="paragraph" w:customStyle="1" w:styleId="LTU-Sectionheading">
    <w:name w:val="LTU - Section heading"/>
    <w:basedOn w:val="LTU-Body10pt"/>
    <w:next w:val="LTU-Body10pt"/>
    <w:qFormat/>
    <w:rsid w:val="00F6112A"/>
    <w:pPr>
      <w:spacing w:after="600" w:line="560" w:lineRule="exact"/>
    </w:pPr>
    <w:rPr>
      <w:rFonts w:eastAsia="MS Mincho"/>
      <w:b/>
      <w:color w:val="565652"/>
      <w:spacing w:val="5"/>
      <w:sz w:val="48"/>
      <w:szCs w:val="56"/>
      <w:lang w:bidi="en-US"/>
    </w:rPr>
  </w:style>
  <w:style w:type="paragraph" w:customStyle="1" w:styleId="FigureCaption0">
    <w:name w:val="FigureCaption"/>
    <w:basedOn w:val="Normal"/>
    <w:uiPriority w:val="15"/>
    <w:qFormat/>
    <w:rsid w:val="00E246B2"/>
    <w:pPr>
      <w:spacing w:after="160"/>
    </w:pPr>
    <w:rPr>
      <w:rFonts w:asciiTheme="minorHAnsi" w:eastAsia="Times New Roman" w:hAnsiTheme="minorHAnsi"/>
      <w:b/>
      <w:kern w:val="28"/>
      <w:sz w:val="20"/>
      <w:szCs w:val="20"/>
      <w:lang w:eastAsia="en-US"/>
    </w:rPr>
  </w:style>
  <w:style w:type="numbering" w:customStyle="1" w:styleId="NoList1">
    <w:name w:val="No List1"/>
    <w:next w:val="NoList"/>
    <w:uiPriority w:val="99"/>
    <w:semiHidden/>
    <w:unhideWhenUsed/>
    <w:rsid w:val="009C1CAC"/>
  </w:style>
  <w:style w:type="table" w:customStyle="1" w:styleId="TableGrid10">
    <w:name w:val="Table Grid1"/>
    <w:basedOn w:val="TableNormal"/>
    <w:next w:val="TableGrid"/>
    <w:uiPriority w:val="39"/>
    <w:rsid w:val="009C1CAC"/>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table" w:customStyle="1" w:styleId="Table3Deffects11">
    <w:name w:val="Table 3D effects 11"/>
    <w:basedOn w:val="TableNormal"/>
    <w:next w:val="Table3Deffects1"/>
    <w:uiPriority w:val="99"/>
    <w:locked/>
    <w:rsid w:val="009C1CAC"/>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locked/>
    <w:rsid w:val="009C1CAC"/>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locked/>
    <w:rsid w:val="009C1CAC"/>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locked/>
    <w:rsid w:val="009C1CAC"/>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locked/>
    <w:rsid w:val="009C1CAC"/>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locked/>
    <w:rsid w:val="009C1CAC"/>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locked/>
    <w:rsid w:val="009C1CAC"/>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locked/>
    <w:rsid w:val="009C1CAC"/>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locked/>
    <w:rsid w:val="009C1CAC"/>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locked/>
    <w:rsid w:val="009C1CAC"/>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locked/>
    <w:rsid w:val="009C1CAC"/>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locked/>
    <w:rsid w:val="009C1CAC"/>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locked/>
    <w:rsid w:val="009C1CAC"/>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locked/>
    <w:rsid w:val="009C1CAC"/>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customStyle="1" w:styleId="TableColumns51">
    <w:name w:val="Table Columns 51"/>
    <w:basedOn w:val="TableNormal"/>
    <w:next w:val="TableColumns5"/>
    <w:uiPriority w:val="99"/>
    <w:locked/>
    <w:rsid w:val="009C1CAC"/>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customStyle="1" w:styleId="TableContemporary1">
    <w:name w:val="Table Contemporary1"/>
    <w:basedOn w:val="TableNormal"/>
    <w:next w:val="TableContemporary"/>
    <w:uiPriority w:val="99"/>
    <w:locked/>
    <w:rsid w:val="009C1CAC"/>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locked/>
    <w:rsid w:val="009C1CAC"/>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customStyle="1" w:styleId="TableGrid11">
    <w:name w:val="Table Grid 11"/>
    <w:basedOn w:val="TableNormal"/>
    <w:next w:val="TableGrid1"/>
    <w:uiPriority w:val="99"/>
    <w:locked/>
    <w:rsid w:val="009C1CAC"/>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locked/>
    <w:rsid w:val="009C1CAC"/>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locked/>
    <w:rsid w:val="009C1CAC"/>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locked/>
    <w:rsid w:val="009C1CAC"/>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locked/>
    <w:rsid w:val="009C1CAC"/>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locked/>
    <w:rsid w:val="009C1CAC"/>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locked/>
    <w:rsid w:val="009C1CAC"/>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locked/>
    <w:rsid w:val="009C1CAC"/>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locked/>
    <w:rsid w:val="009C1CAC"/>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locked/>
    <w:rsid w:val="009C1CAC"/>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locked/>
    <w:rsid w:val="009C1CAC"/>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locked/>
    <w:rsid w:val="009C1CAC"/>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locked/>
    <w:rsid w:val="009C1CAC"/>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locked/>
    <w:rsid w:val="009C1CAC"/>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locked/>
    <w:rsid w:val="009C1CAC"/>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locked/>
    <w:rsid w:val="009C1CAC"/>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locked/>
    <w:rsid w:val="009C1CAC"/>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locked/>
    <w:rsid w:val="009C1CAC"/>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locked/>
    <w:rsid w:val="009C1CAC"/>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locked/>
    <w:rsid w:val="009C1CAC"/>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locked/>
    <w:rsid w:val="009C1CAC"/>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locked/>
    <w:rsid w:val="009C1CAC"/>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locked/>
    <w:rsid w:val="009C1CAC"/>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locked/>
    <w:rsid w:val="009C1CAC"/>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locked/>
    <w:rsid w:val="009C1CAC"/>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locked/>
    <w:rsid w:val="009C1CAC"/>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customStyle="1" w:styleId="LightShading11">
    <w:name w:val="Light Shading11"/>
    <w:basedOn w:val="TableNormal"/>
    <w:uiPriority w:val="60"/>
    <w:rsid w:val="009C1CA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1">
    <w:name w:val="Table_CSIRO1"/>
    <w:basedOn w:val="TableNormal"/>
    <w:uiPriority w:val="99"/>
    <w:qFormat/>
    <w:rsid w:val="009C1CAC"/>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table" w:customStyle="1" w:styleId="LightShading-Accent11">
    <w:name w:val="Light Shading - Accent 11"/>
    <w:basedOn w:val="TableNormal"/>
    <w:next w:val="LightShading-Accent1"/>
    <w:uiPriority w:val="60"/>
    <w:rsid w:val="009C1CAC"/>
    <w:rPr>
      <w:rFonts w:asciiTheme="minorHAnsi" w:hAnsiTheme="minorHAnsi" w:cstheme="minorBidi"/>
      <w:color w:val="007E9A" w:themeColor="accent1" w:themeShade="BF"/>
      <w:lang w:eastAsia="en-US"/>
    </w:rPr>
    <w:tblPr>
      <w:tblStyleRowBandSize w:val="1"/>
      <w:tblStyleColBandSize w:val="1"/>
      <w:tblBorders>
        <w:top w:val="single" w:sz="8" w:space="0" w:color="00A9CE" w:themeColor="accent1"/>
        <w:bottom w:val="single" w:sz="8" w:space="0" w:color="00A9CE" w:themeColor="accent1"/>
      </w:tblBorders>
    </w:tblPr>
    <w:tblStylePr w:type="firstRow">
      <w:pPr>
        <w:spacing w:before="0" w:after="0" w:line="240" w:lineRule="auto"/>
      </w:pPr>
      <w:rPr>
        <w:b/>
        <w:bCs/>
      </w:rPr>
      <w:tblPr/>
      <w:tcPr>
        <w:tcBorders>
          <w:top w:val="single" w:sz="8" w:space="0" w:color="00A9CE" w:themeColor="accent1"/>
          <w:left w:val="nil"/>
          <w:bottom w:val="single" w:sz="8" w:space="0" w:color="00A9CE" w:themeColor="accent1"/>
          <w:right w:val="nil"/>
          <w:insideH w:val="nil"/>
          <w:insideV w:val="nil"/>
        </w:tcBorders>
      </w:tcPr>
    </w:tblStylePr>
    <w:tblStylePr w:type="lastRow">
      <w:pPr>
        <w:spacing w:before="0" w:after="0" w:line="240" w:lineRule="auto"/>
      </w:pPr>
      <w:rPr>
        <w:b/>
        <w:bCs/>
      </w:rPr>
      <w:tblPr/>
      <w:tcPr>
        <w:tcBorders>
          <w:top w:val="single" w:sz="8" w:space="0" w:color="00A9CE" w:themeColor="accent1"/>
          <w:left w:val="nil"/>
          <w:bottom w:val="single" w:sz="8" w:space="0" w:color="00A9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F1FF" w:themeFill="accent1" w:themeFillTint="3F"/>
      </w:tcPr>
    </w:tblStylePr>
    <w:tblStylePr w:type="band1Horz">
      <w:tblPr/>
      <w:tcPr>
        <w:tcBorders>
          <w:left w:val="nil"/>
          <w:right w:val="nil"/>
          <w:insideH w:val="nil"/>
          <w:insideV w:val="nil"/>
        </w:tcBorders>
        <w:shd w:val="clear" w:color="auto" w:fill="B3F1FF" w:themeFill="accent1" w:themeFillTint="3F"/>
      </w:tcPr>
    </w:tblStylePr>
  </w:style>
  <w:style w:type="table" w:customStyle="1" w:styleId="GridTable5Dark-Accent511">
    <w:name w:val="Grid Table 5 Dark - Accent 511"/>
    <w:basedOn w:val="TableNormal"/>
    <w:uiPriority w:val="50"/>
    <w:rsid w:val="009C1CAC"/>
    <w:rPr>
      <w:rFonts w:asciiTheme="minorHAnsi"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E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AE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AE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AE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AEE5" w:themeFill="accent5"/>
      </w:tcPr>
    </w:tblStylePr>
    <w:tblStylePr w:type="band1Vert">
      <w:tblPr/>
      <w:tcPr>
        <w:shd w:val="clear" w:color="auto" w:fill="D8DEF4" w:themeFill="accent5" w:themeFillTint="66"/>
      </w:tcPr>
    </w:tblStylePr>
    <w:tblStylePr w:type="band1Horz">
      <w:tblPr/>
      <w:tcPr>
        <w:shd w:val="clear" w:color="auto" w:fill="D8DEF4" w:themeFill="accent5" w:themeFillTint="66"/>
      </w:tcPr>
    </w:tblStylePr>
  </w:style>
  <w:style w:type="table" w:customStyle="1" w:styleId="ListTable4-Accent511">
    <w:name w:val="List Table 4 - Accent 511"/>
    <w:basedOn w:val="TableNormal"/>
    <w:uiPriority w:val="49"/>
    <w:rsid w:val="009C1CAC"/>
    <w:rPr>
      <w:rFonts w:asciiTheme="minorHAnsi" w:hAnsiTheme="minorHAnsi" w:cstheme="minorBidi"/>
      <w:lang w:eastAsia="en-US"/>
    </w:rPr>
    <w:tblPr>
      <w:tblStyleRowBandSize w:val="1"/>
      <w:tblStyleColBandSize w:val="1"/>
      <w:tblBorders>
        <w:top w:val="single" w:sz="4" w:space="0" w:color="C5CEEF" w:themeColor="accent5" w:themeTint="99"/>
        <w:left w:val="single" w:sz="4" w:space="0" w:color="C5CEEF" w:themeColor="accent5" w:themeTint="99"/>
        <w:bottom w:val="single" w:sz="4" w:space="0" w:color="C5CEEF" w:themeColor="accent5" w:themeTint="99"/>
        <w:right w:val="single" w:sz="4" w:space="0" w:color="C5CEEF" w:themeColor="accent5" w:themeTint="99"/>
        <w:insideH w:val="single" w:sz="4" w:space="0" w:color="C5CEEF" w:themeColor="accent5" w:themeTint="99"/>
      </w:tblBorders>
    </w:tblPr>
    <w:tblStylePr w:type="firstRow">
      <w:rPr>
        <w:b/>
        <w:bCs/>
        <w:color w:val="FFFFFF" w:themeColor="background1"/>
      </w:rPr>
      <w:tblPr/>
      <w:tcPr>
        <w:tcBorders>
          <w:top w:val="single" w:sz="4" w:space="0" w:color="9FAEE5" w:themeColor="accent5"/>
          <w:left w:val="single" w:sz="4" w:space="0" w:color="9FAEE5" w:themeColor="accent5"/>
          <w:bottom w:val="single" w:sz="4" w:space="0" w:color="9FAEE5" w:themeColor="accent5"/>
          <w:right w:val="single" w:sz="4" w:space="0" w:color="9FAEE5" w:themeColor="accent5"/>
          <w:insideH w:val="nil"/>
        </w:tcBorders>
        <w:shd w:val="clear" w:color="auto" w:fill="9FAEE5" w:themeFill="accent5"/>
      </w:tcPr>
    </w:tblStylePr>
    <w:tblStylePr w:type="lastRow">
      <w:rPr>
        <w:b/>
        <w:bCs/>
      </w:rPr>
      <w:tblPr/>
      <w:tcPr>
        <w:tcBorders>
          <w:top w:val="double" w:sz="4" w:space="0" w:color="C5CEEF" w:themeColor="accent5" w:themeTint="99"/>
        </w:tcBorders>
      </w:tcPr>
    </w:tblStylePr>
    <w:tblStylePr w:type="firstCol">
      <w:rPr>
        <w:b/>
        <w:bCs/>
      </w:rPr>
    </w:tblStylePr>
    <w:tblStylePr w:type="lastCol">
      <w:rPr>
        <w:b/>
        <w:bCs/>
      </w:rPr>
    </w:tblStylePr>
    <w:tblStylePr w:type="band1Vert">
      <w:tblPr/>
      <w:tcPr>
        <w:shd w:val="clear" w:color="auto" w:fill="EBEEF9" w:themeFill="accent5" w:themeFillTint="33"/>
      </w:tcPr>
    </w:tblStylePr>
    <w:tblStylePr w:type="band1Horz">
      <w:tblPr/>
      <w:tcPr>
        <w:shd w:val="clear" w:color="auto" w:fill="EBEEF9" w:themeFill="accent5" w:themeFillTint="33"/>
      </w:tcPr>
    </w:tblStylePr>
  </w:style>
  <w:style w:type="table" w:customStyle="1" w:styleId="GridTable4-Accent511">
    <w:name w:val="Grid Table 4 - Accent 511"/>
    <w:basedOn w:val="TableNormal"/>
    <w:uiPriority w:val="49"/>
    <w:rsid w:val="009C1CAC"/>
    <w:rPr>
      <w:rFonts w:asciiTheme="minorHAnsi" w:hAnsiTheme="minorHAnsi" w:cstheme="minorBidi"/>
      <w:lang w:eastAsia="en-US"/>
    </w:rPr>
    <w:tblPr>
      <w:tblStyleRowBandSize w:val="1"/>
      <w:tblStyleColBandSize w:val="1"/>
      <w:tblBorders>
        <w:top w:val="single" w:sz="4" w:space="0" w:color="C5CEEF" w:themeColor="accent5" w:themeTint="99"/>
        <w:left w:val="single" w:sz="4" w:space="0" w:color="C5CEEF" w:themeColor="accent5" w:themeTint="99"/>
        <w:bottom w:val="single" w:sz="4" w:space="0" w:color="C5CEEF" w:themeColor="accent5" w:themeTint="99"/>
        <w:right w:val="single" w:sz="4" w:space="0" w:color="C5CEEF" w:themeColor="accent5" w:themeTint="99"/>
        <w:insideH w:val="single" w:sz="4" w:space="0" w:color="C5CEEF" w:themeColor="accent5" w:themeTint="99"/>
        <w:insideV w:val="single" w:sz="4" w:space="0" w:color="C5CEEF" w:themeColor="accent5" w:themeTint="99"/>
      </w:tblBorders>
    </w:tblPr>
    <w:tblStylePr w:type="firstRow">
      <w:rPr>
        <w:b/>
        <w:bCs/>
        <w:color w:val="FFFFFF" w:themeColor="background1"/>
      </w:rPr>
      <w:tblPr/>
      <w:tcPr>
        <w:tcBorders>
          <w:top w:val="single" w:sz="4" w:space="0" w:color="9FAEE5" w:themeColor="accent5"/>
          <w:left w:val="single" w:sz="4" w:space="0" w:color="9FAEE5" w:themeColor="accent5"/>
          <w:bottom w:val="single" w:sz="4" w:space="0" w:color="9FAEE5" w:themeColor="accent5"/>
          <w:right w:val="single" w:sz="4" w:space="0" w:color="9FAEE5" w:themeColor="accent5"/>
          <w:insideH w:val="nil"/>
          <w:insideV w:val="nil"/>
        </w:tcBorders>
        <w:shd w:val="clear" w:color="auto" w:fill="9FAEE5" w:themeFill="accent5"/>
      </w:tcPr>
    </w:tblStylePr>
    <w:tblStylePr w:type="lastRow">
      <w:rPr>
        <w:b/>
        <w:bCs/>
      </w:rPr>
      <w:tblPr/>
      <w:tcPr>
        <w:tcBorders>
          <w:top w:val="double" w:sz="4" w:space="0" w:color="9FAEE5" w:themeColor="accent5"/>
        </w:tcBorders>
      </w:tcPr>
    </w:tblStylePr>
    <w:tblStylePr w:type="firstCol">
      <w:rPr>
        <w:b/>
        <w:bCs/>
      </w:rPr>
    </w:tblStylePr>
    <w:tblStylePr w:type="lastCol">
      <w:rPr>
        <w:b/>
        <w:bCs/>
      </w:rPr>
    </w:tblStylePr>
    <w:tblStylePr w:type="band1Vert">
      <w:tblPr/>
      <w:tcPr>
        <w:shd w:val="clear" w:color="auto" w:fill="EBEEF9" w:themeFill="accent5" w:themeFillTint="33"/>
      </w:tcPr>
    </w:tblStylePr>
    <w:tblStylePr w:type="band1Horz">
      <w:tblPr/>
      <w:tcPr>
        <w:shd w:val="clear" w:color="auto" w:fill="EBEEF9" w:themeFill="accent5" w:themeFillTint="33"/>
      </w:tcPr>
    </w:tblStylePr>
  </w:style>
  <w:style w:type="table" w:customStyle="1" w:styleId="ListTable3-Accent111">
    <w:name w:val="List Table 3 - Accent 111"/>
    <w:basedOn w:val="TableNormal"/>
    <w:uiPriority w:val="48"/>
    <w:rsid w:val="009C1CAC"/>
    <w:tblPr>
      <w:tblStyleRowBandSize w:val="1"/>
      <w:tblStyleColBandSize w:val="1"/>
      <w:tblBorders>
        <w:top w:val="single" w:sz="4" w:space="0" w:color="00A9CE" w:themeColor="accent1"/>
        <w:left w:val="single" w:sz="4" w:space="0" w:color="00A9CE" w:themeColor="accent1"/>
        <w:bottom w:val="single" w:sz="4" w:space="0" w:color="00A9CE" w:themeColor="accent1"/>
        <w:right w:val="single" w:sz="4" w:space="0" w:color="00A9CE" w:themeColor="accent1"/>
      </w:tblBorders>
    </w:tblPr>
    <w:tblStylePr w:type="firstRow">
      <w:rPr>
        <w:b/>
        <w:bCs/>
        <w:color w:val="FFFFFF" w:themeColor="background1"/>
      </w:rPr>
      <w:tblPr/>
      <w:tcPr>
        <w:shd w:val="clear" w:color="auto" w:fill="00A9CE" w:themeFill="accent1"/>
      </w:tcPr>
    </w:tblStylePr>
    <w:tblStylePr w:type="lastRow">
      <w:rPr>
        <w:b/>
        <w:bCs/>
      </w:rPr>
      <w:tblPr/>
      <w:tcPr>
        <w:tcBorders>
          <w:top w:val="double" w:sz="4" w:space="0" w:color="00A9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CE" w:themeColor="accent1"/>
          <w:right w:val="single" w:sz="4" w:space="0" w:color="00A9CE" w:themeColor="accent1"/>
        </w:tcBorders>
      </w:tcPr>
    </w:tblStylePr>
    <w:tblStylePr w:type="band1Horz">
      <w:tblPr/>
      <w:tcPr>
        <w:tcBorders>
          <w:top w:val="single" w:sz="4" w:space="0" w:color="00A9CE" w:themeColor="accent1"/>
          <w:bottom w:val="single" w:sz="4" w:space="0" w:color="00A9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CE" w:themeColor="accent1"/>
          <w:left w:val="nil"/>
        </w:tcBorders>
      </w:tcPr>
    </w:tblStylePr>
    <w:tblStylePr w:type="swCell">
      <w:tblPr/>
      <w:tcPr>
        <w:tcBorders>
          <w:top w:val="double" w:sz="4" w:space="0" w:color="00A9CE" w:themeColor="accent1"/>
          <w:right w:val="nil"/>
        </w:tcBorders>
      </w:tcPr>
    </w:tblStylePr>
  </w:style>
  <w:style w:type="table" w:customStyle="1" w:styleId="GridTable5Dark-Accent111">
    <w:name w:val="Grid Table 5 Dark - Accent 111"/>
    <w:basedOn w:val="TableNormal"/>
    <w:uiPriority w:val="50"/>
    <w:rsid w:val="009C1CA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9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9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9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9CE" w:themeFill="accent1"/>
      </w:tcPr>
    </w:tblStylePr>
    <w:tblStylePr w:type="band1Vert">
      <w:tblPr/>
      <w:tcPr>
        <w:shd w:val="clear" w:color="auto" w:fill="85E9FF" w:themeFill="accent1" w:themeFillTint="66"/>
      </w:tcPr>
    </w:tblStylePr>
    <w:tblStylePr w:type="band1Horz">
      <w:tblPr/>
      <w:tcPr>
        <w:shd w:val="clear" w:color="auto" w:fill="85E9FF" w:themeFill="accent1" w:themeFillTint="66"/>
      </w:tcPr>
    </w:tblStylePr>
  </w:style>
  <w:style w:type="table" w:customStyle="1" w:styleId="GridTable5Dark11">
    <w:name w:val="Grid Table 5 Dark11"/>
    <w:basedOn w:val="TableNormal"/>
    <w:uiPriority w:val="50"/>
    <w:rsid w:val="009C1CA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311">
    <w:name w:val="Grid Table 5 Dark - Accent 311"/>
    <w:basedOn w:val="TableNormal"/>
    <w:uiPriority w:val="50"/>
    <w:rsid w:val="009C1CA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6C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E2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E2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E2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E20" w:themeFill="accent3"/>
      </w:tcPr>
    </w:tblStylePr>
    <w:tblStylePr w:type="band1Vert">
      <w:tblPr/>
      <w:tcPr>
        <w:shd w:val="clear" w:color="auto" w:fill="CAEE9C" w:themeFill="accent3" w:themeFillTint="66"/>
      </w:tcPr>
    </w:tblStylePr>
    <w:tblStylePr w:type="band1Horz">
      <w:tblPr/>
      <w:tcPr>
        <w:shd w:val="clear" w:color="auto" w:fill="CAEE9C" w:themeFill="accent3" w:themeFillTint="66"/>
      </w:tcPr>
    </w:tblStylePr>
  </w:style>
  <w:style w:type="table" w:customStyle="1" w:styleId="PlainTable411">
    <w:name w:val="Plain Table 411"/>
    <w:basedOn w:val="TableNormal"/>
    <w:uiPriority w:val="99"/>
    <w:rsid w:val="009C1CA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1">
    <w:name w:val="Grid Table 1 Light11"/>
    <w:basedOn w:val="TableNormal"/>
    <w:uiPriority w:val="46"/>
    <w:rsid w:val="009C1CAC"/>
    <w:rPr>
      <w:rFonts w:asciiTheme="minorHAnsi"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1">
    <w:name w:val="Table Grid Light11"/>
    <w:basedOn w:val="TableNormal"/>
    <w:uiPriority w:val="40"/>
    <w:rsid w:val="009C1CAC"/>
    <w:rPr>
      <w:rFonts w:ascii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egalScheduleLevel1">
    <w:name w:val="Legal Schedule Level 1"/>
    <w:basedOn w:val="Normal"/>
    <w:rsid w:val="009C1CAC"/>
    <w:pPr>
      <w:numPr>
        <w:numId w:val="42"/>
      </w:numPr>
      <w:spacing w:before="240"/>
    </w:pPr>
    <w:rPr>
      <w:rFonts w:ascii="Arial" w:eastAsia="Times New Roman" w:hAnsi="Arial" w:cs="Arial"/>
      <w:b/>
      <w:color w:val="auto"/>
      <w:sz w:val="32"/>
      <w:szCs w:val="32"/>
      <w:lang w:eastAsia="zh-CN" w:bidi="th-TH"/>
    </w:rPr>
  </w:style>
  <w:style w:type="paragraph" w:customStyle="1" w:styleId="LegalScheduleLevel2">
    <w:name w:val="Legal Schedule Level 2"/>
    <w:basedOn w:val="Normal"/>
    <w:rsid w:val="009C1CAC"/>
    <w:pPr>
      <w:numPr>
        <w:ilvl w:val="1"/>
        <w:numId w:val="42"/>
      </w:numPr>
      <w:spacing w:before="120"/>
    </w:pPr>
    <w:rPr>
      <w:rFonts w:ascii="Arial" w:eastAsia="Times New Roman" w:hAnsi="Arial" w:cs="Arial"/>
      <w:b/>
      <w:color w:val="auto"/>
      <w:sz w:val="24"/>
      <w:szCs w:val="24"/>
      <w:lang w:eastAsia="zh-CN" w:bidi="th-TH"/>
    </w:rPr>
  </w:style>
  <w:style w:type="paragraph" w:customStyle="1" w:styleId="LegalScheduleLevel3">
    <w:name w:val="Legal Schedule Level 3"/>
    <w:basedOn w:val="Normal"/>
    <w:rsid w:val="009C1CAC"/>
    <w:pPr>
      <w:numPr>
        <w:ilvl w:val="2"/>
        <w:numId w:val="42"/>
      </w:numPr>
      <w:spacing w:before="120"/>
    </w:pPr>
    <w:rPr>
      <w:rFonts w:ascii="Arial" w:eastAsia="Times New Roman" w:hAnsi="Arial" w:cs="Arial"/>
      <w:color w:val="auto"/>
      <w:lang w:eastAsia="zh-CN" w:bidi="th-TH"/>
    </w:rPr>
  </w:style>
  <w:style w:type="paragraph" w:customStyle="1" w:styleId="LegalScheduleLevel4">
    <w:name w:val="Legal Schedule Level 4"/>
    <w:basedOn w:val="Normal"/>
    <w:rsid w:val="009C1CAC"/>
    <w:pPr>
      <w:numPr>
        <w:ilvl w:val="3"/>
        <w:numId w:val="42"/>
      </w:numPr>
      <w:spacing w:before="120"/>
    </w:pPr>
    <w:rPr>
      <w:rFonts w:ascii="Arial" w:eastAsia="Times New Roman" w:hAnsi="Arial" w:cs="Arial"/>
      <w:color w:val="auto"/>
      <w:lang w:eastAsia="zh-CN" w:bidi="th-TH"/>
    </w:rPr>
  </w:style>
  <w:style w:type="paragraph" w:customStyle="1" w:styleId="LegalScheduleLevel5">
    <w:name w:val="Legal Schedule Level 5"/>
    <w:basedOn w:val="Normal"/>
    <w:rsid w:val="009C1CAC"/>
    <w:pPr>
      <w:numPr>
        <w:ilvl w:val="4"/>
        <w:numId w:val="42"/>
      </w:numPr>
      <w:spacing w:before="120"/>
    </w:pPr>
    <w:rPr>
      <w:rFonts w:ascii="Arial" w:eastAsia="Times New Roman" w:hAnsi="Arial" w:cs="Arial"/>
      <w:color w:val="auto"/>
      <w:lang w:eastAsia="zh-CN" w:bidi="th-TH"/>
    </w:rPr>
  </w:style>
  <w:style w:type="paragraph" w:customStyle="1" w:styleId="ClauseLevel8">
    <w:name w:val="Clause Level 8"/>
    <w:basedOn w:val="Normal"/>
    <w:semiHidden/>
    <w:rsid w:val="009C1CAC"/>
    <w:pPr>
      <w:numPr>
        <w:ilvl w:val="7"/>
        <w:numId w:val="42"/>
      </w:numPr>
      <w:spacing w:after="140" w:line="280" w:lineRule="atLeast"/>
      <w:outlineLvl w:val="3"/>
    </w:pPr>
    <w:rPr>
      <w:rFonts w:ascii="Arial" w:eastAsia="Times New Roman" w:hAnsi="Arial" w:cs="Arial"/>
      <w:color w:val="auto"/>
    </w:rPr>
  </w:style>
  <w:style w:type="paragraph" w:customStyle="1" w:styleId="TableCaption">
    <w:name w:val="TableCaption"/>
    <w:basedOn w:val="Normal"/>
    <w:next w:val="Normal"/>
    <w:uiPriority w:val="12"/>
    <w:qFormat/>
    <w:rsid w:val="009C1CAC"/>
    <w:pPr>
      <w:spacing w:after="160"/>
    </w:pPr>
    <w:rPr>
      <w:rFonts w:asciiTheme="minorHAnsi" w:eastAsia="Times New Roman" w:hAnsiTheme="minorHAnsi"/>
      <w:b/>
      <w:kern w:val="28"/>
      <w:sz w:val="20"/>
      <w:szCs w:val="20"/>
      <w:lang w:eastAsia="en-US"/>
    </w:rPr>
  </w:style>
  <w:style w:type="character" w:customStyle="1" w:styleId="CaptionChar">
    <w:name w:val="Caption Char"/>
    <w:basedOn w:val="DefaultParagraphFont"/>
    <w:link w:val="Caption"/>
    <w:uiPriority w:val="35"/>
    <w:locked/>
    <w:rsid w:val="009C1CAC"/>
    <w:rPr>
      <w:rFonts w:eastAsia="Calibri"/>
      <w:b/>
      <w:bCs/>
      <w:color w:val="007E9A" w:themeColor="accent1" w:themeShade="BF"/>
      <w:sz w:val="20"/>
      <w:szCs w:val="18"/>
    </w:rPr>
  </w:style>
  <w:style w:type="paragraph" w:customStyle="1" w:styleId="Tabletext0">
    <w:name w:val="Table text"/>
    <w:basedOn w:val="Normal"/>
    <w:qFormat/>
    <w:rsid w:val="009C1CAC"/>
    <w:pPr>
      <w:spacing w:before="20" w:after="20"/>
    </w:pPr>
    <w:rPr>
      <w:rFonts w:asciiTheme="minorHAnsi" w:eastAsia="Times New Roman" w:hAnsiTheme="minorHAnsi"/>
      <w:color w:val="auto"/>
      <w:sz w:val="20"/>
      <w:szCs w:val="20"/>
      <w:lang w:eastAsia="en-US"/>
    </w:rPr>
  </w:style>
  <w:style w:type="paragraph" w:customStyle="1" w:styleId="Tableheadings">
    <w:name w:val="Table headings"/>
    <w:basedOn w:val="Normal"/>
    <w:qFormat/>
    <w:rsid w:val="009C1CAC"/>
    <w:pPr>
      <w:spacing w:after="0" w:line="264" w:lineRule="auto"/>
    </w:pPr>
    <w:rPr>
      <w:rFonts w:ascii="Arial" w:eastAsia="Times New Roman" w:hAnsi="Arial"/>
      <w:b/>
      <w:bCs/>
      <w:color w:val="FFFFFF"/>
      <w:sz w:val="24"/>
      <w:szCs w:val="20"/>
      <w:lang w:eastAsia="en-US"/>
    </w:rPr>
  </w:style>
  <w:style w:type="table" w:customStyle="1" w:styleId="DSITIA-Blue">
    <w:name w:val="DSITIA - Blue"/>
    <w:basedOn w:val="TableNormal"/>
    <w:rsid w:val="009C1CAC"/>
    <w:rPr>
      <w:rFonts w:ascii="Arial" w:eastAsia="Times New Roman" w:hAnsi="Arial"/>
      <w:szCs w:val="20"/>
      <w:lang w:val="en-GB" w:eastAsia="en-GB"/>
    </w:rPr>
    <w:tblPr>
      <w:tblInd w:w="0" w:type="nil"/>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85" w:type="dxa"/>
        <w:left w:w="113" w:type="dxa"/>
        <w:bottom w:w="28" w:type="dxa"/>
        <w:right w:w="113" w:type="dxa"/>
      </w:tblCellMar>
    </w:tblPr>
    <w:tblStylePr w:type="firstRow">
      <w:pPr>
        <w:wordWrap/>
        <w:spacing w:beforeLines="0" w:before="100" w:beforeAutospacing="1" w:afterLines="0" w:after="100" w:afterAutospacing="1" w:line="240" w:lineRule="auto"/>
      </w:pPr>
      <w:rPr>
        <w:rFonts w:ascii="Arial" w:hAnsi="Arial" w:cs="Arial" w:hint="default"/>
        <w:b w:val="0"/>
        <w:color w:val="FFFFFF" w:themeColor="background1"/>
        <w:sz w:val="24"/>
        <w:szCs w:val="24"/>
      </w:rPr>
      <w:tblPr>
        <w:tblCellMar>
          <w:top w:w="170" w:type="dxa"/>
          <w:left w:w="119" w:type="dxa"/>
          <w:bottom w:w="28" w:type="dxa"/>
          <w:right w:w="119" w:type="dxa"/>
        </w:tblCellMar>
      </w:tblPr>
      <w:tcPr>
        <w:shd w:val="clear" w:color="auto" w:fill="3B6E8F"/>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table" w:customStyle="1" w:styleId="TableGrid40">
    <w:name w:val="Table Grid4"/>
    <w:basedOn w:val="TableNormal"/>
    <w:next w:val="TableGrid"/>
    <w:uiPriority w:val="59"/>
    <w:rsid w:val="009C1CAC"/>
    <w:rPr>
      <w:rFonts w:ascii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
    <w:name w:val="Table column heading"/>
    <w:basedOn w:val="Normal"/>
    <w:uiPriority w:val="99"/>
    <w:rsid w:val="009C1CAC"/>
    <w:pPr>
      <w:spacing w:line="240" w:lineRule="exact"/>
    </w:pPr>
    <w:rPr>
      <w:rFonts w:ascii="Arial" w:hAnsi="Arial"/>
      <w:b/>
      <w:color w:val="auto"/>
      <w:sz w:val="18"/>
      <w:szCs w:val="18"/>
    </w:rPr>
  </w:style>
  <w:style w:type="table" w:customStyle="1" w:styleId="TableGrid110">
    <w:name w:val="Table Grid11"/>
    <w:basedOn w:val="TableNormal"/>
    <w:next w:val="TableGrid"/>
    <w:uiPriority w:val="39"/>
    <w:rsid w:val="009C1CAC"/>
    <w:rPr>
      <w:rFonts w:ascii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9C1CAC"/>
    <w:rPr>
      <w:rFonts w:ascii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763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703796">
      <w:bodyDiv w:val="1"/>
      <w:marLeft w:val="0"/>
      <w:marRight w:val="0"/>
      <w:marTop w:val="0"/>
      <w:marBottom w:val="0"/>
      <w:divBdr>
        <w:top w:val="none" w:sz="0" w:space="0" w:color="auto"/>
        <w:left w:val="none" w:sz="0" w:space="0" w:color="auto"/>
        <w:bottom w:val="none" w:sz="0" w:space="0" w:color="auto"/>
        <w:right w:val="none" w:sz="0" w:space="0" w:color="auto"/>
      </w:divBdr>
    </w:div>
    <w:div w:id="109739900">
      <w:bodyDiv w:val="1"/>
      <w:marLeft w:val="0"/>
      <w:marRight w:val="0"/>
      <w:marTop w:val="0"/>
      <w:marBottom w:val="0"/>
      <w:divBdr>
        <w:top w:val="none" w:sz="0" w:space="0" w:color="auto"/>
        <w:left w:val="none" w:sz="0" w:space="0" w:color="auto"/>
        <w:bottom w:val="none" w:sz="0" w:space="0" w:color="auto"/>
        <w:right w:val="none" w:sz="0" w:space="0" w:color="auto"/>
      </w:divBdr>
    </w:div>
    <w:div w:id="136382624">
      <w:bodyDiv w:val="1"/>
      <w:marLeft w:val="0"/>
      <w:marRight w:val="0"/>
      <w:marTop w:val="0"/>
      <w:marBottom w:val="0"/>
      <w:divBdr>
        <w:top w:val="none" w:sz="0" w:space="0" w:color="auto"/>
        <w:left w:val="none" w:sz="0" w:space="0" w:color="auto"/>
        <w:bottom w:val="none" w:sz="0" w:space="0" w:color="auto"/>
        <w:right w:val="none" w:sz="0" w:space="0" w:color="auto"/>
      </w:divBdr>
    </w:div>
    <w:div w:id="181475606">
      <w:bodyDiv w:val="1"/>
      <w:marLeft w:val="0"/>
      <w:marRight w:val="0"/>
      <w:marTop w:val="0"/>
      <w:marBottom w:val="0"/>
      <w:divBdr>
        <w:top w:val="none" w:sz="0" w:space="0" w:color="auto"/>
        <w:left w:val="none" w:sz="0" w:space="0" w:color="auto"/>
        <w:bottom w:val="none" w:sz="0" w:space="0" w:color="auto"/>
        <w:right w:val="none" w:sz="0" w:space="0" w:color="auto"/>
      </w:divBdr>
    </w:div>
    <w:div w:id="222253574">
      <w:bodyDiv w:val="1"/>
      <w:marLeft w:val="0"/>
      <w:marRight w:val="0"/>
      <w:marTop w:val="0"/>
      <w:marBottom w:val="0"/>
      <w:divBdr>
        <w:top w:val="none" w:sz="0" w:space="0" w:color="auto"/>
        <w:left w:val="none" w:sz="0" w:space="0" w:color="auto"/>
        <w:bottom w:val="none" w:sz="0" w:space="0" w:color="auto"/>
        <w:right w:val="none" w:sz="0" w:space="0" w:color="auto"/>
      </w:divBdr>
    </w:div>
    <w:div w:id="326902172">
      <w:bodyDiv w:val="1"/>
      <w:marLeft w:val="0"/>
      <w:marRight w:val="0"/>
      <w:marTop w:val="0"/>
      <w:marBottom w:val="0"/>
      <w:divBdr>
        <w:top w:val="none" w:sz="0" w:space="0" w:color="auto"/>
        <w:left w:val="none" w:sz="0" w:space="0" w:color="auto"/>
        <w:bottom w:val="none" w:sz="0" w:space="0" w:color="auto"/>
        <w:right w:val="none" w:sz="0" w:space="0" w:color="auto"/>
      </w:divBdr>
    </w:div>
    <w:div w:id="339355297">
      <w:bodyDiv w:val="1"/>
      <w:marLeft w:val="0"/>
      <w:marRight w:val="0"/>
      <w:marTop w:val="0"/>
      <w:marBottom w:val="0"/>
      <w:divBdr>
        <w:top w:val="none" w:sz="0" w:space="0" w:color="auto"/>
        <w:left w:val="none" w:sz="0" w:space="0" w:color="auto"/>
        <w:bottom w:val="none" w:sz="0" w:space="0" w:color="auto"/>
        <w:right w:val="none" w:sz="0" w:space="0" w:color="auto"/>
      </w:divBdr>
    </w:div>
    <w:div w:id="359673982">
      <w:bodyDiv w:val="1"/>
      <w:marLeft w:val="0"/>
      <w:marRight w:val="0"/>
      <w:marTop w:val="0"/>
      <w:marBottom w:val="0"/>
      <w:divBdr>
        <w:top w:val="none" w:sz="0" w:space="0" w:color="auto"/>
        <w:left w:val="none" w:sz="0" w:space="0" w:color="auto"/>
        <w:bottom w:val="none" w:sz="0" w:space="0" w:color="auto"/>
        <w:right w:val="none" w:sz="0" w:space="0" w:color="auto"/>
      </w:divBdr>
    </w:div>
    <w:div w:id="410082354">
      <w:bodyDiv w:val="1"/>
      <w:marLeft w:val="0"/>
      <w:marRight w:val="0"/>
      <w:marTop w:val="0"/>
      <w:marBottom w:val="0"/>
      <w:divBdr>
        <w:top w:val="none" w:sz="0" w:space="0" w:color="auto"/>
        <w:left w:val="none" w:sz="0" w:space="0" w:color="auto"/>
        <w:bottom w:val="none" w:sz="0" w:space="0" w:color="auto"/>
        <w:right w:val="none" w:sz="0" w:space="0" w:color="auto"/>
      </w:divBdr>
    </w:div>
    <w:div w:id="478809508">
      <w:bodyDiv w:val="1"/>
      <w:marLeft w:val="0"/>
      <w:marRight w:val="0"/>
      <w:marTop w:val="0"/>
      <w:marBottom w:val="0"/>
      <w:divBdr>
        <w:top w:val="none" w:sz="0" w:space="0" w:color="auto"/>
        <w:left w:val="none" w:sz="0" w:space="0" w:color="auto"/>
        <w:bottom w:val="none" w:sz="0" w:space="0" w:color="auto"/>
        <w:right w:val="none" w:sz="0" w:space="0" w:color="auto"/>
      </w:divBdr>
    </w:div>
    <w:div w:id="518468289">
      <w:bodyDiv w:val="1"/>
      <w:marLeft w:val="0"/>
      <w:marRight w:val="0"/>
      <w:marTop w:val="0"/>
      <w:marBottom w:val="0"/>
      <w:divBdr>
        <w:top w:val="none" w:sz="0" w:space="0" w:color="auto"/>
        <w:left w:val="none" w:sz="0" w:space="0" w:color="auto"/>
        <w:bottom w:val="none" w:sz="0" w:space="0" w:color="auto"/>
        <w:right w:val="none" w:sz="0" w:space="0" w:color="auto"/>
      </w:divBdr>
    </w:div>
    <w:div w:id="522745069">
      <w:bodyDiv w:val="1"/>
      <w:marLeft w:val="0"/>
      <w:marRight w:val="0"/>
      <w:marTop w:val="0"/>
      <w:marBottom w:val="0"/>
      <w:divBdr>
        <w:top w:val="none" w:sz="0" w:space="0" w:color="auto"/>
        <w:left w:val="none" w:sz="0" w:space="0" w:color="auto"/>
        <w:bottom w:val="none" w:sz="0" w:space="0" w:color="auto"/>
        <w:right w:val="none" w:sz="0" w:space="0" w:color="auto"/>
      </w:divBdr>
    </w:div>
    <w:div w:id="542594317">
      <w:bodyDiv w:val="1"/>
      <w:marLeft w:val="0"/>
      <w:marRight w:val="0"/>
      <w:marTop w:val="0"/>
      <w:marBottom w:val="0"/>
      <w:divBdr>
        <w:top w:val="none" w:sz="0" w:space="0" w:color="auto"/>
        <w:left w:val="none" w:sz="0" w:space="0" w:color="auto"/>
        <w:bottom w:val="none" w:sz="0" w:space="0" w:color="auto"/>
        <w:right w:val="none" w:sz="0" w:space="0" w:color="auto"/>
      </w:divBdr>
    </w:div>
    <w:div w:id="616647307">
      <w:bodyDiv w:val="1"/>
      <w:marLeft w:val="0"/>
      <w:marRight w:val="0"/>
      <w:marTop w:val="0"/>
      <w:marBottom w:val="0"/>
      <w:divBdr>
        <w:top w:val="none" w:sz="0" w:space="0" w:color="auto"/>
        <w:left w:val="none" w:sz="0" w:space="0" w:color="auto"/>
        <w:bottom w:val="none" w:sz="0" w:space="0" w:color="auto"/>
        <w:right w:val="none" w:sz="0" w:space="0" w:color="auto"/>
      </w:divBdr>
    </w:div>
    <w:div w:id="697198990">
      <w:bodyDiv w:val="1"/>
      <w:marLeft w:val="0"/>
      <w:marRight w:val="0"/>
      <w:marTop w:val="0"/>
      <w:marBottom w:val="0"/>
      <w:divBdr>
        <w:top w:val="none" w:sz="0" w:space="0" w:color="auto"/>
        <w:left w:val="none" w:sz="0" w:space="0" w:color="auto"/>
        <w:bottom w:val="none" w:sz="0" w:space="0" w:color="auto"/>
        <w:right w:val="none" w:sz="0" w:space="0" w:color="auto"/>
      </w:divBdr>
    </w:div>
    <w:div w:id="759182373">
      <w:bodyDiv w:val="1"/>
      <w:marLeft w:val="0"/>
      <w:marRight w:val="0"/>
      <w:marTop w:val="0"/>
      <w:marBottom w:val="0"/>
      <w:divBdr>
        <w:top w:val="none" w:sz="0" w:space="0" w:color="auto"/>
        <w:left w:val="none" w:sz="0" w:space="0" w:color="auto"/>
        <w:bottom w:val="none" w:sz="0" w:space="0" w:color="auto"/>
        <w:right w:val="none" w:sz="0" w:space="0" w:color="auto"/>
      </w:divBdr>
    </w:div>
    <w:div w:id="765924339">
      <w:bodyDiv w:val="1"/>
      <w:marLeft w:val="0"/>
      <w:marRight w:val="0"/>
      <w:marTop w:val="0"/>
      <w:marBottom w:val="0"/>
      <w:divBdr>
        <w:top w:val="none" w:sz="0" w:space="0" w:color="auto"/>
        <w:left w:val="none" w:sz="0" w:space="0" w:color="auto"/>
        <w:bottom w:val="none" w:sz="0" w:space="0" w:color="auto"/>
        <w:right w:val="none" w:sz="0" w:space="0" w:color="auto"/>
      </w:divBdr>
    </w:div>
    <w:div w:id="772241525">
      <w:bodyDiv w:val="1"/>
      <w:marLeft w:val="0"/>
      <w:marRight w:val="0"/>
      <w:marTop w:val="0"/>
      <w:marBottom w:val="0"/>
      <w:divBdr>
        <w:top w:val="none" w:sz="0" w:space="0" w:color="auto"/>
        <w:left w:val="none" w:sz="0" w:space="0" w:color="auto"/>
        <w:bottom w:val="none" w:sz="0" w:space="0" w:color="auto"/>
        <w:right w:val="none" w:sz="0" w:space="0" w:color="auto"/>
      </w:divBdr>
    </w:div>
    <w:div w:id="773479028">
      <w:bodyDiv w:val="1"/>
      <w:marLeft w:val="0"/>
      <w:marRight w:val="0"/>
      <w:marTop w:val="0"/>
      <w:marBottom w:val="0"/>
      <w:divBdr>
        <w:top w:val="none" w:sz="0" w:space="0" w:color="auto"/>
        <w:left w:val="none" w:sz="0" w:space="0" w:color="auto"/>
        <w:bottom w:val="none" w:sz="0" w:space="0" w:color="auto"/>
        <w:right w:val="none" w:sz="0" w:space="0" w:color="auto"/>
      </w:divBdr>
    </w:div>
    <w:div w:id="827861496">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8392210">
      <w:bodyDiv w:val="1"/>
      <w:marLeft w:val="0"/>
      <w:marRight w:val="0"/>
      <w:marTop w:val="0"/>
      <w:marBottom w:val="0"/>
      <w:divBdr>
        <w:top w:val="none" w:sz="0" w:space="0" w:color="auto"/>
        <w:left w:val="none" w:sz="0" w:space="0" w:color="auto"/>
        <w:bottom w:val="none" w:sz="0" w:space="0" w:color="auto"/>
        <w:right w:val="none" w:sz="0" w:space="0" w:color="auto"/>
      </w:divBdr>
    </w:div>
    <w:div w:id="869681636">
      <w:bodyDiv w:val="1"/>
      <w:marLeft w:val="0"/>
      <w:marRight w:val="0"/>
      <w:marTop w:val="0"/>
      <w:marBottom w:val="0"/>
      <w:divBdr>
        <w:top w:val="none" w:sz="0" w:space="0" w:color="auto"/>
        <w:left w:val="none" w:sz="0" w:space="0" w:color="auto"/>
        <w:bottom w:val="none" w:sz="0" w:space="0" w:color="auto"/>
        <w:right w:val="none" w:sz="0" w:space="0" w:color="auto"/>
      </w:divBdr>
    </w:div>
    <w:div w:id="904534547">
      <w:bodyDiv w:val="1"/>
      <w:marLeft w:val="0"/>
      <w:marRight w:val="0"/>
      <w:marTop w:val="0"/>
      <w:marBottom w:val="0"/>
      <w:divBdr>
        <w:top w:val="none" w:sz="0" w:space="0" w:color="auto"/>
        <w:left w:val="none" w:sz="0" w:space="0" w:color="auto"/>
        <w:bottom w:val="none" w:sz="0" w:space="0" w:color="auto"/>
        <w:right w:val="none" w:sz="0" w:space="0" w:color="auto"/>
      </w:divBdr>
    </w:div>
    <w:div w:id="919173976">
      <w:bodyDiv w:val="1"/>
      <w:marLeft w:val="0"/>
      <w:marRight w:val="0"/>
      <w:marTop w:val="0"/>
      <w:marBottom w:val="0"/>
      <w:divBdr>
        <w:top w:val="none" w:sz="0" w:space="0" w:color="auto"/>
        <w:left w:val="none" w:sz="0" w:space="0" w:color="auto"/>
        <w:bottom w:val="none" w:sz="0" w:space="0" w:color="auto"/>
        <w:right w:val="none" w:sz="0" w:space="0" w:color="auto"/>
      </w:divBdr>
    </w:div>
    <w:div w:id="919213281">
      <w:bodyDiv w:val="1"/>
      <w:marLeft w:val="0"/>
      <w:marRight w:val="0"/>
      <w:marTop w:val="0"/>
      <w:marBottom w:val="0"/>
      <w:divBdr>
        <w:top w:val="none" w:sz="0" w:space="0" w:color="auto"/>
        <w:left w:val="none" w:sz="0" w:space="0" w:color="auto"/>
        <w:bottom w:val="none" w:sz="0" w:space="0" w:color="auto"/>
        <w:right w:val="none" w:sz="0" w:space="0" w:color="auto"/>
      </w:divBdr>
      <w:divsChild>
        <w:div w:id="1609579769">
          <w:marLeft w:val="446"/>
          <w:marRight w:val="0"/>
          <w:marTop w:val="60"/>
          <w:marBottom w:val="0"/>
          <w:divBdr>
            <w:top w:val="none" w:sz="0" w:space="0" w:color="auto"/>
            <w:left w:val="none" w:sz="0" w:space="0" w:color="auto"/>
            <w:bottom w:val="none" w:sz="0" w:space="0" w:color="auto"/>
            <w:right w:val="none" w:sz="0" w:space="0" w:color="auto"/>
          </w:divBdr>
        </w:div>
        <w:div w:id="896237324">
          <w:marLeft w:val="446"/>
          <w:marRight w:val="0"/>
          <w:marTop w:val="60"/>
          <w:marBottom w:val="0"/>
          <w:divBdr>
            <w:top w:val="none" w:sz="0" w:space="0" w:color="auto"/>
            <w:left w:val="none" w:sz="0" w:space="0" w:color="auto"/>
            <w:bottom w:val="none" w:sz="0" w:space="0" w:color="auto"/>
            <w:right w:val="none" w:sz="0" w:space="0" w:color="auto"/>
          </w:divBdr>
        </w:div>
        <w:div w:id="310254957">
          <w:marLeft w:val="446"/>
          <w:marRight w:val="0"/>
          <w:marTop w:val="60"/>
          <w:marBottom w:val="0"/>
          <w:divBdr>
            <w:top w:val="none" w:sz="0" w:space="0" w:color="auto"/>
            <w:left w:val="none" w:sz="0" w:space="0" w:color="auto"/>
            <w:bottom w:val="none" w:sz="0" w:space="0" w:color="auto"/>
            <w:right w:val="none" w:sz="0" w:space="0" w:color="auto"/>
          </w:divBdr>
        </w:div>
        <w:div w:id="204873933">
          <w:marLeft w:val="446"/>
          <w:marRight w:val="0"/>
          <w:marTop w:val="60"/>
          <w:marBottom w:val="0"/>
          <w:divBdr>
            <w:top w:val="none" w:sz="0" w:space="0" w:color="auto"/>
            <w:left w:val="none" w:sz="0" w:space="0" w:color="auto"/>
            <w:bottom w:val="none" w:sz="0" w:space="0" w:color="auto"/>
            <w:right w:val="none" w:sz="0" w:space="0" w:color="auto"/>
          </w:divBdr>
        </w:div>
        <w:div w:id="59376766">
          <w:marLeft w:val="446"/>
          <w:marRight w:val="0"/>
          <w:marTop w:val="60"/>
          <w:marBottom w:val="0"/>
          <w:divBdr>
            <w:top w:val="none" w:sz="0" w:space="0" w:color="auto"/>
            <w:left w:val="none" w:sz="0" w:space="0" w:color="auto"/>
            <w:bottom w:val="none" w:sz="0" w:space="0" w:color="auto"/>
            <w:right w:val="none" w:sz="0" w:space="0" w:color="auto"/>
          </w:divBdr>
        </w:div>
        <w:div w:id="1940522424">
          <w:marLeft w:val="446"/>
          <w:marRight w:val="0"/>
          <w:marTop w:val="60"/>
          <w:marBottom w:val="0"/>
          <w:divBdr>
            <w:top w:val="none" w:sz="0" w:space="0" w:color="auto"/>
            <w:left w:val="none" w:sz="0" w:space="0" w:color="auto"/>
            <w:bottom w:val="none" w:sz="0" w:space="0" w:color="auto"/>
            <w:right w:val="none" w:sz="0" w:space="0" w:color="auto"/>
          </w:divBdr>
        </w:div>
        <w:div w:id="2109809874">
          <w:marLeft w:val="446"/>
          <w:marRight w:val="0"/>
          <w:marTop w:val="60"/>
          <w:marBottom w:val="0"/>
          <w:divBdr>
            <w:top w:val="none" w:sz="0" w:space="0" w:color="auto"/>
            <w:left w:val="none" w:sz="0" w:space="0" w:color="auto"/>
            <w:bottom w:val="none" w:sz="0" w:space="0" w:color="auto"/>
            <w:right w:val="none" w:sz="0" w:space="0" w:color="auto"/>
          </w:divBdr>
        </w:div>
        <w:div w:id="573705276">
          <w:marLeft w:val="446"/>
          <w:marRight w:val="0"/>
          <w:marTop w:val="60"/>
          <w:marBottom w:val="0"/>
          <w:divBdr>
            <w:top w:val="none" w:sz="0" w:space="0" w:color="auto"/>
            <w:left w:val="none" w:sz="0" w:space="0" w:color="auto"/>
            <w:bottom w:val="none" w:sz="0" w:space="0" w:color="auto"/>
            <w:right w:val="none" w:sz="0" w:space="0" w:color="auto"/>
          </w:divBdr>
        </w:div>
        <w:div w:id="1672876552">
          <w:marLeft w:val="446"/>
          <w:marRight w:val="0"/>
          <w:marTop w:val="60"/>
          <w:marBottom w:val="0"/>
          <w:divBdr>
            <w:top w:val="none" w:sz="0" w:space="0" w:color="auto"/>
            <w:left w:val="none" w:sz="0" w:space="0" w:color="auto"/>
            <w:bottom w:val="none" w:sz="0" w:space="0" w:color="auto"/>
            <w:right w:val="none" w:sz="0" w:space="0" w:color="auto"/>
          </w:divBdr>
        </w:div>
        <w:div w:id="883374468">
          <w:marLeft w:val="446"/>
          <w:marRight w:val="0"/>
          <w:marTop w:val="60"/>
          <w:marBottom w:val="0"/>
          <w:divBdr>
            <w:top w:val="none" w:sz="0" w:space="0" w:color="auto"/>
            <w:left w:val="none" w:sz="0" w:space="0" w:color="auto"/>
            <w:bottom w:val="none" w:sz="0" w:space="0" w:color="auto"/>
            <w:right w:val="none" w:sz="0" w:space="0" w:color="auto"/>
          </w:divBdr>
        </w:div>
        <w:div w:id="618754580">
          <w:marLeft w:val="446"/>
          <w:marRight w:val="0"/>
          <w:marTop w:val="60"/>
          <w:marBottom w:val="0"/>
          <w:divBdr>
            <w:top w:val="none" w:sz="0" w:space="0" w:color="auto"/>
            <w:left w:val="none" w:sz="0" w:space="0" w:color="auto"/>
            <w:bottom w:val="none" w:sz="0" w:space="0" w:color="auto"/>
            <w:right w:val="none" w:sz="0" w:space="0" w:color="auto"/>
          </w:divBdr>
        </w:div>
        <w:div w:id="1805540836">
          <w:marLeft w:val="446"/>
          <w:marRight w:val="0"/>
          <w:marTop w:val="60"/>
          <w:marBottom w:val="0"/>
          <w:divBdr>
            <w:top w:val="none" w:sz="0" w:space="0" w:color="auto"/>
            <w:left w:val="none" w:sz="0" w:space="0" w:color="auto"/>
            <w:bottom w:val="none" w:sz="0" w:space="0" w:color="auto"/>
            <w:right w:val="none" w:sz="0" w:space="0" w:color="auto"/>
          </w:divBdr>
        </w:div>
        <w:div w:id="840662506">
          <w:marLeft w:val="446"/>
          <w:marRight w:val="0"/>
          <w:marTop w:val="60"/>
          <w:marBottom w:val="0"/>
          <w:divBdr>
            <w:top w:val="none" w:sz="0" w:space="0" w:color="auto"/>
            <w:left w:val="none" w:sz="0" w:space="0" w:color="auto"/>
            <w:bottom w:val="none" w:sz="0" w:space="0" w:color="auto"/>
            <w:right w:val="none" w:sz="0" w:space="0" w:color="auto"/>
          </w:divBdr>
        </w:div>
        <w:div w:id="121926322">
          <w:marLeft w:val="446"/>
          <w:marRight w:val="0"/>
          <w:marTop w:val="60"/>
          <w:marBottom w:val="0"/>
          <w:divBdr>
            <w:top w:val="none" w:sz="0" w:space="0" w:color="auto"/>
            <w:left w:val="none" w:sz="0" w:space="0" w:color="auto"/>
            <w:bottom w:val="none" w:sz="0" w:space="0" w:color="auto"/>
            <w:right w:val="none" w:sz="0" w:space="0" w:color="auto"/>
          </w:divBdr>
        </w:div>
        <w:div w:id="1331954904">
          <w:marLeft w:val="446"/>
          <w:marRight w:val="0"/>
          <w:marTop w:val="60"/>
          <w:marBottom w:val="0"/>
          <w:divBdr>
            <w:top w:val="none" w:sz="0" w:space="0" w:color="auto"/>
            <w:left w:val="none" w:sz="0" w:space="0" w:color="auto"/>
            <w:bottom w:val="none" w:sz="0" w:space="0" w:color="auto"/>
            <w:right w:val="none" w:sz="0" w:space="0" w:color="auto"/>
          </w:divBdr>
        </w:div>
        <w:div w:id="1879197192">
          <w:marLeft w:val="446"/>
          <w:marRight w:val="0"/>
          <w:marTop w:val="60"/>
          <w:marBottom w:val="0"/>
          <w:divBdr>
            <w:top w:val="none" w:sz="0" w:space="0" w:color="auto"/>
            <w:left w:val="none" w:sz="0" w:space="0" w:color="auto"/>
            <w:bottom w:val="none" w:sz="0" w:space="0" w:color="auto"/>
            <w:right w:val="none" w:sz="0" w:space="0" w:color="auto"/>
          </w:divBdr>
        </w:div>
      </w:divsChild>
    </w:div>
    <w:div w:id="922032832">
      <w:bodyDiv w:val="1"/>
      <w:marLeft w:val="0"/>
      <w:marRight w:val="0"/>
      <w:marTop w:val="0"/>
      <w:marBottom w:val="0"/>
      <w:divBdr>
        <w:top w:val="none" w:sz="0" w:space="0" w:color="auto"/>
        <w:left w:val="none" w:sz="0" w:space="0" w:color="auto"/>
        <w:bottom w:val="none" w:sz="0" w:space="0" w:color="auto"/>
        <w:right w:val="none" w:sz="0" w:space="0" w:color="auto"/>
      </w:divBdr>
    </w:div>
    <w:div w:id="969943496">
      <w:bodyDiv w:val="1"/>
      <w:marLeft w:val="0"/>
      <w:marRight w:val="0"/>
      <w:marTop w:val="0"/>
      <w:marBottom w:val="0"/>
      <w:divBdr>
        <w:top w:val="none" w:sz="0" w:space="0" w:color="auto"/>
        <w:left w:val="none" w:sz="0" w:space="0" w:color="auto"/>
        <w:bottom w:val="none" w:sz="0" w:space="0" w:color="auto"/>
        <w:right w:val="none" w:sz="0" w:space="0" w:color="auto"/>
      </w:divBdr>
    </w:div>
    <w:div w:id="977413615">
      <w:bodyDiv w:val="1"/>
      <w:marLeft w:val="0"/>
      <w:marRight w:val="0"/>
      <w:marTop w:val="0"/>
      <w:marBottom w:val="0"/>
      <w:divBdr>
        <w:top w:val="none" w:sz="0" w:space="0" w:color="auto"/>
        <w:left w:val="none" w:sz="0" w:space="0" w:color="auto"/>
        <w:bottom w:val="none" w:sz="0" w:space="0" w:color="auto"/>
        <w:right w:val="none" w:sz="0" w:space="0" w:color="auto"/>
      </w:divBdr>
      <w:divsChild>
        <w:div w:id="32928434">
          <w:marLeft w:val="446"/>
          <w:marRight w:val="0"/>
          <w:marTop w:val="0"/>
          <w:marBottom w:val="0"/>
          <w:divBdr>
            <w:top w:val="none" w:sz="0" w:space="0" w:color="auto"/>
            <w:left w:val="none" w:sz="0" w:space="0" w:color="auto"/>
            <w:bottom w:val="none" w:sz="0" w:space="0" w:color="auto"/>
            <w:right w:val="none" w:sz="0" w:space="0" w:color="auto"/>
          </w:divBdr>
        </w:div>
        <w:div w:id="98722454">
          <w:marLeft w:val="446"/>
          <w:marRight w:val="0"/>
          <w:marTop w:val="0"/>
          <w:marBottom w:val="0"/>
          <w:divBdr>
            <w:top w:val="none" w:sz="0" w:space="0" w:color="auto"/>
            <w:left w:val="none" w:sz="0" w:space="0" w:color="auto"/>
            <w:bottom w:val="none" w:sz="0" w:space="0" w:color="auto"/>
            <w:right w:val="none" w:sz="0" w:space="0" w:color="auto"/>
          </w:divBdr>
        </w:div>
        <w:div w:id="1771075957">
          <w:marLeft w:val="446"/>
          <w:marRight w:val="0"/>
          <w:marTop w:val="0"/>
          <w:marBottom w:val="0"/>
          <w:divBdr>
            <w:top w:val="none" w:sz="0" w:space="0" w:color="auto"/>
            <w:left w:val="none" w:sz="0" w:space="0" w:color="auto"/>
            <w:bottom w:val="none" w:sz="0" w:space="0" w:color="auto"/>
            <w:right w:val="none" w:sz="0" w:space="0" w:color="auto"/>
          </w:divBdr>
        </w:div>
      </w:divsChild>
    </w:div>
    <w:div w:id="1051540440">
      <w:bodyDiv w:val="1"/>
      <w:marLeft w:val="0"/>
      <w:marRight w:val="0"/>
      <w:marTop w:val="0"/>
      <w:marBottom w:val="0"/>
      <w:divBdr>
        <w:top w:val="none" w:sz="0" w:space="0" w:color="auto"/>
        <w:left w:val="none" w:sz="0" w:space="0" w:color="auto"/>
        <w:bottom w:val="none" w:sz="0" w:space="0" w:color="auto"/>
        <w:right w:val="none" w:sz="0" w:space="0" w:color="auto"/>
      </w:divBdr>
    </w:div>
    <w:div w:id="1129276292">
      <w:bodyDiv w:val="1"/>
      <w:marLeft w:val="0"/>
      <w:marRight w:val="0"/>
      <w:marTop w:val="0"/>
      <w:marBottom w:val="0"/>
      <w:divBdr>
        <w:top w:val="none" w:sz="0" w:space="0" w:color="auto"/>
        <w:left w:val="none" w:sz="0" w:space="0" w:color="auto"/>
        <w:bottom w:val="none" w:sz="0" w:space="0" w:color="auto"/>
        <w:right w:val="none" w:sz="0" w:space="0" w:color="auto"/>
      </w:divBdr>
    </w:div>
    <w:div w:id="1148938409">
      <w:bodyDiv w:val="1"/>
      <w:marLeft w:val="0"/>
      <w:marRight w:val="0"/>
      <w:marTop w:val="0"/>
      <w:marBottom w:val="0"/>
      <w:divBdr>
        <w:top w:val="none" w:sz="0" w:space="0" w:color="auto"/>
        <w:left w:val="none" w:sz="0" w:space="0" w:color="auto"/>
        <w:bottom w:val="none" w:sz="0" w:space="0" w:color="auto"/>
        <w:right w:val="none" w:sz="0" w:space="0" w:color="auto"/>
      </w:divBdr>
    </w:div>
    <w:div w:id="1160314961">
      <w:bodyDiv w:val="1"/>
      <w:marLeft w:val="0"/>
      <w:marRight w:val="0"/>
      <w:marTop w:val="0"/>
      <w:marBottom w:val="0"/>
      <w:divBdr>
        <w:top w:val="none" w:sz="0" w:space="0" w:color="auto"/>
        <w:left w:val="none" w:sz="0" w:space="0" w:color="auto"/>
        <w:bottom w:val="none" w:sz="0" w:space="0" w:color="auto"/>
        <w:right w:val="none" w:sz="0" w:space="0" w:color="auto"/>
      </w:divBdr>
    </w:div>
    <w:div w:id="1275671147">
      <w:bodyDiv w:val="1"/>
      <w:marLeft w:val="0"/>
      <w:marRight w:val="0"/>
      <w:marTop w:val="0"/>
      <w:marBottom w:val="0"/>
      <w:divBdr>
        <w:top w:val="none" w:sz="0" w:space="0" w:color="auto"/>
        <w:left w:val="none" w:sz="0" w:space="0" w:color="auto"/>
        <w:bottom w:val="none" w:sz="0" w:space="0" w:color="auto"/>
        <w:right w:val="none" w:sz="0" w:space="0" w:color="auto"/>
      </w:divBdr>
    </w:div>
    <w:div w:id="1283539073">
      <w:bodyDiv w:val="1"/>
      <w:marLeft w:val="0"/>
      <w:marRight w:val="0"/>
      <w:marTop w:val="0"/>
      <w:marBottom w:val="0"/>
      <w:divBdr>
        <w:top w:val="none" w:sz="0" w:space="0" w:color="auto"/>
        <w:left w:val="none" w:sz="0" w:space="0" w:color="auto"/>
        <w:bottom w:val="none" w:sz="0" w:space="0" w:color="auto"/>
        <w:right w:val="none" w:sz="0" w:space="0" w:color="auto"/>
      </w:divBdr>
    </w:div>
    <w:div w:id="1332414025">
      <w:bodyDiv w:val="1"/>
      <w:marLeft w:val="0"/>
      <w:marRight w:val="0"/>
      <w:marTop w:val="0"/>
      <w:marBottom w:val="0"/>
      <w:divBdr>
        <w:top w:val="none" w:sz="0" w:space="0" w:color="auto"/>
        <w:left w:val="none" w:sz="0" w:space="0" w:color="auto"/>
        <w:bottom w:val="none" w:sz="0" w:space="0" w:color="auto"/>
        <w:right w:val="none" w:sz="0" w:space="0" w:color="auto"/>
      </w:divBdr>
    </w:div>
    <w:div w:id="1376395761">
      <w:bodyDiv w:val="1"/>
      <w:marLeft w:val="0"/>
      <w:marRight w:val="0"/>
      <w:marTop w:val="0"/>
      <w:marBottom w:val="0"/>
      <w:divBdr>
        <w:top w:val="none" w:sz="0" w:space="0" w:color="auto"/>
        <w:left w:val="none" w:sz="0" w:space="0" w:color="auto"/>
        <w:bottom w:val="none" w:sz="0" w:space="0" w:color="auto"/>
        <w:right w:val="none" w:sz="0" w:space="0" w:color="auto"/>
      </w:divBdr>
    </w:div>
    <w:div w:id="1454396627">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26090874">
      <w:bodyDiv w:val="1"/>
      <w:marLeft w:val="0"/>
      <w:marRight w:val="0"/>
      <w:marTop w:val="0"/>
      <w:marBottom w:val="0"/>
      <w:divBdr>
        <w:top w:val="none" w:sz="0" w:space="0" w:color="auto"/>
        <w:left w:val="none" w:sz="0" w:space="0" w:color="auto"/>
        <w:bottom w:val="none" w:sz="0" w:space="0" w:color="auto"/>
        <w:right w:val="none" w:sz="0" w:space="0" w:color="auto"/>
      </w:divBdr>
    </w:div>
    <w:div w:id="1572034854">
      <w:bodyDiv w:val="1"/>
      <w:marLeft w:val="0"/>
      <w:marRight w:val="0"/>
      <w:marTop w:val="0"/>
      <w:marBottom w:val="0"/>
      <w:divBdr>
        <w:top w:val="none" w:sz="0" w:space="0" w:color="auto"/>
        <w:left w:val="none" w:sz="0" w:space="0" w:color="auto"/>
        <w:bottom w:val="none" w:sz="0" w:space="0" w:color="auto"/>
        <w:right w:val="none" w:sz="0" w:space="0" w:color="auto"/>
      </w:divBdr>
    </w:div>
    <w:div w:id="1643075966">
      <w:bodyDiv w:val="1"/>
      <w:marLeft w:val="0"/>
      <w:marRight w:val="0"/>
      <w:marTop w:val="0"/>
      <w:marBottom w:val="0"/>
      <w:divBdr>
        <w:top w:val="none" w:sz="0" w:space="0" w:color="auto"/>
        <w:left w:val="none" w:sz="0" w:space="0" w:color="auto"/>
        <w:bottom w:val="none" w:sz="0" w:space="0" w:color="auto"/>
        <w:right w:val="none" w:sz="0" w:space="0" w:color="auto"/>
      </w:divBdr>
    </w:div>
    <w:div w:id="1691564459">
      <w:bodyDiv w:val="1"/>
      <w:marLeft w:val="0"/>
      <w:marRight w:val="0"/>
      <w:marTop w:val="0"/>
      <w:marBottom w:val="0"/>
      <w:divBdr>
        <w:top w:val="none" w:sz="0" w:space="0" w:color="auto"/>
        <w:left w:val="none" w:sz="0" w:space="0" w:color="auto"/>
        <w:bottom w:val="none" w:sz="0" w:space="0" w:color="auto"/>
        <w:right w:val="none" w:sz="0" w:space="0" w:color="auto"/>
      </w:divBdr>
    </w:div>
    <w:div w:id="1720859404">
      <w:bodyDiv w:val="1"/>
      <w:marLeft w:val="0"/>
      <w:marRight w:val="0"/>
      <w:marTop w:val="0"/>
      <w:marBottom w:val="0"/>
      <w:divBdr>
        <w:top w:val="none" w:sz="0" w:space="0" w:color="auto"/>
        <w:left w:val="none" w:sz="0" w:space="0" w:color="auto"/>
        <w:bottom w:val="none" w:sz="0" w:space="0" w:color="auto"/>
        <w:right w:val="none" w:sz="0" w:space="0" w:color="auto"/>
      </w:divBdr>
    </w:div>
    <w:div w:id="1762678097">
      <w:bodyDiv w:val="1"/>
      <w:marLeft w:val="0"/>
      <w:marRight w:val="0"/>
      <w:marTop w:val="0"/>
      <w:marBottom w:val="0"/>
      <w:divBdr>
        <w:top w:val="none" w:sz="0" w:space="0" w:color="auto"/>
        <w:left w:val="none" w:sz="0" w:space="0" w:color="auto"/>
        <w:bottom w:val="none" w:sz="0" w:space="0" w:color="auto"/>
        <w:right w:val="none" w:sz="0" w:space="0" w:color="auto"/>
      </w:divBdr>
    </w:div>
    <w:div w:id="1788425504">
      <w:bodyDiv w:val="1"/>
      <w:marLeft w:val="0"/>
      <w:marRight w:val="0"/>
      <w:marTop w:val="0"/>
      <w:marBottom w:val="0"/>
      <w:divBdr>
        <w:top w:val="none" w:sz="0" w:space="0" w:color="auto"/>
        <w:left w:val="none" w:sz="0" w:space="0" w:color="auto"/>
        <w:bottom w:val="none" w:sz="0" w:space="0" w:color="auto"/>
        <w:right w:val="none" w:sz="0" w:space="0" w:color="auto"/>
      </w:divBdr>
    </w:div>
    <w:div w:id="1790314023">
      <w:bodyDiv w:val="1"/>
      <w:marLeft w:val="0"/>
      <w:marRight w:val="0"/>
      <w:marTop w:val="0"/>
      <w:marBottom w:val="0"/>
      <w:divBdr>
        <w:top w:val="none" w:sz="0" w:space="0" w:color="auto"/>
        <w:left w:val="none" w:sz="0" w:space="0" w:color="auto"/>
        <w:bottom w:val="none" w:sz="0" w:space="0" w:color="auto"/>
        <w:right w:val="none" w:sz="0" w:space="0" w:color="auto"/>
      </w:divBdr>
    </w:div>
    <w:div w:id="1817995017">
      <w:bodyDiv w:val="1"/>
      <w:marLeft w:val="0"/>
      <w:marRight w:val="0"/>
      <w:marTop w:val="0"/>
      <w:marBottom w:val="0"/>
      <w:divBdr>
        <w:top w:val="none" w:sz="0" w:space="0" w:color="auto"/>
        <w:left w:val="none" w:sz="0" w:space="0" w:color="auto"/>
        <w:bottom w:val="none" w:sz="0" w:space="0" w:color="auto"/>
        <w:right w:val="none" w:sz="0" w:space="0" w:color="auto"/>
      </w:divBdr>
      <w:divsChild>
        <w:div w:id="1262492691">
          <w:marLeft w:val="346"/>
          <w:marRight w:val="0"/>
          <w:marTop w:val="60"/>
          <w:marBottom w:val="60"/>
          <w:divBdr>
            <w:top w:val="none" w:sz="0" w:space="0" w:color="auto"/>
            <w:left w:val="none" w:sz="0" w:space="0" w:color="auto"/>
            <w:bottom w:val="none" w:sz="0" w:space="0" w:color="auto"/>
            <w:right w:val="none" w:sz="0" w:space="0" w:color="auto"/>
          </w:divBdr>
        </w:div>
        <w:div w:id="1269696289">
          <w:marLeft w:val="346"/>
          <w:marRight w:val="0"/>
          <w:marTop w:val="60"/>
          <w:marBottom w:val="60"/>
          <w:divBdr>
            <w:top w:val="none" w:sz="0" w:space="0" w:color="auto"/>
            <w:left w:val="none" w:sz="0" w:space="0" w:color="auto"/>
            <w:bottom w:val="none" w:sz="0" w:space="0" w:color="auto"/>
            <w:right w:val="none" w:sz="0" w:space="0" w:color="auto"/>
          </w:divBdr>
        </w:div>
        <w:div w:id="709493448">
          <w:marLeft w:val="677"/>
          <w:marRight w:val="0"/>
          <w:marTop w:val="60"/>
          <w:marBottom w:val="60"/>
          <w:divBdr>
            <w:top w:val="none" w:sz="0" w:space="0" w:color="auto"/>
            <w:left w:val="none" w:sz="0" w:space="0" w:color="auto"/>
            <w:bottom w:val="none" w:sz="0" w:space="0" w:color="auto"/>
            <w:right w:val="none" w:sz="0" w:space="0" w:color="auto"/>
          </w:divBdr>
        </w:div>
        <w:div w:id="548302533">
          <w:marLeft w:val="346"/>
          <w:marRight w:val="0"/>
          <w:marTop w:val="60"/>
          <w:marBottom w:val="60"/>
          <w:divBdr>
            <w:top w:val="none" w:sz="0" w:space="0" w:color="auto"/>
            <w:left w:val="none" w:sz="0" w:space="0" w:color="auto"/>
            <w:bottom w:val="none" w:sz="0" w:space="0" w:color="auto"/>
            <w:right w:val="none" w:sz="0" w:space="0" w:color="auto"/>
          </w:divBdr>
        </w:div>
        <w:div w:id="583074214">
          <w:marLeft w:val="346"/>
          <w:marRight w:val="0"/>
          <w:marTop w:val="60"/>
          <w:marBottom w:val="60"/>
          <w:divBdr>
            <w:top w:val="none" w:sz="0" w:space="0" w:color="auto"/>
            <w:left w:val="none" w:sz="0" w:space="0" w:color="auto"/>
            <w:bottom w:val="none" w:sz="0" w:space="0" w:color="auto"/>
            <w:right w:val="none" w:sz="0" w:space="0" w:color="auto"/>
          </w:divBdr>
        </w:div>
        <w:div w:id="964576085">
          <w:marLeft w:val="346"/>
          <w:marRight w:val="0"/>
          <w:marTop w:val="60"/>
          <w:marBottom w:val="60"/>
          <w:divBdr>
            <w:top w:val="none" w:sz="0" w:space="0" w:color="auto"/>
            <w:left w:val="none" w:sz="0" w:space="0" w:color="auto"/>
            <w:bottom w:val="none" w:sz="0" w:space="0" w:color="auto"/>
            <w:right w:val="none" w:sz="0" w:space="0" w:color="auto"/>
          </w:divBdr>
        </w:div>
        <w:div w:id="818615902">
          <w:marLeft w:val="346"/>
          <w:marRight w:val="0"/>
          <w:marTop w:val="60"/>
          <w:marBottom w:val="60"/>
          <w:divBdr>
            <w:top w:val="none" w:sz="0" w:space="0" w:color="auto"/>
            <w:left w:val="none" w:sz="0" w:space="0" w:color="auto"/>
            <w:bottom w:val="none" w:sz="0" w:space="0" w:color="auto"/>
            <w:right w:val="none" w:sz="0" w:space="0" w:color="auto"/>
          </w:divBdr>
        </w:div>
        <w:div w:id="124667246">
          <w:marLeft w:val="346"/>
          <w:marRight w:val="0"/>
          <w:marTop w:val="60"/>
          <w:marBottom w:val="60"/>
          <w:divBdr>
            <w:top w:val="none" w:sz="0" w:space="0" w:color="auto"/>
            <w:left w:val="none" w:sz="0" w:space="0" w:color="auto"/>
            <w:bottom w:val="none" w:sz="0" w:space="0" w:color="auto"/>
            <w:right w:val="none" w:sz="0" w:space="0" w:color="auto"/>
          </w:divBdr>
        </w:div>
        <w:div w:id="561868480">
          <w:marLeft w:val="346"/>
          <w:marRight w:val="0"/>
          <w:marTop w:val="60"/>
          <w:marBottom w:val="60"/>
          <w:divBdr>
            <w:top w:val="none" w:sz="0" w:space="0" w:color="auto"/>
            <w:left w:val="none" w:sz="0" w:space="0" w:color="auto"/>
            <w:bottom w:val="none" w:sz="0" w:space="0" w:color="auto"/>
            <w:right w:val="none" w:sz="0" w:space="0" w:color="auto"/>
          </w:divBdr>
        </w:div>
      </w:divsChild>
    </w:div>
    <w:div w:id="1841696058">
      <w:bodyDiv w:val="1"/>
      <w:marLeft w:val="0"/>
      <w:marRight w:val="0"/>
      <w:marTop w:val="0"/>
      <w:marBottom w:val="0"/>
      <w:divBdr>
        <w:top w:val="none" w:sz="0" w:space="0" w:color="auto"/>
        <w:left w:val="none" w:sz="0" w:space="0" w:color="auto"/>
        <w:bottom w:val="none" w:sz="0" w:space="0" w:color="auto"/>
        <w:right w:val="none" w:sz="0" w:space="0" w:color="auto"/>
      </w:divBdr>
    </w:div>
    <w:div w:id="1869483387">
      <w:bodyDiv w:val="1"/>
      <w:marLeft w:val="0"/>
      <w:marRight w:val="0"/>
      <w:marTop w:val="0"/>
      <w:marBottom w:val="0"/>
      <w:divBdr>
        <w:top w:val="none" w:sz="0" w:space="0" w:color="auto"/>
        <w:left w:val="none" w:sz="0" w:space="0" w:color="auto"/>
        <w:bottom w:val="none" w:sz="0" w:space="0" w:color="auto"/>
        <w:right w:val="none" w:sz="0" w:space="0" w:color="auto"/>
      </w:divBdr>
    </w:div>
    <w:div w:id="1898665512">
      <w:bodyDiv w:val="1"/>
      <w:marLeft w:val="0"/>
      <w:marRight w:val="0"/>
      <w:marTop w:val="0"/>
      <w:marBottom w:val="0"/>
      <w:divBdr>
        <w:top w:val="none" w:sz="0" w:space="0" w:color="auto"/>
        <w:left w:val="none" w:sz="0" w:space="0" w:color="auto"/>
        <w:bottom w:val="none" w:sz="0" w:space="0" w:color="auto"/>
        <w:right w:val="none" w:sz="0" w:space="0" w:color="auto"/>
      </w:divBdr>
    </w:div>
    <w:div w:id="2018186914">
      <w:bodyDiv w:val="1"/>
      <w:marLeft w:val="0"/>
      <w:marRight w:val="0"/>
      <w:marTop w:val="0"/>
      <w:marBottom w:val="0"/>
      <w:divBdr>
        <w:top w:val="none" w:sz="0" w:space="0" w:color="auto"/>
        <w:left w:val="none" w:sz="0" w:space="0" w:color="auto"/>
        <w:bottom w:val="none" w:sz="0" w:space="0" w:color="auto"/>
        <w:right w:val="none" w:sz="0" w:space="0" w:color="auto"/>
      </w:divBdr>
      <w:divsChild>
        <w:div w:id="1960333425">
          <w:marLeft w:val="547"/>
          <w:marRight w:val="0"/>
          <w:marTop w:val="120"/>
          <w:marBottom w:val="0"/>
          <w:divBdr>
            <w:top w:val="none" w:sz="0" w:space="0" w:color="auto"/>
            <w:left w:val="none" w:sz="0" w:space="0" w:color="auto"/>
            <w:bottom w:val="none" w:sz="0" w:space="0" w:color="auto"/>
            <w:right w:val="none" w:sz="0" w:space="0" w:color="auto"/>
          </w:divBdr>
        </w:div>
        <w:div w:id="1978366827">
          <w:marLeft w:val="547"/>
          <w:marRight w:val="0"/>
          <w:marTop w:val="120"/>
          <w:marBottom w:val="0"/>
          <w:divBdr>
            <w:top w:val="none" w:sz="0" w:space="0" w:color="auto"/>
            <w:left w:val="none" w:sz="0" w:space="0" w:color="auto"/>
            <w:bottom w:val="none" w:sz="0" w:space="0" w:color="auto"/>
            <w:right w:val="none" w:sz="0" w:space="0" w:color="auto"/>
          </w:divBdr>
        </w:div>
        <w:div w:id="1189442448">
          <w:marLeft w:val="547"/>
          <w:marRight w:val="0"/>
          <w:marTop w:val="120"/>
          <w:marBottom w:val="0"/>
          <w:divBdr>
            <w:top w:val="none" w:sz="0" w:space="0" w:color="auto"/>
            <w:left w:val="none" w:sz="0" w:space="0" w:color="auto"/>
            <w:bottom w:val="none" w:sz="0" w:space="0" w:color="auto"/>
            <w:right w:val="none" w:sz="0" w:space="0" w:color="auto"/>
          </w:divBdr>
        </w:div>
      </w:divsChild>
    </w:div>
    <w:div w:id="2045671985">
      <w:bodyDiv w:val="1"/>
      <w:marLeft w:val="0"/>
      <w:marRight w:val="0"/>
      <w:marTop w:val="0"/>
      <w:marBottom w:val="0"/>
      <w:divBdr>
        <w:top w:val="none" w:sz="0" w:space="0" w:color="auto"/>
        <w:left w:val="none" w:sz="0" w:space="0" w:color="auto"/>
        <w:bottom w:val="none" w:sz="0" w:space="0" w:color="auto"/>
        <w:right w:val="none" w:sz="0" w:space="0" w:color="auto"/>
      </w:divBdr>
      <w:divsChild>
        <w:div w:id="1921400845">
          <w:marLeft w:val="274"/>
          <w:marRight w:val="0"/>
          <w:marTop w:val="120"/>
          <w:marBottom w:val="120"/>
          <w:divBdr>
            <w:top w:val="none" w:sz="0" w:space="0" w:color="auto"/>
            <w:left w:val="none" w:sz="0" w:space="0" w:color="auto"/>
            <w:bottom w:val="none" w:sz="0" w:space="0" w:color="auto"/>
            <w:right w:val="none" w:sz="0" w:space="0" w:color="auto"/>
          </w:divBdr>
        </w:div>
        <w:div w:id="341587158">
          <w:marLeft w:val="274"/>
          <w:marRight w:val="0"/>
          <w:marTop w:val="120"/>
          <w:marBottom w:val="120"/>
          <w:divBdr>
            <w:top w:val="none" w:sz="0" w:space="0" w:color="auto"/>
            <w:left w:val="none" w:sz="0" w:space="0" w:color="auto"/>
            <w:bottom w:val="none" w:sz="0" w:space="0" w:color="auto"/>
            <w:right w:val="none" w:sz="0" w:space="0" w:color="auto"/>
          </w:divBdr>
        </w:div>
        <w:div w:id="1411997574">
          <w:marLeft w:val="274"/>
          <w:marRight w:val="0"/>
          <w:marTop w:val="120"/>
          <w:marBottom w:val="120"/>
          <w:divBdr>
            <w:top w:val="none" w:sz="0" w:space="0" w:color="auto"/>
            <w:left w:val="none" w:sz="0" w:space="0" w:color="auto"/>
            <w:bottom w:val="none" w:sz="0" w:space="0" w:color="auto"/>
            <w:right w:val="none" w:sz="0" w:space="0" w:color="auto"/>
          </w:divBdr>
        </w:div>
        <w:div w:id="808522892">
          <w:marLeft w:val="274"/>
          <w:marRight w:val="0"/>
          <w:marTop w:val="120"/>
          <w:marBottom w:val="120"/>
          <w:divBdr>
            <w:top w:val="none" w:sz="0" w:space="0" w:color="auto"/>
            <w:left w:val="none" w:sz="0" w:space="0" w:color="auto"/>
            <w:bottom w:val="none" w:sz="0" w:space="0" w:color="auto"/>
            <w:right w:val="none" w:sz="0" w:space="0" w:color="auto"/>
          </w:divBdr>
        </w:div>
        <w:div w:id="229191387">
          <w:marLeft w:val="1166"/>
          <w:marRight w:val="0"/>
          <w:marTop w:val="120"/>
          <w:marBottom w:val="120"/>
          <w:divBdr>
            <w:top w:val="none" w:sz="0" w:space="0" w:color="auto"/>
            <w:left w:val="none" w:sz="0" w:space="0" w:color="auto"/>
            <w:bottom w:val="none" w:sz="0" w:space="0" w:color="auto"/>
            <w:right w:val="none" w:sz="0" w:space="0" w:color="auto"/>
          </w:divBdr>
        </w:div>
        <w:div w:id="1348294515">
          <w:marLeft w:val="274"/>
          <w:marRight w:val="0"/>
          <w:marTop w:val="120"/>
          <w:marBottom w:val="120"/>
          <w:divBdr>
            <w:top w:val="none" w:sz="0" w:space="0" w:color="auto"/>
            <w:left w:val="none" w:sz="0" w:space="0" w:color="auto"/>
            <w:bottom w:val="none" w:sz="0" w:space="0" w:color="auto"/>
            <w:right w:val="none" w:sz="0" w:space="0" w:color="auto"/>
          </w:divBdr>
        </w:div>
      </w:divsChild>
    </w:div>
    <w:div w:id="2067684816">
      <w:bodyDiv w:val="1"/>
      <w:marLeft w:val="0"/>
      <w:marRight w:val="0"/>
      <w:marTop w:val="0"/>
      <w:marBottom w:val="0"/>
      <w:divBdr>
        <w:top w:val="none" w:sz="0" w:space="0" w:color="auto"/>
        <w:left w:val="none" w:sz="0" w:space="0" w:color="auto"/>
        <w:bottom w:val="none" w:sz="0" w:space="0" w:color="auto"/>
        <w:right w:val="none" w:sz="0" w:space="0" w:color="auto"/>
      </w:divBdr>
    </w:div>
    <w:div w:id="2092001006">
      <w:bodyDiv w:val="1"/>
      <w:marLeft w:val="0"/>
      <w:marRight w:val="0"/>
      <w:marTop w:val="0"/>
      <w:marBottom w:val="0"/>
      <w:divBdr>
        <w:top w:val="none" w:sz="0" w:space="0" w:color="auto"/>
        <w:left w:val="none" w:sz="0" w:space="0" w:color="auto"/>
        <w:bottom w:val="none" w:sz="0" w:space="0" w:color="auto"/>
        <w:right w:val="none" w:sz="0" w:space="0" w:color="auto"/>
      </w:divBdr>
    </w:div>
    <w:div w:id="2095347674">
      <w:bodyDiv w:val="1"/>
      <w:marLeft w:val="0"/>
      <w:marRight w:val="0"/>
      <w:marTop w:val="0"/>
      <w:marBottom w:val="0"/>
      <w:divBdr>
        <w:top w:val="none" w:sz="0" w:space="0" w:color="auto"/>
        <w:left w:val="none" w:sz="0" w:space="0" w:color="auto"/>
        <w:bottom w:val="none" w:sz="0" w:space="0" w:color="auto"/>
        <w:right w:val="none" w:sz="0" w:space="0" w:color="auto"/>
      </w:divBdr>
      <w:divsChild>
        <w:div w:id="79722352">
          <w:marLeft w:val="446"/>
          <w:marRight w:val="0"/>
          <w:marTop w:val="60"/>
          <w:marBottom w:val="0"/>
          <w:divBdr>
            <w:top w:val="none" w:sz="0" w:space="0" w:color="auto"/>
            <w:left w:val="none" w:sz="0" w:space="0" w:color="auto"/>
            <w:bottom w:val="none" w:sz="0" w:space="0" w:color="auto"/>
            <w:right w:val="none" w:sz="0" w:space="0" w:color="auto"/>
          </w:divBdr>
        </w:div>
        <w:div w:id="31615543">
          <w:marLeft w:val="446"/>
          <w:marRight w:val="0"/>
          <w:marTop w:val="60"/>
          <w:marBottom w:val="0"/>
          <w:divBdr>
            <w:top w:val="none" w:sz="0" w:space="0" w:color="auto"/>
            <w:left w:val="none" w:sz="0" w:space="0" w:color="auto"/>
            <w:bottom w:val="none" w:sz="0" w:space="0" w:color="auto"/>
            <w:right w:val="none" w:sz="0" w:space="0" w:color="auto"/>
          </w:divBdr>
        </w:div>
        <w:div w:id="1713571777">
          <w:marLeft w:val="446"/>
          <w:marRight w:val="0"/>
          <w:marTop w:val="60"/>
          <w:marBottom w:val="0"/>
          <w:divBdr>
            <w:top w:val="none" w:sz="0" w:space="0" w:color="auto"/>
            <w:left w:val="none" w:sz="0" w:space="0" w:color="auto"/>
            <w:bottom w:val="none" w:sz="0" w:space="0" w:color="auto"/>
            <w:right w:val="none" w:sz="0" w:space="0" w:color="auto"/>
          </w:divBdr>
        </w:div>
        <w:div w:id="1964727659">
          <w:marLeft w:val="446"/>
          <w:marRight w:val="0"/>
          <w:marTop w:val="60"/>
          <w:marBottom w:val="0"/>
          <w:divBdr>
            <w:top w:val="none" w:sz="0" w:space="0" w:color="auto"/>
            <w:left w:val="none" w:sz="0" w:space="0" w:color="auto"/>
            <w:bottom w:val="none" w:sz="0" w:space="0" w:color="auto"/>
            <w:right w:val="none" w:sz="0" w:space="0" w:color="auto"/>
          </w:divBdr>
        </w:div>
        <w:div w:id="1413160054">
          <w:marLeft w:val="446"/>
          <w:marRight w:val="0"/>
          <w:marTop w:val="60"/>
          <w:marBottom w:val="0"/>
          <w:divBdr>
            <w:top w:val="none" w:sz="0" w:space="0" w:color="auto"/>
            <w:left w:val="none" w:sz="0" w:space="0" w:color="auto"/>
            <w:bottom w:val="none" w:sz="0" w:space="0" w:color="auto"/>
            <w:right w:val="none" w:sz="0" w:space="0" w:color="auto"/>
          </w:divBdr>
        </w:div>
        <w:div w:id="788401403">
          <w:marLeft w:val="446"/>
          <w:marRight w:val="0"/>
          <w:marTop w:val="60"/>
          <w:marBottom w:val="0"/>
          <w:divBdr>
            <w:top w:val="none" w:sz="0" w:space="0" w:color="auto"/>
            <w:left w:val="none" w:sz="0" w:space="0" w:color="auto"/>
            <w:bottom w:val="none" w:sz="0" w:space="0" w:color="auto"/>
            <w:right w:val="none" w:sz="0" w:space="0" w:color="auto"/>
          </w:divBdr>
        </w:div>
        <w:div w:id="1746803780">
          <w:marLeft w:val="446"/>
          <w:marRight w:val="0"/>
          <w:marTop w:val="60"/>
          <w:marBottom w:val="0"/>
          <w:divBdr>
            <w:top w:val="none" w:sz="0" w:space="0" w:color="auto"/>
            <w:left w:val="none" w:sz="0" w:space="0" w:color="auto"/>
            <w:bottom w:val="none" w:sz="0" w:space="0" w:color="auto"/>
            <w:right w:val="none" w:sz="0" w:space="0" w:color="auto"/>
          </w:divBdr>
        </w:div>
        <w:div w:id="1796211711">
          <w:marLeft w:val="446"/>
          <w:marRight w:val="0"/>
          <w:marTop w:val="60"/>
          <w:marBottom w:val="0"/>
          <w:divBdr>
            <w:top w:val="none" w:sz="0" w:space="0" w:color="auto"/>
            <w:left w:val="none" w:sz="0" w:space="0" w:color="auto"/>
            <w:bottom w:val="none" w:sz="0" w:space="0" w:color="auto"/>
            <w:right w:val="none" w:sz="0" w:space="0" w:color="auto"/>
          </w:divBdr>
        </w:div>
        <w:div w:id="2135323702">
          <w:marLeft w:val="446"/>
          <w:marRight w:val="0"/>
          <w:marTop w:val="60"/>
          <w:marBottom w:val="0"/>
          <w:divBdr>
            <w:top w:val="none" w:sz="0" w:space="0" w:color="auto"/>
            <w:left w:val="none" w:sz="0" w:space="0" w:color="auto"/>
            <w:bottom w:val="none" w:sz="0" w:space="0" w:color="auto"/>
            <w:right w:val="none" w:sz="0" w:space="0" w:color="auto"/>
          </w:divBdr>
        </w:div>
        <w:div w:id="1842045541">
          <w:marLeft w:val="446"/>
          <w:marRight w:val="0"/>
          <w:marTop w:val="60"/>
          <w:marBottom w:val="0"/>
          <w:divBdr>
            <w:top w:val="none" w:sz="0" w:space="0" w:color="auto"/>
            <w:left w:val="none" w:sz="0" w:space="0" w:color="auto"/>
            <w:bottom w:val="none" w:sz="0" w:space="0" w:color="auto"/>
            <w:right w:val="none" w:sz="0" w:space="0" w:color="auto"/>
          </w:divBdr>
        </w:div>
        <w:div w:id="2041198447">
          <w:marLeft w:val="446"/>
          <w:marRight w:val="0"/>
          <w:marTop w:val="60"/>
          <w:marBottom w:val="0"/>
          <w:divBdr>
            <w:top w:val="none" w:sz="0" w:space="0" w:color="auto"/>
            <w:left w:val="none" w:sz="0" w:space="0" w:color="auto"/>
            <w:bottom w:val="none" w:sz="0" w:space="0" w:color="auto"/>
            <w:right w:val="none" w:sz="0" w:space="0" w:color="auto"/>
          </w:divBdr>
        </w:div>
        <w:div w:id="494225090">
          <w:marLeft w:val="446"/>
          <w:marRight w:val="0"/>
          <w:marTop w:val="60"/>
          <w:marBottom w:val="0"/>
          <w:divBdr>
            <w:top w:val="none" w:sz="0" w:space="0" w:color="auto"/>
            <w:left w:val="none" w:sz="0" w:space="0" w:color="auto"/>
            <w:bottom w:val="none" w:sz="0" w:space="0" w:color="auto"/>
            <w:right w:val="none" w:sz="0" w:space="0" w:color="auto"/>
          </w:divBdr>
        </w:div>
        <w:div w:id="786199016">
          <w:marLeft w:val="446"/>
          <w:marRight w:val="0"/>
          <w:marTop w:val="60"/>
          <w:marBottom w:val="0"/>
          <w:divBdr>
            <w:top w:val="none" w:sz="0" w:space="0" w:color="auto"/>
            <w:left w:val="none" w:sz="0" w:space="0" w:color="auto"/>
            <w:bottom w:val="none" w:sz="0" w:space="0" w:color="auto"/>
            <w:right w:val="none" w:sz="0" w:space="0" w:color="auto"/>
          </w:divBdr>
        </w:div>
        <w:div w:id="939489197">
          <w:marLeft w:val="446"/>
          <w:marRight w:val="0"/>
          <w:marTop w:val="60"/>
          <w:marBottom w:val="0"/>
          <w:divBdr>
            <w:top w:val="none" w:sz="0" w:space="0" w:color="auto"/>
            <w:left w:val="none" w:sz="0" w:space="0" w:color="auto"/>
            <w:bottom w:val="none" w:sz="0" w:space="0" w:color="auto"/>
            <w:right w:val="none" w:sz="0" w:space="0" w:color="auto"/>
          </w:divBdr>
        </w:div>
        <w:div w:id="1301500167">
          <w:marLeft w:val="446"/>
          <w:marRight w:val="0"/>
          <w:marTop w:val="60"/>
          <w:marBottom w:val="0"/>
          <w:divBdr>
            <w:top w:val="none" w:sz="0" w:space="0" w:color="auto"/>
            <w:left w:val="none" w:sz="0" w:space="0" w:color="auto"/>
            <w:bottom w:val="none" w:sz="0" w:space="0" w:color="auto"/>
            <w:right w:val="none" w:sz="0" w:space="0" w:color="auto"/>
          </w:divBdr>
        </w:div>
        <w:div w:id="1479103178">
          <w:marLeft w:val="446"/>
          <w:marRight w:val="0"/>
          <w:marTop w:val="60"/>
          <w:marBottom w:val="0"/>
          <w:divBdr>
            <w:top w:val="none" w:sz="0" w:space="0" w:color="auto"/>
            <w:left w:val="none" w:sz="0" w:space="0" w:color="auto"/>
            <w:bottom w:val="none" w:sz="0" w:space="0" w:color="auto"/>
            <w:right w:val="none" w:sz="0" w:space="0" w:color="auto"/>
          </w:divBdr>
        </w:div>
        <w:div w:id="2037654181">
          <w:marLeft w:val="446"/>
          <w:marRight w:val="0"/>
          <w:marTop w:val="60"/>
          <w:marBottom w:val="0"/>
          <w:divBdr>
            <w:top w:val="none" w:sz="0" w:space="0" w:color="auto"/>
            <w:left w:val="none" w:sz="0" w:space="0" w:color="auto"/>
            <w:bottom w:val="none" w:sz="0" w:space="0" w:color="auto"/>
            <w:right w:val="none" w:sz="0" w:space="0" w:color="auto"/>
          </w:divBdr>
        </w:div>
        <w:div w:id="1055811594">
          <w:marLeft w:val="446"/>
          <w:marRight w:val="0"/>
          <w:marTop w:val="60"/>
          <w:marBottom w:val="0"/>
          <w:divBdr>
            <w:top w:val="none" w:sz="0" w:space="0" w:color="auto"/>
            <w:left w:val="none" w:sz="0" w:space="0" w:color="auto"/>
            <w:bottom w:val="none" w:sz="0" w:space="0" w:color="auto"/>
            <w:right w:val="none" w:sz="0" w:space="0" w:color="auto"/>
          </w:divBdr>
        </w:div>
      </w:divsChild>
    </w:div>
    <w:div w:id="2101438705">
      <w:bodyDiv w:val="1"/>
      <w:marLeft w:val="0"/>
      <w:marRight w:val="0"/>
      <w:marTop w:val="0"/>
      <w:marBottom w:val="0"/>
      <w:divBdr>
        <w:top w:val="none" w:sz="0" w:space="0" w:color="auto"/>
        <w:left w:val="none" w:sz="0" w:space="0" w:color="auto"/>
        <w:bottom w:val="none" w:sz="0" w:space="0" w:color="auto"/>
        <w:right w:val="none" w:sz="0" w:space="0" w:color="auto"/>
      </w:divBdr>
    </w:div>
    <w:div w:id="2116972119">
      <w:bodyDiv w:val="1"/>
      <w:marLeft w:val="0"/>
      <w:marRight w:val="0"/>
      <w:marTop w:val="0"/>
      <w:marBottom w:val="0"/>
      <w:divBdr>
        <w:top w:val="none" w:sz="0" w:space="0" w:color="auto"/>
        <w:left w:val="none" w:sz="0" w:space="0" w:color="auto"/>
        <w:bottom w:val="none" w:sz="0" w:space="0" w:color="auto"/>
        <w:right w:val="none" w:sz="0" w:space="0" w:color="auto"/>
      </w:divBdr>
      <w:divsChild>
        <w:div w:id="901208547">
          <w:marLeft w:val="274"/>
          <w:marRight w:val="0"/>
          <w:marTop w:val="120"/>
          <w:marBottom w:val="120"/>
          <w:divBdr>
            <w:top w:val="none" w:sz="0" w:space="0" w:color="auto"/>
            <w:left w:val="none" w:sz="0" w:space="0" w:color="auto"/>
            <w:bottom w:val="none" w:sz="0" w:space="0" w:color="auto"/>
            <w:right w:val="none" w:sz="0" w:space="0" w:color="auto"/>
          </w:divBdr>
        </w:div>
        <w:div w:id="834220351">
          <w:marLeft w:val="274"/>
          <w:marRight w:val="0"/>
          <w:marTop w:val="120"/>
          <w:marBottom w:val="120"/>
          <w:divBdr>
            <w:top w:val="none" w:sz="0" w:space="0" w:color="auto"/>
            <w:left w:val="none" w:sz="0" w:space="0" w:color="auto"/>
            <w:bottom w:val="none" w:sz="0" w:space="0" w:color="auto"/>
            <w:right w:val="none" w:sz="0" w:space="0" w:color="auto"/>
          </w:divBdr>
        </w:div>
        <w:div w:id="401802344">
          <w:marLeft w:val="274"/>
          <w:marRight w:val="0"/>
          <w:marTop w:val="120"/>
          <w:marBottom w:val="120"/>
          <w:divBdr>
            <w:top w:val="none" w:sz="0" w:space="0" w:color="auto"/>
            <w:left w:val="none" w:sz="0" w:space="0" w:color="auto"/>
            <w:bottom w:val="none" w:sz="0" w:space="0" w:color="auto"/>
            <w:right w:val="none" w:sz="0" w:space="0" w:color="auto"/>
          </w:divBdr>
        </w:div>
        <w:div w:id="608242038">
          <w:marLeft w:val="274"/>
          <w:marRight w:val="0"/>
          <w:marTop w:val="120"/>
          <w:marBottom w:val="120"/>
          <w:divBdr>
            <w:top w:val="none" w:sz="0" w:space="0" w:color="auto"/>
            <w:left w:val="none" w:sz="0" w:space="0" w:color="auto"/>
            <w:bottom w:val="none" w:sz="0" w:space="0" w:color="auto"/>
            <w:right w:val="none" w:sz="0" w:space="0" w:color="auto"/>
          </w:divBdr>
        </w:div>
        <w:div w:id="1790657801">
          <w:marLeft w:val="274"/>
          <w:marRight w:val="0"/>
          <w:marTop w:val="120"/>
          <w:marBottom w:val="120"/>
          <w:divBdr>
            <w:top w:val="none" w:sz="0" w:space="0" w:color="auto"/>
            <w:left w:val="none" w:sz="0" w:space="0" w:color="auto"/>
            <w:bottom w:val="none" w:sz="0" w:space="0" w:color="auto"/>
            <w:right w:val="none" w:sz="0" w:space="0" w:color="auto"/>
          </w:divBdr>
        </w:div>
      </w:divsChild>
    </w:div>
    <w:div w:id="212272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yperlink" Target="https://www.epa.gov/report-environment" TargetMode="External"/><Relationship Id="rId39"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footer" Target="footer10.xml"/><Relationship Id="rId42" Type="http://schemas.openxmlformats.org/officeDocument/2006/relationships/header" Target="header13.xm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mailto:cfe@latrobe.edu.au" TargetMode="External"/><Relationship Id="rId25" Type="http://schemas.openxmlformats.org/officeDocument/2006/relationships/hyperlink" Target="https://www.abc.net.au/news/2019-05-06/fish-hatchery-set-for-menindee/11082376" TargetMode="External"/><Relationship Id="rId33" Type="http://schemas.openxmlformats.org/officeDocument/2006/relationships/footer" Target="footer9.xml"/><Relationship Id="rId38" Type="http://schemas.openxmlformats.org/officeDocument/2006/relationships/image" Target="media/image8.tif"/><Relationship Id="rId46" Type="http://schemas.openxmlformats.org/officeDocument/2006/relationships/image" Target="media/image11.tif"/><Relationship Id="rId2" Type="http://schemas.openxmlformats.org/officeDocument/2006/relationships/styles" Target="styles.xml"/><Relationship Id="rId16" Type="http://schemas.openxmlformats.org/officeDocument/2006/relationships/hyperlink" Target="https://www.latrobe.edu.au/freshwater-ecosystems/research/projects/ewkr" TargetMode="External"/><Relationship Id="rId20" Type="http://schemas.openxmlformats.org/officeDocument/2006/relationships/footer" Target="footer4.xml"/><Relationship Id="rId29" Type="http://schemas.openxmlformats.org/officeDocument/2006/relationships/footer" Target="footer8.xml"/><Relationship Id="rId41"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eader" Target="header9.xml"/><Relationship Id="rId37" Type="http://schemas.openxmlformats.org/officeDocument/2006/relationships/image" Target="media/image7.tif"/><Relationship Id="rId40" Type="http://schemas.openxmlformats.org/officeDocument/2006/relationships/header" Target="header12.xml"/><Relationship Id="rId45"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hyperlink" Target="mailto:n.thurgate@latrobe.edu.au" TargetMode="External"/><Relationship Id="rId23" Type="http://schemas.openxmlformats.org/officeDocument/2006/relationships/footer" Target="footer6.xml"/><Relationship Id="rId28" Type="http://schemas.openxmlformats.org/officeDocument/2006/relationships/header" Target="header7.xml"/><Relationship Id="rId36" Type="http://schemas.openxmlformats.org/officeDocument/2006/relationships/footer" Target="footer11.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8.xml"/><Relationship Id="rId44"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n.bond@latrobe.edu.au" TargetMode="Externa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image" Target="media/image6.tif"/><Relationship Id="rId35" Type="http://schemas.openxmlformats.org/officeDocument/2006/relationships/header" Target="header10.xml"/><Relationship Id="rId43" Type="http://schemas.openxmlformats.org/officeDocument/2006/relationships/footer" Target="footer13.xml"/><Relationship Id="rId48"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327970AC.dotm</Template>
  <TotalTime>0</TotalTime>
  <Pages>42</Pages>
  <Words>15497</Words>
  <Characters>88334</Characters>
  <Application>Microsoft Office Word</Application>
  <DocSecurity>4</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103624</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Murray-Darling Basin Environmental Water Knowledge and Research Project Synthesis Report</dc:title>
  <dc:subject/>
  <dc:creator>Nikki Thurgate, Julia Mynott, Lyn Smith and Nick Bond</dc:creator>
  <cp:keywords/>
  <cp:lastModifiedBy>Bec Durack</cp:lastModifiedBy>
  <cp:revision>2</cp:revision>
  <dcterms:created xsi:type="dcterms:W3CDTF">2019-10-02T02:23:00Z</dcterms:created>
  <dcterms:modified xsi:type="dcterms:W3CDTF">2019-10-02T02:23:00Z</dcterms:modified>
  <cp:category/>
</cp:coreProperties>
</file>